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D2" w:rsidRDefault="00F622AE" w:rsidP="006C2497">
      <w:pPr>
        <w:widowControl w:val="0"/>
        <w:jc w:val="right"/>
        <w:rPr>
          <w:b/>
          <w:sz w:val="2"/>
          <w:szCs w:val="40"/>
          <w:lang w:val="fr-CH"/>
        </w:rPr>
      </w:pPr>
      <w:r>
        <w:rPr>
          <w:b/>
          <w:sz w:val="40"/>
          <w:szCs w:val="40"/>
          <w:lang w:val="fr-CH"/>
        </w:rPr>
        <w:t>F</w:t>
      </w:r>
    </w:p>
    <w:p w:rsidR="00FD6BD2" w:rsidRDefault="0092684F" w:rsidP="0092684F">
      <w:pPr>
        <w:spacing w:line="360" w:lineRule="auto"/>
        <w:ind w:left="4592"/>
        <w:rPr>
          <w:rFonts w:ascii="Arial Black" w:hAnsi="Arial Black"/>
          <w:caps/>
          <w:sz w:val="15"/>
          <w:lang w:val="fr-CH"/>
        </w:rPr>
      </w:pPr>
      <w:bookmarkStart w:id="0" w:name="TitleOfDoc"/>
      <w:bookmarkEnd w:id="0"/>
      <w:r w:rsidRPr="00635353">
        <w:rPr>
          <w:noProof/>
          <w:lang w:eastAsia="en-US"/>
        </w:rPr>
        <w:drawing>
          <wp:inline distT="0" distB="0" distL="0" distR="0" wp14:anchorId="2894D2D7" wp14:editId="7069440A">
            <wp:extent cx="1857375" cy="1323975"/>
            <wp:effectExtent l="0" t="0" r="9525" b="9525"/>
            <wp:docPr id="2" name="Picture 2" descr="Les courbes en direction du ciel du logo de l’OMPI évoquent le progrès de l’humanité stimulé par l’innovation et la créativité." title="Logo de l'OMPI, Organisation Mondiale de la Propriété Intelle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D2" w:rsidRDefault="0092684F" w:rsidP="0092684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C</w:t>
      </w:r>
      <w:r w:rsidRPr="00635353">
        <w:rPr>
          <w:rFonts w:ascii="Arial Black" w:hAnsi="Arial Black"/>
          <w:b/>
          <w:caps/>
          <w:sz w:val="15"/>
          <w:lang w:val="fr-CH"/>
        </w:rPr>
        <w:t>D</w:t>
      </w:r>
      <w:r>
        <w:rPr>
          <w:rFonts w:ascii="Arial Black" w:hAnsi="Arial Black"/>
          <w:b/>
          <w:caps/>
          <w:sz w:val="15"/>
          <w:lang w:val="fr-CH"/>
        </w:rPr>
        <w:t>I</w:t>
      </w:r>
      <w:r w:rsidRPr="00635353">
        <w:rPr>
          <w:rFonts w:ascii="Arial Black" w:hAnsi="Arial Black"/>
          <w:b/>
          <w:caps/>
          <w:sz w:val="15"/>
          <w:lang w:val="fr-CH"/>
        </w:rPr>
        <w:t>P/25/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3</w:t>
      </w:r>
    </w:p>
    <w:p w:rsidR="00FD6BD2" w:rsidRDefault="0092684F" w:rsidP="0092684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635353">
        <w:rPr>
          <w:rFonts w:ascii="Arial Black" w:hAnsi="Arial Black"/>
          <w:b/>
          <w:caps/>
          <w:sz w:val="15"/>
          <w:lang w:val="fr-CH"/>
        </w:rPr>
        <w:t>ORIGINAL</w:t>
      </w:r>
      <w:bookmarkStart w:id="2" w:name="Original"/>
      <w:bookmarkEnd w:id="2"/>
      <w:r w:rsidR="0077612F">
        <w:rPr>
          <w:rFonts w:ascii="Arial Black" w:hAnsi="Arial Black"/>
          <w:b/>
          <w:caps/>
          <w:sz w:val="15"/>
          <w:lang w:val="fr-CH"/>
        </w:rPr>
        <w:t> :</w:t>
      </w:r>
      <w:r w:rsidR="002D0148">
        <w:rPr>
          <w:rFonts w:ascii="Arial Black" w:hAnsi="Arial Black"/>
          <w:b/>
          <w:caps/>
          <w:sz w:val="15"/>
          <w:lang w:val="fr-CH"/>
        </w:rPr>
        <w:t xml:space="preserve"> </w:t>
      </w:r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FD6BD2" w:rsidRDefault="0092684F" w:rsidP="0092684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635353">
        <w:rPr>
          <w:rFonts w:ascii="Arial Black" w:hAnsi="Arial Black"/>
          <w:b/>
          <w:caps/>
          <w:sz w:val="15"/>
          <w:lang w:val="fr-CH"/>
        </w:rPr>
        <w:t>DATE</w:t>
      </w:r>
      <w:r w:rsidR="0077612F">
        <w:rPr>
          <w:rFonts w:ascii="Arial Black" w:hAnsi="Arial Black"/>
          <w:b/>
          <w:caps/>
          <w:sz w:val="15"/>
          <w:lang w:val="fr-CH"/>
        </w:rPr>
        <w:t> :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fr-CH"/>
        </w:rPr>
        <w:t xml:space="preserve"> 5 mars 2020</w:t>
      </w:r>
    </w:p>
    <w:p w:rsidR="00FD6BD2" w:rsidRDefault="0092684F" w:rsidP="0092684F">
      <w:pPr>
        <w:spacing w:before="1000" w:after="600"/>
        <w:outlineLvl w:val="0"/>
        <w:rPr>
          <w:b/>
          <w:sz w:val="28"/>
          <w:szCs w:val="28"/>
          <w:lang w:val="fr-CH"/>
        </w:rPr>
      </w:pPr>
      <w:r w:rsidRPr="00635353">
        <w:rPr>
          <w:b/>
          <w:sz w:val="28"/>
          <w:szCs w:val="28"/>
          <w:lang w:val="fr-CH"/>
        </w:rPr>
        <w:t>Comité du développement et de la propriété intellectuelle (CDIP)</w:t>
      </w:r>
    </w:p>
    <w:p w:rsidR="00FD6BD2" w:rsidRDefault="0092684F" w:rsidP="0092684F">
      <w:pPr>
        <w:rPr>
          <w:b/>
          <w:sz w:val="24"/>
          <w:szCs w:val="24"/>
          <w:lang w:val="fr-CH"/>
        </w:rPr>
      </w:pPr>
      <w:r w:rsidRPr="00635353">
        <w:rPr>
          <w:b/>
          <w:sz w:val="24"/>
          <w:szCs w:val="24"/>
          <w:lang w:val="fr-CH"/>
        </w:rPr>
        <w:t>Vingt</w:t>
      </w:r>
      <w:r w:rsidR="0077612F">
        <w:rPr>
          <w:b/>
          <w:sz w:val="24"/>
          <w:szCs w:val="24"/>
          <w:lang w:val="fr-CH"/>
        </w:rPr>
        <w:t>-</w:t>
      </w:r>
      <w:r w:rsidRPr="00635353">
        <w:rPr>
          <w:b/>
          <w:sz w:val="24"/>
          <w:szCs w:val="24"/>
          <w:lang w:val="fr-CH"/>
        </w:rPr>
        <w:t>cinqu</w:t>
      </w:r>
      <w:r w:rsidR="0077612F">
        <w:rPr>
          <w:b/>
          <w:sz w:val="24"/>
          <w:szCs w:val="24"/>
          <w:lang w:val="fr-CH"/>
        </w:rPr>
        <w:t>ième session</w:t>
      </w:r>
    </w:p>
    <w:p w:rsidR="00FD6BD2" w:rsidRDefault="0092684F" w:rsidP="0092684F">
      <w:pPr>
        <w:spacing w:after="720"/>
        <w:outlineLvl w:val="0"/>
        <w:rPr>
          <w:b/>
          <w:sz w:val="24"/>
          <w:szCs w:val="24"/>
          <w:lang w:val="fr-CH"/>
        </w:rPr>
      </w:pPr>
      <w:r w:rsidRPr="00635353">
        <w:rPr>
          <w:b/>
          <w:sz w:val="24"/>
          <w:szCs w:val="24"/>
          <w:lang w:val="fr-CH"/>
        </w:rPr>
        <w:t>Genève, 18 – 22 mai 2020</w:t>
      </w:r>
    </w:p>
    <w:p w:rsidR="00FD6BD2" w:rsidRDefault="00700AC6" w:rsidP="00700AC6">
      <w:pPr>
        <w:pStyle w:val="Heading1"/>
        <w:spacing w:after="360"/>
        <w:rPr>
          <w:caps w:val="0"/>
          <w:sz w:val="24"/>
          <w:szCs w:val="24"/>
          <w:lang w:val="fr-CH"/>
        </w:rPr>
      </w:pPr>
      <w:bookmarkStart w:id="4" w:name="Prepared"/>
      <w:bookmarkEnd w:id="4"/>
      <w:r w:rsidRPr="00700AC6">
        <w:rPr>
          <w:caps w:val="0"/>
          <w:color w:val="000000"/>
          <w:sz w:val="24"/>
          <w:szCs w:val="24"/>
          <w:lang w:val="fr-CH"/>
        </w:rPr>
        <w:t xml:space="preserve">RAPPORT SUR LES WEBINAIRES </w:t>
      </w:r>
      <w:r w:rsidR="005149AA">
        <w:rPr>
          <w:caps w:val="0"/>
          <w:color w:val="000000"/>
          <w:sz w:val="24"/>
          <w:szCs w:val="24"/>
          <w:lang w:val="fr-CH"/>
        </w:rPr>
        <w:t>CONSACRÉS À</w:t>
      </w:r>
      <w:r w:rsidRPr="00700AC6">
        <w:rPr>
          <w:caps w:val="0"/>
          <w:color w:val="000000"/>
          <w:sz w:val="24"/>
          <w:szCs w:val="24"/>
          <w:lang w:val="fr-CH"/>
        </w:rPr>
        <w:t xml:space="preserve"> L</w:t>
      </w:r>
      <w:r w:rsidR="0077612F">
        <w:rPr>
          <w:caps w:val="0"/>
          <w:color w:val="000000"/>
          <w:sz w:val="24"/>
          <w:szCs w:val="24"/>
          <w:lang w:val="fr-CH"/>
        </w:rPr>
        <w:t>’</w:t>
      </w:r>
      <w:r w:rsidRPr="00700AC6">
        <w:rPr>
          <w:caps w:val="0"/>
          <w:color w:val="000000"/>
          <w:sz w:val="24"/>
          <w:szCs w:val="24"/>
          <w:lang w:val="fr-CH"/>
        </w:rPr>
        <w:t>ASSISTANCE TECHNIQUE</w:t>
      </w:r>
      <w:r w:rsidR="00BE2E72">
        <w:rPr>
          <w:rStyle w:val="FootnoteReference"/>
          <w:caps w:val="0"/>
          <w:color w:val="000000"/>
          <w:sz w:val="24"/>
          <w:szCs w:val="24"/>
          <w:lang w:val="fr-CH"/>
        </w:rPr>
        <w:footnoteReference w:id="2"/>
      </w:r>
    </w:p>
    <w:p w:rsidR="00FD6BD2" w:rsidRDefault="00700AC6" w:rsidP="00700AC6">
      <w:pPr>
        <w:spacing w:after="960"/>
        <w:rPr>
          <w:i/>
          <w:lang w:val="fr-CH"/>
        </w:rPr>
      </w:pPr>
      <w:proofErr w:type="gramStart"/>
      <w:r w:rsidRPr="00EE463C">
        <w:rPr>
          <w:i/>
          <w:lang w:val="fr-CH"/>
        </w:rPr>
        <w:t>établi</w:t>
      </w:r>
      <w:proofErr w:type="gramEnd"/>
      <w:r w:rsidRPr="00EE463C">
        <w:rPr>
          <w:i/>
          <w:lang w:val="fr-CH"/>
        </w:rPr>
        <w:t xml:space="preserve"> par le Secrétariat</w:t>
      </w:r>
    </w:p>
    <w:p w:rsidR="00FD6BD2" w:rsidRDefault="00700AC6" w:rsidP="00700AC6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bCs/>
          <w:lang w:val="fr-CH"/>
        </w:rPr>
      </w:pPr>
      <w:r w:rsidRPr="00700AC6">
        <w:rPr>
          <w:bCs/>
          <w:color w:val="000000"/>
          <w:lang w:val="fr-CH"/>
        </w:rPr>
        <w:t>À sa vingt</w:t>
      </w:r>
      <w:r w:rsidR="0077612F">
        <w:rPr>
          <w:bCs/>
          <w:color w:val="000000"/>
          <w:lang w:val="fr-CH"/>
        </w:rPr>
        <w:t>-</w:t>
      </w:r>
      <w:r w:rsidRPr="00700AC6">
        <w:rPr>
          <w:bCs/>
          <w:color w:val="000000"/>
          <w:lang w:val="fr-CH"/>
        </w:rPr>
        <w:t>trois</w:t>
      </w:r>
      <w:r w:rsidR="0077612F">
        <w:rPr>
          <w:bCs/>
          <w:color w:val="000000"/>
          <w:lang w:val="fr-CH"/>
        </w:rPr>
        <w:t>ième session</w:t>
      </w:r>
      <w:r w:rsidRPr="00700AC6">
        <w:rPr>
          <w:bCs/>
          <w:color w:val="000000"/>
          <w:lang w:val="fr-CH"/>
        </w:rPr>
        <w:t xml:space="preserve"> tenue du 20 au 24 mai </w:t>
      </w:r>
      <w:r w:rsidR="0048384C" w:rsidRPr="00700AC6">
        <w:rPr>
          <w:bCs/>
          <w:color w:val="000000"/>
          <w:lang w:val="fr-CH"/>
        </w:rPr>
        <w:t>20</w:t>
      </w:r>
      <w:r w:rsidR="0048384C">
        <w:rPr>
          <w:bCs/>
          <w:color w:val="000000"/>
          <w:lang w:val="fr-CH"/>
        </w:rPr>
        <w:t>19</w:t>
      </w:r>
      <w:r w:rsidRPr="00700AC6">
        <w:rPr>
          <w:bCs/>
          <w:color w:val="000000"/>
          <w:lang w:val="fr-CH"/>
        </w:rPr>
        <w:t>, le Comité du développement et de la propriété intellectuelle (CDIP) a, lors de l</w:t>
      </w:r>
      <w:r w:rsidR="0077612F">
        <w:rPr>
          <w:bCs/>
          <w:color w:val="000000"/>
          <w:lang w:val="fr-CH"/>
        </w:rPr>
        <w:t>’</w:t>
      </w:r>
      <w:r w:rsidRPr="00700AC6">
        <w:rPr>
          <w:bCs/>
          <w:color w:val="000000"/>
          <w:lang w:val="fr-CH"/>
        </w:rPr>
        <w:t xml:space="preserve">examen du </w:t>
      </w:r>
      <w:r w:rsidRPr="00EE463C">
        <w:rPr>
          <w:bCs/>
          <w:lang w:val="fr-CH"/>
        </w:rPr>
        <w:t>prototype de forum de discussion consacré à l</w:t>
      </w:r>
      <w:r w:rsidR="0077612F" w:rsidRPr="00EE463C">
        <w:rPr>
          <w:bCs/>
          <w:lang w:val="fr-CH"/>
        </w:rPr>
        <w:t>’</w:t>
      </w:r>
      <w:r w:rsidRPr="00EE463C">
        <w:rPr>
          <w:bCs/>
          <w:lang w:val="fr-CH"/>
        </w:rPr>
        <w:t xml:space="preserve">assistance technique </w:t>
      </w:r>
      <w:r w:rsidRPr="00700AC6">
        <w:rPr>
          <w:bCs/>
          <w:color w:val="000000"/>
          <w:lang w:val="fr-CH"/>
        </w:rPr>
        <w:t>(document</w:t>
      </w:r>
      <w:r w:rsidR="002D0148">
        <w:rPr>
          <w:bCs/>
          <w:color w:val="000000"/>
          <w:lang w:val="fr-CH"/>
        </w:rPr>
        <w:t> </w:t>
      </w:r>
      <w:proofErr w:type="spellStart"/>
      <w:r w:rsidR="002B7FF6">
        <w:fldChar w:fldCharType="begin"/>
      </w:r>
      <w:r w:rsidR="002B7FF6" w:rsidRPr="00EB21D6">
        <w:rPr>
          <w:lang w:val="fr-CH"/>
        </w:rPr>
        <w:instrText xml:space="preserve"> HYPERLINK "https://www.wipo.int/meetings/fr/doc_details.jsp?doc_id=431364" </w:instrText>
      </w:r>
      <w:r w:rsidR="002B7FF6">
        <w:fldChar w:fldCharType="separate"/>
      </w:r>
      <w:r w:rsidRPr="00FD4BF2">
        <w:rPr>
          <w:rStyle w:val="Hyperlink"/>
          <w:bCs/>
          <w:lang w:val="fr-CH"/>
        </w:rPr>
        <w:t>CDIP</w:t>
      </w:r>
      <w:proofErr w:type="spellEnd"/>
      <w:r w:rsidRPr="00FD4BF2">
        <w:rPr>
          <w:rStyle w:val="Hyperlink"/>
          <w:bCs/>
          <w:lang w:val="fr-CH"/>
        </w:rPr>
        <w:t>/23/9</w:t>
      </w:r>
      <w:r w:rsidR="002B7FF6">
        <w:rPr>
          <w:rStyle w:val="Hyperlink"/>
          <w:bCs/>
          <w:lang w:val="fr-CH"/>
        </w:rPr>
        <w:fldChar w:fldCharType="end"/>
      </w:r>
      <w:r w:rsidRPr="00700AC6">
        <w:rPr>
          <w:bCs/>
          <w:color w:val="000000"/>
          <w:lang w:val="fr-CH"/>
        </w:rPr>
        <w:t xml:space="preserve">), pris la décision </w:t>
      </w:r>
      <w:r w:rsidR="005149AA">
        <w:rPr>
          <w:bCs/>
          <w:color w:val="000000"/>
          <w:lang w:val="fr-CH"/>
        </w:rPr>
        <w:t>ci-après</w:t>
      </w:r>
      <w:r w:rsidRPr="00700AC6">
        <w:rPr>
          <w:bCs/>
          <w:color w:val="000000"/>
          <w:lang w:val="fr-CH"/>
        </w:rPr>
        <w:t xml:space="preserve"> figurant au paragraphe</w:t>
      </w:r>
      <w:r w:rsidR="002D0148">
        <w:rPr>
          <w:bCs/>
          <w:color w:val="000000"/>
          <w:lang w:val="fr-CH"/>
        </w:rPr>
        <w:t> </w:t>
      </w:r>
      <w:r w:rsidRPr="00700AC6">
        <w:rPr>
          <w:bCs/>
          <w:color w:val="000000"/>
          <w:lang w:val="fr-CH"/>
        </w:rPr>
        <w:t xml:space="preserve">8.1 du </w:t>
      </w:r>
      <w:hyperlink r:id="rId9" w:history="1">
        <w:r w:rsidRPr="00FD4BF2">
          <w:rPr>
            <w:rStyle w:val="Hyperlink"/>
            <w:bCs/>
            <w:lang w:val="fr-CH"/>
          </w:rPr>
          <w:t>résumé présenté par le président</w:t>
        </w:r>
      </w:hyperlink>
      <w:r w:rsidR="0077612F">
        <w:rPr>
          <w:bCs/>
          <w:color w:val="000000"/>
          <w:lang w:val="fr-CH"/>
        </w:rPr>
        <w:t> :</w:t>
      </w:r>
    </w:p>
    <w:p w:rsidR="00FD6BD2" w:rsidRPr="005149AA" w:rsidRDefault="00700AC6" w:rsidP="00700AC6">
      <w:pPr>
        <w:pStyle w:val="ListParagraph"/>
        <w:spacing w:after="240"/>
        <w:ind w:left="0" w:right="72" w:firstLine="562"/>
        <w:contextualSpacing w:val="0"/>
        <w:rPr>
          <w:bCs/>
          <w:i/>
          <w:lang w:val="fr-CH"/>
        </w:rPr>
      </w:pPr>
      <w:proofErr w:type="gramStart"/>
      <w:r w:rsidRPr="005149AA">
        <w:rPr>
          <w:bCs/>
          <w:i/>
          <w:color w:val="000000"/>
          <w:lang w:val="fr-CH"/>
        </w:rPr>
        <w:t>“(</w:t>
      </w:r>
      <w:proofErr w:type="gramEnd"/>
      <w:r w:rsidRPr="005149AA">
        <w:rPr>
          <w:bCs/>
          <w:i/>
          <w:color w:val="000000"/>
          <w:lang w:val="fr-CH"/>
        </w:rPr>
        <w:t xml:space="preserve">…) </w:t>
      </w:r>
      <w:r w:rsidRPr="00EE463C">
        <w:rPr>
          <w:bCs/>
          <w:i/>
          <w:lang w:val="fr-CH"/>
        </w:rPr>
        <w:t>demandé au Secrétariat de mettre en place la plateforme de webinaires, ainsi qu</w:t>
      </w:r>
      <w:r w:rsidR="0077612F" w:rsidRPr="00EE463C">
        <w:rPr>
          <w:bCs/>
          <w:i/>
          <w:lang w:val="fr-CH"/>
        </w:rPr>
        <w:t>’</w:t>
      </w:r>
      <w:r w:rsidRPr="00EE463C">
        <w:rPr>
          <w:bCs/>
          <w:i/>
          <w:lang w:val="fr-CH"/>
        </w:rPr>
        <w:t>il est indiqué dans l</w:t>
      </w:r>
      <w:r w:rsidR="0077612F" w:rsidRPr="00EE463C">
        <w:rPr>
          <w:bCs/>
          <w:i/>
          <w:lang w:val="fr-CH"/>
        </w:rPr>
        <w:t>’</w:t>
      </w:r>
      <w:r w:rsidRPr="00EE463C">
        <w:rPr>
          <w:bCs/>
          <w:i/>
          <w:lang w:val="fr-CH"/>
        </w:rPr>
        <w:t>option B, pour une période initiale de six</w:t>
      </w:r>
      <w:r w:rsidR="00CB6E22" w:rsidRPr="00EE463C">
        <w:rPr>
          <w:bCs/>
          <w:i/>
          <w:lang w:val="fr-CH"/>
        </w:rPr>
        <w:t> </w:t>
      </w:r>
      <w:r w:rsidRPr="00EE463C">
        <w:rPr>
          <w:bCs/>
          <w:i/>
          <w:lang w:val="fr-CH"/>
        </w:rPr>
        <w:t>mois et de présenter un rapport d</w:t>
      </w:r>
      <w:r w:rsidR="0077612F" w:rsidRPr="00EE463C">
        <w:rPr>
          <w:bCs/>
          <w:i/>
          <w:lang w:val="fr-CH"/>
        </w:rPr>
        <w:t>’</w:t>
      </w:r>
      <w:r w:rsidRPr="00EE463C">
        <w:rPr>
          <w:bCs/>
          <w:i/>
          <w:lang w:val="fr-CH"/>
        </w:rPr>
        <w:t>évaluation sur le webinaire à la vingt</w:t>
      </w:r>
      <w:r w:rsidR="0077612F" w:rsidRPr="00EE463C">
        <w:rPr>
          <w:bCs/>
          <w:i/>
          <w:lang w:val="fr-CH"/>
        </w:rPr>
        <w:t>-</w:t>
      </w:r>
      <w:r w:rsidRPr="00EE463C">
        <w:rPr>
          <w:bCs/>
          <w:i/>
          <w:lang w:val="fr-CH"/>
        </w:rPr>
        <w:t>cinqu</w:t>
      </w:r>
      <w:r w:rsidR="0077612F" w:rsidRPr="00EE463C">
        <w:rPr>
          <w:bCs/>
          <w:i/>
          <w:lang w:val="fr-CH"/>
        </w:rPr>
        <w:t>ième session</w:t>
      </w:r>
      <w:r w:rsidRPr="00EE463C">
        <w:rPr>
          <w:bCs/>
          <w:i/>
          <w:lang w:val="fr-CH"/>
        </w:rPr>
        <w:t xml:space="preserve"> du comité, pour un examen plus approfondi.</w:t>
      </w:r>
      <w:r w:rsidRPr="005149AA">
        <w:rPr>
          <w:bCs/>
          <w:i/>
          <w:color w:val="000000"/>
          <w:lang w:val="fr-CH"/>
        </w:rPr>
        <w:t>”</w:t>
      </w:r>
    </w:p>
    <w:p w:rsidR="0077612F" w:rsidRDefault="009053C3" w:rsidP="009053C3">
      <w:pPr>
        <w:pStyle w:val="ListParagraph"/>
        <w:keepNext/>
        <w:numPr>
          <w:ilvl w:val="0"/>
          <w:numId w:val="4"/>
        </w:numPr>
        <w:spacing w:after="240" w:line="220" w:lineRule="atLeast"/>
        <w:ind w:left="0" w:firstLine="0"/>
        <w:contextualSpacing w:val="0"/>
        <w:rPr>
          <w:lang w:val="fr-CH"/>
        </w:rPr>
      </w:pPr>
      <w:r w:rsidRPr="009053C3">
        <w:rPr>
          <w:color w:val="000000"/>
          <w:lang w:val="fr-CH"/>
        </w:rPr>
        <w:t>Pour donner suite à cette demande, le Secrétariat de l</w:t>
      </w:r>
      <w:r w:rsidR="0077612F">
        <w:rPr>
          <w:color w:val="000000"/>
          <w:lang w:val="fr-CH"/>
        </w:rPr>
        <w:t>’</w:t>
      </w:r>
      <w:r w:rsidRPr="009053C3">
        <w:rPr>
          <w:color w:val="000000"/>
          <w:lang w:val="fr-CH"/>
        </w:rPr>
        <w:t>OMPI a lancé une série de webinaires sur des thèmes liés à l</w:t>
      </w:r>
      <w:r w:rsidR="0077612F">
        <w:rPr>
          <w:color w:val="000000"/>
          <w:lang w:val="fr-CH"/>
        </w:rPr>
        <w:t>’</w:t>
      </w:r>
      <w:r w:rsidRPr="009053C3">
        <w:rPr>
          <w:color w:val="000000"/>
          <w:lang w:val="fr-CH"/>
        </w:rPr>
        <w:t>assistance techniq</w:t>
      </w:r>
      <w:r w:rsidR="000342B2" w:rsidRPr="009053C3">
        <w:rPr>
          <w:color w:val="000000"/>
          <w:lang w:val="fr-CH"/>
        </w:rPr>
        <w:t>ue</w:t>
      </w:r>
      <w:r w:rsidR="000342B2">
        <w:rPr>
          <w:color w:val="000000"/>
          <w:lang w:val="fr-CH"/>
        </w:rPr>
        <w:t xml:space="preserve">.  </w:t>
      </w:r>
      <w:r w:rsidR="000342B2" w:rsidRPr="009053C3">
        <w:rPr>
          <w:color w:val="000000"/>
          <w:lang w:val="fr-CH"/>
        </w:rPr>
        <w:t>Co</w:t>
      </w:r>
      <w:r w:rsidRPr="009053C3">
        <w:rPr>
          <w:color w:val="000000"/>
          <w:lang w:val="fr-CH"/>
        </w:rPr>
        <w:t>nformément à l</w:t>
      </w:r>
      <w:r w:rsidR="0077612F">
        <w:rPr>
          <w:color w:val="000000"/>
          <w:lang w:val="fr-CH"/>
        </w:rPr>
        <w:t>’</w:t>
      </w:r>
      <w:r w:rsidRPr="009053C3">
        <w:rPr>
          <w:color w:val="000000"/>
          <w:lang w:val="fr-CH"/>
        </w:rPr>
        <w:t xml:space="preserve">option B du </w:t>
      </w:r>
      <w:r w:rsidRPr="009053C3">
        <w:rPr>
          <w:color w:val="000000"/>
          <w:lang w:val="fr-CH"/>
        </w:rPr>
        <w:lastRenderedPageBreak/>
        <w:t>document</w:t>
      </w:r>
      <w:r w:rsidR="002D0148">
        <w:rPr>
          <w:color w:val="000000"/>
          <w:lang w:val="fr-CH"/>
        </w:rPr>
        <w:t> </w:t>
      </w:r>
      <w:proofErr w:type="spellStart"/>
      <w:r w:rsidR="002B7FF6">
        <w:fldChar w:fldCharType="begin"/>
      </w:r>
      <w:r w:rsidR="002B7FF6" w:rsidRPr="00EB21D6">
        <w:rPr>
          <w:lang w:val="fr-CH"/>
        </w:rPr>
        <w:instrText xml:space="preserve"> HYPERLINK "https://www.wipo.int/meetings/fr/doc_details.jsp?doc_id=431364" </w:instrText>
      </w:r>
      <w:r w:rsidR="002B7FF6">
        <w:fldChar w:fldCharType="separate"/>
      </w:r>
      <w:r w:rsidRPr="009053C3">
        <w:rPr>
          <w:rStyle w:val="Hyperlink"/>
          <w:lang w:val="fr-CH"/>
        </w:rPr>
        <w:t>CDIP</w:t>
      </w:r>
      <w:proofErr w:type="spellEnd"/>
      <w:r w:rsidRPr="009053C3">
        <w:rPr>
          <w:rStyle w:val="Hyperlink"/>
          <w:lang w:val="fr-CH"/>
        </w:rPr>
        <w:t>/23/9</w:t>
      </w:r>
      <w:r w:rsidR="002B7FF6">
        <w:rPr>
          <w:rStyle w:val="Hyperlink"/>
          <w:lang w:val="fr-CH"/>
        </w:rPr>
        <w:fldChar w:fldCharType="end"/>
      </w:r>
      <w:r w:rsidRPr="009053C3">
        <w:rPr>
          <w:color w:val="000000"/>
          <w:lang w:val="fr-CH"/>
        </w:rPr>
        <w:t>, à l</w:t>
      </w:r>
      <w:r w:rsidR="0077612F">
        <w:rPr>
          <w:color w:val="000000"/>
          <w:lang w:val="fr-CH"/>
        </w:rPr>
        <w:t>’</w:t>
      </w:r>
      <w:r w:rsidRPr="009053C3">
        <w:rPr>
          <w:color w:val="000000"/>
          <w:lang w:val="fr-CH"/>
        </w:rPr>
        <w:t xml:space="preserve">issue de la période initiale, le comité examinerait </w:t>
      </w:r>
      <w:r w:rsidR="00160BC4">
        <w:rPr>
          <w:i/>
          <w:color w:val="000000"/>
          <w:lang w:val="fr-CH"/>
        </w:rPr>
        <w:t>“</w:t>
      </w:r>
      <w:r w:rsidRPr="005149AA">
        <w:rPr>
          <w:i/>
          <w:color w:val="000000"/>
          <w:lang w:val="fr-CH"/>
        </w:rPr>
        <w:t>son utilité pour déterminer si la plateforme de webinaires devrait être conservée en l</w:t>
      </w:r>
      <w:r w:rsidR="0077612F" w:rsidRPr="005149AA">
        <w:rPr>
          <w:i/>
          <w:color w:val="000000"/>
          <w:lang w:val="fr-CH"/>
        </w:rPr>
        <w:t>’</w:t>
      </w:r>
      <w:r w:rsidRPr="005149AA">
        <w:rPr>
          <w:i/>
          <w:color w:val="000000"/>
          <w:lang w:val="fr-CH"/>
        </w:rPr>
        <w:t>état, modifiée ou fermée</w:t>
      </w:r>
      <w:r w:rsidR="00160BC4">
        <w:rPr>
          <w:i/>
          <w:color w:val="000000"/>
          <w:lang w:val="fr-CH"/>
        </w:rPr>
        <w:t>”</w:t>
      </w:r>
      <w:r w:rsidRPr="005149AA">
        <w:rPr>
          <w:i/>
          <w:color w:val="000000"/>
          <w:lang w:val="fr-CH"/>
        </w:rPr>
        <w:t>.</w:t>
      </w:r>
    </w:p>
    <w:p w:rsidR="00FD6BD2" w:rsidRDefault="009053C3" w:rsidP="006876BA">
      <w:pPr>
        <w:pStyle w:val="ListParagraph"/>
        <w:numPr>
          <w:ilvl w:val="0"/>
          <w:numId w:val="4"/>
        </w:numPr>
        <w:tabs>
          <w:tab w:val="left" w:pos="360"/>
        </w:tabs>
        <w:spacing w:after="240" w:line="240" w:lineRule="atLeast"/>
        <w:ind w:left="0" w:firstLine="0"/>
        <w:contextualSpacing w:val="0"/>
        <w:rPr>
          <w:lang w:val="fr-CH"/>
        </w:rPr>
      </w:pPr>
      <w:r w:rsidRPr="009053C3">
        <w:rPr>
          <w:color w:val="000000"/>
          <w:lang w:val="fr-CH"/>
        </w:rPr>
        <w:t>Le présent document contient un rapport sur la série de webinaires qui, avec le rapport d</w:t>
      </w:r>
      <w:r w:rsidR="0077612F">
        <w:rPr>
          <w:color w:val="000000"/>
          <w:lang w:val="fr-CH"/>
        </w:rPr>
        <w:t>’</w:t>
      </w:r>
      <w:r w:rsidRPr="009053C3">
        <w:rPr>
          <w:color w:val="000000"/>
          <w:lang w:val="fr-CH"/>
        </w:rPr>
        <w:t xml:space="preserve">évaluation contenu dans le </w:t>
      </w:r>
      <w:r w:rsidR="0077612F" w:rsidRPr="009053C3">
        <w:rPr>
          <w:color w:val="000000"/>
          <w:lang w:val="fr-CH"/>
        </w:rPr>
        <w:t>document</w:t>
      </w:r>
      <w:r w:rsidR="0077612F">
        <w:rPr>
          <w:color w:val="000000"/>
          <w:lang w:val="fr-CH"/>
        </w:rPr>
        <w:t xml:space="preserve"> </w:t>
      </w:r>
      <w:hyperlink r:id="rId10" w:history="1">
        <w:proofErr w:type="spellStart"/>
        <w:r w:rsidR="0077612F" w:rsidRPr="00F32CC1">
          <w:rPr>
            <w:rStyle w:val="Hyperlink"/>
            <w:lang w:val="fr-CH"/>
          </w:rPr>
          <w:t>CD</w:t>
        </w:r>
        <w:r w:rsidRPr="00F32CC1">
          <w:rPr>
            <w:rStyle w:val="Hyperlink"/>
            <w:lang w:val="fr-CH"/>
          </w:rPr>
          <w:t>I</w:t>
        </w:r>
        <w:bookmarkStart w:id="5" w:name="_GoBack"/>
        <w:bookmarkEnd w:id="5"/>
        <w:r w:rsidRPr="00F32CC1">
          <w:rPr>
            <w:rStyle w:val="Hyperlink"/>
            <w:lang w:val="fr-CH"/>
          </w:rPr>
          <w:t>P</w:t>
        </w:r>
        <w:proofErr w:type="spellEnd"/>
        <w:r w:rsidRPr="00F32CC1">
          <w:rPr>
            <w:rStyle w:val="Hyperlink"/>
            <w:lang w:val="fr-CH"/>
          </w:rPr>
          <w:t>/25/4</w:t>
        </w:r>
      </w:hyperlink>
      <w:r w:rsidRPr="009053C3">
        <w:rPr>
          <w:color w:val="000000"/>
          <w:lang w:val="fr-CH"/>
        </w:rPr>
        <w:t>, visent à faciliter l</w:t>
      </w:r>
      <w:r w:rsidR="0077612F">
        <w:rPr>
          <w:color w:val="000000"/>
          <w:lang w:val="fr-CH"/>
        </w:rPr>
        <w:t>’</w:t>
      </w:r>
      <w:r w:rsidRPr="009053C3">
        <w:rPr>
          <w:color w:val="000000"/>
          <w:lang w:val="fr-CH"/>
        </w:rPr>
        <w:t>examen de la question par le comi</w:t>
      </w:r>
      <w:r w:rsidR="000342B2" w:rsidRPr="009053C3">
        <w:rPr>
          <w:color w:val="000000"/>
          <w:lang w:val="fr-CH"/>
        </w:rPr>
        <w:t>té</w:t>
      </w:r>
      <w:r w:rsidR="000342B2">
        <w:rPr>
          <w:color w:val="000000"/>
          <w:lang w:val="fr-CH"/>
        </w:rPr>
        <w:t xml:space="preserve">.  </w:t>
      </w:r>
      <w:r w:rsidR="000342B2" w:rsidRPr="006876BA">
        <w:rPr>
          <w:color w:val="000000"/>
          <w:lang w:val="fr-CH"/>
        </w:rPr>
        <w:t>Le</w:t>
      </w:r>
      <w:r w:rsidR="006876BA" w:rsidRPr="006876BA">
        <w:rPr>
          <w:color w:val="000000"/>
          <w:lang w:val="fr-CH"/>
        </w:rPr>
        <w:t>s rapports d</w:t>
      </w:r>
      <w:r w:rsidR="0077612F">
        <w:rPr>
          <w:color w:val="000000"/>
          <w:lang w:val="fr-CH"/>
        </w:rPr>
        <w:t>’</w:t>
      </w:r>
      <w:r w:rsidR="006876BA" w:rsidRPr="006876BA">
        <w:rPr>
          <w:color w:val="000000"/>
          <w:lang w:val="fr-CH"/>
        </w:rPr>
        <w:t>achèvement de huit</w:t>
      </w:r>
      <w:r w:rsidR="00CB6E22">
        <w:rPr>
          <w:color w:val="000000"/>
          <w:lang w:val="fr-CH"/>
        </w:rPr>
        <w:t> </w:t>
      </w:r>
      <w:r w:rsidR="006876BA" w:rsidRPr="006876BA">
        <w:rPr>
          <w:color w:val="000000"/>
          <w:lang w:val="fr-CH"/>
        </w:rPr>
        <w:t xml:space="preserve">webinaires, établis par les experts </w:t>
      </w:r>
      <w:r w:rsidR="00160BC4">
        <w:rPr>
          <w:color w:val="000000"/>
          <w:lang w:val="fr-CH"/>
        </w:rPr>
        <w:t>avec la</w:t>
      </w:r>
      <w:r w:rsidR="006876BA" w:rsidRPr="006876BA">
        <w:rPr>
          <w:color w:val="000000"/>
          <w:lang w:val="fr-CH"/>
        </w:rPr>
        <w:t xml:space="preserve"> collaboration </w:t>
      </w:r>
      <w:r w:rsidR="00160BC4">
        <w:rPr>
          <w:color w:val="000000"/>
          <w:lang w:val="fr-CH"/>
        </w:rPr>
        <w:t xml:space="preserve">de </w:t>
      </w:r>
      <w:r w:rsidR="006876BA" w:rsidRPr="006876BA">
        <w:rPr>
          <w:color w:val="000000"/>
          <w:lang w:val="fr-CH"/>
        </w:rPr>
        <w:t xml:space="preserve">la </w:t>
      </w:r>
      <w:r w:rsidR="006876BA" w:rsidRPr="00EE463C">
        <w:rPr>
          <w:lang w:val="fr-CH"/>
        </w:rPr>
        <w:t>Division de la coordination du Plan d</w:t>
      </w:r>
      <w:r w:rsidR="0077612F" w:rsidRPr="00EE463C">
        <w:rPr>
          <w:lang w:val="fr-CH"/>
        </w:rPr>
        <w:t>’</w:t>
      </w:r>
      <w:r w:rsidR="006876BA" w:rsidRPr="00EE463C">
        <w:rPr>
          <w:lang w:val="fr-CH"/>
        </w:rPr>
        <w:t>action pour le développement</w:t>
      </w:r>
      <w:r w:rsidR="006876BA" w:rsidRPr="006876BA">
        <w:rPr>
          <w:color w:val="000000"/>
          <w:lang w:val="fr-CH"/>
        </w:rPr>
        <w:t xml:space="preserve"> de l</w:t>
      </w:r>
      <w:r w:rsidR="0077612F">
        <w:rPr>
          <w:color w:val="000000"/>
          <w:lang w:val="fr-CH"/>
        </w:rPr>
        <w:t>’</w:t>
      </w:r>
      <w:r w:rsidR="006876BA" w:rsidRPr="006876BA">
        <w:rPr>
          <w:color w:val="000000"/>
          <w:lang w:val="fr-CH"/>
        </w:rPr>
        <w:t>OMPI, sont contenus dans l</w:t>
      </w:r>
      <w:r w:rsidR="0077612F">
        <w:rPr>
          <w:color w:val="000000"/>
          <w:lang w:val="fr-CH"/>
        </w:rPr>
        <w:t>’</w:t>
      </w:r>
      <w:r w:rsidR="006876BA" w:rsidRPr="006876BA">
        <w:rPr>
          <w:color w:val="000000"/>
          <w:lang w:val="fr-CH"/>
        </w:rPr>
        <w:t>annexe du présent document.</w:t>
      </w:r>
    </w:p>
    <w:p w:rsidR="00FD6BD2" w:rsidRDefault="006876BA" w:rsidP="006876BA">
      <w:pPr>
        <w:pStyle w:val="Heading2"/>
        <w:spacing w:after="240"/>
        <w:ind w:left="360"/>
        <w:rPr>
          <w:lang w:val="fr-CH"/>
        </w:rPr>
      </w:pPr>
      <w:r w:rsidRPr="006876BA">
        <w:rPr>
          <w:color w:val="000000"/>
          <w:lang w:val="fr-CH"/>
        </w:rPr>
        <w:t>Administration de la plateforme des webinaires</w:t>
      </w:r>
    </w:p>
    <w:p w:rsidR="00FD6BD2" w:rsidRDefault="00430684" w:rsidP="00430684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430684">
        <w:rPr>
          <w:color w:val="000000"/>
          <w:lang w:val="fr-CH"/>
        </w:rPr>
        <w:t xml:space="preserve">Les webinaires sont administrés par la </w:t>
      </w:r>
      <w:r w:rsidRPr="00EE463C">
        <w:rPr>
          <w:lang w:val="fr-CH"/>
        </w:rPr>
        <w:t>Division de la coordination du Plan d</w:t>
      </w:r>
      <w:r w:rsidR="0077612F" w:rsidRPr="00EE463C">
        <w:rPr>
          <w:lang w:val="fr-CH"/>
        </w:rPr>
        <w:t>’</w:t>
      </w:r>
      <w:r w:rsidRPr="00EE463C">
        <w:rPr>
          <w:lang w:val="fr-CH"/>
        </w:rPr>
        <w:t>action pour le développement</w:t>
      </w:r>
      <w:r w:rsidRPr="00430684">
        <w:rPr>
          <w:color w:val="000000"/>
          <w:lang w:val="fr-CH"/>
        </w:rPr>
        <w:t xml:space="preserve"> en coordination </w:t>
      </w:r>
      <w:r w:rsidR="00160BC4" w:rsidRPr="00430684">
        <w:rPr>
          <w:color w:val="000000"/>
          <w:lang w:val="fr-CH"/>
        </w:rPr>
        <w:t xml:space="preserve">étroite </w:t>
      </w:r>
      <w:r w:rsidRPr="00430684">
        <w:rPr>
          <w:color w:val="000000"/>
          <w:lang w:val="fr-CH"/>
        </w:rPr>
        <w:t>avec les divisions et secteurs de l</w:t>
      </w:r>
      <w:r w:rsidR="0077612F">
        <w:rPr>
          <w:color w:val="000000"/>
          <w:lang w:val="fr-CH"/>
        </w:rPr>
        <w:t>’</w:t>
      </w:r>
      <w:r w:rsidRPr="00430684">
        <w:rPr>
          <w:color w:val="000000"/>
          <w:lang w:val="fr-CH"/>
        </w:rPr>
        <w:t>OMPI</w:t>
      </w:r>
      <w:r w:rsidR="006D3E7D">
        <w:rPr>
          <w:color w:val="000000"/>
          <w:lang w:val="fr-CH"/>
        </w:rPr>
        <w:t xml:space="preserve"> concernés</w:t>
      </w:r>
      <w:r w:rsidRPr="00430684">
        <w:rPr>
          <w:color w:val="000000"/>
          <w:lang w:val="fr-CH"/>
        </w:rPr>
        <w:t xml:space="preserve">, </w:t>
      </w:r>
      <w:r w:rsidR="0077612F">
        <w:rPr>
          <w:color w:val="000000"/>
          <w:lang w:val="fr-CH"/>
        </w:rPr>
        <w:t>à savoir :</w:t>
      </w:r>
      <w:r w:rsidRPr="00430684">
        <w:rPr>
          <w:color w:val="000000"/>
          <w:lang w:val="fr-CH"/>
        </w:rPr>
        <w:t xml:space="preserve"> les bureaux </w:t>
      </w:r>
      <w:r w:rsidRPr="00B10159">
        <w:rPr>
          <w:color w:val="000000"/>
          <w:lang w:val="fr-CH"/>
        </w:rPr>
        <w:t>régionaux</w:t>
      </w:r>
      <w:r w:rsidRPr="00430684">
        <w:rPr>
          <w:color w:val="000000"/>
          <w:lang w:val="fr-CH"/>
        </w:rPr>
        <w:t xml:space="preserve">, le </w:t>
      </w:r>
      <w:r w:rsidRPr="00EE463C">
        <w:rPr>
          <w:lang w:val="fr-CH"/>
        </w:rPr>
        <w:t>Département pour les pays en transition et les pays développés</w:t>
      </w:r>
      <w:r w:rsidRPr="00430684">
        <w:rPr>
          <w:color w:val="000000"/>
          <w:lang w:val="fr-CH"/>
        </w:rPr>
        <w:t xml:space="preserve">, les bureaux </w:t>
      </w:r>
      <w:r w:rsidR="008361FC">
        <w:rPr>
          <w:color w:val="000000"/>
          <w:lang w:val="fr-CH"/>
        </w:rPr>
        <w:t>extérieurs</w:t>
      </w:r>
      <w:r w:rsidRPr="00430684">
        <w:rPr>
          <w:color w:val="000000"/>
          <w:lang w:val="fr-CH"/>
        </w:rPr>
        <w:t xml:space="preserve"> de l</w:t>
      </w:r>
      <w:r w:rsidR="0077612F">
        <w:rPr>
          <w:color w:val="000000"/>
          <w:lang w:val="fr-CH"/>
        </w:rPr>
        <w:t>’</w:t>
      </w:r>
      <w:r w:rsidRPr="00430684">
        <w:rPr>
          <w:color w:val="000000"/>
          <w:lang w:val="fr-CH"/>
        </w:rPr>
        <w:t xml:space="preserve">OMPI, la </w:t>
      </w:r>
      <w:r w:rsidRPr="00EE463C">
        <w:rPr>
          <w:lang w:val="fr-CH"/>
        </w:rPr>
        <w:t>Division des publications</w:t>
      </w:r>
      <w:r w:rsidRPr="00430684">
        <w:rPr>
          <w:color w:val="000000"/>
          <w:lang w:val="fr-CH"/>
        </w:rPr>
        <w:t xml:space="preserve">, </w:t>
      </w:r>
      <w:r w:rsidRPr="00EE463C">
        <w:rPr>
          <w:lang w:val="fr-CH"/>
        </w:rPr>
        <w:t>le Département des technologies de l</w:t>
      </w:r>
      <w:r w:rsidR="0077612F" w:rsidRPr="00EE463C">
        <w:rPr>
          <w:lang w:val="fr-CH"/>
        </w:rPr>
        <w:t>’</w:t>
      </w:r>
      <w:r w:rsidRPr="00EE463C">
        <w:rPr>
          <w:lang w:val="fr-CH"/>
        </w:rPr>
        <w:t>information et de la communication et la Division de l</w:t>
      </w:r>
      <w:r w:rsidR="0077612F" w:rsidRPr="00EE463C">
        <w:rPr>
          <w:lang w:val="fr-CH"/>
        </w:rPr>
        <w:t>’</w:t>
      </w:r>
      <w:r w:rsidRPr="00EE463C">
        <w:rPr>
          <w:lang w:val="fr-CH"/>
        </w:rPr>
        <w:t>information et des médias</w:t>
      </w:r>
      <w:r w:rsidRPr="00430684">
        <w:rPr>
          <w:color w:val="000000"/>
          <w:lang w:val="fr-CH"/>
        </w:rPr>
        <w:t>.</w:t>
      </w:r>
    </w:p>
    <w:p w:rsidR="0077612F" w:rsidRDefault="00430684" w:rsidP="007A0B3A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430684">
        <w:rPr>
          <w:color w:val="000000"/>
          <w:lang w:val="fr-CH"/>
        </w:rPr>
        <w:t>En juillet</w:t>
      </w:r>
      <w:r w:rsidR="002D0148">
        <w:rPr>
          <w:color w:val="000000"/>
          <w:lang w:val="fr-CH"/>
        </w:rPr>
        <w:t> </w:t>
      </w:r>
      <w:r w:rsidRPr="00430684">
        <w:rPr>
          <w:color w:val="000000"/>
          <w:lang w:val="fr-CH"/>
        </w:rPr>
        <w:t>2019, le Secrétariat a créé un</w:t>
      </w:r>
      <w:r w:rsidR="00160BC4">
        <w:rPr>
          <w:color w:val="000000"/>
          <w:lang w:val="fr-CH"/>
        </w:rPr>
        <w:t>e</w:t>
      </w:r>
      <w:r w:rsidRPr="00430684">
        <w:rPr>
          <w:color w:val="000000"/>
          <w:lang w:val="fr-CH"/>
        </w:rPr>
        <w:t xml:space="preserve"> </w:t>
      </w:r>
      <w:hyperlink r:id="rId11" w:history="1">
        <w:r w:rsidR="0077612F" w:rsidRPr="005149AA">
          <w:rPr>
            <w:rStyle w:val="Hyperlink"/>
            <w:lang w:val="fr-CH"/>
          </w:rPr>
          <w:t>page W</w:t>
        </w:r>
        <w:r w:rsidRPr="005149AA">
          <w:rPr>
            <w:rStyle w:val="Hyperlink"/>
            <w:lang w:val="fr-CH"/>
          </w:rPr>
          <w:t>eb consacrée aux webinaires</w:t>
        </w:r>
      </w:hyperlink>
      <w:r w:rsidR="00F32CC1" w:rsidRPr="00F32CC1">
        <w:rPr>
          <w:rStyle w:val="Hyperlink"/>
          <w:u w:val="none"/>
          <w:lang w:val="fr-CH"/>
        </w:rPr>
        <w:t xml:space="preserve"> </w:t>
      </w:r>
      <w:r w:rsidR="000B7F17">
        <w:rPr>
          <w:color w:val="000000"/>
          <w:lang w:val="fr-CH"/>
        </w:rPr>
        <w:t>contenant un lien vers</w:t>
      </w:r>
      <w:r w:rsidRPr="00430684">
        <w:rPr>
          <w:color w:val="000000"/>
          <w:lang w:val="fr-CH"/>
        </w:rPr>
        <w:t xml:space="preserve"> la </w:t>
      </w:r>
      <w:hyperlink r:id="rId12" w:history="1">
        <w:r w:rsidR="0077612F" w:rsidRPr="00430684">
          <w:rPr>
            <w:rStyle w:val="Hyperlink"/>
            <w:lang w:val="fr-CH"/>
          </w:rPr>
          <w:t>page</w:t>
        </w:r>
        <w:r w:rsidR="0077612F">
          <w:rPr>
            <w:rStyle w:val="Hyperlink"/>
            <w:lang w:val="fr-CH"/>
          </w:rPr>
          <w:t> </w:t>
        </w:r>
        <w:r w:rsidR="0077612F" w:rsidRPr="00430684">
          <w:rPr>
            <w:rStyle w:val="Hyperlink"/>
            <w:lang w:val="fr-CH"/>
          </w:rPr>
          <w:t>W</w:t>
        </w:r>
        <w:r w:rsidRPr="00430684">
          <w:rPr>
            <w:rStyle w:val="Hyperlink"/>
            <w:lang w:val="fr-CH"/>
          </w:rPr>
          <w:t>eb</w:t>
        </w:r>
      </w:hyperlink>
      <w:r w:rsidRPr="00430684">
        <w:rPr>
          <w:color w:val="000000"/>
          <w:lang w:val="fr-CH"/>
        </w:rPr>
        <w:t xml:space="preserve"> principale du </w:t>
      </w:r>
      <w:r w:rsidRPr="00EE463C">
        <w:rPr>
          <w:lang w:val="fr-CH"/>
        </w:rPr>
        <w:t>Plan d</w:t>
      </w:r>
      <w:r w:rsidR="0077612F" w:rsidRPr="00EE463C">
        <w:rPr>
          <w:lang w:val="fr-CH"/>
        </w:rPr>
        <w:t>’</w:t>
      </w:r>
      <w:r w:rsidRPr="00EE463C">
        <w:rPr>
          <w:lang w:val="fr-CH"/>
        </w:rPr>
        <w:t>action pour le développeme</w:t>
      </w:r>
      <w:r w:rsidR="000342B2" w:rsidRPr="00EE463C">
        <w:rPr>
          <w:lang w:val="fr-CH"/>
        </w:rPr>
        <w:t xml:space="preserve">nt.  </w:t>
      </w:r>
      <w:r w:rsidR="000342B2" w:rsidRPr="007A0B3A">
        <w:rPr>
          <w:color w:val="000000"/>
          <w:lang w:val="fr-CH"/>
        </w:rPr>
        <w:t>De</w:t>
      </w:r>
      <w:r w:rsidR="007A0B3A" w:rsidRPr="007A0B3A">
        <w:rPr>
          <w:color w:val="000000"/>
          <w:lang w:val="fr-CH"/>
        </w:rPr>
        <w:t>s informations sur les prochains webinaires, les modalités d</w:t>
      </w:r>
      <w:r w:rsidR="0077612F">
        <w:rPr>
          <w:color w:val="000000"/>
          <w:lang w:val="fr-CH"/>
        </w:rPr>
        <w:t>’</w:t>
      </w:r>
      <w:r w:rsidR="007A0B3A" w:rsidRPr="007A0B3A">
        <w:rPr>
          <w:color w:val="000000"/>
          <w:lang w:val="fr-CH"/>
        </w:rPr>
        <w:t>inscription et de participation et la configuration requise pour participer (en ligne ou par téléphone) ont été publiées.</w:t>
      </w:r>
    </w:p>
    <w:p w:rsidR="00FD6BD2" w:rsidRDefault="007A0B3A" w:rsidP="00131823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7A0B3A">
        <w:rPr>
          <w:color w:val="000000"/>
          <w:lang w:val="fr-CH"/>
        </w:rPr>
        <w:t>Les webinaires ont eu lieu en direct, à l</w:t>
      </w:r>
      <w:r w:rsidR="0077612F">
        <w:rPr>
          <w:color w:val="000000"/>
          <w:lang w:val="fr-CH"/>
        </w:rPr>
        <w:t>’</w:t>
      </w:r>
      <w:r w:rsidRPr="007A0B3A">
        <w:rPr>
          <w:color w:val="000000"/>
          <w:lang w:val="fr-CH"/>
        </w:rPr>
        <w:t xml:space="preserve">aide du logiciel </w:t>
      </w:r>
      <w:proofErr w:type="spellStart"/>
      <w:r w:rsidRPr="007A0B3A">
        <w:rPr>
          <w:i/>
          <w:color w:val="000000"/>
          <w:lang w:val="fr-CH"/>
        </w:rPr>
        <w:t>goto</w:t>
      </w:r>
      <w:r w:rsidR="00CB6E22">
        <w:rPr>
          <w:i/>
          <w:color w:val="000000"/>
          <w:lang w:val="fr-CH"/>
        </w:rPr>
        <w:t>Web</w:t>
      </w:r>
      <w:r w:rsidRPr="007A0B3A">
        <w:rPr>
          <w:i/>
          <w:color w:val="000000"/>
          <w:lang w:val="fr-CH"/>
        </w:rPr>
        <w:t>inar</w:t>
      </w:r>
      <w:proofErr w:type="spellEnd"/>
      <w:r w:rsidRPr="007A0B3A">
        <w:rPr>
          <w:color w:val="000000"/>
          <w:lang w:val="fr-CH"/>
        </w:rPr>
        <w:t>.</w:t>
      </w:r>
      <w:r w:rsidR="003D499E" w:rsidRPr="00B10159">
        <w:rPr>
          <w:color w:val="000000"/>
          <w:lang w:val="fr-CH"/>
        </w:rPr>
        <w:t xml:space="preserve"> </w:t>
      </w:r>
      <w:r w:rsidR="00BF5A49" w:rsidRPr="00B10159">
        <w:rPr>
          <w:color w:val="000000"/>
          <w:lang w:val="fr-CH"/>
        </w:rPr>
        <w:t xml:space="preserve"> </w:t>
      </w:r>
      <w:r w:rsidR="00131823" w:rsidRPr="00131823">
        <w:rPr>
          <w:rFonts w:ascii="Arial Unicode MS" w:eastAsia="Times New Roman" w:hAnsi="Arial Unicode MS" w:cs="Arial Unicode MS"/>
          <w:color w:val="000000"/>
          <w:szCs w:val="22"/>
          <w:lang w:val="fr-CH" w:eastAsia="fr-CH"/>
        </w:rPr>
        <w:t>Les enregistrements vidéo et les exposés en P</w:t>
      </w:r>
      <w:r w:rsidR="00131823" w:rsidRPr="00131823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owerPoint de tous les webinaires sont disponibles sur la </w:t>
      </w:r>
      <w:hyperlink r:id="rId13" w:history="1">
        <w:r w:rsidR="0077612F" w:rsidRPr="00131823">
          <w:rPr>
            <w:rStyle w:val="Hyperlink"/>
            <w:rFonts w:ascii="Arial Unicode MS" w:eastAsia="Times New Roman" w:hAnsi="Arial Unicode MS" w:cs="Arial Unicode MS"/>
            <w:szCs w:val="22"/>
            <w:lang w:val="fr-CH" w:eastAsia="fr-CH"/>
          </w:rPr>
          <w:t>page</w:t>
        </w:r>
        <w:r w:rsidR="0077612F">
          <w:rPr>
            <w:rStyle w:val="Hyperlink"/>
            <w:rFonts w:ascii="Arial Unicode MS" w:eastAsia="Times New Roman" w:hAnsi="Arial Unicode MS" w:cs="Arial Unicode MS"/>
            <w:szCs w:val="22"/>
            <w:lang w:val="fr-CH" w:eastAsia="fr-CH"/>
          </w:rPr>
          <w:t> </w:t>
        </w:r>
        <w:r w:rsidR="0077612F" w:rsidRPr="00131823">
          <w:rPr>
            <w:rStyle w:val="Hyperlink"/>
            <w:rFonts w:ascii="Arial Unicode MS" w:eastAsia="Times New Roman" w:hAnsi="Arial Unicode MS" w:cs="Arial Unicode MS"/>
            <w:szCs w:val="22"/>
            <w:lang w:val="fr-CH" w:eastAsia="fr-CH"/>
          </w:rPr>
          <w:t>W</w:t>
        </w:r>
        <w:r w:rsidR="00131823" w:rsidRPr="00131823">
          <w:rPr>
            <w:rStyle w:val="Hyperlink"/>
            <w:rFonts w:ascii="Arial Unicode MS" w:eastAsia="Times New Roman" w:hAnsi="Arial Unicode MS" w:cs="Arial Unicode MS"/>
            <w:szCs w:val="22"/>
            <w:lang w:val="fr-CH" w:eastAsia="fr-CH"/>
          </w:rPr>
          <w:t>eb</w:t>
        </w:r>
      </w:hyperlink>
      <w:r w:rsidR="00131823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 </w:t>
      </w:r>
      <w:r w:rsidR="000B7F17">
        <w:rPr>
          <w:rFonts w:ascii="Arial Unicode MS" w:eastAsia="Times New Roman" w:hAnsi="Arial Unicode MS" w:cs="Arial Unicode MS"/>
          <w:szCs w:val="22"/>
          <w:lang w:val="fr-CH" w:eastAsia="fr-CH"/>
        </w:rPr>
        <w:t xml:space="preserve">consacrée aux </w:t>
      </w:r>
      <w:r w:rsidR="00131823">
        <w:rPr>
          <w:rFonts w:ascii="Arial Unicode MS" w:eastAsia="Times New Roman" w:hAnsi="Arial Unicode MS" w:cs="Arial Unicode MS"/>
          <w:szCs w:val="22"/>
          <w:lang w:val="fr-CH" w:eastAsia="fr-CH"/>
        </w:rPr>
        <w:t>webinaires</w:t>
      </w:r>
      <w:r w:rsidR="00BF5A49" w:rsidRPr="00131823">
        <w:rPr>
          <w:lang w:val="fr-CH"/>
        </w:rPr>
        <w:t>.</w:t>
      </w:r>
    </w:p>
    <w:p w:rsidR="00FD6BD2" w:rsidRDefault="00727B52" w:rsidP="00727B52">
      <w:pPr>
        <w:pStyle w:val="Heading2"/>
        <w:spacing w:after="240"/>
        <w:ind w:left="360"/>
        <w:rPr>
          <w:lang w:val="fr-CH"/>
        </w:rPr>
      </w:pPr>
      <w:r w:rsidRPr="00727B52">
        <w:rPr>
          <w:color w:val="000000"/>
          <w:lang w:val="fr-CH"/>
        </w:rPr>
        <w:t>Sélection de thèmes et d</w:t>
      </w:r>
      <w:r w:rsidR="0077612F">
        <w:rPr>
          <w:color w:val="000000"/>
          <w:lang w:val="fr-CH"/>
        </w:rPr>
        <w:t>’</w:t>
      </w:r>
      <w:r w:rsidRPr="00727B52">
        <w:rPr>
          <w:color w:val="000000"/>
          <w:lang w:val="fr-CH"/>
        </w:rPr>
        <w:t>experts</w:t>
      </w:r>
    </w:p>
    <w:p w:rsidR="0027643D" w:rsidRPr="00727B52" w:rsidRDefault="00727B52" w:rsidP="00727B52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727B52">
        <w:rPr>
          <w:color w:val="000000"/>
          <w:lang w:val="fr-CH"/>
        </w:rPr>
        <w:t xml:space="preserve">Afin de répondre à la demande des États membres </w:t>
      </w:r>
      <w:r w:rsidR="000B7F17">
        <w:rPr>
          <w:color w:val="000000"/>
          <w:lang w:val="fr-CH"/>
        </w:rPr>
        <w:t>tendant à ce que</w:t>
      </w:r>
      <w:r w:rsidRPr="00727B52">
        <w:rPr>
          <w:color w:val="000000"/>
          <w:lang w:val="fr-CH"/>
        </w:rPr>
        <w:t xml:space="preserve"> toutes les langues et toutes les régions géographiques</w:t>
      </w:r>
      <w:r w:rsidR="000B7F17">
        <w:rPr>
          <w:color w:val="000000"/>
          <w:lang w:val="fr-CH"/>
        </w:rPr>
        <w:t xml:space="preserve"> soient prises en considération</w:t>
      </w:r>
      <w:r w:rsidRPr="00727B52">
        <w:rPr>
          <w:color w:val="000000"/>
          <w:lang w:val="fr-CH"/>
        </w:rPr>
        <w:t>, le Secrétariat a organisé huit</w:t>
      </w:r>
      <w:r w:rsidR="00CB6E22">
        <w:rPr>
          <w:color w:val="000000"/>
          <w:lang w:val="fr-CH"/>
        </w:rPr>
        <w:t> </w:t>
      </w:r>
      <w:r w:rsidRPr="00727B52">
        <w:rPr>
          <w:color w:val="000000"/>
          <w:lang w:val="fr-CH"/>
        </w:rPr>
        <w:t>webinaires comme indiqué ci</w:t>
      </w:r>
      <w:r w:rsidR="0077612F">
        <w:rPr>
          <w:color w:val="000000"/>
          <w:lang w:val="fr-CH"/>
        </w:rPr>
        <w:t>-</w:t>
      </w:r>
      <w:r w:rsidRPr="00727B52">
        <w:rPr>
          <w:color w:val="000000"/>
          <w:lang w:val="fr-CH"/>
        </w:rPr>
        <w:t>dessous</w:t>
      </w:r>
      <w:r w:rsidR="0077612F">
        <w:rPr>
          <w:color w:val="000000"/>
          <w:lang w:val="fr-CH"/>
        </w:rPr>
        <w:t> :</w:t>
      </w:r>
      <w:r w:rsidRPr="00727B52">
        <w:rPr>
          <w:color w:val="000000"/>
          <w:lang w:val="fr-CH"/>
        </w:rPr>
        <w:t xml:space="preserve"> un dans chacune des six</w:t>
      </w:r>
      <w:r w:rsidR="00CB6E22">
        <w:rPr>
          <w:color w:val="000000"/>
          <w:lang w:val="fr-CH"/>
        </w:rPr>
        <w:t> </w:t>
      </w:r>
      <w:r w:rsidRPr="00727B52">
        <w:rPr>
          <w:color w:val="000000"/>
          <w:lang w:val="fr-CH"/>
        </w:rPr>
        <w:t>langues officielles des Nations</w:t>
      </w:r>
      <w:r w:rsidR="00CB6E22">
        <w:rPr>
          <w:color w:val="000000"/>
          <w:lang w:val="fr-CH"/>
        </w:rPr>
        <w:t> Unies</w:t>
      </w:r>
      <w:r w:rsidRPr="00727B52">
        <w:rPr>
          <w:color w:val="000000"/>
          <w:lang w:val="fr-CH"/>
        </w:rPr>
        <w:t>, plus deux</w:t>
      </w:r>
      <w:r w:rsidR="00CB6E22">
        <w:rPr>
          <w:color w:val="000000"/>
          <w:lang w:val="fr-CH"/>
        </w:rPr>
        <w:t> </w:t>
      </w:r>
      <w:r w:rsidRPr="00727B52">
        <w:rPr>
          <w:color w:val="000000"/>
          <w:lang w:val="fr-CH"/>
        </w:rPr>
        <w:t xml:space="preserve">autres en anglais </w:t>
      </w:r>
      <w:r w:rsidR="000B7F17">
        <w:rPr>
          <w:color w:val="000000"/>
          <w:lang w:val="fr-CH"/>
        </w:rPr>
        <w:t>destinés à</w:t>
      </w:r>
      <w:r w:rsidR="000B7F17" w:rsidRPr="00727B52">
        <w:rPr>
          <w:color w:val="000000"/>
          <w:lang w:val="fr-CH"/>
        </w:rPr>
        <w:t xml:space="preserve"> </w:t>
      </w:r>
      <w:r w:rsidRPr="00727B52">
        <w:rPr>
          <w:color w:val="000000"/>
          <w:lang w:val="fr-CH"/>
        </w:rPr>
        <w:t>couvrir également les pays anglophones d</w:t>
      </w:r>
      <w:r w:rsidR="0077612F">
        <w:rPr>
          <w:color w:val="000000"/>
          <w:lang w:val="fr-CH"/>
        </w:rPr>
        <w:t>’</w:t>
      </w:r>
      <w:r w:rsidRPr="00727B52">
        <w:rPr>
          <w:color w:val="000000"/>
          <w:lang w:val="fr-CH"/>
        </w:rPr>
        <w:t>Afrique et des Caraïbes.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lection of Topics and Experts"/>
        <w:tblDescription w:val="The Secretariat held eight webinars, one in each of the six official UN languages, plus two additional ones in English to cover Anglophone African and Caribbean countries"/>
      </w:tblPr>
      <w:tblGrid>
        <w:gridCol w:w="569"/>
        <w:gridCol w:w="5348"/>
        <w:gridCol w:w="2112"/>
        <w:gridCol w:w="1319"/>
      </w:tblGrid>
      <w:tr w:rsidR="0027643D" w:rsidRPr="0092684F" w:rsidTr="00EB21D6">
        <w:trPr>
          <w:trHeight w:val="288"/>
          <w:tblHeader/>
        </w:trPr>
        <w:tc>
          <w:tcPr>
            <w:tcW w:w="569" w:type="dxa"/>
            <w:shd w:val="pct12" w:color="auto" w:fill="auto"/>
            <w:vAlign w:val="center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727B52">
              <w:rPr>
                <w:b/>
                <w:color w:val="000000"/>
                <w:lang w:val="fr-CH"/>
              </w:rPr>
              <w:t>N°</w:t>
            </w:r>
          </w:p>
        </w:tc>
        <w:tc>
          <w:tcPr>
            <w:tcW w:w="5348" w:type="dxa"/>
            <w:shd w:val="pct12" w:color="auto" w:fill="auto"/>
            <w:vAlign w:val="center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727B52">
              <w:rPr>
                <w:b/>
                <w:color w:val="000000"/>
                <w:lang w:val="fr-CH"/>
              </w:rPr>
              <w:t>Titre</w:t>
            </w:r>
          </w:p>
        </w:tc>
        <w:tc>
          <w:tcPr>
            <w:tcW w:w="2112" w:type="dxa"/>
            <w:shd w:val="pct12" w:color="auto" w:fill="auto"/>
            <w:vAlign w:val="center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92684F">
              <w:rPr>
                <w:b/>
                <w:lang w:val="fr-CH"/>
              </w:rPr>
              <w:t>Date</w:t>
            </w:r>
          </w:p>
        </w:tc>
        <w:tc>
          <w:tcPr>
            <w:tcW w:w="1319" w:type="dxa"/>
            <w:shd w:val="pct12" w:color="auto" w:fill="auto"/>
            <w:vAlign w:val="center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EE463C">
              <w:rPr>
                <w:b/>
                <w:lang w:val="fr-CH"/>
              </w:rPr>
              <w:t>Langue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I</w:t>
            </w:r>
          </w:p>
        </w:tc>
        <w:tc>
          <w:tcPr>
            <w:tcW w:w="5348" w:type="dxa"/>
          </w:tcPr>
          <w:p w:rsidR="0027643D" w:rsidRPr="00727B52" w:rsidRDefault="00727B52" w:rsidP="005149AA">
            <w:pPr>
              <w:spacing w:after="120"/>
              <w:jc w:val="both"/>
              <w:rPr>
                <w:lang w:val="fr-CH"/>
              </w:rPr>
            </w:pPr>
            <w:r w:rsidRPr="00727B52">
              <w:rPr>
                <w:color w:val="000000"/>
                <w:lang w:val="fr-CH"/>
              </w:rPr>
              <w:t>Comment tirer parti des nouveaux outils et des nouvelles méthodes pour fournir une assistance technique efficace dans l</w:t>
            </w:r>
            <w:r w:rsidR="005149AA">
              <w:rPr>
                <w:color w:val="000000"/>
                <w:lang w:val="fr-CH"/>
              </w:rPr>
              <w:t xml:space="preserve">es pays </w:t>
            </w:r>
            <w:r w:rsidRPr="00727B52">
              <w:rPr>
                <w:color w:val="000000"/>
                <w:lang w:val="fr-CH"/>
              </w:rPr>
              <w:t>arabe</w:t>
            </w:r>
            <w:r w:rsidR="005149AA">
              <w:rPr>
                <w:color w:val="000000"/>
                <w:lang w:val="fr-CH"/>
              </w:rPr>
              <w:t>s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18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septembre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2019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Arabe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II</w:t>
            </w:r>
          </w:p>
        </w:tc>
        <w:tc>
          <w:tcPr>
            <w:tcW w:w="5348" w:type="dxa"/>
          </w:tcPr>
          <w:p w:rsidR="0027643D" w:rsidRPr="00727B52" w:rsidRDefault="00727B52" w:rsidP="00727B52">
            <w:pPr>
              <w:pStyle w:val="ListParagraph"/>
              <w:spacing w:after="120"/>
              <w:ind w:left="0"/>
              <w:contextualSpacing w:val="0"/>
              <w:rPr>
                <w:lang w:val="fr-CH"/>
              </w:rPr>
            </w:pPr>
            <w:r w:rsidRPr="00727B52">
              <w:rPr>
                <w:color w:val="000000"/>
                <w:lang w:val="fr-CH"/>
              </w:rPr>
              <w:t>Assistance technique</w:t>
            </w:r>
            <w:r w:rsidR="0077612F">
              <w:rPr>
                <w:color w:val="000000"/>
                <w:lang w:val="fr-CH"/>
              </w:rPr>
              <w:t> :</w:t>
            </w:r>
            <w:r w:rsidRPr="00727B52">
              <w:rPr>
                <w:color w:val="000000"/>
                <w:lang w:val="fr-CH"/>
              </w:rPr>
              <w:t xml:space="preserve"> possibilités de perfectionnement professionnel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25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octobre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2019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Russe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III</w:t>
            </w:r>
          </w:p>
        </w:tc>
        <w:tc>
          <w:tcPr>
            <w:tcW w:w="5348" w:type="dxa"/>
          </w:tcPr>
          <w:p w:rsidR="0027643D" w:rsidRPr="00727B52" w:rsidRDefault="00727B52" w:rsidP="005149AA">
            <w:pPr>
              <w:pStyle w:val="ListParagraph"/>
              <w:spacing w:after="120"/>
              <w:ind w:left="0"/>
              <w:contextualSpacing w:val="0"/>
              <w:rPr>
                <w:lang w:val="fr-CH"/>
              </w:rPr>
            </w:pPr>
            <w:r w:rsidRPr="00727B52">
              <w:rPr>
                <w:color w:val="000000"/>
                <w:lang w:val="fr-CH"/>
              </w:rPr>
              <w:t>Propriété intellectuelle, exportations et investissement étranger</w:t>
            </w:r>
            <w:r w:rsidR="0077612F">
              <w:rPr>
                <w:color w:val="000000"/>
                <w:lang w:val="fr-CH"/>
              </w:rPr>
              <w:t> :</w:t>
            </w:r>
            <w:r w:rsidRPr="00727B52">
              <w:rPr>
                <w:color w:val="000000"/>
                <w:lang w:val="fr-CH"/>
              </w:rPr>
              <w:t xml:space="preserve"> comment l</w:t>
            </w:r>
            <w:r w:rsidR="0077612F">
              <w:rPr>
                <w:color w:val="000000"/>
                <w:lang w:val="fr-CH"/>
              </w:rPr>
              <w:t>’</w:t>
            </w:r>
            <w:r w:rsidRPr="00EE463C">
              <w:rPr>
                <w:lang w:val="fr-CH"/>
              </w:rPr>
              <w:t>assistance technique</w:t>
            </w:r>
            <w:r w:rsidRPr="00727B52">
              <w:rPr>
                <w:color w:val="000000"/>
                <w:lang w:val="fr-CH"/>
              </w:rPr>
              <w:t xml:space="preserve"> </w:t>
            </w:r>
            <w:r w:rsidR="005149AA">
              <w:rPr>
                <w:color w:val="000000"/>
                <w:lang w:val="fr-CH"/>
              </w:rPr>
              <w:t>fournie par</w:t>
            </w:r>
            <w:r w:rsidRPr="00727B52">
              <w:rPr>
                <w:color w:val="000000"/>
                <w:lang w:val="fr-CH"/>
              </w:rPr>
              <w:t xml:space="preserve"> l</w:t>
            </w:r>
            <w:r w:rsidR="0077612F">
              <w:rPr>
                <w:color w:val="000000"/>
                <w:lang w:val="fr-CH"/>
              </w:rPr>
              <w:t>’</w:t>
            </w:r>
            <w:r w:rsidRPr="00727B52">
              <w:rPr>
                <w:color w:val="000000"/>
                <w:lang w:val="fr-CH"/>
              </w:rPr>
              <w:t>OMPI peut</w:t>
            </w:r>
            <w:r w:rsidR="0077612F">
              <w:rPr>
                <w:color w:val="000000"/>
                <w:lang w:val="fr-CH"/>
              </w:rPr>
              <w:t>-</w:t>
            </w:r>
            <w:r w:rsidRPr="00727B52">
              <w:rPr>
                <w:color w:val="000000"/>
                <w:lang w:val="fr-CH"/>
              </w:rPr>
              <w:t>elle faciliter les synergies?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14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novembre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 xml:space="preserve">2019 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Espagnol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IV</w:t>
            </w:r>
          </w:p>
        </w:tc>
        <w:tc>
          <w:tcPr>
            <w:tcW w:w="5348" w:type="dxa"/>
          </w:tcPr>
          <w:p w:rsidR="0027643D" w:rsidRPr="00727B52" w:rsidRDefault="00727B52" w:rsidP="00727B52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fr-CH"/>
              </w:rPr>
            </w:pPr>
            <w:r w:rsidRPr="00EE463C">
              <w:rPr>
                <w:lang w:val="fr-CH"/>
              </w:rPr>
              <w:t>Propriété intellectuelle, exportations et investissement étranger</w:t>
            </w:r>
            <w:r w:rsidR="0077612F" w:rsidRPr="00EE463C">
              <w:rPr>
                <w:lang w:val="fr-CH"/>
              </w:rPr>
              <w:t> :</w:t>
            </w:r>
            <w:r w:rsidRPr="00EE463C">
              <w:rPr>
                <w:lang w:val="fr-CH"/>
              </w:rPr>
              <w:t xml:space="preserve"> comment l</w:t>
            </w:r>
            <w:r w:rsidR="0077612F" w:rsidRPr="00EE463C">
              <w:rPr>
                <w:lang w:val="fr-CH"/>
              </w:rPr>
              <w:t>’</w:t>
            </w:r>
            <w:r w:rsidRPr="00EE463C">
              <w:rPr>
                <w:lang w:val="fr-CH"/>
              </w:rPr>
              <w:t xml:space="preserve">assistance technique </w:t>
            </w:r>
            <w:r w:rsidR="005149AA">
              <w:rPr>
                <w:color w:val="000000"/>
                <w:lang w:val="fr-CH"/>
              </w:rPr>
              <w:t>fournie par</w:t>
            </w:r>
            <w:r w:rsidR="005149AA" w:rsidRPr="00EE463C">
              <w:rPr>
                <w:lang w:val="fr-CH"/>
              </w:rPr>
              <w:t xml:space="preserve"> </w:t>
            </w:r>
            <w:r w:rsidRPr="00EE463C">
              <w:rPr>
                <w:lang w:val="fr-CH"/>
              </w:rPr>
              <w:t>l</w:t>
            </w:r>
            <w:r w:rsidR="0077612F" w:rsidRPr="00EE463C">
              <w:rPr>
                <w:lang w:val="fr-CH"/>
              </w:rPr>
              <w:t>’</w:t>
            </w:r>
            <w:r w:rsidRPr="00EE463C">
              <w:rPr>
                <w:lang w:val="fr-CH"/>
              </w:rPr>
              <w:t>OMPI peut</w:t>
            </w:r>
            <w:r w:rsidR="0077612F" w:rsidRPr="00EE463C">
              <w:rPr>
                <w:lang w:val="fr-CH"/>
              </w:rPr>
              <w:t>-</w:t>
            </w:r>
            <w:r w:rsidRPr="00EE463C">
              <w:rPr>
                <w:lang w:val="fr-CH"/>
              </w:rPr>
              <w:t>elle faciliter les synergies?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28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novembre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 xml:space="preserve">2019 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Anglais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V</w:t>
            </w:r>
          </w:p>
        </w:tc>
        <w:tc>
          <w:tcPr>
            <w:tcW w:w="5348" w:type="dxa"/>
          </w:tcPr>
          <w:p w:rsidR="0027643D" w:rsidRPr="00727B52" w:rsidRDefault="00727B52" w:rsidP="005149AA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fr-CH"/>
              </w:rPr>
            </w:pPr>
            <w:r w:rsidRPr="00727B52">
              <w:rPr>
                <w:color w:val="000000"/>
                <w:lang w:val="fr-CH"/>
              </w:rPr>
              <w:t>Le rôle de l</w:t>
            </w:r>
            <w:r w:rsidR="0077612F">
              <w:rPr>
                <w:color w:val="000000"/>
                <w:lang w:val="fr-CH"/>
              </w:rPr>
              <w:t>’</w:t>
            </w:r>
            <w:r w:rsidRPr="00727B52">
              <w:rPr>
                <w:color w:val="000000"/>
                <w:lang w:val="fr-CH"/>
              </w:rPr>
              <w:t xml:space="preserve">assistance technique </w:t>
            </w:r>
            <w:r w:rsidR="005149AA">
              <w:rPr>
                <w:color w:val="000000"/>
                <w:lang w:val="fr-CH"/>
              </w:rPr>
              <w:t>dans le domaine de la</w:t>
            </w:r>
            <w:r w:rsidRPr="00727B52">
              <w:rPr>
                <w:color w:val="000000"/>
                <w:lang w:val="fr-CH"/>
              </w:rPr>
              <w:t xml:space="preserve"> propriété intellectuelle et d</w:t>
            </w:r>
            <w:r w:rsidR="005149AA">
              <w:rPr>
                <w:color w:val="000000"/>
                <w:lang w:val="fr-CH"/>
              </w:rPr>
              <w:t>e l</w:t>
            </w:r>
            <w:r w:rsidR="0077612F">
              <w:rPr>
                <w:color w:val="000000"/>
                <w:lang w:val="fr-CH"/>
              </w:rPr>
              <w:t>’</w:t>
            </w:r>
            <w:r w:rsidRPr="00727B52">
              <w:rPr>
                <w:color w:val="000000"/>
                <w:lang w:val="fr-CH"/>
              </w:rPr>
              <w:t xml:space="preserve">innovation pour la compétitivité des entreprises en Afrique 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10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décembre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2019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Anglais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lastRenderedPageBreak/>
              <w:t>VI</w:t>
            </w:r>
          </w:p>
        </w:tc>
        <w:tc>
          <w:tcPr>
            <w:tcW w:w="5348" w:type="dxa"/>
          </w:tcPr>
          <w:p w:rsidR="0027643D" w:rsidRPr="00727B52" w:rsidRDefault="00727B52" w:rsidP="005149AA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fr-CH"/>
              </w:rPr>
            </w:pPr>
            <w:r w:rsidRPr="00727B52">
              <w:rPr>
                <w:color w:val="000000"/>
                <w:lang w:val="fr-CH"/>
              </w:rPr>
              <w:t>Utilisation stratégique de l</w:t>
            </w:r>
            <w:r w:rsidR="0077612F">
              <w:rPr>
                <w:color w:val="000000"/>
                <w:lang w:val="fr-CH"/>
              </w:rPr>
              <w:t>’</w:t>
            </w:r>
            <w:r w:rsidRPr="00727B52">
              <w:rPr>
                <w:color w:val="000000"/>
                <w:lang w:val="fr-CH"/>
              </w:rPr>
              <w:t>assistance technique fournie par l</w:t>
            </w:r>
            <w:r w:rsidR="0077612F">
              <w:rPr>
                <w:color w:val="000000"/>
                <w:lang w:val="fr-CH"/>
              </w:rPr>
              <w:t>’</w:t>
            </w:r>
            <w:r w:rsidRPr="00727B52">
              <w:rPr>
                <w:color w:val="000000"/>
                <w:lang w:val="fr-CH"/>
              </w:rPr>
              <w:t>OMPI pour accélérer le</w:t>
            </w:r>
            <w:r w:rsidR="005149AA">
              <w:rPr>
                <w:color w:val="000000"/>
                <w:lang w:val="fr-CH"/>
              </w:rPr>
              <w:t>s progrès</w:t>
            </w:r>
            <w:r w:rsidRPr="00727B52">
              <w:rPr>
                <w:color w:val="000000"/>
                <w:lang w:val="fr-CH"/>
              </w:rPr>
              <w:t xml:space="preserve"> fondé</w:t>
            </w:r>
            <w:r w:rsidR="005149AA">
              <w:rPr>
                <w:color w:val="000000"/>
                <w:lang w:val="fr-CH"/>
              </w:rPr>
              <w:t>s</w:t>
            </w:r>
            <w:r w:rsidRPr="00727B52">
              <w:rPr>
                <w:color w:val="000000"/>
                <w:lang w:val="fr-CH"/>
              </w:rPr>
              <w:t xml:space="preserve"> sur l</w:t>
            </w:r>
            <w:r w:rsidR="0077612F">
              <w:rPr>
                <w:color w:val="000000"/>
                <w:lang w:val="fr-CH"/>
              </w:rPr>
              <w:t>’</w:t>
            </w:r>
            <w:r w:rsidRPr="00727B52">
              <w:rPr>
                <w:color w:val="000000"/>
                <w:lang w:val="fr-CH"/>
              </w:rPr>
              <w:t xml:space="preserve">innovation 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11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décembre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2019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Anglais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VII</w:t>
            </w:r>
          </w:p>
        </w:tc>
        <w:tc>
          <w:tcPr>
            <w:tcW w:w="5348" w:type="dxa"/>
          </w:tcPr>
          <w:p w:rsidR="0027643D" w:rsidRPr="00727B52" w:rsidRDefault="00727B52" w:rsidP="005149AA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fr-CH"/>
              </w:rPr>
            </w:pPr>
            <w:r w:rsidRPr="00EE463C">
              <w:rPr>
                <w:lang w:val="fr-CH"/>
              </w:rPr>
              <w:t>Le rôle de l</w:t>
            </w:r>
            <w:r w:rsidR="0077612F" w:rsidRPr="00EE463C">
              <w:rPr>
                <w:lang w:val="fr-CH"/>
              </w:rPr>
              <w:t>’</w:t>
            </w:r>
            <w:r w:rsidRPr="00EE463C">
              <w:rPr>
                <w:lang w:val="fr-CH"/>
              </w:rPr>
              <w:t xml:space="preserve">assistance technique </w:t>
            </w:r>
            <w:r w:rsidR="005149AA" w:rsidRPr="00EE463C">
              <w:rPr>
                <w:lang w:val="fr-CH"/>
              </w:rPr>
              <w:t>dans le domaine de la</w:t>
            </w:r>
            <w:r w:rsidRPr="00EE463C">
              <w:rPr>
                <w:lang w:val="fr-CH"/>
              </w:rPr>
              <w:t xml:space="preserve"> propriété intellectuelle et d</w:t>
            </w:r>
            <w:r w:rsidR="005149AA" w:rsidRPr="00EE463C">
              <w:rPr>
                <w:lang w:val="fr-CH"/>
              </w:rPr>
              <w:t>e l</w:t>
            </w:r>
            <w:r w:rsidR="0077612F" w:rsidRPr="00EE463C">
              <w:rPr>
                <w:lang w:val="fr-CH"/>
              </w:rPr>
              <w:t>’</w:t>
            </w:r>
            <w:r w:rsidRPr="00EE463C">
              <w:rPr>
                <w:lang w:val="fr-CH"/>
              </w:rPr>
              <w:t>innovation pour la compétitivité des entreprises en Afrique</w:t>
            </w:r>
          </w:p>
        </w:tc>
        <w:tc>
          <w:tcPr>
            <w:tcW w:w="2112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16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décembre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2019</w:t>
            </w:r>
          </w:p>
        </w:tc>
        <w:tc>
          <w:tcPr>
            <w:tcW w:w="1319" w:type="dxa"/>
          </w:tcPr>
          <w:p w:rsidR="0027643D" w:rsidRPr="0092684F" w:rsidRDefault="00727B52" w:rsidP="00727B52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Français</w:t>
            </w:r>
          </w:p>
        </w:tc>
      </w:tr>
      <w:tr w:rsidR="0027643D" w:rsidRPr="0092684F" w:rsidTr="00EB21D6">
        <w:trPr>
          <w:trHeight w:val="288"/>
        </w:trPr>
        <w:tc>
          <w:tcPr>
            <w:tcW w:w="569" w:type="dxa"/>
          </w:tcPr>
          <w:p w:rsidR="0027643D" w:rsidRPr="0092684F" w:rsidRDefault="0027643D" w:rsidP="000F2FFA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92684F">
              <w:rPr>
                <w:lang w:val="fr-CH"/>
              </w:rPr>
              <w:t>VIII</w:t>
            </w:r>
          </w:p>
        </w:tc>
        <w:tc>
          <w:tcPr>
            <w:tcW w:w="5348" w:type="dxa"/>
          </w:tcPr>
          <w:p w:rsidR="0027643D" w:rsidRPr="006D3E7D" w:rsidRDefault="006D3E7D" w:rsidP="00782E57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fr-CH"/>
              </w:rPr>
            </w:pPr>
            <w:r w:rsidRPr="006D3E7D">
              <w:rPr>
                <w:color w:val="000000"/>
                <w:lang w:val="fr-CH"/>
              </w:rPr>
              <w:t>Quel est le rôle joué par l</w:t>
            </w:r>
            <w:r w:rsidR="0077612F">
              <w:rPr>
                <w:color w:val="000000"/>
                <w:lang w:val="fr-CH"/>
              </w:rPr>
              <w:t>’</w:t>
            </w:r>
            <w:r w:rsidRPr="00EE463C">
              <w:rPr>
                <w:lang w:val="fr-CH"/>
              </w:rPr>
              <w:t>assistance technique</w:t>
            </w:r>
            <w:r w:rsidRPr="006D3E7D">
              <w:rPr>
                <w:color w:val="000000"/>
                <w:lang w:val="fr-CH"/>
              </w:rPr>
              <w:t xml:space="preserve"> dans la formulation et la mise en </w:t>
            </w:r>
            <w:r w:rsidR="00782E57">
              <w:rPr>
                <w:color w:val="000000"/>
                <w:lang w:val="fr-CH"/>
              </w:rPr>
              <w:t xml:space="preserve">œuvre </w:t>
            </w:r>
            <w:r w:rsidRPr="006D3E7D">
              <w:rPr>
                <w:color w:val="000000"/>
                <w:lang w:val="fr-CH"/>
              </w:rPr>
              <w:t>d</w:t>
            </w:r>
            <w:r w:rsidR="0077612F">
              <w:rPr>
                <w:color w:val="000000"/>
                <w:lang w:val="fr-CH"/>
              </w:rPr>
              <w:t>’</w:t>
            </w:r>
            <w:r w:rsidRPr="006D3E7D">
              <w:rPr>
                <w:color w:val="000000"/>
                <w:lang w:val="fr-CH"/>
              </w:rPr>
              <w:t>une stratégie efficace en matière de propriété intellectuelle?</w:t>
            </w:r>
          </w:p>
        </w:tc>
        <w:tc>
          <w:tcPr>
            <w:tcW w:w="2112" w:type="dxa"/>
          </w:tcPr>
          <w:p w:rsidR="0027643D" w:rsidRPr="0092684F" w:rsidRDefault="006D3E7D" w:rsidP="006D3E7D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17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décembre</w:t>
            </w:r>
            <w:r w:rsidR="002D0148" w:rsidRPr="00EE463C">
              <w:rPr>
                <w:lang w:val="fr-CH"/>
              </w:rPr>
              <w:t> </w:t>
            </w:r>
            <w:r w:rsidRPr="00EE463C">
              <w:rPr>
                <w:lang w:val="fr-CH"/>
              </w:rPr>
              <w:t>2019</w:t>
            </w:r>
          </w:p>
        </w:tc>
        <w:tc>
          <w:tcPr>
            <w:tcW w:w="1319" w:type="dxa"/>
          </w:tcPr>
          <w:p w:rsidR="0027643D" w:rsidRPr="0092684F" w:rsidRDefault="006D3E7D" w:rsidP="006D3E7D">
            <w:pPr>
              <w:pStyle w:val="ListParagraph"/>
              <w:tabs>
                <w:tab w:val="left" w:pos="360"/>
              </w:tabs>
              <w:ind w:left="0"/>
              <w:rPr>
                <w:lang w:val="fr-CH"/>
              </w:rPr>
            </w:pPr>
            <w:r w:rsidRPr="00EE463C">
              <w:rPr>
                <w:lang w:val="fr-CH"/>
              </w:rPr>
              <w:t>Chinois</w:t>
            </w:r>
          </w:p>
        </w:tc>
      </w:tr>
    </w:tbl>
    <w:p w:rsidR="00EB21D6" w:rsidRPr="00EB21D6" w:rsidRDefault="00EB21D6" w:rsidP="00EB21D6">
      <w:pPr>
        <w:pStyle w:val="ListParagraph"/>
        <w:tabs>
          <w:tab w:val="left" w:pos="360"/>
        </w:tabs>
        <w:spacing w:after="120"/>
        <w:ind w:left="0"/>
        <w:contextualSpacing w:val="0"/>
        <w:rPr>
          <w:sz w:val="16"/>
          <w:szCs w:val="16"/>
          <w:lang w:val="fr-CH"/>
        </w:rPr>
      </w:pPr>
    </w:p>
    <w:p w:rsidR="00FD6BD2" w:rsidRDefault="00753C27" w:rsidP="00782E57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753C27">
        <w:rPr>
          <w:color w:val="000000"/>
          <w:lang w:val="fr-CH"/>
        </w:rPr>
        <w:t>Le</w:t>
      </w:r>
      <w:r w:rsidR="005149AA">
        <w:rPr>
          <w:color w:val="000000"/>
          <w:lang w:val="fr-CH"/>
        </w:rPr>
        <w:t>s</w:t>
      </w:r>
      <w:r w:rsidRPr="00753C27">
        <w:rPr>
          <w:color w:val="000000"/>
          <w:lang w:val="fr-CH"/>
        </w:rPr>
        <w:t xml:space="preserve"> thèmes et </w:t>
      </w:r>
      <w:r w:rsidR="005149AA">
        <w:rPr>
          <w:color w:val="000000"/>
          <w:lang w:val="fr-CH"/>
        </w:rPr>
        <w:t>l</w:t>
      </w:r>
      <w:r w:rsidRPr="00753C27">
        <w:rPr>
          <w:color w:val="000000"/>
          <w:lang w:val="fr-CH"/>
        </w:rPr>
        <w:t xml:space="preserve">es experts </w:t>
      </w:r>
      <w:r w:rsidR="005149AA">
        <w:rPr>
          <w:color w:val="000000"/>
          <w:lang w:val="fr-CH"/>
        </w:rPr>
        <w:t xml:space="preserve">ont été sélectionnés </w:t>
      </w:r>
      <w:r w:rsidRPr="00753C27">
        <w:rPr>
          <w:color w:val="000000"/>
          <w:lang w:val="fr-CH"/>
        </w:rPr>
        <w:t xml:space="preserve">en consultation avec les </w:t>
      </w:r>
      <w:r w:rsidRPr="00EE463C">
        <w:rPr>
          <w:lang w:val="fr-CH"/>
        </w:rPr>
        <w:t>États membres</w:t>
      </w:r>
      <w:r w:rsidRPr="00753C27">
        <w:rPr>
          <w:color w:val="000000"/>
          <w:lang w:val="fr-CH"/>
        </w:rPr>
        <w:t>, les bureaux régionaux de l</w:t>
      </w:r>
      <w:r w:rsidR="0077612F">
        <w:rPr>
          <w:color w:val="000000"/>
          <w:lang w:val="fr-CH"/>
        </w:rPr>
        <w:t>’</w:t>
      </w:r>
      <w:r w:rsidRPr="00753C27">
        <w:rPr>
          <w:color w:val="000000"/>
          <w:lang w:val="fr-CH"/>
        </w:rPr>
        <w:t xml:space="preserve">OMPI concernés, le </w:t>
      </w:r>
      <w:r w:rsidRPr="00EE463C">
        <w:rPr>
          <w:lang w:val="fr-CH"/>
        </w:rPr>
        <w:t xml:space="preserve">Département pour les pays en transition et les pays développés </w:t>
      </w:r>
      <w:r w:rsidR="00160BC4" w:rsidRPr="00EE463C">
        <w:rPr>
          <w:lang w:val="fr-CH"/>
        </w:rPr>
        <w:t>et</w:t>
      </w:r>
      <w:r w:rsidRPr="00EE463C">
        <w:rPr>
          <w:lang w:val="fr-CH"/>
        </w:rPr>
        <w:t xml:space="preserve"> les bureaux </w:t>
      </w:r>
      <w:r w:rsidRPr="00753C27">
        <w:rPr>
          <w:color w:val="000000"/>
          <w:lang w:val="fr-CH"/>
        </w:rPr>
        <w:t xml:space="preserve">extérieurs </w:t>
      </w:r>
      <w:r w:rsidRPr="00EE463C">
        <w:rPr>
          <w:lang w:val="fr-CH"/>
        </w:rPr>
        <w:t>de l</w:t>
      </w:r>
      <w:r w:rsidR="0077612F" w:rsidRPr="00EE463C">
        <w:rPr>
          <w:lang w:val="fr-CH"/>
        </w:rPr>
        <w:t>’</w:t>
      </w:r>
      <w:r w:rsidRPr="00EE463C">
        <w:rPr>
          <w:lang w:val="fr-CH"/>
        </w:rPr>
        <w:t>O</w:t>
      </w:r>
      <w:r w:rsidR="000342B2" w:rsidRPr="00EE463C">
        <w:rPr>
          <w:lang w:val="fr-CH"/>
        </w:rPr>
        <w:t xml:space="preserve">MPI.  </w:t>
      </w:r>
      <w:r w:rsidR="000342B2" w:rsidRPr="00782E57">
        <w:rPr>
          <w:color w:val="000000"/>
          <w:lang w:val="fr-CH"/>
        </w:rPr>
        <w:t>Lo</w:t>
      </w:r>
      <w:r w:rsidR="00782E57" w:rsidRPr="00782E57">
        <w:rPr>
          <w:color w:val="000000"/>
          <w:lang w:val="fr-CH"/>
        </w:rPr>
        <w:t>rs d</w:t>
      </w:r>
      <w:r w:rsidR="005149AA">
        <w:rPr>
          <w:color w:val="000000"/>
          <w:lang w:val="fr-CH"/>
        </w:rPr>
        <w:t>u choix des</w:t>
      </w:r>
      <w:r w:rsidR="00782E57" w:rsidRPr="00782E57">
        <w:rPr>
          <w:color w:val="000000"/>
          <w:lang w:val="fr-CH"/>
        </w:rPr>
        <w:t xml:space="preserve"> thèmes, une attention particulière </w:t>
      </w:r>
      <w:r w:rsidR="005149AA" w:rsidRPr="00782E57">
        <w:rPr>
          <w:color w:val="000000"/>
          <w:lang w:val="fr-CH"/>
        </w:rPr>
        <w:t>a été accordé</w:t>
      </w:r>
      <w:r w:rsidR="005149AA">
        <w:rPr>
          <w:color w:val="000000"/>
          <w:lang w:val="fr-CH"/>
        </w:rPr>
        <w:t>e</w:t>
      </w:r>
      <w:r w:rsidR="005149AA" w:rsidRPr="00782E57">
        <w:rPr>
          <w:color w:val="000000"/>
          <w:lang w:val="fr-CH"/>
        </w:rPr>
        <w:t xml:space="preserve"> </w:t>
      </w:r>
      <w:r w:rsidR="00782E57" w:rsidRPr="00782E57">
        <w:rPr>
          <w:color w:val="000000"/>
          <w:lang w:val="fr-CH"/>
        </w:rPr>
        <w:t xml:space="preserve">aux besoins et demandes spécifiques des différentes régions, </w:t>
      </w:r>
      <w:r w:rsidR="005149AA">
        <w:rPr>
          <w:color w:val="000000"/>
          <w:lang w:val="fr-CH"/>
        </w:rPr>
        <w:t xml:space="preserve">compte </w:t>
      </w:r>
      <w:r w:rsidR="0076401F">
        <w:rPr>
          <w:color w:val="000000"/>
          <w:lang w:val="fr-CH"/>
        </w:rPr>
        <w:t xml:space="preserve">tenu </w:t>
      </w:r>
      <w:r w:rsidR="005149AA">
        <w:rPr>
          <w:color w:val="000000"/>
          <w:lang w:val="fr-CH"/>
        </w:rPr>
        <w:t xml:space="preserve">du </w:t>
      </w:r>
      <w:r w:rsidR="00782E57" w:rsidRPr="00782E57">
        <w:rPr>
          <w:color w:val="000000"/>
          <w:lang w:val="fr-CH"/>
        </w:rPr>
        <w:t xml:space="preserve">fait que le but des webinaires </w:t>
      </w:r>
      <w:r w:rsidR="00160BC4">
        <w:rPr>
          <w:color w:val="000000"/>
          <w:lang w:val="fr-CH"/>
        </w:rPr>
        <w:t>pendant la</w:t>
      </w:r>
      <w:r w:rsidR="00782E57" w:rsidRPr="00782E57">
        <w:rPr>
          <w:color w:val="000000"/>
          <w:lang w:val="fr-CH"/>
        </w:rPr>
        <w:t xml:space="preserve"> phase pilote, conformément à la décision du comité, était de traiter des thèmes liés à l</w:t>
      </w:r>
      <w:r w:rsidR="0077612F">
        <w:rPr>
          <w:color w:val="000000"/>
          <w:lang w:val="fr-CH"/>
        </w:rPr>
        <w:t>’</w:t>
      </w:r>
      <w:r w:rsidR="00782E57" w:rsidRPr="00782E57">
        <w:rPr>
          <w:color w:val="000000"/>
          <w:lang w:val="fr-CH"/>
        </w:rPr>
        <w:t>assistance technique.</w:t>
      </w:r>
    </w:p>
    <w:p w:rsidR="0077612F" w:rsidRDefault="00283764" w:rsidP="002F78CE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283764">
        <w:rPr>
          <w:color w:val="000000"/>
          <w:lang w:val="fr-CH"/>
        </w:rPr>
        <w:t>Conformément au document</w:t>
      </w:r>
      <w:r w:rsidR="002D0148">
        <w:rPr>
          <w:color w:val="000000"/>
          <w:lang w:val="fr-CH"/>
        </w:rPr>
        <w:t> </w:t>
      </w:r>
      <w:proofErr w:type="spellStart"/>
      <w:r w:rsidR="002B7FF6">
        <w:fldChar w:fldCharType="begin"/>
      </w:r>
      <w:r w:rsidR="002B7FF6" w:rsidRPr="00EB21D6">
        <w:rPr>
          <w:lang w:val="fr-CH"/>
        </w:rPr>
        <w:instrText xml:space="preserve"> HYPERLINK "https://www.wipo.int/meetings/fr/doc_details.jsp?doc_id=431364" </w:instrText>
      </w:r>
      <w:r w:rsidR="002B7FF6">
        <w:fldChar w:fldCharType="separate"/>
      </w:r>
      <w:r w:rsidRPr="00283764">
        <w:rPr>
          <w:rStyle w:val="Hyperlink"/>
          <w:lang w:val="fr-CH"/>
        </w:rPr>
        <w:t>CDIP</w:t>
      </w:r>
      <w:proofErr w:type="spellEnd"/>
      <w:r w:rsidRPr="00283764">
        <w:rPr>
          <w:rStyle w:val="Hyperlink"/>
          <w:lang w:val="fr-CH"/>
        </w:rPr>
        <w:t>/23/9</w:t>
      </w:r>
      <w:r w:rsidR="002B7FF6">
        <w:rPr>
          <w:rStyle w:val="Hyperlink"/>
          <w:lang w:val="fr-CH"/>
        </w:rPr>
        <w:fldChar w:fldCharType="end"/>
      </w:r>
      <w:r w:rsidRPr="00283764">
        <w:rPr>
          <w:color w:val="000000"/>
          <w:lang w:val="fr-CH"/>
        </w:rPr>
        <w:t xml:space="preserve">, le Secrétariat a invité les </w:t>
      </w:r>
      <w:r w:rsidRPr="00EE463C">
        <w:rPr>
          <w:lang w:val="fr-CH"/>
        </w:rPr>
        <w:t xml:space="preserve">États membres à </w:t>
      </w:r>
      <w:r w:rsidRPr="00283764">
        <w:rPr>
          <w:color w:val="000000"/>
          <w:lang w:val="fr-CH"/>
        </w:rPr>
        <w:t>proposer des experts et des thèmes pour les webinair</w:t>
      </w:r>
      <w:r w:rsidR="000342B2" w:rsidRPr="00283764">
        <w:rPr>
          <w:color w:val="000000"/>
          <w:lang w:val="fr-CH"/>
        </w:rPr>
        <w:t>es</w:t>
      </w:r>
      <w:r w:rsidR="000342B2">
        <w:rPr>
          <w:color w:val="000000"/>
          <w:lang w:val="fr-CH"/>
        </w:rPr>
        <w:t xml:space="preserve">.  </w:t>
      </w:r>
      <w:r w:rsidR="000342B2" w:rsidRPr="002F78CE">
        <w:rPr>
          <w:color w:val="000000"/>
          <w:lang w:val="fr-CH"/>
        </w:rPr>
        <w:t>Ce</w:t>
      </w:r>
      <w:r w:rsidR="002F78CE" w:rsidRPr="002F78CE">
        <w:rPr>
          <w:color w:val="000000"/>
          <w:lang w:val="fr-CH"/>
        </w:rPr>
        <w:t>pendant, la plupart des propositions initialement reçues par le Secrétariat ne portaient pas sur des thèmes liés à l</w:t>
      </w:r>
      <w:r w:rsidR="0077612F">
        <w:rPr>
          <w:color w:val="000000"/>
          <w:lang w:val="fr-CH"/>
        </w:rPr>
        <w:t>’</w:t>
      </w:r>
      <w:r w:rsidR="002F78CE" w:rsidRPr="002F78CE">
        <w:rPr>
          <w:color w:val="000000"/>
          <w:lang w:val="fr-CH"/>
        </w:rPr>
        <w:t>assistance techniq</w:t>
      </w:r>
      <w:r w:rsidR="000342B2" w:rsidRPr="002F78CE">
        <w:rPr>
          <w:color w:val="000000"/>
          <w:lang w:val="fr-CH"/>
        </w:rPr>
        <w:t>ue</w:t>
      </w:r>
      <w:r w:rsidR="000342B2">
        <w:rPr>
          <w:color w:val="000000"/>
          <w:lang w:val="fr-CH"/>
        </w:rPr>
        <w:t xml:space="preserve">.  </w:t>
      </w:r>
      <w:r w:rsidR="000342B2" w:rsidRPr="002F78CE">
        <w:rPr>
          <w:color w:val="000000"/>
          <w:lang w:val="fr-CH"/>
        </w:rPr>
        <w:t>Ap</w:t>
      </w:r>
      <w:r w:rsidR="002F78CE" w:rsidRPr="002F78CE">
        <w:rPr>
          <w:color w:val="000000"/>
          <w:lang w:val="fr-CH"/>
        </w:rPr>
        <w:t>rès discussion avec les États membres concernés, il a été convenu de trouver d</w:t>
      </w:r>
      <w:r w:rsidR="0077612F">
        <w:rPr>
          <w:color w:val="000000"/>
          <w:lang w:val="fr-CH"/>
        </w:rPr>
        <w:t>’</w:t>
      </w:r>
      <w:r w:rsidR="002F78CE" w:rsidRPr="002F78CE">
        <w:rPr>
          <w:color w:val="000000"/>
          <w:lang w:val="fr-CH"/>
        </w:rPr>
        <w:t>autres thèmes pour la phase pilote.</w:t>
      </w:r>
    </w:p>
    <w:p w:rsidR="00FD6BD2" w:rsidRDefault="002F78CE" w:rsidP="002F78CE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2F78CE">
        <w:rPr>
          <w:color w:val="000000"/>
          <w:lang w:val="fr-CH"/>
        </w:rPr>
        <w:t xml:space="preserve">La sélection et le recrutement des experts ont été </w:t>
      </w:r>
      <w:r w:rsidR="00C62E2C">
        <w:rPr>
          <w:color w:val="000000"/>
          <w:lang w:val="fr-CH"/>
        </w:rPr>
        <w:t>fondés sur</w:t>
      </w:r>
      <w:r w:rsidRPr="002F78CE">
        <w:rPr>
          <w:color w:val="000000"/>
          <w:lang w:val="fr-CH"/>
        </w:rPr>
        <w:t xml:space="preserve"> l</w:t>
      </w:r>
      <w:r w:rsidR="0077612F">
        <w:rPr>
          <w:color w:val="000000"/>
          <w:lang w:val="fr-CH"/>
        </w:rPr>
        <w:t>’</w:t>
      </w:r>
      <w:r w:rsidRPr="002F78CE">
        <w:rPr>
          <w:color w:val="000000"/>
          <w:lang w:val="fr-CH"/>
        </w:rPr>
        <w:t>expérience dans le domaine, la connaissance du thème à traiter, la langue et la région.</w:t>
      </w:r>
    </w:p>
    <w:p w:rsidR="0077612F" w:rsidRDefault="002F78CE" w:rsidP="002F78CE">
      <w:pPr>
        <w:pStyle w:val="Heading2"/>
        <w:spacing w:after="240"/>
        <w:ind w:left="360"/>
        <w:rPr>
          <w:color w:val="000000"/>
          <w:lang w:val="fr-CH"/>
        </w:rPr>
      </w:pPr>
      <w:r w:rsidRPr="002F78CE">
        <w:rPr>
          <w:color w:val="000000"/>
          <w:lang w:val="fr-CH"/>
        </w:rPr>
        <w:t>Structure et principaux renseignements concernant les webinaires</w:t>
      </w:r>
    </w:p>
    <w:p w:rsidR="00FD6BD2" w:rsidRDefault="00E82743" w:rsidP="00E82743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E82743">
        <w:rPr>
          <w:color w:val="000000"/>
          <w:lang w:val="fr-CH"/>
        </w:rPr>
        <w:t>Les huit</w:t>
      </w:r>
      <w:r w:rsidR="00CB6E22">
        <w:rPr>
          <w:color w:val="000000"/>
          <w:lang w:val="fr-CH"/>
        </w:rPr>
        <w:t> </w:t>
      </w:r>
      <w:r w:rsidRPr="00E82743">
        <w:rPr>
          <w:color w:val="000000"/>
          <w:lang w:val="fr-CH"/>
        </w:rPr>
        <w:t>webinaires ont suivi la même structure de base, avec de légères variations</w:t>
      </w:r>
      <w:r w:rsidR="0077612F">
        <w:rPr>
          <w:color w:val="000000"/>
          <w:lang w:val="fr-CH"/>
        </w:rPr>
        <w:t> :</w:t>
      </w:r>
    </w:p>
    <w:p w:rsidR="0077612F" w:rsidRDefault="00E82743" w:rsidP="00E82743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  <w:rPr>
          <w:color w:val="000000"/>
          <w:lang w:val="fr-CH"/>
        </w:rPr>
      </w:pPr>
      <w:r w:rsidRPr="00E82743">
        <w:rPr>
          <w:color w:val="000000"/>
          <w:lang w:val="fr-CH"/>
        </w:rPr>
        <w:t>Le webinaire a été ouvert par un représentant de la Division de la coordination du Plan d</w:t>
      </w:r>
      <w:r w:rsidR="0077612F">
        <w:rPr>
          <w:color w:val="000000"/>
          <w:lang w:val="fr-CH"/>
        </w:rPr>
        <w:t>’</w:t>
      </w:r>
      <w:r w:rsidRPr="00E82743">
        <w:rPr>
          <w:color w:val="000000"/>
          <w:lang w:val="fr-CH"/>
        </w:rPr>
        <w:t>action pour le développement.</w:t>
      </w:r>
    </w:p>
    <w:p w:rsidR="00FD6BD2" w:rsidRDefault="00934F44" w:rsidP="00934F44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  <w:rPr>
          <w:lang w:val="fr-CH"/>
        </w:rPr>
      </w:pPr>
      <w:r w:rsidRPr="00934F44">
        <w:rPr>
          <w:color w:val="000000"/>
          <w:lang w:val="fr-CH"/>
        </w:rPr>
        <w:t xml:space="preserve">Des remarques liminaires ont été </w:t>
      </w:r>
      <w:r w:rsidR="00C62E2C">
        <w:rPr>
          <w:color w:val="000000"/>
          <w:lang w:val="fr-CH"/>
        </w:rPr>
        <w:t>formulées</w:t>
      </w:r>
      <w:r w:rsidRPr="00934F44">
        <w:rPr>
          <w:color w:val="000000"/>
          <w:lang w:val="fr-CH"/>
        </w:rPr>
        <w:t xml:space="preserve"> par un représentant du bureau régional concerné, du </w:t>
      </w:r>
      <w:r w:rsidRPr="00EE463C">
        <w:rPr>
          <w:lang w:val="fr-CH"/>
        </w:rPr>
        <w:t>Département pour les pays en transition et les pays développés</w:t>
      </w:r>
      <w:r w:rsidRPr="00934F44">
        <w:rPr>
          <w:color w:val="000000"/>
          <w:lang w:val="fr-CH"/>
        </w:rPr>
        <w:t xml:space="preserve"> ou du bureau extérieur de l</w:t>
      </w:r>
      <w:r w:rsidR="0077612F">
        <w:rPr>
          <w:color w:val="000000"/>
          <w:lang w:val="fr-CH"/>
        </w:rPr>
        <w:t>’</w:t>
      </w:r>
      <w:r w:rsidRPr="00934F44">
        <w:rPr>
          <w:color w:val="000000"/>
          <w:lang w:val="fr-CH"/>
        </w:rPr>
        <w:t>OMPI concerné.</w:t>
      </w:r>
    </w:p>
    <w:p w:rsidR="00FD6BD2" w:rsidRDefault="00934F44" w:rsidP="00934F44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  <w:rPr>
          <w:lang w:val="fr-CH"/>
        </w:rPr>
      </w:pPr>
      <w:r w:rsidRPr="00934F44">
        <w:rPr>
          <w:color w:val="000000"/>
          <w:lang w:val="fr-CH"/>
        </w:rPr>
        <w:t>L</w:t>
      </w:r>
      <w:r w:rsidR="0077612F">
        <w:rPr>
          <w:color w:val="000000"/>
          <w:lang w:val="fr-CH"/>
        </w:rPr>
        <w:t>’</w:t>
      </w:r>
      <w:r w:rsidRPr="00934F44">
        <w:rPr>
          <w:color w:val="000000"/>
          <w:lang w:val="fr-CH"/>
        </w:rPr>
        <w:t>exposé a été présenté par l</w:t>
      </w:r>
      <w:r w:rsidR="0077612F">
        <w:rPr>
          <w:color w:val="000000"/>
          <w:lang w:val="fr-CH"/>
        </w:rPr>
        <w:t>’</w:t>
      </w:r>
      <w:r w:rsidRPr="00934F44">
        <w:rPr>
          <w:color w:val="000000"/>
          <w:lang w:val="fr-CH"/>
        </w:rPr>
        <w:t>expert engagé pour diriger le webinai</w:t>
      </w:r>
      <w:r w:rsidR="000342B2" w:rsidRPr="00934F44">
        <w:rPr>
          <w:color w:val="000000"/>
          <w:lang w:val="fr-CH"/>
        </w:rPr>
        <w:t>re</w:t>
      </w:r>
      <w:r w:rsidR="000342B2">
        <w:rPr>
          <w:color w:val="000000"/>
          <w:lang w:val="fr-CH"/>
        </w:rPr>
        <w:t xml:space="preserve">.  </w:t>
      </w:r>
      <w:r w:rsidR="000342B2" w:rsidRPr="00934F44">
        <w:rPr>
          <w:color w:val="000000"/>
          <w:lang w:val="fr-CH"/>
        </w:rPr>
        <w:t>Le</w:t>
      </w:r>
      <w:r w:rsidRPr="00934F44">
        <w:rPr>
          <w:color w:val="000000"/>
          <w:lang w:val="fr-CH"/>
        </w:rPr>
        <w:t xml:space="preserve">s participants ont pu voir à la fois la </w:t>
      </w:r>
      <w:r w:rsidR="002D0148">
        <w:rPr>
          <w:color w:val="000000"/>
          <w:lang w:val="fr-CH"/>
        </w:rPr>
        <w:t>W</w:t>
      </w:r>
      <w:r w:rsidRPr="00934F44">
        <w:rPr>
          <w:color w:val="000000"/>
          <w:lang w:val="fr-CH"/>
        </w:rPr>
        <w:t>eb</w:t>
      </w:r>
      <w:r w:rsidR="00C62E2C">
        <w:rPr>
          <w:color w:val="000000"/>
          <w:lang w:val="fr-CH"/>
        </w:rPr>
        <w:t>cam</w:t>
      </w:r>
      <w:r w:rsidRPr="00934F44">
        <w:rPr>
          <w:color w:val="000000"/>
          <w:lang w:val="fr-CH"/>
        </w:rPr>
        <w:t xml:space="preserve"> de l</w:t>
      </w:r>
      <w:r w:rsidR="0077612F">
        <w:rPr>
          <w:color w:val="000000"/>
          <w:lang w:val="fr-CH"/>
        </w:rPr>
        <w:t>’</w:t>
      </w:r>
      <w:r w:rsidRPr="00934F44">
        <w:rPr>
          <w:color w:val="000000"/>
          <w:lang w:val="fr-CH"/>
        </w:rPr>
        <w:t>expert et l</w:t>
      </w:r>
      <w:r w:rsidR="0077612F">
        <w:rPr>
          <w:color w:val="000000"/>
          <w:lang w:val="fr-CH"/>
        </w:rPr>
        <w:t>’</w:t>
      </w:r>
      <w:r w:rsidRPr="00934F44">
        <w:rPr>
          <w:color w:val="000000"/>
          <w:lang w:val="fr-CH"/>
        </w:rPr>
        <w:t>exposé en PowerPoint sur leur écran</w:t>
      </w:r>
      <w:r w:rsidR="00C62E2C">
        <w:rPr>
          <w:color w:val="000000"/>
          <w:lang w:val="fr-CH"/>
        </w:rPr>
        <w:t>.</w:t>
      </w:r>
    </w:p>
    <w:p w:rsidR="00FD6BD2" w:rsidRDefault="00934F44" w:rsidP="00934F44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</w:pPr>
      <w:r w:rsidRPr="00934F44">
        <w:rPr>
          <w:color w:val="000000"/>
          <w:szCs w:val="22"/>
          <w:lang w:val="fr-CH"/>
        </w:rPr>
        <w:t>La séance de questions</w:t>
      </w:r>
      <w:r w:rsidR="0077612F">
        <w:rPr>
          <w:color w:val="000000"/>
          <w:szCs w:val="22"/>
          <w:lang w:val="fr-CH"/>
        </w:rPr>
        <w:t>-</w:t>
      </w:r>
      <w:r w:rsidRPr="00934F44">
        <w:rPr>
          <w:color w:val="000000"/>
          <w:szCs w:val="22"/>
          <w:lang w:val="fr-CH"/>
        </w:rPr>
        <w:t>réponses a été animée par des représentants de l</w:t>
      </w:r>
      <w:r w:rsidR="0077612F">
        <w:rPr>
          <w:color w:val="000000"/>
          <w:szCs w:val="22"/>
          <w:lang w:val="fr-CH"/>
        </w:rPr>
        <w:t>’</w:t>
      </w:r>
      <w:r w:rsidRPr="00934F44">
        <w:rPr>
          <w:color w:val="000000"/>
          <w:szCs w:val="22"/>
          <w:lang w:val="fr-CH"/>
        </w:rPr>
        <w:t>O</w:t>
      </w:r>
      <w:r w:rsidR="000342B2" w:rsidRPr="00934F44">
        <w:rPr>
          <w:color w:val="000000"/>
          <w:szCs w:val="22"/>
          <w:lang w:val="fr-CH"/>
        </w:rPr>
        <w:t>MPI</w:t>
      </w:r>
      <w:r w:rsidR="000342B2">
        <w:rPr>
          <w:color w:val="000000"/>
          <w:szCs w:val="22"/>
          <w:lang w:val="fr-CH"/>
        </w:rPr>
        <w:t xml:space="preserve">.  </w:t>
      </w:r>
      <w:r w:rsidR="000342B2" w:rsidRPr="00934F44">
        <w:rPr>
          <w:color w:val="000000"/>
          <w:szCs w:val="22"/>
          <w:lang w:val="fr-CH"/>
        </w:rPr>
        <w:t>Le</w:t>
      </w:r>
      <w:r w:rsidRPr="00934F44">
        <w:rPr>
          <w:color w:val="000000"/>
          <w:szCs w:val="22"/>
          <w:lang w:val="fr-CH"/>
        </w:rPr>
        <w:t>s participants posaient des questions par écrit sur un forum de discussi</w:t>
      </w:r>
      <w:r w:rsidR="000342B2" w:rsidRPr="00934F44">
        <w:rPr>
          <w:color w:val="000000"/>
          <w:szCs w:val="22"/>
          <w:lang w:val="fr-CH"/>
        </w:rPr>
        <w:t>on</w:t>
      </w:r>
      <w:r w:rsidR="000342B2">
        <w:rPr>
          <w:color w:val="000000"/>
          <w:szCs w:val="22"/>
          <w:lang w:val="fr-CH"/>
        </w:rPr>
        <w:t xml:space="preserve">.  </w:t>
      </w:r>
      <w:r w:rsidR="000342B2" w:rsidRPr="00934F44">
        <w:rPr>
          <w:color w:val="000000"/>
          <w:szCs w:val="22"/>
          <w:lang w:val="fr-CH"/>
        </w:rPr>
        <w:t>L</w:t>
      </w:r>
      <w:r w:rsidR="000342B2">
        <w:rPr>
          <w:color w:val="000000"/>
          <w:szCs w:val="22"/>
          <w:lang w:val="fr-CH"/>
        </w:rPr>
        <w:t>’</w:t>
      </w:r>
      <w:r w:rsidR="000342B2" w:rsidRPr="00934F44">
        <w:rPr>
          <w:color w:val="000000"/>
          <w:szCs w:val="22"/>
          <w:lang w:val="fr-CH"/>
        </w:rPr>
        <w:t>e</w:t>
      </w:r>
      <w:r w:rsidRPr="00934F44">
        <w:rPr>
          <w:color w:val="000000"/>
          <w:szCs w:val="22"/>
          <w:lang w:val="fr-CH"/>
        </w:rPr>
        <w:t>xpert répondait oralement.</w:t>
      </w:r>
    </w:p>
    <w:p w:rsidR="00FD6BD2" w:rsidRPr="00F622AE" w:rsidRDefault="009742CB" w:rsidP="009742CB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9742CB">
        <w:rPr>
          <w:color w:val="000000"/>
          <w:lang w:val="fr-CH"/>
        </w:rPr>
        <w:t xml:space="preserve">Les webinaires </w:t>
      </w:r>
      <w:r w:rsidR="00C62E2C">
        <w:rPr>
          <w:color w:val="000000"/>
          <w:lang w:val="fr-CH"/>
        </w:rPr>
        <w:t xml:space="preserve">se déroulant </w:t>
      </w:r>
      <w:r w:rsidRPr="009742CB">
        <w:rPr>
          <w:color w:val="000000"/>
          <w:lang w:val="fr-CH"/>
        </w:rPr>
        <w:t>en direct, des tests techniques et des séances de répétition ont été organisés par la Division de la coordination du Plan d</w:t>
      </w:r>
      <w:r w:rsidR="0077612F">
        <w:rPr>
          <w:color w:val="000000"/>
          <w:lang w:val="fr-CH"/>
        </w:rPr>
        <w:t>’</w:t>
      </w:r>
      <w:r w:rsidRPr="009742CB">
        <w:rPr>
          <w:color w:val="000000"/>
          <w:lang w:val="fr-CH"/>
        </w:rPr>
        <w:t>action pour le développement avec les experts et tous les acteurs concernés avant la tenue effective des webinair</w:t>
      </w:r>
      <w:r w:rsidR="000342B2" w:rsidRPr="009742CB">
        <w:rPr>
          <w:color w:val="000000"/>
          <w:lang w:val="fr-CH"/>
        </w:rPr>
        <w:t>es</w:t>
      </w:r>
      <w:r w:rsidR="000342B2">
        <w:rPr>
          <w:color w:val="000000"/>
          <w:lang w:val="fr-CH"/>
        </w:rPr>
        <w:t xml:space="preserve">.  </w:t>
      </w:r>
      <w:r w:rsidR="000342B2" w:rsidRPr="009742CB">
        <w:rPr>
          <w:color w:val="000000"/>
          <w:lang w:val="fr-CH"/>
        </w:rPr>
        <w:t>Le</w:t>
      </w:r>
      <w:r w:rsidRPr="009742CB">
        <w:rPr>
          <w:color w:val="000000"/>
          <w:lang w:val="fr-CH"/>
        </w:rPr>
        <w:t xml:space="preserve"> but était de </w:t>
      </w:r>
      <w:r w:rsidR="00160BC4">
        <w:rPr>
          <w:color w:val="000000"/>
          <w:lang w:val="fr-CH"/>
        </w:rPr>
        <w:t>limiter</w:t>
      </w:r>
      <w:r w:rsidRPr="009742CB">
        <w:rPr>
          <w:color w:val="000000"/>
          <w:lang w:val="fr-CH"/>
        </w:rPr>
        <w:t xml:space="preserve"> les conséquences de problèmes techniques lors de la </w:t>
      </w:r>
      <w:r w:rsidR="00160BC4">
        <w:rPr>
          <w:color w:val="000000"/>
          <w:lang w:val="fr-CH"/>
        </w:rPr>
        <w:t>diffusion</w:t>
      </w:r>
      <w:r w:rsidRPr="009742CB">
        <w:rPr>
          <w:color w:val="000000"/>
          <w:lang w:val="fr-CH"/>
        </w:rPr>
        <w:t xml:space="preserve"> en direct et de s</w:t>
      </w:r>
      <w:r w:rsidR="0077612F">
        <w:rPr>
          <w:color w:val="000000"/>
          <w:lang w:val="fr-CH"/>
        </w:rPr>
        <w:t>’</w:t>
      </w:r>
      <w:r w:rsidRPr="009742CB">
        <w:rPr>
          <w:color w:val="000000"/>
          <w:lang w:val="fr-CH"/>
        </w:rPr>
        <w:t>assurer que l</w:t>
      </w:r>
      <w:r w:rsidR="0077612F">
        <w:rPr>
          <w:color w:val="000000"/>
          <w:lang w:val="fr-CH"/>
        </w:rPr>
        <w:t>’</w:t>
      </w:r>
      <w:r w:rsidRPr="009742CB">
        <w:rPr>
          <w:color w:val="000000"/>
          <w:lang w:val="fr-CH"/>
        </w:rPr>
        <w:t>exposé serait présenté de façon bien organisée.</w:t>
      </w:r>
    </w:p>
    <w:p w:rsidR="00F622AE" w:rsidRPr="00F622AE" w:rsidRDefault="00F622AE" w:rsidP="00F622AE">
      <w:pPr>
        <w:tabs>
          <w:tab w:val="left" w:pos="360"/>
        </w:tabs>
        <w:spacing w:after="240"/>
        <w:rPr>
          <w:lang w:val="fr-CH"/>
        </w:rPr>
      </w:pPr>
    </w:p>
    <w:p w:rsidR="00FD6BD2" w:rsidRPr="00BF28FD" w:rsidRDefault="00FD6BD2" w:rsidP="00BF28FD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FD6BD2">
        <w:rPr>
          <w:color w:val="000000"/>
          <w:lang w:val="fr-CH"/>
        </w:rPr>
        <w:lastRenderedPageBreak/>
        <w:t xml:space="preserve">Les webinaires </w:t>
      </w:r>
      <w:r w:rsidR="00C62E2C">
        <w:rPr>
          <w:color w:val="000000"/>
          <w:lang w:val="fr-CH"/>
        </w:rPr>
        <w:t>étaient</w:t>
      </w:r>
      <w:r w:rsidRPr="00FD6BD2">
        <w:rPr>
          <w:color w:val="000000"/>
          <w:lang w:val="fr-CH"/>
        </w:rPr>
        <w:t xml:space="preserve"> interactifs, en particulier la séance de questions</w:t>
      </w:r>
      <w:r w:rsidR="0077612F">
        <w:rPr>
          <w:color w:val="000000"/>
          <w:lang w:val="fr-CH"/>
        </w:rPr>
        <w:t>-</w:t>
      </w:r>
      <w:r w:rsidRPr="00FD6BD2">
        <w:rPr>
          <w:color w:val="000000"/>
          <w:lang w:val="fr-CH"/>
        </w:rPr>
        <w:t>répons</w:t>
      </w:r>
      <w:r w:rsidR="000342B2" w:rsidRPr="00FD6BD2">
        <w:rPr>
          <w:color w:val="000000"/>
          <w:lang w:val="fr-CH"/>
        </w:rPr>
        <w:t>es</w:t>
      </w:r>
      <w:r w:rsidR="000342B2">
        <w:rPr>
          <w:color w:val="000000"/>
          <w:lang w:val="fr-CH"/>
        </w:rPr>
        <w:t xml:space="preserve">.  </w:t>
      </w:r>
      <w:r w:rsidR="000342B2" w:rsidRPr="00BF28FD">
        <w:rPr>
          <w:color w:val="000000"/>
          <w:lang w:val="fr-CH"/>
        </w:rPr>
        <w:t>Le</w:t>
      </w:r>
      <w:r w:rsidR="00BF28FD" w:rsidRPr="00BF28FD">
        <w:rPr>
          <w:color w:val="000000"/>
          <w:lang w:val="fr-CH"/>
        </w:rPr>
        <w:t xml:space="preserve">s participants ont posé un grand nombre de questions </w:t>
      </w:r>
      <w:r w:rsidR="00C62E2C">
        <w:rPr>
          <w:color w:val="000000"/>
          <w:lang w:val="fr-CH"/>
        </w:rPr>
        <w:t>sur</w:t>
      </w:r>
      <w:r w:rsidR="00BF28FD" w:rsidRPr="00BF28FD">
        <w:rPr>
          <w:color w:val="000000"/>
          <w:lang w:val="fr-CH"/>
        </w:rPr>
        <w:t xml:space="preserve"> divers aspects </w:t>
      </w:r>
      <w:r w:rsidR="00C62E2C">
        <w:rPr>
          <w:color w:val="000000"/>
          <w:lang w:val="fr-CH"/>
        </w:rPr>
        <w:t>de l’assistance technique</w:t>
      </w:r>
      <w:r w:rsidR="00BF28FD" w:rsidRPr="00BF28FD">
        <w:rPr>
          <w:color w:val="000000"/>
          <w:lang w:val="fr-CH"/>
        </w:rPr>
        <w:t>, ce qui refl</w:t>
      </w:r>
      <w:r w:rsidR="00C62E2C">
        <w:rPr>
          <w:color w:val="000000"/>
          <w:lang w:val="fr-CH"/>
        </w:rPr>
        <w:t xml:space="preserve">était </w:t>
      </w:r>
      <w:r w:rsidR="00BF28FD" w:rsidRPr="00BF28FD">
        <w:rPr>
          <w:color w:val="000000"/>
          <w:lang w:val="fr-CH"/>
        </w:rPr>
        <w:t>la diversité du publ</w:t>
      </w:r>
      <w:r w:rsidR="000342B2" w:rsidRPr="00BF28FD">
        <w:rPr>
          <w:color w:val="000000"/>
          <w:lang w:val="fr-CH"/>
        </w:rPr>
        <w:t>ic</w:t>
      </w:r>
      <w:r w:rsidR="000342B2">
        <w:rPr>
          <w:color w:val="000000"/>
          <w:lang w:val="fr-CH"/>
        </w:rPr>
        <w:t xml:space="preserve">.  </w:t>
      </w:r>
      <w:r w:rsidR="000342B2" w:rsidRPr="00BF28FD">
        <w:rPr>
          <w:color w:val="000000"/>
          <w:lang w:val="fr-CH"/>
        </w:rPr>
        <w:t>Ce</w:t>
      </w:r>
      <w:r w:rsidR="00BF28FD" w:rsidRPr="00BF28FD">
        <w:rPr>
          <w:color w:val="000000"/>
          <w:lang w:val="fr-CH"/>
        </w:rPr>
        <w:t xml:space="preserve">rtaines </w:t>
      </w:r>
      <w:r w:rsidR="00C62E2C">
        <w:rPr>
          <w:color w:val="000000"/>
          <w:lang w:val="fr-CH"/>
        </w:rPr>
        <w:t xml:space="preserve">questions étaient adressées aux </w:t>
      </w:r>
      <w:r w:rsidR="00BF28FD" w:rsidRPr="00BF28FD">
        <w:rPr>
          <w:color w:val="000000"/>
          <w:lang w:val="fr-CH"/>
        </w:rPr>
        <w:t>experts des webinaires, d</w:t>
      </w:r>
      <w:r w:rsidR="0077612F">
        <w:rPr>
          <w:color w:val="000000"/>
          <w:lang w:val="fr-CH"/>
        </w:rPr>
        <w:t>’</w:t>
      </w:r>
      <w:r w:rsidR="00BF28FD" w:rsidRPr="00BF28FD">
        <w:rPr>
          <w:color w:val="000000"/>
          <w:lang w:val="fr-CH"/>
        </w:rPr>
        <w:t xml:space="preserve">autres </w:t>
      </w:r>
      <w:r w:rsidR="00C62E2C">
        <w:rPr>
          <w:color w:val="000000"/>
          <w:lang w:val="fr-CH"/>
        </w:rPr>
        <w:t>aux</w:t>
      </w:r>
      <w:r w:rsidR="00BF28FD" w:rsidRPr="00BF28FD">
        <w:rPr>
          <w:color w:val="000000"/>
          <w:lang w:val="fr-CH"/>
        </w:rPr>
        <w:t xml:space="preserve"> représentants de l</w:t>
      </w:r>
      <w:r w:rsidR="0077612F">
        <w:rPr>
          <w:color w:val="000000"/>
          <w:lang w:val="fr-CH"/>
        </w:rPr>
        <w:t>’</w:t>
      </w:r>
      <w:r w:rsidR="00BF28FD" w:rsidRPr="00BF28FD">
        <w:rPr>
          <w:color w:val="000000"/>
          <w:lang w:val="fr-CH"/>
        </w:rPr>
        <w:t>O</w:t>
      </w:r>
      <w:r w:rsidR="000342B2" w:rsidRPr="00BF28FD">
        <w:rPr>
          <w:color w:val="000000"/>
          <w:lang w:val="fr-CH"/>
        </w:rPr>
        <w:t>MPI</w:t>
      </w:r>
      <w:r w:rsidR="000342B2">
        <w:rPr>
          <w:color w:val="000000"/>
          <w:lang w:val="fr-CH"/>
        </w:rPr>
        <w:t xml:space="preserve">.  </w:t>
      </w:r>
      <w:r w:rsidR="000342B2" w:rsidRPr="00BF28FD">
        <w:rPr>
          <w:color w:val="000000"/>
          <w:lang w:val="fr-CH"/>
        </w:rPr>
        <w:t>Le</w:t>
      </w:r>
      <w:r w:rsidR="00BF28FD" w:rsidRPr="00BF28FD">
        <w:rPr>
          <w:color w:val="000000"/>
          <w:lang w:val="fr-CH"/>
        </w:rPr>
        <w:t>s questions auxquelles il n</w:t>
      </w:r>
      <w:r w:rsidR="0077612F">
        <w:rPr>
          <w:color w:val="000000"/>
          <w:lang w:val="fr-CH"/>
        </w:rPr>
        <w:t>’</w:t>
      </w:r>
      <w:r w:rsidR="00BF28FD" w:rsidRPr="00BF28FD">
        <w:rPr>
          <w:color w:val="000000"/>
          <w:lang w:val="fr-CH"/>
        </w:rPr>
        <w:t xml:space="preserve">a pas été possible de répondre pendant les webinaires </w:t>
      </w:r>
      <w:r w:rsidR="00160BC4">
        <w:rPr>
          <w:color w:val="000000"/>
          <w:lang w:val="fr-CH"/>
        </w:rPr>
        <w:t>par manque</w:t>
      </w:r>
      <w:r w:rsidR="00BF28FD" w:rsidRPr="00BF28FD">
        <w:rPr>
          <w:color w:val="000000"/>
          <w:lang w:val="fr-CH"/>
        </w:rPr>
        <w:t xml:space="preserve"> de temps ont été traitées ultérieurement par courrier électronique.</w:t>
      </w:r>
    </w:p>
    <w:p w:rsidR="005C32F2" w:rsidRPr="00BF28FD" w:rsidRDefault="00BF28FD" w:rsidP="00BF28FD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BF28FD">
        <w:rPr>
          <w:color w:val="000000"/>
          <w:lang w:val="fr-CH"/>
        </w:rPr>
        <w:t>Le nombre d</w:t>
      </w:r>
      <w:r w:rsidR="0077612F">
        <w:rPr>
          <w:color w:val="000000"/>
          <w:lang w:val="fr-CH"/>
        </w:rPr>
        <w:t>’</w:t>
      </w:r>
      <w:r w:rsidRPr="00BF28FD">
        <w:rPr>
          <w:color w:val="000000"/>
          <w:lang w:val="fr-CH"/>
        </w:rPr>
        <w:t>inscriptions, la participation et le taux de réponse aux enquêtes de satisfaction diffusées après les webinaires ont varié d</w:t>
      </w:r>
      <w:r w:rsidR="0077612F">
        <w:rPr>
          <w:color w:val="000000"/>
          <w:lang w:val="fr-CH"/>
        </w:rPr>
        <w:t>’</w:t>
      </w:r>
      <w:r w:rsidRPr="00BF28FD">
        <w:rPr>
          <w:color w:val="000000"/>
          <w:lang w:val="fr-CH"/>
        </w:rPr>
        <w:t xml:space="preserve">un </w:t>
      </w:r>
      <w:r w:rsidR="00160BC4">
        <w:rPr>
          <w:color w:val="000000"/>
          <w:lang w:val="fr-CH"/>
        </w:rPr>
        <w:t xml:space="preserve">événement </w:t>
      </w:r>
      <w:r w:rsidRPr="00BF28FD">
        <w:rPr>
          <w:color w:val="000000"/>
          <w:lang w:val="fr-CH"/>
        </w:rPr>
        <w:t>à l</w:t>
      </w:r>
      <w:r w:rsidR="0077612F">
        <w:rPr>
          <w:color w:val="000000"/>
          <w:lang w:val="fr-CH"/>
        </w:rPr>
        <w:t>’</w:t>
      </w:r>
      <w:r w:rsidRPr="00BF28FD">
        <w:rPr>
          <w:color w:val="000000"/>
          <w:lang w:val="fr-CH"/>
        </w:rPr>
        <w:t xml:space="preserve">autre, </w:t>
      </w:r>
      <w:r w:rsidR="00160BC4">
        <w:rPr>
          <w:color w:val="000000"/>
          <w:lang w:val="fr-CH"/>
        </w:rPr>
        <w:t>ainsi qu’il ressort du tableau ci-dessous</w:t>
      </w:r>
      <w:r w:rsidR="0077612F">
        <w:rPr>
          <w:color w:val="000000"/>
          <w:lang w:val="fr-CH"/>
        </w:rPr>
        <w:t> :</w:t>
      </w:r>
    </w:p>
    <w:tbl>
      <w:tblPr>
        <w:tblStyle w:val="TableGrid"/>
        <w:tblW w:w="9345" w:type="dxa"/>
        <w:tblLook w:val="04A0" w:firstRow="1" w:lastRow="0" w:firstColumn="1" w:lastColumn="0" w:noHBand="0" w:noVBand="1"/>
        <w:tblCaption w:val="Registration, Attendance and Response Rate"/>
        <w:tblDescription w:val="This table contains the feedback received from participants on the language, registration, attendance and response rate survey"/>
      </w:tblPr>
      <w:tblGrid>
        <w:gridCol w:w="752"/>
        <w:gridCol w:w="2123"/>
        <w:gridCol w:w="2160"/>
        <w:gridCol w:w="2070"/>
        <w:gridCol w:w="2240"/>
      </w:tblGrid>
      <w:tr w:rsidR="00CB46B3" w:rsidRPr="00AA1DA6" w:rsidTr="00CB46B3">
        <w:trPr>
          <w:tblHeader/>
        </w:trPr>
        <w:tc>
          <w:tcPr>
            <w:tcW w:w="75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BF28FD">
              <w:rPr>
                <w:b/>
                <w:color w:val="000000"/>
                <w:lang w:val="fr-CH"/>
              </w:rPr>
              <w:t>N°</w:t>
            </w:r>
          </w:p>
        </w:tc>
        <w:tc>
          <w:tcPr>
            <w:tcW w:w="2123" w:type="dxa"/>
            <w:shd w:val="pct15" w:color="auto" w:fill="auto"/>
            <w:vAlign w:val="center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EE463C">
              <w:rPr>
                <w:b/>
                <w:lang w:val="fr-CH"/>
              </w:rPr>
              <w:t>Langue</w:t>
            </w:r>
          </w:p>
        </w:tc>
        <w:tc>
          <w:tcPr>
            <w:tcW w:w="2160" w:type="dxa"/>
            <w:shd w:val="pct15" w:color="auto" w:fill="auto"/>
            <w:vAlign w:val="center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BF28FD">
              <w:rPr>
                <w:b/>
                <w:color w:val="000000"/>
                <w:lang w:val="fr-CH"/>
              </w:rPr>
              <w:t>Inscriptions</w:t>
            </w:r>
          </w:p>
        </w:tc>
        <w:tc>
          <w:tcPr>
            <w:tcW w:w="2070" w:type="dxa"/>
            <w:shd w:val="pct15" w:color="auto" w:fill="auto"/>
            <w:vAlign w:val="center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EE463C">
              <w:rPr>
                <w:b/>
                <w:lang w:val="fr-CH"/>
              </w:rPr>
              <w:t>Participation</w:t>
            </w:r>
          </w:p>
        </w:tc>
        <w:tc>
          <w:tcPr>
            <w:tcW w:w="2240" w:type="dxa"/>
            <w:shd w:val="pct15" w:color="auto" w:fill="auto"/>
            <w:vAlign w:val="center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fr-CH"/>
              </w:rPr>
            </w:pPr>
            <w:r w:rsidRPr="00BF28FD">
              <w:rPr>
                <w:b/>
                <w:color w:val="000000"/>
                <w:lang w:val="fr-CH"/>
              </w:rPr>
              <w:t>Taux de réponse à l</w:t>
            </w:r>
            <w:r w:rsidR="0077612F">
              <w:rPr>
                <w:b/>
                <w:color w:val="000000"/>
                <w:lang w:val="fr-CH"/>
              </w:rPr>
              <w:t>’</w:t>
            </w:r>
            <w:r w:rsidRPr="00BF28FD">
              <w:rPr>
                <w:b/>
                <w:color w:val="000000"/>
                <w:lang w:val="fr-CH"/>
              </w:rPr>
              <w:t>enquête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I</w:t>
            </w:r>
          </w:p>
        </w:tc>
        <w:tc>
          <w:tcPr>
            <w:tcW w:w="2123" w:type="dxa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EE463C">
              <w:rPr>
                <w:lang w:val="fr-CH"/>
              </w:rPr>
              <w:t>Arabe</w:t>
            </w:r>
          </w:p>
        </w:tc>
        <w:tc>
          <w:tcPr>
            <w:tcW w:w="2160" w:type="dxa"/>
          </w:tcPr>
          <w:p w:rsidR="00CB46B3" w:rsidRPr="0092684F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161</w:t>
            </w:r>
          </w:p>
        </w:tc>
        <w:tc>
          <w:tcPr>
            <w:tcW w:w="2070" w:type="dxa"/>
          </w:tcPr>
          <w:p w:rsidR="00CB46B3" w:rsidRPr="0092684F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77</w:t>
            </w:r>
          </w:p>
        </w:tc>
        <w:tc>
          <w:tcPr>
            <w:tcW w:w="224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56%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II</w:t>
            </w:r>
          </w:p>
        </w:tc>
        <w:tc>
          <w:tcPr>
            <w:tcW w:w="2123" w:type="dxa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EE463C">
              <w:rPr>
                <w:lang w:val="fr-CH"/>
              </w:rPr>
              <w:t>Russe</w:t>
            </w:r>
          </w:p>
        </w:tc>
        <w:tc>
          <w:tcPr>
            <w:tcW w:w="2160" w:type="dxa"/>
          </w:tcPr>
          <w:p w:rsidR="00CB46B3" w:rsidRPr="0092684F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159</w:t>
            </w:r>
          </w:p>
        </w:tc>
        <w:tc>
          <w:tcPr>
            <w:tcW w:w="207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56</w:t>
            </w:r>
          </w:p>
        </w:tc>
        <w:tc>
          <w:tcPr>
            <w:tcW w:w="2240" w:type="dxa"/>
          </w:tcPr>
          <w:p w:rsidR="00CB46B3" w:rsidRPr="0092684F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30</w:t>
            </w:r>
            <w:r w:rsidR="00CB46B3" w:rsidRPr="0092684F">
              <w:rPr>
                <w:lang w:val="fr-CH"/>
              </w:rPr>
              <w:t>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III</w:t>
            </w:r>
          </w:p>
        </w:tc>
        <w:tc>
          <w:tcPr>
            <w:tcW w:w="2123" w:type="dxa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EE463C">
              <w:rPr>
                <w:lang w:val="fr-CH"/>
              </w:rPr>
              <w:t>Espagnol</w:t>
            </w:r>
            <w:r w:rsidR="00CB46B3" w:rsidRPr="0092684F">
              <w:rPr>
                <w:lang w:val="fr-CH"/>
              </w:rPr>
              <w:t xml:space="preserve"> </w:t>
            </w:r>
          </w:p>
        </w:tc>
        <w:tc>
          <w:tcPr>
            <w:tcW w:w="2160" w:type="dxa"/>
          </w:tcPr>
          <w:p w:rsidR="00CB46B3" w:rsidRPr="0092684F" w:rsidRDefault="00CB46B3" w:rsidP="0082160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2</w:t>
            </w:r>
            <w:r w:rsidR="00821600" w:rsidRPr="0092684F">
              <w:rPr>
                <w:lang w:val="fr-CH"/>
              </w:rPr>
              <w:t>73</w:t>
            </w:r>
          </w:p>
        </w:tc>
        <w:tc>
          <w:tcPr>
            <w:tcW w:w="2070" w:type="dxa"/>
          </w:tcPr>
          <w:p w:rsidR="00CB46B3" w:rsidRPr="0092684F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92</w:t>
            </w:r>
          </w:p>
        </w:tc>
        <w:tc>
          <w:tcPr>
            <w:tcW w:w="2240" w:type="dxa"/>
          </w:tcPr>
          <w:p w:rsidR="00CB46B3" w:rsidRPr="0092684F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52</w:t>
            </w:r>
            <w:r w:rsidR="00CB46B3" w:rsidRPr="0092684F">
              <w:rPr>
                <w:lang w:val="fr-CH"/>
              </w:rPr>
              <w:t>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IV</w:t>
            </w:r>
          </w:p>
        </w:tc>
        <w:tc>
          <w:tcPr>
            <w:tcW w:w="2123" w:type="dxa"/>
          </w:tcPr>
          <w:p w:rsidR="00CB46B3" w:rsidRPr="0092684F" w:rsidRDefault="00BF28FD" w:rsidP="00BF2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BF28FD">
              <w:rPr>
                <w:color w:val="000000"/>
                <w:lang w:val="fr-CH"/>
              </w:rPr>
              <w:t>Anglais (Caraïbes)</w:t>
            </w:r>
          </w:p>
        </w:tc>
        <w:tc>
          <w:tcPr>
            <w:tcW w:w="2160" w:type="dxa"/>
          </w:tcPr>
          <w:p w:rsidR="00CB46B3" w:rsidRPr="0092684F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209</w:t>
            </w:r>
          </w:p>
        </w:tc>
        <w:tc>
          <w:tcPr>
            <w:tcW w:w="207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5</w:t>
            </w:r>
            <w:r w:rsidR="008E0647" w:rsidRPr="0092684F">
              <w:rPr>
                <w:lang w:val="fr-CH"/>
              </w:rPr>
              <w:t>8</w:t>
            </w:r>
          </w:p>
        </w:tc>
        <w:tc>
          <w:tcPr>
            <w:tcW w:w="2240" w:type="dxa"/>
          </w:tcPr>
          <w:p w:rsidR="00CB46B3" w:rsidRPr="0092684F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43</w:t>
            </w:r>
            <w:r w:rsidR="00CB46B3" w:rsidRPr="0092684F">
              <w:rPr>
                <w:lang w:val="fr-CH"/>
              </w:rPr>
              <w:t>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V</w:t>
            </w:r>
          </w:p>
        </w:tc>
        <w:tc>
          <w:tcPr>
            <w:tcW w:w="2123" w:type="dxa"/>
          </w:tcPr>
          <w:p w:rsidR="00CB46B3" w:rsidRPr="0092684F" w:rsidRDefault="000D48F2" w:rsidP="000D48F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0D48F2">
              <w:rPr>
                <w:color w:val="000000"/>
                <w:lang w:val="fr-CH"/>
              </w:rPr>
              <w:t>Anglais (Afrique)</w:t>
            </w:r>
          </w:p>
        </w:tc>
        <w:tc>
          <w:tcPr>
            <w:tcW w:w="2160" w:type="dxa"/>
          </w:tcPr>
          <w:p w:rsidR="00CB46B3" w:rsidRPr="0092684F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98</w:t>
            </w:r>
          </w:p>
        </w:tc>
        <w:tc>
          <w:tcPr>
            <w:tcW w:w="2070" w:type="dxa"/>
          </w:tcPr>
          <w:p w:rsidR="00CB46B3" w:rsidRPr="0092684F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32</w:t>
            </w:r>
          </w:p>
        </w:tc>
        <w:tc>
          <w:tcPr>
            <w:tcW w:w="2240" w:type="dxa"/>
          </w:tcPr>
          <w:p w:rsidR="00CB46B3" w:rsidRPr="0092684F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50</w:t>
            </w:r>
            <w:r w:rsidR="00CB46B3" w:rsidRPr="0092684F">
              <w:rPr>
                <w:lang w:val="fr-CH"/>
              </w:rPr>
              <w:t>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VI</w:t>
            </w:r>
          </w:p>
        </w:tc>
        <w:tc>
          <w:tcPr>
            <w:tcW w:w="2123" w:type="dxa"/>
          </w:tcPr>
          <w:p w:rsidR="00CB46B3" w:rsidRPr="009053C3" w:rsidRDefault="000D48F2" w:rsidP="000D48F2">
            <w:pPr>
              <w:pStyle w:val="ListParagraph"/>
              <w:tabs>
                <w:tab w:val="left" w:pos="360"/>
              </w:tabs>
              <w:ind w:left="0"/>
              <w:jc w:val="center"/>
            </w:pPr>
            <w:proofErr w:type="spellStart"/>
            <w:r w:rsidRPr="000D48F2">
              <w:rPr>
                <w:color w:val="000000"/>
              </w:rPr>
              <w:t>Anglais</w:t>
            </w:r>
            <w:proofErr w:type="spellEnd"/>
            <w:r w:rsidRPr="000D48F2">
              <w:rPr>
                <w:color w:val="000000"/>
              </w:rPr>
              <w:t xml:space="preserve"> (</w:t>
            </w:r>
            <w:proofErr w:type="spellStart"/>
            <w:r w:rsidRPr="000D48F2">
              <w:rPr>
                <w:color w:val="000000"/>
              </w:rPr>
              <w:t>Asie</w:t>
            </w:r>
            <w:proofErr w:type="spellEnd"/>
            <w:r w:rsidRPr="000D48F2">
              <w:rPr>
                <w:color w:val="000000"/>
              </w:rPr>
              <w:t xml:space="preserve"> et </w:t>
            </w:r>
            <w:proofErr w:type="spellStart"/>
            <w:r w:rsidRPr="000D48F2">
              <w:rPr>
                <w:color w:val="000000"/>
              </w:rPr>
              <w:t>Pacifique</w:t>
            </w:r>
            <w:proofErr w:type="spellEnd"/>
            <w:r w:rsidRPr="000D48F2">
              <w:rPr>
                <w:color w:val="000000"/>
              </w:rPr>
              <w:t>)</w:t>
            </w:r>
          </w:p>
        </w:tc>
        <w:tc>
          <w:tcPr>
            <w:tcW w:w="2160" w:type="dxa"/>
          </w:tcPr>
          <w:p w:rsidR="00CB46B3" w:rsidRPr="0092684F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155</w:t>
            </w:r>
          </w:p>
        </w:tc>
        <w:tc>
          <w:tcPr>
            <w:tcW w:w="2070" w:type="dxa"/>
          </w:tcPr>
          <w:p w:rsidR="00CB46B3" w:rsidRPr="0092684F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67</w:t>
            </w:r>
          </w:p>
        </w:tc>
        <w:tc>
          <w:tcPr>
            <w:tcW w:w="2240" w:type="dxa"/>
          </w:tcPr>
          <w:p w:rsidR="00CB46B3" w:rsidRPr="0092684F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6</w:t>
            </w:r>
            <w:r w:rsidR="00CB46B3" w:rsidRPr="0092684F">
              <w:rPr>
                <w:lang w:val="fr-CH"/>
              </w:rPr>
              <w:t>1%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VII</w:t>
            </w:r>
          </w:p>
        </w:tc>
        <w:tc>
          <w:tcPr>
            <w:tcW w:w="2123" w:type="dxa"/>
          </w:tcPr>
          <w:p w:rsidR="00CB46B3" w:rsidRPr="0092684F" w:rsidRDefault="000D48F2" w:rsidP="000D48F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EE463C">
              <w:rPr>
                <w:lang w:val="fr-CH"/>
              </w:rPr>
              <w:t>Français</w:t>
            </w:r>
          </w:p>
        </w:tc>
        <w:tc>
          <w:tcPr>
            <w:tcW w:w="216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91</w:t>
            </w:r>
          </w:p>
        </w:tc>
        <w:tc>
          <w:tcPr>
            <w:tcW w:w="207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26</w:t>
            </w:r>
          </w:p>
        </w:tc>
        <w:tc>
          <w:tcPr>
            <w:tcW w:w="2240" w:type="dxa"/>
          </w:tcPr>
          <w:p w:rsidR="00CB46B3" w:rsidRPr="0092684F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65</w:t>
            </w:r>
            <w:r w:rsidR="00CB46B3" w:rsidRPr="0092684F">
              <w:rPr>
                <w:lang w:val="fr-CH"/>
              </w:rPr>
              <w:t>%</w:t>
            </w:r>
          </w:p>
        </w:tc>
      </w:tr>
      <w:tr w:rsidR="00CB46B3" w:rsidRPr="0092684F" w:rsidTr="00CB46B3">
        <w:tc>
          <w:tcPr>
            <w:tcW w:w="752" w:type="dxa"/>
            <w:shd w:val="clear" w:color="auto" w:fill="auto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VIII</w:t>
            </w:r>
          </w:p>
        </w:tc>
        <w:tc>
          <w:tcPr>
            <w:tcW w:w="2123" w:type="dxa"/>
          </w:tcPr>
          <w:p w:rsidR="00CB46B3" w:rsidRPr="0092684F" w:rsidRDefault="000D48F2" w:rsidP="000D48F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EE463C">
              <w:rPr>
                <w:lang w:val="fr-CH"/>
              </w:rPr>
              <w:t>Chinois</w:t>
            </w:r>
          </w:p>
        </w:tc>
        <w:tc>
          <w:tcPr>
            <w:tcW w:w="216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535</w:t>
            </w:r>
          </w:p>
        </w:tc>
        <w:tc>
          <w:tcPr>
            <w:tcW w:w="207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62</w:t>
            </w:r>
          </w:p>
        </w:tc>
        <w:tc>
          <w:tcPr>
            <w:tcW w:w="2240" w:type="dxa"/>
          </w:tcPr>
          <w:p w:rsidR="00CB46B3" w:rsidRPr="0092684F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fr-CH"/>
              </w:rPr>
            </w:pPr>
            <w:r w:rsidRPr="0092684F">
              <w:rPr>
                <w:lang w:val="fr-CH"/>
              </w:rPr>
              <w:t>3%</w:t>
            </w:r>
          </w:p>
        </w:tc>
      </w:tr>
    </w:tbl>
    <w:p w:rsidR="00FD6BD2" w:rsidRPr="005B3226" w:rsidRDefault="000D48F2" w:rsidP="005B3226">
      <w:pPr>
        <w:pStyle w:val="ListParagraph"/>
        <w:numPr>
          <w:ilvl w:val="0"/>
          <w:numId w:val="4"/>
        </w:numPr>
        <w:tabs>
          <w:tab w:val="left" w:pos="360"/>
        </w:tabs>
        <w:spacing w:before="240" w:after="240"/>
        <w:ind w:left="0" w:firstLine="0"/>
        <w:contextualSpacing w:val="0"/>
        <w:rPr>
          <w:lang w:val="fr-CH"/>
        </w:rPr>
      </w:pPr>
      <w:r w:rsidRPr="000D48F2">
        <w:rPr>
          <w:color w:val="000000"/>
          <w:lang w:val="fr-CH"/>
        </w:rPr>
        <w:t>Les réponses des participants aux questionnaires de satisfaction ont été, dans l</w:t>
      </w:r>
      <w:r w:rsidR="0077612F">
        <w:rPr>
          <w:color w:val="000000"/>
          <w:lang w:val="fr-CH"/>
        </w:rPr>
        <w:t>’</w:t>
      </w:r>
      <w:r w:rsidRPr="000D48F2">
        <w:rPr>
          <w:color w:val="000000"/>
          <w:lang w:val="fr-CH"/>
        </w:rPr>
        <w:t>ensemble, positiv</w:t>
      </w:r>
      <w:r w:rsidR="000342B2" w:rsidRPr="000D48F2">
        <w:rPr>
          <w:color w:val="000000"/>
          <w:lang w:val="fr-CH"/>
        </w:rPr>
        <w:t>es</w:t>
      </w:r>
      <w:r w:rsidR="000342B2">
        <w:rPr>
          <w:color w:val="000000"/>
          <w:lang w:val="fr-CH"/>
        </w:rPr>
        <w:t xml:space="preserve">.  </w:t>
      </w:r>
      <w:r w:rsidR="000342B2" w:rsidRPr="005B3226">
        <w:rPr>
          <w:color w:val="000000"/>
          <w:lang w:val="fr-CH"/>
        </w:rPr>
        <w:t>Co</w:t>
      </w:r>
      <w:r w:rsidR="005B3226" w:rsidRPr="005B3226">
        <w:rPr>
          <w:color w:val="000000"/>
          <w:lang w:val="fr-CH"/>
        </w:rPr>
        <w:t>mme indiqué dans les rapports d</w:t>
      </w:r>
      <w:r w:rsidR="0077612F">
        <w:rPr>
          <w:color w:val="000000"/>
          <w:lang w:val="fr-CH"/>
        </w:rPr>
        <w:t>’</w:t>
      </w:r>
      <w:r w:rsidR="005B3226" w:rsidRPr="005B3226">
        <w:rPr>
          <w:color w:val="000000"/>
          <w:lang w:val="fr-CH"/>
        </w:rPr>
        <w:t>achèvement contenus dans l</w:t>
      </w:r>
      <w:r w:rsidR="0077612F">
        <w:rPr>
          <w:color w:val="000000"/>
          <w:lang w:val="fr-CH"/>
        </w:rPr>
        <w:t>’</w:t>
      </w:r>
      <w:r w:rsidR="005B3226" w:rsidRPr="005B3226">
        <w:rPr>
          <w:color w:val="000000"/>
          <w:lang w:val="fr-CH"/>
        </w:rPr>
        <w:t xml:space="preserve">annexe, la majorité des participants ayant répondu aux questionnaires (taux de réponse variable </w:t>
      </w:r>
      <w:r w:rsidR="00C62E2C">
        <w:rPr>
          <w:color w:val="000000"/>
          <w:lang w:val="fr-CH"/>
        </w:rPr>
        <w:t>d’un webinaire à l’autre</w:t>
      </w:r>
      <w:r w:rsidR="005B3226" w:rsidRPr="005B3226">
        <w:rPr>
          <w:color w:val="000000"/>
          <w:lang w:val="fr-CH"/>
        </w:rPr>
        <w:t>) se sont déclarés satisfaits des webinaires et seraient prêts à assister à des événements similaires à l</w:t>
      </w:r>
      <w:r w:rsidR="0077612F">
        <w:rPr>
          <w:color w:val="000000"/>
          <w:lang w:val="fr-CH"/>
        </w:rPr>
        <w:t>’</w:t>
      </w:r>
      <w:r w:rsidR="005B3226" w:rsidRPr="005B3226">
        <w:rPr>
          <w:color w:val="000000"/>
          <w:lang w:val="fr-CH"/>
        </w:rPr>
        <w:t>avenir et à les recommand</w:t>
      </w:r>
      <w:r w:rsidR="000342B2" w:rsidRPr="005B3226">
        <w:rPr>
          <w:color w:val="000000"/>
          <w:lang w:val="fr-CH"/>
        </w:rPr>
        <w:t>er</w:t>
      </w:r>
      <w:r w:rsidR="000342B2">
        <w:rPr>
          <w:color w:val="000000"/>
          <w:lang w:val="fr-CH"/>
        </w:rPr>
        <w:t xml:space="preserve">.  </w:t>
      </w:r>
      <w:r w:rsidR="000342B2" w:rsidRPr="005B3226">
        <w:rPr>
          <w:color w:val="000000"/>
          <w:lang w:val="fr-CH"/>
        </w:rPr>
        <w:t>Le</w:t>
      </w:r>
      <w:r w:rsidR="005B3226" w:rsidRPr="005B3226">
        <w:rPr>
          <w:color w:val="000000"/>
          <w:lang w:val="fr-CH"/>
        </w:rPr>
        <w:t xml:space="preserve">s </w:t>
      </w:r>
      <w:r w:rsidR="00472CF7">
        <w:rPr>
          <w:color w:val="000000"/>
          <w:lang w:val="fr-CH"/>
        </w:rPr>
        <w:t>avis exprimés</w:t>
      </w:r>
      <w:r w:rsidR="005B3226" w:rsidRPr="005B3226">
        <w:rPr>
          <w:color w:val="000000"/>
          <w:lang w:val="fr-CH"/>
        </w:rPr>
        <w:t xml:space="preserve"> par les experts, de manière informelle et dans leurs rapports d</w:t>
      </w:r>
      <w:r w:rsidR="0077612F">
        <w:rPr>
          <w:color w:val="000000"/>
          <w:lang w:val="fr-CH"/>
        </w:rPr>
        <w:t>’</w:t>
      </w:r>
      <w:r w:rsidR="005B3226" w:rsidRPr="005B3226">
        <w:rPr>
          <w:color w:val="000000"/>
          <w:lang w:val="fr-CH"/>
        </w:rPr>
        <w:t xml:space="preserve">achèvement, </w:t>
      </w:r>
      <w:r w:rsidR="00472CF7">
        <w:rPr>
          <w:color w:val="000000"/>
          <w:lang w:val="fr-CH"/>
        </w:rPr>
        <w:t>ont</w:t>
      </w:r>
      <w:r w:rsidR="00472CF7" w:rsidRPr="005B3226">
        <w:rPr>
          <w:color w:val="000000"/>
          <w:lang w:val="fr-CH"/>
        </w:rPr>
        <w:t xml:space="preserve"> </w:t>
      </w:r>
      <w:r w:rsidR="005B3226" w:rsidRPr="005B3226">
        <w:rPr>
          <w:color w:val="000000"/>
          <w:lang w:val="fr-CH"/>
        </w:rPr>
        <w:t xml:space="preserve">également </w:t>
      </w:r>
      <w:r w:rsidR="00472CF7">
        <w:rPr>
          <w:color w:val="000000"/>
          <w:lang w:val="fr-CH"/>
        </w:rPr>
        <w:t xml:space="preserve">été </w:t>
      </w:r>
      <w:r w:rsidR="00472CF7" w:rsidRPr="005B3226">
        <w:rPr>
          <w:color w:val="000000"/>
          <w:lang w:val="fr-CH"/>
        </w:rPr>
        <w:t>positi</w:t>
      </w:r>
      <w:r w:rsidR="00472CF7">
        <w:rPr>
          <w:color w:val="000000"/>
          <w:lang w:val="fr-CH"/>
        </w:rPr>
        <w:t>f</w:t>
      </w:r>
      <w:r w:rsidR="00472CF7" w:rsidRPr="005B3226">
        <w:rPr>
          <w:color w:val="000000"/>
          <w:lang w:val="fr-CH"/>
        </w:rPr>
        <w:t>s</w:t>
      </w:r>
      <w:r w:rsidR="005B3226" w:rsidRPr="005B3226">
        <w:rPr>
          <w:color w:val="000000"/>
          <w:lang w:val="fr-CH"/>
        </w:rPr>
        <w:t>.</w:t>
      </w:r>
    </w:p>
    <w:p w:rsidR="00FD6BD2" w:rsidRDefault="005B3226" w:rsidP="005B3226">
      <w:pPr>
        <w:pStyle w:val="Heading2"/>
        <w:spacing w:after="240"/>
        <w:ind w:left="360"/>
        <w:rPr>
          <w:lang w:val="fr-CH"/>
        </w:rPr>
      </w:pPr>
      <w:r w:rsidRPr="005B3226">
        <w:rPr>
          <w:color w:val="000000"/>
          <w:lang w:val="fr-CH"/>
        </w:rPr>
        <w:t>Promotion des webinaires</w:t>
      </w:r>
    </w:p>
    <w:p w:rsidR="00FD6BD2" w:rsidRPr="005B3226" w:rsidRDefault="005B3226" w:rsidP="005B3226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5B3226">
        <w:rPr>
          <w:color w:val="000000"/>
          <w:lang w:val="fr-CH"/>
        </w:rPr>
        <w:t>La promotion des webinaires a été assurée par le Secrétariat, avec l</w:t>
      </w:r>
      <w:r w:rsidR="0077612F">
        <w:rPr>
          <w:color w:val="000000"/>
          <w:lang w:val="fr-CH"/>
        </w:rPr>
        <w:t>’</w:t>
      </w:r>
      <w:r w:rsidRPr="005B3226">
        <w:rPr>
          <w:color w:val="000000"/>
          <w:lang w:val="fr-CH"/>
        </w:rPr>
        <w:t>aide des experts.</w:t>
      </w:r>
    </w:p>
    <w:p w:rsidR="0077612F" w:rsidRDefault="00E957F7" w:rsidP="009F73BB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E957F7">
        <w:rPr>
          <w:color w:val="000000"/>
          <w:lang w:val="fr-CH"/>
        </w:rPr>
        <w:t>Tout d</w:t>
      </w:r>
      <w:r w:rsidR="0077612F">
        <w:rPr>
          <w:color w:val="000000"/>
          <w:lang w:val="fr-CH"/>
        </w:rPr>
        <w:t>’</w:t>
      </w:r>
      <w:r w:rsidRPr="00E957F7">
        <w:rPr>
          <w:color w:val="000000"/>
          <w:lang w:val="fr-CH"/>
        </w:rPr>
        <w:t xml:space="preserve">abord, le public cible de chaque webinaire a été </w:t>
      </w:r>
      <w:r w:rsidR="00472CF7">
        <w:rPr>
          <w:color w:val="000000"/>
          <w:lang w:val="fr-CH"/>
        </w:rPr>
        <w:t>déterminé</w:t>
      </w:r>
      <w:r w:rsidRPr="00E957F7">
        <w:rPr>
          <w:color w:val="000000"/>
          <w:lang w:val="fr-CH"/>
        </w:rPr>
        <w:t xml:space="preserve"> en fonction de la région et de la lang</w:t>
      </w:r>
      <w:r w:rsidR="000342B2" w:rsidRPr="00E957F7">
        <w:rPr>
          <w:color w:val="000000"/>
          <w:lang w:val="fr-CH"/>
        </w:rPr>
        <w:t>ue</w:t>
      </w:r>
      <w:r w:rsidR="000342B2">
        <w:rPr>
          <w:color w:val="000000"/>
          <w:lang w:val="fr-CH"/>
        </w:rPr>
        <w:t xml:space="preserve">.  </w:t>
      </w:r>
      <w:r w:rsidR="00C62E2C">
        <w:rPr>
          <w:color w:val="000000"/>
          <w:lang w:val="fr-CH"/>
        </w:rPr>
        <w:t>Le plus souvent</w:t>
      </w:r>
      <w:r w:rsidR="009F73BB" w:rsidRPr="009F73BB">
        <w:rPr>
          <w:color w:val="000000"/>
          <w:lang w:val="fr-CH"/>
        </w:rPr>
        <w:t>, il s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agissait notamment des offices de propriété intellectuelle et autres destinataires de l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assistance technique, des consultants employés par l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OMPI pour la fourniture de l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assistance technique, du personnel de l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OMPI chargé de la fourniture de l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 xml:space="preserve">assistance technique, </w:t>
      </w:r>
      <w:r w:rsidR="002147F1">
        <w:rPr>
          <w:color w:val="000000"/>
          <w:lang w:val="fr-CH"/>
        </w:rPr>
        <w:t xml:space="preserve">du personnel </w:t>
      </w:r>
      <w:r w:rsidR="009F73BB" w:rsidRPr="009F73BB">
        <w:rPr>
          <w:color w:val="000000"/>
          <w:lang w:val="fr-CH"/>
        </w:rPr>
        <w:t>des missions permanentes et autres fonctionnaires nationaux, et d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autres personnes issues de différents milieux et intéressées par les activités de l</w:t>
      </w:r>
      <w:r w:rsidR="0077612F">
        <w:rPr>
          <w:color w:val="000000"/>
          <w:lang w:val="fr-CH"/>
        </w:rPr>
        <w:t>’</w:t>
      </w:r>
      <w:r w:rsidR="009F73BB" w:rsidRPr="009F73BB">
        <w:rPr>
          <w:color w:val="000000"/>
          <w:lang w:val="fr-CH"/>
        </w:rPr>
        <w:t>OMPI.</w:t>
      </w:r>
    </w:p>
    <w:p w:rsidR="0077612F" w:rsidRDefault="00FA64E4" w:rsidP="00FA64E4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FA64E4">
        <w:rPr>
          <w:color w:val="000000"/>
          <w:lang w:val="fr-CH"/>
        </w:rPr>
        <w:t xml:space="preserve">Ensuite, </w:t>
      </w:r>
      <w:r w:rsidR="00C62E2C">
        <w:rPr>
          <w:color w:val="000000"/>
          <w:lang w:val="fr-CH"/>
        </w:rPr>
        <w:t xml:space="preserve">la promotion de </w:t>
      </w:r>
      <w:r w:rsidRPr="00FA64E4">
        <w:rPr>
          <w:color w:val="000000"/>
          <w:lang w:val="fr-CH"/>
        </w:rPr>
        <w:t>l</w:t>
      </w:r>
      <w:r w:rsidR="0077612F">
        <w:rPr>
          <w:color w:val="000000"/>
          <w:lang w:val="fr-CH"/>
        </w:rPr>
        <w:t>’</w:t>
      </w:r>
      <w:r w:rsidRPr="00FA64E4">
        <w:rPr>
          <w:color w:val="000000"/>
          <w:lang w:val="fr-CH"/>
        </w:rPr>
        <w:t xml:space="preserve">événement a </w:t>
      </w:r>
      <w:r w:rsidR="00C62E2C">
        <w:rPr>
          <w:color w:val="000000"/>
          <w:lang w:val="fr-CH"/>
        </w:rPr>
        <w:t>été menée</w:t>
      </w:r>
      <w:r w:rsidRPr="00FA64E4">
        <w:rPr>
          <w:color w:val="000000"/>
          <w:lang w:val="fr-CH"/>
        </w:rPr>
        <w:t xml:space="preserve"> auprès du public cible, en vue d</w:t>
      </w:r>
      <w:r w:rsidR="0077612F">
        <w:rPr>
          <w:color w:val="000000"/>
          <w:lang w:val="fr-CH"/>
        </w:rPr>
        <w:t>’</w:t>
      </w:r>
      <w:r w:rsidRPr="00FA64E4">
        <w:rPr>
          <w:color w:val="000000"/>
          <w:lang w:val="fr-CH"/>
        </w:rPr>
        <w:t xml:space="preserve">accroître la visibilité et de </w:t>
      </w:r>
      <w:r w:rsidR="00C62E2C">
        <w:rPr>
          <w:color w:val="000000"/>
          <w:lang w:val="fr-CH"/>
        </w:rPr>
        <w:t>favoriser</w:t>
      </w:r>
      <w:r w:rsidRPr="00FA64E4">
        <w:rPr>
          <w:color w:val="000000"/>
          <w:lang w:val="fr-CH"/>
        </w:rPr>
        <w:t xml:space="preserve"> une participation maxima</w:t>
      </w:r>
      <w:r w:rsidR="000342B2" w:rsidRPr="00FA64E4">
        <w:rPr>
          <w:color w:val="000000"/>
          <w:lang w:val="fr-CH"/>
        </w:rPr>
        <w:t>le</w:t>
      </w:r>
      <w:r w:rsidR="000342B2">
        <w:rPr>
          <w:color w:val="000000"/>
          <w:lang w:val="fr-CH"/>
        </w:rPr>
        <w:t xml:space="preserve">.  </w:t>
      </w:r>
      <w:r w:rsidR="000342B2" w:rsidRPr="00FA64E4">
        <w:rPr>
          <w:color w:val="000000"/>
          <w:lang w:val="fr-CH"/>
        </w:rPr>
        <w:t>La</w:t>
      </w:r>
      <w:r w:rsidRPr="00FA64E4">
        <w:rPr>
          <w:color w:val="000000"/>
          <w:lang w:val="fr-CH"/>
        </w:rPr>
        <w:t xml:space="preserve"> promotion des webinaires a été faite par l</w:t>
      </w:r>
      <w:r w:rsidR="0077612F">
        <w:rPr>
          <w:color w:val="000000"/>
          <w:lang w:val="fr-CH"/>
        </w:rPr>
        <w:t>’</w:t>
      </w:r>
      <w:r w:rsidRPr="00FA64E4">
        <w:rPr>
          <w:color w:val="000000"/>
          <w:lang w:val="fr-CH"/>
        </w:rPr>
        <w:t>intermédiaire de communications par courrier électronique, du site</w:t>
      </w:r>
      <w:r w:rsidR="00CB6E22">
        <w:rPr>
          <w:color w:val="000000"/>
          <w:lang w:val="fr-CH"/>
        </w:rPr>
        <w:t> </w:t>
      </w:r>
      <w:r w:rsidR="002D0148">
        <w:rPr>
          <w:color w:val="000000"/>
          <w:lang w:val="fr-CH"/>
        </w:rPr>
        <w:t>W</w:t>
      </w:r>
      <w:r w:rsidRPr="00FA64E4">
        <w:rPr>
          <w:color w:val="000000"/>
          <w:lang w:val="fr-CH"/>
        </w:rPr>
        <w:t>eb de l</w:t>
      </w:r>
      <w:r w:rsidR="0077612F">
        <w:rPr>
          <w:color w:val="000000"/>
          <w:lang w:val="fr-CH"/>
        </w:rPr>
        <w:t>’</w:t>
      </w:r>
      <w:r w:rsidRPr="00FA64E4">
        <w:rPr>
          <w:color w:val="000000"/>
          <w:lang w:val="fr-CH"/>
        </w:rPr>
        <w:t>OMPI et, dans certains cas, des médias sociaux (twitter).</w:t>
      </w:r>
    </w:p>
    <w:p w:rsidR="0077612F" w:rsidRDefault="00FA64E4" w:rsidP="00FA64E4">
      <w:pPr>
        <w:pStyle w:val="Heading2"/>
        <w:spacing w:after="240"/>
        <w:ind w:left="360"/>
        <w:rPr>
          <w:color w:val="000000"/>
          <w:lang w:val="fr-CH"/>
        </w:rPr>
      </w:pPr>
      <w:r w:rsidRPr="00FA64E4">
        <w:rPr>
          <w:color w:val="000000"/>
          <w:lang w:val="fr-CH"/>
        </w:rPr>
        <w:t>Taux d</w:t>
      </w:r>
      <w:r w:rsidR="0077612F">
        <w:rPr>
          <w:color w:val="000000"/>
          <w:lang w:val="fr-CH"/>
        </w:rPr>
        <w:t>’</w:t>
      </w:r>
      <w:r w:rsidRPr="00FA64E4">
        <w:rPr>
          <w:color w:val="000000"/>
          <w:lang w:val="fr-CH"/>
        </w:rPr>
        <w:t>utilisation du budget</w:t>
      </w:r>
    </w:p>
    <w:p w:rsidR="00FD6BD2" w:rsidRPr="00FA64E4" w:rsidRDefault="00FA64E4" w:rsidP="00FA64E4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fr-CH"/>
        </w:rPr>
      </w:pPr>
      <w:r w:rsidRPr="00FA64E4">
        <w:rPr>
          <w:color w:val="000000"/>
          <w:lang w:val="fr-CH"/>
        </w:rPr>
        <w:t>Le budget initialement prévu pour la phase pilote des webinaires était de 75</w:t>
      </w:r>
      <w:r w:rsidR="00CB6E22">
        <w:rPr>
          <w:color w:val="000000"/>
          <w:lang w:val="fr-CH"/>
        </w:rPr>
        <w:t> </w:t>
      </w:r>
      <w:r w:rsidRPr="00FA64E4">
        <w:rPr>
          <w:color w:val="000000"/>
          <w:lang w:val="fr-CH"/>
        </w:rPr>
        <w:t>745</w:t>
      </w:r>
      <w:r w:rsidR="002D0148">
        <w:rPr>
          <w:color w:val="000000"/>
          <w:lang w:val="fr-CH"/>
        </w:rPr>
        <w:t> </w:t>
      </w:r>
      <w:r w:rsidRPr="00FA64E4">
        <w:rPr>
          <w:color w:val="000000"/>
          <w:lang w:val="fr-CH"/>
        </w:rPr>
        <w:t>francs suiss</w:t>
      </w:r>
      <w:r w:rsidR="000342B2" w:rsidRPr="00FA64E4">
        <w:rPr>
          <w:color w:val="000000"/>
          <w:lang w:val="fr-CH"/>
        </w:rPr>
        <w:t>es</w:t>
      </w:r>
      <w:r w:rsidR="000342B2">
        <w:rPr>
          <w:color w:val="000000"/>
          <w:lang w:val="fr-CH"/>
        </w:rPr>
        <w:t xml:space="preserve">.  </w:t>
      </w:r>
      <w:r w:rsidR="000342B2" w:rsidRPr="00FA64E4">
        <w:rPr>
          <w:color w:val="000000"/>
          <w:lang w:val="fr-CH"/>
        </w:rPr>
        <w:t>Le</w:t>
      </w:r>
      <w:r w:rsidRPr="00FA64E4">
        <w:rPr>
          <w:color w:val="000000"/>
          <w:lang w:val="fr-CH"/>
        </w:rPr>
        <w:t xml:space="preserve">s dépenses </w:t>
      </w:r>
      <w:r w:rsidR="00C62E2C">
        <w:rPr>
          <w:color w:val="000000"/>
          <w:lang w:val="fr-CH"/>
        </w:rPr>
        <w:t>effectives</w:t>
      </w:r>
      <w:r w:rsidRPr="00FA64E4">
        <w:rPr>
          <w:color w:val="000000"/>
          <w:lang w:val="fr-CH"/>
        </w:rPr>
        <w:t xml:space="preserve"> se sont élevées à 56</w:t>
      </w:r>
      <w:r w:rsidR="00CB6E22">
        <w:rPr>
          <w:color w:val="000000"/>
          <w:lang w:val="fr-CH"/>
        </w:rPr>
        <w:t> </w:t>
      </w:r>
      <w:r w:rsidRPr="00FA64E4">
        <w:rPr>
          <w:color w:val="000000"/>
          <w:lang w:val="fr-CH"/>
        </w:rPr>
        <w:t>847</w:t>
      </w:r>
      <w:r w:rsidR="002D0148">
        <w:rPr>
          <w:color w:val="000000"/>
          <w:lang w:val="fr-CH"/>
        </w:rPr>
        <w:t> </w:t>
      </w:r>
      <w:r w:rsidRPr="00FA64E4">
        <w:rPr>
          <w:color w:val="000000"/>
          <w:lang w:val="fr-CH"/>
        </w:rPr>
        <w:t>francs suiss</w:t>
      </w:r>
      <w:r w:rsidR="000342B2" w:rsidRPr="00FA64E4">
        <w:rPr>
          <w:color w:val="000000"/>
          <w:lang w:val="fr-CH"/>
        </w:rPr>
        <w:t>es</w:t>
      </w:r>
      <w:r w:rsidR="000342B2">
        <w:rPr>
          <w:color w:val="000000"/>
          <w:lang w:val="fr-CH"/>
        </w:rPr>
        <w:t xml:space="preserve">.  </w:t>
      </w:r>
      <w:r w:rsidR="000342B2" w:rsidRPr="00FA64E4">
        <w:rPr>
          <w:color w:val="000000"/>
          <w:lang w:val="fr-CH"/>
        </w:rPr>
        <w:t>Le</w:t>
      </w:r>
      <w:r w:rsidRPr="00FA64E4">
        <w:rPr>
          <w:color w:val="000000"/>
          <w:lang w:val="fr-CH"/>
        </w:rPr>
        <w:t xml:space="preserve"> taux d</w:t>
      </w:r>
      <w:r w:rsidR="0077612F">
        <w:rPr>
          <w:color w:val="000000"/>
          <w:lang w:val="fr-CH"/>
        </w:rPr>
        <w:t>’</w:t>
      </w:r>
      <w:r w:rsidRPr="00FA64E4">
        <w:rPr>
          <w:color w:val="000000"/>
          <w:lang w:val="fr-CH"/>
        </w:rPr>
        <w:t>utilisation a donc été de 75%.</w:t>
      </w:r>
    </w:p>
    <w:p w:rsidR="00FD6BD2" w:rsidRDefault="00FA64E4" w:rsidP="00EB3C0B">
      <w:pPr>
        <w:pStyle w:val="ListParagraph"/>
        <w:keepNext/>
        <w:keepLines/>
        <w:numPr>
          <w:ilvl w:val="0"/>
          <w:numId w:val="4"/>
        </w:numPr>
        <w:spacing w:after="240"/>
        <w:ind w:left="5533"/>
        <w:contextualSpacing w:val="0"/>
        <w:rPr>
          <w:i/>
        </w:rPr>
      </w:pPr>
      <w:r w:rsidRPr="00FA64E4">
        <w:rPr>
          <w:i/>
          <w:color w:val="000000"/>
        </w:rPr>
        <w:lastRenderedPageBreak/>
        <w:t xml:space="preserve">Le CDIP </w:t>
      </w:r>
      <w:proofErr w:type="spellStart"/>
      <w:r w:rsidRPr="00FA64E4">
        <w:rPr>
          <w:i/>
          <w:color w:val="000000"/>
        </w:rPr>
        <w:t>est</w:t>
      </w:r>
      <w:proofErr w:type="spellEnd"/>
      <w:r w:rsidRPr="00FA64E4">
        <w:rPr>
          <w:i/>
          <w:color w:val="000000"/>
        </w:rPr>
        <w:t xml:space="preserve"> </w:t>
      </w:r>
      <w:proofErr w:type="spellStart"/>
      <w:r w:rsidRPr="00FA64E4">
        <w:rPr>
          <w:i/>
          <w:color w:val="000000"/>
        </w:rPr>
        <w:t>invité</w:t>
      </w:r>
      <w:proofErr w:type="spellEnd"/>
    </w:p>
    <w:p w:rsidR="00FD6BD2" w:rsidRPr="00FA64E4" w:rsidRDefault="00FA64E4" w:rsidP="00EB3C0B">
      <w:pPr>
        <w:pStyle w:val="ListParagraph"/>
        <w:keepNext/>
        <w:keepLines/>
        <w:numPr>
          <w:ilvl w:val="0"/>
          <w:numId w:val="8"/>
        </w:numPr>
        <w:spacing w:after="240"/>
        <w:ind w:left="5533"/>
        <w:contextualSpacing w:val="0"/>
        <w:rPr>
          <w:i/>
          <w:lang w:val="fr-CH"/>
        </w:rPr>
      </w:pPr>
      <w:proofErr w:type="gramStart"/>
      <w:r w:rsidRPr="00FA64E4">
        <w:rPr>
          <w:i/>
          <w:color w:val="000000"/>
          <w:lang w:val="fr-CH"/>
        </w:rPr>
        <w:t>à</w:t>
      </w:r>
      <w:proofErr w:type="gramEnd"/>
      <w:r w:rsidRPr="00FA64E4">
        <w:rPr>
          <w:i/>
          <w:color w:val="000000"/>
          <w:lang w:val="fr-CH"/>
        </w:rPr>
        <w:t xml:space="preserve"> prendre note des informations contenues dans le présent document</w:t>
      </w:r>
      <w:r w:rsidR="002D0148">
        <w:rPr>
          <w:i/>
          <w:color w:val="000000"/>
          <w:lang w:val="fr-CH"/>
        </w:rPr>
        <w:t xml:space="preserve"> </w:t>
      </w:r>
      <w:r w:rsidRPr="00FA64E4">
        <w:rPr>
          <w:i/>
          <w:color w:val="000000"/>
          <w:lang w:val="fr-CH"/>
        </w:rPr>
        <w:t>et</w:t>
      </w:r>
    </w:p>
    <w:p w:rsidR="00FD6BD2" w:rsidRDefault="00FA64E4" w:rsidP="00EB3C0B">
      <w:pPr>
        <w:pStyle w:val="ListParagraph"/>
        <w:keepNext/>
        <w:keepLines/>
        <w:numPr>
          <w:ilvl w:val="0"/>
          <w:numId w:val="8"/>
        </w:numPr>
        <w:spacing w:after="360"/>
        <w:ind w:left="5530"/>
        <w:contextualSpacing w:val="0"/>
        <w:rPr>
          <w:i/>
          <w:lang w:val="fr-CH"/>
        </w:rPr>
      </w:pPr>
      <w:proofErr w:type="gramStart"/>
      <w:r w:rsidRPr="00FA64E4">
        <w:rPr>
          <w:i/>
          <w:color w:val="000000"/>
          <w:lang w:val="fr-CH"/>
        </w:rPr>
        <w:t>à</w:t>
      </w:r>
      <w:proofErr w:type="gramEnd"/>
      <w:r w:rsidRPr="00FA64E4">
        <w:rPr>
          <w:i/>
          <w:color w:val="000000"/>
          <w:lang w:val="fr-CH"/>
        </w:rPr>
        <w:t xml:space="preserve"> </w:t>
      </w:r>
      <w:r w:rsidR="002147F1">
        <w:rPr>
          <w:i/>
          <w:color w:val="000000"/>
          <w:lang w:val="fr-CH"/>
        </w:rPr>
        <w:t>examiner</w:t>
      </w:r>
      <w:r w:rsidR="002147F1" w:rsidRPr="00FA64E4">
        <w:rPr>
          <w:i/>
          <w:color w:val="000000"/>
          <w:lang w:val="fr-CH"/>
        </w:rPr>
        <w:t xml:space="preserve"> </w:t>
      </w:r>
      <w:r w:rsidRPr="00FA64E4">
        <w:rPr>
          <w:i/>
          <w:color w:val="000000"/>
          <w:lang w:val="fr-CH"/>
        </w:rPr>
        <w:t xml:space="preserve">la </w:t>
      </w:r>
      <w:r w:rsidR="002147F1">
        <w:rPr>
          <w:i/>
          <w:color w:val="000000"/>
          <w:lang w:val="fr-CH"/>
        </w:rPr>
        <w:t>voie à suivre</w:t>
      </w:r>
      <w:r w:rsidRPr="00FA64E4">
        <w:rPr>
          <w:i/>
          <w:color w:val="000000"/>
          <w:lang w:val="fr-CH"/>
        </w:rPr>
        <w:t>.</w:t>
      </w:r>
    </w:p>
    <w:p w:rsidR="001F3071" w:rsidRPr="00EB21D6" w:rsidRDefault="00FA64E4" w:rsidP="00F622AE">
      <w:pPr>
        <w:pStyle w:val="ListParagraph"/>
        <w:spacing w:after="960"/>
        <w:ind w:left="5940"/>
        <w:rPr>
          <w:lang w:val="fr-CH"/>
        </w:rPr>
      </w:pPr>
      <w:r w:rsidRPr="00EE463C">
        <w:t>[</w:t>
      </w:r>
      <w:proofErr w:type="spellStart"/>
      <w:r w:rsidRPr="00EE463C">
        <w:t>L</w:t>
      </w:r>
      <w:r w:rsidR="0077612F" w:rsidRPr="00EE463C">
        <w:t>’</w:t>
      </w:r>
      <w:r w:rsidRPr="00EE463C">
        <w:t>annexe</w:t>
      </w:r>
      <w:proofErr w:type="spellEnd"/>
      <w:r w:rsidRPr="00EE463C">
        <w:t xml:space="preserve"> suit]</w:t>
      </w:r>
    </w:p>
    <w:sectPr w:rsidR="001F3071" w:rsidRPr="00EB21D6" w:rsidSect="000F2FFA">
      <w:headerReference w:type="default" r:id="rId14"/>
      <w:endnotePr>
        <w:numFmt w:val="decimal"/>
      </w:endnotePr>
      <w:pgSz w:w="11907" w:h="16840" w:code="9"/>
      <w:pgMar w:top="1613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F6" w:rsidRDefault="002B7FF6">
      <w:r>
        <w:separator/>
      </w:r>
    </w:p>
  </w:endnote>
  <w:endnote w:type="continuationSeparator" w:id="0">
    <w:p w:rsidR="002B7FF6" w:rsidRDefault="002B7FF6" w:rsidP="003B38C1">
      <w:r>
        <w:separator/>
      </w:r>
    </w:p>
    <w:p w:rsidR="002B7FF6" w:rsidRPr="003B38C1" w:rsidRDefault="002B7F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B7FF6" w:rsidRPr="003B38C1" w:rsidRDefault="002B7F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F6" w:rsidRDefault="002B7FF6">
      <w:r>
        <w:separator/>
      </w:r>
    </w:p>
  </w:footnote>
  <w:footnote w:type="continuationSeparator" w:id="0">
    <w:p w:rsidR="002B7FF6" w:rsidRDefault="002B7FF6" w:rsidP="008B60B2">
      <w:r>
        <w:separator/>
      </w:r>
    </w:p>
    <w:p w:rsidR="002B7FF6" w:rsidRPr="00ED77FB" w:rsidRDefault="002B7F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B7FF6" w:rsidRPr="00ED77FB" w:rsidRDefault="002B7F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E2E72" w:rsidRPr="00BE2E72" w:rsidRDefault="00BE2E7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BE2E72">
        <w:rPr>
          <w:lang w:val="fr-CH"/>
        </w:rPr>
        <w:t xml:space="preserve"> </w:t>
      </w:r>
      <w:r>
        <w:rPr>
          <w:lang w:val="fr-CH"/>
        </w:rPr>
        <w:tab/>
      </w:r>
      <w:r w:rsidRPr="00BE2E72">
        <w:rPr>
          <w:sz w:val="16"/>
          <w:lang w:val="fr-CH"/>
        </w:rPr>
        <w:t xml:space="preserve">Conformément à la politique linguistique de l'OMPI, seul le corps de ce document (pages 1 à 4) sera traduit dans les cinq autres langues de l'ONU.  Le document complet, annexe comprise, est disponible en anglais sur la </w:t>
      </w:r>
      <w:hyperlink r:id="rId1" w:history="1">
        <w:r w:rsidRPr="00351BF1">
          <w:rPr>
            <w:rStyle w:val="Hyperlink"/>
            <w:sz w:val="16"/>
            <w:lang w:val="fr-CH"/>
          </w:rPr>
          <w:t>page web du CDIP/25</w:t>
        </w:r>
      </w:hyperlink>
      <w:r w:rsidRPr="00BE2E72">
        <w:rPr>
          <w:sz w:val="16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AE" w:rsidRDefault="00F622AE" w:rsidP="00F622AE">
    <w:pPr>
      <w:pStyle w:val="Header"/>
      <w:jc w:val="right"/>
    </w:pPr>
    <w:r>
      <w:t>CDIP/25/3</w:t>
    </w:r>
  </w:p>
  <w:p w:rsidR="00F622AE" w:rsidRDefault="00F622AE" w:rsidP="00F622AE">
    <w:pPr>
      <w:pStyle w:val="Header"/>
      <w:jc w:val="right"/>
      <w:rPr>
        <w:noProof/>
      </w:rPr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 \* MERGEFORMAT </w:instrText>
    </w:r>
    <w:r>
      <w:fldChar w:fldCharType="separate"/>
    </w:r>
    <w:r w:rsidR="00AA1DA6">
      <w:rPr>
        <w:noProof/>
      </w:rPr>
      <w:t>5</w:t>
    </w:r>
    <w:r>
      <w:rPr>
        <w:noProof/>
      </w:rPr>
      <w:fldChar w:fldCharType="end"/>
    </w:r>
  </w:p>
  <w:p w:rsidR="00F622AE" w:rsidRDefault="00F622AE">
    <w:pPr>
      <w:pStyle w:val="Header"/>
    </w:pPr>
  </w:p>
  <w:p w:rsidR="00F622AE" w:rsidRDefault="00F62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75B6CF0"/>
    <w:multiLevelType w:val="hybridMultilevel"/>
    <w:tmpl w:val="A7BE988C"/>
    <w:lvl w:ilvl="0" w:tplc="C4B83B7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F2A"/>
    <w:multiLevelType w:val="hybridMultilevel"/>
    <w:tmpl w:val="AF6C6EB8"/>
    <w:lvl w:ilvl="0" w:tplc="0EA898F0">
      <w:start w:val="1"/>
      <w:numFmt w:val="lowerLetter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121566B"/>
    <w:multiLevelType w:val="hybridMultilevel"/>
    <w:tmpl w:val="CE52B3DA"/>
    <w:lvl w:ilvl="0" w:tplc="D602A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62232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4B3"/>
    <w:multiLevelType w:val="hybridMultilevel"/>
    <w:tmpl w:val="602E344C"/>
    <w:lvl w:ilvl="0" w:tplc="57747D5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55BA"/>
    <w:multiLevelType w:val="hybridMultilevel"/>
    <w:tmpl w:val="825CA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3727"/>
    <w:multiLevelType w:val="hybridMultilevel"/>
    <w:tmpl w:val="396AE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734D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F766A"/>
    <w:multiLevelType w:val="hybridMultilevel"/>
    <w:tmpl w:val="3844E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562C8F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3C1A"/>
    <w:multiLevelType w:val="hybridMultilevel"/>
    <w:tmpl w:val="C2C48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B5915"/>
    <w:multiLevelType w:val="hybridMultilevel"/>
    <w:tmpl w:val="4E7E9732"/>
    <w:lvl w:ilvl="0" w:tplc="FE780BFE">
      <w:start w:val="1"/>
      <w:numFmt w:val="lowerRoman"/>
      <w:lvlText w:val="%1)"/>
      <w:lvlJc w:val="left"/>
      <w:pPr>
        <w:ind w:left="66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4" w15:restartNumberingAfterBreak="0">
    <w:nsid w:val="314E4957"/>
    <w:multiLevelType w:val="hybridMultilevel"/>
    <w:tmpl w:val="9C2E1764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2FE09AA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93404"/>
    <w:multiLevelType w:val="hybridMultilevel"/>
    <w:tmpl w:val="01EC06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2CD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EA4B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22D6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90A9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A837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32C0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670E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F4DF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2C32F6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106D2"/>
    <w:multiLevelType w:val="hybridMultilevel"/>
    <w:tmpl w:val="93743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26636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A0F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B397C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0214F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A5A78"/>
    <w:multiLevelType w:val="hybridMultilevel"/>
    <w:tmpl w:val="009CD17E"/>
    <w:lvl w:ilvl="0" w:tplc="3376A586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1AB3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E70F9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5653B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E59E6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307E9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02D87"/>
    <w:multiLevelType w:val="hybridMultilevel"/>
    <w:tmpl w:val="F912ECA2"/>
    <w:lvl w:ilvl="0" w:tplc="E3385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81D27"/>
    <w:multiLevelType w:val="hybridMultilevel"/>
    <w:tmpl w:val="177C48E0"/>
    <w:lvl w:ilvl="0" w:tplc="CD969B94">
      <w:start w:val="1"/>
      <w:numFmt w:val="decimal"/>
      <w:lvlText w:val="%1."/>
      <w:lvlJc w:val="lef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2" w15:restartNumberingAfterBreak="0">
    <w:nsid w:val="70106CB5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514C3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0"/>
  </w:num>
  <w:num w:numId="4">
    <w:abstractNumId w:val="1"/>
  </w:num>
  <w:num w:numId="5">
    <w:abstractNumId w:val="24"/>
  </w:num>
  <w:num w:numId="6">
    <w:abstractNumId w:val="5"/>
  </w:num>
  <w:num w:numId="7">
    <w:abstractNumId w:val="12"/>
  </w:num>
  <w:num w:numId="8">
    <w:abstractNumId w:val="13"/>
  </w:num>
  <w:num w:numId="9">
    <w:abstractNumId w:val="26"/>
  </w:num>
  <w:num w:numId="10">
    <w:abstractNumId w:val="17"/>
  </w:num>
  <w:num w:numId="11">
    <w:abstractNumId w:val="33"/>
  </w:num>
  <w:num w:numId="12">
    <w:abstractNumId w:val="30"/>
  </w:num>
  <w:num w:numId="13">
    <w:abstractNumId w:val="19"/>
  </w:num>
  <w:num w:numId="14">
    <w:abstractNumId w:val="29"/>
  </w:num>
  <w:num w:numId="15">
    <w:abstractNumId w:val="23"/>
  </w:num>
  <w:num w:numId="16">
    <w:abstractNumId w:val="31"/>
  </w:num>
  <w:num w:numId="17">
    <w:abstractNumId w:val="7"/>
  </w:num>
  <w:num w:numId="18">
    <w:abstractNumId w:val="11"/>
  </w:num>
  <w:num w:numId="19">
    <w:abstractNumId w:val="15"/>
  </w:num>
  <w:num w:numId="20">
    <w:abstractNumId w:val="16"/>
  </w:num>
  <w:num w:numId="21">
    <w:abstractNumId w:val="9"/>
  </w:num>
  <w:num w:numId="22">
    <w:abstractNumId w:val="27"/>
  </w:num>
  <w:num w:numId="23">
    <w:abstractNumId w:val="28"/>
  </w:num>
  <w:num w:numId="24">
    <w:abstractNumId w:val="4"/>
  </w:num>
  <w:num w:numId="25">
    <w:abstractNumId w:val="18"/>
  </w:num>
  <w:num w:numId="26">
    <w:abstractNumId w:val="3"/>
  </w:num>
  <w:num w:numId="27">
    <w:abstractNumId w:val="22"/>
  </w:num>
  <w:num w:numId="28">
    <w:abstractNumId w:val="20"/>
  </w:num>
  <w:num w:numId="29">
    <w:abstractNumId w:val="6"/>
  </w:num>
  <w:num w:numId="30">
    <w:abstractNumId w:val="32"/>
  </w:num>
  <w:num w:numId="31">
    <w:abstractNumId w:val="25"/>
  </w:num>
  <w:num w:numId="32">
    <w:abstractNumId w:val="2"/>
  </w:num>
  <w:num w:numId="33">
    <w:abstractNumId w:val="8"/>
  </w:num>
  <w:num w:numId="34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"/>
    <w:docVar w:name="TextBaseURL" w:val="empty"/>
    <w:docVar w:name="UILng" w:val="en"/>
  </w:docVars>
  <w:rsids>
    <w:rsidRoot w:val="002F0A77"/>
    <w:rsid w:val="00001604"/>
    <w:rsid w:val="00004EAD"/>
    <w:rsid w:val="00005280"/>
    <w:rsid w:val="0000531E"/>
    <w:rsid w:val="00011D30"/>
    <w:rsid w:val="00013BCF"/>
    <w:rsid w:val="00023B82"/>
    <w:rsid w:val="000304B8"/>
    <w:rsid w:val="000342B2"/>
    <w:rsid w:val="00035231"/>
    <w:rsid w:val="00037DD5"/>
    <w:rsid w:val="00043BC1"/>
    <w:rsid w:val="00043CAA"/>
    <w:rsid w:val="0004693C"/>
    <w:rsid w:val="00047F51"/>
    <w:rsid w:val="00056BC4"/>
    <w:rsid w:val="00056D61"/>
    <w:rsid w:val="00057D49"/>
    <w:rsid w:val="00063B9A"/>
    <w:rsid w:val="00064B9F"/>
    <w:rsid w:val="0007434D"/>
    <w:rsid w:val="0007439D"/>
    <w:rsid w:val="00075432"/>
    <w:rsid w:val="00076F46"/>
    <w:rsid w:val="00077F49"/>
    <w:rsid w:val="000810E8"/>
    <w:rsid w:val="0008625B"/>
    <w:rsid w:val="00087131"/>
    <w:rsid w:val="000928FA"/>
    <w:rsid w:val="00095161"/>
    <w:rsid w:val="000968ED"/>
    <w:rsid w:val="000B14A8"/>
    <w:rsid w:val="000B2344"/>
    <w:rsid w:val="000B2A34"/>
    <w:rsid w:val="000B7F17"/>
    <w:rsid w:val="000C2ECD"/>
    <w:rsid w:val="000C40A6"/>
    <w:rsid w:val="000C5FB6"/>
    <w:rsid w:val="000D03F7"/>
    <w:rsid w:val="000D28AD"/>
    <w:rsid w:val="000D3036"/>
    <w:rsid w:val="000D48F2"/>
    <w:rsid w:val="000D76F8"/>
    <w:rsid w:val="000E0707"/>
    <w:rsid w:val="000E2412"/>
    <w:rsid w:val="000E49B5"/>
    <w:rsid w:val="000E4DD9"/>
    <w:rsid w:val="000E6EB7"/>
    <w:rsid w:val="000F187B"/>
    <w:rsid w:val="000F22D6"/>
    <w:rsid w:val="000F2FFA"/>
    <w:rsid w:val="000F392B"/>
    <w:rsid w:val="000F5CC2"/>
    <w:rsid w:val="000F5E56"/>
    <w:rsid w:val="00106333"/>
    <w:rsid w:val="00111C2B"/>
    <w:rsid w:val="001146EE"/>
    <w:rsid w:val="00131559"/>
    <w:rsid w:val="00131823"/>
    <w:rsid w:val="001362EE"/>
    <w:rsid w:val="00144671"/>
    <w:rsid w:val="001577ED"/>
    <w:rsid w:val="00160BC4"/>
    <w:rsid w:val="0016299C"/>
    <w:rsid w:val="00163303"/>
    <w:rsid w:val="001647D5"/>
    <w:rsid w:val="00171E0C"/>
    <w:rsid w:val="0017221C"/>
    <w:rsid w:val="00176478"/>
    <w:rsid w:val="00176CAE"/>
    <w:rsid w:val="001800E5"/>
    <w:rsid w:val="00180BFF"/>
    <w:rsid w:val="00180CDA"/>
    <w:rsid w:val="001832A6"/>
    <w:rsid w:val="0018448B"/>
    <w:rsid w:val="00184D37"/>
    <w:rsid w:val="00185FC2"/>
    <w:rsid w:val="00193BEC"/>
    <w:rsid w:val="00196416"/>
    <w:rsid w:val="001971D4"/>
    <w:rsid w:val="001A20A5"/>
    <w:rsid w:val="001A2495"/>
    <w:rsid w:val="001A7003"/>
    <w:rsid w:val="001B3AAE"/>
    <w:rsid w:val="001B55ED"/>
    <w:rsid w:val="001B56FD"/>
    <w:rsid w:val="001B5C0E"/>
    <w:rsid w:val="001C023A"/>
    <w:rsid w:val="001C198E"/>
    <w:rsid w:val="001C2E3B"/>
    <w:rsid w:val="001C456F"/>
    <w:rsid w:val="001C6066"/>
    <w:rsid w:val="001C6EEA"/>
    <w:rsid w:val="001D21D4"/>
    <w:rsid w:val="001D7823"/>
    <w:rsid w:val="001E2625"/>
    <w:rsid w:val="001E358B"/>
    <w:rsid w:val="001E376C"/>
    <w:rsid w:val="001E3A7A"/>
    <w:rsid w:val="001E3D93"/>
    <w:rsid w:val="001F3071"/>
    <w:rsid w:val="00211D5C"/>
    <w:rsid w:val="0021217E"/>
    <w:rsid w:val="0021323F"/>
    <w:rsid w:val="00214799"/>
    <w:rsid w:val="002147F1"/>
    <w:rsid w:val="00221623"/>
    <w:rsid w:val="002216C6"/>
    <w:rsid w:val="00223F67"/>
    <w:rsid w:val="002247C6"/>
    <w:rsid w:val="0023181B"/>
    <w:rsid w:val="002328BD"/>
    <w:rsid w:val="002335CA"/>
    <w:rsid w:val="00244DE1"/>
    <w:rsid w:val="00245185"/>
    <w:rsid w:val="00246419"/>
    <w:rsid w:val="00246FBB"/>
    <w:rsid w:val="002523DD"/>
    <w:rsid w:val="00257035"/>
    <w:rsid w:val="002634C4"/>
    <w:rsid w:val="00264602"/>
    <w:rsid w:val="00264B0E"/>
    <w:rsid w:val="002661C4"/>
    <w:rsid w:val="0027093C"/>
    <w:rsid w:val="00275521"/>
    <w:rsid w:val="0027643D"/>
    <w:rsid w:val="002779E6"/>
    <w:rsid w:val="00283764"/>
    <w:rsid w:val="00284414"/>
    <w:rsid w:val="002861B5"/>
    <w:rsid w:val="002928D3"/>
    <w:rsid w:val="00295FC5"/>
    <w:rsid w:val="002A4C71"/>
    <w:rsid w:val="002A7145"/>
    <w:rsid w:val="002A7A1F"/>
    <w:rsid w:val="002B3A9D"/>
    <w:rsid w:val="002B7FF6"/>
    <w:rsid w:val="002D0148"/>
    <w:rsid w:val="002D3556"/>
    <w:rsid w:val="002E66DE"/>
    <w:rsid w:val="002F0A77"/>
    <w:rsid w:val="002F1FE6"/>
    <w:rsid w:val="002F3D23"/>
    <w:rsid w:val="002F4B55"/>
    <w:rsid w:val="002F4E68"/>
    <w:rsid w:val="002F78CE"/>
    <w:rsid w:val="00301654"/>
    <w:rsid w:val="003048DC"/>
    <w:rsid w:val="00311EA1"/>
    <w:rsid w:val="00312F7F"/>
    <w:rsid w:val="003312B9"/>
    <w:rsid w:val="0034213E"/>
    <w:rsid w:val="00346932"/>
    <w:rsid w:val="00351BF1"/>
    <w:rsid w:val="003551C5"/>
    <w:rsid w:val="00356A7F"/>
    <w:rsid w:val="00361450"/>
    <w:rsid w:val="003615C0"/>
    <w:rsid w:val="00361756"/>
    <w:rsid w:val="003673CF"/>
    <w:rsid w:val="00367885"/>
    <w:rsid w:val="003714DF"/>
    <w:rsid w:val="00371C71"/>
    <w:rsid w:val="00372CEF"/>
    <w:rsid w:val="00373891"/>
    <w:rsid w:val="0037625E"/>
    <w:rsid w:val="0038026A"/>
    <w:rsid w:val="003845C1"/>
    <w:rsid w:val="003941D4"/>
    <w:rsid w:val="00394704"/>
    <w:rsid w:val="003949BA"/>
    <w:rsid w:val="00397A57"/>
    <w:rsid w:val="003A5A8B"/>
    <w:rsid w:val="003A6F89"/>
    <w:rsid w:val="003B2C75"/>
    <w:rsid w:val="003B38C1"/>
    <w:rsid w:val="003B6885"/>
    <w:rsid w:val="003C4996"/>
    <w:rsid w:val="003C6A9D"/>
    <w:rsid w:val="003D499E"/>
    <w:rsid w:val="003D584D"/>
    <w:rsid w:val="003F3923"/>
    <w:rsid w:val="003F4503"/>
    <w:rsid w:val="00401337"/>
    <w:rsid w:val="004037FA"/>
    <w:rsid w:val="004038F9"/>
    <w:rsid w:val="00403A7E"/>
    <w:rsid w:val="00410F06"/>
    <w:rsid w:val="00413704"/>
    <w:rsid w:val="00422966"/>
    <w:rsid w:val="00423E3E"/>
    <w:rsid w:val="00427A68"/>
    <w:rsid w:val="00427AF4"/>
    <w:rsid w:val="00430362"/>
    <w:rsid w:val="00430684"/>
    <w:rsid w:val="00431A46"/>
    <w:rsid w:val="0043387A"/>
    <w:rsid w:val="004364F6"/>
    <w:rsid w:val="0044065F"/>
    <w:rsid w:val="004424E6"/>
    <w:rsid w:val="00442544"/>
    <w:rsid w:val="00444981"/>
    <w:rsid w:val="004511D0"/>
    <w:rsid w:val="004532C1"/>
    <w:rsid w:val="004539D5"/>
    <w:rsid w:val="00455D32"/>
    <w:rsid w:val="00455F41"/>
    <w:rsid w:val="004615FF"/>
    <w:rsid w:val="004647DA"/>
    <w:rsid w:val="00472CF7"/>
    <w:rsid w:val="00474062"/>
    <w:rsid w:val="00477567"/>
    <w:rsid w:val="00477D6B"/>
    <w:rsid w:val="00477E7B"/>
    <w:rsid w:val="0048384C"/>
    <w:rsid w:val="004849C3"/>
    <w:rsid w:val="004911E9"/>
    <w:rsid w:val="0049388B"/>
    <w:rsid w:val="004A2B16"/>
    <w:rsid w:val="004B3301"/>
    <w:rsid w:val="004B69DD"/>
    <w:rsid w:val="004C2A8F"/>
    <w:rsid w:val="004C6772"/>
    <w:rsid w:val="004C6EB4"/>
    <w:rsid w:val="004D3CAD"/>
    <w:rsid w:val="004E1374"/>
    <w:rsid w:val="004F0BD2"/>
    <w:rsid w:val="005019FF"/>
    <w:rsid w:val="00503819"/>
    <w:rsid w:val="005149AA"/>
    <w:rsid w:val="00516EAC"/>
    <w:rsid w:val="00524A92"/>
    <w:rsid w:val="0053020E"/>
    <w:rsid w:val="0053057A"/>
    <w:rsid w:val="00533B24"/>
    <w:rsid w:val="0053765E"/>
    <w:rsid w:val="00541835"/>
    <w:rsid w:val="00541C02"/>
    <w:rsid w:val="005427CB"/>
    <w:rsid w:val="00545E3A"/>
    <w:rsid w:val="00556610"/>
    <w:rsid w:val="0056056D"/>
    <w:rsid w:val="00560A29"/>
    <w:rsid w:val="0056233E"/>
    <w:rsid w:val="00565907"/>
    <w:rsid w:val="00573477"/>
    <w:rsid w:val="0058016C"/>
    <w:rsid w:val="005904B2"/>
    <w:rsid w:val="00595F64"/>
    <w:rsid w:val="005960AA"/>
    <w:rsid w:val="005A06C4"/>
    <w:rsid w:val="005A1D03"/>
    <w:rsid w:val="005A5C80"/>
    <w:rsid w:val="005B2DCE"/>
    <w:rsid w:val="005B3226"/>
    <w:rsid w:val="005B49D9"/>
    <w:rsid w:val="005B7E78"/>
    <w:rsid w:val="005C00A2"/>
    <w:rsid w:val="005C32F2"/>
    <w:rsid w:val="005C48DC"/>
    <w:rsid w:val="005C6649"/>
    <w:rsid w:val="005D15A1"/>
    <w:rsid w:val="005D2B76"/>
    <w:rsid w:val="005D55DD"/>
    <w:rsid w:val="005E5248"/>
    <w:rsid w:val="005E65BF"/>
    <w:rsid w:val="005F181B"/>
    <w:rsid w:val="005F4182"/>
    <w:rsid w:val="005F69C7"/>
    <w:rsid w:val="005F6FB6"/>
    <w:rsid w:val="0060485C"/>
    <w:rsid w:val="00605827"/>
    <w:rsid w:val="00607960"/>
    <w:rsid w:val="00612677"/>
    <w:rsid w:val="00626EFB"/>
    <w:rsid w:val="00636866"/>
    <w:rsid w:val="006428CA"/>
    <w:rsid w:val="00642CE5"/>
    <w:rsid w:val="00642D6A"/>
    <w:rsid w:val="0064470D"/>
    <w:rsid w:val="00645510"/>
    <w:rsid w:val="006458C6"/>
    <w:rsid w:val="00646050"/>
    <w:rsid w:val="006511DF"/>
    <w:rsid w:val="00654E70"/>
    <w:rsid w:val="00664921"/>
    <w:rsid w:val="00666B0F"/>
    <w:rsid w:val="00666FF8"/>
    <w:rsid w:val="006713CA"/>
    <w:rsid w:val="00676C5C"/>
    <w:rsid w:val="00686D24"/>
    <w:rsid w:val="006876BA"/>
    <w:rsid w:val="00691235"/>
    <w:rsid w:val="00691686"/>
    <w:rsid w:val="00692D2A"/>
    <w:rsid w:val="006A1854"/>
    <w:rsid w:val="006A2AD1"/>
    <w:rsid w:val="006A77AE"/>
    <w:rsid w:val="006A7AC0"/>
    <w:rsid w:val="006B72B1"/>
    <w:rsid w:val="006C2497"/>
    <w:rsid w:val="006D3E7D"/>
    <w:rsid w:val="006D7EB6"/>
    <w:rsid w:val="006E0D0A"/>
    <w:rsid w:val="006E4EC9"/>
    <w:rsid w:val="006E7BC3"/>
    <w:rsid w:val="006F2F37"/>
    <w:rsid w:val="006F58BF"/>
    <w:rsid w:val="00700AC6"/>
    <w:rsid w:val="00702CCE"/>
    <w:rsid w:val="00720770"/>
    <w:rsid w:val="00723EBF"/>
    <w:rsid w:val="007273F7"/>
    <w:rsid w:val="00727B52"/>
    <w:rsid w:val="007306BE"/>
    <w:rsid w:val="007309BB"/>
    <w:rsid w:val="00736875"/>
    <w:rsid w:val="007436EC"/>
    <w:rsid w:val="0074484E"/>
    <w:rsid w:val="00744ED4"/>
    <w:rsid w:val="0075071A"/>
    <w:rsid w:val="007518BF"/>
    <w:rsid w:val="007522B8"/>
    <w:rsid w:val="007523CC"/>
    <w:rsid w:val="007530C4"/>
    <w:rsid w:val="00753C27"/>
    <w:rsid w:val="007559E7"/>
    <w:rsid w:val="00756BBA"/>
    <w:rsid w:val="007576F9"/>
    <w:rsid w:val="007607C7"/>
    <w:rsid w:val="0076401F"/>
    <w:rsid w:val="00770E4F"/>
    <w:rsid w:val="00771A29"/>
    <w:rsid w:val="00771F21"/>
    <w:rsid w:val="00773651"/>
    <w:rsid w:val="0077612F"/>
    <w:rsid w:val="00782E57"/>
    <w:rsid w:val="007841D0"/>
    <w:rsid w:val="00785F28"/>
    <w:rsid w:val="00786AEB"/>
    <w:rsid w:val="00793CFA"/>
    <w:rsid w:val="00797BE7"/>
    <w:rsid w:val="007A0B3A"/>
    <w:rsid w:val="007B0778"/>
    <w:rsid w:val="007C4A0E"/>
    <w:rsid w:val="007C5249"/>
    <w:rsid w:val="007C541C"/>
    <w:rsid w:val="007D1613"/>
    <w:rsid w:val="007D3015"/>
    <w:rsid w:val="007D4163"/>
    <w:rsid w:val="007E2B63"/>
    <w:rsid w:val="007E393F"/>
    <w:rsid w:val="007E3D2E"/>
    <w:rsid w:val="007E4C0E"/>
    <w:rsid w:val="007E5C5D"/>
    <w:rsid w:val="007E5FFF"/>
    <w:rsid w:val="007F0D4E"/>
    <w:rsid w:val="007F536A"/>
    <w:rsid w:val="007F7720"/>
    <w:rsid w:val="007F7864"/>
    <w:rsid w:val="008126D1"/>
    <w:rsid w:val="008200B5"/>
    <w:rsid w:val="008206F7"/>
    <w:rsid w:val="008215C6"/>
    <w:rsid w:val="00821600"/>
    <w:rsid w:val="008236CB"/>
    <w:rsid w:val="00826FA7"/>
    <w:rsid w:val="008273B7"/>
    <w:rsid w:val="00830C51"/>
    <w:rsid w:val="008312E8"/>
    <w:rsid w:val="00833C52"/>
    <w:rsid w:val="008361FC"/>
    <w:rsid w:val="00837772"/>
    <w:rsid w:val="00846FDD"/>
    <w:rsid w:val="00847EA8"/>
    <w:rsid w:val="00851096"/>
    <w:rsid w:val="008516B5"/>
    <w:rsid w:val="00854B92"/>
    <w:rsid w:val="00857EDE"/>
    <w:rsid w:val="00862360"/>
    <w:rsid w:val="00864BD7"/>
    <w:rsid w:val="00867B5E"/>
    <w:rsid w:val="008762D9"/>
    <w:rsid w:val="008810DE"/>
    <w:rsid w:val="00890775"/>
    <w:rsid w:val="00895727"/>
    <w:rsid w:val="008A134B"/>
    <w:rsid w:val="008A65CA"/>
    <w:rsid w:val="008A7BD3"/>
    <w:rsid w:val="008B2CC1"/>
    <w:rsid w:val="008B60B2"/>
    <w:rsid w:val="008B6187"/>
    <w:rsid w:val="008C0E1D"/>
    <w:rsid w:val="008C31CE"/>
    <w:rsid w:val="008C4B27"/>
    <w:rsid w:val="008C6087"/>
    <w:rsid w:val="008D026C"/>
    <w:rsid w:val="008D4624"/>
    <w:rsid w:val="008E0647"/>
    <w:rsid w:val="008E0D70"/>
    <w:rsid w:val="008E753A"/>
    <w:rsid w:val="008F1076"/>
    <w:rsid w:val="008F15A9"/>
    <w:rsid w:val="008F2C7F"/>
    <w:rsid w:val="008F43F2"/>
    <w:rsid w:val="00902D29"/>
    <w:rsid w:val="009049F3"/>
    <w:rsid w:val="009053C3"/>
    <w:rsid w:val="0090731E"/>
    <w:rsid w:val="00911ADC"/>
    <w:rsid w:val="0091333B"/>
    <w:rsid w:val="00916EE2"/>
    <w:rsid w:val="0092684F"/>
    <w:rsid w:val="00926DEA"/>
    <w:rsid w:val="00931077"/>
    <w:rsid w:val="00934F44"/>
    <w:rsid w:val="009350C8"/>
    <w:rsid w:val="00935E78"/>
    <w:rsid w:val="0093713D"/>
    <w:rsid w:val="00953B06"/>
    <w:rsid w:val="00954C24"/>
    <w:rsid w:val="00956A94"/>
    <w:rsid w:val="00966A22"/>
    <w:rsid w:val="0096722F"/>
    <w:rsid w:val="00972559"/>
    <w:rsid w:val="009740BD"/>
    <w:rsid w:val="009742CB"/>
    <w:rsid w:val="00975E73"/>
    <w:rsid w:val="00980843"/>
    <w:rsid w:val="009809F0"/>
    <w:rsid w:val="00982648"/>
    <w:rsid w:val="009834A3"/>
    <w:rsid w:val="009909AF"/>
    <w:rsid w:val="009A0977"/>
    <w:rsid w:val="009A10EF"/>
    <w:rsid w:val="009A29B9"/>
    <w:rsid w:val="009A536F"/>
    <w:rsid w:val="009B179D"/>
    <w:rsid w:val="009B2038"/>
    <w:rsid w:val="009C1E79"/>
    <w:rsid w:val="009C213C"/>
    <w:rsid w:val="009C2BB8"/>
    <w:rsid w:val="009C3745"/>
    <w:rsid w:val="009C553B"/>
    <w:rsid w:val="009C6B3C"/>
    <w:rsid w:val="009D338C"/>
    <w:rsid w:val="009D4C80"/>
    <w:rsid w:val="009D54A5"/>
    <w:rsid w:val="009D6763"/>
    <w:rsid w:val="009E1DED"/>
    <w:rsid w:val="009E2791"/>
    <w:rsid w:val="009E3F6F"/>
    <w:rsid w:val="009E6B30"/>
    <w:rsid w:val="009F251F"/>
    <w:rsid w:val="009F2801"/>
    <w:rsid w:val="009F499F"/>
    <w:rsid w:val="009F4A8D"/>
    <w:rsid w:val="009F648D"/>
    <w:rsid w:val="009F6A56"/>
    <w:rsid w:val="009F73BB"/>
    <w:rsid w:val="00A02558"/>
    <w:rsid w:val="00A02620"/>
    <w:rsid w:val="00A07ADE"/>
    <w:rsid w:val="00A07C4A"/>
    <w:rsid w:val="00A11CB7"/>
    <w:rsid w:val="00A21DA2"/>
    <w:rsid w:val="00A32148"/>
    <w:rsid w:val="00A36C28"/>
    <w:rsid w:val="00A37342"/>
    <w:rsid w:val="00A41FE2"/>
    <w:rsid w:val="00A42DAF"/>
    <w:rsid w:val="00A45BD8"/>
    <w:rsid w:val="00A5092C"/>
    <w:rsid w:val="00A55E44"/>
    <w:rsid w:val="00A64BB2"/>
    <w:rsid w:val="00A655C2"/>
    <w:rsid w:val="00A66B76"/>
    <w:rsid w:val="00A67641"/>
    <w:rsid w:val="00A756DD"/>
    <w:rsid w:val="00A763B6"/>
    <w:rsid w:val="00A765E9"/>
    <w:rsid w:val="00A869B7"/>
    <w:rsid w:val="00A872AB"/>
    <w:rsid w:val="00A87350"/>
    <w:rsid w:val="00A8739F"/>
    <w:rsid w:val="00A90F81"/>
    <w:rsid w:val="00A9284F"/>
    <w:rsid w:val="00A94C7E"/>
    <w:rsid w:val="00AA0893"/>
    <w:rsid w:val="00AA1DA6"/>
    <w:rsid w:val="00AA460A"/>
    <w:rsid w:val="00AA724A"/>
    <w:rsid w:val="00AB403D"/>
    <w:rsid w:val="00AC205C"/>
    <w:rsid w:val="00AC4B29"/>
    <w:rsid w:val="00AC7D6A"/>
    <w:rsid w:val="00AD1F66"/>
    <w:rsid w:val="00AD5106"/>
    <w:rsid w:val="00AD5687"/>
    <w:rsid w:val="00AE159F"/>
    <w:rsid w:val="00AE1A2E"/>
    <w:rsid w:val="00AE1CCC"/>
    <w:rsid w:val="00AE3F3B"/>
    <w:rsid w:val="00AF0A6B"/>
    <w:rsid w:val="00AF2FC1"/>
    <w:rsid w:val="00AF5661"/>
    <w:rsid w:val="00B058B9"/>
    <w:rsid w:val="00B05A69"/>
    <w:rsid w:val="00B0707C"/>
    <w:rsid w:val="00B10159"/>
    <w:rsid w:val="00B1295A"/>
    <w:rsid w:val="00B146E1"/>
    <w:rsid w:val="00B16503"/>
    <w:rsid w:val="00B24180"/>
    <w:rsid w:val="00B262DD"/>
    <w:rsid w:val="00B27545"/>
    <w:rsid w:val="00B3318F"/>
    <w:rsid w:val="00B34607"/>
    <w:rsid w:val="00B34844"/>
    <w:rsid w:val="00B4056A"/>
    <w:rsid w:val="00B424D4"/>
    <w:rsid w:val="00B45773"/>
    <w:rsid w:val="00B53C3A"/>
    <w:rsid w:val="00B623C9"/>
    <w:rsid w:val="00B655DA"/>
    <w:rsid w:val="00B65951"/>
    <w:rsid w:val="00B816A0"/>
    <w:rsid w:val="00B83EB8"/>
    <w:rsid w:val="00B840BF"/>
    <w:rsid w:val="00B90947"/>
    <w:rsid w:val="00B9734B"/>
    <w:rsid w:val="00B97D32"/>
    <w:rsid w:val="00BA30E2"/>
    <w:rsid w:val="00BB0076"/>
    <w:rsid w:val="00BB09A4"/>
    <w:rsid w:val="00BB1B60"/>
    <w:rsid w:val="00BB2BFA"/>
    <w:rsid w:val="00BB4EF8"/>
    <w:rsid w:val="00BB58D7"/>
    <w:rsid w:val="00BB7AC6"/>
    <w:rsid w:val="00BC0780"/>
    <w:rsid w:val="00BD046F"/>
    <w:rsid w:val="00BD2F53"/>
    <w:rsid w:val="00BD4F8D"/>
    <w:rsid w:val="00BE2E72"/>
    <w:rsid w:val="00BE4E22"/>
    <w:rsid w:val="00BE7EBE"/>
    <w:rsid w:val="00BF0C0E"/>
    <w:rsid w:val="00BF1FBA"/>
    <w:rsid w:val="00BF28FD"/>
    <w:rsid w:val="00BF3857"/>
    <w:rsid w:val="00BF5A49"/>
    <w:rsid w:val="00BF5C89"/>
    <w:rsid w:val="00C02FEE"/>
    <w:rsid w:val="00C05FF4"/>
    <w:rsid w:val="00C06B63"/>
    <w:rsid w:val="00C06D5F"/>
    <w:rsid w:val="00C07CA1"/>
    <w:rsid w:val="00C11BFE"/>
    <w:rsid w:val="00C125AC"/>
    <w:rsid w:val="00C15AD1"/>
    <w:rsid w:val="00C16BD1"/>
    <w:rsid w:val="00C217A5"/>
    <w:rsid w:val="00C2229D"/>
    <w:rsid w:val="00C23CD2"/>
    <w:rsid w:val="00C25CC9"/>
    <w:rsid w:val="00C33887"/>
    <w:rsid w:val="00C35885"/>
    <w:rsid w:val="00C4044F"/>
    <w:rsid w:val="00C5068F"/>
    <w:rsid w:val="00C5156F"/>
    <w:rsid w:val="00C52790"/>
    <w:rsid w:val="00C55C1D"/>
    <w:rsid w:val="00C57E73"/>
    <w:rsid w:val="00C602CE"/>
    <w:rsid w:val="00C62E2C"/>
    <w:rsid w:val="00C63085"/>
    <w:rsid w:val="00C63468"/>
    <w:rsid w:val="00C67470"/>
    <w:rsid w:val="00C67E30"/>
    <w:rsid w:val="00C70F66"/>
    <w:rsid w:val="00C77E47"/>
    <w:rsid w:val="00C806C6"/>
    <w:rsid w:val="00C80C96"/>
    <w:rsid w:val="00C83CB3"/>
    <w:rsid w:val="00C86D74"/>
    <w:rsid w:val="00C925D6"/>
    <w:rsid w:val="00C96BBD"/>
    <w:rsid w:val="00CA5FF0"/>
    <w:rsid w:val="00CA6F32"/>
    <w:rsid w:val="00CB1D8C"/>
    <w:rsid w:val="00CB207E"/>
    <w:rsid w:val="00CB3A7E"/>
    <w:rsid w:val="00CB46B3"/>
    <w:rsid w:val="00CB6845"/>
    <w:rsid w:val="00CB6CF7"/>
    <w:rsid w:val="00CB6E22"/>
    <w:rsid w:val="00CB7DAE"/>
    <w:rsid w:val="00CB7FA9"/>
    <w:rsid w:val="00CC0C0C"/>
    <w:rsid w:val="00CC137B"/>
    <w:rsid w:val="00CC14AA"/>
    <w:rsid w:val="00CC3607"/>
    <w:rsid w:val="00CC5CD6"/>
    <w:rsid w:val="00CC62C1"/>
    <w:rsid w:val="00CC7084"/>
    <w:rsid w:val="00CD04F1"/>
    <w:rsid w:val="00CD4AEA"/>
    <w:rsid w:val="00CE3272"/>
    <w:rsid w:val="00CE4384"/>
    <w:rsid w:val="00CE5846"/>
    <w:rsid w:val="00CF777A"/>
    <w:rsid w:val="00CF7ED6"/>
    <w:rsid w:val="00D1446D"/>
    <w:rsid w:val="00D14DD2"/>
    <w:rsid w:val="00D20361"/>
    <w:rsid w:val="00D20F17"/>
    <w:rsid w:val="00D21937"/>
    <w:rsid w:val="00D25A91"/>
    <w:rsid w:val="00D25E98"/>
    <w:rsid w:val="00D2683E"/>
    <w:rsid w:val="00D37D41"/>
    <w:rsid w:val="00D43024"/>
    <w:rsid w:val="00D45252"/>
    <w:rsid w:val="00D462A7"/>
    <w:rsid w:val="00D47763"/>
    <w:rsid w:val="00D53BDD"/>
    <w:rsid w:val="00D61833"/>
    <w:rsid w:val="00D622FF"/>
    <w:rsid w:val="00D71B4D"/>
    <w:rsid w:val="00D74F0E"/>
    <w:rsid w:val="00D75CDF"/>
    <w:rsid w:val="00D76AEB"/>
    <w:rsid w:val="00D80C6C"/>
    <w:rsid w:val="00D8260F"/>
    <w:rsid w:val="00D93D55"/>
    <w:rsid w:val="00D93EA0"/>
    <w:rsid w:val="00DA1404"/>
    <w:rsid w:val="00DA3BF4"/>
    <w:rsid w:val="00DB5B3E"/>
    <w:rsid w:val="00DB791B"/>
    <w:rsid w:val="00DC23A5"/>
    <w:rsid w:val="00DD3AA8"/>
    <w:rsid w:val="00DD42F8"/>
    <w:rsid w:val="00DD4A38"/>
    <w:rsid w:val="00DD5783"/>
    <w:rsid w:val="00DE3BEF"/>
    <w:rsid w:val="00DF33A3"/>
    <w:rsid w:val="00E0061A"/>
    <w:rsid w:val="00E0204A"/>
    <w:rsid w:val="00E07141"/>
    <w:rsid w:val="00E0715E"/>
    <w:rsid w:val="00E10A52"/>
    <w:rsid w:val="00E10AD2"/>
    <w:rsid w:val="00E15015"/>
    <w:rsid w:val="00E16AA9"/>
    <w:rsid w:val="00E17F07"/>
    <w:rsid w:val="00E2124B"/>
    <w:rsid w:val="00E230F3"/>
    <w:rsid w:val="00E23D05"/>
    <w:rsid w:val="00E26B64"/>
    <w:rsid w:val="00E30695"/>
    <w:rsid w:val="00E335FE"/>
    <w:rsid w:val="00E35697"/>
    <w:rsid w:val="00E36413"/>
    <w:rsid w:val="00E40C9B"/>
    <w:rsid w:val="00E42170"/>
    <w:rsid w:val="00E42396"/>
    <w:rsid w:val="00E42849"/>
    <w:rsid w:val="00E53DDB"/>
    <w:rsid w:val="00E54B2C"/>
    <w:rsid w:val="00E6712A"/>
    <w:rsid w:val="00E76A5E"/>
    <w:rsid w:val="00E8259F"/>
    <w:rsid w:val="00E82743"/>
    <w:rsid w:val="00E855A0"/>
    <w:rsid w:val="00E857FA"/>
    <w:rsid w:val="00E9052F"/>
    <w:rsid w:val="00E957F7"/>
    <w:rsid w:val="00E95A62"/>
    <w:rsid w:val="00EA0DE2"/>
    <w:rsid w:val="00EA2C7C"/>
    <w:rsid w:val="00EA6687"/>
    <w:rsid w:val="00EA7D6E"/>
    <w:rsid w:val="00EB21D6"/>
    <w:rsid w:val="00EB3C0B"/>
    <w:rsid w:val="00EB3EFE"/>
    <w:rsid w:val="00EB4A76"/>
    <w:rsid w:val="00EB4D5F"/>
    <w:rsid w:val="00EB5C03"/>
    <w:rsid w:val="00EB6564"/>
    <w:rsid w:val="00EB6649"/>
    <w:rsid w:val="00EB7526"/>
    <w:rsid w:val="00EC0C32"/>
    <w:rsid w:val="00EC38CB"/>
    <w:rsid w:val="00EC4E49"/>
    <w:rsid w:val="00ED13A9"/>
    <w:rsid w:val="00ED38F9"/>
    <w:rsid w:val="00ED4827"/>
    <w:rsid w:val="00ED6A62"/>
    <w:rsid w:val="00ED77FB"/>
    <w:rsid w:val="00ED79FD"/>
    <w:rsid w:val="00EE45FA"/>
    <w:rsid w:val="00EE463C"/>
    <w:rsid w:val="00EE7665"/>
    <w:rsid w:val="00EF081B"/>
    <w:rsid w:val="00EF273E"/>
    <w:rsid w:val="00EF421A"/>
    <w:rsid w:val="00EF5104"/>
    <w:rsid w:val="00F1186D"/>
    <w:rsid w:val="00F21895"/>
    <w:rsid w:val="00F25EE8"/>
    <w:rsid w:val="00F26875"/>
    <w:rsid w:val="00F30FAD"/>
    <w:rsid w:val="00F32CC1"/>
    <w:rsid w:val="00F47406"/>
    <w:rsid w:val="00F5076D"/>
    <w:rsid w:val="00F51D6F"/>
    <w:rsid w:val="00F52AB1"/>
    <w:rsid w:val="00F545EA"/>
    <w:rsid w:val="00F54F5F"/>
    <w:rsid w:val="00F622AE"/>
    <w:rsid w:val="00F62EA6"/>
    <w:rsid w:val="00F64EDD"/>
    <w:rsid w:val="00F65EB3"/>
    <w:rsid w:val="00F66152"/>
    <w:rsid w:val="00F720D9"/>
    <w:rsid w:val="00F74555"/>
    <w:rsid w:val="00F777C0"/>
    <w:rsid w:val="00F8095F"/>
    <w:rsid w:val="00F85144"/>
    <w:rsid w:val="00FA046B"/>
    <w:rsid w:val="00FA210B"/>
    <w:rsid w:val="00FA64E4"/>
    <w:rsid w:val="00FA68B5"/>
    <w:rsid w:val="00FB4BC1"/>
    <w:rsid w:val="00FB5CE2"/>
    <w:rsid w:val="00FC3A4E"/>
    <w:rsid w:val="00FC42B5"/>
    <w:rsid w:val="00FC792B"/>
    <w:rsid w:val="00FD4BF2"/>
    <w:rsid w:val="00FD654D"/>
    <w:rsid w:val="00FD6BD2"/>
    <w:rsid w:val="00FE1573"/>
    <w:rsid w:val="00FE3CC0"/>
    <w:rsid w:val="00FF4BDF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C915008-73D3-4D3E-A3E5-CB1B12DB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C553B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C553B"/>
    <w:pPr>
      <w:keepNext/>
      <w:numPr>
        <w:numId w:val="5"/>
      </w:numPr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27545"/>
    <w:pPr>
      <w:keepNext/>
      <w:numPr>
        <w:numId w:val="6"/>
      </w:numPr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65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EF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6EFB"/>
    <w:rPr>
      <w:i/>
      <w:iCs/>
    </w:rPr>
  </w:style>
  <w:style w:type="table" w:styleId="TableGrid">
    <w:name w:val="Table Grid"/>
    <w:basedOn w:val="TableNormal"/>
    <w:uiPriority w:val="59"/>
    <w:rsid w:val="009C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A210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A210B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5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1096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14799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7A0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ip-development/fr/agenda/webina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ip-development/fr/agenda/webina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ip-development/fr/agenda/webina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meetings/fr/doc_details.jsp?doc_id=474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oc_details.jsp?doc_id=437211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fr/details.jsp?meeting_id=554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C560-9016-4B00-B8EA-2BF42345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6</TotalTime>
  <Pages>5</Pages>
  <Words>1517</Words>
  <Characters>8287</Characters>
  <Application>Microsoft Office Word</Application>
  <DocSecurity>0</DocSecurity>
  <Lines>217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CDIP/25/</vt:lpstr>
      <vt:lpstr>CDIP/25/</vt:lpstr>
    </vt:vector>
  </TitlesOfParts>
  <Company>WIPO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MARTINEZ LIMÓN Cristina</dc:creator>
  <cp:keywords>FOR OFFICIAL USE ONLY</cp:keywords>
  <cp:lastModifiedBy>ESTEVES DOS SANTOS Anabela</cp:lastModifiedBy>
  <cp:revision>4</cp:revision>
  <cp:lastPrinted>2020-03-10T15:20:00Z</cp:lastPrinted>
  <dcterms:created xsi:type="dcterms:W3CDTF">2020-03-19T09:32:00Z</dcterms:created>
  <dcterms:modified xsi:type="dcterms:W3CDTF">2020-04-07T09:32:00Z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af473830-d191-4c45-b366-821fcb94c241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