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11B0C" w:rsidRPr="008B2CC1" w:rsidTr="00BA029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11B0C" w:rsidRPr="008B2CC1" w:rsidRDefault="00511B0C" w:rsidP="00BA029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1B0C" w:rsidRPr="008B2CC1" w:rsidRDefault="00511B0C" w:rsidP="00BA029E">
            <w:r>
              <w:rPr>
                <w:noProof/>
                <w:lang w:eastAsia="en-US"/>
              </w:rPr>
              <w:drawing>
                <wp:inline distT="0" distB="0" distL="0" distR="0" wp14:anchorId="7264C6D0" wp14:editId="1F2C0CF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11B0C" w:rsidRPr="008B2CC1" w:rsidRDefault="00511B0C" w:rsidP="00BA029E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511B0C" w:rsidRPr="001832A6" w:rsidTr="00BA029E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11B0C" w:rsidRPr="0090731E" w:rsidRDefault="00511B0C" w:rsidP="00BA029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CDIP/24/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3</w:t>
            </w:r>
          </w:p>
        </w:tc>
      </w:tr>
      <w:tr w:rsidR="00511B0C" w:rsidRPr="001832A6" w:rsidTr="00BA029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11B0C" w:rsidRPr="0090731E" w:rsidRDefault="00511B0C" w:rsidP="00BA029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751A1A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511B0C" w:rsidRPr="001832A6" w:rsidTr="00BA029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11B0C" w:rsidRPr="0090731E" w:rsidRDefault="00511B0C" w:rsidP="00BA029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751A1A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51A1A">
              <w:rPr>
                <w:rFonts w:ascii="Arial Black" w:hAnsi="Arial Black"/>
                <w:caps/>
                <w:sz w:val="15"/>
              </w:rPr>
              <w:t>1 septembre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511B0C" w:rsidRPr="008B2CC1" w:rsidRDefault="00511B0C" w:rsidP="00511B0C"/>
    <w:p w:rsidR="00511B0C" w:rsidRPr="008B2CC1" w:rsidRDefault="00511B0C" w:rsidP="00511B0C"/>
    <w:p w:rsidR="00511B0C" w:rsidRPr="008B2CC1" w:rsidRDefault="00511B0C" w:rsidP="00511B0C"/>
    <w:p w:rsidR="00511B0C" w:rsidRPr="008B2CC1" w:rsidRDefault="00511B0C" w:rsidP="00511B0C"/>
    <w:p w:rsidR="00511B0C" w:rsidRPr="008B2CC1" w:rsidRDefault="00511B0C" w:rsidP="00511B0C"/>
    <w:p w:rsidR="00511B0C" w:rsidRPr="00511B0C" w:rsidRDefault="00511B0C" w:rsidP="00511B0C">
      <w:pPr>
        <w:rPr>
          <w:b/>
          <w:sz w:val="28"/>
          <w:szCs w:val="28"/>
          <w:lang w:val="fr-CH"/>
        </w:rPr>
      </w:pPr>
      <w:r w:rsidRPr="00B31DEE">
        <w:rPr>
          <w:b/>
          <w:sz w:val="28"/>
          <w:szCs w:val="28"/>
          <w:lang w:val="fr-FR"/>
        </w:rPr>
        <w:t>Comité du développement et de la propriété intellectuelle (CDIP)</w:t>
      </w:r>
    </w:p>
    <w:p w:rsidR="00511B0C" w:rsidRPr="00511B0C" w:rsidRDefault="00511B0C" w:rsidP="00511B0C">
      <w:pPr>
        <w:rPr>
          <w:lang w:val="fr-CH"/>
        </w:rPr>
      </w:pPr>
    </w:p>
    <w:p w:rsidR="00511B0C" w:rsidRPr="00511B0C" w:rsidRDefault="00511B0C" w:rsidP="00511B0C">
      <w:pPr>
        <w:rPr>
          <w:lang w:val="fr-CH"/>
        </w:rPr>
      </w:pPr>
    </w:p>
    <w:p w:rsidR="00511B0C" w:rsidRPr="00B31DEE" w:rsidRDefault="00511B0C" w:rsidP="00511B0C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751A1A">
        <w:rPr>
          <w:b/>
          <w:sz w:val="24"/>
          <w:szCs w:val="24"/>
          <w:lang w:val="fr-FR"/>
        </w:rPr>
        <w:t>-</w:t>
      </w:r>
      <w:r>
        <w:rPr>
          <w:b/>
          <w:sz w:val="24"/>
          <w:szCs w:val="24"/>
          <w:lang w:val="fr-FR"/>
        </w:rPr>
        <w:t>quatr</w:t>
      </w:r>
      <w:r w:rsidR="00751A1A">
        <w:rPr>
          <w:b/>
          <w:sz w:val="24"/>
          <w:szCs w:val="24"/>
          <w:lang w:val="fr-FR"/>
        </w:rPr>
        <w:t>ième session</w:t>
      </w:r>
    </w:p>
    <w:p w:rsidR="00511B0C" w:rsidRPr="00B31DEE" w:rsidRDefault="00511B0C" w:rsidP="00511B0C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18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22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2019</w:t>
      </w:r>
    </w:p>
    <w:p w:rsidR="00511B0C" w:rsidRPr="004134A1" w:rsidRDefault="00511B0C" w:rsidP="00511B0C">
      <w:pPr>
        <w:rPr>
          <w:lang w:val="fr-FR"/>
        </w:rPr>
      </w:pPr>
    </w:p>
    <w:p w:rsidR="00511B0C" w:rsidRPr="00511B0C" w:rsidRDefault="00511B0C" w:rsidP="00511B0C">
      <w:pPr>
        <w:rPr>
          <w:lang w:val="fr-CH"/>
        </w:rPr>
      </w:pPr>
    </w:p>
    <w:p w:rsidR="00511B0C" w:rsidRPr="00511B0C" w:rsidRDefault="00511B0C" w:rsidP="00511B0C">
      <w:pPr>
        <w:rPr>
          <w:lang w:val="fr-CH"/>
        </w:rPr>
      </w:pPr>
    </w:p>
    <w:p w:rsidR="00A7723C" w:rsidRPr="00120311" w:rsidRDefault="008D29D9" w:rsidP="00A7723C">
      <w:pPr>
        <w:rPr>
          <w:caps/>
          <w:sz w:val="24"/>
          <w:lang w:val="fr-CH"/>
        </w:rPr>
      </w:pPr>
      <w:bookmarkStart w:id="4" w:name="TitleOfDoc"/>
      <w:bookmarkEnd w:id="4"/>
      <w:r w:rsidRPr="00120311">
        <w:rPr>
          <w:caps/>
          <w:sz w:val="24"/>
          <w:lang w:val="fr-CH"/>
        </w:rPr>
        <w:t>RAPPORT D</w:t>
      </w:r>
      <w:r w:rsidR="00751A1A">
        <w:rPr>
          <w:caps/>
          <w:sz w:val="24"/>
          <w:lang w:val="fr-CH"/>
        </w:rPr>
        <w:t>’</w:t>
      </w:r>
      <w:r w:rsidRPr="00120311">
        <w:rPr>
          <w:caps/>
          <w:sz w:val="24"/>
          <w:lang w:val="fr-CH"/>
        </w:rPr>
        <w:t>ACHèVEMENT DU</w:t>
      </w:r>
      <w:r w:rsidR="00A7723C" w:rsidRPr="00120311">
        <w:rPr>
          <w:caps/>
          <w:sz w:val="24"/>
          <w:lang w:val="fr-CH"/>
        </w:rPr>
        <w:t xml:space="preserve"> </w:t>
      </w:r>
      <w:r w:rsidR="00D923C7" w:rsidRPr="00120311">
        <w:rPr>
          <w:caps/>
          <w:sz w:val="24"/>
          <w:lang w:val="fr-CH"/>
        </w:rPr>
        <w:t>projet sur l</w:t>
      </w:r>
      <w:r w:rsidR="00751A1A">
        <w:rPr>
          <w:caps/>
          <w:sz w:val="24"/>
          <w:lang w:val="fr-CH"/>
        </w:rPr>
        <w:t>’</w:t>
      </w:r>
      <w:r w:rsidR="00D923C7" w:rsidRPr="00120311">
        <w:rPr>
          <w:caps/>
          <w:sz w:val="24"/>
          <w:lang w:val="fr-CH"/>
        </w:rPr>
        <w:t>utilisation de l</w:t>
      </w:r>
      <w:r w:rsidR="00751A1A">
        <w:rPr>
          <w:caps/>
          <w:sz w:val="24"/>
          <w:lang w:val="fr-CH"/>
        </w:rPr>
        <w:t>’</w:t>
      </w:r>
      <w:r w:rsidR="00D923C7" w:rsidRPr="00120311">
        <w:rPr>
          <w:caps/>
          <w:sz w:val="24"/>
          <w:lang w:val="fr-CH"/>
        </w:rPr>
        <w:t>information figurant dans le domaine public aux fins du développement économique</w:t>
      </w: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8D29D9" w:rsidP="00A7723C">
      <w:pPr>
        <w:rPr>
          <w:lang w:val="fr-CH"/>
        </w:rPr>
      </w:pPr>
      <w:bookmarkStart w:id="5" w:name="Prepared"/>
      <w:bookmarkEnd w:id="5"/>
      <w:r w:rsidRPr="00120311">
        <w:rPr>
          <w:i/>
          <w:lang w:val="fr-CH"/>
        </w:rPr>
        <w:t>é</w:t>
      </w:r>
      <w:r w:rsidR="00D923C7" w:rsidRPr="00120311">
        <w:rPr>
          <w:i/>
          <w:lang w:val="fr-CH"/>
        </w:rPr>
        <w:t>tabli par le Secrétariat</w:t>
      </w: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D923C7" w:rsidP="00511B0C">
      <w:pPr>
        <w:pStyle w:val="ONUMFS"/>
        <w:spacing w:after="0"/>
        <w:rPr>
          <w:lang w:val="fr-CH"/>
        </w:rPr>
      </w:pPr>
      <w:r w:rsidRPr="00120311">
        <w:rPr>
          <w:lang w:val="fr-CH"/>
        </w:rPr>
        <w:t>L</w:t>
      </w:r>
      <w:r w:rsidR="00751A1A">
        <w:rPr>
          <w:lang w:val="fr-CH"/>
        </w:rPr>
        <w:t>’</w:t>
      </w:r>
      <w:r w:rsidRPr="00120311">
        <w:rPr>
          <w:lang w:val="fr-CH"/>
        </w:rPr>
        <w:t xml:space="preserve">annexe du présent document contient le </w:t>
      </w:r>
      <w:r w:rsidR="008D29D9" w:rsidRPr="00120311">
        <w:rPr>
          <w:lang w:val="fr-CH"/>
        </w:rPr>
        <w:t>rapport d</w:t>
      </w:r>
      <w:r w:rsidR="00751A1A">
        <w:rPr>
          <w:lang w:val="fr-CH"/>
        </w:rPr>
        <w:t>’</w:t>
      </w:r>
      <w:r w:rsidR="008D29D9" w:rsidRPr="00120311">
        <w:rPr>
          <w:lang w:val="fr-CH"/>
        </w:rPr>
        <w:t>achèvement du projet du Plan d</w:t>
      </w:r>
      <w:r w:rsidR="00751A1A">
        <w:rPr>
          <w:lang w:val="fr-CH"/>
        </w:rPr>
        <w:t>’</w:t>
      </w:r>
      <w:r w:rsidR="008D29D9" w:rsidRPr="00120311">
        <w:rPr>
          <w:lang w:val="fr-CH"/>
        </w:rPr>
        <w:t xml:space="preserve">action pour le développement intitulé </w:t>
      </w:r>
      <w:r w:rsidR="00751A1A">
        <w:rPr>
          <w:lang w:val="fr-CH"/>
        </w:rPr>
        <w:t>“</w:t>
      </w:r>
      <w:r w:rsidR="00751A1A" w:rsidRPr="00120311">
        <w:rPr>
          <w:i/>
          <w:lang w:val="fr-CH"/>
        </w:rPr>
        <w:t>U</w:t>
      </w:r>
      <w:r w:rsidR="00E80E7B" w:rsidRPr="00120311">
        <w:rPr>
          <w:i/>
          <w:lang w:val="fr-CH"/>
        </w:rPr>
        <w:t>tilisation de l</w:t>
      </w:r>
      <w:r w:rsidR="00751A1A">
        <w:rPr>
          <w:i/>
          <w:lang w:val="fr-CH"/>
        </w:rPr>
        <w:t>’</w:t>
      </w:r>
      <w:r w:rsidR="00E80E7B" w:rsidRPr="00120311">
        <w:rPr>
          <w:i/>
          <w:lang w:val="fr-CH"/>
        </w:rPr>
        <w:t>information figurant dans le domaine public aux fins du développement économiqu</w:t>
      </w:r>
      <w:r w:rsidR="00751A1A" w:rsidRPr="00120311">
        <w:rPr>
          <w:i/>
          <w:lang w:val="fr-CH"/>
        </w:rPr>
        <w:t>e</w:t>
      </w:r>
      <w:r w:rsidR="00751A1A">
        <w:rPr>
          <w:i/>
          <w:lang w:val="fr-CH"/>
        </w:rPr>
        <w:t>”</w:t>
      </w:r>
      <w:r w:rsidR="00A7723C" w:rsidRPr="00120311">
        <w:rPr>
          <w:lang w:val="fr-CH"/>
        </w:rPr>
        <w:t xml:space="preserve">.  </w:t>
      </w:r>
      <w:r w:rsidR="008D29D9" w:rsidRPr="00120311">
        <w:rPr>
          <w:lang w:val="fr-CH"/>
        </w:rPr>
        <w:t>Le rapport porte sur toute la période de mise en œuvre du projet, qui s</w:t>
      </w:r>
      <w:r w:rsidR="00751A1A">
        <w:rPr>
          <w:lang w:val="fr-CH"/>
        </w:rPr>
        <w:t>’</w:t>
      </w:r>
      <w:r w:rsidR="008D29D9" w:rsidRPr="00120311">
        <w:rPr>
          <w:lang w:val="fr-CH"/>
        </w:rPr>
        <w:t>étend d</w:t>
      </w:r>
      <w:r w:rsidR="00751A1A">
        <w:rPr>
          <w:lang w:val="fr-CH"/>
        </w:rPr>
        <w:t>’</w:t>
      </w:r>
      <w:r w:rsidR="00751A1A" w:rsidRPr="00120311">
        <w:rPr>
          <w:lang w:val="fr-CH"/>
        </w:rPr>
        <w:t>octobre</w:t>
      </w:r>
      <w:r w:rsidR="00751A1A">
        <w:rPr>
          <w:lang w:val="fr-CH"/>
        </w:rPr>
        <w:t> </w:t>
      </w:r>
      <w:r w:rsidR="00751A1A" w:rsidRPr="00120311">
        <w:rPr>
          <w:lang w:val="fr-CH"/>
        </w:rPr>
        <w:t>20</w:t>
      </w:r>
      <w:r w:rsidR="008D29D9" w:rsidRPr="00120311">
        <w:rPr>
          <w:lang w:val="fr-CH"/>
        </w:rPr>
        <w:t xml:space="preserve">16 à </w:t>
      </w:r>
      <w:r w:rsidR="00751A1A" w:rsidRPr="00120311">
        <w:rPr>
          <w:lang w:val="fr-CH"/>
        </w:rPr>
        <w:t>juin</w:t>
      </w:r>
      <w:r w:rsidR="00751A1A">
        <w:rPr>
          <w:lang w:val="fr-CH"/>
        </w:rPr>
        <w:t> </w:t>
      </w:r>
      <w:r w:rsidR="00751A1A" w:rsidRPr="00120311">
        <w:rPr>
          <w:lang w:val="fr-CH"/>
        </w:rPr>
        <w:t>20</w:t>
      </w:r>
      <w:r w:rsidR="008D29D9" w:rsidRPr="00120311">
        <w:rPr>
          <w:lang w:val="fr-CH"/>
        </w:rPr>
        <w:t>19.</w:t>
      </w:r>
    </w:p>
    <w:p w:rsidR="00A7723C" w:rsidRPr="00120311" w:rsidRDefault="00A7723C" w:rsidP="00A7723C">
      <w:pPr>
        <w:rPr>
          <w:lang w:val="fr-CH"/>
        </w:rPr>
      </w:pPr>
    </w:p>
    <w:p w:rsidR="00A7723C" w:rsidRPr="00120311" w:rsidRDefault="00A7723C" w:rsidP="00A7723C">
      <w:pPr>
        <w:ind w:left="5670"/>
        <w:rPr>
          <w:lang w:val="fr-CH"/>
        </w:rPr>
      </w:pPr>
      <w:r w:rsidRPr="00120311">
        <w:rPr>
          <w:lang w:val="fr-CH"/>
        </w:rPr>
        <w:t>2.</w:t>
      </w:r>
      <w:r w:rsidRPr="00120311">
        <w:rPr>
          <w:lang w:val="fr-CH"/>
        </w:rPr>
        <w:tab/>
      </w:r>
      <w:r w:rsidR="00D923C7" w:rsidRPr="00120311">
        <w:rPr>
          <w:i/>
          <w:lang w:val="fr-CH"/>
        </w:rPr>
        <w:t>Le</w:t>
      </w:r>
      <w:r w:rsidRPr="00120311">
        <w:rPr>
          <w:i/>
          <w:lang w:val="fr-CH"/>
        </w:rPr>
        <w:t xml:space="preserve"> CDIP </w:t>
      </w:r>
      <w:r w:rsidR="00D923C7" w:rsidRPr="00120311">
        <w:rPr>
          <w:i/>
          <w:lang w:val="fr-CH"/>
        </w:rPr>
        <w:t xml:space="preserve">est invité </w:t>
      </w:r>
      <w:r w:rsidR="008D29D9" w:rsidRPr="00120311">
        <w:rPr>
          <w:i/>
          <w:lang w:val="fr-CH"/>
        </w:rPr>
        <w:t xml:space="preserve">à prendre note des informations </w:t>
      </w:r>
      <w:r w:rsidR="00593BE5" w:rsidRPr="00120311">
        <w:rPr>
          <w:i/>
          <w:lang w:val="fr-CH"/>
        </w:rPr>
        <w:t>qui figurent</w:t>
      </w:r>
      <w:r w:rsidR="008D29D9" w:rsidRPr="00120311">
        <w:rPr>
          <w:i/>
          <w:lang w:val="fr-CH"/>
        </w:rPr>
        <w:t xml:space="preserve"> dans l</w:t>
      </w:r>
      <w:r w:rsidR="00751A1A">
        <w:rPr>
          <w:i/>
          <w:lang w:val="fr-CH"/>
        </w:rPr>
        <w:t>’</w:t>
      </w:r>
      <w:r w:rsidR="00B55F5E" w:rsidRPr="00120311">
        <w:rPr>
          <w:i/>
          <w:lang w:val="fr-CH"/>
        </w:rPr>
        <w:t>annexe du présent document</w:t>
      </w:r>
      <w:r w:rsidRPr="00120311">
        <w:rPr>
          <w:i/>
          <w:lang w:val="fr-CH"/>
        </w:rPr>
        <w:t>.</w:t>
      </w:r>
    </w:p>
    <w:p w:rsidR="00A7723C" w:rsidRPr="00120311" w:rsidRDefault="00A7723C" w:rsidP="00A7723C">
      <w:pPr>
        <w:ind w:left="5670"/>
        <w:rPr>
          <w:lang w:val="fr-CH"/>
        </w:rPr>
      </w:pPr>
    </w:p>
    <w:p w:rsidR="00A7723C" w:rsidRPr="00120311" w:rsidRDefault="00A7723C" w:rsidP="00A7723C">
      <w:pPr>
        <w:ind w:left="5670"/>
        <w:rPr>
          <w:lang w:val="fr-CH"/>
        </w:rPr>
      </w:pPr>
    </w:p>
    <w:p w:rsidR="00A7723C" w:rsidRPr="00120311" w:rsidRDefault="00A7723C" w:rsidP="00A7723C">
      <w:pPr>
        <w:ind w:left="5670"/>
        <w:rPr>
          <w:lang w:val="fr-CH"/>
        </w:rPr>
      </w:pPr>
    </w:p>
    <w:p w:rsidR="00A7723C" w:rsidRPr="00120311" w:rsidRDefault="00A7723C" w:rsidP="00A7723C">
      <w:pPr>
        <w:ind w:left="5670"/>
        <w:rPr>
          <w:lang w:val="fr-CH"/>
        </w:rPr>
      </w:pPr>
      <w:r w:rsidRPr="00120311">
        <w:rPr>
          <w:lang w:val="fr-CH"/>
        </w:rPr>
        <w:t>[</w:t>
      </w:r>
      <w:r w:rsidR="00D923C7" w:rsidRPr="00120311">
        <w:rPr>
          <w:lang w:val="fr-CH"/>
        </w:rPr>
        <w:t>L</w:t>
      </w:r>
      <w:r w:rsidR="00751A1A">
        <w:rPr>
          <w:lang w:val="fr-CH"/>
        </w:rPr>
        <w:t>’</w:t>
      </w:r>
      <w:r w:rsidR="00D923C7" w:rsidRPr="00120311">
        <w:rPr>
          <w:lang w:val="fr-CH"/>
        </w:rPr>
        <w:t>annexe suit</w:t>
      </w:r>
      <w:r w:rsidRPr="00120311">
        <w:rPr>
          <w:lang w:val="fr-CH"/>
        </w:rPr>
        <w:t>]</w:t>
      </w:r>
    </w:p>
    <w:p w:rsidR="00CB202B" w:rsidRPr="00120311" w:rsidRDefault="00CB202B">
      <w:pPr>
        <w:rPr>
          <w:lang w:val="fr-CH"/>
        </w:rPr>
      </w:pPr>
    </w:p>
    <w:p w:rsidR="00CB202B" w:rsidRPr="00120311" w:rsidRDefault="00CB202B">
      <w:pPr>
        <w:rPr>
          <w:lang w:val="fr-CH"/>
        </w:rPr>
      </w:pPr>
    </w:p>
    <w:p w:rsidR="00B92770" w:rsidRPr="00120311" w:rsidRDefault="00B92770">
      <w:pPr>
        <w:rPr>
          <w:lang w:val="fr-CH"/>
        </w:rPr>
        <w:sectPr w:rsidR="00B92770" w:rsidRPr="00120311" w:rsidSect="00C402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7" w:h="16840" w:code="9"/>
          <w:pgMar w:top="562" w:right="1138" w:bottom="1411" w:left="1411" w:header="504" w:footer="1022" w:gutter="0"/>
          <w:pgNumType w:start="0"/>
          <w:cols w:space="720"/>
          <w:titlePg/>
          <w:docGrid w:linePitch="299"/>
        </w:sectPr>
      </w:pPr>
    </w:p>
    <w:p w:rsidR="002928D3" w:rsidRPr="00120311" w:rsidRDefault="002928D3">
      <w:pPr>
        <w:rPr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91"/>
        <w:gridCol w:w="6957"/>
      </w:tblGrid>
      <w:tr w:rsidR="00A80BCE" w:rsidRPr="00120311" w:rsidTr="00EF1FF2">
        <w:trPr>
          <w:cantSplit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A80BCE" w:rsidRPr="00120311" w:rsidRDefault="00A80BCE" w:rsidP="00EF1FF2">
            <w:pPr>
              <w:rPr>
                <w:bCs/>
                <w:iCs/>
                <w:lang w:val="fr-CH"/>
              </w:rPr>
            </w:pPr>
            <w:r w:rsidRPr="00120311">
              <w:rPr>
                <w:bCs/>
                <w:iCs/>
                <w:lang w:val="fr-CH"/>
              </w:rPr>
              <w:br w:type="page"/>
            </w:r>
            <w:r w:rsidR="000C4B7D" w:rsidRPr="00120311">
              <w:rPr>
                <w:bCs/>
                <w:iCs/>
                <w:lang w:val="fr-CH"/>
              </w:rPr>
              <w:t>RÉSUMÉ DU PROJET</w:t>
            </w:r>
          </w:p>
        </w:tc>
      </w:tr>
      <w:tr w:rsidR="00A80BCE" w:rsidRPr="00120311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bCs/>
                <w:u w:val="single"/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Cote du projet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A80BCE" w:rsidRPr="00120311" w:rsidRDefault="00A80BCE" w:rsidP="00EF1FF2">
            <w:pPr>
              <w:rPr>
                <w:i/>
                <w:lang w:val="fr-CH"/>
              </w:rPr>
            </w:pPr>
            <w:r w:rsidRPr="00120311">
              <w:rPr>
                <w:iCs/>
                <w:lang w:val="fr-CH"/>
              </w:rPr>
              <w:t>DA_16_20_03</w:t>
            </w:r>
          </w:p>
        </w:tc>
      </w:tr>
      <w:tr w:rsidR="00A80BCE" w:rsidRPr="00025E6D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Titre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A80BCE" w:rsidRPr="00120311" w:rsidRDefault="00D923C7" w:rsidP="00EF1FF2">
            <w:pPr>
              <w:rPr>
                <w:i/>
                <w:lang w:val="fr-CH"/>
              </w:rPr>
            </w:pPr>
            <w:r w:rsidRPr="00120311">
              <w:rPr>
                <w:lang w:val="fr-CH"/>
              </w:rPr>
              <w:t>Utilisation de l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>information figurant dans le domaine public aux fins du développement économique</w:t>
            </w:r>
          </w:p>
        </w:tc>
      </w:tr>
      <w:tr w:rsidR="00A80BCE" w:rsidRPr="00025E6D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Recommandation</w:t>
            </w:r>
            <w:r w:rsidR="005B040F" w:rsidRPr="00120311">
              <w:rPr>
                <w:bCs/>
                <w:u w:val="single"/>
                <w:lang w:val="fr-CH"/>
              </w:rPr>
              <w:t>s</w:t>
            </w:r>
            <w:r w:rsidRPr="00120311">
              <w:rPr>
                <w:bCs/>
                <w:u w:val="single"/>
                <w:lang w:val="fr-CH"/>
              </w:rPr>
              <w:t xml:space="preserve"> du Plan d</w:t>
            </w:r>
            <w:r w:rsidR="00751A1A">
              <w:rPr>
                <w:bCs/>
                <w:u w:val="single"/>
                <w:lang w:val="fr-CH"/>
              </w:rPr>
              <w:t>’</w:t>
            </w:r>
            <w:r w:rsidRPr="00120311">
              <w:rPr>
                <w:bCs/>
                <w:u w:val="single"/>
                <w:lang w:val="fr-CH"/>
              </w:rPr>
              <w:t>action pour le développement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A80BCE" w:rsidRPr="00120311" w:rsidRDefault="000C4B7D" w:rsidP="00EF1FF2">
            <w:pPr>
              <w:rPr>
                <w:lang w:val="fr-CH"/>
              </w:rPr>
            </w:pPr>
            <w:r w:rsidRPr="00120311">
              <w:rPr>
                <w:i/>
                <w:lang w:val="fr-CH"/>
              </w:rPr>
              <w:t>Recomma</w:t>
            </w:r>
            <w:r w:rsidR="00A80BCE" w:rsidRPr="00120311">
              <w:rPr>
                <w:i/>
                <w:lang w:val="fr-CH"/>
              </w:rPr>
              <w:t xml:space="preserve">ndation </w:t>
            </w:r>
            <w:r w:rsidR="00E80E7B" w:rsidRPr="00120311">
              <w:rPr>
                <w:i/>
                <w:lang w:val="fr-CH"/>
              </w:rPr>
              <w:t>n° </w:t>
            </w:r>
            <w:r w:rsidR="00A80BCE" w:rsidRPr="00120311">
              <w:rPr>
                <w:i/>
                <w:lang w:val="fr-CH"/>
              </w:rPr>
              <w:t>16</w:t>
            </w:r>
            <w:r w:rsidR="001045DE">
              <w:rPr>
                <w:i/>
                <w:lang w:val="fr-CH"/>
              </w:rPr>
              <w:t> :</w:t>
            </w:r>
            <w:r w:rsidR="00A80BCE" w:rsidRPr="00120311">
              <w:rPr>
                <w:lang w:val="fr-CH"/>
              </w:rPr>
              <w:t xml:space="preserve"> </w:t>
            </w:r>
            <w:r w:rsidR="00E80E7B" w:rsidRPr="00120311">
              <w:rPr>
                <w:lang w:val="fr-CH"/>
              </w:rPr>
              <w:t>prendre en considération la préservation du domaine public dans l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élaboration des normes à l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OMPI et approfondir l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analyse des conséquences et des avantages d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un domaine public riche et accessible</w:t>
            </w:r>
            <w:r w:rsidR="00A80BCE" w:rsidRPr="00120311">
              <w:rPr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A80BCE" w:rsidRPr="00120311" w:rsidRDefault="000C4B7D" w:rsidP="00EF1FF2">
            <w:pPr>
              <w:rPr>
                <w:lang w:val="fr-CH"/>
              </w:rPr>
            </w:pPr>
            <w:r w:rsidRPr="00120311">
              <w:rPr>
                <w:i/>
                <w:lang w:val="fr-CH"/>
              </w:rPr>
              <w:t>Recomma</w:t>
            </w:r>
            <w:r w:rsidR="00A80BCE" w:rsidRPr="00120311">
              <w:rPr>
                <w:i/>
                <w:lang w:val="fr-CH"/>
              </w:rPr>
              <w:t xml:space="preserve">ndation </w:t>
            </w:r>
            <w:r w:rsidR="00E80E7B" w:rsidRPr="00120311">
              <w:rPr>
                <w:i/>
                <w:lang w:val="fr-CH"/>
              </w:rPr>
              <w:t>n° </w:t>
            </w:r>
            <w:r w:rsidR="00A80BCE" w:rsidRPr="00120311">
              <w:rPr>
                <w:i/>
                <w:lang w:val="fr-CH"/>
              </w:rPr>
              <w:t>20</w:t>
            </w:r>
            <w:r w:rsidR="001045DE">
              <w:rPr>
                <w:i/>
                <w:lang w:val="fr-CH"/>
              </w:rPr>
              <w:t> :</w:t>
            </w:r>
            <w:r w:rsidR="00A80BCE" w:rsidRPr="00120311">
              <w:rPr>
                <w:lang w:val="fr-CH"/>
              </w:rPr>
              <w:t xml:space="preserve"> </w:t>
            </w:r>
            <w:r w:rsidR="00E80E7B" w:rsidRPr="00120311">
              <w:rPr>
                <w:lang w:val="fr-CH"/>
              </w:rPr>
              <w:t>promouvoir les activités d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établissement de normes relatives à la propriété intellectuelle favorisant la consolidation du domaine public dans les États membres de l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 xml:space="preserve">OMPI, </w:t>
            </w:r>
            <w:r w:rsidR="00751A1A">
              <w:rPr>
                <w:lang w:val="fr-CH"/>
              </w:rPr>
              <w:t>y compris</w:t>
            </w:r>
            <w:r w:rsidR="00E80E7B" w:rsidRPr="00120311">
              <w:rPr>
                <w:lang w:val="fr-CH"/>
              </w:rPr>
              <w:t xml:space="preserve"> l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élaboration éventuelle de principes directeurs susceptibles d</w:t>
            </w:r>
            <w:r w:rsidR="00751A1A">
              <w:rPr>
                <w:lang w:val="fr-CH"/>
              </w:rPr>
              <w:t>’</w:t>
            </w:r>
            <w:r w:rsidR="00E80E7B" w:rsidRPr="00120311">
              <w:rPr>
                <w:lang w:val="fr-CH"/>
              </w:rPr>
              <w:t>aider les États membres intéressés à recenser les objets tombés dans le domaine public sur leurs territoires respectifs</w:t>
            </w:r>
            <w:r w:rsidR="00A80BCE" w:rsidRPr="00120311">
              <w:rPr>
                <w:lang w:val="fr-CH"/>
              </w:rPr>
              <w:t>.</w:t>
            </w:r>
          </w:p>
        </w:tc>
      </w:tr>
      <w:tr w:rsidR="00A80BCE" w:rsidRPr="00025E6D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Budget du projet</w:t>
            </w:r>
          </w:p>
        </w:tc>
        <w:tc>
          <w:tcPr>
            <w:tcW w:w="6912" w:type="dxa"/>
            <w:shd w:val="clear" w:color="auto" w:fill="auto"/>
          </w:tcPr>
          <w:p w:rsidR="00A80BCE" w:rsidRPr="00120311" w:rsidRDefault="000C4B7D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Dépenses </w:t>
            </w:r>
            <w:r w:rsidR="003D1F05" w:rsidRPr="00120311">
              <w:rPr>
                <w:lang w:val="fr-CH"/>
              </w:rPr>
              <w:t>hors</w:t>
            </w:r>
            <w:r w:rsidRPr="00120311">
              <w:rPr>
                <w:lang w:val="fr-CH"/>
              </w:rPr>
              <w:t xml:space="preserve"> personnel</w:t>
            </w:r>
            <w:r w:rsidR="001045DE">
              <w:rPr>
                <w:lang w:val="fr-CH"/>
              </w:rPr>
              <w:t> :</w:t>
            </w:r>
            <w:r w:rsidRPr="00120311">
              <w:rPr>
                <w:lang w:val="fr-CH"/>
              </w:rPr>
              <w:t xml:space="preserve"> 300 </w:t>
            </w:r>
            <w:r w:rsidR="00A80BCE" w:rsidRPr="00120311">
              <w:rPr>
                <w:lang w:val="fr-CH"/>
              </w:rPr>
              <w:t>00</w:t>
            </w:r>
            <w:r w:rsidR="00751A1A" w:rsidRPr="00120311">
              <w:rPr>
                <w:lang w:val="fr-CH"/>
              </w:rPr>
              <w:t>0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franc</w:t>
            </w:r>
            <w:r w:rsidRPr="00120311">
              <w:rPr>
                <w:lang w:val="fr-CH"/>
              </w:rPr>
              <w:t xml:space="preserve">s suisses </w:t>
            </w:r>
            <w:r w:rsidR="00A80BCE" w:rsidRPr="00120311">
              <w:rPr>
                <w:lang w:val="fr-CH"/>
              </w:rPr>
              <w:t>(2016</w:t>
            </w:r>
            <w:r w:rsidR="00751A1A">
              <w:rPr>
                <w:lang w:val="fr-CH"/>
              </w:rPr>
              <w:t>-</w:t>
            </w:r>
            <w:r w:rsidR="00A80BCE" w:rsidRPr="00120311">
              <w:rPr>
                <w:lang w:val="fr-CH"/>
              </w:rPr>
              <w:t xml:space="preserve">2017) </w:t>
            </w:r>
            <w:r w:rsidRPr="00120311">
              <w:rPr>
                <w:lang w:val="fr-CH"/>
              </w:rPr>
              <w:t>et</w:t>
            </w:r>
            <w:r w:rsidR="00A80BCE" w:rsidRPr="00120311">
              <w:rPr>
                <w:lang w:val="fr-CH"/>
              </w:rPr>
              <w:t xml:space="preserve"> </w:t>
            </w:r>
            <w:r w:rsidRPr="00120311">
              <w:rPr>
                <w:lang w:val="fr-CH"/>
              </w:rPr>
              <w:t>200 </w:t>
            </w:r>
            <w:r w:rsidR="00A80BCE" w:rsidRPr="00120311">
              <w:rPr>
                <w:lang w:val="fr-CH"/>
              </w:rPr>
              <w:t>000 </w:t>
            </w:r>
            <w:r w:rsidRPr="00120311">
              <w:rPr>
                <w:lang w:val="fr-CH"/>
              </w:rPr>
              <w:t>francs suisses</w:t>
            </w:r>
            <w:r w:rsidR="00A80BCE" w:rsidRPr="00120311">
              <w:rPr>
                <w:lang w:val="fr-CH"/>
              </w:rPr>
              <w:t xml:space="preserve"> (2018</w:t>
            </w:r>
            <w:r w:rsidR="00751A1A">
              <w:rPr>
                <w:lang w:val="fr-CH"/>
              </w:rPr>
              <w:t>-</w:t>
            </w:r>
            <w:proofErr w:type="gramStart"/>
            <w:r w:rsidR="00A80BCE" w:rsidRPr="00120311">
              <w:rPr>
                <w:lang w:val="fr-CH"/>
              </w:rPr>
              <w:t>2019)*</w:t>
            </w:r>
            <w:proofErr w:type="gramEnd"/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A80BCE" w:rsidRPr="00120311" w:rsidRDefault="000C4B7D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Dépenses de personnel</w:t>
            </w:r>
            <w:r w:rsidR="001045DE">
              <w:rPr>
                <w:lang w:val="fr-CH"/>
              </w:rPr>
              <w:t> :</w:t>
            </w:r>
            <w:r w:rsidRPr="00120311">
              <w:rPr>
                <w:lang w:val="fr-CH"/>
              </w:rPr>
              <w:t xml:space="preserve"> 150 </w:t>
            </w:r>
            <w:r w:rsidR="00A80BCE" w:rsidRPr="00120311">
              <w:rPr>
                <w:lang w:val="fr-CH"/>
              </w:rPr>
              <w:t>00</w:t>
            </w:r>
            <w:r w:rsidR="00751A1A" w:rsidRPr="00120311">
              <w:rPr>
                <w:lang w:val="fr-CH"/>
              </w:rPr>
              <w:t>0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franc</w:t>
            </w:r>
            <w:r w:rsidRPr="00120311">
              <w:rPr>
                <w:lang w:val="fr-CH"/>
              </w:rPr>
              <w:t>s suisses</w:t>
            </w:r>
            <w:r w:rsidR="00A80BCE" w:rsidRPr="00120311">
              <w:rPr>
                <w:lang w:val="fr-CH"/>
              </w:rPr>
              <w:t xml:space="preserve"> (2016</w:t>
            </w:r>
            <w:r w:rsidR="00751A1A">
              <w:rPr>
                <w:lang w:val="fr-CH"/>
              </w:rPr>
              <w:t>-</w:t>
            </w:r>
            <w:r w:rsidR="00A80BCE" w:rsidRPr="00120311">
              <w:rPr>
                <w:lang w:val="fr-CH"/>
              </w:rPr>
              <w:t xml:space="preserve">2017) </w:t>
            </w:r>
            <w:r w:rsidRPr="00120311">
              <w:rPr>
                <w:lang w:val="fr-CH"/>
              </w:rPr>
              <w:t>et 150 </w:t>
            </w:r>
            <w:r w:rsidR="00A80BCE" w:rsidRPr="00120311">
              <w:rPr>
                <w:lang w:val="fr-CH"/>
              </w:rPr>
              <w:t>000 </w:t>
            </w:r>
            <w:r w:rsidRPr="00120311">
              <w:rPr>
                <w:lang w:val="fr-CH"/>
              </w:rPr>
              <w:t>francs suisses</w:t>
            </w:r>
            <w:r w:rsidR="00A80BCE" w:rsidRPr="00120311">
              <w:rPr>
                <w:lang w:val="fr-CH"/>
              </w:rPr>
              <w:t xml:space="preserve"> (2018</w:t>
            </w:r>
            <w:r w:rsidR="00751A1A">
              <w:rPr>
                <w:lang w:val="fr-CH"/>
              </w:rPr>
              <w:t>-</w:t>
            </w:r>
            <w:r w:rsidR="00A80BCE" w:rsidRPr="00120311">
              <w:rPr>
                <w:lang w:val="fr-CH"/>
              </w:rPr>
              <w:t>2019)*</w:t>
            </w:r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A80BCE" w:rsidRPr="00120311" w:rsidRDefault="000C4B7D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*50 </w:t>
            </w:r>
            <w:r w:rsidR="00A80BCE" w:rsidRPr="00120311">
              <w:rPr>
                <w:lang w:val="fr-CH"/>
              </w:rPr>
              <w:t>00</w:t>
            </w:r>
            <w:r w:rsidR="00751A1A" w:rsidRPr="00120311">
              <w:rPr>
                <w:lang w:val="fr-CH"/>
              </w:rPr>
              <w:t>0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franc</w:t>
            </w:r>
            <w:r w:rsidRPr="00120311">
              <w:rPr>
                <w:lang w:val="fr-CH"/>
              </w:rPr>
              <w:t>s suisses</w:t>
            </w:r>
            <w:r w:rsidR="00A80BCE" w:rsidRPr="00120311">
              <w:rPr>
                <w:lang w:val="fr-CH"/>
              </w:rPr>
              <w:t xml:space="preserve"> </w:t>
            </w:r>
            <w:r w:rsidR="000F2669" w:rsidRPr="00120311">
              <w:rPr>
                <w:lang w:val="fr-CH"/>
              </w:rPr>
              <w:t xml:space="preserve">de dépenses hors personnel </w:t>
            </w:r>
            <w:r w:rsidR="004F73F1" w:rsidRPr="00120311">
              <w:rPr>
                <w:lang w:val="fr-CH"/>
              </w:rPr>
              <w:t>réaffectés aux</w:t>
            </w:r>
            <w:r w:rsidR="000F2669" w:rsidRPr="00120311">
              <w:rPr>
                <w:lang w:val="fr-CH"/>
              </w:rPr>
              <w:t xml:space="preserve"> dépenses de personnel </w:t>
            </w:r>
            <w:r w:rsidR="00751A1A" w:rsidRPr="00120311">
              <w:rPr>
                <w:lang w:val="fr-CH"/>
              </w:rPr>
              <w:t>en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2018</w:t>
            </w:r>
            <w:r w:rsidR="00751A1A">
              <w:rPr>
                <w:lang w:val="fr-CH"/>
              </w:rPr>
              <w:t>-</w:t>
            </w:r>
            <w:r w:rsidR="00A80BCE" w:rsidRPr="00120311">
              <w:rPr>
                <w:lang w:val="fr-CH"/>
              </w:rPr>
              <w:t xml:space="preserve">2019 </w:t>
            </w:r>
            <w:r w:rsidR="000F2669" w:rsidRPr="00120311">
              <w:rPr>
                <w:lang w:val="fr-CH"/>
              </w:rPr>
              <w:t xml:space="preserve">et une </w:t>
            </w:r>
            <w:r w:rsidR="001329C9" w:rsidRPr="00120311">
              <w:rPr>
                <w:lang w:val="fr-CH"/>
              </w:rPr>
              <w:t>prolongation</w:t>
            </w:r>
            <w:r w:rsidR="004F73F1" w:rsidRPr="00120311">
              <w:rPr>
                <w:lang w:val="fr-CH"/>
              </w:rPr>
              <w:t xml:space="preserve"> du délai de mise en </w:t>
            </w:r>
            <w:r w:rsidR="00120311" w:rsidRPr="00120311">
              <w:rPr>
                <w:lang w:val="fr-CH"/>
              </w:rPr>
              <w:t>œuvre</w:t>
            </w:r>
            <w:r w:rsidR="004F73F1" w:rsidRPr="00120311">
              <w:rPr>
                <w:lang w:val="fr-CH"/>
              </w:rPr>
              <w:t xml:space="preserve"> du projet</w:t>
            </w:r>
            <w:r w:rsidR="009A2E7C" w:rsidRPr="00120311">
              <w:rPr>
                <w:lang w:val="fr-CH"/>
              </w:rPr>
              <w:t xml:space="preserve"> </w:t>
            </w:r>
            <w:r w:rsidR="001329C9" w:rsidRPr="00120311">
              <w:rPr>
                <w:lang w:val="fr-CH"/>
              </w:rPr>
              <w:t>pour une durée de</w:t>
            </w:r>
            <w:r w:rsidR="009A2E7C" w:rsidRPr="00120311">
              <w:rPr>
                <w:lang w:val="fr-CH"/>
              </w:rPr>
              <w:t xml:space="preserve"> six</w:t>
            </w:r>
            <w:r w:rsidR="001045DE">
              <w:rPr>
                <w:lang w:val="fr-CH"/>
              </w:rPr>
              <w:t> </w:t>
            </w:r>
            <w:r w:rsidR="009A2E7C" w:rsidRPr="00120311">
              <w:rPr>
                <w:lang w:val="fr-CH"/>
              </w:rPr>
              <w:t xml:space="preserve">mois, comme convenu par les États membres </w:t>
            </w:r>
            <w:r w:rsidR="000B00B2" w:rsidRPr="00120311">
              <w:rPr>
                <w:lang w:val="fr-CH"/>
              </w:rPr>
              <w:t xml:space="preserve">à </w:t>
            </w:r>
            <w:r w:rsidR="001329C9" w:rsidRPr="00120311">
              <w:rPr>
                <w:lang w:val="fr-CH"/>
              </w:rPr>
              <w:t>la</w:t>
            </w:r>
            <w:r w:rsidR="009A2E7C" w:rsidRPr="00120311">
              <w:rPr>
                <w:lang w:val="fr-CH"/>
              </w:rPr>
              <w:t xml:space="preserve"> vingt</w:t>
            </w:r>
            <w:r w:rsidR="00751A1A">
              <w:rPr>
                <w:lang w:val="fr-CH"/>
              </w:rPr>
              <w:t>-</w:t>
            </w:r>
            <w:r w:rsidR="009A2E7C" w:rsidRPr="00120311">
              <w:rPr>
                <w:lang w:val="fr-CH"/>
              </w:rPr>
              <w:t>deux</w:t>
            </w:r>
            <w:r w:rsidR="00751A1A">
              <w:rPr>
                <w:lang w:val="fr-CH"/>
              </w:rPr>
              <w:t>ième session</w:t>
            </w:r>
            <w:r w:rsidR="00751A1A" w:rsidRPr="00120311">
              <w:rPr>
                <w:lang w:val="fr-CH"/>
              </w:rPr>
              <w:t xml:space="preserve"> du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CDI</w:t>
            </w:r>
            <w:r w:rsidR="001329C9" w:rsidRPr="00120311">
              <w:rPr>
                <w:lang w:val="fr-CH"/>
              </w:rPr>
              <w:t xml:space="preserve">P </w:t>
            </w:r>
            <w:r w:rsidR="009A2E7C" w:rsidRPr="00120311">
              <w:rPr>
                <w:lang w:val="fr-CH"/>
              </w:rPr>
              <w:t>(</w:t>
            </w:r>
            <w:r w:rsidR="00767CDC" w:rsidRPr="00120311">
              <w:rPr>
                <w:lang w:val="fr-CH"/>
              </w:rPr>
              <w:t>CDIP/22</w:t>
            </w:r>
            <w:r w:rsidR="009A2E7C" w:rsidRPr="00120311">
              <w:rPr>
                <w:lang w:val="fr-CH"/>
              </w:rPr>
              <w:t>)</w:t>
            </w:r>
            <w:r w:rsidR="00A80BCE" w:rsidRPr="00120311">
              <w:rPr>
                <w:iCs/>
                <w:lang w:val="fr-CH"/>
              </w:rPr>
              <w:t>.</w:t>
            </w:r>
          </w:p>
        </w:tc>
      </w:tr>
      <w:tr w:rsidR="00A80BCE" w:rsidRPr="00120311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Durée du projet</w:t>
            </w:r>
          </w:p>
        </w:tc>
        <w:tc>
          <w:tcPr>
            <w:tcW w:w="6912" w:type="dxa"/>
            <w:shd w:val="clear" w:color="auto" w:fill="auto"/>
          </w:tcPr>
          <w:p w:rsidR="00A80BCE" w:rsidRPr="00120311" w:rsidRDefault="00A80BCE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36 </w:t>
            </w:r>
            <w:r w:rsidR="00D923C7" w:rsidRPr="00120311">
              <w:rPr>
                <w:lang w:val="fr-CH"/>
              </w:rPr>
              <w:t>mois</w:t>
            </w:r>
          </w:p>
        </w:tc>
      </w:tr>
      <w:tr w:rsidR="00A80BCE" w:rsidRPr="00025E6D" w:rsidTr="00EF1FF2">
        <w:trPr>
          <w:cantSplit/>
        </w:trPr>
        <w:tc>
          <w:tcPr>
            <w:tcW w:w="2376" w:type="dxa"/>
            <w:shd w:val="clear" w:color="auto" w:fill="auto"/>
          </w:tcPr>
          <w:p w:rsidR="00A80BCE" w:rsidRPr="00120311" w:rsidRDefault="008D29D9" w:rsidP="00EF1FF2">
            <w:pPr>
              <w:rPr>
                <w:bCs/>
                <w:u w:val="single"/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Principaux secteurs de l</w:t>
            </w:r>
            <w:r w:rsidR="00751A1A">
              <w:rPr>
                <w:bCs/>
                <w:u w:val="single"/>
                <w:lang w:val="fr-CH"/>
              </w:rPr>
              <w:t>’</w:t>
            </w:r>
            <w:r w:rsidRPr="00120311">
              <w:rPr>
                <w:bCs/>
                <w:u w:val="single"/>
                <w:lang w:val="fr-CH"/>
              </w:rPr>
              <w:t xml:space="preserve">OMPI concernés et </w:t>
            </w:r>
            <w:r w:rsidR="00B55F5E" w:rsidRPr="00120311">
              <w:rPr>
                <w:bCs/>
                <w:u w:val="single"/>
                <w:lang w:val="fr-CH"/>
              </w:rPr>
              <w:t xml:space="preserve">liens avec </w:t>
            </w:r>
            <w:r w:rsidRPr="00120311">
              <w:rPr>
                <w:bCs/>
                <w:u w:val="single"/>
                <w:lang w:val="fr-CH"/>
              </w:rPr>
              <w:t>les</w:t>
            </w:r>
            <w:r w:rsidR="00B55F5E" w:rsidRPr="00120311">
              <w:rPr>
                <w:bCs/>
                <w:u w:val="single"/>
                <w:lang w:val="fr-CH"/>
              </w:rPr>
              <w:t xml:space="preserve"> programmes de l</w:t>
            </w:r>
            <w:r w:rsidR="00751A1A">
              <w:rPr>
                <w:bCs/>
                <w:u w:val="single"/>
                <w:lang w:val="fr-CH"/>
              </w:rPr>
              <w:t>’</w:t>
            </w:r>
            <w:r w:rsidR="00B55F5E" w:rsidRPr="00120311">
              <w:rPr>
                <w:bCs/>
                <w:u w:val="single"/>
                <w:lang w:val="fr-CH"/>
              </w:rPr>
              <w:t>OMPI</w:t>
            </w:r>
          </w:p>
        </w:tc>
        <w:tc>
          <w:tcPr>
            <w:tcW w:w="6912" w:type="dxa"/>
            <w:shd w:val="clear" w:color="auto" w:fill="auto"/>
          </w:tcPr>
          <w:p w:rsidR="00A80BCE" w:rsidRPr="00120311" w:rsidRDefault="008D29D9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Liens avec les programmes 1, 9, 10 et</w:t>
            </w:r>
            <w:r w:rsidR="00A80BCE" w:rsidRPr="00120311">
              <w:rPr>
                <w:lang w:val="fr-CH"/>
              </w:rPr>
              <w:t xml:space="preserve"> 14.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D923C7" w:rsidP="00EF1FF2">
            <w:pPr>
              <w:rPr>
                <w:bCs/>
                <w:u w:val="single"/>
                <w:lang w:val="fr-CH"/>
              </w:rPr>
            </w:pPr>
            <w:r w:rsidRPr="00120311">
              <w:rPr>
                <w:bCs/>
                <w:u w:val="single"/>
                <w:lang w:val="fr-CH"/>
              </w:rPr>
              <w:t>Brève description du projet</w:t>
            </w:r>
          </w:p>
        </w:tc>
        <w:tc>
          <w:tcPr>
            <w:tcW w:w="6912" w:type="dxa"/>
            <w:shd w:val="clear" w:color="auto" w:fill="auto"/>
          </w:tcPr>
          <w:p w:rsidR="00A80BCE" w:rsidRPr="00120311" w:rsidRDefault="0047340F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Le projet s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appuyait sur les activités de programme en cours visant à créer et renforcer des centres d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appui à la technologie et à l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innovation</w:t>
            </w:r>
            <w:r w:rsidR="00A80BCE" w:rsidRPr="00120311">
              <w:rPr>
                <w:iCs/>
                <w:lang w:val="fr-CH"/>
              </w:rPr>
              <w:t xml:space="preserve"> (</w:t>
            </w:r>
            <w:r w:rsidRPr="00120311">
              <w:rPr>
                <w:iCs/>
                <w:lang w:val="fr-CH"/>
              </w:rPr>
              <w:t>CATI</w:t>
            </w:r>
            <w:r w:rsidR="00A80BCE" w:rsidRPr="00120311">
              <w:rPr>
                <w:iCs/>
                <w:lang w:val="fr-CH"/>
              </w:rPr>
              <w:t>),</w:t>
            </w:r>
            <w:r w:rsidR="003556D5" w:rsidRPr="00120311">
              <w:rPr>
                <w:iCs/>
                <w:lang w:val="fr-CH"/>
              </w:rPr>
              <w:t xml:space="preserve"> </w:t>
            </w:r>
            <w:r w:rsidRPr="00120311">
              <w:rPr>
                <w:iCs/>
                <w:lang w:val="fr-CH"/>
              </w:rPr>
              <w:t>les conclusions d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études antérieures sur la propriété intellectuelle et le domaine public</w:t>
            </w:r>
            <w:r w:rsidR="00A80BCE" w:rsidRPr="00120311">
              <w:rPr>
                <w:iCs/>
                <w:lang w:val="fr-CH"/>
              </w:rPr>
              <w:t xml:space="preserve"> (</w:t>
            </w:r>
            <w:r w:rsidRPr="00120311">
              <w:rPr>
                <w:iCs/>
                <w:lang w:val="fr-CH"/>
              </w:rPr>
              <w:t>en ce qui concerne les brevets)</w:t>
            </w:r>
            <w:r w:rsidR="00A80BCE" w:rsidRPr="00120311">
              <w:rPr>
                <w:iCs/>
                <w:lang w:val="fr-CH"/>
              </w:rPr>
              <w:t xml:space="preserve"> </w:t>
            </w:r>
            <w:r w:rsidRPr="00120311">
              <w:rPr>
                <w:iCs/>
                <w:lang w:val="fr-CH"/>
              </w:rPr>
              <w:t>et sur le portail existant sur la situation juridique qui a été créé dans le cadre du projet du Plan d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action pour le développement relatif aux données sur la situation juridique des brevets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A80BCE" w:rsidRPr="00120311" w:rsidRDefault="0047340F" w:rsidP="00EF1FF2">
            <w:pPr>
              <w:rPr>
                <w:lang w:val="fr-CH"/>
              </w:rPr>
            </w:pPr>
            <w:r w:rsidRPr="00120311">
              <w:rPr>
                <w:iCs/>
                <w:lang w:val="fr-CH"/>
              </w:rPr>
              <w:t>Plus précisé</w:t>
            </w:r>
            <w:r w:rsidR="003D1F05" w:rsidRPr="00120311">
              <w:rPr>
                <w:iCs/>
                <w:lang w:val="fr-CH"/>
              </w:rPr>
              <w:t>ment, le projet avait pour objectif</w:t>
            </w:r>
            <w:r w:rsidRPr="00120311">
              <w:rPr>
                <w:iCs/>
                <w:lang w:val="fr-CH"/>
              </w:rPr>
              <w:t xml:space="preserve"> de </w:t>
            </w:r>
            <w:r w:rsidR="003D1F05" w:rsidRPr="00120311">
              <w:rPr>
                <w:iCs/>
                <w:lang w:val="fr-CH"/>
              </w:rPr>
              <w:t>complé</w:t>
            </w:r>
            <w:r w:rsidR="00EE139A" w:rsidRPr="00120311">
              <w:rPr>
                <w:iCs/>
                <w:lang w:val="fr-CH"/>
              </w:rPr>
              <w:t>ter les services existants de</w:t>
            </w:r>
            <w:r w:rsidRPr="00120311">
              <w:rPr>
                <w:iCs/>
                <w:lang w:val="fr-CH"/>
              </w:rPr>
              <w:t xml:space="preserve"> CATI </w:t>
            </w:r>
            <w:r w:rsidR="001329C9" w:rsidRPr="00120311">
              <w:rPr>
                <w:iCs/>
                <w:lang w:val="fr-CH"/>
              </w:rPr>
              <w:t>par l</w:t>
            </w:r>
            <w:r w:rsidR="00751A1A">
              <w:rPr>
                <w:iCs/>
                <w:lang w:val="fr-CH"/>
              </w:rPr>
              <w:t>’</w:t>
            </w:r>
            <w:r w:rsidR="001329C9" w:rsidRPr="00120311">
              <w:rPr>
                <w:iCs/>
                <w:lang w:val="fr-CH"/>
              </w:rPr>
              <w:t>ajout</w:t>
            </w:r>
            <w:r w:rsidRPr="00120311">
              <w:rPr>
                <w:iCs/>
                <w:lang w:val="fr-CH"/>
              </w:rPr>
              <w:t xml:space="preserve"> de nouveaux services et outils </w:t>
            </w:r>
            <w:r w:rsidR="00B55F5E" w:rsidRPr="00120311">
              <w:rPr>
                <w:iCs/>
                <w:lang w:val="fr-CH"/>
              </w:rPr>
              <w:t xml:space="preserve">à </w:t>
            </w:r>
            <w:r w:rsidRPr="00120311">
              <w:rPr>
                <w:iCs/>
                <w:lang w:val="fr-CH"/>
              </w:rPr>
              <w:t>ceux qu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 xml:space="preserve">ils </w:t>
            </w:r>
            <w:r w:rsidR="00B55F5E" w:rsidRPr="00120311">
              <w:rPr>
                <w:iCs/>
                <w:lang w:val="fr-CH"/>
              </w:rPr>
              <w:t>proposent déjà et qui présentent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B55F5E" w:rsidRPr="00120311">
              <w:rPr>
                <w:bCs/>
                <w:lang w:val="fr-CH"/>
              </w:rPr>
              <w:t xml:space="preserve">un intérêt concret, en particulier pour les innovateurs indépendants et les entreprises des pays en développement et des pays les moins avancés </w:t>
            </w:r>
            <w:r w:rsidR="00A80BCE" w:rsidRPr="00120311">
              <w:rPr>
                <w:bCs/>
                <w:lang w:val="fr-CH"/>
              </w:rPr>
              <w:t>(</w:t>
            </w:r>
            <w:r w:rsidR="00B55F5E" w:rsidRPr="00120311">
              <w:rPr>
                <w:bCs/>
                <w:lang w:val="fr-CH"/>
              </w:rPr>
              <w:t>PMA</w:t>
            </w:r>
            <w:r w:rsidR="00A80BCE" w:rsidRPr="00120311">
              <w:rPr>
                <w:bCs/>
                <w:lang w:val="fr-CH"/>
              </w:rPr>
              <w:t>)</w:t>
            </w:r>
            <w:r w:rsidR="00A80BCE" w:rsidRPr="00120311">
              <w:rPr>
                <w:iCs/>
                <w:lang w:val="fr-CH"/>
              </w:rPr>
              <w:t xml:space="preserve">, </w:t>
            </w:r>
            <w:r w:rsidR="00B55F5E" w:rsidRPr="00120311">
              <w:rPr>
                <w:iCs/>
                <w:lang w:val="fr-CH"/>
              </w:rPr>
              <w:t>permettant non seulement d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identifier les inventions se trouvant dans le domaine public mais également d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aider les inventeurs, les chercheurs et les chefs d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 xml:space="preserve">entreprise à utiliser cette information pour obtenir de nouveaux résultats de recherche et créer de nouveaux produits, favorisant ainsi une exploitation et une utilisation plus </w:t>
            </w:r>
            <w:r w:rsidR="00B55F5E" w:rsidRPr="00120311">
              <w:rPr>
                <w:iCs/>
                <w:lang w:val="fr-CH"/>
              </w:rPr>
              <w:lastRenderedPageBreak/>
              <w:t xml:space="preserve">efficaces des inventions du domaine public en tant que source de création de </w:t>
            </w:r>
            <w:r w:rsidR="000B00B2" w:rsidRPr="00120311">
              <w:rPr>
                <w:iCs/>
                <w:lang w:val="fr-CH"/>
              </w:rPr>
              <w:t>savoirs locaux et d</w:t>
            </w:r>
            <w:r w:rsidR="00751A1A">
              <w:rPr>
                <w:iCs/>
                <w:lang w:val="fr-CH"/>
              </w:rPr>
              <w:t>’</w:t>
            </w:r>
            <w:r w:rsidR="000B00B2" w:rsidRPr="00120311">
              <w:rPr>
                <w:iCs/>
                <w:lang w:val="fr-CH"/>
              </w:rPr>
              <w:t>innovations</w:t>
            </w:r>
            <w:r w:rsidR="00B55F5E" w:rsidRPr="00120311">
              <w:rPr>
                <w:iCs/>
                <w:lang w:val="fr-CH"/>
              </w:rPr>
              <w:t xml:space="preserve"> et d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augmentation des capacités d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absorption des pays en développement et</w:t>
            </w:r>
            <w:r w:rsidR="00751A1A" w:rsidRPr="00120311">
              <w:rPr>
                <w:iCs/>
                <w:lang w:val="fr-CH"/>
              </w:rPr>
              <w:t xml:space="preserve"> des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PMA</w:t>
            </w:r>
            <w:r w:rsidR="00B55F5E" w:rsidRPr="00120311">
              <w:rPr>
                <w:iCs/>
                <w:lang w:val="fr-CH"/>
              </w:rPr>
              <w:t xml:space="preserve"> du point de vue de l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adaptation et de l</w:t>
            </w:r>
            <w:r w:rsidR="00751A1A">
              <w:rPr>
                <w:iCs/>
                <w:lang w:val="fr-CH"/>
              </w:rPr>
              <w:t>’</w:t>
            </w:r>
            <w:r w:rsidR="00B55F5E" w:rsidRPr="00120311">
              <w:rPr>
                <w:iCs/>
                <w:lang w:val="fr-CH"/>
              </w:rPr>
              <w:t>assimilation de différentes technologies</w:t>
            </w:r>
            <w:r w:rsidR="00A80BCE" w:rsidRPr="00120311">
              <w:rPr>
                <w:iCs/>
                <w:lang w:val="fr-CH"/>
              </w:rPr>
              <w:t>.</w:t>
            </w:r>
          </w:p>
        </w:tc>
      </w:tr>
    </w:tbl>
    <w:p w:rsidR="00695F3E" w:rsidRPr="00120311" w:rsidRDefault="00695F3E">
      <w:pPr>
        <w:rPr>
          <w:lang w:val="fr-CH"/>
        </w:rPr>
      </w:pPr>
    </w:p>
    <w:p w:rsidR="00CB202B" w:rsidRPr="00120311" w:rsidRDefault="00CB202B">
      <w:pPr>
        <w:rPr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73"/>
        <w:gridCol w:w="6975"/>
      </w:tblGrid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3D1F05" w:rsidP="00EF1FF2">
            <w:pPr>
              <w:pStyle w:val="Heading3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Chefs de projet</w:t>
            </w:r>
          </w:p>
        </w:tc>
        <w:tc>
          <w:tcPr>
            <w:tcW w:w="7069" w:type="dxa"/>
          </w:tcPr>
          <w:p w:rsidR="00A80BCE" w:rsidRPr="00120311" w:rsidRDefault="00D923C7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M</w:t>
            </w:r>
            <w:r w:rsidR="00371CBA" w:rsidRPr="00120311">
              <w:rPr>
                <w:iCs/>
                <w:lang w:val="fr-CH"/>
              </w:rPr>
              <w:t>M</w:t>
            </w:r>
            <w:r w:rsidR="00A80BCE" w:rsidRPr="00120311">
              <w:rPr>
                <w:iCs/>
                <w:lang w:val="fr-CH"/>
              </w:rPr>
              <w:t>.</w:t>
            </w:r>
            <w:r w:rsidR="001045DE">
              <w:rPr>
                <w:iCs/>
                <w:lang w:val="fr-CH"/>
              </w:rPr>
              <w:t> </w:t>
            </w:r>
            <w:r w:rsidRPr="00120311">
              <w:rPr>
                <w:iCs/>
                <w:lang w:val="fr-CH"/>
              </w:rPr>
              <w:t xml:space="preserve">Alejandro Roca </w:t>
            </w:r>
            <w:proofErr w:type="spellStart"/>
            <w:r w:rsidRPr="00120311">
              <w:rPr>
                <w:iCs/>
                <w:lang w:val="fr-CH"/>
              </w:rPr>
              <w:t>Campaña</w:t>
            </w:r>
            <w:proofErr w:type="spellEnd"/>
            <w:r w:rsidRPr="00120311">
              <w:rPr>
                <w:iCs/>
                <w:lang w:val="fr-CH"/>
              </w:rPr>
              <w:t xml:space="preserve"> et</w:t>
            </w:r>
            <w:r w:rsidR="00371CBA" w:rsidRPr="00120311">
              <w:rPr>
                <w:iCs/>
                <w:lang w:val="fr-CH"/>
              </w:rPr>
              <w:t xml:space="preserve"> </w:t>
            </w:r>
            <w:r w:rsidR="00A80BCE" w:rsidRPr="00120311">
              <w:rPr>
                <w:iCs/>
                <w:lang w:val="fr-CH"/>
              </w:rPr>
              <w:t>Andrew Czajkowski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Del="00196374" w:rsidRDefault="00DC225B" w:rsidP="00EF1FF2">
            <w:pPr>
              <w:pStyle w:val="Heading3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Liens avec les résultats escomptés dans le programme et budget</w:t>
            </w:r>
          </w:p>
        </w:tc>
        <w:tc>
          <w:tcPr>
            <w:tcW w:w="7069" w:type="dxa"/>
          </w:tcPr>
          <w:p w:rsidR="00A80BCE" w:rsidRPr="00120311" w:rsidRDefault="00A80BCE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III.2 (</w:t>
            </w:r>
            <w:r w:rsidR="00DC225B" w:rsidRPr="00120311">
              <w:rPr>
                <w:iCs/>
                <w:lang w:val="fr-CH"/>
              </w:rPr>
              <w:t>programme 9)</w:t>
            </w:r>
            <w:r w:rsidR="00751A1A">
              <w:rPr>
                <w:iCs/>
                <w:lang w:val="fr-CH"/>
              </w:rPr>
              <w:t> :</w:t>
            </w:r>
            <w:r w:rsidR="00DC225B" w:rsidRPr="00120311">
              <w:rPr>
                <w:iCs/>
                <w:lang w:val="fr-CH"/>
              </w:rPr>
              <w:t xml:space="preserve"> Renforcement des capacités en matière de ressources humaines pour pouvoir répondre aux nombreuses exigences en ce qui concerne l</w:t>
            </w:r>
            <w:r w:rsidR="00751A1A">
              <w:rPr>
                <w:iCs/>
                <w:lang w:val="fr-CH"/>
              </w:rPr>
              <w:t>’</w:t>
            </w:r>
            <w:r w:rsidR="00DC225B" w:rsidRPr="00120311">
              <w:rPr>
                <w:iCs/>
                <w:lang w:val="fr-CH"/>
              </w:rPr>
              <w:t>utilisation efficace de la propriété intellectuelle au service du développement dans les pays en développement,</w:t>
            </w:r>
            <w:r w:rsidR="00751A1A" w:rsidRPr="00120311">
              <w:rPr>
                <w:iCs/>
                <w:lang w:val="fr-CH"/>
              </w:rPr>
              <w:t xml:space="preserve"> les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PMA</w:t>
            </w:r>
            <w:r w:rsidR="00DC225B" w:rsidRPr="00120311">
              <w:rPr>
                <w:iCs/>
                <w:lang w:val="fr-CH"/>
              </w:rPr>
              <w:t xml:space="preserve"> et les pays en transition.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A80BCE" w:rsidRPr="00120311" w:rsidDel="00196374" w:rsidRDefault="00A80BCE" w:rsidP="00EF1FF2">
            <w:pPr>
              <w:rPr>
                <w:b/>
                <w:iCs/>
                <w:lang w:val="fr-CH"/>
              </w:rPr>
            </w:pPr>
            <w:r w:rsidRPr="00120311">
              <w:rPr>
                <w:iCs/>
                <w:lang w:val="fr-CH"/>
              </w:rPr>
              <w:t>IV.2 (</w:t>
            </w:r>
            <w:r w:rsidR="00DC225B" w:rsidRPr="00120311">
              <w:rPr>
                <w:iCs/>
                <w:lang w:val="fr-CH"/>
              </w:rPr>
              <w:t>programmes</w:t>
            </w:r>
            <w:r w:rsidRPr="00120311">
              <w:rPr>
                <w:iCs/>
                <w:lang w:val="fr-CH"/>
              </w:rPr>
              <w:t xml:space="preserve"> 9 </w:t>
            </w:r>
            <w:r w:rsidR="00DC225B" w:rsidRPr="00120311">
              <w:rPr>
                <w:iCs/>
                <w:lang w:val="fr-CH"/>
              </w:rPr>
              <w:t>et</w:t>
            </w:r>
            <w:r w:rsidRPr="00120311">
              <w:rPr>
                <w:iCs/>
                <w:lang w:val="fr-CH"/>
              </w:rPr>
              <w:t xml:space="preserve"> 14)</w:t>
            </w:r>
            <w:r w:rsidR="00751A1A">
              <w:rPr>
                <w:iCs/>
                <w:lang w:val="fr-CH"/>
              </w:rPr>
              <w:t> :</w:t>
            </w:r>
            <w:r w:rsidRPr="00120311">
              <w:rPr>
                <w:iCs/>
                <w:lang w:val="fr-CH"/>
              </w:rPr>
              <w:t xml:space="preserve"> </w:t>
            </w:r>
            <w:r w:rsidR="00DC225B" w:rsidRPr="00120311">
              <w:rPr>
                <w:iCs/>
                <w:lang w:val="fr-CH"/>
              </w:rPr>
              <w:t>Amélioration de l</w:t>
            </w:r>
            <w:r w:rsidR="00751A1A">
              <w:rPr>
                <w:iCs/>
                <w:lang w:val="fr-CH"/>
              </w:rPr>
              <w:t>’</w:t>
            </w:r>
            <w:r w:rsidR="00DC225B" w:rsidRPr="00120311">
              <w:rPr>
                <w:iCs/>
                <w:lang w:val="fr-CH"/>
              </w:rPr>
              <w:t>accessibilité et de l</w:t>
            </w:r>
            <w:r w:rsidR="00751A1A">
              <w:rPr>
                <w:iCs/>
                <w:lang w:val="fr-CH"/>
              </w:rPr>
              <w:t>’</w:t>
            </w:r>
            <w:r w:rsidR="00DC225B" w:rsidRPr="00120311">
              <w:rPr>
                <w:iCs/>
                <w:lang w:val="fr-CH"/>
              </w:rPr>
              <w:t>utilisation de l</w:t>
            </w:r>
            <w:r w:rsidR="00751A1A">
              <w:rPr>
                <w:iCs/>
                <w:lang w:val="fr-CH"/>
              </w:rPr>
              <w:t>’</w:t>
            </w:r>
            <w:r w:rsidR="00DC225B" w:rsidRPr="00120311">
              <w:rPr>
                <w:iCs/>
                <w:lang w:val="fr-CH"/>
              </w:rPr>
              <w:t>information en matière de propriété intellectuelle par les institutions compétentes et le public afin de promouvoir l</w:t>
            </w:r>
            <w:r w:rsidR="00751A1A">
              <w:rPr>
                <w:iCs/>
                <w:lang w:val="fr-CH"/>
              </w:rPr>
              <w:t>’</w:t>
            </w:r>
            <w:r w:rsidR="00DC225B" w:rsidRPr="00120311">
              <w:rPr>
                <w:iCs/>
                <w:lang w:val="fr-CH"/>
              </w:rPr>
              <w:t>innovation et la créativité</w:t>
            </w:r>
            <w:r w:rsidRPr="00120311">
              <w:rPr>
                <w:iCs/>
                <w:lang w:val="fr-CH"/>
              </w:rPr>
              <w:t>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DC225B" w:rsidP="00EF1FF2">
            <w:pPr>
              <w:rPr>
                <w:lang w:val="fr-CH"/>
              </w:rPr>
            </w:pPr>
            <w:r w:rsidRPr="00120311">
              <w:rPr>
                <w:bCs/>
                <w:szCs w:val="26"/>
                <w:u w:val="single"/>
                <w:lang w:val="fr-CH"/>
              </w:rPr>
              <w:t xml:space="preserve">Résumé de la mise en </w:t>
            </w:r>
            <w:r w:rsidR="004F73F1" w:rsidRPr="00120311">
              <w:rPr>
                <w:bCs/>
                <w:szCs w:val="26"/>
                <w:u w:val="single"/>
                <w:lang w:val="fr-CH"/>
              </w:rPr>
              <w:t>œuvre</w:t>
            </w:r>
            <w:r w:rsidRPr="00120311">
              <w:rPr>
                <w:bCs/>
                <w:szCs w:val="26"/>
                <w:u w:val="single"/>
                <w:lang w:val="fr-CH"/>
              </w:rPr>
              <w:t xml:space="preserve"> du projet</w:t>
            </w:r>
            <w:r w:rsidR="00A80BCE" w:rsidRPr="00120311">
              <w:rPr>
                <w:bCs/>
                <w:szCs w:val="26"/>
                <w:u w:val="single"/>
                <w:lang w:val="fr-CH"/>
              </w:rPr>
              <w:t xml:space="preserve"> </w:t>
            </w:r>
          </w:p>
        </w:tc>
        <w:tc>
          <w:tcPr>
            <w:tcW w:w="7069" w:type="dxa"/>
          </w:tcPr>
          <w:p w:rsidR="00A80BCE" w:rsidRPr="00120311" w:rsidRDefault="004F73F1" w:rsidP="00EF1FF2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fr-CH" w:bidi="th-TH"/>
              </w:rPr>
            </w:pPr>
            <w:r w:rsidRPr="00120311">
              <w:rPr>
                <w:bCs/>
                <w:iCs/>
                <w:szCs w:val="22"/>
                <w:lang w:val="fr-CH" w:bidi="th-TH"/>
              </w:rPr>
              <w:t xml:space="preserve">La mise en œuvre a débuté en 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octobre</w:t>
            </w:r>
            <w:r w:rsidR="00751A1A">
              <w:rPr>
                <w:bCs/>
                <w:iCs/>
                <w:szCs w:val="22"/>
                <w:lang w:val="fr-CH" w:bidi="th-TH"/>
              </w:rPr>
              <w:t> 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20</w:t>
            </w:r>
            <w:r w:rsidRPr="00120311">
              <w:rPr>
                <w:bCs/>
                <w:iCs/>
                <w:szCs w:val="22"/>
                <w:lang w:val="fr-CH" w:bidi="th-TH"/>
              </w:rPr>
              <w:t>16 à la suite du recrutement d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Pr="00120311">
              <w:rPr>
                <w:bCs/>
                <w:iCs/>
                <w:szCs w:val="22"/>
                <w:lang w:val="fr-CH" w:bidi="th-TH"/>
              </w:rPr>
              <w:t>un coordinateur de proj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et</w:t>
            </w:r>
            <w:r w:rsidR="00916BDB">
              <w:rPr>
                <w:bCs/>
                <w:iCs/>
                <w:szCs w:val="22"/>
                <w:lang w:val="fr-CH" w:bidi="th-TH"/>
              </w:rPr>
              <w:t xml:space="preserve">.  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Le</w:t>
            </w:r>
            <w:r w:rsidR="00332A65" w:rsidRPr="00120311">
              <w:rPr>
                <w:bCs/>
                <w:iCs/>
                <w:szCs w:val="22"/>
                <w:lang w:val="fr-CH" w:bidi="th-TH"/>
              </w:rPr>
              <w:t>s résultats suivants ont été atteints dans le cadre du projet</w:t>
            </w:r>
            <w:r w:rsidR="001045DE">
              <w:rPr>
                <w:bCs/>
                <w:iCs/>
                <w:szCs w:val="22"/>
                <w:lang w:val="fr-CH" w:bidi="th-TH"/>
              </w:rPr>
              <w:t> </w:t>
            </w:r>
            <w:r w:rsidR="00332A65" w:rsidRPr="00120311">
              <w:rPr>
                <w:bCs/>
                <w:iCs/>
                <w:szCs w:val="22"/>
                <w:lang w:val="fr-CH" w:bidi="th-TH"/>
              </w:rPr>
              <w:t>:</w:t>
            </w:r>
          </w:p>
          <w:p w:rsidR="00A80BCE" w:rsidRPr="00120311" w:rsidRDefault="00A80BCE" w:rsidP="00EF1FF2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fr-CH" w:bidi="th-TH"/>
              </w:rPr>
            </w:pPr>
          </w:p>
          <w:p w:rsidR="00751A1A" w:rsidRDefault="00A80BCE" w:rsidP="00EF1FF2">
            <w:pPr>
              <w:autoSpaceDE w:val="0"/>
              <w:autoSpaceDN w:val="0"/>
              <w:adjustRightInd w:val="0"/>
              <w:rPr>
                <w:iCs/>
                <w:szCs w:val="22"/>
                <w:lang w:val="fr-CH"/>
              </w:rPr>
            </w:pPr>
            <w:r w:rsidRPr="00120311">
              <w:rPr>
                <w:bCs/>
                <w:iCs/>
                <w:szCs w:val="22"/>
                <w:lang w:val="fr-CH" w:bidi="th-TH"/>
              </w:rPr>
              <w:t>1.</w:t>
            </w:r>
            <w:r w:rsidR="00EF1FF2">
              <w:rPr>
                <w:bCs/>
                <w:iCs/>
                <w:szCs w:val="22"/>
                <w:lang w:val="fr-CH" w:bidi="th-TH"/>
              </w:rPr>
              <w:tab/>
            </w:r>
            <w:r w:rsidR="007A51E5" w:rsidRPr="00120311">
              <w:rPr>
                <w:iCs/>
                <w:szCs w:val="22"/>
                <w:lang w:val="fr-CH"/>
              </w:rPr>
              <w:t>Guides pratiques sur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="007A51E5" w:rsidRPr="00120311">
              <w:rPr>
                <w:iCs/>
                <w:szCs w:val="22"/>
                <w:lang w:val="fr-CH"/>
              </w:rPr>
              <w:t>identification et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="007A51E5" w:rsidRPr="00120311">
              <w:rPr>
                <w:iCs/>
                <w:szCs w:val="22"/>
                <w:lang w:val="fr-CH"/>
              </w:rPr>
              <w:t>utilisation des inventions figurant dans le domaine public</w:t>
            </w:r>
            <w:r w:rsidR="001045DE">
              <w:rPr>
                <w:iCs/>
                <w:szCs w:val="22"/>
                <w:lang w:val="fr-CH"/>
              </w:rPr>
              <w:t> </w:t>
            </w:r>
            <w:r w:rsidRPr="00120311">
              <w:rPr>
                <w:iCs/>
                <w:szCs w:val="22"/>
                <w:lang w:val="fr-CH"/>
              </w:rPr>
              <w:t>:</w:t>
            </w:r>
          </w:p>
          <w:p w:rsidR="00A80BCE" w:rsidRPr="00120311" w:rsidRDefault="00A80BCE" w:rsidP="00EF1FF2">
            <w:pPr>
              <w:autoSpaceDE w:val="0"/>
              <w:autoSpaceDN w:val="0"/>
              <w:adjustRightInd w:val="0"/>
              <w:rPr>
                <w:iCs/>
                <w:szCs w:val="22"/>
                <w:lang w:val="fr-CH"/>
              </w:rPr>
            </w:pPr>
          </w:p>
          <w:p w:rsidR="00751A1A" w:rsidRDefault="007A51E5" w:rsidP="00EF1FF2">
            <w:pPr>
              <w:rPr>
                <w:iCs/>
                <w:szCs w:val="22"/>
                <w:lang w:val="fr-CH"/>
              </w:rPr>
            </w:pPr>
            <w:r w:rsidRPr="00120311">
              <w:rPr>
                <w:iCs/>
                <w:szCs w:val="22"/>
                <w:lang w:val="fr-CH"/>
              </w:rPr>
              <w:t>Deux guides ont été élaborés,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un sur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identification des inventions se trouvant dans le domaine public et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autre sur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utilisation de ces inventions</w:t>
            </w:r>
            <w:r w:rsidR="00A80BCE" w:rsidRPr="00120311">
              <w:rPr>
                <w:iCs/>
                <w:szCs w:val="22"/>
                <w:lang w:val="fr-CH"/>
              </w:rPr>
              <w:t>.</w:t>
            </w:r>
          </w:p>
          <w:p w:rsidR="00675287" w:rsidRPr="00120311" w:rsidRDefault="00675287" w:rsidP="00EF1FF2">
            <w:pPr>
              <w:rPr>
                <w:iCs/>
                <w:szCs w:val="22"/>
                <w:lang w:val="fr-CH"/>
              </w:rPr>
            </w:pPr>
          </w:p>
          <w:p w:rsidR="00A80BCE" w:rsidRPr="00120311" w:rsidRDefault="007A51E5" w:rsidP="00EF1FF2">
            <w:pPr>
              <w:rPr>
                <w:iCs/>
                <w:szCs w:val="22"/>
                <w:lang w:val="fr-CH"/>
              </w:rPr>
            </w:pPr>
            <w:r w:rsidRPr="00120311">
              <w:rPr>
                <w:iCs/>
                <w:szCs w:val="22"/>
                <w:lang w:val="fr-CH"/>
              </w:rPr>
              <w:t>Le guide sur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identification des inventions figurant dans le domaine public traite les thèmes suivants</w:t>
            </w:r>
            <w:r w:rsidR="001045DE">
              <w:rPr>
                <w:iCs/>
                <w:szCs w:val="22"/>
                <w:lang w:val="fr-CH"/>
              </w:rPr>
              <w:t> </w:t>
            </w:r>
            <w:r w:rsidR="00A80BCE" w:rsidRPr="00120311">
              <w:rPr>
                <w:iCs/>
                <w:szCs w:val="22"/>
                <w:lang w:val="fr-CH"/>
              </w:rPr>
              <w:t>:</w:t>
            </w:r>
          </w:p>
          <w:p w:rsidR="00A80BCE" w:rsidRPr="00120311" w:rsidRDefault="00A80BCE" w:rsidP="00EF1FF2">
            <w:pPr>
              <w:rPr>
                <w:iCs/>
                <w:szCs w:val="22"/>
                <w:lang w:val="fr-CH"/>
              </w:rPr>
            </w:pP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relation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entre les brevets et le domaine public</w:t>
            </w:r>
            <w:r w:rsidR="00A80BCE" w:rsidRPr="00120311">
              <w:rPr>
                <w:iCs/>
                <w:szCs w:val="22"/>
                <w:lang w:val="fr-CH"/>
              </w:rPr>
              <w:t>;</w:t>
            </w: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détermination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des besoins en informatique</w:t>
            </w:r>
            <w:r w:rsidR="00A80BCE" w:rsidRPr="00120311">
              <w:rPr>
                <w:iCs/>
                <w:szCs w:val="22"/>
                <w:lang w:val="fr-CH"/>
              </w:rPr>
              <w:t>;</w:t>
            </w: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recherche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des sources d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information nécessaires pour identifier les inventions se trouvant dans le domaine public, notamment les bases de données relatives aux brevets et les registres de brevets;</w:t>
            </w: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informations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sur la situation juridique</w:t>
            </w:r>
            <w:r w:rsidR="00A80BCE" w:rsidRPr="00120311">
              <w:rPr>
                <w:iCs/>
                <w:szCs w:val="22"/>
                <w:lang w:val="fr-CH"/>
              </w:rPr>
              <w:t>;</w:t>
            </w: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possibilité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d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effectuer des recherches</w:t>
            </w:r>
            <w:r w:rsidR="00A80BCE" w:rsidRPr="00120311">
              <w:rPr>
                <w:iCs/>
                <w:szCs w:val="22"/>
                <w:lang w:val="fr-CH"/>
              </w:rPr>
              <w:t xml:space="preserve">;  </w:t>
            </w:r>
            <w:r w:rsidRPr="00120311">
              <w:rPr>
                <w:iCs/>
                <w:szCs w:val="22"/>
                <w:lang w:val="fr-CH"/>
              </w:rPr>
              <w:t>et</w:t>
            </w:r>
          </w:p>
          <w:p w:rsidR="00A80BCE" w:rsidRPr="00120311" w:rsidRDefault="007A51E5" w:rsidP="00EF1FF2">
            <w:pPr>
              <w:numPr>
                <w:ilvl w:val="0"/>
                <w:numId w:val="25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120311">
              <w:rPr>
                <w:iCs/>
                <w:szCs w:val="22"/>
                <w:lang w:val="fr-CH"/>
              </w:rPr>
              <w:t>connaissance</w:t>
            </w:r>
            <w:proofErr w:type="gramEnd"/>
            <w:r w:rsidRPr="00120311">
              <w:rPr>
                <w:iCs/>
                <w:szCs w:val="22"/>
                <w:lang w:val="fr-CH"/>
              </w:rPr>
              <w:t xml:space="preserve"> des limitations à la possibilité d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>effectuer des recherches et gestion des risques associés</w:t>
            </w:r>
            <w:r w:rsidR="00A80BCE" w:rsidRPr="00120311">
              <w:rPr>
                <w:iCs/>
                <w:szCs w:val="22"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szCs w:val="22"/>
                <w:lang w:val="fr-CH"/>
              </w:rPr>
            </w:pPr>
          </w:p>
          <w:p w:rsidR="00A80BCE" w:rsidRPr="00120311" w:rsidRDefault="007A51E5" w:rsidP="00EF1FF2">
            <w:pPr>
              <w:rPr>
                <w:iCs/>
                <w:szCs w:val="22"/>
                <w:lang w:val="fr-CH"/>
              </w:rPr>
            </w:pPr>
            <w:r w:rsidRPr="00120311">
              <w:rPr>
                <w:iCs/>
                <w:szCs w:val="22"/>
                <w:lang w:val="fr-CH"/>
              </w:rPr>
              <w:t>Le guide sur l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Pr="00120311">
              <w:rPr>
                <w:iCs/>
                <w:szCs w:val="22"/>
                <w:lang w:val="fr-CH"/>
              </w:rPr>
              <w:t xml:space="preserve">utilisation des inventions figurant dans le domaine public </w:t>
            </w:r>
            <w:r w:rsidR="00695862" w:rsidRPr="00120311">
              <w:rPr>
                <w:iCs/>
                <w:szCs w:val="22"/>
                <w:lang w:val="fr-CH"/>
              </w:rPr>
              <w:t>traite</w:t>
            </w:r>
            <w:r w:rsidRPr="00120311">
              <w:rPr>
                <w:iCs/>
                <w:szCs w:val="22"/>
                <w:lang w:val="fr-CH"/>
              </w:rPr>
              <w:t xml:space="preserve"> les thèmes suivants</w:t>
            </w:r>
            <w:r w:rsidR="001045DE">
              <w:rPr>
                <w:iCs/>
                <w:szCs w:val="22"/>
                <w:lang w:val="fr-CH"/>
              </w:rPr>
              <w:t> </w:t>
            </w:r>
            <w:r w:rsidR="00A80BCE" w:rsidRPr="00120311">
              <w:rPr>
                <w:iCs/>
                <w:szCs w:val="22"/>
                <w:lang w:val="fr-CH"/>
              </w:rPr>
              <w:t>:</w:t>
            </w:r>
          </w:p>
          <w:p w:rsidR="00A80BCE" w:rsidRPr="00120311" w:rsidRDefault="00A80BCE" w:rsidP="00EF1FF2">
            <w:pPr>
              <w:rPr>
                <w:iCs/>
                <w:szCs w:val="22"/>
                <w:lang w:val="fr-CH"/>
              </w:rPr>
            </w:pPr>
          </w:p>
          <w:p w:rsidR="00A80BCE" w:rsidRPr="00EF1FF2" w:rsidRDefault="007A51E5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relation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entre les brevets et le domaine public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</w:p>
          <w:p w:rsidR="00A80BCE" w:rsidRPr="00EF1FF2" w:rsidRDefault="007A51E5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relation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entre les inventions et le savoir</w:t>
            </w:r>
            <w:r w:rsidR="00751A1A" w:rsidRPr="00EF1FF2">
              <w:rPr>
                <w:iCs/>
                <w:szCs w:val="22"/>
                <w:lang w:val="fr-CH"/>
              </w:rPr>
              <w:t>-</w:t>
            </w:r>
            <w:r w:rsidRPr="00EF1FF2">
              <w:rPr>
                <w:iCs/>
                <w:szCs w:val="22"/>
                <w:lang w:val="fr-CH"/>
              </w:rPr>
              <w:t>faire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</w:p>
          <w:p w:rsidR="00A80BCE" w:rsidRPr="00EF1FF2" w:rsidRDefault="007A51E5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étapes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du processus d</w:t>
            </w:r>
            <w:r w:rsidR="00751A1A" w:rsidRPr="00EF1FF2">
              <w:rPr>
                <w:iCs/>
                <w:szCs w:val="22"/>
                <w:lang w:val="fr-CH"/>
              </w:rPr>
              <w:t>’</w:t>
            </w:r>
            <w:r w:rsidRPr="00EF1FF2">
              <w:rPr>
                <w:iCs/>
                <w:szCs w:val="22"/>
                <w:lang w:val="fr-CH"/>
              </w:rPr>
              <w:t>élaboration des produits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</w:p>
          <w:p w:rsidR="00A80BCE" w:rsidRPr="00EF1FF2" w:rsidRDefault="007A51E5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définition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des besoins techniques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</w:p>
          <w:p w:rsidR="00A80BCE" w:rsidRPr="00EF1FF2" w:rsidRDefault="007A51E5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recensement</w:t>
            </w:r>
            <w:proofErr w:type="gramEnd"/>
            <w:r w:rsidR="00695862" w:rsidRPr="00EF1FF2">
              <w:rPr>
                <w:iCs/>
                <w:szCs w:val="22"/>
                <w:lang w:val="fr-CH"/>
              </w:rPr>
              <w:t xml:space="preserve"> des ressources technologiques existantes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</w:p>
          <w:p w:rsidR="00A80BCE" w:rsidRPr="00EF1FF2" w:rsidRDefault="00695862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lastRenderedPageBreak/>
              <w:t>intégration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des nouvelles technologies dans la recherche et la création de produits</w:t>
            </w:r>
            <w:r w:rsidR="00A80BCE" w:rsidRPr="00EF1FF2">
              <w:rPr>
                <w:iCs/>
                <w:szCs w:val="22"/>
                <w:lang w:val="fr-CH"/>
              </w:rPr>
              <w:t>;</w:t>
            </w:r>
            <w:r w:rsidRPr="00EF1FF2">
              <w:rPr>
                <w:iCs/>
                <w:szCs w:val="22"/>
                <w:lang w:val="fr-CH"/>
              </w:rPr>
              <w:t xml:space="preserve">  et</w:t>
            </w:r>
          </w:p>
          <w:p w:rsidR="00A80BCE" w:rsidRPr="00EF1FF2" w:rsidRDefault="00695862" w:rsidP="00EF1FF2">
            <w:pPr>
              <w:pStyle w:val="ListParagraph"/>
              <w:numPr>
                <w:ilvl w:val="0"/>
                <w:numId w:val="26"/>
              </w:numPr>
              <w:ind w:left="1134" w:hanging="567"/>
              <w:rPr>
                <w:iCs/>
                <w:szCs w:val="22"/>
                <w:lang w:val="fr-CH"/>
              </w:rPr>
            </w:pPr>
            <w:proofErr w:type="gramStart"/>
            <w:r w:rsidRPr="00EF1FF2">
              <w:rPr>
                <w:iCs/>
                <w:szCs w:val="22"/>
                <w:lang w:val="fr-CH"/>
              </w:rPr>
              <w:t>connaissance</w:t>
            </w:r>
            <w:proofErr w:type="gramEnd"/>
            <w:r w:rsidRPr="00EF1FF2">
              <w:rPr>
                <w:iCs/>
                <w:szCs w:val="22"/>
                <w:lang w:val="fr-CH"/>
              </w:rPr>
              <w:t xml:space="preserve"> des limitations relatives aux inventions figurant dans le domaine public et détermination du moment où la concession de licences de technologie peut être nécessaire</w:t>
            </w:r>
            <w:r w:rsidR="00A80BCE" w:rsidRPr="00EF1FF2">
              <w:rPr>
                <w:iCs/>
                <w:szCs w:val="22"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szCs w:val="22"/>
                <w:lang w:val="fr-CH"/>
              </w:rPr>
            </w:pPr>
          </w:p>
          <w:p w:rsidR="00751A1A" w:rsidRDefault="00BF0DC6" w:rsidP="00EF1FF2">
            <w:pPr>
              <w:rPr>
                <w:bCs/>
                <w:lang w:val="fr-CH"/>
              </w:rPr>
            </w:pPr>
            <w:r w:rsidRPr="00120311">
              <w:rPr>
                <w:iCs/>
                <w:szCs w:val="22"/>
                <w:lang w:val="fr-CH"/>
              </w:rPr>
              <w:t>Conformément à la</w:t>
            </w:r>
            <w:r w:rsidR="00A80BCE" w:rsidRPr="00120311">
              <w:rPr>
                <w:iCs/>
                <w:szCs w:val="22"/>
                <w:lang w:val="fr-CH"/>
              </w:rPr>
              <w:t xml:space="preserve"> </w:t>
            </w:r>
            <w:r w:rsidRPr="00120311">
              <w:rPr>
                <w:iCs/>
                <w:szCs w:val="22"/>
                <w:lang w:val="fr-CH"/>
              </w:rPr>
              <w:t xml:space="preserve">stratégie </w:t>
            </w:r>
            <w:r w:rsidR="005D3543" w:rsidRPr="00120311">
              <w:rPr>
                <w:iCs/>
                <w:szCs w:val="22"/>
                <w:lang w:val="fr-CH"/>
              </w:rPr>
              <w:t>de mise en œuvre</w:t>
            </w:r>
            <w:r w:rsidR="00A80BCE" w:rsidRPr="00120311">
              <w:rPr>
                <w:iCs/>
                <w:szCs w:val="22"/>
                <w:lang w:val="fr-CH"/>
              </w:rPr>
              <w:t xml:space="preserve">, </w:t>
            </w:r>
            <w:r w:rsidR="00D757C3" w:rsidRPr="00120311">
              <w:rPr>
                <w:iCs/>
                <w:szCs w:val="22"/>
                <w:lang w:val="fr-CH"/>
              </w:rPr>
              <w:t>deux</w:t>
            </w:r>
            <w:r w:rsidR="001045DE">
              <w:rPr>
                <w:iCs/>
                <w:szCs w:val="22"/>
                <w:lang w:val="fr-CH"/>
              </w:rPr>
              <w:t> </w:t>
            </w:r>
            <w:r w:rsidR="00D757C3" w:rsidRPr="00120311">
              <w:rPr>
                <w:iCs/>
                <w:szCs w:val="22"/>
                <w:lang w:val="fr-CH"/>
              </w:rPr>
              <w:t xml:space="preserve">experts </w:t>
            </w:r>
            <w:r w:rsidR="006F166D" w:rsidRPr="00120311">
              <w:rPr>
                <w:iCs/>
                <w:szCs w:val="22"/>
                <w:lang w:val="fr-CH"/>
              </w:rPr>
              <w:t xml:space="preserve">principaux </w:t>
            </w:r>
            <w:r w:rsidR="00D757C3" w:rsidRPr="00120311">
              <w:rPr>
                <w:iCs/>
                <w:szCs w:val="22"/>
                <w:lang w:val="fr-CH"/>
              </w:rPr>
              <w:t>et</w:t>
            </w:r>
            <w:r w:rsidR="00A80BCE" w:rsidRPr="00120311">
              <w:rPr>
                <w:iCs/>
                <w:szCs w:val="22"/>
                <w:lang w:val="fr-CH"/>
              </w:rPr>
              <w:t xml:space="preserve"> </w:t>
            </w:r>
            <w:r w:rsidR="00D757C3" w:rsidRPr="00120311">
              <w:rPr>
                <w:iCs/>
                <w:szCs w:val="22"/>
                <w:lang w:val="fr-CH"/>
              </w:rPr>
              <w:t>cinq</w:t>
            </w:r>
            <w:r w:rsidR="001045DE">
              <w:rPr>
                <w:iCs/>
                <w:szCs w:val="22"/>
                <w:lang w:val="fr-CH"/>
              </w:rPr>
              <w:t> </w:t>
            </w:r>
            <w:r w:rsidR="00D757C3" w:rsidRPr="00120311">
              <w:rPr>
                <w:iCs/>
                <w:szCs w:val="22"/>
                <w:lang w:val="fr-CH"/>
              </w:rPr>
              <w:t xml:space="preserve">experts </w:t>
            </w:r>
            <w:r w:rsidRPr="00120311">
              <w:rPr>
                <w:iCs/>
                <w:szCs w:val="22"/>
                <w:lang w:val="fr-CH"/>
              </w:rPr>
              <w:t xml:space="preserve">associés </w:t>
            </w:r>
            <w:r w:rsidR="00D757C3" w:rsidRPr="00120311">
              <w:rPr>
                <w:iCs/>
                <w:szCs w:val="22"/>
                <w:lang w:val="fr-CH"/>
              </w:rPr>
              <w:t>du domaine</w:t>
            </w:r>
            <w:r w:rsidR="00A80BCE" w:rsidRPr="00120311">
              <w:rPr>
                <w:iCs/>
                <w:szCs w:val="22"/>
                <w:lang w:val="fr-CH"/>
              </w:rPr>
              <w:t xml:space="preserve"> </w:t>
            </w:r>
            <w:r w:rsidR="00D757C3" w:rsidRPr="00120311">
              <w:rPr>
                <w:iCs/>
                <w:szCs w:val="22"/>
                <w:lang w:val="fr-CH"/>
              </w:rPr>
              <w:t>ont été sélectionnés pour rédiger les guid</w:t>
            </w:r>
            <w:r w:rsidR="00916BDB" w:rsidRPr="00120311">
              <w:rPr>
                <w:iCs/>
                <w:szCs w:val="22"/>
                <w:lang w:val="fr-CH"/>
              </w:rPr>
              <w:t>es</w:t>
            </w:r>
            <w:r w:rsidR="00916BDB">
              <w:rPr>
                <w:iCs/>
                <w:szCs w:val="22"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Ap</w:t>
            </w:r>
            <w:r w:rsidRPr="00120311">
              <w:rPr>
                <w:bCs/>
                <w:lang w:val="fr-CH"/>
              </w:rPr>
              <w:t xml:space="preserve">rès </w:t>
            </w:r>
            <w:r w:rsidR="002B7024" w:rsidRPr="00120311">
              <w:rPr>
                <w:bCs/>
                <w:lang w:val="fr-CH"/>
              </w:rPr>
              <w:t>sélection</w:t>
            </w:r>
            <w:r w:rsidRPr="00120311">
              <w:rPr>
                <w:bCs/>
                <w:lang w:val="fr-CH"/>
              </w:rPr>
              <w:t xml:space="preserve"> des experts responsables </w:t>
            </w:r>
            <w:r w:rsidR="00FC795B" w:rsidRPr="00120311">
              <w:rPr>
                <w:bCs/>
                <w:lang w:val="fr-CH"/>
              </w:rPr>
              <w:t xml:space="preserve">de </w:t>
            </w:r>
            <w:r w:rsidR="001329C9" w:rsidRPr="00120311">
              <w:rPr>
                <w:bCs/>
                <w:lang w:val="fr-CH"/>
              </w:rPr>
              <w:t>l</w:t>
            </w:r>
            <w:r w:rsidR="00751A1A">
              <w:rPr>
                <w:bCs/>
                <w:lang w:val="fr-CH"/>
              </w:rPr>
              <w:t>’</w:t>
            </w:r>
            <w:r w:rsidR="001329C9" w:rsidRPr="00120311">
              <w:rPr>
                <w:bCs/>
                <w:lang w:val="fr-CH"/>
              </w:rPr>
              <w:t xml:space="preserve">élaboration </w:t>
            </w:r>
            <w:r w:rsidR="00FC795B" w:rsidRPr="00120311">
              <w:rPr>
                <w:bCs/>
                <w:lang w:val="fr-CH"/>
              </w:rPr>
              <w:t xml:space="preserve">globale des guides, </w:t>
            </w:r>
            <w:r w:rsidR="00751A1A">
              <w:rPr>
                <w:bCs/>
                <w:lang w:val="fr-CH"/>
              </w:rPr>
              <w:t>y compris</w:t>
            </w:r>
            <w:r w:rsidR="00FC795B" w:rsidRPr="00120311">
              <w:rPr>
                <w:bCs/>
                <w:lang w:val="fr-CH"/>
              </w:rPr>
              <w:t xml:space="preserve"> le matériel de formation correspondant</w:t>
            </w:r>
            <w:r w:rsidR="0024172F" w:rsidRPr="00120311">
              <w:rPr>
                <w:bCs/>
                <w:lang w:val="fr-CH"/>
              </w:rPr>
              <w:t>,</w:t>
            </w:r>
            <w:r w:rsidR="00FC795B" w:rsidRPr="00120311">
              <w:rPr>
                <w:bCs/>
                <w:lang w:val="fr-CH"/>
              </w:rPr>
              <w:t xml:space="preserve"> les experts associés ont été recrutés pour apporter leur contribution dans certains domaines</w:t>
            </w:r>
            <w:r w:rsidR="00A80BCE" w:rsidRPr="00120311">
              <w:rPr>
                <w:bCs/>
                <w:lang w:val="fr-CH"/>
              </w:rPr>
              <w:t>.</w:t>
            </w:r>
          </w:p>
          <w:p w:rsidR="00D62FA3" w:rsidRPr="00120311" w:rsidRDefault="00D62FA3" w:rsidP="00EF1FF2">
            <w:pPr>
              <w:rPr>
                <w:bCs/>
                <w:lang w:val="fr-CH"/>
              </w:rPr>
            </w:pPr>
          </w:p>
          <w:p w:rsidR="00751A1A" w:rsidRDefault="002B7024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Des </w:t>
            </w:r>
            <w:r w:rsidR="00991069" w:rsidRPr="00120311">
              <w:rPr>
                <w:lang w:val="fr-CH"/>
              </w:rPr>
              <w:t>mesures ont été prises</w:t>
            </w:r>
            <w:r w:rsidRPr="00120311">
              <w:rPr>
                <w:lang w:val="fr-CH"/>
              </w:rPr>
              <w:t xml:space="preserve"> lors</w:t>
            </w:r>
            <w:r w:rsidR="00040238" w:rsidRPr="00120311">
              <w:rPr>
                <w:lang w:val="fr-CH"/>
              </w:rPr>
              <w:t xml:space="preserve"> du processus de sélection afin de veiller à</w:t>
            </w:r>
            <w:r w:rsidRPr="00120311">
              <w:rPr>
                <w:lang w:val="fr-CH"/>
              </w:rPr>
              <w:t xml:space="preserve"> </w:t>
            </w:r>
            <w:r w:rsidR="00040238" w:rsidRPr="00120311">
              <w:rPr>
                <w:lang w:val="fr-CH"/>
              </w:rPr>
              <w:t>la</w:t>
            </w:r>
            <w:r w:rsidRPr="00120311">
              <w:rPr>
                <w:lang w:val="fr-CH"/>
              </w:rPr>
              <w:t xml:space="preserve"> répartition géographique (Chili</w:t>
            </w:r>
            <w:r w:rsidR="00A80BCE" w:rsidRPr="00120311">
              <w:rPr>
                <w:lang w:val="fr-CH"/>
              </w:rPr>
              <w:t xml:space="preserve">, </w:t>
            </w:r>
            <w:r w:rsidRPr="00120311">
              <w:rPr>
                <w:lang w:val="fr-CH"/>
              </w:rPr>
              <w:t>États</w:t>
            </w:r>
            <w:r w:rsidR="00751A1A">
              <w:rPr>
                <w:lang w:val="fr-CH"/>
              </w:rPr>
              <w:t>-</w:t>
            </w:r>
            <w:r w:rsidRPr="00120311">
              <w:rPr>
                <w:lang w:val="fr-CH"/>
              </w:rPr>
              <w:t>Unis 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>Amérique, Grèce, Inde et</w:t>
            </w:r>
            <w:r w:rsidR="00A80BCE" w:rsidRPr="00120311">
              <w:rPr>
                <w:lang w:val="fr-CH"/>
              </w:rPr>
              <w:t xml:space="preserve"> Kenya).</w:t>
            </w:r>
          </w:p>
          <w:p w:rsidR="00A80BCE" w:rsidRPr="00120311" w:rsidRDefault="00A80BCE" w:rsidP="00EF1FF2">
            <w:pPr>
              <w:rPr>
                <w:bCs/>
                <w:lang w:val="fr-CH"/>
              </w:rPr>
            </w:pPr>
          </w:p>
          <w:p w:rsidR="00751A1A" w:rsidRDefault="002B7024" w:rsidP="00EF1FF2">
            <w:pPr>
              <w:rPr>
                <w:bCs/>
                <w:lang w:val="fr-CH"/>
              </w:rPr>
            </w:pPr>
            <w:r w:rsidRPr="00120311">
              <w:rPr>
                <w:bCs/>
                <w:lang w:val="fr-CH"/>
              </w:rPr>
              <w:t xml:space="preserve">Les </w:t>
            </w:r>
            <w:r w:rsidR="00A64197" w:rsidRPr="00120311">
              <w:rPr>
                <w:bCs/>
                <w:lang w:val="fr-CH"/>
              </w:rPr>
              <w:t>premières versions</w:t>
            </w:r>
            <w:r w:rsidRPr="00120311">
              <w:rPr>
                <w:bCs/>
                <w:lang w:val="fr-CH"/>
              </w:rPr>
              <w:t xml:space="preserve"> ont été achevé</w:t>
            </w:r>
            <w:r w:rsidR="006F166D" w:rsidRPr="00120311">
              <w:rPr>
                <w:bCs/>
                <w:lang w:val="fr-CH"/>
              </w:rPr>
              <w:t>e</w:t>
            </w:r>
            <w:r w:rsidRPr="00120311">
              <w:rPr>
                <w:bCs/>
                <w:lang w:val="fr-CH"/>
              </w:rPr>
              <w:t xml:space="preserve">s en </w:t>
            </w:r>
            <w:r w:rsidR="00751A1A" w:rsidRPr="00120311">
              <w:rPr>
                <w:bCs/>
                <w:lang w:val="fr-CH"/>
              </w:rPr>
              <w:t>février</w:t>
            </w:r>
            <w:r w:rsidR="00751A1A">
              <w:rPr>
                <w:bCs/>
                <w:lang w:val="fr-CH"/>
              </w:rPr>
              <w:t> </w:t>
            </w:r>
            <w:r w:rsidR="00751A1A" w:rsidRPr="00120311">
              <w:rPr>
                <w:bCs/>
                <w:lang w:val="fr-CH"/>
              </w:rPr>
              <w:t>20</w:t>
            </w:r>
            <w:r w:rsidRPr="00120311">
              <w:rPr>
                <w:bCs/>
                <w:lang w:val="fr-CH"/>
              </w:rPr>
              <w:t>17 et révisé</w:t>
            </w:r>
            <w:r w:rsidR="00C71AC0" w:rsidRPr="00120311">
              <w:rPr>
                <w:bCs/>
                <w:lang w:val="fr-CH"/>
              </w:rPr>
              <w:t>e</w:t>
            </w:r>
            <w:r w:rsidRPr="00120311">
              <w:rPr>
                <w:bCs/>
                <w:lang w:val="fr-CH"/>
              </w:rPr>
              <w:t xml:space="preserve">s </w:t>
            </w:r>
            <w:r w:rsidR="00030506" w:rsidRPr="00120311">
              <w:rPr>
                <w:bCs/>
                <w:lang w:val="fr-CH"/>
              </w:rPr>
              <w:t xml:space="preserve">et </w:t>
            </w:r>
            <w:r w:rsidR="001104B8" w:rsidRPr="00120311">
              <w:rPr>
                <w:bCs/>
                <w:lang w:val="fr-CH"/>
              </w:rPr>
              <w:t>consolidées</w:t>
            </w:r>
            <w:r w:rsidR="00030506" w:rsidRPr="00120311">
              <w:rPr>
                <w:bCs/>
                <w:lang w:val="fr-CH"/>
              </w:rPr>
              <w:t xml:space="preserve"> par les experts </w:t>
            </w:r>
            <w:r w:rsidR="006F166D" w:rsidRPr="00120311">
              <w:rPr>
                <w:bCs/>
                <w:lang w:val="fr-CH"/>
              </w:rPr>
              <w:t>principaux</w:t>
            </w:r>
            <w:r w:rsidR="00030506" w:rsidRPr="00120311">
              <w:rPr>
                <w:bCs/>
                <w:lang w:val="fr-CH"/>
              </w:rPr>
              <w:t xml:space="preserve"> </w:t>
            </w:r>
            <w:r w:rsidR="001104B8" w:rsidRPr="00120311">
              <w:rPr>
                <w:bCs/>
                <w:lang w:val="fr-CH"/>
              </w:rPr>
              <w:t>en</w:t>
            </w:r>
            <w:r w:rsidR="00030506" w:rsidRPr="00120311">
              <w:rPr>
                <w:bCs/>
                <w:lang w:val="fr-CH"/>
              </w:rPr>
              <w:t xml:space="preserve"> </w:t>
            </w:r>
            <w:r w:rsidR="00751A1A" w:rsidRPr="00120311">
              <w:rPr>
                <w:bCs/>
                <w:lang w:val="fr-CH"/>
              </w:rPr>
              <w:t>juin</w:t>
            </w:r>
            <w:r w:rsidR="00751A1A">
              <w:rPr>
                <w:bCs/>
                <w:lang w:val="fr-CH"/>
              </w:rPr>
              <w:t> </w:t>
            </w:r>
            <w:r w:rsidR="00751A1A" w:rsidRPr="00120311">
              <w:rPr>
                <w:bCs/>
                <w:lang w:val="fr-CH"/>
              </w:rPr>
              <w:t>20</w:t>
            </w:r>
            <w:r w:rsidR="00030506" w:rsidRPr="00120311">
              <w:rPr>
                <w:bCs/>
                <w:lang w:val="fr-CH"/>
              </w:rPr>
              <w:t>17</w:t>
            </w:r>
            <w:r w:rsidR="00A80BCE" w:rsidRPr="00120311">
              <w:rPr>
                <w:bCs/>
                <w:lang w:val="fr-CH"/>
              </w:rPr>
              <w:t xml:space="preserve">.  </w:t>
            </w:r>
            <w:r w:rsidR="00030506" w:rsidRPr="00120311">
              <w:rPr>
                <w:bCs/>
                <w:lang w:val="fr-CH"/>
              </w:rPr>
              <w:t>Les guides contiennent des informations générales et des orientations pratiques accompagnées d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 xml:space="preserve">exemples </w:t>
            </w:r>
            <w:r w:rsidR="001104B8" w:rsidRPr="00120311">
              <w:rPr>
                <w:bCs/>
                <w:lang w:val="fr-CH"/>
              </w:rPr>
              <w:t>tirés de</w:t>
            </w:r>
            <w:r w:rsidR="00030506" w:rsidRPr="00120311">
              <w:rPr>
                <w:bCs/>
                <w:lang w:val="fr-CH"/>
              </w:rPr>
              <w:t xml:space="preserve"> différents pays </w:t>
            </w:r>
            <w:r w:rsidR="001104B8" w:rsidRPr="00120311">
              <w:rPr>
                <w:bCs/>
                <w:lang w:val="fr-CH"/>
              </w:rPr>
              <w:t>relatifs à l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>utilisation d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>approches et d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>outils spécifiques pour l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>identification et l</w:t>
            </w:r>
            <w:r w:rsidR="00751A1A">
              <w:rPr>
                <w:bCs/>
                <w:lang w:val="fr-CH"/>
              </w:rPr>
              <w:t>’</w:t>
            </w:r>
            <w:r w:rsidR="00030506" w:rsidRPr="00120311">
              <w:rPr>
                <w:bCs/>
                <w:lang w:val="fr-CH"/>
              </w:rPr>
              <w:t>utilisation des inventions figurant dans le domaine public.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1045DE">
              <w:rPr>
                <w:bCs/>
                <w:lang w:val="fr-CH"/>
              </w:rPr>
              <w:t xml:space="preserve"> </w:t>
            </w:r>
          </w:p>
          <w:p w:rsidR="00A80BCE" w:rsidRPr="00120311" w:rsidRDefault="00A80BCE" w:rsidP="00EF1FF2">
            <w:pPr>
              <w:rPr>
                <w:bCs/>
                <w:lang w:val="fr-CH"/>
              </w:rPr>
            </w:pPr>
          </w:p>
          <w:p w:rsidR="00A80BCE" w:rsidRPr="00EF1FF2" w:rsidRDefault="00030506" w:rsidP="00EF1FF2">
            <w:pPr>
              <w:rPr>
                <w:spacing w:val="-2"/>
                <w:lang w:val="fr-CH"/>
              </w:rPr>
            </w:pPr>
            <w:r w:rsidRPr="00EF1FF2">
              <w:rPr>
                <w:bCs/>
                <w:spacing w:val="-2"/>
                <w:lang w:val="fr-CH"/>
              </w:rPr>
              <w:t xml:space="preserve">Les projets de guides ont ensuite été </w:t>
            </w:r>
            <w:r w:rsidR="00795E34" w:rsidRPr="00EF1FF2">
              <w:rPr>
                <w:bCs/>
                <w:spacing w:val="-2"/>
                <w:lang w:val="fr-CH"/>
              </w:rPr>
              <w:t>testés</w:t>
            </w:r>
            <w:r w:rsidRPr="00EF1FF2">
              <w:rPr>
                <w:bCs/>
                <w:spacing w:val="-2"/>
                <w:lang w:val="fr-CH"/>
              </w:rPr>
              <w:t xml:space="preserve"> dans</w:t>
            </w:r>
            <w:r w:rsidR="00751A1A" w:rsidRPr="00EF1FF2">
              <w:rPr>
                <w:bCs/>
                <w:spacing w:val="-2"/>
                <w:lang w:val="fr-CH"/>
              </w:rPr>
              <w:t xml:space="preserve"> les CAT</w:t>
            </w:r>
            <w:r w:rsidRPr="00EF1FF2">
              <w:rPr>
                <w:bCs/>
                <w:spacing w:val="-2"/>
                <w:lang w:val="fr-CH"/>
              </w:rPr>
              <w:t xml:space="preserve">I </w:t>
            </w:r>
            <w:r w:rsidR="003E6E61" w:rsidRPr="00EF1FF2">
              <w:rPr>
                <w:bCs/>
                <w:spacing w:val="-2"/>
                <w:lang w:val="fr-CH"/>
              </w:rPr>
              <w:t>sélectionnés</w:t>
            </w:r>
            <w:r w:rsidRPr="00EF1FF2">
              <w:rPr>
                <w:bCs/>
                <w:spacing w:val="-2"/>
                <w:lang w:val="fr-CH"/>
              </w:rPr>
              <w:t xml:space="preserve"> </w:t>
            </w:r>
            <w:r w:rsidR="000653B4" w:rsidRPr="00EF1FF2">
              <w:rPr>
                <w:bCs/>
                <w:spacing w:val="-2"/>
                <w:lang w:val="fr-CH"/>
              </w:rPr>
              <w:t>pour garantir qu</w:t>
            </w:r>
            <w:r w:rsidR="00751A1A" w:rsidRPr="00EF1FF2">
              <w:rPr>
                <w:bCs/>
                <w:spacing w:val="-2"/>
                <w:lang w:val="fr-CH"/>
              </w:rPr>
              <w:t>’</w:t>
            </w:r>
            <w:r w:rsidR="000653B4" w:rsidRPr="00EF1FF2">
              <w:rPr>
                <w:bCs/>
                <w:spacing w:val="-2"/>
                <w:lang w:val="fr-CH"/>
              </w:rPr>
              <w:t xml:space="preserve">ils </w:t>
            </w:r>
            <w:r w:rsidR="003E6E61" w:rsidRPr="00EF1FF2">
              <w:rPr>
                <w:bCs/>
                <w:spacing w:val="-2"/>
                <w:lang w:val="fr-CH"/>
              </w:rPr>
              <w:t>correspondent aux besoins</w:t>
            </w:r>
            <w:r w:rsidR="000653B4" w:rsidRPr="00EF1FF2">
              <w:rPr>
                <w:bCs/>
                <w:spacing w:val="-2"/>
                <w:lang w:val="fr-CH"/>
              </w:rPr>
              <w:t xml:space="preserve"> du personnel</w:t>
            </w:r>
            <w:r w:rsidR="00751A1A" w:rsidRPr="00EF1FF2">
              <w:rPr>
                <w:bCs/>
                <w:spacing w:val="-2"/>
                <w:lang w:val="fr-CH"/>
              </w:rPr>
              <w:t xml:space="preserve"> des CAT</w:t>
            </w:r>
            <w:r w:rsidR="000653B4" w:rsidRPr="00EF1FF2">
              <w:rPr>
                <w:bCs/>
                <w:spacing w:val="-2"/>
                <w:lang w:val="fr-CH"/>
              </w:rPr>
              <w:t>I dans les pays en développement et dans les pays en transiti</w:t>
            </w:r>
            <w:r w:rsidR="00916BDB" w:rsidRPr="00EF1FF2">
              <w:rPr>
                <w:bCs/>
                <w:spacing w:val="-2"/>
                <w:lang w:val="fr-CH"/>
              </w:rPr>
              <w:t xml:space="preserve">on.  </w:t>
            </w:r>
            <w:r w:rsidR="00916BDB" w:rsidRPr="00EF1FF2">
              <w:rPr>
                <w:spacing w:val="-2"/>
                <w:lang w:val="fr-CH"/>
              </w:rPr>
              <w:t>Le</w:t>
            </w:r>
            <w:r w:rsidR="000653B4" w:rsidRPr="00EF1FF2">
              <w:rPr>
                <w:spacing w:val="-2"/>
                <w:lang w:val="fr-CH"/>
              </w:rPr>
              <w:t>s pays suivants ont été sél</w:t>
            </w:r>
            <w:r w:rsidR="006775CC" w:rsidRPr="00EF1FF2">
              <w:rPr>
                <w:spacing w:val="-2"/>
                <w:lang w:val="fr-CH"/>
              </w:rPr>
              <w:t>ectionnés afin de participer à la phase d</w:t>
            </w:r>
            <w:r w:rsidR="00751A1A" w:rsidRPr="00EF1FF2">
              <w:rPr>
                <w:spacing w:val="-2"/>
                <w:lang w:val="fr-CH"/>
              </w:rPr>
              <w:t>’</w:t>
            </w:r>
            <w:r w:rsidR="006775CC" w:rsidRPr="00EF1FF2">
              <w:rPr>
                <w:spacing w:val="-2"/>
                <w:lang w:val="fr-CH"/>
              </w:rPr>
              <w:t xml:space="preserve">essai (ou processus pilote) </w:t>
            </w:r>
            <w:r w:rsidR="000653B4" w:rsidRPr="00EF1FF2">
              <w:rPr>
                <w:spacing w:val="-2"/>
                <w:lang w:val="fr-CH"/>
              </w:rPr>
              <w:t xml:space="preserve">sur la base de </w:t>
            </w:r>
            <w:r w:rsidR="003C6168" w:rsidRPr="00EF1FF2">
              <w:rPr>
                <w:spacing w:val="-2"/>
                <w:lang w:val="fr-CH"/>
              </w:rPr>
              <w:t>considérations</w:t>
            </w:r>
            <w:r w:rsidR="000653B4" w:rsidRPr="00EF1FF2">
              <w:rPr>
                <w:spacing w:val="-2"/>
                <w:lang w:val="fr-CH"/>
              </w:rPr>
              <w:t xml:space="preserve"> d</w:t>
            </w:r>
            <w:r w:rsidR="00751A1A" w:rsidRPr="00EF1FF2">
              <w:rPr>
                <w:spacing w:val="-2"/>
                <w:lang w:val="fr-CH"/>
              </w:rPr>
              <w:t>’</w:t>
            </w:r>
            <w:r w:rsidR="000653B4" w:rsidRPr="00EF1FF2">
              <w:rPr>
                <w:spacing w:val="-2"/>
                <w:lang w:val="fr-CH"/>
              </w:rPr>
              <w:t>ordre géographique et social, en tenant compte de la diversité économique et de leur capacité à fournir des services additionnels</w:t>
            </w:r>
            <w:r w:rsidR="001045DE" w:rsidRPr="00EF1FF2">
              <w:rPr>
                <w:iCs/>
                <w:spacing w:val="-2"/>
                <w:szCs w:val="22"/>
                <w:lang w:val="fr-CH"/>
              </w:rPr>
              <w:t> :</w:t>
            </w:r>
            <w:r w:rsidR="00A80BCE" w:rsidRPr="00EF1FF2">
              <w:rPr>
                <w:iCs/>
                <w:spacing w:val="-2"/>
                <w:szCs w:val="22"/>
                <w:lang w:val="fr-CH"/>
              </w:rPr>
              <w:t xml:space="preserve"> </w:t>
            </w:r>
            <w:r w:rsidR="003C6168" w:rsidRPr="00EF1FF2">
              <w:rPr>
                <w:iCs/>
                <w:spacing w:val="-2"/>
                <w:szCs w:val="22"/>
                <w:lang w:val="fr-CH"/>
              </w:rPr>
              <w:t xml:space="preserve">Afrique du Sud et </w:t>
            </w:r>
            <w:r w:rsidR="00A80BCE" w:rsidRPr="00EF1FF2">
              <w:rPr>
                <w:spacing w:val="-2"/>
                <w:lang w:val="fr-CH"/>
              </w:rPr>
              <w:t>Kenya (</w:t>
            </w:r>
            <w:r w:rsidR="003C6168" w:rsidRPr="00EF1FF2">
              <w:rPr>
                <w:spacing w:val="-2"/>
                <w:lang w:val="fr-CH"/>
              </w:rPr>
              <w:t>groupe des pays africains</w:t>
            </w:r>
            <w:r w:rsidR="00A80BCE" w:rsidRPr="00EF1FF2">
              <w:rPr>
                <w:spacing w:val="-2"/>
                <w:lang w:val="fr-CH"/>
              </w:rPr>
              <w:t xml:space="preserve">), </w:t>
            </w:r>
            <w:r w:rsidR="003C6168" w:rsidRPr="00EF1FF2">
              <w:rPr>
                <w:spacing w:val="-2"/>
                <w:lang w:val="fr-CH"/>
              </w:rPr>
              <w:t>Maroc</w:t>
            </w:r>
            <w:r w:rsidR="00A80BCE" w:rsidRPr="00EF1FF2">
              <w:rPr>
                <w:spacing w:val="-2"/>
                <w:lang w:val="fr-CH"/>
              </w:rPr>
              <w:t xml:space="preserve"> (</w:t>
            </w:r>
            <w:r w:rsidR="003C6168" w:rsidRPr="00EF1FF2">
              <w:rPr>
                <w:spacing w:val="-2"/>
                <w:lang w:val="fr-CH"/>
              </w:rPr>
              <w:t>groupe des pays arabes</w:t>
            </w:r>
            <w:r w:rsidR="00A80BCE" w:rsidRPr="00EF1FF2">
              <w:rPr>
                <w:spacing w:val="-2"/>
                <w:lang w:val="fr-CH"/>
              </w:rPr>
              <w:t>), M</w:t>
            </w:r>
            <w:r w:rsidR="003C6168" w:rsidRPr="00EF1FF2">
              <w:rPr>
                <w:spacing w:val="-2"/>
                <w:lang w:val="fr-CH"/>
              </w:rPr>
              <w:t>alaisie et Philippines</w:t>
            </w:r>
            <w:r w:rsidR="00A80BCE" w:rsidRPr="00EF1FF2">
              <w:rPr>
                <w:spacing w:val="-2"/>
                <w:lang w:val="fr-CH"/>
              </w:rPr>
              <w:t xml:space="preserve"> (</w:t>
            </w:r>
            <w:r w:rsidR="003C6168" w:rsidRPr="00EF1FF2">
              <w:rPr>
                <w:spacing w:val="-2"/>
                <w:lang w:val="fr-CH"/>
              </w:rPr>
              <w:t>région Asie et Pacifique), Argentine, Colombie et Cuba</w:t>
            </w:r>
            <w:r w:rsidR="00A80BCE" w:rsidRPr="00EF1FF2">
              <w:rPr>
                <w:spacing w:val="-2"/>
                <w:lang w:val="fr-CH"/>
              </w:rPr>
              <w:t xml:space="preserve"> (</w:t>
            </w:r>
            <w:r w:rsidR="003C6168" w:rsidRPr="00EF1FF2">
              <w:rPr>
                <w:spacing w:val="-2"/>
                <w:lang w:val="fr-CH"/>
              </w:rPr>
              <w:t>région Amérique latine et Caraïbes) et Fédération de Russie</w:t>
            </w:r>
            <w:r w:rsidR="00A80BCE" w:rsidRPr="00EF1FF2">
              <w:rPr>
                <w:spacing w:val="-2"/>
                <w:lang w:val="fr-CH"/>
              </w:rPr>
              <w:t xml:space="preserve"> (</w:t>
            </w:r>
            <w:r w:rsidR="003C6168" w:rsidRPr="00EF1FF2">
              <w:rPr>
                <w:spacing w:val="-2"/>
                <w:lang w:val="fr-CH"/>
              </w:rPr>
              <w:t>pays en transition et pays développés</w:t>
            </w:r>
            <w:r w:rsidR="00A80BCE" w:rsidRPr="00EF1FF2">
              <w:rPr>
                <w:spacing w:val="-2"/>
                <w:lang w:val="fr-CH"/>
              </w:rPr>
              <w:t>).</w:t>
            </w:r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A80BCE" w:rsidRPr="00120311" w:rsidRDefault="00371CBA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Sept experts pays ont été sélectionnés pour </w:t>
            </w:r>
            <w:r w:rsidR="003E6E61" w:rsidRPr="00120311">
              <w:rPr>
                <w:lang w:val="fr-CH"/>
              </w:rPr>
              <w:t>piloter</w:t>
            </w:r>
            <w:r w:rsidRPr="00120311">
              <w:rPr>
                <w:lang w:val="fr-CH"/>
              </w:rPr>
              <w:t xml:space="preserve"> le processus dans les pays pilotes et ont été chargés de </w:t>
            </w:r>
            <w:r w:rsidR="003910F2" w:rsidRPr="00120311">
              <w:rPr>
                <w:lang w:val="fr-CH"/>
              </w:rPr>
              <w:t>recenser</w:t>
            </w:r>
            <w:r w:rsidRPr="00120311">
              <w:rPr>
                <w:lang w:val="fr-CH"/>
              </w:rPr>
              <w:t xml:space="preserve"> et 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>évaluer les données 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>expérience</w:t>
            </w:r>
            <w:r w:rsidR="00751A1A" w:rsidRPr="00120311">
              <w:rPr>
                <w:lang w:val="fr-CH"/>
              </w:rPr>
              <w:t xml:space="preserve"> des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CAT</w:t>
            </w:r>
            <w:r w:rsidRPr="00120311">
              <w:rPr>
                <w:lang w:val="fr-CH"/>
              </w:rPr>
              <w:t xml:space="preserve">I </w:t>
            </w:r>
            <w:r w:rsidR="003910F2" w:rsidRPr="00120311">
              <w:rPr>
                <w:lang w:val="fr-CH"/>
              </w:rPr>
              <w:t xml:space="preserve">en utilisant une méthode fondée sur le modèle de </w:t>
            </w:r>
            <w:proofErr w:type="spellStart"/>
            <w:r w:rsidR="003910F2" w:rsidRPr="00120311">
              <w:rPr>
                <w:lang w:val="fr-CH"/>
              </w:rPr>
              <w:t>Kirkpatrick</w:t>
            </w:r>
            <w:proofErr w:type="spellEnd"/>
            <w:r w:rsidR="003910F2" w:rsidRPr="00120311">
              <w:rPr>
                <w:lang w:val="fr-CH"/>
              </w:rPr>
              <w:t>, un modèle d</w:t>
            </w:r>
            <w:r w:rsidR="00751A1A">
              <w:rPr>
                <w:lang w:val="fr-CH"/>
              </w:rPr>
              <w:t>’</w:t>
            </w:r>
            <w:r w:rsidR="003910F2" w:rsidRPr="00120311">
              <w:rPr>
                <w:lang w:val="fr-CH"/>
              </w:rPr>
              <w:t>évaluation des formations prenant en compte quatre</w:t>
            </w:r>
            <w:r w:rsidR="001045DE">
              <w:rPr>
                <w:lang w:val="fr-CH"/>
              </w:rPr>
              <w:t> </w:t>
            </w:r>
            <w:r w:rsidR="003910F2" w:rsidRPr="00120311">
              <w:rPr>
                <w:lang w:val="fr-CH"/>
              </w:rPr>
              <w:t>critères</w:t>
            </w:r>
            <w:r w:rsidR="00A80BCE" w:rsidRPr="00120311">
              <w:rPr>
                <w:lang w:val="fr-CH"/>
              </w:rPr>
              <w:t xml:space="preserve"> </w:t>
            </w:r>
            <w:r w:rsidR="00940032" w:rsidRPr="00120311">
              <w:rPr>
                <w:lang w:val="fr-CH"/>
              </w:rPr>
              <w:t>(</w:t>
            </w:r>
            <w:r w:rsidR="003910F2" w:rsidRPr="00120311">
              <w:rPr>
                <w:lang w:val="fr-CH"/>
              </w:rPr>
              <w:t>la satisfaction, l</w:t>
            </w:r>
            <w:r w:rsidR="00751A1A">
              <w:rPr>
                <w:lang w:val="fr-CH"/>
              </w:rPr>
              <w:t>’</w:t>
            </w:r>
            <w:r w:rsidR="003910F2" w:rsidRPr="00120311">
              <w:rPr>
                <w:lang w:val="fr-CH"/>
              </w:rPr>
              <w:t>efficacité, la pertinence et l</w:t>
            </w:r>
            <w:r w:rsidR="00751A1A">
              <w:rPr>
                <w:lang w:val="fr-CH"/>
              </w:rPr>
              <w:t>’</w:t>
            </w:r>
            <w:r w:rsidR="003910F2" w:rsidRPr="00120311">
              <w:rPr>
                <w:lang w:val="fr-CH"/>
              </w:rPr>
              <w:t>incidence</w:t>
            </w:r>
            <w:r w:rsidR="00940032" w:rsidRPr="00120311">
              <w:rPr>
                <w:lang w:val="fr-CH"/>
              </w:rPr>
              <w:t>)</w:t>
            </w:r>
            <w:r w:rsidR="00A80BCE" w:rsidRPr="00120311">
              <w:rPr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751A1A" w:rsidRPr="00EF1FF2" w:rsidRDefault="003910F2" w:rsidP="00EF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</w:pP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L</w:t>
            </w:r>
            <w:r w:rsidR="006775CC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a phase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6775CC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essai 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une durée de six</w:t>
            </w:r>
            <w:r w:rsidR="001045DE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 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mois a débuté par une réunion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experts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tenue à Genève les 25 et 2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6 juillet 20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17</w:t>
            </w:r>
            <w:r w:rsidR="00ED0308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,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qui a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rassemblé les </w:t>
            </w:r>
            <w:r w:rsidR="006F166D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experts principaux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et les experts pays, afin qu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ils 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définissent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une façon efficace et homogène de procéder au</w:t>
            </w:r>
            <w:r w:rsidR="007F2468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x tests</w:t>
            </w:r>
            <w:r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dans chacun des pays sélectionn</w:t>
            </w:r>
            <w:r w:rsidR="00916BDB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és.  La</w:t>
            </w:r>
            <w:r w:rsidR="006775CC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phase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6775CC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essai</w:t>
            </w:r>
            <w:r w:rsidR="00A64197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a donné lieu à un certain nombre de recommandations visant à améliorer les guides, 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lesquelles</w:t>
            </w:r>
            <w:r w:rsidR="00A64197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ont été intégrées dans les versions révisées par les experts</w:t>
            </w:r>
            <w:r w:rsidR="006F166D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principa</w:t>
            </w:r>
            <w:r w:rsidR="00916BDB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ux.  En</w:t>
            </w:r>
            <w:r w:rsidR="00ED70DF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particulier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, </w:t>
            </w:r>
            <w:r w:rsidR="007F2468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davantage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7F2468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orientations,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7F2468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outils et 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exemples pratiques ont été </w:t>
            </w:r>
            <w:r w:rsidR="00ED70DF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inclus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 afin </w:t>
            </w:r>
            <w:r w:rsidR="00ED70DF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d</w:t>
            </w:r>
            <w:r w:rsidR="00751A1A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’</w:t>
            </w:r>
            <w:r w:rsidR="003E6E61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 xml:space="preserve">illustrer </w:t>
            </w:r>
            <w:r w:rsidR="00ED70DF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des thèmes choisis</w:t>
            </w:r>
            <w:r w:rsidR="00A80BCE" w:rsidRPr="00EF1FF2">
              <w:rPr>
                <w:rFonts w:ascii="Arial" w:hAnsi="Arial" w:cs="Arial"/>
                <w:spacing w:val="-2"/>
                <w:sz w:val="22"/>
                <w:szCs w:val="20"/>
                <w:lang w:val="fr-CH" w:eastAsia="en-US"/>
              </w:rPr>
              <w:t>.</w:t>
            </w:r>
          </w:p>
          <w:p w:rsidR="00A80BCE" w:rsidRPr="00120311" w:rsidRDefault="00A80BCE" w:rsidP="00EF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fr-CH" w:eastAsia="en-US"/>
              </w:rPr>
            </w:pPr>
          </w:p>
          <w:p w:rsidR="00751A1A" w:rsidRDefault="00A64197" w:rsidP="00EF1FF2">
            <w:pPr>
              <w:pStyle w:val="NormalWeb"/>
              <w:spacing w:before="0" w:beforeAutospacing="0" w:after="0" w:afterAutospacing="0"/>
              <w:rPr>
                <w:iCs/>
                <w:lang w:val="fr-CH"/>
              </w:rPr>
            </w:pPr>
            <w:r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lastRenderedPageBreak/>
              <w:t xml:space="preserve">Les versions finales ont été achevées entre 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juin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 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20</w:t>
            </w:r>
            <w:r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18 </w:t>
            </w:r>
            <w:r w:rsidR="00771884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(</w:t>
            </w:r>
            <w:r w:rsidR="00C85E0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g</w:t>
            </w:r>
            <w:r w:rsidR="00771884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uide 1) </w:t>
            </w:r>
            <w:r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et</w:t>
            </w:r>
            <w:r w:rsidR="00771884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octobre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 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20</w:t>
            </w:r>
            <w:r w:rsidR="00A80BCE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18</w:t>
            </w:r>
            <w:r w:rsidR="00771884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(</w:t>
            </w:r>
            <w:r w:rsidR="00C85E0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g</w:t>
            </w:r>
            <w:r w:rsidR="00771884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uide 2)</w:t>
            </w:r>
            <w:r w:rsidR="00A80BCE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.  </w:t>
            </w:r>
            <w:r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Conformément à la Politique de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ED70D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OMPI en matière de publications</w:t>
            </w:r>
            <w:r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applicable aux nouvelles publications</w:t>
            </w:r>
            <w:r w:rsidR="00A80BCE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, </w:t>
            </w:r>
            <w:r w:rsidR="00ED70D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une approbation interne</w:t>
            </w:r>
            <w:r w:rsidR="00497E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</w:t>
            </w:r>
            <w:r w:rsidR="00ED70D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a été sollicitée</w:t>
            </w:r>
            <w:r w:rsidR="00497E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</w:t>
            </w:r>
            <w:r w:rsidR="00C24BF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pour obtenir que les guides, en tant que publications de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C24BF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OMPI, bénéficient d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C24BF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une correction et d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C24BF0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une mise en page professionnelles afin de maximiser leur utilisation et leur port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ée</w:t>
            </w:r>
            <w:r w:rsidR="00916BDB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.  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Co</w:t>
            </w:r>
            <w:r w:rsidR="00913AE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nformément à la politique, les versions finales ont été </w:t>
            </w:r>
            <w:r w:rsidR="00414222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soumis</w:t>
            </w:r>
            <w:r w:rsidR="007F2468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es</w:t>
            </w:r>
            <w:r w:rsidR="00414222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à une évaluation collégiale 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par des experts </w:t>
            </w:r>
            <w:r w:rsidR="00414222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travaillant ou non au sein de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414222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OMPI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et </w:t>
            </w:r>
            <w:r w:rsidR="007214EC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améliorées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par les experts </w:t>
            </w:r>
            <w:r w:rsidR="006F166D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principaux 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afin d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intégrer les recommandations émises </w:t>
            </w:r>
            <w:r w:rsidR="00ED70D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lors de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ED70D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évaluati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on</w:t>
            </w:r>
            <w:r w:rsidR="00916BDB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.  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Le</w:t>
            </w:r>
            <w:r w:rsidR="005C164F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s versions finales ont été remises pour correction et mise en page professionnelles, un processus supervisé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par la division des publications de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O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MPI</w:t>
            </w:r>
            <w:r w:rsidR="00916BDB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.  </w:t>
            </w:r>
            <w:r w:rsidR="00916BDB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La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correction professionnelle du premier guide a été achevée en 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juin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 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20</w:t>
            </w:r>
            <w:r w:rsidR="00A80BCE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19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et</w:t>
            </w:r>
            <w:r w:rsidR="0064039D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celle 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du second guide devrait être achevée en 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juillet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 </w:t>
            </w:r>
            <w:r w:rsidR="00751A1A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20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19.  La traduction des guides </w:t>
            </w:r>
            <w:r w:rsidR="00485B4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constituera l</w:t>
            </w:r>
            <w:r w:rsidR="00751A1A">
              <w:rPr>
                <w:rFonts w:ascii="Arial" w:hAnsi="Arial" w:cs="Arial"/>
                <w:sz w:val="22"/>
                <w:szCs w:val="20"/>
                <w:lang w:val="fr-CH" w:eastAsia="en-US"/>
              </w:rPr>
              <w:t>’</w:t>
            </w:r>
            <w:r w:rsidR="00485B4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ultime étape du</w:t>
            </w:r>
            <w:r w:rsidR="00BD41F1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 xml:space="preserve"> processus</w:t>
            </w:r>
            <w:r w:rsidR="00A80BCE" w:rsidRPr="00120311">
              <w:rPr>
                <w:rFonts w:ascii="Arial" w:hAnsi="Arial" w:cs="Arial"/>
                <w:sz w:val="22"/>
                <w:szCs w:val="20"/>
                <w:lang w:val="fr-CH" w:eastAsia="en-US"/>
              </w:rPr>
              <w:t>.</w:t>
            </w:r>
          </w:p>
          <w:p w:rsidR="00D62FA3" w:rsidRPr="00120311" w:rsidRDefault="00D62FA3" w:rsidP="00EF1FF2">
            <w:pPr>
              <w:autoSpaceDE w:val="0"/>
              <w:autoSpaceDN w:val="0"/>
              <w:adjustRightInd w:val="0"/>
              <w:rPr>
                <w:bCs/>
                <w:iCs/>
                <w:szCs w:val="22"/>
                <w:lang w:val="fr-CH" w:bidi="th-TH"/>
              </w:rPr>
            </w:pPr>
          </w:p>
          <w:p w:rsidR="00A80BCE" w:rsidRPr="00120311" w:rsidRDefault="00EF1FF2" w:rsidP="00EF1FF2">
            <w:pPr>
              <w:autoSpaceDE w:val="0"/>
              <w:autoSpaceDN w:val="0"/>
              <w:adjustRightInd w:val="0"/>
              <w:rPr>
                <w:iCs/>
                <w:szCs w:val="22"/>
                <w:lang w:val="fr-CH"/>
              </w:rPr>
            </w:pPr>
            <w:r>
              <w:rPr>
                <w:bCs/>
                <w:iCs/>
                <w:szCs w:val="22"/>
                <w:lang w:val="fr-CH" w:bidi="th-TH"/>
              </w:rPr>
              <w:t>2.</w:t>
            </w:r>
            <w:r>
              <w:rPr>
                <w:bCs/>
                <w:iCs/>
                <w:szCs w:val="22"/>
                <w:lang w:val="fr-CH" w:bidi="th-TH"/>
              </w:rPr>
              <w:tab/>
            </w:r>
            <w:r w:rsidR="00C24BF0" w:rsidRPr="00120311">
              <w:rPr>
                <w:bCs/>
                <w:iCs/>
                <w:szCs w:val="22"/>
                <w:lang w:val="fr-CH" w:bidi="th-TH"/>
              </w:rPr>
              <w:t>Matériel de formation nouveau ou amélioré pour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 xml:space="preserve"> les</w:t>
            </w:r>
            <w:r w:rsidR="00751A1A">
              <w:rPr>
                <w:bCs/>
                <w:iCs/>
                <w:szCs w:val="22"/>
                <w:lang w:val="fr-CH" w:bidi="th-TH"/>
              </w:rPr>
              <w:t> 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CAT</w:t>
            </w:r>
            <w:r w:rsidR="00C24BF0" w:rsidRPr="00120311">
              <w:rPr>
                <w:bCs/>
                <w:iCs/>
                <w:szCs w:val="22"/>
                <w:lang w:val="fr-CH" w:bidi="th-TH"/>
              </w:rPr>
              <w:t xml:space="preserve">I à partir des guides </w:t>
            </w:r>
            <w:r w:rsidR="005E5EE9" w:rsidRPr="00120311">
              <w:rPr>
                <w:bCs/>
                <w:iCs/>
                <w:szCs w:val="22"/>
                <w:lang w:val="fr-CH" w:bidi="th-TH"/>
              </w:rPr>
              <w:t>et création d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="005E5EE9" w:rsidRPr="00120311">
              <w:rPr>
                <w:bCs/>
                <w:iCs/>
                <w:szCs w:val="22"/>
                <w:lang w:val="fr-CH" w:bidi="th-TH"/>
              </w:rPr>
              <w:t>un réseau d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="005E5EE9" w:rsidRPr="00120311">
              <w:rPr>
                <w:bCs/>
                <w:iCs/>
                <w:szCs w:val="22"/>
                <w:lang w:val="fr-CH" w:bidi="th-TH"/>
              </w:rPr>
              <w:t>experts</w:t>
            </w:r>
            <w:r w:rsidR="001045DE">
              <w:rPr>
                <w:iCs/>
                <w:lang w:val="fr-CH"/>
              </w:rPr>
              <w:t> </w:t>
            </w:r>
            <w:r w:rsidR="00A80BCE" w:rsidRPr="00120311">
              <w:rPr>
                <w:iCs/>
                <w:lang w:val="fr-CH"/>
              </w:rPr>
              <w:t>:</w:t>
            </w:r>
          </w:p>
          <w:p w:rsidR="00A80BCE" w:rsidRPr="00120311" w:rsidRDefault="00A80BCE" w:rsidP="00EF1F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0"/>
                <w:lang w:val="fr-CH" w:eastAsia="en-US"/>
              </w:rPr>
            </w:pPr>
          </w:p>
          <w:p w:rsidR="00A80BCE" w:rsidRPr="00120311" w:rsidRDefault="00DD3F60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La formation sur les guides s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adressant</w:t>
            </w:r>
            <w:r w:rsidR="00751A1A" w:rsidRPr="00120311">
              <w:rPr>
                <w:iCs/>
                <w:lang w:val="fr-CH"/>
              </w:rPr>
              <w:t xml:space="preserve"> aux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CAT</w:t>
            </w:r>
            <w:r w:rsidRPr="00120311">
              <w:rPr>
                <w:iCs/>
                <w:lang w:val="fr-CH"/>
              </w:rPr>
              <w:t xml:space="preserve">I sélectionnés </w:t>
            </w:r>
            <w:r w:rsidR="007214EC" w:rsidRPr="00120311">
              <w:rPr>
                <w:iCs/>
                <w:lang w:val="fr-CH"/>
              </w:rPr>
              <w:t>a</w:t>
            </w:r>
            <w:r w:rsidRPr="00120311">
              <w:rPr>
                <w:iCs/>
                <w:lang w:val="fr-CH"/>
              </w:rPr>
              <w:t xml:space="preserve"> débuté au dernier trimestre </w:t>
            </w:r>
            <w:r w:rsidR="00751A1A" w:rsidRPr="00120311">
              <w:rPr>
                <w:iCs/>
                <w:lang w:val="fr-CH"/>
              </w:rPr>
              <w:t>de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2018</w:t>
            </w:r>
            <w:r w:rsidRPr="00120311">
              <w:rPr>
                <w:iCs/>
                <w:lang w:val="fr-CH"/>
              </w:rPr>
              <w:t xml:space="preserve"> sur la base du matériel de formation conçu par les experts principa</w:t>
            </w:r>
            <w:r w:rsidR="00916BDB" w:rsidRPr="00120311">
              <w:rPr>
                <w:iCs/>
                <w:lang w:val="fr-CH"/>
              </w:rPr>
              <w:t>ux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Ne</w:t>
            </w:r>
            <w:r w:rsidR="00485B41" w:rsidRPr="00120311">
              <w:rPr>
                <w:iCs/>
                <w:lang w:val="fr-CH"/>
              </w:rPr>
              <w:t>uf</w:t>
            </w:r>
            <w:r w:rsidR="001045DE">
              <w:rPr>
                <w:iCs/>
                <w:lang w:val="fr-CH"/>
              </w:rPr>
              <w:t> </w:t>
            </w:r>
            <w:r w:rsidR="00485B41" w:rsidRPr="00120311">
              <w:rPr>
                <w:iCs/>
                <w:lang w:val="fr-CH"/>
              </w:rPr>
              <w:t xml:space="preserve">ateliers ont été organisés entre </w:t>
            </w:r>
            <w:r w:rsidR="00751A1A" w:rsidRPr="00120311">
              <w:rPr>
                <w:iCs/>
                <w:lang w:val="fr-CH"/>
              </w:rPr>
              <w:t>novembre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20</w:t>
            </w:r>
            <w:r w:rsidR="00485B41" w:rsidRPr="00120311">
              <w:rPr>
                <w:iCs/>
                <w:lang w:val="fr-CH"/>
              </w:rPr>
              <w:t xml:space="preserve">18 et </w:t>
            </w:r>
            <w:r w:rsidR="00751A1A" w:rsidRPr="00120311">
              <w:rPr>
                <w:iCs/>
                <w:lang w:val="fr-CH"/>
              </w:rPr>
              <w:t>juin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20</w:t>
            </w:r>
            <w:r w:rsidR="007F2468" w:rsidRPr="00120311">
              <w:rPr>
                <w:iCs/>
                <w:lang w:val="fr-CH"/>
              </w:rPr>
              <w:t xml:space="preserve">19 et </w:t>
            </w:r>
            <w:r w:rsidR="00485B41" w:rsidRPr="00120311">
              <w:rPr>
                <w:iCs/>
                <w:lang w:val="fr-CH"/>
              </w:rPr>
              <w:t>initialement centrés sur les pays pilotes</w:t>
            </w:r>
            <w:r w:rsidR="007F2468" w:rsidRPr="00120311">
              <w:rPr>
                <w:iCs/>
                <w:lang w:val="fr-CH"/>
              </w:rPr>
              <w:t xml:space="preserve">, </w:t>
            </w:r>
            <w:r w:rsidR="00751A1A">
              <w:rPr>
                <w:iCs/>
                <w:lang w:val="fr-CH"/>
              </w:rPr>
              <w:t>à savoir</w:t>
            </w:r>
            <w:r w:rsidR="007F2468" w:rsidRPr="00120311">
              <w:rPr>
                <w:iCs/>
                <w:lang w:val="fr-CH"/>
              </w:rPr>
              <w:t xml:space="preserve"> l</w:t>
            </w:r>
            <w:r w:rsidR="00751A1A">
              <w:rPr>
                <w:iCs/>
                <w:lang w:val="fr-CH"/>
              </w:rPr>
              <w:t>’</w:t>
            </w:r>
            <w:r w:rsidR="00485B41" w:rsidRPr="00120311">
              <w:rPr>
                <w:iCs/>
                <w:lang w:val="fr-CH"/>
              </w:rPr>
              <w:t xml:space="preserve">Afrique du Sud, </w:t>
            </w:r>
            <w:r w:rsidR="007F2468" w:rsidRPr="00120311">
              <w:rPr>
                <w:iCs/>
                <w:lang w:val="fr-CH"/>
              </w:rPr>
              <w:t>l</w:t>
            </w:r>
            <w:r w:rsidR="00751A1A">
              <w:rPr>
                <w:iCs/>
                <w:lang w:val="fr-CH"/>
              </w:rPr>
              <w:t>’</w:t>
            </w:r>
            <w:r w:rsidR="00485B41" w:rsidRPr="00120311">
              <w:rPr>
                <w:iCs/>
                <w:lang w:val="fr-CH"/>
              </w:rPr>
              <w:t xml:space="preserve">Argentine, </w:t>
            </w:r>
            <w:r w:rsidR="007F2468" w:rsidRPr="00120311">
              <w:rPr>
                <w:iCs/>
                <w:lang w:val="fr-CH"/>
              </w:rPr>
              <w:t xml:space="preserve">la </w:t>
            </w:r>
            <w:r w:rsidR="00485B41" w:rsidRPr="00120311">
              <w:rPr>
                <w:iCs/>
                <w:lang w:val="fr-CH"/>
              </w:rPr>
              <w:t xml:space="preserve">Colombie, </w:t>
            </w:r>
            <w:r w:rsidR="007F2468" w:rsidRPr="00120311">
              <w:rPr>
                <w:iCs/>
                <w:lang w:val="fr-CH"/>
              </w:rPr>
              <w:t xml:space="preserve">la </w:t>
            </w:r>
            <w:r w:rsidR="00485B41" w:rsidRPr="00120311">
              <w:rPr>
                <w:iCs/>
                <w:lang w:val="fr-CH"/>
              </w:rPr>
              <w:t xml:space="preserve">Fédération de Russie, </w:t>
            </w:r>
            <w:r w:rsidR="007F2468" w:rsidRPr="00120311">
              <w:rPr>
                <w:iCs/>
                <w:lang w:val="fr-CH"/>
              </w:rPr>
              <w:t xml:space="preserve">le </w:t>
            </w:r>
            <w:r w:rsidR="00485B41" w:rsidRPr="00120311">
              <w:rPr>
                <w:iCs/>
                <w:lang w:val="fr-CH"/>
              </w:rPr>
              <w:t xml:space="preserve">Kenya, </w:t>
            </w:r>
            <w:r w:rsidR="007F2468" w:rsidRPr="00120311">
              <w:rPr>
                <w:iCs/>
                <w:lang w:val="fr-CH"/>
              </w:rPr>
              <w:t xml:space="preserve">la </w:t>
            </w:r>
            <w:r w:rsidR="00485B41" w:rsidRPr="00120311">
              <w:rPr>
                <w:iCs/>
                <w:lang w:val="fr-CH"/>
              </w:rPr>
              <w:t xml:space="preserve">Malaisie, </w:t>
            </w:r>
            <w:r w:rsidR="007F2468" w:rsidRPr="00120311">
              <w:rPr>
                <w:iCs/>
                <w:lang w:val="fr-CH"/>
              </w:rPr>
              <w:t xml:space="preserve">le Maroc et les </w:t>
            </w:r>
            <w:r w:rsidR="00485B41" w:rsidRPr="00120311">
              <w:rPr>
                <w:iCs/>
                <w:lang w:val="fr-CH"/>
              </w:rPr>
              <w:t>Philippines</w:t>
            </w:r>
            <w:r w:rsidR="00A80BCE" w:rsidRPr="00120311">
              <w:rPr>
                <w:iCs/>
                <w:lang w:val="fr-CH"/>
              </w:rPr>
              <w:t xml:space="preserve">, </w:t>
            </w:r>
            <w:r w:rsidR="00E83F9C" w:rsidRPr="00120311">
              <w:rPr>
                <w:iCs/>
                <w:lang w:val="fr-CH"/>
              </w:rPr>
              <w:t>en plus de l</w:t>
            </w:r>
            <w:r w:rsidR="00751A1A">
              <w:rPr>
                <w:iCs/>
                <w:lang w:val="fr-CH"/>
              </w:rPr>
              <w:t>’</w:t>
            </w:r>
            <w:r w:rsidR="00E83F9C" w:rsidRPr="00120311">
              <w:rPr>
                <w:iCs/>
                <w:lang w:val="fr-CH"/>
              </w:rPr>
              <w:t>In</w:t>
            </w:r>
            <w:r w:rsidR="00916BDB" w:rsidRPr="00120311">
              <w:rPr>
                <w:iCs/>
                <w:lang w:val="fr-CH"/>
              </w:rPr>
              <w:t>de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Le</w:t>
            </w:r>
            <w:r w:rsidR="00485B41" w:rsidRPr="00120311">
              <w:rPr>
                <w:iCs/>
                <w:lang w:val="fr-CH"/>
              </w:rPr>
              <w:t>s ateliers offraient une occasion de tester et d</w:t>
            </w:r>
            <w:r w:rsidR="00751A1A">
              <w:rPr>
                <w:iCs/>
                <w:lang w:val="fr-CH"/>
              </w:rPr>
              <w:t>’</w:t>
            </w:r>
            <w:r w:rsidR="00485B41" w:rsidRPr="00120311">
              <w:rPr>
                <w:iCs/>
                <w:lang w:val="fr-CH"/>
              </w:rPr>
              <w:t xml:space="preserve">améliorer le matériel </w:t>
            </w:r>
            <w:r w:rsidR="007214EC" w:rsidRPr="00120311">
              <w:rPr>
                <w:iCs/>
                <w:lang w:val="fr-CH"/>
              </w:rPr>
              <w:t>de formati</w:t>
            </w:r>
            <w:r w:rsidR="00916BDB" w:rsidRPr="00120311">
              <w:rPr>
                <w:iCs/>
                <w:lang w:val="fr-CH"/>
              </w:rPr>
              <w:t>on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Da</w:t>
            </w:r>
            <w:r w:rsidR="007214EC" w:rsidRPr="00120311">
              <w:rPr>
                <w:iCs/>
                <w:lang w:val="fr-CH"/>
              </w:rPr>
              <w:t>ns la mesure du possible, les experts principaux proposaient une formation sur les guides avec l</w:t>
            </w:r>
            <w:r w:rsidR="00751A1A">
              <w:rPr>
                <w:iCs/>
                <w:lang w:val="fr-CH"/>
              </w:rPr>
              <w:t>’</w:t>
            </w:r>
            <w:r w:rsidR="007214EC" w:rsidRPr="00120311">
              <w:rPr>
                <w:iCs/>
                <w:lang w:val="fr-CH"/>
              </w:rPr>
              <w:t>assistance des experts associés et des experts pays</w:t>
            </w:r>
            <w:r w:rsidR="00A80BCE" w:rsidRPr="00120311">
              <w:rPr>
                <w:iCs/>
                <w:lang w:val="fr-CH"/>
              </w:rPr>
              <w:t xml:space="preserve">, </w:t>
            </w:r>
            <w:r w:rsidR="007214EC" w:rsidRPr="00120311">
              <w:rPr>
                <w:iCs/>
                <w:lang w:val="fr-CH"/>
              </w:rPr>
              <w:t>dans le but de créer un réseau d</w:t>
            </w:r>
            <w:r w:rsidR="00751A1A">
              <w:rPr>
                <w:iCs/>
                <w:lang w:val="fr-CH"/>
              </w:rPr>
              <w:t>’</w:t>
            </w:r>
            <w:r w:rsidR="007214EC" w:rsidRPr="00120311">
              <w:rPr>
                <w:iCs/>
                <w:lang w:val="fr-CH"/>
              </w:rPr>
              <w:t xml:space="preserve">experts capables </w:t>
            </w:r>
            <w:r w:rsidR="0012181A" w:rsidRPr="00120311">
              <w:rPr>
                <w:iCs/>
                <w:lang w:val="fr-CH"/>
              </w:rPr>
              <w:t>d</w:t>
            </w:r>
            <w:r w:rsidR="00751A1A">
              <w:rPr>
                <w:iCs/>
                <w:lang w:val="fr-CH"/>
              </w:rPr>
              <w:t>’</w:t>
            </w:r>
            <w:r w:rsidR="0012181A" w:rsidRPr="00120311">
              <w:rPr>
                <w:iCs/>
                <w:lang w:val="fr-CH"/>
              </w:rPr>
              <w:t>aider</w:t>
            </w:r>
            <w:r w:rsidR="00751A1A" w:rsidRPr="00120311">
              <w:rPr>
                <w:iCs/>
                <w:lang w:val="fr-CH"/>
              </w:rPr>
              <w:t xml:space="preserve"> les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CAT</w:t>
            </w:r>
            <w:r w:rsidR="007214EC" w:rsidRPr="00120311">
              <w:rPr>
                <w:iCs/>
                <w:lang w:val="fr-CH"/>
              </w:rPr>
              <w:t xml:space="preserve">I </w:t>
            </w:r>
            <w:r w:rsidR="0012181A" w:rsidRPr="00120311">
              <w:rPr>
                <w:iCs/>
                <w:lang w:val="fr-CH"/>
              </w:rPr>
              <w:t>à utiliser les</w:t>
            </w:r>
            <w:r w:rsidR="0082321C" w:rsidRPr="00120311">
              <w:rPr>
                <w:iCs/>
                <w:lang w:val="fr-CH"/>
              </w:rPr>
              <w:t xml:space="preserve"> guides une fois que le projet aura pris f</w:t>
            </w:r>
            <w:r w:rsidR="00916BDB" w:rsidRPr="00120311">
              <w:rPr>
                <w:iCs/>
                <w:lang w:val="fr-CH"/>
              </w:rPr>
              <w:t>in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De</w:t>
            </w:r>
            <w:r w:rsidR="0082321C" w:rsidRPr="00120311">
              <w:rPr>
                <w:iCs/>
                <w:lang w:val="fr-CH"/>
              </w:rPr>
              <w:t>s formulaires d</w:t>
            </w:r>
            <w:r w:rsidR="00751A1A">
              <w:rPr>
                <w:iCs/>
                <w:lang w:val="fr-CH"/>
              </w:rPr>
              <w:t>’</w:t>
            </w:r>
            <w:r w:rsidR="0082321C" w:rsidRPr="00120311">
              <w:rPr>
                <w:iCs/>
                <w:lang w:val="fr-CH"/>
              </w:rPr>
              <w:t>évaluation ont été recueillis à l</w:t>
            </w:r>
            <w:r w:rsidR="00751A1A">
              <w:rPr>
                <w:iCs/>
                <w:lang w:val="fr-CH"/>
              </w:rPr>
              <w:t>’</w:t>
            </w:r>
            <w:r w:rsidR="0082321C" w:rsidRPr="00120311">
              <w:rPr>
                <w:iCs/>
                <w:lang w:val="fr-CH"/>
              </w:rPr>
              <w:t xml:space="preserve">issue des ateliers et le matériel de formation a été adapté en tenant compte des remarques </w:t>
            </w:r>
            <w:r w:rsidR="0065339D" w:rsidRPr="00120311">
              <w:rPr>
                <w:iCs/>
                <w:lang w:val="fr-CH"/>
              </w:rPr>
              <w:t>formulées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751A1A" w:rsidRDefault="00EF1FF2" w:rsidP="00EF1FF2">
            <w:pPr>
              <w:rPr>
                <w:iCs/>
                <w:lang w:val="fr-CH"/>
              </w:rPr>
            </w:pPr>
            <w:r>
              <w:rPr>
                <w:iCs/>
                <w:lang w:val="fr-CH"/>
              </w:rPr>
              <w:t>3.</w:t>
            </w:r>
            <w:r>
              <w:rPr>
                <w:iCs/>
                <w:lang w:val="fr-CH"/>
              </w:rPr>
              <w:tab/>
            </w:r>
            <w:r w:rsidR="005E5EE9" w:rsidRPr="00120311">
              <w:rPr>
                <w:iCs/>
                <w:lang w:val="fr-CH"/>
              </w:rPr>
              <w:t xml:space="preserve">Portail amélioré </w:t>
            </w:r>
            <w:r w:rsidR="00835D34" w:rsidRPr="00120311">
              <w:rPr>
                <w:iCs/>
                <w:lang w:val="fr-CH"/>
              </w:rPr>
              <w:t xml:space="preserve">sur la situation juridique, doté </w:t>
            </w:r>
            <w:r w:rsidR="005E5EE9" w:rsidRPr="00120311">
              <w:rPr>
                <w:iCs/>
                <w:lang w:val="fr-CH"/>
              </w:rPr>
              <w:t>d</w:t>
            </w:r>
            <w:r w:rsidR="00751A1A">
              <w:rPr>
                <w:iCs/>
                <w:lang w:val="fr-CH"/>
              </w:rPr>
              <w:t>’</w:t>
            </w:r>
            <w:r w:rsidR="005E5EE9" w:rsidRPr="00120311">
              <w:rPr>
                <w:iCs/>
                <w:lang w:val="fr-CH"/>
              </w:rPr>
              <w:t xml:space="preserve">une interface plus </w:t>
            </w:r>
            <w:r w:rsidR="00443C0F" w:rsidRPr="00120311">
              <w:rPr>
                <w:iCs/>
                <w:lang w:val="fr-CH"/>
              </w:rPr>
              <w:t>facile à utiliser</w:t>
            </w:r>
            <w:r w:rsidR="005E5EE9" w:rsidRPr="00120311">
              <w:rPr>
                <w:iCs/>
                <w:lang w:val="fr-CH"/>
              </w:rPr>
              <w:t xml:space="preserve"> et d</w:t>
            </w:r>
            <w:r w:rsidR="00751A1A">
              <w:rPr>
                <w:iCs/>
                <w:lang w:val="fr-CH"/>
              </w:rPr>
              <w:t>’</w:t>
            </w:r>
            <w:r w:rsidR="005E5EE9" w:rsidRPr="00120311">
              <w:rPr>
                <w:iCs/>
                <w:lang w:val="fr-CH"/>
              </w:rPr>
              <w:t>un contenu élargi</w:t>
            </w:r>
            <w:r w:rsidR="001045DE">
              <w:rPr>
                <w:iCs/>
                <w:lang w:val="fr-CH"/>
              </w:rPr>
              <w:t> </w:t>
            </w:r>
            <w:r w:rsidR="00A80BCE" w:rsidRPr="00120311">
              <w:rPr>
                <w:iCs/>
                <w:lang w:val="fr-CH"/>
              </w:rPr>
              <w:t>: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751A1A" w:rsidRDefault="00835D34" w:rsidP="00EF1FF2">
            <w:pPr>
              <w:rPr>
                <w:bCs/>
                <w:iCs/>
                <w:szCs w:val="22"/>
                <w:lang w:val="fr-CH" w:bidi="th-TH"/>
              </w:rPr>
            </w:pPr>
            <w:r w:rsidRPr="00120311">
              <w:rPr>
                <w:bCs/>
                <w:iCs/>
                <w:szCs w:val="22"/>
                <w:lang w:val="fr-CH" w:bidi="th-TH"/>
              </w:rPr>
              <w:t xml:space="preserve">Pour </w:t>
            </w:r>
            <w:r w:rsidR="00586BED" w:rsidRPr="00120311">
              <w:rPr>
                <w:bCs/>
                <w:iCs/>
                <w:szCs w:val="22"/>
                <w:lang w:val="fr-CH" w:bidi="th-TH"/>
              </w:rPr>
              <w:t>définir</w:t>
            </w:r>
            <w:r w:rsidRPr="00120311">
              <w:rPr>
                <w:bCs/>
                <w:iCs/>
                <w:szCs w:val="22"/>
                <w:lang w:val="fr-CH" w:bidi="th-TH"/>
              </w:rPr>
              <w:t xml:space="preserve"> les principaux besoins</w:t>
            </w:r>
            <w:r w:rsidR="00586BED" w:rsidRPr="00120311">
              <w:rPr>
                <w:bCs/>
                <w:iCs/>
                <w:szCs w:val="22"/>
                <w:lang w:val="fr-CH" w:bidi="th-TH"/>
              </w:rPr>
              <w:t xml:space="preserve"> </w:t>
            </w:r>
            <w:r w:rsidRPr="00120311">
              <w:rPr>
                <w:bCs/>
                <w:iCs/>
                <w:szCs w:val="22"/>
                <w:lang w:val="fr-CH" w:bidi="th-TH"/>
              </w:rPr>
              <w:t xml:space="preserve">des utilisateurs </w:t>
            </w:r>
            <w:r w:rsidR="00E66983" w:rsidRPr="00120311">
              <w:rPr>
                <w:bCs/>
                <w:iCs/>
                <w:szCs w:val="22"/>
                <w:lang w:val="fr-CH" w:bidi="th-TH"/>
              </w:rPr>
              <w:t>de l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="00E66983" w:rsidRPr="00120311">
              <w:rPr>
                <w:bCs/>
                <w:iCs/>
                <w:szCs w:val="22"/>
                <w:lang w:val="fr-CH" w:bidi="th-TH"/>
              </w:rPr>
              <w:t xml:space="preserve">information </w:t>
            </w:r>
            <w:r w:rsidRPr="00120311">
              <w:rPr>
                <w:bCs/>
                <w:iCs/>
                <w:szCs w:val="22"/>
                <w:lang w:val="fr-CH" w:bidi="th-TH"/>
              </w:rPr>
              <w:t xml:space="preserve">en matière de brevets, principaux utilisateurs du portail sur la situation juridique, </w:t>
            </w:r>
            <w:r w:rsidR="00052C24" w:rsidRPr="00120311">
              <w:rPr>
                <w:bCs/>
                <w:iCs/>
                <w:szCs w:val="22"/>
                <w:lang w:val="fr-CH" w:bidi="th-TH"/>
              </w:rPr>
              <w:t>ci</w:t>
            </w:r>
            <w:r w:rsidR="00751A1A">
              <w:rPr>
                <w:bCs/>
                <w:iCs/>
                <w:szCs w:val="22"/>
                <w:lang w:val="fr-CH" w:bidi="th-TH"/>
              </w:rPr>
              <w:t>-</w:t>
            </w:r>
            <w:r w:rsidR="00052C24" w:rsidRPr="00120311">
              <w:rPr>
                <w:bCs/>
                <w:iCs/>
                <w:szCs w:val="22"/>
                <w:lang w:val="fr-CH" w:bidi="th-TH"/>
              </w:rPr>
              <w:t xml:space="preserve">après dénommé </w:t>
            </w:r>
            <w:r w:rsidR="00751A1A">
              <w:rPr>
                <w:bCs/>
                <w:iCs/>
                <w:szCs w:val="22"/>
                <w:lang w:val="fr-CH" w:bidi="th-TH"/>
              </w:rPr>
              <w:t>“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l</w:t>
            </w:r>
            <w:r w:rsidR="00052C24" w:rsidRPr="00120311">
              <w:rPr>
                <w:bCs/>
                <w:iCs/>
                <w:szCs w:val="22"/>
                <w:lang w:val="fr-CH" w:bidi="th-TH"/>
              </w:rPr>
              <w:t>e portai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l</w:t>
            </w:r>
            <w:r w:rsidR="00751A1A">
              <w:rPr>
                <w:bCs/>
                <w:iCs/>
                <w:szCs w:val="22"/>
                <w:lang w:val="fr-CH" w:bidi="th-TH"/>
              </w:rPr>
              <w:t>”</w:t>
            </w:r>
            <w:r w:rsidR="00052C24" w:rsidRPr="00120311">
              <w:rPr>
                <w:bCs/>
                <w:iCs/>
                <w:szCs w:val="22"/>
                <w:lang w:val="fr-CH" w:bidi="th-TH"/>
              </w:rPr>
              <w:t xml:space="preserve">, un expert en </w:t>
            </w:r>
            <w:r w:rsidR="00A80BCE" w:rsidRPr="00120311">
              <w:rPr>
                <w:bCs/>
                <w:iCs/>
                <w:szCs w:val="22"/>
                <w:lang w:val="fr-CH" w:bidi="th-TH"/>
              </w:rPr>
              <w:t>communication</w:t>
            </w:r>
            <w:r w:rsidR="00943B22" w:rsidRPr="00120311">
              <w:rPr>
                <w:bCs/>
                <w:iCs/>
                <w:szCs w:val="22"/>
                <w:lang w:val="fr-CH" w:bidi="th-TH"/>
              </w:rPr>
              <w:t xml:space="preserve"> a été recruté pour réaliser une analyse détaillée des besoins et lacunes, </w:t>
            </w:r>
            <w:r w:rsidR="00E66983" w:rsidRPr="00120311">
              <w:rPr>
                <w:bCs/>
                <w:iCs/>
                <w:szCs w:val="22"/>
                <w:lang w:val="fr-CH" w:bidi="th-TH"/>
              </w:rPr>
              <w:t>notamment en</w:t>
            </w:r>
            <w:r w:rsidR="0061248C" w:rsidRPr="00120311">
              <w:rPr>
                <w:bCs/>
                <w:iCs/>
                <w:szCs w:val="22"/>
                <w:lang w:val="fr-CH" w:bidi="th-TH"/>
              </w:rPr>
              <w:t xml:space="preserve"> recueillant</w:t>
            </w:r>
            <w:r w:rsidR="00943B22" w:rsidRPr="00120311">
              <w:rPr>
                <w:bCs/>
                <w:iCs/>
                <w:szCs w:val="22"/>
                <w:lang w:val="fr-CH" w:bidi="th-TH"/>
              </w:rPr>
              <w:t xml:space="preserve"> les commentaires des utilisateurs du portail au moyen d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="00943B22" w:rsidRPr="00120311">
              <w:rPr>
                <w:bCs/>
                <w:iCs/>
                <w:szCs w:val="22"/>
                <w:lang w:val="fr-CH" w:bidi="th-TH"/>
              </w:rPr>
              <w:t>une enquête et d</w:t>
            </w:r>
            <w:r w:rsidR="00751A1A">
              <w:rPr>
                <w:bCs/>
                <w:iCs/>
                <w:szCs w:val="22"/>
                <w:lang w:val="fr-CH" w:bidi="th-TH"/>
              </w:rPr>
              <w:t>’</w:t>
            </w:r>
            <w:r w:rsidR="00943B22" w:rsidRPr="00120311">
              <w:rPr>
                <w:bCs/>
                <w:iCs/>
                <w:szCs w:val="22"/>
                <w:lang w:val="fr-CH" w:bidi="th-TH"/>
              </w:rPr>
              <w:t>entretiens cibl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és</w:t>
            </w:r>
            <w:r w:rsidR="00916BDB">
              <w:rPr>
                <w:bCs/>
                <w:iCs/>
                <w:szCs w:val="22"/>
                <w:lang w:val="fr-CH" w:bidi="th-TH"/>
              </w:rPr>
              <w:t xml:space="preserve">.  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Le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 xml:space="preserve"> prestataire a étudié plus de 200 réponses de 20 pays</w:t>
            </w:r>
            <w:r w:rsidR="00B445C8" w:rsidRPr="00120311">
              <w:rPr>
                <w:bCs/>
                <w:iCs/>
                <w:szCs w:val="22"/>
                <w:lang w:val="fr-CH" w:bidi="th-TH"/>
              </w:rPr>
              <w:t>, sur la base desquelles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 xml:space="preserve"> </w:t>
            </w:r>
            <w:r w:rsidR="00E66983" w:rsidRPr="00120311">
              <w:rPr>
                <w:bCs/>
                <w:iCs/>
                <w:szCs w:val="22"/>
                <w:lang w:val="fr-CH" w:bidi="th-TH"/>
              </w:rPr>
              <w:t xml:space="preserve">il 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>a émis une série de recommandations visant à améliorer le porta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il</w:t>
            </w:r>
            <w:r w:rsidR="00916BDB">
              <w:rPr>
                <w:bCs/>
                <w:iCs/>
                <w:szCs w:val="22"/>
                <w:lang w:val="fr-CH" w:bidi="th-TH"/>
              </w:rPr>
              <w:t xml:space="preserve">.  </w:t>
            </w:r>
            <w:r w:rsidR="00916BDB" w:rsidRPr="00120311">
              <w:rPr>
                <w:bCs/>
                <w:iCs/>
                <w:szCs w:val="22"/>
                <w:lang w:val="fr-CH" w:bidi="th-TH"/>
              </w:rPr>
              <w:t>Pa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 xml:space="preserve">rallèlement, </w:t>
            </w:r>
            <w:r w:rsidR="00443C0F" w:rsidRPr="00120311">
              <w:rPr>
                <w:bCs/>
                <w:iCs/>
                <w:szCs w:val="22"/>
                <w:lang w:val="fr-CH" w:bidi="th-TH"/>
              </w:rPr>
              <w:t>les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 xml:space="preserve"> procédures visant à recruter un prestataire </w:t>
            </w:r>
            <w:r w:rsidR="000A7EF8" w:rsidRPr="00120311">
              <w:rPr>
                <w:bCs/>
                <w:iCs/>
                <w:szCs w:val="22"/>
                <w:lang w:val="fr-CH" w:bidi="th-TH"/>
              </w:rPr>
              <w:t>chargé de</w:t>
            </w:r>
            <w:r w:rsidR="002B70F9" w:rsidRPr="00120311">
              <w:rPr>
                <w:bCs/>
                <w:iCs/>
                <w:szCs w:val="22"/>
                <w:lang w:val="fr-CH" w:bidi="th-TH"/>
              </w:rPr>
              <w:t xml:space="preserve"> concevoir</w:t>
            </w:r>
            <w:r w:rsidR="000A7EF8" w:rsidRPr="00120311">
              <w:rPr>
                <w:bCs/>
                <w:iCs/>
                <w:szCs w:val="22"/>
                <w:lang w:val="fr-CH" w:bidi="th-TH"/>
              </w:rPr>
              <w:t xml:space="preserve"> une nouvelle interface </w:t>
            </w:r>
            <w:r w:rsidR="00443C0F" w:rsidRPr="00120311">
              <w:rPr>
                <w:bCs/>
                <w:iCs/>
                <w:szCs w:val="22"/>
                <w:lang w:val="fr-CH" w:bidi="th-TH"/>
              </w:rPr>
              <w:t>ont abouti</w:t>
            </w:r>
            <w:r w:rsidR="000A7EF8" w:rsidRPr="00120311">
              <w:rPr>
                <w:bCs/>
                <w:iCs/>
                <w:szCs w:val="22"/>
                <w:lang w:val="fr-CH" w:bidi="th-TH"/>
              </w:rPr>
              <w:t xml:space="preserve"> en 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septembre</w:t>
            </w:r>
            <w:r w:rsidR="00751A1A">
              <w:rPr>
                <w:bCs/>
                <w:iCs/>
                <w:szCs w:val="22"/>
                <w:lang w:val="fr-CH" w:bidi="th-TH"/>
              </w:rPr>
              <w:t> </w:t>
            </w:r>
            <w:r w:rsidR="00751A1A" w:rsidRPr="00120311">
              <w:rPr>
                <w:bCs/>
                <w:iCs/>
                <w:szCs w:val="22"/>
                <w:lang w:val="fr-CH" w:bidi="th-TH"/>
              </w:rPr>
              <w:t>20</w:t>
            </w:r>
            <w:r w:rsidR="000A7EF8" w:rsidRPr="00120311">
              <w:rPr>
                <w:bCs/>
                <w:iCs/>
                <w:szCs w:val="22"/>
                <w:lang w:val="fr-CH" w:bidi="th-TH"/>
              </w:rPr>
              <w:t>16</w:t>
            </w:r>
            <w:r w:rsidR="00A80BCE" w:rsidRPr="00120311">
              <w:rPr>
                <w:bCs/>
                <w:iCs/>
                <w:szCs w:val="22"/>
                <w:lang w:val="fr-CH" w:bidi="th-TH"/>
              </w:rPr>
              <w:t xml:space="preserve">. </w:t>
            </w:r>
            <w:r w:rsidR="001045DE">
              <w:rPr>
                <w:bCs/>
                <w:iCs/>
                <w:szCs w:val="22"/>
                <w:lang w:val="fr-CH" w:bidi="th-TH"/>
              </w:rPr>
              <w:t xml:space="preserve"> </w:t>
            </w:r>
          </w:p>
          <w:p w:rsidR="00A80BCE" w:rsidRPr="00120311" w:rsidRDefault="00A80BCE" w:rsidP="00EF1FF2">
            <w:pPr>
              <w:rPr>
                <w:bCs/>
                <w:iCs/>
                <w:szCs w:val="22"/>
                <w:lang w:val="fr-CH" w:bidi="th-TH"/>
              </w:rPr>
            </w:pPr>
          </w:p>
          <w:p w:rsidR="00A80BCE" w:rsidRPr="00120311" w:rsidRDefault="00F92732" w:rsidP="00EF1FF2">
            <w:pPr>
              <w:rPr>
                <w:bCs/>
                <w:highlight w:val="yellow"/>
                <w:lang w:val="fr-CH"/>
              </w:rPr>
            </w:pPr>
            <w:r w:rsidRPr="00120311">
              <w:rPr>
                <w:bCs/>
                <w:lang w:val="fr-CH"/>
              </w:rPr>
              <w:t>Compte tenu de l</w:t>
            </w:r>
            <w:r w:rsidR="000A7EF8" w:rsidRPr="00120311">
              <w:rPr>
                <w:bCs/>
                <w:lang w:val="fr-CH"/>
              </w:rPr>
              <w:t xml:space="preserve">a nécessité de mettre au point une interface plus </w:t>
            </w:r>
            <w:r w:rsidR="00443C0F" w:rsidRPr="00120311">
              <w:rPr>
                <w:bCs/>
                <w:lang w:val="fr-CH"/>
              </w:rPr>
              <w:t>simple à utiliser</w:t>
            </w:r>
            <w:r w:rsidR="000A7EF8" w:rsidRPr="00120311">
              <w:rPr>
                <w:bCs/>
                <w:lang w:val="fr-CH"/>
              </w:rPr>
              <w:t xml:space="preserve"> ainsi que des fonctionnalités de recherche </w:t>
            </w:r>
            <w:r w:rsidRPr="00120311">
              <w:rPr>
                <w:bCs/>
                <w:lang w:val="fr-CH"/>
              </w:rPr>
              <w:t xml:space="preserve">avancées, </w:t>
            </w:r>
            <w:r w:rsidR="00C97F57" w:rsidRPr="00120311">
              <w:rPr>
                <w:bCs/>
                <w:lang w:val="fr-CH"/>
              </w:rPr>
              <w:t>diverses solutions techniques</w:t>
            </w:r>
            <w:r w:rsidRPr="00120311">
              <w:rPr>
                <w:bCs/>
                <w:lang w:val="fr-CH"/>
              </w:rPr>
              <w:t xml:space="preserve"> ont été étudié</w:t>
            </w:r>
            <w:r w:rsidR="00916BDB" w:rsidRPr="00120311">
              <w:rPr>
                <w:bCs/>
                <w:lang w:val="fr-CH"/>
              </w:rPr>
              <w:t>es</w:t>
            </w:r>
            <w:r w:rsidR="00916BDB">
              <w:rPr>
                <w:bCs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De</w:t>
            </w:r>
            <w:r w:rsidR="00C97F57" w:rsidRPr="00120311">
              <w:rPr>
                <w:bCs/>
                <w:lang w:val="fr-CH"/>
              </w:rPr>
              <w:t>s consultations ont été menée</w:t>
            </w:r>
            <w:r w:rsidR="008F7B35" w:rsidRPr="00120311">
              <w:rPr>
                <w:bCs/>
                <w:lang w:val="fr-CH"/>
              </w:rPr>
              <w:t>s</w:t>
            </w:r>
            <w:r w:rsidR="00C97F57" w:rsidRPr="00120311">
              <w:rPr>
                <w:bCs/>
                <w:lang w:val="fr-CH"/>
              </w:rPr>
              <w:t xml:space="preserve"> </w:t>
            </w:r>
            <w:r w:rsidR="00067B29" w:rsidRPr="00120311">
              <w:rPr>
                <w:bCs/>
                <w:lang w:val="fr-CH"/>
              </w:rPr>
              <w:t>auprès de diverses parties prenantes</w:t>
            </w:r>
            <w:r w:rsidR="00C97F57" w:rsidRPr="00120311">
              <w:rPr>
                <w:bCs/>
                <w:lang w:val="fr-CH"/>
              </w:rPr>
              <w:t xml:space="preserve">, </w:t>
            </w:r>
            <w:r w:rsidR="00751A1A">
              <w:rPr>
                <w:bCs/>
                <w:lang w:val="fr-CH"/>
              </w:rPr>
              <w:t>y compris</w:t>
            </w:r>
            <w:r w:rsidR="00C97F57" w:rsidRPr="00120311">
              <w:rPr>
                <w:bCs/>
                <w:lang w:val="fr-CH"/>
              </w:rPr>
              <w:t xml:space="preserve"> le </w:t>
            </w:r>
            <w:r w:rsidR="00C97F57" w:rsidRPr="00120311">
              <w:rPr>
                <w:bCs/>
                <w:lang w:val="fr-CH"/>
              </w:rPr>
              <w:lastRenderedPageBreak/>
              <w:t xml:space="preserve">Groupe des </w:t>
            </w:r>
            <w:r w:rsidR="00751A1A">
              <w:rPr>
                <w:bCs/>
                <w:lang w:val="fr-CH"/>
              </w:rPr>
              <w:t>Nations Unies</w:t>
            </w:r>
            <w:r w:rsidR="00C97F57" w:rsidRPr="00120311">
              <w:rPr>
                <w:bCs/>
                <w:lang w:val="fr-CH"/>
              </w:rPr>
              <w:t xml:space="preserve"> sur la société de l</w:t>
            </w:r>
            <w:r w:rsidR="00751A1A">
              <w:rPr>
                <w:bCs/>
                <w:lang w:val="fr-CH"/>
              </w:rPr>
              <w:t>’</w:t>
            </w:r>
            <w:r w:rsidR="00C97F57" w:rsidRPr="00120311">
              <w:rPr>
                <w:bCs/>
                <w:lang w:val="fr-CH"/>
              </w:rPr>
              <w:t>information (UNGIS) et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8F7B35" w:rsidRPr="00120311">
              <w:rPr>
                <w:bCs/>
                <w:lang w:val="fr-CH"/>
              </w:rPr>
              <w:t>le Bureau du Conseiller juridique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C97F57" w:rsidRPr="00120311">
              <w:rPr>
                <w:bCs/>
                <w:lang w:val="fr-CH"/>
              </w:rPr>
              <w:t>sur l</w:t>
            </w:r>
            <w:r w:rsidR="00751A1A">
              <w:rPr>
                <w:bCs/>
                <w:lang w:val="fr-CH"/>
              </w:rPr>
              <w:t>’</w:t>
            </w:r>
            <w:r w:rsidR="00C97F57" w:rsidRPr="00120311">
              <w:rPr>
                <w:bCs/>
                <w:lang w:val="fr-CH"/>
              </w:rPr>
              <w:t>utilisation de données internationales officielles sur les frontières pour l</w:t>
            </w:r>
            <w:r w:rsidR="00751A1A">
              <w:rPr>
                <w:bCs/>
                <w:lang w:val="fr-CH"/>
              </w:rPr>
              <w:t>’</w:t>
            </w:r>
            <w:r w:rsidR="00C97F57" w:rsidRPr="00120311">
              <w:rPr>
                <w:bCs/>
                <w:lang w:val="fr-CH"/>
              </w:rPr>
              <w:t xml:space="preserve">élaboration de la nouvelle carte, ainsi que la </w:t>
            </w:r>
            <w:r w:rsidR="00953FDB" w:rsidRPr="00120311">
              <w:rPr>
                <w:bCs/>
                <w:lang w:val="fr-CH"/>
              </w:rPr>
              <w:t>D</w:t>
            </w:r>
            <w:r w:rsidR="00C97F57" w:rsidRPr="00120311">
              <w:rPr>
                <w:bCs/>
                <w:lang w:val="fr-CH"/>
              </w:rPr>
              <w:t>ivision des communications de l</w:t>
            </w:r>
            <w:r w:rsidR="00751A1A">
              <w:rPr>
                <w:bCs/>
                <w:lang w:val="fr-CH"/>
              </w:rPr>
              <w:t>’</w:t>
            </w:r>
            <w:r w:rsidR="00C97F57" w:rsidRPr="00120311">
              <w:rPr>
                <w:bCs/>
                <w:lang w:val="fr-CH"/>
              </w:rPr>
              <w:t xml:space="preserve">OMPI et le </w:t>
            </w:r>
            <w:r w:rsidR="00953FDB" w:rsidRPr="00120311">
              <w:rPr>
                <w:bCs/>
                <w:lang w:val="fr-CH"/>
              </w:rPr>
              <w:t>Département des technologies de l</w:t>
            </w:r>
            <w:r w:rsidR="00751A1A">
              <w:rPr>
                <w:bCs/>
                <w:lang w:val="fr-CH"/>
              </w:rPr>
              <w:t>’</w:t>
            </w:r>
            <w:r w:rsidR="00953FDB" w:rsidRPr="00120311">
              <w:rPr>
                <w:bCs/>
                <w:lang w:val="fr-CH"/>
              </w:rPr>
              <w:t>information et de la communication</w:t>
            </w:r>
            <w:r w:rsidR="008F7B35" w:rsidRPr="00120311">
              <w:rPr>
                <w:bCs/>
                <w:lang w:val="fr-CH"/>
              </w:rPr>
              <w:t xml:space="preserve"> sur les </w:t>
            </w:r>
            <w:r w:rsidRPr="00120311">
              <w:rPr>
                <w:bCs/>
                <w:lang w:val="fr-CH"/>
              </w:rPr>
              <w:t>possibilités en matière</w:t>
            </w:r>
            <w:r w:rsidR="008F7B35" w:rsidRPr="00120311">
              <w:rPr>
                <w:bCs/>
                <w:lang w:val="fr-CH"/>
              </w:rPr>
              <w:t xml:space="preserve"> de mise en œuvre technique, notamment</w:t>
            </w:r>
            <w:r w:rsidR="00953FDB" w:rsidRPr="00120311">
              <w:rPr>
                <w:bCs/>
                <w:lang w:val="fr-CH"/>
              </w:rPr>
              <w:t xml:space="preserve"> </w:t>
            </w:r>
            <w:r w:rsidR="008F7B35" w:rsidRPr="00120311">
              <w:rPr>
                <w:bCs/>
                <w:lang w:val="fr-CH"/>
              </w:rPr>
              <w:t xml:space="preserve">un logiciel </w:t>
            </w:r>
            <w:r w:rsidRPr="00120311">
              <w:rPr>
                <w:bCs/>
                <w:lang w:val="fr-CH"/>
              </w:rPr>
              <w:t xml:space="preserve">potentiel </w:t>
            </w:r>
            <w:r w:rsidR="0000641B" w:rsidRPr="00120311">
              <w:rPr>
                <w:bCs/>
                <w:lang w:val="fr-CH"/>
              </w:rPr>
              <w:t>pour visualiser</w:t>
            </w:r>
            <w:r w:rsidR="008F7B35" w:rsidRPr="00120311">
              <w:rPr>
                <w:bCs/>
                <w:lang w:val="fr-CH"/>
              </w:rPr>
              <w:t xml:space="preserve"> </w:t>
            </w:r>
            <w:r w:rsidR="0000641B" w:rsidRPr="00120311">
              <w:rPr>
                <w:bCs/>
                <w:lang w:val="fr-CH"/>
              </w:rPr>
              <w:t>les</w:t>
            </w:r>
            <w:r w:rsidR="008F7B35" w:rsidRPr="00120311">
              <w:rPr>
                <w:bCs/>
                <w:lang w:val="fr-CH"/>
              </w:rPr>
              <w:t xml:space="preserve"> cartes conformément aux politiques de l</w:t>
            </w:r>
            <w:r w:rsidR="00751A1A">
              <w:rPr>
                <w:bCs/>
                <w:lang w:val="fr-CH"/>
              </w:rPr>
              <w:t>’</w:t>
            </w:r>
            <w:r w:rsidR="008F7B35" w:rsidRPr="00120311">
              <w:rPr>
                <w:bCs/>
                <w:lang w:val="fr-CH"/>
              </w:rPr>
              <w:t>organisati</w:t>
            </w:r>
            <w:r w:rsidR="00916BDB" w:rsidRPr="00120311">
              <w:rPr>
                <w:bCs/>
                <w:lang w:val="fr-CH"/>
              </w:rPr>
              <w:t>on</w:t>
            </w:r>
            <w:r w:rsidR="00916BDB">
              <w:rPr>
                <w:bCs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Ce</w:t>
            </w:r>
            <w:r w:rsidR="00B60E11" w:rsidRPr="00120311">
              <w:rPr>
                <w:bCs/>
                <w:lang w:val="fr-CH"/>
              </w:rPr>
              <w:t xml:space="preserve">s consultations ont </w:t>
            </w:r>
            <w:r w:rsidR="00C7401C" w:rsidRPr="00120311">
              <w:rPr>
                <w:bCs/>
                <w:lang w:val="fr-CH"/>
              </w:rPr>
              <w:t>abouti</w:t>
            </w:r>
            <w:r w:rsidR="00B60E11" w:rsidRPr="00120311">
              <w:rPr>
                <w:bCs/>
                <w:lang w:val="fr-CH"/>
              </w:rPr>
              <w:t xml:space="preserve"> à la signature d</w:t>
            </w:r>
            <w:r w:rsidR="00751A1A">
              <w:rPr>
                <w:bCs/>
                <w:lang w:val="fr-CH"/>
              </w:rPr>
              <w:t>’</w:t>
            </w:r>
            <w:r w:rsidR="00B60E11" w:rsidRPr="00120311">
              <w:rPr>
                <w:bCs/>
                <w:lang w:val="fr-CH"/>
              </w:rPr>
              <w:t>un accord avec l</w:t>
            </w:r>
            <w:r w:rsidR="00751A1A">
              <w:rPr>
                <w:bCs/>
                <w:lang w:val="fr-CH"/>
              </w:rPr>
              <w:t>’</w:t>
            </w:r>
            <w:r w:rsidR="00B60E11" w:rsidRPr="00120311">
              <w:rPr>
                <w:bCs/>
                <w:lang w:val="fr-CH"/>
              </w:rPr>
              <w:t>UNGIS sur l</w:t>
            </w:r>
            <w:r w:rsidR="00751A1A">
              <w:rPr>
                <w:bCs/>
                <w:lang w:val="fr-CH"/>
              </w:rPr>
              <w:t>’</w:t>
            </w:r>
            <w:r w:rsidR="00B60E11" w:rsidRPr="00120311">
              <w:rPr>
                <w:bCs/>
                <w:lang w:val="fr-CH"/>
              </w:rPr>
              <w:t xml:space="preserve">utilisation des données internationales sur les frontières et à la </w:t>
            </w:r>
            <w:r w:rsidR="001E3294" w:rsidRPr="00120311">
              <w:rPr>
                <w:bCs/>
                <w:lang w:val="fr-CH"/>
              </w:rPr>
              <w:t>définition</w:t>
            </w:r>
            <w:r w:rsidR="00B60E11" w:rsidRPr="00120311">
              <w:rPr>
                <w:bCs/>
                <w:lang w:val="fr-CH"/>
              </w:rPr>
              <w:t xml:space="preserve"> d</w:t>
            </w:r>
            <w:r w:rsidR="00751A1A">
              <w:rPr>
                <w:bCs/>
                <w:lang w:val="fr-CH"/>
              </w:rPr>
              <w:t>’</w:t>
            </w:r>
            <w:r w:rsidR="00B60E11" w:rsidRPr="00120311">
              <w:rPr>
                <w:bCs/>
                <w:lang w:val="fr-CH"/>
              </w:rPr>
              <w:t>une</w:t>
            </w:r>
            <w:r w:rsidR="00C7401C" w:rsidRPr="00120311">
              <w:rPr>
                <w:bCs/>
                <w:lang w:val="fr-CH"/>
              </w:rPr>
              <w:t xml:space="preserve"> solution</w:t>
            </w:r>
            <w:r w:rsidR="00B60E11" w:rsidRPr="00120311">
              <w:rPr>
                <w:bCs/>
                <w:lang w:val="fr-CH"/>
              </w:rPr>
              <w:t xml:space="preserve"> </w:t>
            </w:r>
            <w:r w:rsidR="001E3294" w:rsidRPr="00120311">
              <w:rPr>
                <w:bCs/>
                <w:lang w:val="fr-CH"/>
              </w:rPr>
              <w:t>rentable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BA50B1" w:rsidRPr="00120311">
              <w:rPr>
                <w:bCs/>
                <w:lang w:val="fr-CH"/>
              </w:rPr>
              <w:t xml:space="preserve">pour </w:t>
            </w:r>
            <w:r w:rsidR="001E3294" w:rsidRPr="00120311">
              <w:rPr>
                <w:bCs/>
                <w:lang w:val="fr-CH"/>
              </w:rPr>
              <w:t>concevoir</w:t>
            </w:r>
            <w:r w:rsidR="00BA50B1" w:rsidRPr="00120311">
              <w:rPr>
                <w:bCs/>
                <w:lang w:val="fr-CH"/>
              </w:rPr>
              <w:t xml:space="preserve"> la nouvelle interface </w:t>
            </w:r>
            <w:r w:rsidR="00C7401C" w:rsidRPr="00120311">
              <w:rPr>
                <w:bCs/>
                <w:lang w:val="fr-CH"/>
              </w:rPr>
              <w:t>à l</w:t>
            </w:r>
            <w:r w:rsidR="00751A1A">
              <w:rPr>
                <w:bCs/>
                <w:lang w:val="fr-CH"/>
              </w:rPr>
              <w:t>’</w:t>
            </w:r>
            <w:r w:rsidR="00C7401C" w:rsidRPr="00120311">
              <w:rPr>
                <w:bCs/>
                <w:lang w:val="fr-CH"/>
              </w:rPr>
              <w:t>aide d</w:t>
            </w:r>
            <w:r w:rsidR="00751A1A">
              <w:rPr>
                <w:bCs/>
                <w:lang w:val="fr-CH"/>
              </w:rPr>
              <w:t>’</w:t>
            </w:r>
            <w:r w:rsidR="00C7401C" w:rsidRPr="00120311">
              <w:rPr>
                <w:bCs/>
                <w:lang w:val="fr-CH"/>
              </w:rPr>
              <w:t>un</w:t>
            </w:r>
            <w:r w:rsidR="00BA50B1" w:rsidRPr="00120311">
              <w:rPr>
                <w:bCs/>
                <w:lang w:val="fr-CH"/>
              </w:rPr>
              <w:t xml:space="preserve"> logiciel </w:t>
            </w:r>
            <w:r w:rsidR="00DC2188" w:rsidRPr="00120311">
              <w:rPr>
                <w:bCs/>
                <w:lang w:val="fr-CH"/>
              </w:rPr>
              <w:t>basé sur l</w:t>
            </w:r>
            <w:r w:rsidR="00751A1A">
              <w:rPr>
                <w:bCs/>
                <w:lang w:val="fr-CH"/>
              </w:rPr>
              <w:t>’</w:t>
            </w:r>
            <w:r w:rsidR="00DC2188" w:rsidRPr="00120311">
              <w:rPr>
                <w:bCs/>
                <w:lang w:val="fr-CH"/>
              </w:rPr>
              <w:t>informatique en</w:t>
            </w:r>
            <w:r w:rsidR="00BA50B1" w:rsidRPr="00120311">
              <w:rPr>
                <w:bCs/>
                <w:lang w:val="fr-CH"/>
              </w:rPr>
              <w:t xml:space="preserve"> nuage </w:t>
            </w:r>
            <w:r w:rsidR="00C050E4" w:rsidRPr="00120311">
              <w:rPr>
                <w:bCs/>
                <w:lang w:val="fr-CH"/>
              </w:rPr>
              <w:t>couramment utilisé dans d</w:t>
            </w:r>
            <w:r w:rsidR="00751A1A">
              <w:rPr>
                <w:bCs/>
                <w:lang w:val="fr-CH"/>
              </w:rPr>
              <w:t>’</w:t>
            </w:r>
            <w:r w:rsidR="00C050E4" w:rsidRPr="00120311">
              <w:rPr>
                <w:bCs/>
                <w:lang w:val="fr-CH"/>
              </w:rPr>
              <w:t xml:space="preserve">autres organisations des </w:t>
            </w:r>
            <w:r w:rsidR="00751A1A">
              <w:rPr>
                <w:bCs/>
                <w:lang w:val="fr-CH"/>
              </w:rPr>
              <w:t>Nations Unies</w:t>
            </w:r>
            <w:r w:rsidR="00A80BCE" w:rsidRPr="00120311">
              <w:rPr>
                <w:b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bCs/>
                <w:lang w:val="fr-CH"/>
              </w:rPr>
            </w:pPr>
          </w:p>
          <w:p w:rsidR="00751A1A" w:rsidRDefault="0061248C" w:rsidP="00EF1FF2">
            <w:pPr>
              <w:rPr>
                <w:rStyle w:val="null1"/>
                <w:lang w:val="fr-CH"/>
              </w:rPr>
            </w:pPr>
            <w:r w:rsidRPr="00120311">
              <w:rPr>
                <w:bCs/>
                <w:lang w:val="fr-CH"/>
              </w:rPr>
              <w:t>Parallèlement</w:t>
            </w:r>
            <w:r w:rsidR="00A80BCE" w:rsidRPr="00120311">
              <w:rPr>
                <w:bCs/>
                <w:lang w:val="fr-CH"/>
              </w:rPr>
              <w:t xml:space="preserve">, </w:t>
            </w:r>
            <w:r w:rsidR="00C050E4" w:rsidRPr="00120311">
              <w:rPr>
                <w:bCs/>
                <w:lang w:val="fr-CH"/>
              </w:rPr>
              <w:t>un expert de l</w:t>
            </w:r>
            <w:r w:rsidR="00751A1A">
              <w:rPr>
                <w:bCs/>
                <w:lang w:val="fr-CH"/>
              </w:rPr>
              <w:t>’</w:t>
            </w:r>
            <w:r w:rsidR="00C050E4" w:rsidRPr="00120311">
              <w:rPr>
                <w:bCs/>
                <w:lang w:val="fr-CH"/>
              </w:rPr>
              <w:t>information en matière de brevets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C050E4" w:rsidRPr="00120311">
              <w:rPr>
                <w:bCs/>
                <w:lang w:val="fr-CH"/>
              </w:rPr>
              <w:t xml:space="preserve">a été </w:t>
            </w:r>
            <w:r w:rsidR="00F92601" w:rsidRPr="00120311">
              <w:rPr>
                <w:bCs/>
                <w:lang w:val="fr-CH"/>
              </w:rPr>
              <w:t xml:space="preserve">engagé </w:t>
            </w:r>
            <w:r w:rsidR="00751A1A" w:rsidRPr="00120311">
              <w:rPr>
                <w:bCs/>
                <w:lang w:val="fr-CH"/>
              </w:rPr>
              <w:t>en</w:t>
            </w:r>
            <w:r w:rsidR="00751A1A">
              <w:rPr>
                <w:bCs/>
                <w:lang w:val="fr-CH"/>
              </w:rPr>
              <w:t> </w:t>
            </w:r>
            <w:r w:rsidR="00751A1A" w:rsidRPr="00120311">
              <w:rPr>
                <w:bCs/>
                <w:lang w:val="fr-CH"/>
              </w:rPr>
              <w:t>2017</w:t>
            </w:r>
            <w:r w:rsidR="00C050E4" w:rsidRPr="00120311">
              <w:rPr>
                <w:bCs/>
                <w:lang w:val="fr-CH"/>
              </w:rPr>
              <w:t xml:space="preserve"> afin d</w:t>
            </w:r>
            <w:r w:rsidR="00751A1A">
              <w:rPr>
                <w:bCs/>
                <w:lang w:val="fr-CH"/>
              </w:rPr>
              <w:t>’</w:t>
            </w:r>
            <w:r w:rsidR="00C050E4" w:rsidRPr="00120311">
              <w:rPr>
                <w:bCs/>
                <w:lang w:val="fr-CH"/>
              </w:rPr>
              <w:t xml:space="preserve">examiner les informations existantes sur le portail et de </w:t>
            </w:r>
            <w:r w:rsidR="001E3294" w:rsidRPr="00120311">
              <w:rPr>
                <w:bCs/>
                <w:lang w:val="fr-CH"/>
              </w:rPr>
              <w:t xml:space="preserve">les </w:t>
            </w:r>
            <w:r w:rsidR="00EE1DCE" w:rsidRPr="00120311">
              <w:rPr>
                <w:bCs/>
                <w:lang w:val="fr-CH"/>
              </w:rPr>
              <w:t>mettre à jour</w:t>
            </w:r>
            <w:r w:rsidR="00F92601" w:rsidRPr="00120311">
              <w:rPr>
                <w:bCs/>
                <w:lang w:val="fr-CH"/>
              </w:rPr>
              <w:t xml:space="preserve"> s</w:t>
            </w:r>
            <w:r w:rsidR="00751A1A">
              <w:rPr>
                <w:bCs/>
                <w:lang w:val="fr-CH"/>
              </w:rPr>
              <w:t>’</w:t>
            </w:r>
            <w:r w:rsidR="00F92601" w:rsidRPr="00120311">
              <w:rPr>
                <w:bCs/>
                <w:lang w:val="fr-CH"/>
              </w:rPr>
              <w:t>il y a li</w:t>
            </w:r>
            <w:r w:rsidR="00916BDB" w:rsidRPr="00120311">
              <w:rPr>
                <w:bCs/>
                <w:lang w:val="fr-CH"/>
              </w:rPr>
              <w:t>eu</w:t>
            </w:r>
            <w:r w:rsidR="00916BDB">
              <w:rPr>
                <w:bCs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L</w:t>
            </w:r>
            <w:r w:rsidR="00916BDB">
              <w:rPr>
                <w:bCs/>
                <w:lang w:val="fr-CH"/>
              </w:rPr>
              <w:t>’</w:t>
            </w:r>
            <w:r w:rsidR="00916BDB" w:rsidRPr="00120311">
              <w:rPr>
                <w:bCs/>
                <w:lang w:val="fr-CH"/>
              </w:rPr>
              <w:t>e</w:t>
            </w:r>
            <w:r w:rsidR="001E3294" w:rsidRPr="00120311">
              <w:rPr>
                <w:bCs/>
                <w:lang w:val="fr-CH"/>
              </w:rPr>
              <w:t xml:space="preserve">xpert a </w:t>
            </w:r>
            <w:r w:rsidR="00EE1DCE" w:rsidRPr="00120311">
              <w:rPr>
                <w:bCs/>
                <w:lang w:val="fr-CH"/>
              </w:rPr>
              <w:t>mis à jour</w:t>
            </w:r>
            <w:r w:rsidR="001E3294" w:rsidRPr="00120311">
              <w:rPr>
                <w:bCs/>
                <w:lang w:val="fr-CH"/>
              </w:rPr>
              <w:t xml:space="preserve"> les données</w:t>
            </w:r>
            <w:r w:rsidR="00EE1DCE" w:rsidRPr="00120311">
              <w:rPr>
                <w:bCs/>
                <w:lang w:val="fr-CH"/>
              </w:rPr>
              <w:t xml:space="preserve"> relatives à </w:t>
            </w:r>
            <w:r w:rsidR="001E3294" w:rsidRPr="00120311">
              <w:rPr>
                <w:bCs/>
                <w:lang w:val="fr-CH"/>
              </w:rPr>
              <w:t xml:space="preserve">plus de 160 </w:t>
            </w:r>
            <w:r w:rsidR="00EE1DCE" w:rsidRPr="00120311">
              <w:rPr>
                <w:bCs/>
                <w:lang w:val="fr-CH"/>
              </w:rPr>
              <w:t xml:space="preserve">pays </w:t>
            </w:r>
            <w:r w:rsidR="001E3294" w:rsidRPr="00120311">
              <w:rPr>
                <w:bCs/>
                <w:lang w:val="fr-CH"/>
              </w:rPr>
              <w:t xml:space="preserve">et a élaboré des </w:t>
            </w:r>
            <w:r w:rsidR="00EE1DCE" w:rsidRPr="00120311">
              <w:rPr>
                <w:bCs/>
                <w:lang w:val="fr-CH"/>
              </w:rPr>
              <w:t>pages</w:t>
            </w:r>
            <w:r w:rsidR="001E3294" w:rsidRPr="00120311">
              <w:rPr>
                <w:bCs/>
                <w:lang w:val="fr-CH"/>
              </w:rPr>
              <w:t xml:space="preserve"> d</w:t>
            </w:r>
            <w:r w:rsidR="00751A1A">
              <w:rPr>
                <w:bCs/>
                <w:lang w:val="fr-CH"/>
              </w:rPr>
              <w:t>’</w:t>
            </w:r>
            <w:r w:rsidR="001E3294" w:rsidRPr="00120311">
              <w:rPr>
                <w:bCs/>
                <w:lang w:val="fr-CH"/>
              </w:rPr>
              <w:t>aide détaillé</w:t>
            </w:r>
            <w:r w:rsidRPr="00120311">
              <w:rPr>
                <w:bCs/>
                <w:lang w:val="fr-CH"/>
              </w:rPr>
              <w:t>e</w:t>
            </w:r>
            <w:r w:rsidR="00EE1DCE" w:rsidRPr="00120311">
              <w:rPr>
                <w:bCs/>
                <w:lang w:val="fr-CH"/>
              </w:rPr>
              <w:t xml:space="preserve">s pour chacun des pays listés sur le portail </w:t>
            </w:r>
            <w:r w:rsidRPr="00120311">
              <w:rPr>
                <w:bCs/>
                <w:lang w:val="fr-CH"/>
              </w:rPr>
              <w:t>afin d</w:t>
            </w:r>
            <w:r w:rsidR="00751A1A">
              <w:rPr>
                <w:bCs/>
                <w:lang w:val="fr-CH"/>
              </w:rPr>
              <w:t>’</w:t>
            </w:r>
            <w:r w:rsidR="00BD6D4F" w:rsidRPr="00120311">
              <w:rPr>
                <w:bCs/>
                <w:lang w:val="fr-CH"/>
              </w:rPr>
              <w:t xml:space="preserve">aider les utilisateurs à </w:t>
            </w:r>
            <w:r w:rsidR="008C6523" w:rsidRPr="00120311">
              <w:rPr>
                <w:bCs/>
                <w:lang w:val="fr-CH"/>
              </w:rPr>
              <w:t>distinguer</w:t>
            </w:r>
            <w:r w:rsidR="00E275C8" w:rsidRPr="00120311">
              <w:rPr>
                <w:bCs/>
                <w:lang w:val="fr-CH"/>
              </w:rPr>
              <w:t xml:space="preserve"> les informations</w:t>
            </w:r>
            <w:r w:rsidR="00BD6D4F" w:rsidRPr="00120311">
              <w:rPr>
                <w:bCs/>
                <w:lang w:val="fr-CH"/>
              </w:rPr>
              <w:t xml:space="preserve"> relative</w:t>
            </w:r>
            <w:r w:rsidR="00E275C8" w:rsidRPr="00120311">
              <w:rPr>
                <w:bCs/>
                <w:lang w:val="fr-CH"/>
              </w:rPr>
              <w:t>s</w:t>
            </w:r>
            <w:r w:rsidR="00BD6D4F" w:rsidRPr="00120311">
              <w:rPr>
                <w:bCs/>
                <w:lang w:val="fr-CH"/>
              </w:rPr>
              <w:t xml:space="preserve"> au statut juridique disponible</w:t>
            </w:r>
            <w:r w:rsidR="00E275C8" w:rsidRPr="00120311">
              <w:rPr>
                <w:bCs/>
                <w:lang w:val="fr-CH"/>
              </w:rPr>
              <w:t>s</w:t>
            </w:r>
            <w:r w:rsidR="00BD6D4F" w:rsidRPr="00120311">
              <w:rPr>
                <w:bCs/>
                <w:lang w:val="fr-CH"/>
              </w:rPr>
              <w:t xml:space="preserve"> en ligne, </w:t>
            </w:r>
            <w:r w:rsidR="008C6523" w:rsidRPr="00120311">
              <w:rPr>
                <w:bCs/>
                <w:lang w:val="fr-CH"/>
              </w:rPr>
              <w:t>accompagnées d</w:t>
            </w:r>
            <w:r w:rsidR="00751A1A">
              <w:rPr>
                <w:bCs/>
                <w:lang w:val="fr-CH"/>
              </w:rPr>
              <w:t>’</w:t>
            </w:r>
            <w:r w:rsidR="008C6523" w:rsidRPr="00120311">
              <w:rPr>
                <w:bCs/>
                <w:lang w:val="fr-CH"/>
              </w:rPr>
              <w:t>i</w:t>
            </w:r>
            <w:r w:rsidR="00BD6D4F" w:rsidRPr="00120311">
              <w:rPr>
                <w:bCs/>
                <w:lang w:val="fr-CH"/>
              </w:rPr>
              <w:t xml:space="preserve">nformations supplémentaires sur les particularités propres à la protection par brevet </w:t>
            </w:r>
            <w:r w:rsidR="008C6523" w:rsidRPr="00120311">
              <w:rPr>
                <w:bCs/>
                <w:lang w:val="fr-CH"/>
              </w:rPr>
              <w:t>et</w:t>
            </w:r>
            <w:r w:rsidR="002A3025" w:rsidRPr="00120311">
              <w:rPr>
                <w:bCs/>
                <w:lang w:val="fr-CH"/>
              </w:rPr>
              <w:t xml:space="preserve"> </w:t>
            </w:r>
            <w:r w:rsidR="008C6523" w:rsidRPr="00120311">
              <w:rPr>
                <w:bCs/>
                <w:lang w:val="fr-CH"/>
              </w:rPr>
              <w:t>de</w:t>
            </w:r>
            <w:r w:rsidR="002A3025" w:rsidRPr="00120311">
              <w:rPr>
                <w:bCs/>
                <w:lang w:val="fr-CH"/>
              </w:rPr>
              <w:t xml:space="preserve"> conseils de recherche</w:t>
            </w:r>
            <w:r w:rsidR="00A80BCE" w:rsidRPr="00120311">
              <w:rPr>
                <w:rStyle w:val="null1"/>
                <w:lang w:val="fr-CH"/>
              </w:rPr>
              <w:t>.</w:t>
            </w:r>
          </w:p>
          <w:p w:rsidR="00D62FA3" w:rsidRPr="00120311" w:rsidRDefault="00D62FA3" w:rsidP="00EF1FF2">
            <w:pPr>
              <w:rPr>
                <w:rStyle w:val="null1"/>
                <w:lang w:val="fr-CH"/>
              </w:rPr>
            </w:pPr>
          </w:p>
          <w:p w:rsidR="00751A1A" w:rsidRDefault="002A3025" w:rsidP="00EF1FF2">
            <w:pPr>
              <w:rPr>
                <w:rStyle w:val="null1"/>
                <w:lang w:val="fr-CH"/>
              </w:rPr>
            </w:pPr>
            <w:r w:rsidRPr="00120311">
              <w:rPr>
                <w:rStyle w:val="null1"/>
                <w:lang w:val="fr-CH"/>
              </w:rPr>
              <w:t xml:space="preserve">De nouvelles fonctionnalités ont également été </w:t>
            </w:r>
            <w:r w:rsidR="008C6523" w:rsidRPr="00120311">
              <w:rPr>
                <w:rStyle w:val="null1"/>
                <w:lang w:val="fr-CH"/>
              </w:rPr>
              <w:t>incluses</w:t>
            </w:r>
            <w:r w:rsidRPr="00120311">
              <w:rPr>
                <w:rStyle w:val="null1"/>
                <w:lang w:val="fr-CH"/>
              </w:rPr>
              <w:t>, telles que la possibilité de combiner les critères de recherche</w:t>
            </w:r>
            <w:r w:rsidR="00A80BCE" w:rsidRPr="00120311">
              <w:rPr>
                <w:rStyle w:val="null1"/>
                <w:lang w:val="fr-CH"/>
              </w:rPr>
              <w:t xml:space="preserve">, </w:t>
            </w:r>
            <w:r w:rsidR="008C6523" w:rsidRPr="00120311">
              <w:rPr>
                <w:rStyle w:val="null1"/>
                <w:lang w:val="fr-CH"/>
              </w:rPr>
              <w:t xml:space="preserve">de </w:t>
            </w:r>
            <w:r w:rsidRPr="00120311">
              <w:rPr>
                <w:rStyle w:val="null1"/>
                <w:lang w:val="fr-CH"/>
              </w:rPr>
              <w:t xml:space="preserve">consulter les informations séparément sur </w:t>
            </w:r>
            <w:r w:rsidR="0037466F" w:rsidRPr="00120311">
              <w:rPr>
                <w:rStyle w:val="null1"/>
                <w:lang w:val="fr-CH"/>
              </w:rPr>
              <w:t xml:space="preserve">une </w:t>
            </w:r>
            <w:r w:rsidRPr="00120311">
              <w:rPr>
                <w:rStyle w:val="null1"/>
                <w:lang w:val="fr-CH"/>
              </w:rPr>
              <w:t>carte et</w:t>
            </w:r>
            <w:r w:rsidR="008C6523" w:rsidRPr="00120311">
              <w:rPr>
                <w:rStyle w:val="null1"/>
                <w:lang w:val="fr-CH"/>
              </w:rPr>
              <w:t xml:space="preserve"> dans un</w:t>
            </w:r>
            <w:r w:rsidRPr="00120311">
              <w:rPr>
                <w:rStyle w:val="null1"/>
                <w:lang w:val="fr-CH"/>
              </w:rPr>
              <w:t xml:space="preserve"> tableau </w:t>
            </w:r>
            <w:r w:rsidR="00E275C8" w:rsidRPr="00120311">
              <w:rPr>
                <w:rStyle w:val="null1"/>
                <w:lang w:val="fr-CH"/>
              </w:rPr>
              <w:t xml:space="preserve">et </w:t>
            </w:r>
            <w:r w:rsidR="008C6523" w:rsidRPr="00120311">
              <w:rPr>
                <w:rStyle w:val="null1"/>
                <w:lang w:val="fr-CH"/>
              </w:rPr>
              <w:t xml:space="preserve">de </w:t>
            </w:r>
            <w:r w:rsidR="00E275C8" w:rsidRPr="00120311">
              <w:rPr>
                <w:rStyle w:val="null1"/>
                <w:lang w:val="fr-CH"/>
              </w:rPr>
              <w:t>recenser les pays membres d</w:t>
            </w:r>
            <w:r w:rsidR="00751A1A">
              <w:rPr>
                <w:rStyle w:val="null1"/>
                <w:lang w:val="fr-CH"/>
              </w:rPr>
              <w:t>’</w:t>
            </w:r>
            <w:r w:rsidR="00E275C8" w:rsidRPr="00120311">
              <w:rPr>
                <w:rStyle w:val="null1"/>
                <w:lang w:val="fr-CH"/>
              </w:rPr>
              <w:t>un</w:t>
            </w:r>
            <w:r w:rsidR="0091528F" w:rsidRPr="00120311">
              <w:rPr>
                <w:rStyle w:val="null1"/>
                <w:lang w:val="fr-CH"/>
              </w:rPr>
              <w:t>e</w:t>
            </w:r>
            <w:r w:rsidR="00E275C8" w:rsidRPr="00120311">
              <w:rPr>
                <w:rStyle w:val="null1"/>
                <w:lang w:val="fr-CH"/>
              </w:rPr>
              <w:t xml:space="preserve"> organisation régionale délivrant des brevets ou les collections d</w:t>
            </w:r>
            <w:r w:rsidR="00751A1A">
              <w:rPr>
                <w:rStyle w:val="null1"/>
                <w:lang w:val="fr-CH"/>
              </w:rPr>
              <w:t>’</w:t>
            </w:r>
            <w:r w:rsidR="00E275C8" w:rsidRPr="00120311">
              <w:rPr>
                <w:rStyle w:val="null1"/>
                <w:lang w:val="fr-CH"/>
              </w:rPr>
              <w:t>information</w:t>
            </w:r>
            <w:r w:rsidR="0037466F" w:rsidRPr="00120311">
              <w:rPr>
                <w:rStyle w:val="null1"/>
                <w:lang w:val="fr-CH"/>
              </w:rPr>
              <w:t>s</w:t>
            </w:r>
            <w:r w:rsidR="00E275C8" w:rsidRPr="00120311">
              <w:rPr>
                <w:rStyle w:val="null1"/>
                <w:lang w:val="fr-CH"/>
              </w:rPr>
              <w:t xml:space="preserve"> régionales en matière de </w:t>
            </w:r>
            <w:r w:rsidR="001045DE" w:rsidRPr="00120311">
              <w:rPr>
                <w:rStyle w:val="null1"/>
                <w:lang w:val="fr-CH"/>
              </w:rPr>
              <w:t>brevet</w:t>
            </w:r>
            <w:r w:rsidR="001045DE">
              <w:rPr>
                <w:rStyle w:val="null1"/>
                <w:lang w:val="fr-CH"/>
              </w:rPr>
              <w:t>s</w:t>
            </w:r>
            <w:r w:rsidR="00916BDB">
              <w:rPr>
                <w:rStyle w:val="null1"/>
                <w:lang w:val="fr-CH"/>
              </w:rPr>
              <w:t xml:space="preserve">.  </w:t>
            </w:r>
            <w:r w:rsidR="00916BDB" w:rsidRPr="00120311">
              <w:rPr>
                <w:rStyle w:val="null1"/>
                <w:lang w:val="fr-CH"/>
              </w:rPr>
              <w:t>En</w:t>
            </w:r>
            <w:r w:rsidR="00C37C23" w:rsidRPr="00120311">
              <w:rPr>
                <w:rStyle w:val="null1"/>
                <w:lang w:val="fr-CH"/>
              </w:rPr>
              <w:t xml:space="preserve"> outre, de</w:t>
            </w:r>
            <w:r w:rsidR="0091528F" w:rsidRPr="00120311">
              <w:rPr>
                <w:rStyle w:val="null1"/>
                <w:lang w:val="fr-CH"/>
              </w:rPr>
              <w:t xml:space="preserve"> nouveaux </w:t>
            </w:r>
            <w:r w:rsidR="00C37C23" w:rsidRPr="00120311">
              <w:rPr>
                <w:rStyle w:val="null1"/>
                <w:lang w:val="fr-CH"/>
              </w:rPr>
              <w:t>champs de recherche</w:t>
            </w:r>
            <w:r w:rsidR="0091528F" w:rsidRPr="00120311">
              <w:rPr>
                <w:rStyle w:val="null1"/>
                <w:lang w:val="fr-CH"/>
              </w:rPr>
              <w:t xml:space="preserve"> ont été ajoutés, notamment d</w:t>
            </w:r>
            <w:r w:rsidR="00680E03" w:rsidRPr="00120311">
              <w:rPr>
                <w:rStyle w:val="null1"/>
                <w:lang w:val="fr-CH"/>
              </w:rPr>
              <w:t xml:space="preserve">es registres de brevets </w:t>
            </w:r>
            <w:r w:rsidR="002A5978" w:rsidRPr="00120311">
              <w:rPr>
                <w:rStyle w:val="null1"/>
                <w:lang w:val="fr-CH"/>
              </w:rPr>
              <w:t>consultables</w:t>
            </w:r>
            <w:r w:rsidR="00680E03" w:rsidRPr="00120311">
              <w:rPr>
                <w:rStyle w:val="null1"/>
                <w:lang w:val="fr-CH"/>
              </w:rPr>
              <w:t xml:space="preserve"> </w:t>
            </w:r>
            <w:r w:rsidR="0091528F" w:rsidRPr="00120311">
              <w:rPr>
                <w:rStyle w:val="null1"/>
                <w:lang w:val="fr-CH"/>
              </w:rPr>
              <w:t>en ligne par nom de déposant ou donnée relative à la priorité</w:t>
            </w:r>
            <w:r w:rsidR="0077034E" w:rsidRPr="00120311">
              <w:rPr>
                <w:rStyle w:val="null1"/>
                <w:lang w:val="fr-CH"/>
              </w:rPr>
              <w:t xml:space="preserve"> </w:t>
            </w:r>
            <w:r w:rsidR="0091528F" w:rsidRPr="00120311">
              <w:rPr>
                <w:rStyle w:val="null1"/>
                <w:lang w:val="fr-CH"/>
              </w:rPr>
              <w:t>et des registres en ligne qui fournissent des informations sur les instruments d</w:t>
            </w:r>
            <w:r w:rsidR="00751A1A">
              <w:rPr>
                <w:rStyle w:val="null1"/>
                <w:lang w:val="fr-CH"/>
              </w:rPr>
              <w:t>’</w:t>
            </w:r>
            <w:r w:rsidR="0091528F" w:rsidRPr="00120311">
              <w:rPr>
                <w:rStyle w:val="null1"/>
                <w:lang w:val="fr-CH"/>
              </w:rPr>
              <w:t>extension de la durée de protection par brevet</w:t>
            </w:r>
            <w:r w:rsidR="00A80BCE" w:rsidRPr="00120311">
              <w:rPr>
                <w:rStyle w:val="null1"/>
                <w:lang w:val="fr-CH"/>
              </w:rPr>
              <w:t xml:space="preserve">, </w:t>
            </w:r>
            <w:r w:rsidR="00D01B3F" w:rsidRPr="00120311">
              <w:rPr>
                <w:rStyle w:val="null1"/>
                <w:lang w:val="fr-CH"/>
              </w:rPr>
              <w:t xml:space="preserve">les certificats complémentaires de protection et les brevets régionaux ayant effet dans </w:t>
            </w:r>
            <w:r w:rsidR="003426BB" w:rsidRPr="00120311">
              <w:rPr>
                <w:rStyle w:val="null1"/>
                <w:lang w:val="fr-CH"/>
              </w:rPr>
              <w:t>un</w:t>
            </w:r>
            <w:r w:rsidR="00D01B3F" w:rsidRPr="00120311">
              <w:rPr>
                <w:rStyle w:val="null1"/>
                <w:lang w:val="fr-CH"/>
              </w:rPr>
              <w:t xml:space="preserve"> pays</w:t>
            </w:r>
            <w:r w:rsidR="003426BB" w:rsidRPr="00120311">
              <w:rPr>
                <w:rStyle w:val="null1"/>
                <w:lang w:val="fr-CH"/>
              </w:rPr>
              <w:t xml:space="preserve"> donné</w:t>
            </w:r>
            <w:r w:rsidR="00A80BCE" w:rsidRPr="00120311">
              <w:rPr>
                <w:rStyle w:val="null1"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rStyle w:val="null1"/>
                <w:lang w:val="fr-CH"/>
              </w:rPr>
            </w:pPr>
          </w:p>
          <w:p w:rsidR="00A80BCE" w:rsidRPr="00120311" w:rsidRDefault="00D01B3F" w:rsidP="00EF1FF2">
            <w:pPr>
              <w:rPr>
                <w:bCs/>
                <w:lang w:val="fr-CH"/>
              </w:rPr>
            </w:pPr>
            <w:r w:rsidRPr="00120311">
              <w:rPr>
                <w:bCs/>
                <w:lang w:val="fr-CH"/>
              </w:rPr>
              <w:t>Au cours de ce processus, les données relatives à plus de 200 pays ont été mises à jour, ce qui représente une augmentation de 25% du nombre de pays et de collections d</w:t>
            </w:r>
            <w:r w:rsidR="00751A1A">
              <w:rPr>
                <w:bCs/>
                <w:lang w:val="fr-CH"/>
              </w:rPr>
              <w:t>’</w:t>
            </w:r>
            <w:r w:rsidRPr="00120311">
              <w:rPr>
                <w:bCs/>
                <w:lang w:val="fr-CH"/>
              </w:rPr>
              <w:t xml:space="preserve">informations </w:t>
            </w:r>
            <w:r w:rsidR="00680E03" w:rsidRPr="00120311">
              <w:rPr>
                <w:bCs/>
                <w:lang w:val="fr-CH"/>
              </w:rPr>
              <w:t>pour lesquel</w:t>
            </w:r>
            <w:r w:rsidRPr="00120311">
              <w:rPr>
                <w:bCs/>
                <w:lang w:val="fr-CH"/>
              </w:rPr>
              <w:t>s des données sont disponibles dans la nouvelle version</w:t>
            </w:r>
            <w:r w:rsidR="00A80BCE" w:rsidRPr="00120311">
              <w:rPr>
                <w:b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bCs/>
                <w:lang w:val="fr-CH"/>
              </w:rPr>
            </w:pPr>
          </w:p>
          <w:p w:rsidR="00751A1A" w:rsidRDefault="00680E03" w:rsidP="00EF1FF2">
            <w:pPr>
              <w:rPr>
                <w:bCs/>
                <w:lang w:val="fr-CH"/>
              </w:rPr>
            </w:pPr>
            <w:r w:rsidRPr="00120311">
              <w:rPr>
                <w:bCs/>
                <w:lang w:val="fr-CH"/>
              </w:rPr>
              <w:t>À l</w:t>
            </w:r>
            <w:r w:rsidR="00751A1A">
              <w:rPr>
                <w:bCs/>
                <w:lang w:val="fr-CH"/>
              </w:rPr>
              <w:t>’</w:t>
            </w:r>
            <w:r w:rsidRPr="00120311">
              <w:rPr>
                <w:bCs/>
                <w:lang w:val="fr-CH"/>
              </w:rPr>
              <w:t>occasion de la refonte du portail</w:t>
            </w:r>
            <w:r w:rsidR="00D01B3F" w:rsidRPr="00120311">
              <w:rPr>
                <w:bCs/>
                <w:lang w:val="fr-CH"/>
              </w:rPr>
              <w:t xml:space="preserve">, des </w:t>
            </w:r>
            <w:r w:rsidR="00991069" w:rsidRPr="00120311">
              <w:rPr>
                <w:bCs/>
                <w:lang w:val="fr-CH"/>
              </w:rPr>
              <w:t>mesures ont été prises</w:t>
            </w:r>
            <w:r w:rsidR="00D01B3F" w:rsidRPr="00120311">
              <w:rPr>
                <w:bCs/>
                <w:lang w:val="fr-CH"/>
              </w:rPr>
              <w:t xml:space="preserve"> afin d</w:t>
            </w:r>
            <w:r w:rsidR="00751A1A">
              <w:rPr>
                <w:bCs/>
                <w:lang w:val="fr-CH"/>
              </w:rPr>
              <w:t>’</w:t>
            </w:r>
            <w:r w:rsidR="00D01B3F" w:rsidRPr="00120311">
              <w:rPr>
                <w:bCs/>
                <w:lang w:val="fr-CH"/>
              </w:rPr>
              <w:t>améliorer l</w:t>
            </w:r>
            <w:r w:rsidR="00751A1A">
              <w:rPr>
                <w:bCs/>
                <w:lang w:val="fr-CH"/>
              </w:rPr>
              <w:t>’</w:t>
            </w:r>
            <w:r w:rsidR="00D01B3F" w:rsidRPr="00120311">
              <w:rPr>
                <w:bCs/>
                <w:lang w:val="fr-CH"/>
              </w:rPr>
              <w:t xml:space="preserve">accessibilité </w:t>
            </w:r>
            <w:r w:rsidR="00DC5F5E" w:rsidRPr="00120311">
              <w:rPr>
                <w:bCs/>
                <w:lang w:val="fr-CH"/>
              </w:rPr>
              <w:t xml:space="preserve">pour les utilisateurs malvoyants, conformément aux efforts </w:t>
            </w:r>
            <w:r w:rsidR="00484923" w:rsidRPr="00120311">
              <w:rPr>
                <w:bCs/>
                <w:lang w:val="fr-CH"/>
              </w:rPr>
              <w:t>déployés par</w:t>
            </w:r>
            <w:r w:rsidR="00DC5F5E" w:rsidRPr="00120311">
              <w:rPr>
                <w:bCs/>
                <w:lang w:val="fr-CH"/>
              </w:rPr>
              <w:t xml:space="preserve"> l</w:t>
            </w:r>
            <w:r w:rsidR="00751A1A">
              <w:rPr>
                <w:bCs/>
                <w:lang w:val="fr-CH"/>
              </w:rPr>
              <w:t>’</w:t>
            </w:r>
            <w:r w:rsidR="00DC5F5E" w:rsidRPr="00120311">
              <w:rPr>
                <w:bCs/>
                <w:lang w:val="fr-CH"/>
              </w:rPr>
              <w:t>OMPI pour améliorer l</w:t>
            </w:r>
            <w:r w:rsidR="00751A1A">
              <w:rPr>
                <w:bCs/>
                <w:lang w:val="fr-CH"/>
              </w:rPr>
              <w:t>’</w:t>
            </w:r>
            <w:r w:rsidR="00DC5F5E" w:rsidRPr="00120311">
              <w:rPr>
                <w:bCs/>
                <w:lang w:val="fr-CH"/>
              </w:rPr>
              <w:t>accessi</w:t>
            </w:r>
            <w:r w:rsidR="00EE139A" w:rsidRPr="00120311">
              <w:rPr>
                <w:bCs/>
                <w:lang w:val="fr-CH"/>
              </w:rPr>
              <w:t>bilité de ses services et plate</w:t>
            </w:r>
            <w:r w:rsidR="00DC5F5E" w:rsidRPr="00120311">
              <w:rPr>
                <w:bCs/>
                <w:lang w:val="fr-CH"/>
              </w:rPr>
              <w:t>formes et les pages d</w:t>
            </w:r>
            <w:r w:rsidR="00751A1A">
              <w:rPr>
                <w:bCs/>
                <w:lang w:val="fr-CH"/>
              </w:rPr>
              <w:t>’</w:t>
            </w:r>
            <w:r w:rsidR="00DC5F5E" w:rsidRPr="00120311">
              <w:rPr>
                <w:bCs/>
                <w:lang w:val="fr-CH"/>
              </w:rPr>
              <w:t>aides ont été mises à disposition en format accessible</w:t>
            </w:r>
            <w:r w:rsidR="00A80BCE" w:rsidRPr="00120311">
              <w:rPr>
                <w:b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szCs w:val="22"/>
                <w:lang w:val="fr-CH"/>
              </w:rPr>
            </w:pPr>
          </w:p>
          <w:p w:rsidR="00A80BCE" w:rsidRPr="00120311" w:rsidRDefault="00484923" w:rsidP="00EF1FF2">
            <w:pPr>
              <w:rPr>
                <w:bCs/>
                <w:lang w:val="fr-CH"/>
              </w:rPr>
            </w:pPr>
            <w:r w:rsidRPr="00120311">
              <w:rPr>
                <w:bCs/>
                <w:lang w:val="fr-CH"/>
              </w:rPr>
              <w:t>Afin de</w:t>
            </w:r>
            <w:r w:rsidR="001B7F4B" w:rsidRPr="00120311">
              <w:rPr>
                <w:bCs/>
                <w:lang w:val="fr-CH"/>
              </w:rPr>
              <w:t xml:space="preserve"> valider les renseignements recueillis par l</w:t>
            </w:r>
            <w:r w:rsidR="00751A1A">
              <w:rPr>
                <w:bCs/>
                <w:lang w:val="fr-CH"/>
              </w:rPr>
              <w:t>’</w:t>
            </w:r>
            <w:r w:rsidR="001B7F4B" w:rsidRPr="00120311">
              <w:rPr>
                <w:bCs/>
                <w:lang w:val="fr-CH"/>
              </w:rPr>
              <w:t>expert</w:t>
            </w:r>
            <w:r w:rsidR="00A80BCE" w:rsidRPr="00120311">
              <w:rPr>
                <w:bCs/>
                <w:lang w:val="fr-CH"/>
              </w:rPr>
              <w:t xml:space="preserve">, </w:t>
            </w:r>
            <w:r w:rsidR="001B7F4B" w:rsidRPr="00120311">
              <w:rPr>
                <w:bCs/>
                <w:lang w:val="fr-CH"/>
              </w:rPr>
              <w:t>chaque page d</w:t>
            </w:r>
            <w:r w:rsidR="00751A1A">
              <w:rPr>
                <w:bCs/>
                <w:lang w:val="fr-CH"/>
              </w:rPr>
              <w:t>’</w:t>
            </w:r>
            <w:r w:rsidR="001B7F4B" w:rsidRPr="00120311">
              <w:rPr>
                <w:bCs/>
                <w:lang w:val="fr-CH"/>
              </w:rPr>
              <w:t>aide a été envoyée à l</w:t>
            </w:r>
            <w:r w:rsidR="00751A1A">
              <w:rPr>
                <w:bCs/>
                <w:lang w:val="fr-CH"/>
              </w:rPr>
              <w:t>’</w:t>
            </w:r>
            <w:r w:rsidR="001B7F4B" w:rsidRPr="00120311">
              <w:rPr>
                <w:bCs/>
                <w:lang w:val="fr-CH"/>
              </w:rPr>
              <w:t>autorité de la propriété intellectuelle concernée au moyen d</w:t>
            </w:r>
            <w:r w:rsidR="00751A1A">
              <w:rPr>
                <w:bCs/>
                <w:lang w:val="fr-CH"/>
              </w:rPr>
              <w:t>’</w:t>
            </w:r>
            <w:r w:rsidR="001B7F4B" w:rsidRPr="00120311">
              <w:rPr>
                <w:bCs/>
                <w:lang w:val="fr-CH"/>
              </w:rPr>
              <w:t>une circulaire officiel</w:t>
            </w:r>
            <w:r w:rsidR="00916BDB" w:rsidRPr="00120311">
              <w:rPr>
                <w:bCs/>
                <w:lang w:val="fr-CH"/>
              </w:rPr>
              <w:t>le</w:t>
            </w:r>
            <w:r w:rsidR="00916BDB">
              <w:rPr>
                <w:bCs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Un</w:t>
            </w:r>
            <w:r w:rsidR="001B7F4B" w:rsidRPr="00120311">
              <w:rPr>
                <w:bCs/>
                <w:lang w:val="fr-CH"/>
              </w:rPr>
              <w:t xml:space="preserve"> total </w:t>
            </w:r>
            <w:r w:rsidR="00C4706F" w:rsidRPr="00120311">
              <w:rPr>
                <w:bCs/>
                <w:lang w:val="fr-CH"/>
              </w:rPr>
              <w:t xml:space="preserve">de </w:t>
            </w:r>
            <w:r w:rsidR="00A80BCE" w:rsidRPr="00120311">
              <w:rPr>
                <w:bCs/>
                <w:lang w:val="fr-CH"/>
              </w:rPr>
              <w:t xml:space="preserve">52 </w:t>
            </w:r>
            <w:r w:rsidR="001B7F4B" w:rsidRPr="00120311">
              <w:rPr>
                <w:bCs/>
                <w:lang w:val="fr-CH"/>
              </w:rPr>
              <w:t>réponses ont été reçues au cours de ce processus</w:t>
            </w:r>
            <w:r w:rsidR="00A80BCE" w:rsidRPr="00120311">
              <w:rPr>
                <w:bCs/>
                <w:lang w:val="fr-CH"/>
              </w:rPr>
              <w:t xml:space="preserve"> </w:t>
            </w:r>
            <w:r w:rsidR="001B7F4B" w:rsidRPr="00120311">
              <w:rPr>
                <w:bCs/>
                <w:lang w:val="fr-CH"/>
              </w:rPr>
              <w:t xml:space="preserve">(juillet – </w:t>
            </w:r>
            <w:r w:rsidR="00751A1A" w:rsidRPr="00120311">
              <w:rPr>
                <w:bCs/>
                <w:lang w:val="fr-CH"/>
              </w:rPr>
              <w:t>septembre</w:t>
            </w:r>
            <w:r w:rsidR="00751A1A">
              <w:rPr>
                <w:bCs/>
                <w:lang w:val="fr-CH"/>
              </w:rPr>
              <w:t> </w:t>
            </w:r>
            <w:r w:rsidR="00751A1A" w:rsidRPr="00120311">
              <w:rPr>
                <w:bCs/>
                <w:lang w:val="fr-CH"/>
              </w:rPr>
              <w:t>20</w:t>
            </w:r>
            <w:r w:rsidR="00A80BCE" w:rsidRPr="00120311">
              <w:rPr>
                <w:bCs/>
                <w:lang w:val="fr-CH"/>
              </w:rPr>
              <w:t xml:space="preserve">18).  </w:t>
            </w:r>
            <w:r w:rsidR="001B7F4B" w:rsidRPr="00120311">
              <w:rPr>
                <w:bCs/>
                <w:lang w:val="fr-CH"/>
              </w:rPr>
              <w:t xml:space="preserve">Un formulaire de contact a également été </w:t>
            </w:r>
            <w:r w:rsidR="00542EDD" w:rsidRPr="00120311">
              <w:rPr>
                <w:bCs/>
                <w:lang w:val="fr-CH"/>
              </w:rPr>
              <w:t>inclus</w:t>
            </w:r>
            <w:r w:rsidR="001B7F4B" w:rsidRPr="00120311">
              <w:rPr>
                <w:bCs/>
                <w:lang w:val="fr-CH"/>
              </w:rPr>
              <w:t xml:space="preserve"> </w:t>
            </w:r>
            <w:r w:rsidR="00542EDD" w:rsidRPr="00120311">
              <w:rPr>
                <w:bCs/>
                <w:lang w:val="fr-CH"/>
              </w:rPr>
              <w:t>dans</w:t>
            </w:r>
            <w:r w:rsidR="001B7F4B" w:rsidRPr="00120311">
              <w:rPr>
                <w:bCs/>
                <w:lang w:val="fr-CH"/>
              </w:rPr>
              <w:t xml:space="preserve"> la nouvelle interface pou</w:t>
            </w:r>
            <w:r w:rsidR="00AA767F" w:rsidRPr="00120311">
              <w:rPr>
                <w:bCs/>
                <w:lang w:val="fr-CH"/>
              </w:rPr>
              <w:t>r permettre aux utilisateurs d</w:t>
            </w:r>
            <w:r w:rsidR="00751A1A">
              <w:rPr>
                <w:bCs/>
                <w:lang w:val="fr-CH"/>
              </w:rPr>
              <w:t>’</w:t>
            </w:r>
            <w:r w:rsidR="00AA767F" w:rsidRPr="00120311">
              <w:rPr>
                <w:bCs/>
                <w:lang w:val="fr-CH"/>
              </w:rPr>
              <w:t xml:space="preserve">informer </w:t>
            </w:r>
            <w:r w:rsidR="00AA767F" w:rsidRPr="00120311">
              <w:rPr>
                <w:bCs/>
                <w:lang w:val="fr-CH"/>
              </w:rPr>
              <w:lastRenderedPageBreak/>
              <w:t xml:space="preserve">le Secrétariat de toute modification </w:t>
            </w:r>
            <w:r w:rsidR="00542EDD" w:rsidRPr="00120311">
              <w:rPr>
                <w:bCs/>
                <w:lang w:val="fr-CH"/>
              </w:rPr>
              <w:t xml:space="preserve">future </w:t>
            </w:r>
            <w:r w:rsidR="00AA767F" w:rsidRPr="00120311">
              <w:rPr>
                <w:bCs/>
                <w:lang w:val="fr-CH"/>
              </w:rPr>
              <w:t>apportée à l</w:t>
            </w:r>
            <w:r w:rsidR="00751A1A">
              <w:rPr>
                <w:bCs/>
                <w:lang w:val="fr-CH"/>
              </w:rPr>
              <w:t>’</w:t>
            </w:r>
            <w:r w:rsidR="00AA767F" w:rsidRPr="00120311">
              <w:rPr>
                <w:bCs/>
                <w:lang w:val="fr-CH"/>
              </w:rPr>
              <w:t xml:space="preserve">information </w:t>
            </w:r>
            <w:r w:rsidR="00C51900" w:rsidRPr="00120311">
              <w:rPr>
                <w:bCs/>
                <w:lang w:val="fr-CH"/>
              </w:rPr>
              <w:t>présentée sur</w:t>
            </w:r>
            <w:r w:rsidR="00AA767F" w:rsidRPr="00120311">
              <w:rPr>
                <w:bCs/>
                <w:lang w:val="fr-CH"/>
              </w:rPr>
              <w:t xml:space="preserve"> le portail</w:t>
            </w:r>
            <w:r w:rsidR="00A80BCE" w:rsidRPr="00120311">
              <w:rPr>
                <w:b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bCs/>
                <w:lang w:val="fr-CH"/>
              </w:rPr>
            </w:pPr>
          </w:p>
          <w:p w:rsidR="00751A1A" w:rsidRDefault="00AF02FC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Pour mettre en valeur</w:t>
            </w:r>
            <w:r w:rsidR="00A80BCE" w:rsidRPr="00120311">
              <w:rPr>
                <w:lang w:val="fr-CH"/>
              </w:rPr>
              <w:t xml:space="preserve"> </w:t>
            </w:r>
            <w:r w:rsidR="002D07D8" w:rsidRPr="00120311">
              <w:rPr>
                <w:lang w:val="fr-CH"/>
              </w:rPr>
              <w:t>la nouvelle interface et les nouvelles caractéristiques du portail, un court tutoriel vidéo a été élaboré avec l</w:t>
            </w:r>
            <w:r w:rsidR="00751A1A">
              <w:rPr>
                <w:lang w:val="fr-CH"/>
              </w:rPr>
              <w:t>’</w:t>
            </w:r>
            <w:r w:rsidR="002D07D8" w:rsidRPr="00120311">
              <w:rPr>
                <w:lang w:val="fr-CH"/>
              </w:rPr>
              <w:t>appui d</w:t>
            </w:r>
            <w:r w:rsidR="00751A1A">
              <w:rPr>
                <w:lang w:val="fr-CH"/>
              </w:rPr>
              <w:t>’</w:t>
            </w:r>
            <w:r w:rsidR="002D07D8" w:rsidRPr="00120311">
              <w:rPr>
                <w:lang w:val="fr-CH"/>
              </w:rPr>
              <w:t>un expert de la vidéo</w:t>
            </w:r>
            <w:r w:rsidR="00A80BCE" w:rsidRPr="00120311">
              <w:rPr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lang w:val="fr-CH"/>
              </w:rPr>
            </w:pPr>
          </w:p>
          <w:p w:rsidR="00A80BCE" w:rsidRPr="00120311" w:rsidRDefault="00AF02FC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Le portail a été lancé lors 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une manifestation parallèle </w:t>
            </w:r>
            <w:r w:rsidR="002A5978" w:rsidRPr="00120311">
              <w:rPr>
                <w:lang w:val="fr-CH"/>
              </w:rPr>
              <w:t>durant la vingt</w:t>
            </w:r>
            <w:r w:rsidR="00751A1A">
              <w:rPr>
                <w:lang w:val="fr-CH"/>
              </w:rPr>
              <w:t>-</w:t>
            </w:r>
            <w:r w:rsidR="002A5978" w:rsidRPr="00120311">
              <w:rPr>
                <w:lang w:val="fr-CH"/>
              </w:rPr>
              <w:t>deux</w:t>
            </w:r>
            <w:r w:rsidR="00751A1A">
              <w:rPr>
                <w:lang w:val="fr-CH"/>
              </w:rPr>
              <w:t>ième session</w:t>
            </w:r>
            <w:r w:rsidR="00751A1A" w:rsidRPr="00120311">
              <w:rPr>
                <w:lang w:val="fr-CH"/>
              </w:rPr>
              <w:t xml:space="preserve"> du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CDI</w:t>
            </w:r>
            <w:r w:rsidR="002A5978" w:rsidRPr="00120311">
              <w:rPr>
                <w:lang w:val="fr-CH"/>
              </w:rPr>
              <w:t>P (</w:t>
            </w:r>
            <w:r w:rsidR="00891430" w:rsidRPr="00120311">
              <w:rPr>
                <w:lang w:val="fr-CH"/>
              </w:rPr>
              <w:t>CDIP/22</w:t>
            </w:r>
            <w:r w:rsidR="002A5978" w:rsidRPr="00120311">
              <w:rPr>
                <w:lang w:val="fr-CH"/>
              </w:rPr>
              <w:t>)</w:t>
            </w:r>
            <w:r w:rsidR="00A80BCE" w:rsidRPr="00120311">
              <w:rPr>
                <w:lang w:val="fr-CH"/>
              </w:rPr>
              <w:t>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0A475D" w:rsidP="00EF1FF2">
            <w:pPr>
              <w:pStyle w:val="Heading3"/>
              <w:keepNext w:val="0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lastRenderedPageBreak/>
              <w:t>Résultats/effets du projet et principaux enseignements</w:t>
            </w:r>
          </w:p>
        </w:tc>
        <w:tc>
          <w:tcPr>
            <w:tcW w:w="7069" w:type="dxa"/>
            <w:vAlign w:val="center"/>
          </w:tcPr>
          <w:p w:rsidR="00751A1A" w:rsidRDefault="000A475D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Résultats/effets</w:t>
            </w:r>
            <w:r w:rsidR="001045DE">
              <w:rPr>
                <w:szCs w:val="22"/>
                <w:lang w:val="fr-CH"/>
              </w:rPr>
              <w:t> </w:t>
            </w:r>
            <w:r w:rsidR="00A80BCE" w:rsidRPr="00120311">
              <w:rPr>
                <w:szCs w:val="22"/>
                <w:lang w:val="fr-CH"/>
              </w:rPr>
              <w:t>:</w:t>
            </w:r>
          </w:p>
          <w:p w:rsidR="00A80BCE" w:rsidRPr="00120311" w:rsidRDefault="00A80BCE" w:rsidP="00EF1FF2">
            <w:pPr>
              <w:rPr>
                <w:szCs w:val="22"/>
                <w:lang w:val="fr-CH"/>
              </w:rPr>
            </w:pPr>
          </w:p>
          <w:p w:rsidR="00A80BCE" w:rsidRPr="00EF1FF2" w:rsidRDefault="00FA7BAE" w:rsidP="00EF1FF2">
            <w:pPr>
              <w:rPr>
                <w:szCs w:val="22"/>
                <w:lang w:val="fr-CH"/>
              </w:rPr>
            </w:pPr>
            <w:r w:rsidRPr="00EF1FF2">
              <w:rPr>
                <w:szCs w:val="22"/>
                <w:lang w:val="fr-CH"/>
              </w:rPr>
              <w:t>Les réactions</w:t>
            </w:r>
            <w:r w:rsidR="00751A1A" w:rsidRPr="00EF1FF2">
              <w:rPr>
                <w:szCs w:val="22"/>
                <w:lang w:val="fr-CH"/>
              </w:rPr>
              <w:t xml:space="preserve"> des CAT</w:t>
            </w:r>
            <w:r w:rsidRPr="00EF1FF2">
              <w:rPr>
                <w:szCs w:val="22"/>
                <w:lang w:val="fr-CH"/>
              </w:rPr>
              <w:t>I recueillies</w:t>
            </w:r>
            <w:r w:rsidR="006775CC" w:rsidRPr="00EF1FF2">
              <w:rPr>
                <w:szCs w:val="22"/>
                <w:lang w:val="fr-CH"/>
              </w:rPr>
              <w:t xml:space="preserve"> lors de la phase d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6775CC" w:rsidRPr="00EF1FF2">
              <w:rPr>
                <w:szCs w:val="22"/>
                <w:lang w:val="fr-CH"/>
              </w:rPr>
              <w:t xml:space="preserve">essai </w:t>
            </w:r>
            <w:r w:rsidRPr="00EF1FF2">
              <w:rPr>
                <w:szCs w:val="22"/>
                <w:lang w:val="fr-CH"/>
              </w:rPr>
              <w:t xml:space="preserve">et les enquêtes </w:t>
            </w:r>
            <w:r w:rsidR="00573F6A" w:rsidRPr="00EF1FF2">
              <w:rPr>
                <w:szCs w:val="22"/>
                <w:lang w:val="fr-CH"/>
              </w:rPr>
              <w:t>réalisées</w:t>
            </w:r>
            <w:r w:rsidR="00555BCA" w:rsidRPr="00EF1FF2">
              <w:rPr>
                <w:szCs w:val="22"/>
                <w:lang w:val="fr-CH"/>
              </w:rPr>
              <w:t xml:space="preserve"> à l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555BCA" w:rsidRPr="00EF1FF2">
              <w:rPr>
                <w:szCs w:val="22"/>
                <w:lang w:val="fr-CH"/>
              </w:rPr>
              <w:t xml:space="preserve">issue </w:t>
            </w:r>
            <w:r w:rsidRPr="00EF1FF2">
              <w:rPr>
                <w:szCs w:val="22"/>
                <w:lang w:val="fr-CH"/>
              </w:rPr>
              <w:t xml:space="preserve">des ateliers pratiques </w:t>
            </w:r>
            <w:r w:rsidR="00555BCA" w:rsidRPr="00EF1FF2">
              <w:rPr>
                <w:szCs w:val="22"/>
                <w:lang w:val="fr-CH"/>
              </w:rPr>
              <w:t xml:space="preserve">montrent clairement </w:t>
            </w:r>
            <w:r w:rsidR="00F71F22" w:rsidRPr="00EF1FF2">
              <w:rPr>
                <w:szCs w:val="22"/>
                <w:lang w:val="fr-CH"/>
              </w:rPr>
              <w:t>l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F71F22" w:rsidRPr="00EF1FF2">
              <w:rPr>
                <w:szCs w:val="22"/>
                <w:lang w:val="fr-CH"/>
              </w:rPr>
              <w:t>importante valeur ajoutée</w:t>
            </w:r>
            <w:r w:rsidR="00555BCA" w:rsidRPr="00EF1FF2">
              <w:rPr>
                <w:szCs w:val="22"/>
                <w:lang w:val="fr-CH"/>
              </w:rPr>
              <w:t xml:space="preserve"> que représentent</w:t>
            </w:r>
            <w:r w:rsidR="00F71F22" w:rsidRPr="00EF1FF2">
              <w:rPr>
                <w:szCs w:val="22"/>
                <w:lang w:val="fr-CH"/>
              </w:rPr>
              <w:t xml:space="preserve"> </w:t>
            </w:r>
            <w:r w:rsidR="00555BCA" w:rsidRPr="00EF1FF2">
              <w:rPr>
                <w:szCs w:val="22"/>
                <w:lang w:val="fr-CH"/>
              </w:rPr>
              <w:t>les</w:t>
            </w:r>
            <w:r w:rsidR="00F71F22" w:rsidRPr="00EF1FF2">
              <w:rPr>
                <w:szCs w:val="22"/>
                <w:lang w:val="fr-CH"/>
              </w:rPr>
              <w:t xml:space="preserve"> nouvelles ressources </w:t>
            </w:r>
            <w:r w:rsidR="00DD3F60" w:rsidRPr="00EF1FF2">
              <w:rPr>
                <w:szCs w:val="22"/>
                <w:lang w:val="fr-CH"/>
              </w:rPr>
              <w:t>conçues</w:t>
            </w:r>
            <w:r w:rsidR="00F71F22" w:rsidRPr="00EF1FF2">
              <w:rPr>
                <w:szCs w:val="22"/>
                <w:lang w:val="fr-CH"/>
              </w:rPr>
              <w:t xml:space="preserve"> dans le cadre du projet pour</w:t>
            </w:r>
            <w:r w:rsidR="00751A1A" w:rsidRPr="00EF1FF2">
              <w:rPr>
                <w:szCs w:val="22"/>
                <w:lang w:val="fr-CH"/>
              </w:rPr>
              <w:t xml:space="preserve"> les C</w:t>
            </w:r>
            <w:r w:rsidR="00916BDB" w:rsidRPr="00EF1FF2">
              <w:rPr>
                <w:szCs w:val="22"/>
                <w:lang w:val="fr-CH"/>
              </w:rPr>
              <w:t>ATI.  Le</w:t>
            </w:r>
            <w:r w:rsidR="009973BB" w:rsidRPr="00EF1FF2">
              <w:rPr>
                <w:szCs w:val="22"/>
                <w:lang w:val="fr-CH"/>
              </w:rPr>
              <w:t xml:space="preserve">s </w:t>
            </w:r>
            <w:r w:rsidR="00B12B6E" w:rsidRPr="00EF1FF2">
              <w:rPr>
                <w:szCs w:val="22"/>
                <w:lang w:val="fr-CH"/>
              </w:rPr>
              <w:t>commentaires recueilli</w:t>
            </w:r>
            <w:r w:rsidR="009973BB" w:rsidRPr="00EF1FF2">
              <w:rPr>
                <w:szCs w:val="22"/>
                <w:lang w:val="fr-CH"/>
              </w:rPr>
              <w:t xml:space="preserve">s confirment notamment que les ateliers </w:t>
            </w:r>
            <w:r w:rsidR="00B12B6E" w:rsidRPr="00EF1FF2">
              <w:rPr>
                <w:szCs w:val="22"/>
                <w:lang w:val="fr-CH"/>
              </w:rPr>
              <w:t>avaient permis de</w:t>
            </w:r>
            <w:r w:rsidR="009973BB" w:rsidRPr="00EF1FF2">
              <w:rPr>
                <w:szCs w:val="22"/>
                <w:lang w:val="fr-CH"/>
              </w:rPr>
              <w:t xml:space="preserve"> renforcer les connaissances et les compétences </w:t>
            </w:r>
            <w:r w:rsidR="003305AE" w:rsidRPr="00EF1FF2">
              <w:rPr>
                <w:szCs w:val="22"/>
                <w:lang w:val="fr-CH"/>
              </w:rPr>
              <w:t>en matière d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3305AE" w:rsidRPr="00EF1FF2">
              <w:rPr>
                <w:szCs w:val="22"/>
                <w:lang w:val="fr-CH"/>
              </w:rPr>
              <w:t>identification et d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9973BB" w:rsidRPr="00EF1FF2">
              <w:rPr>
                <w:szCs w:val="22"/>
                <w:lang w:val="fr-CH"/>
              </w:rPr>
              <w:t xml:space="preserve">utilisation des inventions relevant du domaine public </w:t>
            </w:r>
            <w:r w:rsidR="00DC6D6D" w:rsidRPr="00EF1FF2">
              <w:rPr>
                <w:szCs w:val="22"/>
                <w:lang w:val="fr-CH"/>
              </w:rPr>
              <w:t>(</w:t>
            </w:r>
            <w:r w:rsidR="009973BB" w:rsidRPr="00EF1FF2">
              <w:rPr>
                <w:szCs w:val="22"/>
                <w:lang w:val="fr-CH"/>
              </w:rPr>
              <w:t>99,</w:t>
            </w:r>
            <w:r w:rsidR="00A80BCE" w:rsidRPr="00EF1FF2">
              <w:rPr>
                <w:szCs w:val="22"/>
                <w:lang w:val="fr-CH"/>
              </w:rPr>
              <w:t xml:space="preserve">6% </w:t>
            </w:r>
            <w:r w:rsidR="009973BB" w:rsidRPr="00EF1FF2">
              <w:rPr>
                <w:szCs w:val="22"/>
                <w:lang w:val="fr-CH"/>
              </w:rPr>
              <w:t>des participants, en moyenne, l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9973BB" w:rsidRPr="00EF1FF2">
              <w:rPr>
                <w:szCs w:val="22"/>
                <w:lang w:val="fr-CH"/>
              </w:rPr>
              <w:t>on confirmé</w:t>
            </w:r>
            <w:r w:rsidR="00397583" w:rsidRPr="00EF1FF2">
              <w:rPr>
                <w:szCs w:val="22"/>
                <w:lang w:val="fr-CH"/>
              </w:rPr>
              <w:t xml:space="preserve">) et </w:t>
            </w:r>
            <w:r w:rsidR="00A80BCE" w:rsidRPr="00EF1FF2">
              <w:rPr>
                <w:szCs w:val="22"/>
                <w:lang w:val="fr-CH"/>
              </w:rPr>
              <w:t>98%</w:t>
            </w:r>
            <w:r w:rsidR="00397583" w:rsidRPr="00EF1FF2">
              <w:rPr>
                <w:szCs w:val="22"/>
                <w:lang w:val="fr-CH"/>
              </w:rPr>
              <w:t xml:space="preserve"> d</w:t>
            </w:r>
            <w:r w:rsidR="00751A1A" w:rsidRPr="00EF1FF2">
              <w:rPr>
                <w:szCs w:val="22"/>
                <w:lang w:val="fr-CH"/>
              </w:rPr>
              <w:t>’</w:t>
            </w:r>
            <w:r w:rsidR="00397583" w:rsidRPr="00EF1FF2">
              <w:rPr>
                <w:szCs w:val="22"/>
                <w:lang w:val="fr-CH"/>
              </w:rPr>
              <w:t>entre eux ont déclaré que les guides leur seront utiles dans leur travail au quotidien</w:t>
            </w:r>
            <w:r w:rsidR="00A80BCE" w:rsidRPr="00EF1FF2">
              <w:rPr>
                <w:szCs w:val="22"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szCs w:val="22"/>
                <w:lang w:val="fr-CH"/>
              </w:rPr>
            </w:pPr>
          </w:p>
          <w:p w:rsidR="00751A1A" w:rsidRDefault="00397583" w:rsidP="00EF1FF2">
            <w:pPr>
              <w:rPr>
                <w:iCs/>
                <w:lang w:val="fr-CH"/>
              </w:rPr>
            </w:pPr>
            <w:r w:rsidRPr="00120311">
              <w:rPr>
                <w:szCs w:val="22"/>
                <w:lang w:val="fr-CH"/>
              </w:rPr>
              <w:t>Cependant, afin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intégrer pleinement les enseignements des guides dans les activités</w:t>
            </w:r>
            <w:r w:rsidR="00751A1A" w:rsidRPr="00120311">
              <w:rPr>
                <w:szCs w:val="22"/>
                <w:lang w:val="fr-CH"/>
              </w:rPr>
              <w:t xml:space="preserve"> des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Pr="00120311">
              <w:rPr>
                <w:szCs w:val="22"/>
                <w:lang w:val="fr-CH"/>
              </w:rPr>
              <w:t>I et pour permettre</w:t>
            </w:r>
            <w:r w:rsidR="00751A1A" w:rsidRPr="00120311">
              <w:rPr>
                <w:szCs w:val="22"/>
                <w:lang w:val="fr-CH"/>
              </w:rPr>
              <w:t xml:space="preserve"> aux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Pr="00120311">
              <w:rPr>
                <w:szCs w:val="22"/>
                <w:lang w:val="fr-CH"/>
              </w:rPr>
              <w:t xml:space="preserve">I de mettre en place de nouveaux services dans ce domaine en utilisant les guides comme </w:t>
            </w:r>
            <w:r w:rsidR="00A343A4" w:rsidRPr="00120311">
              <w:rPr>
                <w:szCs w:val="22"/>
                <w:lang w:val="fr-CH"/>
              </w:rPr>
              <w:t>outils d</w:t>
            </w:r>
            <w:r w:rsidR="00751A1A">
              <w:rPr>
                <w:szCs w:val="22"/>
                <w:lang w:val="fr-CH"/>
              </w:rPr>
              <w:t>’</w:t>
            </w:r>
            <w:r w:rsidR="00A343A4" w:rsidRPr="00120311">
              <w:rPr>
                <w:szCs w:val="22"/>
                <w:lang w:val="fr-CH"/>
              </w:rPr>
              <w:t>aide</w:t>
            </w:r>
            <w:r w:rsidR="00A80BCE" w:rsidRPr="00120311">
              <w:rPr>
                <w:szCs w:val="22"/>
                <w:lang w:val="fr-CH"/>
              </w:rPr>
              <w:t xml:space="preserve">, </w:t>
            </w:r>
            <w:r w:rsidR="00A343A4" w:rsidRPr="00120311">
              <w:rPr>
                <w:szCs w:val="22"/>
                <w:lang w:val="fr-CH"/>
              </w:rPr>
              <w:t xml:space="preserve">une </w:t>
            </w:r>
            <w:r w:rsidR="00573F6A" w:rsidRPr="00120311">
              <w:rPr>
                <w:szCs w:val="22"/>
                <w:lang w:val="fr-CH"/>
              </w:rPr>
              <w:t>assistance</w:t>
            </w:r>
            <w:r w:rsidR="00A343A4" w:rsidRPr="00120311">
              <w:rPr>
                <w:szCs w:val="22"/>
                <w:lang w:val="fr-CH"/>
              </w:rPr>
              <w:t xml:space="preserve"> supplémentaire sera nécessai</w:t>
            </w:r>
            <w:r w:rsidR="00916BDB" w:rsidRPr="00120311">
              <w:rPr>
                <w:szCs w:val="22"/>
                <w:lang w:val="fr-CH"/>
              </w:rPr>
              <w:t>re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 xml:space="preserve">À </w:t>
            </w:r>
            <w:r w:rsidR="00A343A4" w:rsidRPr="00120311">
              <w:rPr>
                <w:szCs w:val="22"/>
                <w:lang w:val="fr-CH"/>
              </w:rPr>
              <w:t>cet égard, la constitution d</w:t>
            </w:r>
            <w:r w:rsidR="00751A1A">
              <w:rPr>
                <w:szCs w:val="22"/>
                <w:lang w:val="fr-CH"/>
              </w:rPr>
              <w:t>’</w:t>
            </w:r>
            <w:r w:rsidR="00A343A4" w:rsidRPr="00120311">
              <w:rPr>
                <w:szCs w:val="22"/>
                <w:lang w:val="fr-CH"/>
              </w:rPr>
              <w:t>un groupe d</w:t>
            </w:r>
            <w:r w:rsidR="00751A1A">
              <w:rPr>
                <w:szCs w:val="22"/>
                <w:lang w:val="fr-CH"/>
              </w:rPr>
              <w:t>’</w:t>
            </w:r>
            <w:r w:rsidR="00A343A4" w:rsidRPr="00120311">
              <w:rPr>
                <w:szCs w:val="22"/>
                <w:lang w:val="fr-CH"/>
              </w:rPr>
              <w:t>experts qui pourront faire office de personnes ressources pour aider</w:t>
            </w:r>
            <w:r w:rsidR="00751A1A" w:rsidRPr="00120311">
              <w:rPr>
                <w:szCs w:val="22"/>
                <w:lang w:val="fr-CH"/>
              </w:rPr>
              <w:t xml:space="preserve"> les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="00A343A4" w:rsidRPr="00120311">
              <w:rPr>
                <w:szCs w:val="22"/>
                <w:lang w:val="fr-CH"/>
              </w:rPr>
              <w:t>I à exploiter les guides et à renforcer la capacité de leurs services sera une ressource importante sur laquelle s</w:t>
            </w:r>
            <w:r w:rsidR="00751A1A">
              <w:rPr>
                <w:szCs w:val="22"/>
                <w:lang w:val="fr-CH"/>
              </w:rPr>
              <w:t>’</w:t>
            </w:r>
            <w:r w:rsidR="00A343A4" w:rsidRPr="00120311">
              <w:rPr>
                <w:szCs w:val="22"/>
                <w:lang w:val="fr-CH"/>
              </w:rPr>
              <w:t>appuyer</w:t>
            </w:r>
            <w:r w:rsidR="00573F6A" w:rsidRPr="00120311">
              <w:rPr>
                <w:szCs w:val="22"/>
                <w:lang w:val="fr-CH"/>
              </w:rPr>
              <w:t xml:space="preserve"> et </w:t>
            </w:r>
            <w:r w:rsidR="006E16C2" w:rsidRPr="00120311">
              <w:rPr>
                <w:szCs w:val="22"/>
                <w:lang w:val="fr-CH"/>
              </w:rPr>
              <w:t>qui pourra être développée.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751A1A" w:rsidRDefault="006E16C2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 xml:space="preserve">Le nombre élevé de visites sur le portail à la suite de son lancement (1 880 </w:t>
            </w:r>
            <w:r w:rsidR="00545D5D" w:rsidRPr="00120311">
              <w:rPr>
                <w:iCs/>
                <w:lang w:val="fr-CH"/>
              </w:rPr>
              <w:t>consultations</w:t>
            </w:r>
            <w:r w:rsidR="000225EA" w:rsidRPr="00120311">
              <w:rPr>
                <w:iCs/>
                <w:lang w:val="fr-CH"/>
              </w:rPr>
              <w:t xml:space="preserve"> en tant qu</w:t>
            </w:r>
            <w:r w:rsidR="00751A1A">
              <w:rPr>
                <w:iCs/>
                <w:lang w:val="fr-CH"/>
              </w:rPr>
              <w:t>’</w:t>
            </w:r>
            <w:r w:rsidR="000225EA" w:rsidRPr="00120311">
              <w:rPr>
                <w:iCs/>
                <w:lang w:val="fr-CH"/>
              </w:rPr>
              <w:t>utilisateur</w:t>
            </w:r>
            <w:r w:rsidRPr="00120311">
              <w:rPr>
                <w:iCs/>
                <w:lang w:val="fr-CH"/>
              </w:rPr>
              <w:t xml:space="preserve"> and </w:t>
            </w:r>
            <w:r w:rsidR="001045DE" w:rsidRPr="00120311">
              <w:rPr>
                <w:iCs/>
                <w:lang w:val="fr-CH"/>
              </w:rPr>
              <w:t>4571</w:t>
            </w:r>
            <w:r w:rsidR="00A80BCE" w:rsidRPr="00120311">
              <w:rPr>
                <w:iCs/>
                <w:lang w:val="fr-CH"/>
              </w:rPr>
              <w:t xml:space="preserve"> </w:t>
            </w:r>
            <w:r w:rsidR="000225EA" w:rsidRPr="00120311">
              <w:rPr>
                <w:iCs/>
                <w:lang w:val="fr-CH"/>
              </w:rPr>
              <w:t>téléchargements de pages d</w:t>
            </w:r>
            <w:r w:rsidR="00751A1A">
              <w:rPr>
                <w:iCs/>
                <w:lang w:val="fr-CH"/>
              </w:rPr>
              <w:t>’</w:t>
            </w:r>
            <w:r w:rsidR="000225EA" w:rsidRPr="00120311">
              <w:rPr>
                <w:iCs/>
                <w:lang w:val="fr-CH"/>
              </w:rPr>
              <w:t>aide</w:t>
            </w:r>
            <w:r w:rsidR="00545D5D" w:rsidRPr="00120311">
              <w:rPr>
                <w:iCs/>
                <w:lang w:val="fr-CH"/>
              </w:rPr>
              <w:t xml:space="preserve"> entre novembre et </w:t>
            </w:r>
            <w:r w:rsidR="00751A1A" w:rsidRPr="00120311">
              <w:rPr>
                <w:iCs/>
                <w:lang w:val="fr-CH"/>
              </w:rPr>
              <w:t>décembre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20</w:t>
            </w:r>
            <w:r w:rsidR="00545D5D" w:rsidRPr="00120311">
              <w:rPr>
                <w:iCs/>
                <w:lang w:val="fr-CH"/>
              </w:rPr>
              <w:t>18</w:t>
            </w:r>
            <w:r w:rsidR="00A80BCE" w:rsidRPr="00120311">
              <w:rPr>
                <w:iCs/>
                <w:lang w:val="fr-CH"/>
              </w:rPr>
              <w:t xml:space="preserve">) </w:t>
            </w:r>
            <w:r w:rsidR="00545D5D" w:rsidRPr="00120311">
              <w:rPr>
                <w:iCs/>
                <w:lang w:val="fr-CH"/>
              </w:rPr>
              <w:t>indique également que le portail est une ressource utile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A80BCE" w:rsidRPr="00120311" w:rsidRDefault="000A475D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Principaux enseignements</w:t>
            </w:r>
            <w:r w:rsidR="001045DE">
              <w:rPr>
                <w:szCs w:val="22"/>
                <w:lang w:val="fr-CH"/>
              </w:rPr>
              <w:t> </w:t>
            </w:r>
            <w:r w:rsidR="00A80BCE" w:rsidRPr="00120311">
              <w:rPr>
                <w:szCs w:val="22"/>
                <w:lang w:val="fr-CH"/>
              </w:rPr>
              <w:t>:</w:t>
            </w:r>
          </w:p>
          <w:p w:rsidR="00A80BCE" w:rsidRPr="00120311" w:rsidRDefault="00A80BCE" w:rsidP="00EF1FF2">
            <w:pPr>
              <w:rPr>
                <w:szCs w:val="22"/>
                <w:lang w:val="fr-CH"/>
              </w:rPr>
            </w:pPr>
          </w:p>
          <w:p w:rsidR="00A80BCE" w:rsidRPr="00120311" w:rsidRDefault="008971A9" w:rsidP="00EF1FF2">
            <w:pPr>
              <w:rPr>
                <w:iCs/>
                <w:lang w:val="fr-CH"/>
              </w:rPr>
            </w:pPr>
            <w:r w:rsidRPr="00120311">
              <w:rPr>
                <w:szCs w:val="22"/>
                <w:lang w:val="fr-CH"/>
              </w:rPr>
              <w:t>Tel qu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il a été indiqué dans l</w:t>
            </w:r>
            <w:r w:rsidR="00751A1A">
              <w:rPr>
                <w:szCs w:val="22"/>
                <w:lang w:val="fr-CH"/>
              </w:rPr>
              <w:t>’</w:t>
            </w:r>
            <w:r w:rsidR="00751A1A" w:rsidRPr="00120311">
              <w:rPr>
                <w:szCs w:val="22"/>
                <w:lang w:val="fr-CH"/>
              </w:rPr>
              <w:t>annexe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I</w:t>
            </w:r>
            <w:r w:rsidRPr="00120311">
              <w:rPr>
                <w:szCs w:val="22"/>
                <w:lang w:val="fr-CH"/>
              </w:rPr>
              <w:t>I du</w:t>
            </w:r>
            <w:r w:rsidR="00545D5D" w:rsidRPr="00120311">
              <w:rPr>
                <w:szCs w:val="22"/>
                <w:lang w:val="fr-CH"/>
              </w:rPr>
              <w:t xml:space="preserve"> rapport sur l</w:t>
            </w:r>
            <w:r w:rsidR="00751A1A">
              <w:rPr>
                <w:szCs w:val="22"/>
                <w:lang w:val="fr-CH"/>
              </w:rPr>
              <w:t>’</w:t>
            </w:r>
            <w:r w:rsidR="00545D5D" w:rsidRPr="00120311">
              <w:rPr>
                <w:szCs w:val="22"/>
                <w:lang w:val="fr-CH"/>
              </w:rPr>
              <w:t>état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avancement du projet</w:t>
            </w:r>
            <w:r w:rsidR="00545D5D" w:rsidRPr="00120311">
              <w:rPr>
                <w:szCs w:val="22"/>
                <w:lang w:val="fr-CH"/>
              </w:rPr>
              <w:t xml:space="preserve"> </w:t>
            </w:r>
            <w:r w:rsidR="00A80BCE" w:rsidRPr="00120311">
              <w:rPr>
                <w:iCs/>
                <w:lang w:val="fr-CH"/>
              </w:rPr>
              <w:t xml:space="preserve">CDIP/22/2, </w:t>
            </w:r>
            <w:r w:rsidR="000225EA" w:rsidRPr="00120311">
              <w:rPr>
                <w:iCs/>
                <w:lang w:val="fr-CH"/>
              </w:rPr>
              <w:t xml:space="preserve">le fait de </w:t>
            </w:r>
            <w:r w:rsidRPr="00120311">
              <w:rPr>
                <w:iCs/>
                <w:lang w:val="fr-CH"/>
              </w:rPr>
              <w:t>préciser avec clarté, dès le début, la contribution spécifique de chaque expert a favorisé le processus collaboratif de rédaction des guid</w:t>
            </w:r>
            <w:r w:rsidR="00916BDB" w:rsidRPr="00120311">
              <w:rPr>
                <w:iCs/>
                <w:lang w:val="fr-CH"/>
              </w:rPr>
              <w:t>es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Le</w:t>
            </w:r>
            <w:r w:rsidRPr="00120311">
              <w:rPr>
                <w:iCs/>
                <w:lang w:val="fr-CH"/>
              </w:rPr>
              <w:t xml:space="preserve">s experts principaux ont joué un rôle crucial en </w:t>
            </w:r>
            <w:r w:rsidR="00050D1F" w:rsidRPr="00120311">
              <w:rPr>
                <w:iCs/>
                <w:lang w:val="fr-CH"/>
              </w:rPr>
              <w:t>compilant</w:t>
            </w:r>
            <w:r w:rsidRPr="00120311">
              <w:rPr>
                <w:iCs/>
                <w:lang w:val="fr-CH"/>
              </w:rPr>
              <w:t xml:space="preserve"> et en révisant les contributions des cinq</w:t>
            </w:r>
            <w:r w:rsidR="001045DE">
              <w:rPr>
                <w:iCs/>
                <w:lang w:val="fr-CH"/>
              </w:rPr>
              <w:t> </w:t>
            </w:r>
            <w:r w:rsidRPr="00120311">
              <w:rPr>
                <w:iCs/>
                <w:lang w:val="fr-CH"/>
              </w:rPr>
              <w:t xml:space="preserve">experts associés </w:t>
            </w:r>
            <w:r w:rsidR="00050D1F" w:rsidRPr="00120311">
              <w:rPr>
                <w:iCs/>
                <w:lang w:val="fr-CH"/>
              </w:rPr>
              <w:t>doté</w:t>
            </w:r>
            <w:r w:rsidRPr="00120311">
              <w:rPr>
                <w:iCs/>
                <w:lang w:val="fr-CH"/>
              </w:rPr>
              <w:t>s de formation et d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>expériences variées et de plumes différent</w:t>
            </w:r>
            <w:r w:rsidR="00916BDB" w:rsidRPr="00120311">
              <w:rPr>
                <w:iCs/>
                <w:lang w:val="fr-CH"/>
              </w:rPr>
              <w:t>es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La</w:t>
            </w:r>
            <w:r w:rsidR="003C1F62" w:rsidRPr="00120311">
              <w:rPr>
                <w:iCs/>
                <w:lang w:val="fr-CH"/>
              </w:rPr>
              <w:t xml:space="preserve"> </w:t>
            </w:r>
            <w:r w:rsidR="00050D1F" w:rsidRPr="00120311">
              <w:rPr>
                <w:iCs/>
                <w:lang w:val="fr-CH"/>
              </w:rPr>
              <w:t>capacité à synthétiser et à organiser les informations afin de rendre fluide l</w:t>
            </w:r>
            <w:r w:rsidR="00751A1A">
              <w:rPr>
                <w:iCs/>
                <w:lang w:val="fr-CH"/>
              </w:rPr>
              <w:t>’</w:t>
            </w:r>
            <w:r w:rsidR="00050D1F" w:rsidRPr="00120311">
              <w:rPr>
                <w:iCs/>
                <w:lang w:val="fr-CH"/>
              </w:rPr>
              <w:t xml:space="preserve">enchaînement des sections </w:t>
            </w:r>
            <w:r w:rsidR="003C1F62" w:rsidRPr="00120311">
              <w:rPr>
                <w:iCs/>
                <w:lang w:val="fr-CH"/>
              </w:rPr>
              <w:t>s</w:t>
            </w:r>
            <w:r w:rsidR="00751A1A">
              <w:rPr>
                <w:iCs/>
                <w:lang w:val="fr-CH"/>
              </w:rPr>
              <w:t>’</w:t>
            </w:r>
            <w:r w:rsidR="003C1F62" w:rsidRPr="00120311">
              <w:rPr>
                <w:iCs/>
                <w:lang w:val="fr-CH"/>
              </w:rPr>
              <w:t>est révélée</w:t>
            </w:r>
            <w:r w:rsidR="00050D1F" w:rsidRPr="00120311">
              <w:rPr>
                <w:iCs/>
                <w:lang w:val="fr-CH"/>
              </w:rPr>
              <w:t xml:space="preserve"> essentielle afin de garantir le succès de cette entreprise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A80BCE" w:rsidRPr="00120311" w:rsidRDefault="00253B35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 xml:space="preserve">La participation des experts principaux au processus de publication lors de la phase de </w:t>
            </w:r>
            <w:r w:rsidR="00102378" w:rsidRPr="00120311">
              <w:rPr>
                <w:iCs/>
                <w:lang w:val="fr-CH"/>
              </w:rPr>
              <w:t>correction</w:t>
            </w:r>
            <w:r w:rsidRPr="00120311">
              <w:rPr>
                <w:iCs/>
                <w:lang w:val="fr-CH"/>
              </w:rPr>
              <w:t xml:space="preserve"> professionnelle par un</w:t>
            </w:r>
            <w:r w:rsidR="00102378" w:rsidRPr="00120311">
              <w:rPr>
                <w:iCs/>
                <w:lang w:val="fr-CH"/>
              </w:rPr>
              <w:t xml:space="preserve"> correcteur externe s</w:t>
            </w:r>
            <w:r w:rsidR="00751A1A">
              <w:rPr>
                <w:iCs/>
                <w:lang w:val="fr-CH"/>
              </w:rPr>
              <w:t>’</w:t>
            </w:r>
            <w:r w:rsidR="00102378" w:rsidRPr="00120311">
              <w:rPr>
                <w:iCs/>
                <w:lang w:val="fr-CH"/>
              </w:rPr>
              <w:t xml:space="preserve">est également révélée cruciale afin de </w:t>
            </w:r>
            <w:r w:rsidR="000225EA" w:rsidRPr="00120311">
              <w:rPr>
                <w:iCs/>
                <w:lang w:val="fr-CH"/>
              </w:rPr>
              <w:t>veiller à ce que</w:t>
            </w:r>
            <w:r w:rsidR="00102378" w:rsidRPr="00120311">
              <w:rPr>
                <w:iCs/>
                <w:lang w:val="fr-CH"/>
              </w:rPr>
              <w:t xml:space="preserve">, </w:t>
            </w:r>
            <w:r w:rsidR="000225EA" w:rsidRPr="00120311">
              <w:rPr>
                <w:iCs/>
                <w:lang w:val="fr-CH"/>
              </w:rPr>
              <w:lastRenderedPageBreak/>
              <w:t>malgré une simplification du</w:t>
            </w:r>
            <w:r w:rsidR="00102378" w:rsidRPr="00120311">
              <w:rPr>
                <w:iCs/>
                <w:lang w:val="fr-CH"/>
              </w:rPr>
              <w:t xml:space="preserve"> contenu </w:t>
            </w:r>
            <w:r w:rsidR="000225EA" w:rsidRPr="00120311">
              <w:rPr>
                <w:iCs/>
                <w:lang w:val="fr-CH"/>
              </w:rPr>
              <w:t>destinée à rendre</w:t>
            </w:r>
            <w:r w:rsidR="00103A57" w:rsidRPr="00120311">
              <w:rPr>
                <w:iCs/>
                <w:lang w:val="fr-CH"/>
              </w:rPr>
              <w:t xml:space="preserve"> la lecture</w:t>
            </w:r>
            <w:r w:rsidR="000225EA" w:rsidRPr="00120311">
              <w:rPr>
                <w:iCs/>
                <w:lang w:val="fr-CH"/>
              </w:rPr>
              <w:t xml:space="preserve"> plus aisée, </w:t>
            </w:r>
            <w:r w:rsidR="00EC1A89" w:rsidRPr="00120311">
              <w:rPr>
                <w:iCs/>
                <w:lang w:val="fr-CH"/>
              </w:rPr>
              <w:t>l</w:t>
            </w:r>
            <w:r w:rsidR="00102378" w:rsidRPr="00120311">
              <w:rPr>
                <w:iCs/>
                <w:lang w:val="fr-CH"/>
              </w:rPr>
              <w:t>a terminologie relative à la propriété intellectuelle reste</w:t>
            </w:r>
            <w:r w:rsidR="00F20E75" w:rsidRPr="00120311">
              <w:rPr>
                <w:iCs/>
                <w:lang w:val="fr-CH"/>
              </w:rPr>
              <w:t xml:space="preserve"> correc</w:t>
            </w:r>
            <w:r w:rsidR="00916BDB" w:rsidRPr="00120311">
              <w:rPr>
                <w:iCs/>
                <w:lang w:val="fr-CH"/>
              </w:rPr>
              <w:t>te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Co</w:t>
            </w:r>
            <w:r w:rsidR="00F20E75" w:rsidRPr="00120311">
              <w:rPr>
                <w:iCs/>
                <w:lang w:val="fr-CH"/>
              </w:rPr>
              <w:t>mpte tenu de ce processus de long</w:t>
            </w:r>
            <w:r w:rsidR="00017392" w:rsidRPr="00120311">
              <w:rPr>
                <w:iCs/>
                <w:lang w:val="fr-CH"/>
              </w:rPr>
              <w:t>ue</w:t>
            </w:r>
            <w:r w:rsidR="00F20E75" w:rsidRPr="00120311">
              <w:rPr>
                <w:iCs/>
                <w:lang w:val="fr-CH"/>
              </w:rPr>
              <w:t xml:space="preserve"> haleine mais important pour garantir la qualité</w:t>
            </w:r>
            <w:r w:rsidR="00EC1A89" w:rsidRPr="00120311">
              <w:rPr>
                <w:iCs/>
                <w:lang w:val="fr-CH"/>
              </w:rPr>
              <w:t xml:space="preserve"> du résultat</w:t>
            </w:r>
            <w:r w:rsidR="00F20E75" w:rsidRPr="00120311">
              <w:rPr>
                <w:iCs/>
                <w:lang w:val="fr-CH"/>
              </w:rPr>
              <w:t xml:space="preserve">, </w:t>
            </w:r>
            <w:r w:rsidR="000225EA" w:rsidRPr="00120311">
              <w:rPr>
                <w:iCs/>
                <w:lang w:val="fr-CH"/>
              </w:rPr>
              <w:t>il conviendrait d</w:t>
            </w:r>
            <w:r w:rsidR="00751A1A">
              <w:rPr>
                <w:iCs/>
                <w:lang w:val="fr-CH"/>
              </w:rPr>
              <w:t>’</w:t>
            </w:r>
            <w:r w:rsidR="000225EA" w:rsidRPr="00120311">
              <w:rPr>
                <w:iCs/>
                <w:lang w:val="fr-CH"/>
              </w:rPr>
              <w:t xml:space="preserve">inclure </w:t>
            </w:r>
            <w:r w:rsidR="00F20E75" w:rsidRPr="00120311">
              <w:rPr>
                <w:iCs/>
                <w:lang w:val="fr-CH"/>
              </w:rPr>
              <w:t xml:space="preserve">cette étape dans le </w:t>
            </w:r>
            <w:r w:rsidR="00017392" w:rsidRPr="00120311">
              <w:rPr>
                <w:iCs/>
                <w:lang w:val="fr-CH"/>
              </w:rPr>
              <w:t xml:space="preserve">plan de projet </w:t>
            </w:r>
            <w:r w:rsidR="000225EA" w:rsidRPr="00120311">
              <w:rPr>
                <w:iCs/>
                <w:lang w:val="fr-CH"/>
              </w:rPr>
              <w:t>et</w:t>
            </w:r>
            <w:r w:rsidR="00017392" w:rsidRPr="00120311">
              <w:rPr>
                <w:iCs/>
                <w:lang w:val="fr-CH"/>
              </w:rPr>
              <w:t xml:space="preserve"> </w:t>
            </w:r>
            <w:r w:rsidR="000225EA" w:rsidRPr="00120311">
              <w:rPr>
                <w:iCs/>
                <w:lang w:val="fr-CH"/>
              </w:rPr>
              <w:t>de lui allouer les</w:t>
            </w:r>
            <w:r w:rsidR="00017392" w:rsidRPr="00120311">
              <w:rPr>
                <w:iCs/>
                <w:lang w:val="fr-CH"/>
              </w:rPr>
              <w:t xml:space="preserve"> ressources appropriées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1C3580" w:rsidRPr="00120311" w:rsidRDefault="00050D1F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Les travaux de pilotage des</w:t>
            </w:r>
            <w:r w:rsidR="00253B35" w:rsidRPr="00120311">
              <w:rPr>
                <w:iCs/>
                <w:lang w:val="fr-CH"/>
              </w:rPr>
              <w:t xml:space="preserve"> guides dans</w:t>
            </w:r>
            <w:r w:rsidR="00751A1A" w:rsidRPr="00120311">
              <w:rPr>
                <w:iCs/>
                <w:lang w:val="fr-CH"/>
              </w:rPr>
              <w:t xml:space="preserve"> les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CAT</w:t>
            </w:r>
            <w:r w:rsidR="00253B35" w:rsidRPr="00120311">
              <w:rPr>
                <w:iCs/>
                <w:lang w:val="fr-CH"/>
              </w:rPr>
              <w:t>I sélectionnés se sont également révélés cruciaux pour approuver leur contenu et faire connaître leur vale</w:t>
            </w:r>
            <w:r w:rsidR="00916BDB" w:rsidRPr="00120311">
              <w:rPr>
                <w:iCs/>
                <w:lang w:val="fr-CH"/>
              </w:rPr>
              <w:t>ur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Le</w:t>
            </w:r>
            <w:r w:rsidR="00253B35" w:rsidRPr="00120311">
              <w:rPr>
                <w:iCs/>
                <w:lang w:val="fr-CH"/>
              </w:rPr>
              <w:t xml:space="preserve">s commentaires résultants de cet exercice se sont révélés très utiles </w:t>
            </w:r>
            <w:r w:rsidR="00027E16">
              <w:rPr>
                <w:iCs/>
                <w:lang w:val="fr-CH"/>
              </w:rPr>
              <w:t>non</w:t>
            </w:r>
            <w:r w:rsidR="00253B35" w:rsidRPr="00120311">
              <w:rPr>
                <w:iCs/>
                <w:lang w:val="fr-CH"/>
              </w:rPr>
              <w:t xml:space="preserve"> seulement afin de mettre en valeur l</w:t>
            </w:r>
            <w:r w:rsidR="00751A1A">
              <w:rPr>
                <w:iCs/>
                <w:lang w:val="fr-CH"/>
              </w:rPr>
              <w:t>’</w:t>
            </w:r>
            <w:r w:rsidR="00253B35" w:rsidRPr="00120311">
              <w:rPr>
                <w:iCs/>
                <w:lang w:val="fr-CH"/>
              </w:rPr>
              <w:t>importance de ces nouveaux outils pour</w:t>
            </w:r>
            <w:r w:rsidR="00751A1A" w:rsidRPr="00120311">
              <w:rPr>
                <w:iCs/>
                <w:lang w:val="fr-CH"/>
              </w:rPr>
              <w:t xml:space="preserve"> les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CAT</w:t>
            </w:r>
            <w:r w:rsidR="00253B35" w:rsidRPr="00120311">
              <w:rPr>
                <w:iCs/>
                <w:lang w:val="fr-CH"/>
              </w:rPr>
              <w:t>I, mais également afin d</w:t>
            </w:r>
            <w:r w:rsidR="00751A1A">
              <w:rPr>
                <w:iCs/>
                <w:lang w:val="fr-CH"/>
              </w:rPr>
              <w:t>’</w:t>
            </w:r>
            <w:r w:rsidR="00253B35" w:rsidRPr="00120311">
              <w:rPr>
                <w:iCs/>
                <w:lang w:val="fr-CH"/>
              </w:rPr>
              <w:t>aider à améliorer le contenu</w:t>
            </w:r>
            <w:r w:rsidR="00A80BCE" w:rsidRPr="00120311">
              <w:rPr>
                <w:iCs/>
                <w:lang w:val="fr-CH"/>
              </w:rPr>
              <w:t>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0A475D" w:rsidP="00EF1FF2">
            <w:pPr>
              <w:pStyle w:val="Heading3"/>
              <w:keepNext w:val="0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lastRenderedPageBreak/>
              <w:t xml:space="preserve">Risques et </w:t>
            </w:r>
            <w:r w:rsidR="00425696" w:rsidRPr="00120311">
              <w:rPr>
                <w:lang w:val="fr-CH"/>
              </w:rPr>
              <w:t>stratégies d</w:t>
            </w:r>
            <w:r w:rsidR="00751A1A">
              <w:rPr>
                <w:lang w:val="fr-CH"/>
              </w:rPr>
              <w:t>’</w:t>
            </w:r>
            <w:r w:rsidR="00425696" w:rsidRPr="00120311">
              <w:rPr>
                <w:lang w:val="fr-CH"/>
              </w:rPr>
              <w:t>atténuation</w:t>
            </w:r>
          </w:p>
        </w:tc>
        <w:tc>
          <w:tcPr>
            <w:tcW w:w="7069" w:type="dxa"/>
          </w:tcPr>
          <w:p w:rsidR="00A80BCE" w:rsidRPr="00120311" w:rsidRDefault="00073E8D" w:rsidP="00EF1FF2">
            <w:pPr>
              <w:rPr>
                <w:szCs w:val="22"/>
                <w:lang w:val="fr-CH"/>
              </w:rPr>
            </w:pPr>
            <w:r w:rsidRPr="00120311">
              <w:rPr>
                <w:iCs/>
                <w:szCs w:val="22"/>
                <w:lang w:val="fr-CH"/>
              </w:rPr>
              <w:t>Parmi les risques recensés, l</w:t>
            </w:r>
            <w:r w:rsidR="00F71F22" w:rsidRPr="00120311">
              <w:rPr>
                <w:iCs/>
                <w:szCs w:val="22"/>
                <w:lang w:val="fr-CH"/>
              </w:rPr>
              <w:t xml:space="preserve">e document de projet a </w:t>
            </w:r>
            <w:r w:rsidRPr="00120311">
              <w:rPr>
                <w:iCs/>
                <w:szCs w:val="22"/>
                <w:lang w:val="fr-CH"/>
              </w:rPr>
              <w:t>mentionné</w:t>
            </w:r>
            <w:r w:rsidR="00F71F22" w:rsidRPr="00120311">
              <w:rPr>
                <w:iCs/>
                <w:szCs w:val="22"/>
                <w:lang w:val="fr-CH"/>
              </w:rPr>
              <w:t xml:space="preserve"> la capacité insuffisante du personnel</w:t>
            </w:r>
            <w:r w:rsidR="00751A1A" w:rsidRPr="00120311">
              <w:rPr>
                <w:iCs/>
                <w:szCs w:val="22"/>
                <w:lang w:val="fr-CH"/>
              </w:rPr>
              <w:t xml:space="preserve"> des</w:t>
            </w:r>
            <w:r w:rsidR="00751A1A">
              <w:rPr>
                <w:iCs/>
                <w:szCs w:val="22"/>
                <w:lang w:val="fr-CH"/>
              </w:rPr>
              <w:t> </w:t>
            </w:r>
            <w:r w:rsidR="00751A1A" w:rsidRPr="00120311">
              <w:rPr>
                <w:iCs/>
                <w:szCs w:val="22"/>
                <w:lang w:val="fr-CH"/>
              </w:rPr>
              <w:t>CAT</w:t>
            </w:r>
            <w:r w:rsidR="00F71F22" w:rsidRPr="00120311">
              <w:rPr>
                <w:iCs/>
                <w:szCs w:val="22"/>
                <w:lang w:val="fr-CH"/>
              </w:rPr>
              <w:t xml:space="preserve">I </w:t>
            </w:r>
            <w:r w:rsidR="00913AE1" w:rsidRPr="00120311">
              <w:rPr>
                <w:iCs/>
                <w:szCs w:val="22"/>
                <w:lang w:val="fr-CH"/>
              </w:rPr>
              <w:t>s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="00913AE1" w:rsidRPr="00120311">
              <w:rPr>
                <w:iCs/>
                <w:szCs w:val="22"/>
                <w:lang w:val="fr-CH"/>
              </w:rPr>
              <w:t>agissant de comprendre et d</w:t>
            </w:r>
            <w:r w:rsidR="00751A1A">
              <w:rPr>
                <w:iCs/>
                <w:szCs w:val="22"/>
                <w:lang w:val="fr-CH"/>
              </w:rPr>
              <w:t>’</w:t>
            </w:r>
            <w:r w:rsidR="00913AE1" w:rsidRPr="00120311">
              <w:rPr>
                <w:iCs/>
                <w:szCs w:val="22"/>
                <w:lang w:val="fr-CH"/>
              </w:rPr>
              <w:t>utiliser efficacement les informations contenues dans les guides pratiqu</w:t>
            </w:r>
            <w:r w:rsidR="00916BDB" w:rsidRPr="00120311">
              <w:rPr>
                <w:iCs/>
                <w:szCs w:val="22"/>
                <w:lang w:val="fr-CH"/>
              </w:rPr>
              <w:t>es</w:t>
            </w:r>
            <w:r w:rsidR="00916BDB">
              <w:rPr>
                <w:iCs/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>Af</w:t>
            </w:r>
            <w:r w:rsidR="00913AE1" w:rsidRPr="00120311">
              <w:rPr>
                <w:szCs w:val="22"/>
                <w:lang w:val="fr-CH"/>
              </w:rPr>
              <w:t>in d</w:t>
            </w:r>
            <w:r w:rsidR="00751A1A">
              <w:rPr>
                <w:szCs w:val="22"/>
                <w:lang w:val="fr-CH"/>
              </w:rPr>
              <w:t>’</w:t>
            </w:r>
            <w:r w:rsidR="00913AE1" w:rsidRPr="00120311">
              <w:rPr>
                <w:szCs w:val="22"/>
                <w:lang w:val="fr-CH"/>
              </w:rPr>
              <w:t xml:space="preserve">atténuer ce risque, des </w:t>
            </w:r>
            <w:r w:rsidR="00991069" w:rsidRPr="00120311">
              <w:rPr>
                <w:szCs w:val="22"/>
                <w:lang w:val="fr-CH"/>
              </w:rPr>
              <w:t>mesures</w:t>
            </w:r>
            <w:r w:rsidR="00913AE1" w:rsidRPr="00120311">
              <w:rPr>
                <w:szCs w:val="22"/>
                <w:lang w:val="fr-CH"/>
              </w:rPr>
              <w:t xml:space="preserve"> ont été </w:t>
            </w:r>
            <w:r w:rsidR="00991069" w:rsidRPr="00120311">
              <w:rPr>
                <w:szCs w:val="22"/>
                <w:lang w:val="fr-CH"/>
              </w:rPr>
              <w:t>prises</w:t>
            </w:r>
            <w:r w:rsidR="00913AE1" w:rsidRPr="00120311">
              <w:rPr>
                <w:szCs w:val="22"/>
                <w:lang w:val="fr-CH"/>
              </w:rPr>
              <w:t xml:space="preserve"> </w:t>
            </w:r>
            <w:r w:rsidR="00780F67" w:rsidRPr="00120311">
              <w:rPr>
                <w:szCs w:val="22"/>
                <w:lang w:val="fr-CH"/>
              </w:rPr>
              <w:t>pour</w:t>
            </w:r>
            <w:r w:rsidR="00913AE1" w:rsidRPr="00120311">
              <w:rPr>
                <w:szCs w:val="22"/>
                <w:lang w:val="fr-CH"/>
              </w:rPr>
              <w:t xml:space="preserve"> s</w:t>
            </w:r>
            <w:r w:rsidR="00751A1A">
              <w:rPr>
                <w:szCs w:val="22"/>
                <w:lang w:val="fr-CH"/>
              </w:rPr>
              <w:t>’</w:t>
            </w:r>
            <w:r w:rsidR="00913AE1" w:rsidRPr="00120311">
              <w:rPr>
                <w:szCs w:val="22"/>
                <w:lang w:val="fr-CH"/>
              </w:rPr>
              <w:t>assurer que les guides seraient adaptés aux besoins et aux capacités du personnel</w:t>
            </w:r>
            <w:r w:rsidR="00751A1A" w:rsidRPr="00120311">
              <w:rPr>
                <w:szCs w:val="22"/>
                <w:lang w:val="fr-CH"/>
              </w:rPr>
              <w:t xml:space="preserve"> des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="00913AE1" w:rsidRPr="00120311">
              <w:rPr>
                <w:szCs w:val="22"/>
                <w:lang w:val="fr-CH"/>
              </w:rPr>
              <w:t>I telles qu</w:t>
            </w:r>
            <w:r w:rsidR="00751A1A">
              <w:rPr>
                <w:szCs w:val="22"/>
                <w:lang w:val="fr-CH"/>
              </w:rPr>
              <w:t>’</w:t>
            </w:r>
            <w:r w:rsidR="00913AE1" w:rsidRPr="00120311">
              <w:rPr>
                <w:szCs w:val="22"/>
                <w:lang w:val="fr-CH"/>
              </w:rPr>
              <w:t xml:space="preserve">elles </w:t>
            </w:r>
            <w:r w:rsidR="005C6D68" w:rsidRPr="00120311">
              <w:rPr>
                <w:szCs w:val="22"/>
                <w:lang w:val="fr-CH"/>
              </w:rPr>
              <w:t>ont été</w:t>
            </w:r>
            <w:r w:rsidR="00913AE1" w:rsidRPr="00120311">
              <w:rPr>
                <w:szCs w:val="22"/>
                <w:lang w:val="fr-CH"/>
              </w:rPr>
              <w:t xml:space="preserve"> évalué</w:t>
            </w:r>
            <w:r w:rsidR="00916BDB" w:rsidRPr="00120311">
              <w:rPr>
                <w:szCs w:val="22"/>
                <w:lang w:val="fr-CH"/>
              </w:rPr>
              <w:t>es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>Po</w:t>
            </w:r>
            <w:r w:rsidR="00780F67" w:rsidRPr="00120311">
              <w:rPr>
                <w:szCs w:val="22"/>
                <w:lang w:val="fr-CH"/>
              </w:rPr>
              <w:t>ur ce faire, des travaux de pilotage des guides ont été effectués au sein de neuf</w:t>
            </w:r>
            <w:r w:rsidR="001045DE">
              <w:rPr>
                <w:szCs w:val="22"/>
                <w:lang w:val="fr-CH"/>
              </w:rPr>
              <w:t> </w:t>
            </w:r>
            <w:r w:rsidR="00780F67" w:rsidRPr="00120311">
              <w:rPr>
                <w:szCs w:val="22"/>
                <w:lang w:val="fr-CH"/>
              </w:rPr>
              <w:t xml:space="preserve">réseaux </w:t>
            </w:r>
            <w:r w:rsidR="005C6D68" w:rsidRPr="00120311">
              <w:rPr>
                <w:szCs w:val="22"/>
                <w:lang w:val="fr-CH"/>
              </w:rPr>
              <w:t xml:space="preserve">nationaux </w:t>
            </w:r>
            <w:r w:rsidR="00780F67" w:rsidRPr="00120311">
              <w:rPr>
                <w:szCs w:val="22"/>
                <w:lang w:val="fr-CH"/>
              </w:rPr>
              <w:t>de C</w:t>
            </w:r>
            <w:r w:rsidR="00916BDB" w:rsidRPr="00120311">
              <w:rPr>
                <w:szCs w:val="22"/>
                <w:lang w:val="fr-CH"/>
              </w:rPr>
              <w:t>ATI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>Le</w:t>
            </w:r>
            <w:r w:rsidR="00780F67" w:rsidRPr="00120311">
              <w:rPr>
                <w:szCs w:val="22"/>
                <w:lang w:val="fr-CH"/>
              </w:rPr>
              <w:t>s commentaires recueillis à cette occasion ont été pris en compte au cours du processus de révision et intégrés dans les guides</w:t>
            </w:r>
            <w:r w:rsidR="00A80BCE" w:rsidRPr="00120311">
              <w:rPr>
                <w:iCs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iCs/>
                <w:lang w:val="fr-CH"/>
              </w:rPr>
            </w:pPr>
          </w:p>
          <w:p w:rsidR="00751A1A" w:rsidRDefault="009F57D2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La constitution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un groupe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 xml:space="preserve">experts </w:t>
            </w:r>
            <w:r w:rsidR="0012181A" w:rsidRPr="00120311">
              <w:rPr>
                <w:szCs w:val="22"/>
                <w:lang w:val="fr-CH"/>
              </w:rPr>
              <w:t>afin d</w:t>
            </w:r>
            <w:r w:rsidR="00751A1A">
              <w:rPr>
                <w:szCs w:val="22"/>
                <w:lang w:val="fr-CH"/>
              </w:rPr>
              <w:t>’</w:t>
            </w:r>
            <w:r w:rsidR="0012181A" w:rsidRPr="00120311">
              <w:rPr>
                <w:szCs w:val="22"/>
                <w:lang w:val="fr-CH"/>
              </w:rPr>
              <w:t>aider</w:t>
            </w:r>
            <w:r w:rsidR="00751A1A" w:rsidRPr="00120311">
              <w:rPr>
                <w:szCs w:val="22"/>
                <w:lang w:val="fr-CH"/>
              </w:rPr>
              <w:t xml:space="preserve"> les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="0012181A" w:rsidRPr="00120311">
              <w:rPr>
                <w:szCs w:val="22"/>
                <w:lang w:val="fr-CH"/>
              </w:rPr>
              <w:t>I à utiliser les guides une fois que le projet aura pris fin</w:t>
            </w:r>
            <w:r w:rsidR="00A80BCE" w:rsidRPr="00120311">
              <w:rPr>
                <w:szCs w:val="22"/>
                <w:lang w:val="fr-CH"/>
              </w:rPr>
              <w:t xml:space="preserve"> </w:t>
            </w:r>
            <w:r w:rsidR="0012181A" w:rsidRPr="00120311">
              <w:rPr>
                <w:szCs w:val="22"/>
                <w:lang w:val="fr-CH"/>
              </w:rPr>
              <w:t xml:space="preserve">sera </w:t>
            </w:r>
            <w:r w:rsidR="00073E8D" w:rsidRPr="00120311">
              <w:rPr>
                <w:szCs w:val="22"/>
                <w:lang w:val="fr-CH"/>
              </w:rPr>
              <w:t>un moyen supplémentaire d</w:t>
            </w:r>
            <w:r w:rsidR="00751A1A">
              <w:rPr>
                <w:szCs w:val="22"/>
                <w:lang w:val="fr-CH"/>
              </w:rPr>
              <w:t>’</w:t>
            </w:r>
            <w:r w:rsidR="00073E8D" w:rsidRPr="00120311">
              <w:rPr>
                <w:szCs w:val="22"/>
                <w:lang w:val="fr-CH"/>
              </w:rPr>
              <w:t xml:space="preserve">atténuer </w:t>
            </w:r>
            <w:r w:rsidR="0012181A" w:rsidRPr="00120311">
              <w:rPr>
                <w:szCs w:val="22"/>
                <w:lang w:val="fr-CH"/>
              </w:rPr>
              <w:t>ce risq</w:t>
            </w:r>
            <w:r w:rsidR="00916BDB" w:rsidRPr="00120311">
              <w:rPr>
                <w:szCs w:val="22"/>
                <w:lang w:val="fr-CH"/>
              </w:rPr>
              <w:t>ue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 xml:space="preserve">À </w:t>
            </w:r>
            <w:r w:rsidR="00425696" w:rsidRPr="00120311">
              <w:rPr>
                <w:szCs w:val="22"/>
                <w:lang w:val="fr-CH"/>
              </w:rPr>
              <w:t>cet égard,</w:t>
            </w:r>
            <w:r w:rsidR="0012181A" w:rsidRPr="00120311">
              <w:rPr>
                <w:szCs w:val="22"/>
                <w:lang w:val="fr-CH"/>
              </w:rPr>
              <w:t xml:space="preserve"> </w:t>
            </w:r>
            <w:r w:rsidR="00991069" w:rsidRPr="00120311">
              <w:rPr>
                <w:szCs w:val="22"/>
                <w:lang w:val="fr-CH"/>
              </w:rPr>
              <w:t>des mesures ont été prises</w:t>
            </w:r>
            <w:r w:rsidR="00A80BCE" w:rsidRPr="00120311">
              <w:rPr>
                <w:szCs w:val="22"/>
                <w:lang w:val="fr-CH"/>
              </w:rPr>
              <w:t xml:space="preserve"> </w:t>
            </w:r>
            <w:r w:rsidR="00425696" w:rsidRPr="00120311">
              <w:rPr>
                <w:szCs w:val="22"/>
                <w:lang w:val="fr-CH"/>
              </w:rPr>
              <w:t xml:space="preserve">pour faire intervenir tous les experts, </w:t>
            </w:r>
            <w:r w:rsidR="00751A1A">
              <w:rPr>
                <w:szCs w:val="22"/>
                <w:lang w:val="fr-CH"/>
              </w:rPr>
              <w:t>y compris</w:t>
            </w:r>
            <w:r w:rsidR="00425696" w:rsidRPr="00120311">
              <w:rPr>
                <w:szCs w:val="22"/>
                <w:lang w:val="fr-CH"/>
              </w:rPr>
              <w:t xml:space="preserve"> les experts associés et les experts pays, dans les ateliers</w:t>
            </w:r>
            <w:r w:rsidR="007D09CB" w:rsidRPr="00120311">
              <w:rPr>
                <w:szCs w:val="22"/>
                <w:lang w:val="fr-CH"/>
              </w:rPr>
              <w:t>.</w:t>
            </w:r>
          </w:p>
          <w:p w:rsidR="00A80BCE" w:rsidRPr="00120311" w:rsidRDefault="00A80BCE" w:rsidP="00EF1FF2">
            <w:pPr>
              <w:rPr>
                <w:szCs w:val="22"/>
                <w:lang w:val="fr-CH"/>
              </w:rPr>
            </w:pPr>
          </w:p>
          <w:p w:rsidR="00A80BCE" w:rsidRPr="00120311" w:rsidRDefault="00425696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 xml:space="preserve">Un autre risque rencontré lors des ateliers </w:t>
            </w:r>
            <w:r w:rsidR="00B2656C" w:rsidRPr="00120311">
              <w:rPr>
                <w:iCs/>
                <w:lang w:val="fr-CH"/>
              </w:rPr>
              <w:t>réside dans</w:t>
            </w:r>
            <w:r w:rsidR="00EE6793" w:rsidRPr="00120311">
              <w:rPr>
                <w:iCs/>
                <w:lang w:val="fr-CH"/>
              </w:rPr>
              <w:t xml:space="preserve"> la diversité </w:t>
            </w:r>
            <w:r w:rsidR="00B2656C" w:rsidRPr="00120311">
              <w:rPr>
                <w:iCs/>
                <w:lang w:val="fr-CH"/>
              </w:rPr>
              <w:t>des</w:t>
            </w:r>
            <w:r w:rsidR="00EE6793" w:rsidRPr="00120311">
              <w:rPr>
                <w:iCs/>
                <w:lang w:val="fr-CH"/>
              </w:rPr>
              <w:t xml:space="preserve"> profil</w:t>
            </w:r>
            <w:r w:rsidR="00B2656C" w:rsidRPr="00120311">
              <w:rPr>
                <w:iCs/>
                <w:lang w:val="fr-CH"/>
              </w:rPr>
              <w:t>s</w:t>
            </w:r>
            <w:r w:rsidR="00EE6793" w:rsidRPr="00120311">
              <w:rPr>
                <w:iCs/>
                <w:lang w:val="fr-CH"/>
              </w:rPr>
              <w:t xml:space="preserve"> des participants CATI</w:t>
            </w:r>
            <w:r w:rsidR="00445605" w:rsidRPr="00120311">
              <w:rPr>
                <w:iCs/>
                <w:lang w:val="fr-CH"/>
              </w:rPr>
              <w:t>,</w:t>
            </w:r>
            <w:r w:rsidR="00A80BCE" w:rsidRPr="00120311">
              <w:rPr>
                <w:iCs/>
                <w:lang w:val="fr-CH"/>
              </w:rPr>
              <w:t xml:space="preserve"> </w:t>
            </w:r>
            <w:r w:rsidR="00EE6793" w:rsidRPr="00120311">
              <w:rPr>
                <w:iCs/>
                <w:lang w:val="fr-CH"/>
              </w:rPr>
              <w:t xml:space="preserve">un </w:t>
            </w:r>
            <w:r w:rsidR="00322AA6" w:rsidRPr="00120311">
              <w:rPr>
                <w:iCs/>
                <w:lang w:val="fr-CH"/>
              </w:rPr>
              <w:t xml:space="preserve">grand </w:t>
            </w:r>
            <w:r w:rsidR="00EE6793" w:rsidRPr="00120311">
              <w:rPr>
                <w:iCs/>
                <w:lang w:val="fr-CH"/>
              </w:rPr>
              <w:t xml:space="preserve">nombre </w:t>
            </w:r>
            <w:r w:rsidR="003E3C6B" w:rsidRPr="00120311">
              <w:rPr>
                <w:iCs/>
                <w:lang w:val="fr-CH"/>
              </w:rPr>
              <w:t>d</w:t>
            </w:r>
            <w:r w:rsidR="00751A1A">
              <w:rPr>
                <w:iCs/>
                <w:lang w:val="fr-CH"/>
              </w:rPr>
              <w:t>’</w:t>
            </w:r>
            <w:r w:rsidR="003E3C6B" w:rsidRPr="00120311">
              <w:rPr>
                <w:iCs/>
                <w:lang w:val="fr-CH"/>
              </w:rPr>
              <w:t>entre eux</w:t>
            </w:r>
            <w:r w:rsidR="00EE6793" w:rsidRPr="00120311">
              <w:rPr>
                <w:iCs/>
                <w:lang w:val="fr-CH"/>
              </w:rPr>
              <w:t xml:space="preserve"> </w:t>
            </w:r>
            <w:r w:rsidR="00322AA6" w:rsidRPr="00120311">
              <w:rPr>
                <w:iCs/>
                <w:lang w:val="fr-CH"/>
              </w:rPr>
              <w:t>n</w:t>
            </w:r>
            <w:r w:rsidR="00751A1A">
              <w:rPr>
                <w:iCs/>
                <w:lang w:val="fr-CH"/>
              </w:rPr>
              <w:t>’</w:t>
            </w:r>
            <w:r w:rsidR="00322AA6" w:rsidRPr="00120311">
              <w:rPr>
                <w:iCs/>
                <w:lang w:val="fr-CH"/>
              </w:rPr>
              <w:t>ayant pas assisté aux précédentes formations C</w:t>
            </w:r>
            <w:r w:rsidR="00916BDB" w:rsidRPr="00120311">
              <w:rPr>
                <w:iCs/>
                <w:lang w:val="fr-CH"/>
              </w:rPr>
              <w:t>ATI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Te</w:t>
            </w:r>
            <w:r w:rsidR="000721CA" w:rsidRPr="00120311">
              <w:rPr>
                <w:iCs/>
                <w:lang w:val="fr-CH"/>
              </w:rPr>
              <w:t>l qu</w:t>
            </w:r>
            <w:r w:rsidR="00751A1A">
              <w:rPr>
                <w:iCs/>
                <w:lang w:val="fr-CH"/>
              </w:rPr>
              <w:t>’</w:t>
            </w:r>
            <w:r w:rsidR="000721CA" w:rsidRPr="00120311">
              <w:rPr>
                <w:iCs/>
                <w:lang w:val="fr-CH"/>
              </w:rPr>
              <w:t>il a été indiqué dans le</w:t>
            </w:r>
            <w:r w:rsidR="007023A1" w:rsidRPr="00120311">
              <w:rPr>
                <w:iCs/>
                <w:lang w:val="fr-CH"/>
              </w:rPr>
              <w:t xml:space="preserve"> document de projet, les guides doivent compléter</w:t>
            </w:r>
            <w:r w:rsidR="000721CA" w:rsidRPr="00120311">
              <w:rPr>
                <w:iCs/>
                <w:lang w:val="fr-CH"/>
              </w:rPr>
              <w:t xml:space="preserve"> les services existants en s</w:t>
            </w:r>
            <w:r w:rsidR="00751A1A">
              <w:rPr>
                <w:iCs/>
                <w:lang w:val="fr-CH"/>
              </w:rPr>
              <w:t>’</w:t>
            </w:r>
            <w:r w:rsidR="000721CA" w:rsidRPr="00120311">
              <w:rPr>
                <w:iCs/>
                <w:lang w:val="fr-CH"/>
              </w:rPr>
              <w:t>appuyant sur les connaissances et services existants</w:t>
            </w:r>
            <w:r w:rsidR="002E1731" w:rsidRPr="00120311">
              <w:rPr>
                <w:iCs/>
                <w:lang w:val="fr-CH"/>
              </w:rPr>
              <w:t xml:space="preserve">, </w:t>
            </w:r>
            <w:r w:rsidR="007023A1" w:rsidRPr="00120311">
              <w:rPr>
                <w:iCs/>
                <w:lang w:val="fr-CH"/>
              </w:rPr>
              <w:t>par conséqu</w:t>
            </w:r>
            <w:r w:rsidR="00874691" w:rsidRPr="00120311">
              <w:rPr>
                <w:iCs/>
                <w:lang w:val="fr-CH"/>
              </w:rPr>
              <w:t>e</w:t>
            </w:r>
            <w:r w:rsidR="007023A1" w:rsidRPr="00120311">
              <w:rPr>
                <w:iCs/>
                <w:lang w:val="fr-CH"/>
              </w:rPr>
              <w:t>nt</w:t>
            </w:r>
            <w:r w:rsidR="002E1731" w:rsidRPr="00120311">
              <w:rPr>
                <w:iCs/>
                <w:lang w:val="fr-CH"/>
              </w:rPr>
              <w:t xml:space="preserve"> les utilisateurs des guides </w:t>
            </w:r>
            <w:r w:rsidR="007023A1" w:rsidRPr="00120311">
              <w:rPr>
                <w:iCs/>
                <w:lang w:val="fr-CH"/>
              </w:rPr>
              <w:t>sont censés</w:t>
            </w:r>
            <w:r w:rsidR="002E1731" w:rsidRPr="00120311">
              <w:rPr>
                <w:iCs/>
                <w:lang w:val="fr-CH"/>
              </w:rPr>
              <w:t xml:space="preserve"> </w:t>
            </w:r>
            <w:r w:rsidR="007023A1" w:rsidRPr="00120311">
              <w:rPr>
                <w:iCs/>
                <w:lang w:val="fr-CH"/>
              </w:rPr>
              <w:t>posséder</w:t>
            </w:r>
            <w:r w:rsidR="002E1731" w:rsidRPr="00120311">
              <w:rPr>
                <w:iCs/>
                <w:lang w:val="fr-CH"/>
              </w:rPr>
              <w:t xml:space="preserve"> des connaissances approfondies des informati</w:t>
            </w:r>
            <w:r w:rsidR="007023A1" w:rsidRPr="00120311">
              <w:rPr>
                <w:iCs/>
                <w:lang w:val="fr-CH"/>
              </w:rPr>
              <w:t>ons en matière de brevets et des</w:t>
            </w:r>
            <w:r w:rsidR="002E1731" w:rsidRPr="00120311">
              <w:rPr>
                <w:iCs/>
                <w:lang w:val="fr-CH"/>
              </w:rPr>
              <w:t xml:space="preserve"> techniques de recherc</w:t>
            </w:r>
            <w:r w:rsidR="00916BDB" w:rsidRPr="00120311">
              <w:rPr>
                <w:iCs/>
                <w:lang w:val="fr-CH"/>
              </w:rPr>
              <w:t>he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Si</w:t>
            </w:r>
            <w:r w:rsidR="002E1731" w:rsidRPr="00120311">
              <w:rPr>
                <w:iCs/>
                <w:lang w:val="fr-CH"/>
              </w:rPr>
              <w:t xml:space="preserve"> une attention particulière a été </w:t>
            </w:r>
            <w:r w:rsidR="00304AF9" w:rsidRPr="00120311">
              <w:rPr>
                <w:iCs/>
                <w:lang w:val="fr-CH"/>
              </w:rPr>
              <w:t>portée à la présentation</w:t>
            </w:r>
            <w:r w:rsidR="002E1731" w:rsidRPr="00120311">
              <w:rPr>
                <w:iCs/>
                <w:lang w:val="fr-CH"/>
              </w:rPr>
              <w:t xml:space="preserve"> </w:t>
            </w:r>
            <w:r w:rsidR="00304AF9" w:rsidRPr="00120311">
              <w:rPr>
                <w:iCs/>
                <w:lang w:val="fr-CH"/>
              </w:rPr>
              <w:t>des</w:t>
            </w:r>
            <w:r w:rsidR="002E1731" w:rsidRPr="00120311">
              <w:rPr>
                <w:iCs/>
                <w:lang w:val="fr-CH"/>
              </w:rPr>
              <w:t xml:space="preserve"> concepts de base avant de présenter les </w:t>
            </w:r>
            <w:r w:rsidR="00304AF9" w:rsidRPr="00120311">
              <w:rPr>
                <w:iCs/>
                <w:lang w:val="fr-CH"/>
              </w:rPr>
              <w:t xml:space="preserve">guides durant les ateliers </w:t>
            </w:r>
            <w:r w:rsidR="007023A1" w:rsidRPr="00120311">
              <w:rPr>
                <w:iCs/>
                <w:lang w:val="fr-CH"/>
              </w:rPr>
              <w:t xml:space="preserve">et </w:t>
            </w:r>
            <w:r w:rsidR="00304AF9" w:rsidRPr="00120311">
              <w:rPr>
                <w:iCs/>
                <w:lang w:val="fr-CH"/>
              </w:rPr>
              <w:t>à l</w:t>
            </w:r>
            <w:r w:rsidR="00751A1A">
              <w:rPr>
                <w:iCs/>
                <w:lang w:val="fr-CH"/>
              </w:rPr>
              <w:t>’</w:t>
            </w:r>
            <w:r w:rsidR="00304AF9" w:rsidRPr="00120311">
              <w:rPr>
                <w:iCs/>
                <w:lang w:val="fr-CH"/>
              </w:rPr>
              <w:t>adaptation du matériel de formation en conséquence, il convient de</w:t>
            </w:r>
            <w:r w:rsidR="000267A4" w:rsidRPr="00120311">
              <w:rPr>
                <w:iCs/>
                <w:lang w:val="fr-CH"/>
              </w:rPr>
              <w:t xml:space="preserve"> noter que les disparités observées </w:t>
            </w:r>
            <w:r w:rsidR="00304AF9" w:rsidRPr="00120311">
              <w:rPr>
                <w:iCs/>
                <w:lang w:val="fr-CH"/>
              </w:rPr>
              <w:t>peuvent être à l</w:t>
            </w:r>
            <w:r w:rsidR="00751A1A">
              <w:rPr>
                <w:iCs/>
                <w:lang w:val="fr-CH"/>
              </w:rPr>
              <w:t>’</w:t>
            </w:r>
            <w:r w:rsidR="00304AF9" w:rsidRPr="00120311">
              <w:rPr>
                <w:iCs/>
                <w:lang w:val="fr-CH"/>
              </w:rPr>
              <w:t>origine de différences dans les attentes des participants et dans leur capacité à assimiler les enseignements contenus dans les guides.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0A475D" w:rsidP="00EF1FF2">
            <w:pPr>
              <w:pStyle w:val="Heading3"/>
              <w:keepNext w:val="0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Taux 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>exécution du projet</w:t>
            </w:r>
            <w:r w:rsidR="00A80BCE" w:rsidRPr="00120311">
              <w:rPr>
                <w:lang w:val="fr-CH"/>
              </w:rPr>
              <w:t xml:space="preserve"> </w:t>
            </w:r>
          </w:p>
        </w:tc>
        <w:tc>
          <w:tcPr>
            <w:tcW w:w="7069" w:type="dxa"/>
          </w:tcPr>
          <w:p w:rsidR="00A80BCE" w:rsidRPr="00120311" w:rsidRDefault="006B7F93" w:rsidP="00EF1FF2">
            <w:pPr>
              <w:rPr>
                <w:iCs/>
                <w:lang w:val="fr-CH"/>
              </w:rPr>
            </w:pPr>
            <w:r w:rsidRPr="006B7F93">
              <w:rPr>
                <w:iCs/>
                <w:lang w:val="fr-CH"/>
              </w:rPr>
              <w:t xml:space="preserve">Taux d’utilisation du budget à la fin du mois </w:t>
            </w:r>
            <w:r>
              <w:rPr>
                <w:iCs/>
                <w:lang w:val="fr-CH"/>
              </w:rPr>
              <w:t>de juillet</w:t>
            </w:r>
            <w:r w:rsidRPr="006B7F93">
              <w:rPr>
                <w:iCs/>
                <w:lang w:val="fr-CH"/>
              </w:rPr>
              <w:t xml:space="preserve"> 201</w:t>
            </w:r>
            <w:r>
              <w:rPr>
                <w:iCs/>
                <w:lang w:val="fr-CH"/>
              </w:rPr>
              <w:t>9 </w:t>
            </w:r>
            <w:r w:rsidRPr="006B7F93">
              <w:rPr>
                <w:iCs/>
                <w:lang w:val="fr-CH"/>
              </w:rPr>
              <w:t xml:space="preserve">: </w:t>
            </w:r>
            <w:r w:rsidR="00A80BCE" w:rsidRPr="00120311">
              <w:rPr>
                <w:iCs/>
                <w:lang w:val="fr-CH"/>
              </w:rPr>
              <w:t>9</w:t>
            </w:r>
            <w:r w:rsidR="00291706" w:rsidRPr="00120311">
              <w:rPr>
                <w:iCs/>
                <w:lang w:val="fr-CH"/>
              </w:rPr>
              <w:t>4</w:t>
            </w:r>
            <w:r w:rsidR="00A80BCE" w:rsidRPr="00120311">
              <w:rPr>
                <w:iCs/>
                <w:lang w:val="fr-CH"/>
              </w:rPr>
              <w:t>%.</w:t>
            </w:r>
          </w:p>
        </w:tc>
      </w:tr>
      <w:tr w:rsidR="00A80BCE" w:rsidRPr="00120311" w:rsidTr="00EF1FF2">
        <w:tc>
          <w:tcPr>
            <w:tcW w:w="2376" w:type="dxa"/>
            <w:shd w:val="clear" w:color="auto" w:fill="auto"/>
          </w:tcPr>
          <w:p w:rsidR="00A80BCE" w:rsidRPr="00120311" w:rsidRDefault="000A475D" w:rsidP="00EF1FF2">
            <w:pPr>
              <w:pStyle w:val="Heading3"/>
              <w:keepNext w:val="0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Rapports/documents précédents</w:t>
            </w:r>
          </w:p>
        </w:tc>
        <w:tc>
          <w:tcPr>
            <w:tcW w:w="7069" w:type="dxa"/>
          </w:tcPr>
          <w:p w:rsidR="00A80BCE" w:rsidRPr="00120311" w:rsidRDefault="00A80BCE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CDIP/18/2</w:t>
            </w:r>
            <w:r w:rsidR="00017392" w:rsidRPr="00120311">
              <w:rPr>
                <w:iCs/>
                <w:lang w:val="fr-CH"/>
              </w:rPr>
              <w:t>,</w:t>
            </w:r>
            <w:r w:rsidRPr="00120311">
              <w:rPr>
                <w:iCs/>
                <w:lang w:val="fr-CH"/>
              </w:rPr>
              <w:t xml:space="preserve"> </w:t>
            </w:r>
            <w:r w:rsidR="00751A1A" w:rsidRPr="00120311">
              <w:rPr>
                <w:iCs/>
                <w:lang w:val="fr-CH"/>
              </w:rPr>
              <w:t>annexe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V</w:t>
            </w:r>
            <w:r w:rsidRPr="00120311">
              <w:rPr>
                <w:iCs/>
                <w:lang w:val="fr-CH"/>
              </w:rPr>
              <w:t xml:space="preserve">; </w:t>
            </w:r>
            <w:r w:rsidR="001045DE">
              <w:rPr>
                <w:iCs/>
                <w:lang w:val="fr-CH"/>
              </w:rPr>
              <w:t xml:space="preserve"> </w:t>
            </w:r>
            <w:r w:rsidRPr="00120311">
              <w:rPr>
                <w:iCs/>
                <w:lang w:val="fr-CH"/>
              </w:rPr>
              <w:t>CDIP/20/2</w:t>
            </w:r>
            <w:r w:rsidR="007023A1" w:rsidRPr="00120311">
              <w:rPr>
                <w:iCs/>
                <w:lang w:val="fr-CH"/>
              </w:rPr>
              <w:t xml:space="preserve">, </w:t>
            </w:r>
            <w:r w:rsidR="00751A1A" w:rsidRPr="00120311">
              <w:rPr>
                <w:iCs/>
                <w:lang w:val="fr-CH"/>
              </w:rPr>
              <w:t>annexe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V</w:t>
            </w:r>
            <w:r w:rsidRPr="00120311">
              <w:rPr>
                <w:iCs/>
                <w:lang w:val="fr-CH"/>
              </w:rPr>
              <w:t xml:space="preserve">; </w:t>
            </w:r>
            <w:r w:rsidR="001045DE">
              <w:rPr>
                <w:iCs/>
                <w:lang w:val="fr-CH"/>
              </w:rPr>
              <w:t xml:space="preserve"> </w:t>
            </w:r>
            <w:r w:rsidRPr="00120311">
              <w:rPr>
                <w:iCs/>
                <w:lang w:val="fr-CH"/>
              </w:rPr>
              <w:t>CDIP/22/2</w:t>
            </w:r>
            <w:r w:rsidR="007023A1" w:rsidRPr="00120311">
              <w:rPr>
                <w:iCs/>
                <w:lang w:val="fr-CH"/>
              </w:rPr>
              <w:t xml:space="preserve">, </w:t>
            </w:r>
            <w:r w:rsidR="00751A1A" w:rsidRPr="00120311">
              <w:rPr>
                <w:iCs/>
                <w:lang w:val="fr-CH"/>
              </w:rPr>
              <w:t>annexe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I</w:t>
            </w:r>
            <w:r w:rsidRPr="00120311">
              <w:rPr>
                <w:iCs/>
                <w:lang w:val="fr-CH"/>
              </w:rPr>
              <w:t>I.</w:t>
            </w:r>
          </w:p>
        </w:tc>
      </w:tr>
      <w:tr w:rsidR="00A80BCE" w:rsidRPr="00025E6D" w:rsidTr="00EF1FF2">
        <w:tc>
          <w:tcPr>
            <w:tcW w:w="2376" w:type="dxa"/>
            <w:shd w:val="clear" w:color="auto" w:fill="auto"/>
          </w:tcPr>
          <w:p w:rsidR="00A80BCE" w:rsidRPr="00120311" w:rsidRDefault="00304AF9" w:rsidP="00EF1FF2">
            <w:pPr>
              <w:pStyle w:val="Heading3"/>
              <w:keepNext w:val="0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Suivi</w:t>
            </w:r>
          </w:p>
        </w:tc>
        <w:tc>
          <w:tcPr>
            <w:tcW w:w="7069" w:type="dxa"/>
          </w:tcPr>
          <w:p w:rsidR="00751A1A" w:rsidRDefault="00304AF9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Afin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assurer la pérennité du projet</w:t>
            </w:r>
            <w:r w:rsidR="00860DE7" w:rsidRPr="00120311">
              <w:rPr>
                <w:szCs w:val="22"/>
                <w:lang w:val="fr-CH"/>
              </w:rPr>
              <w:t xml:space="preserve"> et, en particulier, </w:t>
            </w:r>
            <w:r w:rsidR="001914E7" w:rsidRPr="00120311">
              <w:rPr>
                <w:szCs w:val="22"/>
                <w:lang w:val="fr-CH"/>
              </w:rPr>
              <w:t>l</w:t>
            </w:r>
            <w:r w:rsidR="00751A1A">
              <w:rPr>
                <w:szCs w:val="22"/>
                <w:lang w:val="fr-CH"/>
              </w:rPr>
              <w:t>’</w:t>
            </w:r>
            <w:r w:rsidR="001914E7" w:rsidRPr="00120311">
              <w:rPr>
                <w:szCs w:val="22"/>
                <w:lang w:val="fr-CH"/>
              </w:rPr>
              <w:t>intégration</w:t>
            </w:r>
            <w:r w:rsidR="00860DE7" w:rsidRPr="00120311">
              <w:rPr>
                <w:szCs w:val="22"/>
                <w:lang w:val="fr-CH"/>
              </w:rPr>
              <w:t xml:space="preserve"> </w:t>
            </w:r>
            <w:r w:rsidR="001914E7" w:rsidRPr="00120311">
              <w:rPr>
                <w:szCs w:val="22"/>
                <w:lang w:val="fr-CH"/>
              </w:rPr>
              <w:t>dans les services de CATI des</w:t>
            </w:r>
            <w:r w:rsidR="00860DE7" w:rsidRPr="00120311">
              <w:rPr>
                <w:szCs w:val="22"/>
                <w:lang w:val="fr-CH"/>
              </w:rPr>
              <w:t xml:space="preserve"> nouveaux outils </w:t>
            </w:r>
            <w:r w:rsidR="00EE139A" w:rsidRPr="00120311">
              <w:rPr>
                <w:szCs w:val="22"/>
                <w:lang w:val="fr-CH"/>
              </w:rPr>
              <w:t>mis au point</w:t>
            </w:r>
            <w:r w:rsidR="00860DE7" w:rsidRPr="00120311">
              <w:rPr>
                <w:szCs w:val="22"/>
                <w:lang w:val="fr-CH"/>
              </w:rPr>
              <w:t xml:space="preserve"> dans le cadre du projet</w:t>
            </w:r>
            <w:r w:rsidR="00A80BCE" w:rsidRPr="00120311">
              <w:rPr>
                <w:szCs w:val="22"/>
                <w:lang w:val="fr-CH"/>
              </w:rPr>
              <w:t xml:space="preserve">, </w:t>
            </w:r>
            <w:r w:rsidR="00860DE7" w:rsidRPr="00120311">
              <w:rPr>
                <w:szCs w:val="22"/>
                <w:lang w:val="fr-CH"/>
              </w:rPr>
              <w:t>il est recommand</w:t>
            </w:r>
            <w:r w:rsidR="00102762" w:rsidRPr="00120311">
              <w:rPr>
                <w:szCs w:val="22"/>
                <w:lang w:val="fr-CH"/>
              </w:rPr>
              <w:t>é d</w:t>
            </w:r>
            <w:r w:rsidR="00751A1A">
              <w:rPr>
                <w:szCs w:val="22"/>
                <w:lang w:val="fr-CH"/>
              </w:rPr>
              <w:t>’</w:t>
            </w:r>
            <w:r w:rsidR="00102762" w:rsidRPr="00120311">
              <w:rPr>
                <w:szCs w:val="22"/>
                <w:lang w:val="fr-CH"/>
              </w:rPr>
              <w:t>intégrer ple</w:t>
            </w:r>
            <w:r w:rsidR="00860DE7" w:rsidRPr="00120311">
              <w:rPr>
                <w:szCs w:val="22"/>
                <w:lang w:val="fr-CH"/>
              </w:rPr>
              <w:t>inement les résultats du projet dans l</w:t>
            </w:r>
            <w:r w:rsidR="00751A1A">
              <w:rPr>
                <w:szCs w:val="22"/>
                <w:lang w:val="fr-CH"/>
              </w:rPr>
              <w:t>’</w:t>
            </w:r>
            <w:r w:rsidR="00860DE7" w:rsidRPr="00120311">
              <w:rPr>
                <w:szCs w:val="22"/>
                <w:lang w:val="fr-CH"/>
              </w:rPr>
              <w:t xml:space="preserve">exercice </w:t>
            </w:r>
            <w:r w:rsidR="00751A1A" w:rsidRPr="00120311">
              <w:rPr>
                <w:szCs w:val="22"/>
                <w:lang w:val="fr-CH"/>
              </w:rPr>
              <w:t>biennal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2020</w:t>
            </w:r>
            <w:r w:rsidR="00751A1A">
              <w:rPr>
                <w:szCs w:val="22"/>
                <w:lang w:val="fr-CH"/>
              </w:rPr>
              <w:t>-</w:t>
            </w:r>
            <w:r w:rsidR="00102762" w:rsidRPr="00120311">
              <w:rPr>
                <w:szCs w:val="22"/>
                <w:lang w:val="fr-CH"/>
              </w:rPr>
              <w:t>2021 du programme 14</w:t>
            </w:r>
            <w:r w:rsidR="00A80BCE" w:rsidRPr="00120311">
              <w:rPr>
                <w:szCs w:val="22"/>
                <w:lang w:val="fr-CH"/>
              </w:rPr>
              <w:t xml:space="preserve">.  </w:t>
            </w:r>
            <w:r w:rsidR="00102762" w:rsidRPr="00120311">
              <w:rPr>
                <w:szCs w:val="22"/>
                <w:lang w:val="fr-CH"/>
              </w:rPr>
              <w:t xml:space="preserve">Pour </w:t>
            </w:r>
            <w:r w:rsidR="00102762" w:rsidRPr="00120311">
              <w:rPr>
                <w:szCs w:val="22"/>
                <w:lang w:val="fr-CH"/>
              </w:rPr>
              <w:lastRenderedPageBreak/>
              <w:t xml:space="preserve">accroître le nombre de réseaux nationaux de CATI utilisant les guides et le portail, des formations pratiques supplémentaires seront nécessaires, comme le montrent les </w:t>
            </w:r>
            <w:r w:rsidR="004937F5" w:rsidRPr="00120311">
              <w:rPr>
                <w:szCs w:val="22"/>
                <w:lang w:val="fr-CH"/>
              </w:rPr>
              <w:t>commentaires</w:t>
            </w:r>
            <w:r w:rsidR="00102762" w:rsidRPr="00120311">
              <w:rPr>
                <w:szCs w:val="22"/>
                <w:lang w:val="fr-CH"/>
              </w:rPr>
              <w:t xml:space="preserve"> recueillis durant les ateliers de validati</w:t>
            </w:r>
            <w:r w:rsidR="00916BDB" w:rsidRPr="00120311">
              <w:rPr>
                <w:szCs w:val="22"/>
                <w:lang w:val="fr-CH"/>
              </w:rPr>
              <w:t>on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>Pa</w:t>
            </w:r>
            <w:r w:rsidR="001914E7" w:rsidRPr="00120311">
              <w:rPr>
                <w:szCs w:val="22"/>
                <w:lang w:val="fr-CH"/>
              </w:rPr>
              <w:t>r conséquent, il sera nécessaire de concevoir</w:t>
            </w:r>
            <w:r w:rsidR="00102762" w:rsidRPr="00120311">
              <w:rPr>
                <w:szCs w:val="22"/>
                <w:lang w:val="fr-CH"/>
              </w:rPr>
              <w:t xml:space="preserve"> davantage d</w:t>
            </w:r>
            <w:r w:rsidR="00751A1A">
              <w:rPr>
                <w:szCs w:val="22"/>
                <w:lang w:val="fr-CH"/>
              </w:rPr>
              <w:t>’</w:t>
            </w:r>
            <w:r w:rsidR="00102762" w:rsidRPr="00120311">
              <w:rPr>
                <w:szCs w:val="22"/>
                <w:lang w:val="fr-CH"/>
              </w:rPr>
              <w:t>outils et de programmes de formation pratique</w:t>
            </w:r>
            <w:r w:rsidR="00C30B8A" w:rsidRPr="00120311">
              <w:rPr>
                <w:szCs w:val="22"/>
                <w:lang w:val="fr-CH"/>
              </w:rPr>
              <w:t>, notamment en s</w:t>
            </w:r>
            <w:r w:rsidR="00751A1A">
              <w:rPr>
                <w:szCs w:val="22"/>
                <w:lang w:val="fr-CH"/>
              </w:rPr>
              <w:t>’</w:t>
            </w:r>
            <w:r w:rsidR="00C30B8A" w:rsidRPr="00120311">
              <w:rPr>
                <w:szCs w:val="22"/>
                <w:lang w:val="fr-CH"/>
              </w:rPr>
              <w:t xml:space="preserve">appuyant sur les </w:t>
            </w:r>
            <w:r w:rsidR="00EE139A" w:rsidRPr="00120311">
              <w:rPr>
                <w:szCs w:val="22"/>
                <w:lang w:val="fr-CH"/>
              </w:rPr>
              <w:t>plate</w:t>
            </w:r>
            <w:r w:rsidR="00C30B8A" w:rsidRPr="00120311">
              <w:rPr>
                <w:szCs w:val="22"/>
                <w:lang w:val="fr-CH"/>
              </w:rPr>
              <w:t xml:space="preserve">formes </w:t>
            </w:r>
            <w:r w:rsidR="00132DE8" w:rsidRPr="00120311">
              <w:rPr>
                <w:szCs w:val="22"/>
                <w:lang w:val="fr-CH"/>
              </w:rPr>
              <w:t>existantes</w:t>
            </w:r>
            <w:r w:rsidR="00751A1A" w:rsidRPr="00120311">
              <w:rPr>
                <w:szCs w:val="22"/>
                <w:lang w:val="fr-CH"/>
              </w:rPr>
              <w:t xml:space="preserve"> des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CAT</w:t>
            </w:r>
            <w:r w:rsidR="00C30B8A" w:rsidRPr="00120311">
              <w:rPr>
                <w:szCs w:val="22"/>
                <w:lang w:val="fr-CH"/>
              </w:rPr>
              <w:t>I pour diffuser plus largement les enseignements des guid</w:t>
            </w:r>
            <w:r w:rsidR="00916BDB" w:rsidRPr="00120311">
              <w:rPr>
                <w:szCs w:val="22"/>
                <w:lang w:val="fr-CH"/>
              </w:rPr>
              <w:t>es</w:t>
            </w:r>
            <w:r w:rsidR="00916BDB">
              <w:rPr>
                <w:szCs w:val="22"/>
                <w:lang w:val="fr-CH"/>
              </w:rPr>
              <w:t xml:space="preserve">.  </w:t>
            </w:r>
            <w:r w:rsidR="00916BDB" w:rsidRPr="00120311">
              <w:rPr>
                <w:szCs w:val="22"/>
                <w:lang w:val="fr-CH"/>
              </w:rPr>
              <w:t>Po</w:t>
            </w:r>
            <w:r w:rsidR="00C30B8A" w:rsidRPr="00120311">
              <w:rPr>
                <w:szCs w:val="22"/>
                <w:lang w:val="fr-CH"/>
              </w:rPr>
              <w:t xml:space="preserve">ur </w:t>
            </w:r>
            <w:r w:rsidR="00590DC8" w:rsidRPr="00120311">
              <w:rPr>
                <w:szCs w:val="22"/>
                <w:lang w:val="fr-CH"/>
              </w:rPr>
              <w:t>élargir</w:t>
            </w:r>
            <w:r w:rsidR="00C30B8A" w:rsidRPr="00120311">
              <w:rPr>
                <w:szCs w:val="22"/>
                <w:lang w:val="fr-CH"/>
              </w:rPr>
              <w:t xml:space="preserve"> la formation à d</w:t>
            </w:r>
            <w:r w:rsidR="00751A1A">
              <w:rPr>
                <w:szCs w:val="22"/>
                <w:lang w:val="fr-CH"/>
              </w:rPr>
              <w:t>’</w:t>
            </w:r>
            <w:r w:rsidR="00C30B8A" w:rsidRPr="00120311">
              <w:rPr>
                <w:szCs w:val="22"/>
                <w:lang w:val="fr-CH"/>
              </w:rPr>
              <w:t>autres CATI</w:t>
            </w:r>
            <w:r w:rsidR="00D602C1" w:rsidRPr="00120311">
              <w:rPr>
                <w:szCs w:val="22"/>
                <w:lang w:val="fr-CH"/>
              </w:rPr>
              <w:t xml:space="preserve">, </w:t>
            </w:r>
            <w:r w:rsidR="00F10446" w:rsidRPr="00120311">
              <w:rPr>
                <w:szCs w:val="22"/>
                <w:lang w:val="fr-CH"/>
              </w:rPr>
              <w:t xml:space="preserve">il conviendra de prévoir </w:t>
            </w:r>
            <w:r w:rsidR="00876163" w:rsidRPr="00120311">
              <w:rPr>
                <w:szCs w:val="22"/>
                <w:lang w:val="fr-CH"/>
              </w:rPr>
              <w:t xml:space="preserve">les ressources nécessaires </w:t>
            </w:r>
            <w:r w:rsidR="00590DC8" w:rsidRPr="00120311">
              <w:rPr>
                <w:szCs w:val="22"/>
                <w:lang w:val="fr-CH"/>
              </w:rPr>
              <w:t>au soutien de ces formations et à leur intégration dans les plans de travail des programmes CATI</w:t>
            </w:r>
            <w:r w:rsidR="00D602C1" w:rsidRPr="00120311">
              <w:rPr>
                <w:szCs w:val="22"/>
                <w:lang w:val="fr-CH"/>
              </w:rPr>
              <w:t>.</w:t>
            </w:r>
          </w:p>
          <w:p w:rsidR="00D602C1" w:rsidRPr="00120311" w:rsidRDefault="00D602C1" w:rsidP="00EF1FF2">
            <w:pPr>
              <w:rPr>
                <w:szCs w:val="22"/>
                <w:lang w:val="fr-CH"/>
              </w:rPr>
            </w:pPr>
          </w:p>
          <w:p w:rsidR="00A80BCE" w:rsidRPr="00120311" w:rsidRDefault="00C4706F" w:rsidP="00EF1FF2">
            <w:pPr>
              <w:rPr>
                <w:iCs/>
                <w:lang w:val="fr-CH"/>
              </w:rPr>
            </w:pPr>
            <w:r w:rsidRPr="00120311">
              <w:rPr>
                <w:iCs/>
                <w:lang w:val="fr-CH"/>
              </w:rPr>
              <w:t>Afin de faire en sorte que les informations sur le portail restent à jour et que la solution reposant sur l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 xml:space="preserve">informatique en nuage reste opérationnelle et </w:t>
            </w:r>
            <w:r w:rsidR="00DC2188" w:rsidRPr="00120311">
              <w:rPr>
                <w:iCs/>
                <w:lang w:val="fr-CH"/>
              </w:rPr>
              <w:t>adaptée</w:t>
            </w:r>
            <w:r w:rsidR="00771722" w:rsidRPr="00120311">
              <w:rPr>
                <w:iCs/>
                <w:lang w:val="fr-CH"/>
              </w:rPr>
              <w:t>, conformément aux besoins</w:t>
            </w:r>
            <w:r w:rsidRPr="00120311">
              <w:rPr>
                <w:iCs/>
                <w:lang w:val="fr-CH"/>
              </w:rPr>
              <w:t xml:space="preserve"> </w:t>
            </w:r>
            <w:r w:rsidR="003426BB" w:rsidRPr="00120311">
              <w:rPr>
                <w:iCs/>
                <w:lang w:val="fr-CH"/>
              </w:rPr>
              <w:t>commerciaux</w:t>
            </w:r>
            <w:r w:rsidRPr="00120311">
              <w:rPr>
                <w:iCs/>
                <w:lang w:val="fr-CH"/>
              </w:rPr>
              <w:t xml:space="preserve"> et </w:t>
            </w:r>
            <w:r w:rsidR="00DC2188" w:rsidRPr="00120311">
              <w:rPr>
                <w:iCs/>
                <w:lang w:val="fr-CH"/>
              </w:rPr>
              <w:t xml:space="preserve">à </w:t>
            </w:r>
            <w:r w:rsidRPr="00120311">
              <w:rPr>
                <w:iCs/>
                <w:lang w:val="fr-CH"/>
              </w:rPr>
              <w:t>ceux des utilisateurs</w:t>
            </w:r>
            <w:r w:rsidR="00A80BCE" w:rsidRPr="00120311">
              <w:rPr>
                <w:iCs/>
                <w:lang w:val="fr-CH"/>
              </w:rPr>
              <w:t>,</w:t>
            </w:r>
            <w:r w:rsidRPr="00120311">
              <w:rPr>
                <w:iCs/>
                <w:lang w:val="fr-CH"/>
              </w:rPr>
              <w:t xml:space="preserve"> un </w:t>
            </w:r>
            <w:r w:rsidR="00771722" w:rsidRPr="00120311">
              <w:rPr>
                <w:iCs/>
                <w:lang w:val="fr-CH"/>
              </w:rPr>
              <w:t>suivi</w:t>
            </w:r>
            <w:r w:rsidRPr="00120311">
              <w:rPr>
                <w:iCs/>
                <w:lang w:val="fr-CH"/>
              </w:rPr>
              <w:t xml:space="preserve"> et un entretien réguliers </w:t>
            </w:r>
            <w:r w:rsidR="00771722" w:rsidRPr="00120311">
              <w:rPr>
                <w:iCs/>
                <w:lang w:val="fr-CH"/>
              </w:rPr>
              <w:t xml:space="preserve">devront </w:t>
            </w:r>
            <w:r w:rsidR="00745D50" w:rsidRPr="00120311">
              <w:rPr>
                <w:iCs/>
                <w:lang w:val="fr-CH"/>
              </w:rPr>
              <w:t>être assuré</w:t>
            </w:r>
            <w:r w:rsidR="00771722" w:rsidRPr="00120311">
              <w:rPr>
                <w:iCs/>
                <w:lang w:val="fr-CH"/>
              </w:rPr>
              <w:t>s</w:t>
            </w:r>
            <w:r w:rsidR="00745D50" w:rsidRPr="00120311">
              <w:rPr>
                <w:iCs/>
                <w:lang w:val="fr-CH"/>
              </w:rPr>
              <w:t xml:space="preserve"> une fois que le projet aura pris fin et les ressources appropriées devront également être allouée</w:t>
            </w:r>
            <w:r w:rsidR="00771722" w:rsidRPr="00120311">
              <w:rPr>
                <w:iCs/>
                <w:lang w:val="fr-CH"/>
              </w:rPr>
              <w:t>s</w:t>
            </w:r>
            <w:r w:rsidR="00745D50" w:rsidRPr="00120311">
              <w:rPr>
                <w:iCs/>
                <w:lang w:val="fr-CH"/>
              </w:rPr>
              <w:t xml:space="preserve"> à cet eff</w:t>
            </w:r>
            <w:r w:rsidR="00916BDB" w:rsidRPr="00120311">
              <w:rPr>
                <w:iCs/>
                <w:lang w:val="fr-CH"/>
              </w:rPr>
              <w:t>et</w:t>
            </w:r>
            <w:r w:rsidR="00916BDB">
              <w:rPr>
                <w:iCs/>
                <w:lang w:val="fr-CH"/>
              </w:rPr>
              <w:t xml:space="preserve">.  </w:t>
            </w:r>
            <w:r w:rsidR="00916BDB" w:rsidRPr="00120311">
              <w:rPr>
                <w:iCs/>
                <w:lang w:val="fr-CH"/>
              </w:rPr>
              <w:t>Un</w:t>
            </w:r>
            <w:r w:rsidR="00771722" w:rsidRPr="00120311">
              <w:rPr>
                <w:iCs/>
                <w:lang w:val="fr-CH"/>
              </w:rPr>
              <w:t>e évolution future à cet égard devra également</w:t>
            </w:r>
            <w:r w:rsidR="00A80BCE" w:rsidRPr="00120311">
              <w:rPr>
                <w:iCs/>
                <w:lang w:val="fr-CH"/>
              </w:rPr>
              <w:t xml:space="preserve"> </w:t>
            </w:r>
            <w:r w:rsidR="00745D50" w:rsidRPr="00120311">
              <w:rPr>
                <w:iCs/>
                <w:lang w:val="fr-CH"/>
              </w:rPr>
              <w:t xml:space="preserve">tenir compte </w:t>
            </w:r>
            <w:r w:rsidR="00771722" w:rsidRPr="00120311">
              <w:rPr>
                <w:iCs/>
                <w:lang w:val="fr-CH"/>
              </w:rPr>
              <w:t>d</w:t>
            </w:r>
            <w:r w:rsidR="00751A1A">
              <w:rPr>
                <w:iCs/>
                <w:lang w:val="fr-CH"/>
              </w:rPr>
              <w:t>’</w:t>
            </w:r>
            <w:r w:rsidR="00771722" w:rsidRPr="00120311">
              <w:rPr>
                <w:iCs/>
                <w:lang w:val="fr-CH"/>
              </w:rPr>
              <w:t>autres évolutions</w:t>
            </w:r>
            <w:r w:rsidR="00745D50" w:rsidRPr="00120311">
              <w:rPr>
                <w:iCs/>
                <w:lang w:val="fr-CH"/>
              </w:rPr>
              <w:t xml:space="preserve"> dans les </w:t>
            </w:r>
            <w:r w:rsidR="00771722" w:rsidRPr="00120311">
              <w:rPr>
                <w:iCs/>
                <w:lang w:val="fr-CH"/>
              </w:rPr>
              <w:t>plateformes</w:t>
            </w:r>
            <w:r w:rsidR="00745D50" w:rsidRPr="00120311">
              <w:rPr>
                <w:iCs/>
                <w:lang w:val="fr-CH"/>
              </w:rPr>
              <w:t xml:space="preserve"> et outils dans le cadre du </w:t>
            </w:r>
            <w:r w:rsidR="004E6CB2" w:rsidRPr="00120311">
              <w:rPr>
                <w:iCs/>
                <w:lang w:val="fr-CH"/>
              </w:rPr>
              <w:t xml:space="preserve">programme </w:t>
            </w:r>
            <w:r w:rsidR="00745D50" w:rsidRPr="00120311">
              <w:rPr>
                <w:iCs/>
                <w:lang w:val="fr-CH"/>
              </w:rPr>
              <w:t>CATI, ainsi que dans d</w:t>
            </w:r>
            <w:r w:rsidR="00751A1A">
              <w:rPr>
                <w:iCs/>
                <w:lang w:val="fr-CH"/>
              </w:rPr>
              <w:t>’</w:t>
            </w:r>
            <w:r w:rsidR="00745D50" w:rsidRPr="00120311">
              <w:rPr>
                <w:iCs/>
                <w:lang w:val="fr-CH"/>
              </w:rPr>
              <w:t>autres domaines</w:t>
            </w:r>
            <w:r w:rsidR="00A80BCE" w:rsidRPr="00120311">
              <w:rPr>
                <w:iCs/>
                <w:lang w:val="fr-CH"/>
              </w:rPr>
              <w:t xml:space="preserve">, </w:t>
            </w:r>
            <w:r w:rsidR="00745D50" w:rsidRPr="00120311">
              <w:rPr>
                <w:iCs/>
                <w:lang w:val="fr-CH"/>
              </w:rPr>
              <w:t>par exemple</w:t>
            </w:r>
            <w:r w:rsidR="00771722" w:rsidRPr="00120311">
              <w:rPr>
                <w:iCs/>
                <w:lang w:val="fr-CH"/>
              </w:rPr>
              <w:t xml:space="preserve"> en ce qui concerne</w:t>
            </w:r>
            <w:r w:rsidR="00745D50" w:rsidRPr="00120311">
              <w:rPr>
                <w:iCs/>
                <w:lang w:val="fr-CH"/>
              </w:rPr>
              <w:t xml:space="preserve"> les normes</w:t>
            </w:r>
            <w:r w:rsidR="00A80BCE" w:rsidRPr="00120311">
              <w:rPr>
                <w:iCs/>
                <w:lang w:val="fr-CH"/>
              </w:rPr>
              <w:t xml:space="preserve">. </w:t>
            </w:r>
            <w:r w:rsidR="001045DE">
              <w:rPr>
                <w:iCs/>
                <w:lang w:val="fr-CH"/>
              </w:rPr>
              <w:t xml:space="preserve"> </w:t>
            </w:r>
          </w:p>
        </w:tc>
      </w:tr>
      <w:tr w:rsidR="00CB202B" w:rsidRPr="00120311" w:rsidTr="00EF1FF2">
        <w:tblPrEx>
          <w:tblLook w:val="04A0" w:firstRow="1" w:lastRow="0" w:firstColumn="1" w:lastColumn="0" w:noHBand="0" w:noVBand="1"/>
        </w:tblPrEx>
        <w:tc>
          <w:tcPr>
            <w:tcW w:w="9445" w:type="dxa"/>
            <w:gridSpan w:val="2"/>
            <w:shd w:val="clear" w:color="auto" w:fill="auto"/>
          </w:tcPr>
          <w:p w:rsidR="00CB202B" w:rsidRPr="00120311" w:rsidRDefault="00CB202B" w:rsidP="00EF1FF2">
            <w:pPr>
              <w:rPr>
                <w:b/>
                <w:lang w:val="fr-CH"/>
              </w:rPr>
            </w:pPr>
            <w:r w:rsidRPr="00120311">
              <w:rPr>
                <w:lang w:val="fr-CH"/>
              </w:rPr>
              <w:lastRenderedPageBreak/>
              <w:br w:type="page"/>
            </w:r>
            <w:r w:rsidR="00F13C15" w:rsidRPr="00120311">
              <w:rPr>
                <w:b/>
                <w:lang w:val="fr-CH"/>
              </w:rPr>
              <w:t>AUTO</w:t>
            </w:r>
            <w:r w:rsidR="00751A1A">
              <w:rPr>
                <w:b/>
                <w:lang w:val="fr-CH"/>
              </w:rPr>
              <w:t>-</w:t>
            </w:r>
            <w:r w:rsidR="00F13C15" w:rsidRPr="00120311">
              <w:rPr>
                <w:b/>
                <w:lang w:val="fr-CH"/>
              </w:rPr>
              <w:t>ÉVALUATION DU PROJET</w:t>
            </w:r>
          </w:p>
        </w:tc>
      </w:tr>
    </w:tbl>
    <w:p w:rsidR="00CB202B" w:rsidRPr="00120311" w:rsidRDefault="00CB202B" w:rsidP="00CB202B">
      <w:pPr>
        <w:rPr>
          <w:lang w:val="fr-CH"/>
        </w:rPr>
      </w:pPr>
    </w:p>
    <w:p w:rsidR="00CB202B" w:rsidRPr="00120311" w:rsidRDefault="000432A2" w:rsidP="00CB202B">
      <w:pPr>
        <w:rPr>
          <w:lang w:val="fr-CH"/>
        </w:rPr>
      </w:pPr>
      <w:r w:rsidRPr="00120311">
        <w:rPr>
          <w:lang w:val="fr-CH"/>
        </w:rPr>
        <w:t>Code d</w:t>
      </w:r>
      <w:r w:rsidR="00751A1A">
        <w:rPr>
          <w:lang w:val="fr-CH"/>
        </w:rPr>
        <w:t>’</w:t>
      </w:r>
      <w:r w:rsidRPr="00120311">
        <w:rPr>
          <w:lang w:val="fr-CH"/>
        </w:rPr>
        <w:t>évaluation</w:t>
      </w:r>
    </w:p>
    <w:p w:rsidR="00CB202B" w:rsidRPr="00120311" w:rsidRDefault="00CB202B" w:rsidP="00CB202B">
      <w:pPr>
        <w:rPr>
          <w:lang w:val="fr-CH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414"/>
        <w:gridCol w:w="993"/>
        <w:gridCol w:w="683"/>
        <w:gridCol w:w="1789"/>
        <w:gridCol w:w="213"/>
        <w:gridCol w:w="1671"/>
        <w:gridCol w:w="1714"/>
        <w:gridCol w:w="842"/>
        <w:gridCol w:w="33"/>
      </w:tblGrid>
      <w:tr w:rsidR="00CB202B" w:rsidRPr="00120311" w:rsidTr="00EF1FF2">
        <w:trPr>
          <w:gridAfter w:val="1"/>
          <w:wAfter w:w="33" w:type="dxa"/>
          <w:cantSplit/>
        </w:trPr>
        <w:tc>
          <w:tcPr>
            <w:tcW w:w="1414" w:type="dxa"/>
            <w:shd w:val="clear" w:color="auto" w:fill="auto"/>
            <w:vAlign w:val="center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  <w:tc>
          <w:tcPr>
            <w:tcW w:w="1676" w:type="dxa"/>
            <w:gridSpan w:val="2"/>
            <w:shd w:val="clear" w:color="auto" w:fill="auto"/>
            <w:vAlign w:val="center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</w:t>
            </w:r>
          </w:p>
        </w:tc>
        <w:tc>
          <w:tcPr>
            <w:tcW w:w="1884" w:type="dxa"/>
            <w:gridSpan w:val="2"/>
            <w:shd w:val="clear" w:color="auto" w:fill="auto"/>
            <w:vAlign w:val="center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AP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NE</w:t>
            </w:r>
          </w:p>
        </w:tc>
      </w:tr>
      <w:tr w:rsidR="00CB202B" w:rsidRPr="00120311" w:rsidTr="00EF1FF2">
        <w:trPr>
          <w:gridAfter w:val="1"/>
          <w:wAfter w:w="33" w:type="dxa"/>
          <w:cantSplit/>
        </w:trPr>
        <w:tc>
          <w:tcPr>
            <w:tcW w:w="1414" w:type="dxa"/>
            <w:shd w:val="clear" w:color="auto" w:fill="auto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Objectifs pleinement atteints</w:t>
            </w:r>
          </w:p>
        </w:tc>
        <w:tc>
          <w:tcPr>
            <w:tcW w:w="1676" w:type="dxa"/>
            <w:gridSpan w:val="2"/>
            <w:shd w:val="clear" w:color="auto" w:fill="auto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Progrès considérables</w:t>
            </w:r>
          </w:p>
        </w:tc>
        <w:tc>
          <w:tcPr>
            <w:tcW w:w="1789" w:type="dxa"/>
            <w:shd w:val="clear" w:color="auto" w:fill="auto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Quelques progrès</w:t>
            </w:r>
          </w:p>
        </w:tc>
        <w:tc>
          <w:tcPr>
            <w:tcW w:w="1884" w:type="dxa"/>
            <w:gridSpan w:val="2"/>
            <w:shd w:val="clear" w:color="auto" w:fill="auto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Aucun progrès</w:t>
            </w:r>
          </w:p>
        </w:tc>
        <w:tc>
          <w:tcPr>
            <w:tcW w:w="2556" w:type="dxa"/>
            <w:gridSpan w:val="2"/>
            <w:shd w:val="clear" w:color="auto" w:fill="auto"/>
          </w:tcPr>
          <w:p w:rsidR="00CB202B" w:rsidRPr="00120311" w:rsidRDefault="00F13C15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Non évalué/abandonné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2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rStyle w:val="Heading3Char"/>
                <w:lang w:val="fr-CH"/>
              </w:rPr>
            </w:pPr>
          </w:p>
          <w:p w:rsidR="00CB202B" w:rsidRPr="00120311" w:rsidRDefault="00F13C15" w:rsidP="00EF1FF2">
            <w:pPr>
              <w:rPr>
                <w:b/>
                <w:lang w:val="fr-CH"/>
              </w:rPr>
            </w:pPr>
            <w:r w:rsidRPr="00120311">
              <w:rPr>
                <w:rStyle w:val="Heading3Char"/>
                <w:b/>
                <w:lang w:val="fr-CH"/>
              </w:rPr>
              <w:t>Résultats du projet</w:t>
            </w:r>
            <w:r w:rsidR="00695F3E" w:rsidRPr="00120311">
              <w:rPr>
                <w:rStyle w:val="FootnoteReference"/>
                <w:b/>
                <w:bCs/>
                <w:szCs w:val="26"/>
                <w:u w:val="single"/>
                <w:lang w:val="fr-CH"/>
              </w:rPr>
              <w:footnoteReference w:id="2"/>
            </w:r>
            <w:r w:rsidR="00CB202B" w:rsidRPr="00120311">
              <w:rPr>
                <w:b/>
                <w:lang w:val="fr-CH"/>
              </w:rPr>
              <w:t xml:space="preserve"> </w:t>
            </w:r>
            <w:r w:rsidR="00CB202B" w:rsidRPr="00120311">
              <w:rPr>
                <w:b/>
                <w:lang w:val="fr-CH"/>
              </w:rPr>
              <w:br/>
              <w:t>(</w:t>
            </w:r>
            <w:r w:rsidRPr="00120311">
              <w:rPr>
                <w:b/>
                <w:lang w:val="fr-CH"/>
              </w:rPr>
              <w:t>résultat escompté</w:t>
            </w:r>
            <w:r w:rsidR="00CB202B" w:rsidRPr="00120311">
              <w:rPr>
                <w:b/>
                <w:lang w:val="fr-CH"/>
              </w:rPr>
              <w:t>)</w:t>
            </w:r>
          </w:p>
        </w:tc>
        <w:tc>
          <w:tcPr>
            <w:tcW w:w="2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202B" w:rsidRPr="00120311" w:rsidRDefault="00CB202B" w:rsidP="00EF1FF2">
            <w:pPr>
              <w:rPr>
                <w:rStyle w:val="Heading3Char"/>
                <w:lang w:val="fr-CH"/>
              </w:rPr>
            </w:pPr>
          </w:p>
          <w:p w:rsidR="00CB202B" w:rsidRPr="00120311" w:rsidRDefault="00CB202B" w:rsidP="00EF1FF2">
            <w:pPr>
              <w:rPr>
                <w:b/>
                <w:lang w:val="fr-CH"/>
              </w:rPr>
            </w:pPr>
            <w:r w:rsidRPr="00120311">
              <w:rPr>
                <w:rStyle w:val="Heading3Char"/>
                <w:b/>
                <w:lang w:val="fr-CH"/>
              </w:rPr>
              <w:t>Ind</w:t>
            </w:r>
            <w:r w:rsidR="00F13C15" w:rsidRPr="00120311">
              <w:rPr>
                <w:rStyle w:val="Heading3Char"/>
                <w:b/>
                <w:lang w:val="fr-CH"/>
              </w:rPr>
              <w:t>icateurs d</w:t>
            </w:r>
            <w:r w:rsidR="00751A1A">
              <w:rPr>
                <w:rStyle w:val="Heading3Char"/>
                <w:b/>
                <w:lang w:val="fr-CH"/>
              </w:rPr>
              <w:t>’</w:t>
            </w:r>
            <w:r w:rsidR="00F13C15" w:rsidRPr="00120311">
              <w:rPr>
                <w:rStyle w:val="Heading3Char"/>
                <w:b/>
                <w:lang w:val="fr-CH"/>
              </w:rPr>
              <w:t xml:space="preserve">exécution </w:t>
            </w:r>
            <w:r w:rsidRPr="00120311">
              <w:rPr>
                <w:b/>
                <w:lang w:val="fr-CH"/>
              </w:rPr>
              <w:br/>
              <w:t>(</w:t>
            </w:r>
            <w:r w:rsidR="00F13C15" w:rsidRPr="00120311">
              <w:rPr>
                <w:b/>
                <w:lang w:val="fr-CH"/>
              </w:rPr>
              <w:t>indicateurs de résultats</w:t>
            </w:r>
            <w:r w:rsidRPr="00120311">
              <w:rPr>
                <w:b/>
                <w:lang w:val="fr-CH"/>
              </w:rPr>
              <w:t>)</w:t>
            </w:r>
          </w:p>
          <w:p w:rsidR="00CB202B" w:rsidRPr="00120311" w:rsidRDefault="00CB202B" w:rsidP="00EF1FF2">
            <w:pPr>
              <w:rPr>
                <w:lang w:val="fr-CH"/>
              </w:rPr>
            </w:pP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F13C15" w:rsidP="00EF1FF2">
            <w:pPr>
              <w:pStyle w:val="Heading3"/>
              <w:spacing w:before="0" w:after="0"/>
              <w:rPr>
                <w:b/>
                <w:lang w:val="fr-CH"/>
              </w:rPr>
            </w:pPr>
            <w:r w:rsidRPr="00120311">
              <w:rPr>
                <w:b/>
                <w:lang w:val="fr-CH"/>
              </w:rPr>
              <w:t>Données relatives à l</w:t>
            </w:r>
            <w:r w:rsidR="00751A1A">
              <w:rPr>
                <w:b/>
                <w:lang w:val="fr-CH"/>
              </w:rPr>
              <w:t>’</w:t>
            </w:r>
            <w:r w:rsidRPr="00120311">
              <w:rPr>
                <w:b/>
                <w:lang w:val="fr-CH"/>
              </w:rPr>
              <w:t>exécution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F13C15" w:rsidP="00EF1FF2">
            <w:pPr>
              <w:pStyle w:val="Heading3"/>
              <w:spacing w:before="0" w:after="0"/>
              <w:rPr>
                <w:b/>
                <w:lang w:val="fr-CH"/>
              </w:rPr>
            </w:pPr>
            <w:r w:rsidRPr="00120311">
              <w:rPr>
                <w:b/>
                <w:lang w:val="fr-CH"/>
              </w:rPr>
              <w:t>Code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bCs/>
                <w:lang w:val="fr-CH"/>
              </w:rPr>
            </w:pPr>
            <w:r w:rsidRPr="00120311">
              <w:rPr>
                <w:szCs w:val="22"/>
                <w:lang w:val="fr-CH"/>
              </w:rPr>
              <w:t>1.</w:t>
            </w:r>
            <w:r w:rsidR="001045DE">
              <w:rPr>
                <w:szCs w:val="22"/>
                <w:lang w:val="fr-CH"/>
              </w:rPr>
              <w:t xml:space="preserve"> 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A62F23" w:rsidRPr="00120311">
              <w:rPr>
                <w:szCs w:val="22"/>
                <w:lang w:val="fr-CH"/>
              </w:rPr>
              <w:t>Guides sur l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identification et l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utilisation des inventions figurant dans le domaine public</w:t>
            </w:r>
          </w:p>
        </w:tc>
        <w:tc>
          <w:tcPr>
            <w:tcW w:w="2685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lang w:val="fr-CH"/>
              </w:rPr>
            </w:pPr>
            <w:r w:rsidRPr="00120311">
              <w:rPr>
                <w:szCs w:val="22"/>
                <w:lang w:val="fr-CH"/>
              </w:rPr>
              <w:t>Remise du premier projet finalisé de guides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 xml:space="preserve">ici à la fin </w:t>
            </w:r>
            <w:r w:rsidR="00751A1A" w:rsidRPr="00120311">
              <w:rPr>
                <w:szCs w:val="22"/>
                <w:lang w:val="fr-CH"/>
              </w:rPr>
              <w:t>de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2016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B449F3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Remise des projets consolidés en</w:t>
            </w:r>
            <w:r w:rsidR="00CB202B" w:rsidRPr="00120311">
              <w:rPr>
                <w:lang w:val="fr-CH"/>
              </w:rPr>
              <w:t xml:space="preserve"> </w:t>
            </w:r>
            <w:r w:rsidR="00751A1A" w:rsidRPr="00120311">
              <w:rPr>
                <w:lang w:val="fr-CH"/>
              </w:rPr>
              <w:t>juin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17.  </w:t>
            </w:r>
            <w:r w:rsidRPr="00120311">
              <w:rPr>
                <w:lang w:val="fr-CH"/>
              </w:rPr>
              <w:t xml:space="preserve">Remise des projets finalisés comprenant les </w:t>
            </w:r>
            <w:r w:rsidR="00E84972" w:rsidRPr="00120311">
              <w:rPr>
                <w:lang w:val="fr-CH"/>
              </w:rPr>
              <w:t>remarques</w:t>
            </w:r>
            <w:r w:rsidRPr="00120311">
              <w:rPr>
                <w:lang w:val="fr-CH"/>
              </w:rPr>
              <w:t xml:space="preserve"> relatives </w:t>
            </w:r>
            <w:r w:rsidR="006775CC" w:rsidRPr="00120311">
              <w:rPr>
                <w:lang w:val="fr-CH"/>
              </w:rPr>
              <w:t>à la phase d</w:t>
            </w:r>
            <w:r w:rsidR="00751A1A">
              <w:rPr>
                <w:lang w:val="fr-CH"/>
              </w:rPr>
              <w:t>’</w:t>
            </w:r>
            <w:r w:rsidR="006775CC" w:rsidRPr="00120311">
              <w:rPr>
                <w:lang w:val="fr-CH"/>
              </w:rPr>
              <w:t xml:space="preserve">essai </w:t>
            </w:r>
            <w:r w:rsidRPr="00120311">
              <w:rPr>
                <w:lang w:val="fr-CH"/>
              </w:rPr>
              <w:t xml:space="preserve">en </w:t>
            </w:r>
            <w:r w:rsidR="00751A1A" w:rsidRPr="00120311">
              <w:rPr>
                <w:lang w:val="fr-CH"/>
              </w:rPr>
              <w:t>juillet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18 (Guide 1) </w:t>
            </w:r>
            <w:r w:rsidRPr="00120311">
              <w:rPr>
                <w:lang w:val="fr-CH"/>
              </w:rPr>
              <w:t>et</w:t>
            </w:r>
            <w:r w:rsidR="00CB202B" w:rsidRPr="00120311">
              <w:rPr>
                <w:lang w:val="fr-CH"/>
              </w:rPr>
              <w:t xml:space="preserve"> </w:t>
            </w:r>
            <w:r w:rsidRPr="00120311">
              <w:rPr>
                <w:lang w:val="fr-CH"/>
              </w:rPr>
              <w:t xml:space="preserve">en </w:t>
            </w:r>
            <w:r w:rsidR="00751A1A" w:rsidRPr="00120311">
              <w:rPr>
                <w:lang w:val="fr-CH"/>
              </w:rPr>
              <w:t>octobre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18 (Guide 2).  </w:t>
            </w:r>
            <w:r w:rsidRPr="00120311">
              <w:rPr>
                <w:lang w:val="fr-CH"/>
              </w:rPr>
              <w:t xml:space="preserve">Remise des versions soumises à </w:t>
            </w:r>
            <w:r w:rsidR="006775CC" w:rsidRPr="00120311">
              <w:rPr>
                <w:lang w:val="fr-CH"/>
              </w:rPr>
              <w:t>l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évaluation collégiale pour correction professionnelle en </w:t>
            </w:r>
            <w:r w:rsidR="00751A1A" w:rsidRPr="00120311">
              <w:rPr>
                <w:lang w:val="fr-CH"/>
              </w:rPr>
              <w:t>janvier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19 (Guide 1) </w:t>
            </w:r>
            <w:r w:rsidRPr="00120311">
              <w:rPr>
                <w:lang w:val="fr-CH"/>
              </w:rPr>
              <w:t xml:space="preserve">et en </w:t>
            </w:r>
            <w:r w:rsidR="00751A1A" w:rsidRPr="00120311">
              <w:rPr>
                <w:lang w:val="fr-CH"/>
              </w:rPr>
              <w:t>mai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19 (Guide 2).  </w:t>
            </w:r>
            <w:r w:rsidRPr="00120311">
              <w:rPr>
                <w:lang w:val="fr-CH"/>
              </w:rPr>
              <w:t>Préparation des versions finales</w:t>
            </w:r>
            <w:r w:rsidR="00CB202B" w:rsidRPr="00120311">
              <w:rPr>
                <w:lang w:val="fr-CH"/>
              </w:rPr>
              <w:t xml:space="preserve"> </w:t>
            </w:r>
            <w:r w:rsidR="00EF6945" w:rsidRPr="00120311">
              <w:rPr>
                <w:lang w:val="fr-CH"/>
              </w:rPr>
              <w:t>(</w:t>
            </w:r>
            <w:r w:rsidRPr="00120311">
              <w:rPr>
                <w:lang w:val="fr-CH"/>
              </w:rPr>
              <w:t>corrigées et mises en page</w:t>
            </w:r>
            <w:r w:rsidR="00EF6945" w:rsidRPr="00120311">
              <w:rPr>
                <w:lang w:val="fr-CH"/>
              </w:rPr>
              <w:t>)</w:t>
            </w:r>
            <w:r w:rsidR="00CB202B" w:rsidRPr="00120311">
              <w:rPr>
                <w:lang w:val="fr-CH"/>
              </w:rPr>
              <w:t xml:space="preserve"> </w:t>
            </w:r>
            <w:r w:rsidRPr="00120311">
              <w:rPr>
                <w:lang w:val="fr-CH"/>
              </w:rPr>
              <w:t>d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ici à </w:t>
            </w:r>
            <w:r w:rsidR="00751A1A" w:rsidRPr="00120311">
              <w:rPr>
                <w:lang w:val="fr-CH"/>
              </w:rPr>
              <w:t>septembre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>19.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bCs/>
                <w:lang w:val="fr-CH"/>
              </w:rPr>
            </w:pPr>
            <w:r w:rsidRPr="00120311">
              <w:rPr>
                <w:szCs w:val="22"/>
                <w:lang w:val="fr-CH"/>
              </w:rPr>
              <w:lastRenderedPageBreak/>
              <w:t>2.</w:t>
            </w:r>
            <w:r w:rsidR="001045DE">
              <w:rPr>
                <w:szCs w:val="22"/>
                <w:lang w:val="fr-CH"/>
              </w:rPr>
              <w:t xml:space="preserve"> 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A62F23" w:rsidRPr="00120311">
              <w:rPr>
                <w:szCs w:val="22"/>
                <w:lang w:val="fr-CH"/>
              </w:rPr>
              <w:t>Consignation des données d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expérience et des pratiques recommandées en matière d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identification et d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utilisation des inventions figurant dans le domaine public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12181A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Remise des documents tiré</w:t>
            </w:r>
            <w:r w:rsidR="00A62F23" w:rsidRPr="00120311">
              <w:rPr>
                <w:szCs w:val="22"/>
                <w:lang w:val="fr-CH"/>
              </w:rPr>
              <w:t>s des projets pilotes d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 xml:space="preserve">ici à la fin </w:t>
            </w:r>
            <w:r w:rsidR="00751A1A" w:rsidRPr="00120311">
              <w:rPr>
                <w:szCs w:val="22"/>
                <w:lang w:val="fr-CH"/>
              </w:rPr>
              <w:t>de</w:t>
            </w:r>
            <w:r w:rsidR="00751A1A">
              <w:rPr>
                <w:szCs w:val="22"/>
                <w:lang w:val="fr-CH"/>
              </w:rPr>
              <w:t> </w:t>
            </w:r>
            <w:r w:rsidR="001216C5">
              <w:rPr>
                <w:szCs w:val="22"/>
                <w:lang w:val="fr-CH"/>
              </w:rPr>
              <w:t>2017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B449F3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Fin des travaux d</w:t>
            </w:r>
            <w:r w:rsidR="004E6CB2" w:rsidRPr="00120311">
              <w:rPr>
                <w:lang w:val="fr-CH"/>
              </w:rPr>
              <w:t>e pilotage des guides et remise</w:t>
            </w:r>
            <w:r w:rsidRPr="00120311">
              <w:rPr>
                <w:lang w:val="fr-CH"/>
              </w:rPr>
              <w:t xml:space="preserve"> des documents consignant les expériences des pays pilotes en </w:t>
            </w:r>
            <w:r w:rsidR="00751A1A" w:rsidRPr="00120311">
              <w:rPr>
                <w:lang w:val="fr-CH"/>
              </w:rPr>
              <w:t>décembre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17. </w:t>
            </w:r>
            <w:r w:rsidR="001045DE">
              <w:rPr>
                <w:lang w:val="fr-CH"/>
              </w:rPr>
              <w:t xml:space="preserve"> 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 xml:space="preserve">3. </w:t>
            </w:r>
            <w:r w:rsidR="001045DE">
              <w:rPr>
                <w:szCs w:val="22"/>
                <w:lang w:val="fr-CH"/>
              </w:rPr>
              <w:t xml:space="preserve"> </w:t>
            </w:r>
            <w:r w:rsidR="00A62F23" w:rsidRPr="00120311">
              <w:rPr>
                <w:szCs w:val="22"/>
                <w:lang w:val="fr-CH"/>
              </w:rPr>
              <w:t>Liste d</w:t>
            </w:r>
            <w:r w:rsidR="00751A1A">
              <w:rPr>
                <w:szCs w:val="22"/>
                <w:lang w:val="fr-CH"/>
              </w:rPr>
              <w:t>’</w:t>
            </w:r>
            <w:r w:rsidR="00A62F23" w:rsidRPr="00120311">
              <w:rPr>
                <w:szCs w:val="22"/>
                <w:lang w:val="fr-CH"/>
              </w:rPr>
              <w:t>experts essentiels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Établissement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une liste contenant au moins deux</w:t>
            </w:r>
            <w:r w:rsidR="001045DE">
              <w:rPr>
                <w:szCs w:val="22"/>
                <w:lang w:val="fr-CH"/>
              </w:rPr>
              <w:t> </w:t>
            </w:r>
            <w:r w:rsidRPr="00120311">
              <w:rPr>
                <w:szCs w:val="22"/>
                <w:lang w:val="fr-CH"/>
              </w:rPr>
              <w:t xml:space="preserve">experts essentiels par </w:t>
            </w:r>
            <w:r w:rsidR="006762E4" w:rsidRPr="00120311">
              <w:rPr>
                <w:szCs w:val="22"/>
                <w:lang w:val="fr-CH"/>
              </w:rPr>
              <w:t>région</w:t>
            </w:r>
            <w:r w:rsidRPr="00120311">
              <w:rPr>
                <w:szCs w:val="22"/>
                <w:lang w:val="fr-CH"/>
              </w:rPr>
              <w:t xml:space="preserve">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 xml:space="preserve">ici à la fin </w:t>
            </w:r>
            <w:r w:rsidR="00751A1A" w:rsidRPr="00120311">
              <w:rPr>
                <w:szCs w:val="22"/>
                <w:lang w:val="fr-CH"/>
              </w:rPr>
              <w:t>de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2016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B449F3" w:rsidP="00EF1FF2">
            <w:pPr>
              <w:rPr>
                <w:lang w:val="fr-CH"/>
              </w:rPr>
            </w:pPr>
            <w:r w:rsidRPr="00120311">
              <w:rPr>
                <w:iCs/>
                <w:lang w:val="fr-CH"/>
              </w:rPr>
              <w:t>Mise à disposition des experts participant à l</w:t>
            </w:r>
            <w:r w:rsidR="00751A1A">
              <w:rPr>
                <w:iCs/>
                <w:lang w:val="fr-CH"/>
              </w:rPr>
              <w:t>’</w:t>
            </w:r>
            <w:r w:rsidRPr="00120311">
              <w:rPr>
                <w:iCs/>
                <w:lang w:val="fr-CH"/>
              </w:rPr>
              <w:t xml:space="preserve">élaboration des guides, à </w:t>
            </w:r>
            <w:r w:rsidR="00C14A37" w:rsidRPr="00120311">
              <w:rPr>
                <w:iCs/>
                <w:lang w:val="fr-CH"/>
              </w:rPr>
              <w:t>la phase d</w:t>
            </w:r>
            <w:r w:rsidR="00751A1A">
              <w:rPr>
                <w:iCs/>
                <w:lang w:val="fr-CH"/>
              </w:rPr>
              <w:t>’</w:t>
            </w:r>
            <w:r w:rsidR="00C14A37" w:rsidRPr="00120311">
              <w:rPr>
                <w:iCs/>
                <w:lang w:val="fr-CH"/>
              </w:rPr>
              <w:t>essai et aux ateliers afin d</w:t>
            </w:r>
            <w:r w:rsidR="00751A1A">
              <w:rPr>
                <w:iCs/>
                <w:lang w:val="fr-CH"/>
              </w:rPr>
              <w:t>’</w:t>
            </w:r>
            <w:r w:rsidR="00C14A37" w:rsidRPr="00120311">
              <w:rPr>
                <w:iCs/>
                <w:lang w:val="fr-CH"/>
              </w:rPr>
              <w:t>aider</w:t>
            </w:r>
            <w:r w:rsidR="00751A1A" w:rsidRPr="00120311">
              <w:rPr>
                <w:iCs/>
                <w:lang w:val="fr-CH"/>
              </w:rPr>
              <w:t xml:space="preserve"> les</w:t>
            </w:r>
            <w:r w:rsidR="00751A1A">
              <w:rPr>
                <w:iCs/>
                <w:lang w:val="fr-CH"/>
              </w:rPr>
              <w:t> </w:t>
            </w:r>
            <w:r w:rsidR="00751A1A" w:rsidRPr="00120311">
              <w:rPr>
                <w:iCs/>
                <w:lang w:val="fr-CH"/>
              </w:rPr>
              <w:t>CAT</w:t>
            </w:r>
            <w:r w:rsidR="00C14A37" w:rsidRPr="00120311">
              <w:rPr>
                <w:iCs/>
                <w:lang w:val="fr-CH"/>
              </w:rPr>
              <w:t>I à utiliser les guides</w:t>
            </w:r>
            <w:r w:rsidR="00CB202B" w:rsidRPr="00120311">
              <w:rPr>
                <w:iCs/>
                <w:lang w:val="fr-CH"/>
              </w:rPr>
              <w:t>.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 xml:space="preserve">4. </w:t>
            </w:r>
            <w:r w:rsidR="001045DE">
              <w:rPr>
                <w:szCs w:val="22"/>
                <w:lang w:val="fr-CH"/>
              </w:rPr>
              <w:t xml:space="preserve"> </w:t>
            </w:r>
            <w:r w:rsidR="00A62F23" w:rsidRPr="00120311">
              <w:rPr>
                <w:szCs w:val="22"/>
                <w:lang w:val="fr-CH"/>
              </w:rPr>
              <w:t>Matériel de formation</w:t>
            </w:r>
          </w:p>
          <w:p w:rsidR="00CB202B" w:rsidRPr="00120311" w:rsidRDefault="00CB202B" w:rsidP="00EF1FF2">
            <w:pPr>
              <w:rPr>
                <w:szCs w:val="22"/>
                <w:lang w:val="fr-CH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Au moins deux</w:t>
            </w:r>
            <w:r w:rsidR="001045DE">
              <w:rPr>
                <w:szCs w:val="22"/>
                <w:lang w:val="fr-CH"/>
              </w:rPr>
              <w:t> </w:t>
            </w:r>
            <w:r w:rsidRPr="00120311">
              <w:rPr>
                <w:szCs w:val="22"/>
                <w:lang w:val="fr-CH"/>
              </w:rPr>
              <w:t>exposés élaborés à partir des guides sur l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identification et l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utilisation des inventions figurant dans le domaine public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ici à la mi</w:t>
            </w:r>
            <w:r w:rsidR="00751A1A">
              <w:rPr>
                <w:szCs w:val="22"/>
                <w:lang w:val="fr-CH"/>
              </w:rPr>
              <w:t>-</w:t>
            </w:r>
            <w:r w:rsidRPr="00120311">
              <w:rPr>
                <w:szCs w:val="22"/>
                <w:lang w:val="fr-CH"/>
              </w:rPr>
              <w:t>2017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14A37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Remise et amélioration des exposés et du matériel sur la base des </w:t>
            </w:r>
            <w:r w:rsidR="004937F5" w:rsidRPr="00120311">
              <w:rPr>
                <w:lang w:val="fr-CH"/>
              </w:rPr>
              <w:t>commentaires recueilli</w:t>
            </w:r>
            <w:r w:rsidRPr="00120311">
              <w:rPr>
                <w:lang w:val="fr-CH"/>
              </w:rPr>
              <w:t>s lors des ateliers</w:t>
            </w:r>
            <w:r w:rsidR="00CB202B" w:rsidRPr="00120311">
              <w:rPr>
                <w:lang w:val="fr-CH"/>
              </w:rPr>
              <w:t>.</w:t>
            </w:r>
          </w:p>
          <w:p w:rsidR="00CB202B" w:rsidRPr="00120311" w:rsidRDefault="00CB202B" w:rsidP="00EF1FF2">
            <w:pPr>
              <w:rPr>
                <w:lang w:val="fr-CH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5.</w:t>
            </w:r>
            <w:r w:rsidR="001045DE">
              <w:rPr>
                <w:szCs w:val="22"/>
                <w:lang w:val="fr-CH"/>
              </w:rPr>
              <w:t xml:space="preserve"> 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A62F23" w:rsidRPr="00120311">
              <w:rPr>
                <w:szCs w:val="22"/>
                <w:lang w:val="fr-CH"/>
              </w:rPr>
              <w:t>Amélioration du portail sur la situation juridique</w:t>
            </w:r>
          </w:p>
          <w:p w:rsidR="00CB202B" w:rsidRPr="00120311" w:rsidRDefault="00CB202B" w:rsidP="00EF1FF2">
            <w:pPr>
              <w:rPr>
                <w:szCs w:val="22"/>
                <w:lang w:val="fr-CH"/>
              </w:rPr>
            </w:pP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Mise au point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une nouvelle interface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ici à la mi</w:t>
            </w:r>
            <w:r w:rsidR="00751A1A">
              <w:rPr>
                <w:szCs w:val="22"/>
                <w:lang w:val="fr-CH"/>
              </w:rPr>
              <w:t>-</w:t>
            </w:r>
            <w:r w:rsidRPr="00120311">
              <w:rPr>
                <w:szCs w:val="22"/>
                <w:lang w:val="fr-CH"/>
              </w:rPr>
              <w:t>2016</w:t>
            </w:r>
            <w:r w:rsidR="00CB202B" w:rsidRPr="00120311">
              <w:rPr>
                <w:szCs w:val="22"/>
                <w:lang w:val="fr-CH"/>
              </w:rPr>
              <w:t xml:space="preserve">.  </w:t>
            </w:r>
            <w:r w:rsidRPr="00120311">
              <w:rPr>
                <w:szCs w:val="22"/>
                <w:lang w:val="fr-CH"/>
              </w:rPr>
              <w:t>Ajout de nouvelles pages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aide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ici à la mi</w:t>
            </w:r>
            <w:r w:rsidR="00751A1A">
              <w:rPr>
                <w:szCs w:val="22"/>
                <w:lang w:val="fr-CH"/>
              </w:rPr>
              <w:t>-</w:t>
            </w:r>
            <w:r w:rsidR="00CB202B" w:rsidRPr="00120311">
              <w:rPr>
                <w:szCs w:val="22"/>
                <w:lang w:val="fr-CH"/>
              </w:rPr>
              <w:t xml:space="preserve">2017.  </w:t>
            </w:r>
            <w:r w:rsidRPr="00120311">
              <w:rPr>
                <w:szCs w:val="22"/>
                <w:lang w:val="fr-CH"/>
              </w:rPr>
              <w:t>Ajout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un nouveau formulaire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 xml:space="preserve">ici à la fin </w:t>
            </w:r>
            <w:r w:rsidR="00751A1A" w:rsidRPr="00120311">
              <w:rPr>
                <w:szCs w:val="22"/>
                <w:lang w:val="fr-CH"/>
              </w:rPr>
              <w:t>de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2017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14A37" w:rsidP="00EF1FF2">
            <w:pPr>
              <w:rPr>
                <w:lang w:val="fr-CH"/>
              </w:rPr>
            </w:pPr>
            <w:r w:rsidRPr="00120311">
              <w:rPr>
                <w:bCs/>
                <w:lang w:val="fr-CH"/>
              </w:rPr>
              <w:t xml:space="preserve">Fin de la mise au point du portail avec la nouvelle interface utilisateur et </w:t>
            </w:r>
            <w:r w:rsidR="004937F5" w:rsidRPr="00120311">
              <w:rPr>
                <w:bCs/>
                <w:lang w:val="fr-CH"/>
              </w:rPr>
              <w:t xml:space="preserve">des </w:t>
            </w:r>
            <w:r w:rsidRPr="00120311">
              <w:rPr>
                <w:bCs/>
                <w:lang w:val="fr-CH"/>
              </w:rPr>
              <w:t xml:space="preserve">nouveautés/mises à jour en </w:t>
            </w:r>
            <w:r w:rsidR="001F2C0B" w:rsidRPr="00120311">
              <w:rPr>
                <w:bCs/>
                <w:lang w:val="fr-CH"/>
              </w:rPr>
              <w:t>matière</w:t>
            </w:r>
            <w:r w:rsidRPr="00120311">
              <w:rPr>
                <w:bCs/>
                <w:lang w:val="fr-CH"/>
              </w:rPr>
              <w:t xml:space="preserve"> de contenu et </w:t>
            </w:r>
            <w:r w:rsidR="001F2C0B" w:rsidRPr="00120311">
              <w:rPr>
                <w:bCs/>
                <w:lang w:val="fr-CH"/>
              </w:rPr>
              <w:t xml:space="preserve">de </w:t>
            </w:r>
            <w:r w:rsidRPr="00120311">
              <w:rPr>
                <w:bCs/>
                <w:lang w:val="fr-CH"/>
              </w:rPr>
              <w:t xml:space="preserve">fonctionnalités </w:t>
            </w:r>
            <w:r w:rsidR="00751A1A">
              <w:rPr>
                <w:bCs/>
                <w:lang w:val="fr-CH"/>
              </w:rPr>
              <w:t>y compris</w:t>
            </w:r>
            <w:r w:rsidRPr="00120311">
              <w:rPr>
                <w:bCs/>
                <w:lang w:val="fr-CH"/>
              </w:rPr>
              <w:t xml:space="preserve"> des pages d</w:t>
            </w:r>
            <w:r w:rsidR="00751A1A">
              <w:rPr>
                <w:bCs/>
                <w:lang w:val="fr-CH"/>
              </w:rPr>
              <w:t>’</w:t>
            </w:r>
            <w:r w:rsidRPr="00120311">
              <w:rPr>
                <w:bCs/>
                <w:lang w:val="fr-CH"/>
              </w:rPr>
              <w:t xml:space="preserve">aides, un formulaire </w:t>
            </w:r>
            <w:r w:rsidR="005A03F1" w:rsidRPr="00120311">
              <w:rPr>
                <w:bCs/>
                <w:lang w:val="fr-CH"/>
              </w:rPr>
              <w:t xml:space="preserve">destiné à recueillir les </w:t>
            </w:r>
            <w:r w:rsidR="004937F5" w:rsidRPr="00120311">
              <w:rPr>
                <w:bCs/>
                <w:lang w:val="fr-CH"/>
              </w:rPr>
              <w:t>commentaires</w:t>
            </w:r>
            <w:r w:rsidRPr="00120311">
              <w:rPr>
                <w:bCs/>
                <w:lang w:val="fr-CH"/>
              </w:rPr>
              <w:t xml:space="preserve"> et un tutoriel vid</w:t>
            </w:r>
            <w:r w:rsidR="00916BDB" w:rsidRPr="00120311">
              <w:rPr>
                <w:bCs/>
                <w:lang w:val="fr-CH"/>
              </w:rPr>
              <w:t>éo</w:t>
            </w:r>
            <w:r w:rsidR="00916BDB">
              <w:rPr>
                <w:bCs/>
                <w:lang w:val="fr-CH"/>
              </w:rPr>
              <w:t xml:space="preserve">.  </w:t>
            </w:r>
            <w:r w:rsidR="00916BDB" w:rsidRPr="00120311">
              <w:rPr>
                <w:bCs/>
                <w:lang w:val="fr-CH"/>
              </w:rPr>
              <w:t>La</w:t>
            </w:r>
            <w:r w:rsidR="006762E4" w:rsidRPr="00120311">
              <w:rPr>
                <w:bCs/>
                <w:lang w:val="fr-CH"/>
              </w:rPr>
              <w:t>ncement</w:t>
            </w:r>
            <w:r w:rsidRPr="00120311">
              <w:rPr>
                <w:bCs/>
                <w:lang w:val="fr-CH"/>
              </w:rPr>
              <w:t xml:space="preserve"> </w:t>
            </w:r>
            <w:r w:rsidR="004937F5" w:rsidRPr="00120311">
              <w:rPr>
                <w:bCs/>
                <w:lang w:val="fr-CH"/>
              </w:rPr>
              <w:t>lors de la vingt</w:t>
            </w:r>
            <w:r w:rsidR="00751A1A">
              <w:rPr>
                <w:bCs/>
                <w:lang w:val="fr-CH"/>
              </w:rPr>
              <w:t>-</w:t>
            </w:r>
            <w:r w:rsidR="004937F5" w:rsidRPr="00120311">
              <w:rPr>
                <w:bCs/>
                <w:lang w:val="fr-CH"/>
              </w:rPr>
              <w:t>deux</w:t>
            </w:r>
            <w:r w:rsidR="00751A1A">
              <w:rPr>
                <w:bCs/>
                <w:lang w:val="fr-CH"/>
              </w:rPr>
              <w:t>ième session</w:t>
            </w:r>
            <w:r w:rsidR="00751A1A" w:rsidRPr="00120311">
              <w:rPr>
                <w:bCs/>
                <w:lang w:val="fr-CH"/>
              </w:rPr>
              <w:t xml:space="preserve"> du</w:t>
            </w:r>
            <w:r w:rsidR="00751A1A">
              <w:rPr>
                <w:bCs/>
                <w:lang w:val="fr-CH"/>
              </w:rPr>
              <w:t> </w:t>
            </w:r>
            <w:r w:rsidR="00751A1A" w:rsidRPr="00120311">
              <w:rPr>
                <w:bCs/>
                <w:lang w:val="fr-CH"/>
              </w:rPr>
              <w:t>CDI</w:t>
            </w:r>
            <w:r w:rsidR="004937F5" w:rsidRPr="00120311">
              <w:rPr>
                <w:bCs/>
                <w:lang w:val="fr-CH"/>
              </w:rPr>
              <w:t>P (</w:t>
            </w:r>
            <w:r w:rsidR="00CB202B" w:rsidRPr="00120311">
              <w:rPr>
                <w:bCs/>
                <w:lang w:val="fr-CH"/>
              </w:rPr>
              <w:t>CDIP/22</w:t>
            </w:r>
            <w:r w:rsidR="004937F5" w:rsidRPr="00120311">
              <w:rPr>
                <w:bCs/>
                <w:lang w:val="fr-CH"/>
              </w:rPr>
              <w:t>)</w:t>
            </w:r>
            <w:r w:rsidR="00CB202B" w:rsidRPr="00120311">
              <w:rPr>
                <w:bCs/>
                <w:lang w:val="fr-CH"/>
              </w:rPr>
              <w:t>.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6.</w:t>
            </w:r>
            <w:r w:rsidR="001045DE">
              <w:rPr>
                <w:szCs w:val="22"/>
                <w:lang w:val="fr-CH"/>
              </w:rPr>
              <w:t xml:space="preserve"> 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4B298A" w:rsidRPr="00120311">
              <w:rPr>
                <w:szCs w:val="22"/>
                <w:lang w:val="fr-CH"/>
              </w:rPr>
              <w:t>Guides sur l</w:t>
            </w:r>
            <w:r w:rsidR="00751A1A">
              <w:rPr>
                <w:szCs w:val="22"/>
                <w:lang w:val="fr-CH"/>
              </w:rPr>
              <w:t>’</w:t>
            </w:r>
            <w:r w:rsidR="004B298A" w:rsidRPr="00120311">
              <w:rPr>
                <w:szCs w:val="22"/>
                <w:lang w:val="fr-CH"/>
              </w:rPr>
              <w:t>identification et l</w:t>
            </w:r>
            <w:r w:rsidR="00751A1A">
              <w:rPr>
                <w:szCs w:val="22"/>
                <w:lang w:val="fr-CH"/>
              </w:rPr>
              <w:t>’</w:t>
            </w:r>
            <w:r w:rsidR="004B298A" w:rsidRPr="00120311">
              <w:rPr>
                <w:szCs w:val="22"/>
                <w:lang w:val="fr-CH"/>
              </w:rPr>
              <w:t>utilisation des inventions figurant dans le domaine public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6762E4" w:rsidRPr="00120311">
              <w:rPr>
                <w:szCs w:val="22"/>
                <w:lang w:val="fr-CH"/>
              </w:rPr>
              <w:t>dans les six</w:t>
            </w:r>
            <w:r w:rsidR="001045DE">
              <w:rPr>
                <w:szCs w:val="22"/>
                <w:lang w:val="fr-CH"/>
              </w:rPr>
              <w:t> </w:t>
            </w:r>
            <w:r w:rsidR="006762E4" w:rsidRPr="00120311">
              <w:rPr>
                <w:szCs w:val="22"/>
                <w:lang w:val="fr-CH"/>
              </w:rPr>
              <w:t>langues officielles</w:t>
            </w:r>
            <w:r w:rsidRPr="00120311">
              <w:rPr>
                <w:szCs w:val="22"/>
                <w:lang w:val="fr-CH"/>
              </w:rPr>
              <w:t xml:space="preserve"> (</w:t>
            </w:r>
            <w:r w:rsidR="006762E4" w:rsidRPr="00120311">
              <w:rPr>
                <w:szCs w:val="22"/>
                <w:lang w:val="fr-CH"/>
              </w:rPr>
              <w:t>voir</w:t>
            </w:r>
            <w:r w:rsidRPr="00120311">
              <w:rPr>
                <w:szCs w:val="22"/>
                <w:lang w:val="fr-CH"/>
              </w:rPr>
              <w:t xml:space="preserve"> CDIP/18/11)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Remise des traductions des guides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ici à la mi</w:t>
            </w:r>
            <w:r w:rsidR="00751A1A">
              <w:rPr>
                <w:szCs w:val="22"/>
                <w:lang w:val="fr-CH"/>
              </w:rPr>
              <w:t>-</w:t>
            </w:r>
            <w:r w:rsidR="00CB202B" w:rsidRPr="00120311">
              <w:rPr>
                <w:szCs w:val="22"/>
                <w:lang w:val="fr-CH"/>
              </w:rPr>
              <w:t>2018.</w:t>
            </w:r>
          </w:p>
          <w:p w:rsidR="00CB202B" w:rsidRPr="00120311" w:rsidRDefault="00CB202B" w:rsidP="00EF1FF2">
            <w:pPr>
              <w:rPr>
                <w:szCs w:val="22"/>
                <w:lang w:val="fr-CH"/>
              </w:rPr>
            </w:pP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14A37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Début </w:t>
            </w:r>
            <w:r w:rsidR="004937F5" w:rsidRPr="00120311">
              <w:rPr>
                <w:lang w:val="fr-CH"/>
              </w:rPr>
              <w:t>de la</w:t>
            </w:r>
            <w:r w:rsidRPr="00120311">
              <w:rPr>
                <w:lang w:val="fr-CH"/>
              </w:rPr>
              <w:t xml:space="preserve"> traduction des guides sitôt la correction et la mise en page professionnelle </w:t>
            </w:r>
            <w:r w:rsidR="00972B8C" w:rsidRPr="00120311">
              <w:rPr>
                <w:lang w:val="fr-CH"/>
              </w:rPr>
              <w:t>effectué</w:t>
            </w:r>
            <w:r w:rsidR="00916BDB" w:rsidRPr="00120311">
              <w:rPr>
                <w:lang w:val="fr-CH"/>
              </w:rPr>
              <w:t>es</w:t>
            </w:r>
            <w:r w:rsidR="00916BDB">
              <w:rPr>
                <w:lang w:val="fr-CH"/>
              </w:rPr>
              <w:t xml:space="preserve">.  </w:t>
            </w:r>
            <w:r w:rsidR="00916BDB" w:rsidRPr="00120311">
              <w:rPr>
                <w:lang w:val="fr-CH"/>
              </w:rPr>
              <w:t>Le</w:t>
            </w:r>
            <w:r w:rsidR="006762E4" w:rsidRPr="00120311">
              <w:rPr>
                <w:lang w:val="fr-CH"/>
              </w:rPr>
              <w:t>s traductions chinoise et espagnole sont en préparation et seront suivies des traductions française, russe et arabe</w:t>
            </w:r>
            <w:r w:rsidR="00CB202B" w:rsidRPr="00120311">
              <w:rPr>
                <w:lang w:val="fr-CH"/>
              </w:rPr>
              <w:t>.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</w:t>
            </w:r>
          </w:p>
        </w:tc>
      </w:tr>
      <w:tr w:rsidR="00CB202B" w:rsidRPr="00120311" w:rsidTr="00EF1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40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lastRenderedPageBreak/>
              <w:t>7.</w:t>
            </w:r>
            <w:r w:rsidR="001045DE">
              <w:rPr>
                <w:szCs w:val="22"/>
                <w:lang w:val="fr-CH"/>
              </w:rPr>
              <w:t xml:space="preserve"> </w:t>
            </w:r>
            <w:r w:rsidRPr="00120311">
              <w:rPr>
                <w:szCs w:val="22"/>
                <w:lang w:val="fr-CH"/>
              </w:rPr>
              <w:t xml:space="preserve"> </w:t>
            </w:r>
            <w:r w:rsidR="004B298A" w:rsidRPr="00120311">
              <w:rPr>
                <w:szCs w:val="22"/>
                <w:lang w:val="fr-CH"/>
              </w:rPr>
              <w:t>Compétences pour administrer et fournir des services relatifs aux inventions se trouvant dans le domaine public</w:t>
            </w:r>
          </w:p>
        </w:tc>
        <w:tc>
          <w:tcPr>
            <w:tcW w:w="268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A62F23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Réalisation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enquêtes dans le cadre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ateliers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 xml:space="preserve">ici à la fin </w:t>
            </w:r>
            <w:r w:rsidR="00751A1A" w:rsidRPr="00120311">
              <w:rPr>
                <w:szCs w:val="22"/>
                <w:lang w:val="fr-CH"/>
              </w:rPr>
              <w:t>de</w:t>
            </w:r>
            <w:r w:rsidR="00751A1A">
              <w:rPr>
                <w:szCs w:val="22"/>
                <w:lang w:val="fr-CH"/>
              </w:rPr>
              <w:t> </w:t>
            </w:r>
            <w:r w:rsidR="00751A1A" w:rsidRPr="00120311">
              <w:rPr>
                <w:szCs w:val="22"/>
                <w:lang w:val="fr-CH"/>
              </w:rPr>
              <w:t>2018</w:t>
            </w:r>
            <w:r w:rsidRPr="00120311">
              <w:rPr>
                <w:szCs w:val="22"/>
                <w:lang w:val="fr-CH"/>
              </w:rPr>
              <w:t>, indiquant que le projet a permis de mettre en valeur des compétences en matière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administration ou de fourniture de services en rapport avec les inventions figurant dans le domaine public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972B8C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Début de l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assistance technique auprès des réseaux sélectionnés de CATI au deuxième semestre 2018 et fin </w:t>
            </w:r>
            <w:r w:rsidR="00B12B6E" w:rsidRPr="00120311">
              <w:rPr>
                <w:lang w:val="fr-CH"/>
              </w:rPr>
              <w:t>de l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assistance en </w:t>
            </w:r>
            <w:r w:rsidR="00751A1A" w:rsidRPr="00120311">
              <w:rPr>
                <w:lang w:val="fr-CH"/>
              </w:rPr>
              <w:t>juin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20</w:t>
            </w:r>
            <w:r w:rsidR="00CB202B" w:rsidRPr="00120311">
              <w:rPr>
                <w:lang w:val="fr-CH"/>
              </w:rPr>
              <w:t xml:space="preserve">19.  </w:t>
            </w:r>
            <w:r w:rsidRPr="00120311">
              <w:rPr>
                <w:lang w:val="fr-CH"/>
              </w:rPr>
              <w:t>99,</w:t>
            </w:r>
            <w:r w:rsidR="00CB202B" w:rsidRPr="00120311">
              <w:rPr>
                <w:lang w:val="fr-CH"/>
              </w:rPr>
              <w:t xml:space="preserve">6% </w:t>
            </w:r>
            <w:r w:rsidRPr="00120311">
              <w:rPr>
                <w:lang w:val="fr-CH"/>
              </w:rPr>
              <w:t xml:space="preserve">des participants ont déclaré que les ateliers </w:t>
            </w:r>
            <w:r w:rsidR="00B12B6E" w:rsidRPr="00120311">
              <w:rPr>
                <w:lang w:val="fr-CH"/>
              </w:rPr>
              <w:t>leur avaient permis de renforcer</w:t>
            </w:r>
            <w:r w:rsidRPr="00120311">
              <w:rPr>
                <w:lang w:val="fr-CH"/>
              </w:rPr>
              <w:t xml:space="preserve"> leurs connaissances et compétences</w:t>
            </w:r>
            <w:r w:rsidR="00CB202B" w:rsidRPr="00120311">
              <w:rPr>
                <w:lang w:val="fr-CH"/>
              </w:rPr>
              <w:t>.</w:t>
            </w:r>
          </w:p>
        </w:tc>
        <w:tc>
          <w:tcPr>
            <w:tcW w:w="8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****</w:t>
            </w:r>
          </w:p>
        </w:tc>
      </w:tr>
    </w:tbl>
    <w:p w:rsidR="00CB202B" w:rsidRPr="00120311" w:rsidRDefault="00CB202B" w:rsidP="00CB202B">
      <w:pPr>
        <w:ind w:left="-180"/>
        <w:rPr>
          <w:lang w:val="fr-CH"/>
        </w:rPr>
      </w:pPr>
    </w:p>
    <w:p w:rsidR="005165E7" w:rsidRPr="00120311" w:rsidRDefault="005165E7" w:rsidP="00CB202B">
      <w:pPr>
        <w:ind w:left="-180"/>
        <w:rPr>
          <w:lang w:val="fr-CH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09"/>
        <w:gridCol w:w="2691"/>
        <w:gridCol w:w="3398"/>
        <w:gridCol w:w="850"/>
      </w:tblGrid>
      <w:tr w:rsidR="00CB202B" w:rsidRPr="00120311" w:rsidTr="00EF1FF2">
        <w:trPr>
          <w:cantSplit/>
        </w:trPr>
        <w:tc>
          <w:tcPr>
            <w:tcW w:w="2410" w:type="dxa"/>
            <w:shd w:val="clear" w:color="auto" w:fill="auto"/>
          </w:tcPr>
          <w:p w:rsidR="00CB202B" w:rsidRPr="00120311" w:rsidRDefault="00F13C15" w:rsidP="00EF1FF2">
            <w:pPr>
              <w:pStyle w:val="Heading3"/>
              <w:spacing w:before="0" w:after="0"/>
              <w:rPr>
                <w:lang w:val="fr-CH"/>
              </w:rPr>
            </w:pPr>
            <w:r w:rsidRPr="00120311">
              <w:rPr>
                <w:lang w:val="fr-CH"/>
              </w:rPr>
              <w:t>Résultats du projet</w:t>
            </w:r>
          </w:p>
        </w:tc>
        <w:tc>
          <w:tcPr>
            <w:tcW w:w="2694" w:type="dxa"/>
            <w:shd w:val="clear" w:color="auto" w:fill="auto"/>
          </w:tcPr>
          <w:p w:rsidR="00CB202B" w:rsidRPr="00120311" w:rsidRDefault="00F13C15" w:rsidP="00EF1FF2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  <w:lang w:val="fr-CH"/>
              </w:rPr>
            </w:pPr>
            <w:r w:rsidRPr="00120311">
              <w:rPr>
                <w:bCs/>
                <w:szCs w:val="22"/>
                <w:u w:val="single"/>
                <w:lang w:val="fr-CH"/>
              </w:rPr>
              <w:t>Indicateurs d</w:t>
            </w:r>
            <w:r w:rsidR="00751A1A">
              <w:rPr>
                <w:bCs/>
                <w:szCs w:val="22"/>
                <w:u w:val="single"/>
                <w:lang w:val="fr-CH"/>
              </w:rPr>
              <w:t>’</w:t>
            </w:r>
            <w:r w:rsidRPr="00120311">
              <w:rPr>
                <w:bCs/>
                <w:szCs w:val="22"/>
                <w:u w:val="single"/>
                <w:lang w:val="fr-CH"/>
              </w:rPr>
              <w:t>exécution</w:t>
            </w:r>
          </w:p>
          <w:p w:rsidR="00CB202B" w:rsidRPr="00120311" w:rsidRDefault="00CB202B" w:rsidP="00EF1FF2">
            <w:pPr>
              <w:autoSpaceDE w:val="0"/>
              <w:autoSpaceDN w:val="0"/>
              <w:adjustRightInd w:val="0"/>
              <w:rPr>
                <w:bCs/>
                <w:szCs w:val="22"/>
                <w:u w:val="single"/>
                <w:lang w:val="fr-CH"/>
              </w:rPr>
            </w:pPr>
            <w:r w:rsidRPr="00120311">
              <w:rPr>
                <w:bCs/>
                <w:szCs w:val="22"/>
                <w:u w:val="single"/>
                <w:lang w:val="fr-CH"/>
              </w:rPr>
              <w:t>(</w:t>
            </w:r>
            <w:r w:rsidR="00F13C15" w:rsidRPr="00120311">
              <w:rPr>
                <w:bCs/>
                <w:szCs w:val="22"/>
                <w:u w:val="single"/>
                <w:lang w:val="fr-CH"/>
              </w:rPr>
              <w:t>indicateurs de résultats</w:t>
            </w:r>
            <w:r w:rsidRPr="00120311">
              <w:rPr>
                <w:bCs/>
                <w:szCs w:val="22"/>
                <w:u w:val="single"/>
                <w:lang w:val="fr-CH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B202B" w:rsidRPr="00120311" w:rsidRDefault="00F13C15" w:rsidP="00EF1FF2">
            <w:pPr>
              <w:pStyle w:val="Heading3"/>
              <w:spacing w:before="0" w:after="0"/>
              <w:rPr>
                <w:lang w:val="fr-CH"/>
              </w:rPr>
            </w:pPr>
            <w:r w:rsidRPr="00120311">
              <w:rPr>
                <w:bCs w:val="0"/>
                <w:szCs w:val="22"/>
                <w:lang w:val="fr-CH"/>
              </w:rPr>
              <w:t>Données relatives à l</w:t>
            </w:r>
            <w:r w:rsidR="00751A1A">
              <w:rPr>
                <w:bCs w:val="0"/>
                <w:szCs w:val="22"/>
                <w:lang w:val="fr-CH"/>
              </w:rPr>
              <w:t>’</w:t>
            </w:r>
            <w:r w:rsidRPr="00120311">
              <w:rPr>
                <w:bCs w:val="0"/>
                <w:szCs w:val="22"/>
                <w:lang w:val="fr-CH"/>
              </w:rPr>
              <w:t>exécution</w:t>
            </w:r>
          </w:p>
        </w:tc>
        <w:tc>
          <w:tcPr>
            <w:tcW w:w="850" w:type="dxa"/>
            <w:shd w:val="clear" w:color="auto" w:fill="auto"/>
          </w:tcPr>
          <w:p w:rsidR="00CB202B" w:rsidRPr="00120311" w:rsidRDefault="00F13C15" w:rsidP="00EF1FF2">
            <w:pPr>
              <w:pStyle w:val="Heading3"/>
              <w:spacing w:before="0" w:after="0"/>
              <w:rPr>
                <w:lang w:val="fr-CH"/>
              </w:rPr>
            </w:pPr>
            <w:r w:rsidRPr="00120311">
              <w:rPr>
                <w:bCs w:val="0"/>
                <w:szCs w:val="22"/>
                <w:lang w:val="fr-CH"/>
              </w:rPr>
              <w:t>Code</w:t>
            </w:r>
          </w:p>
        </w:tc>
      </w:tr>
      <w:tr w:rsidR="00CB202B" w:rsidRPr="00120311" w:rsidTr="00EF1FF2">
        <w:trPr>
          <w:cantSplit/>
        </w:trPr>
        <w:tc>
          <w:tcPr>
            <w:tcW w:w="2410" w:type="dxa"/>
            <w:shd w:val="clear" w:color="auto" w:fill="auto"/>
          </w:tcPr>
          <w:p w:rsidR="00CB202B" w:rsidRPr="00120311" w:rsidRDefault="00CB202B" w:rsidP="00EF1FF2">
            <w:pPr>
              <w:rPr>
                <w:bCs/>
                <w:szCs w:val="22"/>
                <w:lang w:val="fr-CH"/>
              </w:rPr>
            </w:pPr>
            <w:r w:rsidRPr="00120311">
              <w:rPr>
                <w:bCs/>
                <w:szCs w:val="22"/>
                <w:lang w:val="fr-CH"/>
              </w:rPr>
              <w:t>1.</w:t>
            </w:r>
            <w:r w:rsidR="001045DE">
              <w:rPr>
                <w:bCs/>
                <w:szCs w:val="22"/>
                <w:lang w:val="fr-CH"/>
              </w:rPr>
              <w:t xml:space="preserve"> </w:t>
            </w:r>
            <w:r w:rsidRPr="00120311">
              <w:rPr>
                <w:bCs/>
                <w:szCs w:val="22"/>
                <w:lang w:val="fr-CH"/>
              </w:rPr>
              <w:t xml:space="preserve"> </w:t>
            </w:r>
            <w:r w:rsidR="004B298A" w:rsidRPr="00120311">
              <w:rPr>
                <w:bCs/>
                <w:szCs w:val="22"/>
                <w:lang w:val="fr-CH"/>
              </w:rPr>
              <w:t>Faciliter l</w:t>
            </w:r>
            <w:r w:rsidR="00751A1A">
              <w:rPr>
                <w:bCs/>
                <w:szCs w:val="22"/>
                <w:lang w:val="fr-CH"/>
              </w:rPr>
              <w:t>’</w:t>
            </w:r>
            <w:r w:rsidR="004B298A" w:rsidRPr="00120311">
              <w:rPr>
                <w:bCs/>
                <w:szCs w:val="22"/>
                <w:lang w:val="fr-CH"/>
              </w:rPr>
              <w:t>accès des pays en développement et</w:t>
            </w:r>
            <w:r w:rsidR="00751A1A" w:rsidRPr="00120311">
              <w:rPr>
                <w:bCs/>
                <w:szCs w:val="22"/>
                <w:lang w:val="fr-CH"/>
              </w:rPr>
              <w:t xml:space="preserve"> des</w:t>
            </w:r>
            <w:r w:rsidR="00751A1A">
              <w:rPr>
                <w:bCs/>
                <w:szCs w:val="22"/>
                <w:lang w:val="fr-CH"/>
              </w:rPr>
              <w:t> </w:t>
            </w:r>
            <w:r w:rsidR="00751A1A" w:rsidRPr="00120311">
              <w:rPr>
                <w:bCs/>
                <w:szCs w:val="22"/>
                <w:lang w:val="fr-CH"/>
              </w:rPr>
              <w:t>PMA</w:t>
            </w:r>
            <w:r w:rsidR="004B298A" w:rsidRPr="00120311">
              <w:rPr>
                <w:bCs/>
                <w:szCs w:val="22"/>
                <w:lang w:val="fr-CH"/>
              </w:rPr>
              <w:t xml:space="preserve"> aux savoirs et à la technologie et aider les États membres intéressés à recenser et à utiliser les informations qui figurent</w:t>
            </w:r>
            <w:r w:rsidR="005026E6" w:rsidRPr="00120311">
              <w:rPr>
                <w:bCs/>
                <w:szCs w:val="22"/>
                <w:lang w:val="fr-CH"/>
              </w:rPr>
              <w:t xml:space="preserve"> ou sont tombées</w:t>
            </w:r>
            <w:r w:rsidR="004B298A" w:rsidRPr="00120311">
              <w:rPr>
                <w:bCs/>
                <w:szCs w:val="22"/>
                <w:lang w:val="fr-CH"/>
              </w:rPr>
              <w:t xml:space="preserve"> dans le domaine public sur leur territoire</w:t>
            </w:r>
          </w:p>
          <w:p w:rsidR="00CB202B" w:rsidRPr="00120311" w:rsidRDefault="00CB202B" w:rsidP="00EF1FF2">
            <w:pPr>
              <w:rPr>
                <w:bCs/>
                <w:lang w:val="fr-CH"/>
              </w:rPr>
            </w:pPr>
          </w:p>
          <w:p w:rsidR="00CB202B" w:rsidRPr="00120311" w:rsidRDefault="00CB202B" w:rsidP="00EF1FF2">
            <w:pPr>
              <w:autoSpaceDE w:val="0"/>
              <w:autoSpaceDN w:val="0"/>
              <w:adjustRightInd w:val="0"/>
              <w:rPr>
                <w:bCs/>
                <w:lang w:val="fr-CH"/>
              </w:rPr>
            </w:pPr>
          </w:p>
        </w:tc>
        <w:tc>
          <w:tcPr>
            <w:tcW w:w="2694" w:type="dxa"/>
            <w:shd w:val="clear" w:color="auto" w:fill="auto"/>
          </w:tcPr>
          <w:p w:rsidR="00CB202B" w:rsidRPr="00120311" w:rsidRDefault="004B298A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Création de services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identification des inventions figurant dans le domaine public par au moins six</w:t>
            </w:r>
            <w:r w:rsidR="001045DE">
              <w:rPr>
                <w:szCs w:val="22"/>
                <w:lang w:val="fr-CH"/>
              </w:rPr>
              <w:t> </w:t>
            </w:r>
            <w:r w:rsidRPr="00120311">
              <w:rPr>
                <w:szCs w:val="22"/>
                <w:lang w:val="fr-CH"/>
              </w:rPr>
              <w:t>CATI de différents réseaux nationaux de CATI</w:t>
            </w:r>
            <w:r w:rsidR="00CB202B" w:rsidRPr="00120311">
              <w:rPr>
                <w:szCs w:val="22"/>
                <w:lang w:val="fr-CH"/>
              </w:rPr>
              <w:t>.</w:t>
            </w:r>
          </w:p>
          <w:p w:rsidR="00CB202B" w:rsidRPr="00120311" w:rsidRDefault="00CB202B" w:rsidP="00EF1FF2">
            <w:pPr>
              <w:rPr>
                <w:szCs w:val="22"/>
                <w:lang w:val="fr-CH"/>
              </w:rPr>
            </w:pPr>
          </w:p>
          <w:p w:rsidR="00CB202B" w:rsidRPr="00120311" w:rsidRDefault="004B298A" w:rsidP="00EF1FF2">
            <w:pPr>
              <w:rPr>
                <w:szCs w:val="22"/>
                <w:lang w:val="fr-CH"/>
              </w:rPr>
            </w:pPr>
            <w:r w:rsidRPr="00120311">
              <w:rPr>
                <w:szCs w:val="22"/>
                <w:lang w:val="fr-CH"/>
              </w:rPr>
              <w:t>Création de services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aide à l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utilisation des inventions se trouvant dans le domaine public dans au moins quatre</w:t>
            </w:r>
            <w:r w:rsidR="001045DE">
              <w:rPr>
                <w:szCs w:val="22"/>
                <w:lang w:val="fr-CH"/>
              </w:rPr>
              <w:t> </w:t>
            </w:r>
            <w:r w:rsidRPr="00120311">
              <w:rPr>
                <w:szCs w:val="22"/>
                <w:lang w:val="fr-CH"/>
              </w:rPr>
              <w:t>CATI de différents réseaux nationaux de CATI</w:t>
            </w:r>
            <w:r w:rsidR="00CB202B" w:rsidRPr="00120311">
              <w:rPr>
                <w:szCs w:val="22"/>
                <w:lang w:val="fr-CH"/>
              </w:rPr>
              <w:t>.</w:t>
            </w:r>
          </w:p>
          <w:p w:rsidR="00C9075D" w:rsidRPr="00120311" w:rsidRDefault="00C9075D" w:rsidP="00EF1FF2">
            <w:pPr>
              <w:rPr>
                <w:szCs w:val="22"/>
                <w:lang w:val="fr-CH"/>
              </w:rPr>
            </w:pPr>
          </w:p>
          <w:p w:rsidR="001C3580" w:rsidRPr="00120311" w:rsidRDefault="004B298A" w:rsidP="00EF1FF2">
            <w:pPr>
              <w:rPr>
                <w:lang w:val="fr-CH"/>
              </w:rPr>
            </w:pPr>
            <w:r w:rsidRPr="00120311">
              <w:rPr>
                <w:szCs w:val="22"/>
                <w:lang w:val="fr-CH"/>
              </w:rPr>
              <w:t>Nombre accru d</w:t>
            </w:r>
            <w:r w:rsidR="00751A1A">
              <w:rPr>
                <w:szCs w:val="22"/>
                <w:lang w:val="fr-CH"/>
              </w:rPr>
              <w:t>’</w:t>
            </w:r>
            <w:r w:rsidRPr="00120311">
              <w:rPr>
                <w:szCs w:val="22"/>
                <w:lang w:val="fr-CH"/>
              </w:rPr>
              <w:t>utilisateurs dans les différents réseaux de CATI qui identifient et utilisent des informations figurant dans le domaine public</w:t>
            </w:r>
            <w:r w:rsidR="00CB202B" w:rsidRPr="00120311">
              <w:rPr>
                <w:szCs w:val="22"/>
                <w:lang w:val="fr-CH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751A1A" w:rsidRDefault="00972B8C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Neuf réseaux de CATI ont reçu une formation sur les guides visant à </w:t>
            </w:r>
            <w:r w:rsidR="005026E6" w:rsidRPr="00120311">
              <w:rPr>
                <w:lang w:val="fr-CH"/>
              </w:rPr>
              <w:t>renforcer</w:t>
            </w:r>
            <w:r w:rsidRPr="00120311">
              <w:rPr>
                <w:lang w:val="fr-CH"/>
              </w:rPr>
              <w:t xml:space="preserve"> leurs connaissances et compétences </w:t>
            </w:r>
            <w:r w:rsidR="003305AE" w:rsidRPr="00120311">
              <w:rPr>
                <w:lang w:val="fr-CH"/>
              </w:rPr>
              <w:t>relatives à l</w:t>
            </w:r>
            <w:r w:rsidR="00751A1A">
              <w:rPr>
                <w:lang w:val="fr-CH"/>
              </w:rPr>
              <w:t>’</w:t>
            </w:r>
            <w:r w:rsidR="003305AE" w:rsidRPr="00120311">
              <w:rPr>
                <w:lang w:val="fr-CH"/>
              </w:rPr>
              <w:t xml:space="preserve">identification </w:t>
            </w:r>
            <w:r w:rsidR="00AA4916" w:rsidRPr="00120311">
              <w:rPr>
                <w:lang w:val="fr-CH"/>
              </w:rPr>
              <w:t>et à l</w:t>
            </w:r>
            <w:r w:rsidR="00751A1A">
              <w:rPr>
                <w:lang w:val="fr-CH"/>
              </w:rPr>
              <w:t>’</w:t>
            </w:r>
            <w:r w:rsidRPr="00120311">
              <w:rPr>
                <w:lang w:val="fr-CH"/>
              </w:rPr>
              <w:t xml:space="preserve">utilisation des inventions figurant dans le domaine public au moyen des approches </w:t>
            </w:r>
            <w:r w:rsidR="005026E6" w:rsidRPr="00120311">
              <w:rPr>
                <w:lang w:val="fr-CH"/>
              </w:rPr>
              <w:t xml:space="preserve">et outils </w:t>
            </w:r>
            <w:r w:rsidR="001C5940" w:rsidRPr="00120311">
              <w:rPr>
                <w:lang w:val="fr-CH"/>
              </w:rPr>
              <w:t>présentés</w:t>
            </w:r>
            <w:r w:rsidR="00CB202B" w:rsidRPr="00120311">
              <w:rPr>
                <w:lang w:val="fr-CH"/>
              </w:rPr>
              <w:t xml:space="preserve"> </w:t>
            </w:r>
            <w:r w:rsidRPr="00120311">
              <w:rPr>
                <w:lang w:val="fr-CH"/>
              </w:rPr>
              <w:t>dans les guides</w:t>
            </w:r>
            <w:r w:rsidR="00CB202B" w:rsidRPr="00120311">
              <w:rPr>
                <w:lang w:val="fr-CH"/>
              </w:rPr>
              <w:t>.</w:t>
            </w:r>
          </w:p>
          <w:p w:rsidR="00CB202B" w:rsidRPr="00120311" w:rsidRDefault="00CB202B" w:rsidP="00EF1FF2">
            <w:pPr>
              <w:rPr>
                <w:lang w:val="fr-CH"/>
              </w:rPr>
            </w:pPr>
          </w:p>
          <w:p w:rsidR="00CB202B" w:rsidRPr="00120311" w:rsidRDefault="00972B8C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 xml:space="preserve">Une formation et une </w:t>
            </w:r>
            <w:r w:rsidR="005026E6" w:rsidRPr="00120311">
              <w:rPr>
                <w:lang w:val="fr-CH"/>
              </w:rPr>
              <w:t>aide</w:t>
            </w:r>
            <w:r w:rsidRPr="00120311">
              <w:rPr>
                <w:lang w:val="fr-CH"/>
              </w:rPr>
              <w:t xml:space="preserve"> supplémentaire</w:t>
            </w:r>
            <w:r w:rsidR="001F2C0B" w:rsidRPr="00120311">
              <w:rPr>
                <w:lang w:val="fr-CH"/>
              </w:rPr>
              <w:t>s</w:t>
            </w:r>
            <w:r w:rsidRPr="00120311">
              <w:rPr>
                <w:lang w:val="fr-CH"/>
              </w:rPr>
              <w:t xml:space="preserve"> seront nécessaires </w:t>
            </w:r>
            <w:r w:rsidR="005026E6" w:rsidRPr="00120311">
              <w:rPr>
                <w:lang w:val="fr-CH"/>
              </w:rPr>
              <w:t>pour permettre</w:t>
            </w:r>
            <w:r w:rsidR="00751A1A" w:rsidRPr="00120311">
              <w:rPr>
                <w:lang w:val="fr-CH"/>
              </w:rPr>
              <w:t xml:space="preserve"> aux</w:t>
            </w:r>
            <w:r w:rsidR="00751A1A">
              <w:rPr>
                <w:lang w:val="fr-CH"/>
              </w:rPr>
              <w:t> </w:t>
            </w:r>
            <w:r w:rsidR="00751A1A" w:rsidRPr="00120311">
              <w:rPr>
                <w:lang w:val="fr-CH"/>
              </w:rPr>
              <w:t>CAT</w:t>
            </w:r>
            <w:r w:rsidRPr="00120311">
              <w:rPr>
                <w:lang w:val="fr-CH"/>
              </w:rPr>
              <w:t xml:space="preserve">I </w:t>
            </w:r>
            <w:r w:rsidR="005026E6" w:rsidRPr="00120311">
              <w:rPr>
                <w:lang w:val="fr-CH"/>
              </w:rPr>
              <w:t>d</w:t>
            </w:r>
            <w:r w:rsidR="00751A1A">
              <w:rPr>
                <w:lang w:val="fr-CH"/>
              </w:rPr>
              <w:t>’</w:t>
            </w:r>
            <w:r w:rsidR="005026E6" w:rsidRPr="00120311">
              <w:rPr>
                <w:lang w:val="fr-CH"/>
              </w:rPr>
              <w:t>assimiler et d</w:t>
            </w:r>
            <w:r w:rsidR="00751A1A">
              <w:rPr>
                <w:lang w:val="fr-CH"/>
              </w:rPr>
              <w:t>’</w:t>
            </w:r>
            <w:r w:rsidR="005026E6" w:rsidRPr="00120311">
              <w:rPr>
                <w:lang w:val="fr-CH"/>
              </w:rPr>
              <w:t>intégrer</w:t>
            </w:r>
            <w:r w:rsidRPr="00120311">
              <w:rPr>
                <w:lang w:val="fr-CH"/>
              </w:rPr>
              <w:t xml:space="preserve"> </w:t>
            </w:r>
            <w:r w:rsidR="001C5940" w:rsidRPr="00120311">
              <w:rPr>
                <w:lang w:val="fr-CH"/>
              </w:rPr>
              <w:t>pleinement</w:t>
            </w:r>
            <w:r w:rsidRPr="00120311">
              <w:rPr>
                <w:lang w:val="fr-CH"/>
              </w:rPr>
              <w:t xml:space="preserve"> les connaissances et compétences acquises lors des ateliers et </w:t>
            </w:r>
            <w:r w:rsidR="005026E6" w:rsidRPr="00120311">
              <w:rPr>
                <w:lang w:val="fr-CH"/>
              </w:rPr>
              <w:t>de concevoir</w:t>
            </w:r>
            <w:r w:rsidRPr="00120311">
              <w:rPr>
                <w:lang w:val="fr-CH"/>
              </w:rPr>
              <w:t xml:space="preserve"> de nouveaux services dans ce domaine</w:t>
            </w:r>
            <w:r w:rsidR="00CB202B" w:rsidRPr="00120311">
              <w:rPr>
                <w:lang w:val="fr-CH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202B" w:rsidRPr="00120311" w:rsidRDefault="00CB202B" w:rsidP="00EF1FF2">
            <w:pPr>
              <w:rPr>
                <w:lang w:val="fr-CH"/>
              </w:rPr>
            </w:pPr>
            <w:r w:rsidRPr="00120311">
              <w:rPr>
                <w:lang w:val="fr-CH"/>
              </w:rPr>
              <w:t>***</w:t>
            </w:r>
          </w:p>
        </w:tc>
      </w:tr>
    </w:tbl>
    <w:p w:rsidR="006D20ED" w:rsidRPr="00120311" w:rsidRDefault="006D20ED">
      <w:pPr>
        <w:rPr>
          <w:lang w:val="fr-CH"/>
        </w:rPr>
      </w:pPr>
    </w:p>
    <w:p w:rsidR="000A1F76" w:rsidRDefault="000A1F76">
      <w:pPr>
        <w:rPr>
          <w:lang w:val="fr-CH"/>
        </w:rPr>
      </w:pPr>
    </w:p>
    <w:p w:rsidR="00EF1FF2" w:rsidRPr="00120311" w:rsidRDefault="00EF1FF2">
      <w:pPr>
        <w:rPr>
          <w:lang w:val="fr-CH"/>
        </w:rPr>
      </w:pPr>
    </w:p>
    <w:p w:rsidR="006D20ED" w:rsidRPr="00120311" w:rsidRDefault="006D20ED" w:rsidP="006D20ED">
      <w:pPr>
        <w:jc w:val="right"/>
        <w:rPr>
          <w:lang w:val="fr-CH"/>
        </w:rPr>
      </w:pPr>
      <w:r w:rsidRPr="00120311">
        <w:rPr>
          <w:lang w:val="fr-CH"/>
        </w:rPr>
        <w:t>[</w:t>
      </w:r>
      <w:r w:rsidR="00F13C15" w:rsidRPr="00120311">
        <w:rPr>
          <w:lang w:val="fr-CH"/>
        </w:rPr>
        <w:t>Fin de l</w:t>
      </w:r>
      <w:r w:rsidR="00751A1A">
        <w:rPr>
          <w:lang w:val="fr-CH"/>
        </w:rPr>
        <w:t>’</w:t>
      </w:r>
      <w:r w:rsidR="00F13C15" w:rsidRPr="00120311">
        <w:rPr>
          <w:lang w:val="fr-CH"/>
        </w:rPr>
        <w:t>annexe et du document</w:t>
      </w:r>
      <w:r w:rsidRPr="00120311">
        <w:rPr>
          <w:lang w:val="fr-CH"/>
        </w:rPr>
        <w:t>]</w:t>
      </w:r>
    </w:p>
    <w:sectPr w:rsidR="006D20ED" w:rsidRPr="00120311" w:rsidSect="00E06F4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DDB" w:rsidRDefault="00BC3DDB">
      <w:r>
        <w:separator/>
      </w:r>
    </w:p>
  </w:endnote>
  <w:endnote w:type="continuationSeparator" w:id="0">
    <w:p w:rsidR="00BC3DDB" w:rsidRDefault="00BC3DDB" w:rsidP="003B38C1">
      <w:r>
        <w:separator/>
      </w:r>
    </w:p>
    <w:p w:rsidR="00BC3DDB" w:rsidRPr="003B38C1" w:rsidRDefault="00BC3D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C3DDB" w:rsidRPr="003B38C1" w:rsidRDefault="00BC3D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21" w:rsidRDefault="00CD0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21" w:rsidRDefault="00CD0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21" w:rsidRDefault="00CD012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C4022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DDB" w:rsidRDefault="00BC3DDB">
      <w:r>
        <w:separator/>
      </w:r>
    </w:p>
  </w:footnote>
  <w:footnote w:type="continuationSeparator" w:id="0">
    <w:p w:rsidR="00BC3DDB" w:rsidRDefault="00BC3DDB" w:rsidP="008B60B2">
      <w:r>
        <w:separator/>
      </w:r>
    </w:p>
    <w:p w:rsidR="00BC3DDB" w:rsidRPr="00ED77FB" w:rsidRDefault="00BC3D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C3DDB" w:rsidRPr="00ED77FB" w:rsidRDefault="00BC3D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C6523" w:rsidRPr="000432A2" w:rsidRDefault="008C6523" w:rsidP="00695F3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432A2">
        <w:rPr>
          <w:lang w:val="fr-CH"/>
        </w:rPr>
        <w:t xml:space="preserve"> </w:t>
      </w:r>
      <w:r w:rsidR="00EF1FF2">
        <w:rPr>
          <w:lang w:val="fr-CH"/>
        </w:rPr>
        <w:tab/>
      </w:r>
      <w:r w:rsidRPr="000432A2">
        <w:rPr>
          <w:lang w:val="fr-CH"/>
        </w:rPr>
        <w:t>Conf</w:t>
      </w:r>
      <w:r>
        <w:rPr>
          <w:lang w:val="fr-CH"/>
        </w:rPr>
        <w:t>ormément au descriptif de projet initial</w:t>
      </w:r>
      <w:r w:rsidRPr="000432A2">
        <w:rPr>
          <w:lang w:val="fr-CH"/>
        </w:rPr>
        <w:t>, CDIP/16/4</w:t>
      </w:r>
      <w:r w:rsidR="001045DE">
        <w:rPr>
          <w:lang w:val="fr-CH"/>
        </w:rPr>
        <w:t> </w:t>
      </w:r>
      <w:proofErr w:type="spellStart"/>
      <w:r w:rsidRPr="000432A2">
        <w:rPr>
          <w:lang w:val="fr-CH"/>
        </w:rPr>
        <w:t>Rev</w:t>
      </w:r>
      <w:proofErr w:type="spellEnd"/>
      <w:r w:rsidRPr="000432A2">
        <w:rPr>
          <w:lang w:val="fr-CH"/>
        </w:rPr>
        <w:t xml:space="preserve">., </w:t>
      </w:r>
      <w:r w:rsidR="00120311">
        <w:rPr>
          <w:lang w:val="fr-CH"/>
        </w:rPr>
        <w:t>a</w:t>
      </w:r>
      <w:r w:rsidRPr="000432A2">
        <w:rPr>
          <w:lang w:val="fr-CH"/>
        </w:rPr>
        <w:t>nnex</w:t>
      </w:r>
      <w:r>
        <w:rPr>
          <w:lang w:val="fr-CH"/>
        </w:rPr>
        <w:t>e</w:t>
      </w:r>
      <w:r w:rsidRPr="000432A2">
        <w:rPr>
          <w:lang w:val="fr-CH"/>
        </w:rPr>
        <w:t xml:space="preserve">, </w:t>
      </w:r>
      <w:r w:rsidR="008B4333" w:rsidRPr="000432A2">
        <w:rPr>
          <w:lang w:val="fr-CH"/>
        </w:rPr>
        <w:t>page</w:t>
      </w:r>
      <w:r w:rsidR="008B4333">
        <w:rPr>
          <w:lang w:val="fr-CH"/>
        </w:rPr>
        <w:t> </w:t>
      </w:r>
      <w:r w:rsidR="008B4333" w:rsidRPr="000432A2">
        <w:rPr>
          <w:lang w:val="fr-CH"/>
        </w:rPr>
        <w:t>5</w:t>
      </w:r>
      <w:r w:rsidRPr="000432A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C4022C">
    <w:pPr>
      <w:jc w:val="right"/>
    </w:pPr>
    <w:r>
      <w:t>CDIP/24/3</w:t>
    </w:r>
  </w:p>
  <w:p w:rsidR="008C6523" w:rsidRDefault="008C6523" w:rsidP="00C4022C">
    <w:pPr>
      <w:jc w:val="right"/>
      <w:rPr>
        <w:noProof/>
      </w:rPr>
    </w:pPr>
    <w:r>
      <w:rPr>
        <w:rStyle w:val="PageNumber"/>
      </w:rPr>
      <w:t>Annex, page</w:t>
    </w:r>
    <w:r>
      <w:t xml:space="preserve"> </w:t>
    </w:r>
    <w:sdt>
      <w:sdtPr>
        <w:id w:val="-180055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C6523" w:rsidRDefault="008C6523" w:rsidP="00C4022C">
    <w:pPr>
      <w:jc w:val="right"/>
      <w:rPr>
        <w:noProof/>
      </w:rPr>
    </w:pPr>
  </w:p>
  <w:p w:rsidR="008C6523" w:rsidRDefault="008C6523" w:rsidP="00C4022C">
    <w:pPr>
      <w:jc w:val="right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477D6B">
    <w:pPr>
      <w:jc w:val="right"/>
    </w:pPr>
    <w:r>
      <w:t>CDIP/24/3</w:t>
    </w:r>
  </w:p>
  <w:p w:rsidR="008C6523" w:rsidRDefault="008C6523" w:rsidP="00477D6B">
    <w:pPr>
      <w:jc w:val="right"/>
      <w:rPr>
        <w:noProof/>
      </w:rPr>
    </w:pPr>
    <w:proofErr w:type="spellStart"/>
    <w:r>
      <w:rPr>
        <w:rStyle w:val="PageNumber"/>
      </w:rPr>
      <w:t>Annex</w:t>
    </w:r>
    <w:r w:rsidR="00CD0121">
      <w:rPr>
        <w:rStyle w:val="PageNumber"/>
      </w:rPr>
      <w:t>e</w:t>
    </w:r>
    <w:proofErr w:type="spellEnd"/>
    <w:r w:rsidR="00CD0121">
      <w:rPr>
        <w:rStyle w:val="PageNumber"/>
      </w:rPr>
      <w:t>,</w:t>
    </w:r>
    <w:r>
      <w:rPr>
        <w:rStyle w:val="PageNumber"/>
      </w:rPr>
      <w:t xml:space="preserve"> page</w:t>
    </w:r>
    <w:r>
      <w:t xml:space="preserve"> </w:t>
    </w:r>
    <w:sdt>
      <w:sdtPr>
        <w:id w:val="37011945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8C6523" w:rsidRDefault="008C6523" w:rsidP="00477D6B">
    <w:pPr>
      <w:jc w:val="right"/>
      <w:rPr>
        <w:noProof/>
      </w:rPr>
    </w:pPr>
  </w:p>
  <w:p w:rsidR="008C6523" w:rsidRDefault="008C6523" w:rsidP="00477D6B">
    <w:pPr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121" w:rsidRDefault="00CD012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C4022C">
    <w:pPr>
      <w:jc w:val="right"/>
    </w:pPr>
    <w:r>
      <w:t>CDIP/24/3</w:t>
    </w:r>
  </w:p>
  <w:p w:rsidR="008C6523" w:rsidRDefault="008C6523" w:rsidP="00C4022C">
    <w:pPr>
      <w:jc w:val="right"/>
      <w:rPr>
        <w:noProof/>
      </w:rPr>
    </w:pPr>
    <w:proofErr w:type="spellStart"/>
    <w:r>
      <w:rPr>
        <w:rStyle w:val="PageNumber"/>
      </w:rPr>
      <w:t>Annexe</w:t>
    </w:r>
    <w:proofErr w:type="spellEnd"/>
    <w:r>
      <w:rPr>
        <w:rStyle w:val="PageNumber"/>
      </w:rPr>
      <w:t>, page</w:t>
    </w:r>
    <w:r>
      <w:t xml:space="preserve"> </w:t>
    </w:r>
    <w:sdt>
      <w:sdtPr>
        <w:id w:val="17892395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6D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8C6523" w:rsidRDefault="008C6523" w:rsidP="00C4022C">
    <w:pPr>
      <w:jc w:val="right"/>
      <w:rPr>
        <w:noProof/>
      </w:rPr>
    </w:pPr>
  </w:p>
  <w:p w:rsidR="008C6523" w:rsidRDefault="008C6523" w:rsidP="00C4022C">
    <w:pPr>
      <w:jc w:val="right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477D6B">
    <w:pPr>
      <w:jc w:val="right"/>
    </w:pPr>
    <w:r>
      <w:t>CDIP/24/3</w:t>
    </w:r>
  </w:p>
  <w:p w:rsidR="008C6523" w:rsidRDefault="008C6523" w:rsidP="00477D6B">
    <w:pPr>
      <w:jc w:val="right"/>
      <w:rPr>
        <w:noProof/>
      </w:rPr>
    </w:pPr>
    <w:proofErr w:type="spellStart"/>
    <w:r>
      <w:rPr>
        <w:rStyle w:val="PageNumber"/>
      </w:rPr>
      <w:t>Annexe</w:t>
    </w:r>
    <w:proofErr w:type="spellEnd"/>
    <w:r>
      <w:rPr>
        <w:rStyle w:val="PageNumber"/>
      </w:rPr>
      <w:t>, page</w:t>
    </w:r>
    <w:r>
      <w:t xml:space="preserve"> </w:t>
    </w:r>
    <w:sdt>
      <w:sdtPr>
        <w:id w:val="-154219190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6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  <w:p w:rsidR="008C6523" w:rsidRDefault="008C6523" w:rsidP="00477D6B">
    <w:pPr>
      <w:jc w:val="right"/>
      <w:rPr>
        <w:noProof/>
      </w:rPr>
    </w:pPr>
  </w:p>
  <w:p w:rsidR="008C6523" w:rsidRDefault="008C6523" w:rsidP="00477D6B">
    <w:pPr>
      <w:jc w:val="right"/>
      <w:rPr>
        <w:noProof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23" w:rsidRDefault="008C6523" w:rsidP="00D21FA7">
    <w:pPr>
      <w:jc w:val="right"/>
    </w:pPr>
    <w:r>
      <w:t>CDIP/24/3</w:t>
    </w:r>
  </w:p>
  <w:p w:rsidR="008C6523" w:rsidRDefault="008C6523" w:rsidP="00D21FA7">
    <w:pPr>
      <w:pStyle w:val="Header"/>
      <w:jc w:val="right"/>
    </w:pPr>
    <w:r>
      <w:rPr>
        <w:rStyle w:val="PageNumber"/>
      </w:rPr>
      <w:t>ANNEX</w:t>
    </w:r>
    <w:r w:rsidR="00AA4916">
      <w:rPr>
        <w:rStyle w:val="PageNumber"/>
      </w:rPr>
      <w:t>E</w:t>
    </w:r>
  </w:p>
  <w:p w:rsidR="008C6523" w:rsidRDefault="008C6523" w:rsidP="00D21FA7">
    <w:pPr>
      <w:pStyle w:val="Header"/>
      <w:jc w:val="right"/>
    </w:pPr>
  </w:p>
  <w:p w:rsidR="008C6523" w:rsidRDefault="008C6523" w:rsidP="00D21F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2460F"/>
    <w:multiLevelType w:val="hybridMultilevel"/>
    <w:tmpl w:val="EE608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A3D87"/>
    <w:multiLevelType w:val="hybridMultilevel"/>
    <w:tmpl w:val="3476DBF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7050"/>
    <w:multiLevelType w:val="hybridMultilevel"/>
    <w:tmpl w:val="F848AD6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85B3E"/>
    <w:multiLevelType w:val="hybridMultilevel"/>
    <w:tmpl w:val="9B720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769BA"/>
    <w:multiLevelType w:val="hybridMultilevel"/>
    <w:tmpl w:val="99B6444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7DD65F3"/>
    <w:multiLevelType w:val="hybridMultilevel"/>
    <w:tmpl w:val="F658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14A0"/>
    <w:multiLevelType w:val="hybridMultilevel"/>
    <w:tmpl w:val="C5BAF6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9414A1"/>
    <w:multiLevelType w:val="hybridMultilevel"/>
    <w:tmpl w:val="3FACF4F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DAA0C8C"/>
    <w:multiLevelType w:val="hybridMultilevel"/>
    <w:tmpl w:val="DED8920C"/>
    <w:lvl w:ilvl="0" w:tplc="26D291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77F88"/>
    <w:multiLevelType w:val="hybridMultilevel"/>
    <w:tmpl w:val="92D8F260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D0B9B"/>
    <w:multiLevelType w:val="hybridMultilevel"/>
    <w:tmpl w:val="D95A06FA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E5621"/>
    <w:multiLevelType w:val="hybridMultilevel"/>
    <w:tmpl w:val="E43A08EC"/>
    <w:lvl w:ilvl="0" w:tplc="746A64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7C1974"/>
    <w:multiLevelType w:val="hybridMultilevel"/>
    <w:tmpl w:val="85487E04"/>
    <w:lvl w:ilvl="0" w:tplc="7A06C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3397F"/>
    <w:multiLevelType w:val="hybridMultilevel"/>
    <w:tmpl w:val="07D601D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A4B65"/>
    <w:multiLevelType w:val="hybridMultilevel"/>
    <w:tmpl w:val="5FC4551C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C55617"/>
    <w:multiLevelType w:val="hybridMultilevel"/>
    <w:tmpl w:val="C5EA46CA"/>
    <w:lvl w:ilvl="0" w:tplc="53F2007A">
      <w:start w:val="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411EC"/>
    <w:multiLevelType w:val="hybridMultilevel"/>
    <w:tmpl w:val="00D2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8527D"/>
    <w:multiLevelType w:val="hybridMultilevel"/>
    <w:tmpl w:val="87624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A3078"/>
    <w:multiLevelType w:val="hybridMultilevel"/>
    <w:tmpl w:val="48929A06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852E4"/>
    <w:multiLevelType w:val="hybridMultilevel"/>
    <w:tmpl w:val="5A6A1D3A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0"/>
  </w:num>
  <w:num w:numId="5">
    <w:abstractNumId w:val="6"/>
  </w:num>
  <w:num w:numId="6">
    <w:abstractNumId w:val="11"/>
  </w:num>
  <w:num w:numId="7">
    <w:abstractNumId w:val="1"/>
  </w:num>
  <w:num w:numId="8">
    <w:abstractNumId w:val="18"/>
  </w:num>
  <w:num w:numId="9">
    <w:abstractNumId w:val="24"/>
  </w:num>
  <w:num w:numId="10">
    <w:abstractNumId w:val="15"/>
  </w:num>
  <w:num w:numId="11">
    <w:abstractNumId w:val="4"/>
  </w:num>
  <w:num w:numId="12">
    <w:abstractNumId w:val="23"/>
  </w:num>
  <w:num w:numId="13">
    <w:abstractNumId w:val="5"/>
  </w:num>
  <w:num w:numId="14">
    <w:abstractNumId w:val="17"/>
  </w:num>
  <w:num w:numId="15">
    <w:abstractNumId w:val="3"/>
  </w:num>
  <w:num w:numId="16">
    <w:abstractNumId w:val="8"/>
  </w:num>
  <w:num w:numId="17">
    <w:abstractNumId w:val="13"/>
  </w:num>
  <w:num w:numId="18">
    <w:abstractNumId w:val="12"/>
  </w:num>
  <w:num w:numId="19">
    <w:abstractNumId w:val="7"/>
  </w:num>
  <w:num w:numId="20">
    <w:abstractNumId w:val="10"/>
  </w:num>
  <w:num w:numId="21">
    <w:abstractNumId w:val="19"/>
  </w:num>
  <w:num w:numId="22">
    <w:abstractNumId w:val="2"/>
  </w:num>
  <w:num w:numId="23">
    <w:abstractNumId w:val="22"/>
  </w:num>
  <w:num w:numId="24">
    <w:abstractNumId w:val="21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D"/>
    <w:rsid w:val="0000641B"/>
    <w:rsid w:val="000142AB"/>
    <w:rsid w:val="0001459B"/>
    <w:rsid w:val="00017392"/>
    <w:rsid w:val="000225EA"/>
    <w:rsid w:val="00024D41"/>
    <w:rsid w:val="00025E6D"/>
    <w:rsid w:val="000267A4"/>
    <w:rsid w:val="00027E16"/>
    <w:rsid w:val="00030506"/>
    <w:rsid w:val="00040238"/>
    <w:rsid w:val="00040602"/>
    <w:rsid w:val="000432A2"/>
    <w:rsid w:val="00043CAA"/>
    <w:rsid w:val="00050D1F"/>
    <w:rsid w:val="00052C24"/>
    <w:rsid w:val="00056320"/>
    <w:rsid w:val="000618D6"/>
    <w:rsid w:val="00062EFB"/>
    <w:rsid w:val="00064C47"/>
    <w:rsid w:val="000653B4"/>
    <w:rsid w:val="00067B29"/>
    <w:rsid w:val="000721CA"/>
    <w:rsid w:val="000736CB"/>
    <w:rsid w:val="00073E8D"/>
    <w:rsid w:val="00073FBA"/>
    <w:rsid w:val="00075432"/>
    <w:rsid w:val="00075FC9"/>
    <w:rsid w:val="00076511"/>
    <w:rsid w:val="00077A31"/>
    <w:rsid w:val="00082B88"/>
    <w:rsid w:val="000968ED"/>
    <w:rsid w:val="000A1F76"/>
    <w:rsid w:val="000A475D"/>
    <w:rsid w:val="000A7EF8"/>
    <w:rsid w:val="000B00B2"/>
    <w:rsid w:val="000B64BE"/>
    <w:rsid w:val="000C1310"/>
    <w:rsid w:val="000C4B7D"/>
    <w:rsid w:val="000E66DF"/>
    <w:rsid w:val="000F193F"/>
    <w:rsid w:val="000F2669"/>
    <w:rsid w:val="000F5E56"/>
    <w:rsid w:val="000F5EE5"/>
    <w:rsid w:val="00100B5A"/>
    <w:rsid w:val="00102378"/>
    <w:rsid w:val="00102762"/>
    <w:rsid w:val="00103A57"/>
    <w:rsid w:val="001045DE"/>
    <w:rsid w:val="001104B8"/>
    <w:rsid w:val="00120311"/>
    <w:rsid w:val="001216C5"/>
    <w:rsid w:val="0012181A"/>
    <w:rsid w:val="00126192"/>
    <w:rsid w:val="001329C9"/>
    <w:rsid w:val="00132DE8"/>
    <w:rsid w:val="00132E81"/>
    <w:rsid w:val="0013476C"/>
    <w:rsid w:val="001347EF"/>
    <w:rsid w:val="00135FAA"/>
    <w:rsid w:val="001362EE"/>
    <w:rsid w:val="001377AA"/>
    <w:rsid w:val="0015744D"/>
    <w:rsid w:val="001647D5"/>
    <w:rsid w:val="0016775E"/>
    <w:rsid w:val="001832A6"/>
    <w:rsid w:val="001914E7"/>
    <w:rsid w:val="00195C85"/>
    <w:rsid w:val="001A6E83"/>
    <w:rsid w:val="001B1EC6"/>
    <w:rsid w:val="001B28EC"/>
    <w:rsid w:val="001B7F4B"/>
    <w:rsid w:val="001C3580"/>
    <w:rsid w:val="001C5940"/>
    <w:rsid w:val="001C5ACA"/>
    <w:rsid w:val="001D5B8B"/>
    <w:rsid w:val="001E05D5"/>
    <w:rsid w:val="001E1A94"/>
    <w:rsid w:val="001E3270"/>
    <w:rsid w:val="001E3294"/>
    <w:rsid w:val="001F2C0B"/>
    <w:rsid w:val="001F5D57"/>
    <w:rsid w:val="00200ADF"/>
    <w:rsid w:val="00204FED"/>
    <w:rsid w:val="0021217E"/>
    <w:rsid w:val="00223EB2"/>
    <w:rsid w:val="00224ECC"/>
    <w:rsid w:val="0023373C"/>
    <w:rsid w:val="00234549"/>
    <w:rsid w:val="0024172F"/>
    <w:rsid w:val="00244E54"/>
    <w:rsid w:val="00253B35"/>
    <w:rsid w:val="00254519"/>
    <w:rsid w:val="00254B5F"/>
    <w:rsid w:val="00257BB5"/>
    <w:rsid w:val="00262EAF"/>
    <w:rsid w:val="002634C4"/>
    <w:rsid w:val="00272241"/>
    <w:rsid w:val="00273399"/>
    <w:rsid w:val="002808D7"/>
    <w:rsid w:val="00282C05"/>
    <w:rsid w:val="00287B32"/>
    <w:rsid w:val="00291706"/>
    <w:rsid w:val="002928D3"/>
    <w:rsid w:val="002A3025"/>
    <w:rsid w:val="002A5978"/>
    <w:rsid w:val="002B7024"/>
    <w:rsid w:val="002B70F9"/>
    <w:rsid w:val="002C4159"/>
    <w:rsid w:val="002D07D8"/>
    <w:rsid w:val="002D3947"/>
    <w:rsid w:val="002D7AB2"/>
    <w:rsid w:val="002E1731"/>
    <w:rsid w:val="002F1FE6"/>
    <w:rsid w:val="002F4E68"/>
    <w:rsid w:val="002F5D98"/>
    <w:rsid w:val="00300C8E"/>
    <w:rsid w:val="00304AF9"/>
    <w:rsid w:val="00312F7F"/>
    <w:rsid w:val="00314095"/>
    <w:rsid w:val="00317D13"/>
    <w:rsid w:val="00322AA6"/>
    <w:rsid w:val="0032300B"/>
    <w:rsid w:val="00327523"/>
    <w:rsid w:val="003305AE"/>
    <w:rsid w:val="00332063"/>
    <w:rsid w:val="00332A65"/>
    <w:rsid w:val="00334C86"/>
    <w:rsid w:val="003404E0"/>
    <w:rsid w:val="003426BB"/>
    <w:rsid w:val="003556D5"/>
    <w:rsid w:val="00361450"/>
    <w:rsid w:val="00364A80"/>
    <w:rsid w:val="003673CF"/>
    <w:rsid w:val="00371CBA"/>
    <w:rsid w:val="00372212"/>
    <w:rsid w:val="0037466F"/>
    <w:rsid w:val="003845C1"/>
    <w:rsid w:val="003910F2"/>
    <w:rsid w:val="003947C2"/>
    <w:rsid w:val="00397583"/>
    <w:rsid w:val="003A6F89"/>
    <w:rsid w:val="003B38C1"/>
    <w:rsid w:val="003B5101"/>
    <w:rsid w:val="003C0D79"/>
    <w:rsid w:val="003C1F62"/>
    <w:rsid w:val="003C5807"/>
    <w:rsid w:val="003C6168"/>
    <w:rsid w:val="003D1F05"/>
    <w:rsid w:val="003D4688"/>
    <w:rsid w:val="003E3C6B"/>
    <w:rsid w:val="003E5CA7"/>
    <w:rsid w:val="003E61BD"/>
    <w:rsid w:val="003E6E61"/>
    <w:rsid w:val="003F1ADC"/>
    <w:rsid w:val="003F5089"/>
    <w:rsid w:val="0041110B"/>
    <w:rsid w:val="00412E66"/>
    <w:rsid w:val="00414222"/>
    <w:rsid w:val="00423E3E"/>
    <w:rsid w:val="0042441C"/>
    <w:rsid w:val="00425696"/>
    <w:rsid w:val="00426069"/>
    <w:rsid w:val="00427AF4"/>
    <w:rsid w:val="00434F6E"/>
    <w:rsid w:val="00435E6D"/>
    <w:rsid w:val="00435F3C"/>
    <w:rsid w:val="00443C0F"/>
    <w:rsid w:val="00445605"/>
    <w:rsid w:val="00453757"/>
    <w:rsid w:val="004547A2"/>
    <w:rsid w:val="004647DA"/>
    <w:rsid w:val="0047340F"/>
    <w:rsid w:val="00474062"/>
    <w:rsid w:val="00477D6B"/>
    <w:rsid w:val="00484494"/>
    <w:rsid w:val="00484923"/>
    <w:rsid w:val="00485B41"/>
    <w:rsid w:val="00485F1F"/>
    <w:rsid w:val="0048744D"/>
    <w:rsid w:val="004932F5"/>
    <w:rsid w:val="004934B9"/>
    <w:rsid w:val="004937F5"/>
    <w:rsid w:val="00495CA9"/>
    <w:rsid w:val="00497EF1"/>
    <w:rsid w:val="004A385F"/>
    <w:rsid w:val="004A5021"/>
    <w:rsid w:val="004A7A5B"/>
    <w:rsid w:val="004B298A"/>
    <w:rsid w:val="004B3CC3"/>
    <w:rsid w:val="004B5B3A"/>
    <w:rsid w:val="004C2564"/>
    <w:rsid w:val="004D22AC"/>
    <w:rsid w:val="004D651D"/>
    <w:rsid w:val="004D7061"/>
    <w:rsid w:val="004D7FE9"/>
    <w:rsid w:val="004E58C0"/>
    <w:rsid w:val="004E6CB2"/>
    <w:rsid w:val="004F73F1"/>
    <w:rsid w:val="005019FF"/>
    <w:rsid w:val="005026E6"/>
    <w:rsid w:val="00511B0C"/>
    <w:rsid w:val="005165E7"/>
    <w:rsid w:val="005166EF"/>
    <w:rsid w:val="0052094B"/>
    <w:rsid w:val="00522214"/>
    <w:rsid w:val="0052752D"/>
    <w:rsid w:val="0053057A"/>
    <w:rsid w:val="005375F2"/>
    <w:rsid w:val="00542192"/>
    <w:rsid w:val="00542EDD"/>
    <w:rsid w:val="00545D5D"/>
    <w:rsid w:val="005510DA"/>
    <w:rsid w:val="005544DE"/>
    <w:rsid w:val="00554921"/>
    <w:rsid w:val="00555BCA"/>
    <w:rsid w:val="00560A29"/>
    <w:rsid w:val="00573F6A"/>
    <w:rsid w:val="00585482"/>
    <w:rsid w:val="00586BA6"/>
    <w:rsid w:val="00586BED"/>
    <w:rsid w:val="00586E34"/>
    <w:rsid w:val="0058704C"/>
    <w:rsid w:val="00590DC8"/>
    <w:rsid w:val="00592B6B"/>
    <w:rsid w:val="00593BE5"/>
    <w:rsid w:val="005A03F1"/>
    <w:rsid w:val="005A4D35"/>
    <w:rsid w:val="005B00CE"/>
    <w:rsid w:val="005B0350"/>
    <w:rsid w:val="005B040F"/>
    <w:rsid w:val="005C0E51"/>
    <w:rsid w:val="005C129B"/>
    <w:rsid w:val="005C164F"/>
    <w:rsid w:val="005C1921"/>
    <w:rsid w:val="005C3C82"/>
    <w:rsid w:val="005C6649"/>
    <w:rsid w:val="005C6D68"/>
    <w:rsid w:val="005D31DE"/>
    <w:rsid w:val="005D3543"/>
    <w:rsid w:val="005D3B8B"/>
    <w:rsid w:val="005E5EE9"/>
    <w:rsid w:val="005E791B"/>
    <w:rsid w:val="005E7ABD"/>
    <w:rsid w:val="005E7AD7"/>
    <w:rsid w:val="005F2E85"/>
    <w:rsid w:val="00605827"/>
    <w:rsid w:val="0061248C"/>
    <w:rsid w:val="00622ACE"/>
    <w:rsid w:val="0062409D"/>
    <w:rsid w:val="0064039D"/>
    <w:rsid w:val="00642BD9"/>
    <w:rsid w:val="006459DD"/>
    <w:rsid w:val="00646050"/>
    <w:rsid w:val="00651DE1"/>
    <w:rsid w:val="0065339D"/>
    <w:rsid w:val="0065603C"/>
    <w:rsid w:val="006565EB"/>
    <w:rsid w:val="00663B3E"/>
    <w:rsid w:val="006713CA"/>
    <w:rsid w:val="00675287"/>
    <w:rsid w:val="006762E4"/>
    <w:rsid w:val="00676C5C"/>
    <w:rsid w:val="006775CC"/>
    <w:rsid w:val="00680E03"/>
    <w:rsid w:val="00695862"/>
    <w:rsid w:val="00695F3E"/>
    <w:rsid w:val="00697F50"/>
    <w:rsid w:val="006A73C4"/>
    <w:rsid w:val="006B386A"/>
    <w:rsid w:val="006B7F93"/>
    <w:rsid w:val="006C29D2"/>
    <w:rsid w:val="006D20ED"/>
    <w:rsid w:val="006E16C2"/>
    <w:rsid w:val="006E2E4C"/>
    <w:rsid w:val="006E7904"/>
    <w:rsid w:val="006F0291"/>
    <w:rsid w:val="006F1160"/>
    <w:rsid w:val="006F166D"/>
    <w:rsid w:val="007023A1"/>
    <w:rsid w:val="007214EC"/>
    <w:rsid w:val="0072406D"/>
    <w:rsid w:val="0073742C"/>
    <w:rsid w:val="00745405"/>
    <w:rsid w:val="00745D50"/>
    <w:rsid w:val="00751A1A"/>
    <w:rsid w:val="007544F4"/>
    <w:rsid w:val="00767CDC"/>
    <w:rsid w:val="0077034E"/>
    <w:rsid w:val="00771722"/>
    <w:rsid w:val="00771884"/>
    <w:rsid w:val="00772EBB"/>
    <w:rsid w:val="007743F2"/>
    <w:rsid w:val="00774C80"/>
    <w:rsid w:val="00775EFD"/>
    <w:rsid w:val="007767EE"/>
    <w:rsid w:val="00780F67"/>
    <w:rsid w:val="007820B7"/>
    <w:rsid w:val="00782FF3"/>
    <w:rsid w:val="00784A05"/>
    <w:rsid w:val="00795C1B"/>
    <w:rsid w:val="00795E34"/>
    <w:rsid w:val="007A1CC9"/>
    <w:rsid w:val="007A51E5"/>
    <w:rsid w:val="007A7428"/>
    <w:rsid w:val="007A759F"/>
    <w:rsid w:val="007C7F94"/>
    <w:rsid w:val="007D09CB"/>
    <w:rsid w:val="007D1613"/>
    <w:rsid w:val="007D31FE"/>
    <w:rsid w:val="007D5B2B"/>
    <w:rsid w:val="007D66A4"/>
    <w:rsid w:val="007E4C0E"/>
    <w:rsid w:val="007F2468"/>
    <w:rsid w:val="007F5920"/>
    <w:rsid w:val="007F6915"/>
    <w:rsid w:val="00800BFC"/>
    <w:rsid w:val="008033F2"/>
    <w:rsid w:val="00815041"/>
    <w:rsid w:val="0082321C"/>
    <w:rsid w:val="00830EB7"/>
    <w:rsid w:val="0083291A"/>
    <w:rsid w:val="008334A7"/>
    <w:rsid w:val="00833EFE"/>
    <w:rsid w:val="008350AE"/>
    <w:rsid w:val="008350F6"/>
    <w:rsid w:val="00835D34"/>
    <w:rsid w:val="008462BA"/>
    <w:rsid w:val="00851D14"/>
    <w:rsid w:val="00852874"/>
    <w:rsid w:val="00855596"/>
    <w:rsid w:val="00860DE7"/>
    <w:rsid w:val="00862DBD"/>
    <w:rsid w:val="008674FB"/>
    <w:rsid w:val="00874691"/>
    <w:rsid w:val="00876163"/>
    <w:rsid w:val="008875E1"/>
    <w:rsid w:val="00891430"/>
    <w:rsid w:val="00891B3F"/>
    <w:rsid w:val="0089258E"/>
    <w:rsid w:val="00892F0A"/>
    <w:rsid w:val="008971A9"/>
    <w:rsid w:val="008A134B"/>
    <w:rsid w:val="008A413D"/>
    <w:rsid w:val="008B1314"/>
    <w:rsid w:val="008B2CC1"/>
    <w:rsid w:val="008B38B0"/>
    <w:rsid w:val="008B3BB7"/>
    <w:rsid w:val="008B4333"/>
    <w:rsid w:val="008B60B2"/>
    <w:rsid w:val="008C6523"/>
    <w:rsid w:val="008D29D9"/>
    <w:rsid w:val="008F1CFA"/>
    <w:rsid w:val="008F2FE0"/>
    <w:rsid w:val="008F4417"/>
    <w:rsid w:val="008F656E"/>
    <w:rsid w:val="008F7B35"/>
    <w:rsid w:val="00907074"/>
    <w:rsid w:val="0090731E"/>
    <w:rsid w:val="00913AE1"/>
    <w:rsid w:val="00913F7F"/>
    <w:rsid w:val="0091528F"/>
    <w:rsid w:val="00916BDB"/>
    <w:rsid w:val="00916EE2"/>
    <w:rsid w:val="00925E16"/>
    <w:rsid w:val="0092736C"/>
    <w:rsid w:val="0093187E"/>
    <w:rsid w:val="00940032"/>
    <w:rsid w:val="00943B22"/>
    <w:rsid w:val="00945F69"/>
    <w:rsid w:val="00953FDB"/>
    <w:rsid w:val="009644F3"/>
    <w:rsid w:val="00966A22"/>
    <w:rsid w:val="0096722F"/>
    <w:rsid w:val="00972B8C"/>
    <w:rsid w:val="00980843"/>
    <w:rsid w:val="009808B7"/>
    <w:rsid w:val="009873B2"/>
    <w:rsid w:val="009873BF"/>
    <w:rsid w:val="00990363"/>
    <w:rsid w:val="00991069"/>
    <w:rsid w:val="009973BB"/>
    <w:rsid w:val="009A14D4"/>
    <w:rsid w:val="009A230A"/>
    <w:rsid w:val="009A2E7C"/>
    <w:rsid w:val="009A4FFB"/>
    <w:rsid w:val="009A55A8"/>
    <w:rsid w:val="009C5CE2"/>
    <w:rsid w:val="009D59BC"/>
    <w:rsid w:val="009E2791"/>
    <w:rsid w:val="009E3920"/>
    <w:rsid w:val="009E3F6F"/>
    <w:rsid w:val="009F0F77"/>
    <w:rsid w:val="009F499F"/>
    <w:rsid w:val="009F57D2"/>
    <w:rsid w:val="009F61DC"/>
    <w:rsid w:val="00A12B8E"/>
    <w:rsid w:val="00A172BC"/>
    <w:rsid w:val="00A21919"/>
    <w:rsid w:val="00A2290C"/>
    <w:rsid w:val="00A22CAC"/>
    <w:rsid w:val="00A343A4"/>
    <w:rsid w:val="00A37342"/>
    <w:rsid w:val="00A40F56"/>
    <w:rsid w:val="00A42DAF"/>
    <w:rsid w:val="00A42E9D"/>
    <w:rsid w:val="00A45BD8"/>
    <w:rsid w:val="00A53FB3"/>
    <w:rsid w:val="00A557C5"/>
    <w:rsid w:val="00A60779"/>
    <w:rsid w:val="00A62F23"/>
    <w:rsid w:val="00A64197"/>
    <w:rsid w:val="00A7723C"/>
    <w:rsid w:val="00A77941"/>
    <w:rsid w:val="00A80BCE"/>
    <w:rsid w:val="00A8175A"/>
    <w:rsid w:val="00A869B7"/>
    <w:rsid w:val="00A94018"/>
    <w:rsid w:val="00AA4916"/>
    <w:rsid w:val="00AA767F"/>
    <w:rsid w:val="00AB12C1"/>
    <w:rsid w:val="00AB4389"/>
    <w:rsid w:val="00AB4EAB"/>
    <w:rsid w:val="00AB50F1"/>
    <w:rsid w:val="00AB7A35"/>
    <w:rsid w:val="00AC133C"/>
    <w:rsid w:val="00AC1DB3"/>
    <w:rsid w:val="00AC205C"/>
    <w:rsid w:val="00AD19D4"/>
    <w:rsid w:val="00AD246E"/>
    <w:rsid w:val="00AD3DBB"/>
    <w:rsid w:val="00AE416F"/>
    <w:rsid w:val="00AE60A1"/>
    <w:rsid w:val="00AF02FC"/>
    <w:rsid w:val="00AF0A6B"/>
    <w:rsid w:val="00AF0EF6"/>
    <w:rsid w:val="00AF2011"/>
    <w:rsid w:val="00AF467A"/>
    <w:rsid w:val="00B00C95"/>
    <w:rsid w:val="00B05A69"/>
    <w:rsid w:val="00B106E6"/>
    <w:rsid w:val="00B10F42"/>
    <w:rsid w:val="00B12B6E"/>
    <w:rsid w:val="00B167B4"/>
    <w:rsid w:val="00B2103E"/>
    <w:rsid w:val="00B229F9"/>
    <w:rsid w:val="00B2656C"/>
    <w:rsid w:val="00B401F7"/>
    <w:rsid w:val="00B445C8"/>
    <w:rsid w:val="00B447B8"/>
    <w:rsid w:val="00B447DC"/>
    <w:rsid w:val="00B449F3"/>
    <w:rsid w:val="00B44B42"/>
    <w:rsid w:val="00B54503"/>
    <w:rsid w:val="00B55EE8"/>
    <w:rsid w:val="00B55F5E"/>
    <w:rsid w:val="00B60E11"/>
    <w:rsid w:val="00B71D78"/>
    <w:rsid w:val="00B83DC2"/>
    <w:rsid w:val="00B8446E"/>
    <w:rsid w:val="00B92770"/>
    <w:rsid w:val="00B9700D"/>
    <w:rsid w:val="00B9734B"/>
    <w:rsid w:val="00B974A6"/>
    <w:rsid w:val="00BA30E2"/>
    <w:rsid w:val="00BA50B1"/>
    <w:rsid w:val="00BA6780"/>
    <w:rsid w:val="00BB1FD0"/>
    <w:rsid w:val="00BB21F2"/>
    <w:rsid w:val="00BB28B7"/>
    <w:rsid w:val="00BC1C15"/>
    <w:rsid w:val="00BC3DDB"/>
    <w:rsid w:val="00BD1BAB"/>
    <w:rsid w:val="00BD41F1"/>
    <w:rsid w:val="00BD6D4F"/>
    <w:rsid w:val="00BF0DC6"/>
    <w:rsid w:val="00BF558F"/>
    <w:rsid w:val="00BF5FC5"/>
    <w:rsid w:val="00C007BB"/>
    <w:rsid w:val="00C050E4"/>
    <w:rsid w:val="00C1018D"/>
    <w:rsid w:val="00C117B9"/>
    <w:rsid w:val="00C11BFE"/>
    <w:rsid w:val="00C14466"/>
    <w:rsid w:val="00C14A37"/>
    <w:rsid w:val="00C24BF0"/>
    <w:rsid w:val="00C30B8A"/>
    <w:rsid w:val="00C31DDB"/>
    <w:rsid w:val="00C37C23"/>
    <w:rsid w:val="00C4022C"/>
    <w:rsid w:val="00C41B88"/>
    <w:rsid w:val="00C431C0"/>
    <w:rsid w:val="00C44407"/>
    <w:rsid w:val="00C4706F"/>
    <w:rsid w:val="00C5068F"/>
    <w:rsid w:val="00C51900"/>
    <w:rsid w:val="00C5256A"/>
    <w:rsid w:val="00C61201"/>
    <w:rsid w:val="00C61A92"/>
    <w:rsid w:val="00C71AC0"/>
    <w:rsid w:val="00C72D64"/>
    <w:rsid w:val="00C7401C"/>
    <w:rsid w:val="00C74687"/>
    <w:rsid w:val="00C77CE6"/>
    <w:rsid w:val="00C85E00"/>
    <w:rsid w:val="00C86D74"/>
    <w:rsid w:val="00C9075D"/>
    <w:rsid w:val="00C90C15"/>
    <w:rsid w:val="00C97F57"/>
    <w:rsid w:val="00CA2AE8"/>
    <w:rsid w:val="00CA3FC3"/>
    <w:rsid w:val="00CB2004"/>
    <w:rsid w:val="00CB202B"/>
    <w:rsid w:val="00CC31A0"/>
    <w:rsid w:val="00CC71ED"/>
    <w:rsid w:val="00CD0121"/>
    <w:rsid w:val="00CD04F1"/>
    <w:rsid w:val="00CD2E5D"/>
    <w:rsid w:val="00CD719E"/>
    <w:rsid w:val="00CD79C6"/>
    <w:rsid w:val="00CE04D1"/>
    <w:rsid w:val="00CE0BAA"/>
    <w:rsid w:val="00CE4AAD"/>
    <w:rsid w:val="00CF6D5D"/>
    <w:rsid w:val="00D01B3F"/>
    <w:rsid w:val="00D0300A"/>
    <w:rsid w:val="00D0351E"/>
    <w:rsid w:val="00D1323C"/>
    <w:rsid w:val="00D14214"/>
    <w:rsid w:val="00D16E02"/>
    <w:rsid w:val="00D172D8"/>
    <w:rsid w:val="00D21FA7"/>
    <w:rsid w:val="00D24D32"/>
    <w:rsid w:val="00D32D78"/>
    <w:rsid w:val="00D3706D"/>
    <w:rsid w:val="00D4277A"/>
    <w:rsid w:val="00D45252"/>
    <w:rsid w:val="00D475FB"/>
    <w:rsid w:val="00D5709C"/>
    <w:rsid w:val="00D602C1"/>
    <w:rsid w:val="00D62FA3"/>
    <w:rsid w:val="00D71B4D"/>
    <w:rsid w:val="00D722B8"/>
    <w:rsid w:val="00D72697"/>
    <w:rsid w:val="00D757C3"/>
    <w:rsid w:val="00D923C7"/>
    <w:rsid w:val="00D93D55"/>
    <w:rsid w:val="00D951F0"/>
    <w:rsid w:val="00DA1E10"/>
    <w:rsid w:val="00DB1C38"/>
    <w:rsid w:val="00DC2188"/>
    <w:rsid w:val="00DC225B"/>
    <w:rsid w:val="00DC5F5E"/>
    <w:rsid w:val="00DC6D6D"/>
    <w:rsid w:val="00DD275E"/>
    <w:rsid w:val="00DD3F60"/>
    <w:rsid w:val="00DD7C95"/>
    <w:rsid w:val="00DE20D7"/>
    <w:rsid w:val="00DE56FC"/>
    <w:rsid w:val="00DF2B62"/>
    <w:rsid w:val="00E022C3"/>
    <w:rsid w:val="00E04169"/>
    <w:rsid w:val="00E06F4C"/>
    <w:rsid w:val="00E15015"/>
    <w:rsid w:val="00E20C16"/>
    <w:rsid w:val="00E275C8"/>
    <w:rsid w:val="00E335FE"/>
    <w:rsid w:val="00E4005B"/>
    <w:rsid w:val="00E57D9F"/>
    <w:rsid w:val="00E66983"/>
    <w:rsid w:val="00E715AB"/>
    <w:rsid w:val="00E75C08"/>
    <w:rsid w:val="00E80E7B"/>
    <w:rsid w:val="00E827EC"/>
    <w:rsid w:val="00E83F9C"/>
    <w:rsid w:val="00E84972"/>
    <w:rsid w:val="00E95B78"/>
    <w:rsid w:val="00EA0679"/>
    <w:rsid w:val="00EA7D6E"/>
    <w:rsid w:val="00EC06DF"/>
    <w:rsid w:val="00EC1A89"/>
    <w:rsid w:val="00EC280B"/>
    <w:rsid w:val="00EC4E49"/>
    <w:rsid w:val="00ED0308"/>
    <w:rsid w:val="00ED70DF"/>
    <w:rsid w:val="00ED77FB"/>
    <w:rsid w:val="00EE139A"/>
    <w:rsid w:val="00EE1DCE"/>
    <w:rsid w:val="00EE45FA"/>
    <w:rsid w:val="00EE6793"/>
    <w:rsid w:val="00EE74DC"/>
    <w:rsid w:val="00EF1FF2"/>
    <w:rsid w:val="00EF6945"/>
    <w:rsid w:val="00F02407"/>
    <w:rsid w:val="00F06B01"/>
    <w:rsid w:val="00F10446"/>
    <w:rsid w:val="00F13C15"/>
    <w:rsid w:val="00F20E75"/>
    <w:rsid w:val="00F43BC1"/>
    <w:rsid w:val="00F51387"/>
    <w:rsid w:val="00F563C1"/>
    <w:rsid w:val="00F66152"/>
    <w:rsid w:val="00F71F22"/>
    <w:rsid w:val="00F74FCC"/>
    <w:rsid w:val="00F77502"/>
    <w:rsid w:val="00F807AD"/>
    <w:rsid w:val="00F8406E"/>
    <w:rsid w:val="00F869F0"/>
    <w:rsid w:val="00F86FF0"/>
    <w:rsid w:val="00F92601"/>
    <w:rsid w:val="00F92732"/>
    <w:rsid w:val="00F93DEB"/>
    <w:rsid w:val="00F94451"/>
    <w:rsid w:val="00F9452D"/>
    <w:rsid w:val="00FA7BAE"/>
    <w:rsid w:val="00FB6AF7"/>
    <w:rsid w:val="00FC3AB0"/>
    <w:rsid w:val="00FC795B"/>
    <w:rsid w:val="00FD42BF"/>
    <w:rsid w:val="00FE6146"/>
    <w:rsid w:val="00FF4ADA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E87444-685E-44DD-853A-DBC23BA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3Char">
    <w:name w:val="Heading 3 Char"/>
    <w:link w:val="Heading3"/>
    <w:rsid w:val="007767EE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paragraph" w:customStyle="1" w:styleId="Default">
    <w:name w:val="Default"/>
    <w:rsid w:val="006D2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D20ED"/>
    <w:pPr>
      <w:ind w:left="567"/>
    </w:pPr>
    <w:rPr>
      <w:rFonts w:eastAsia="Times New Roman"/>
      <w:lang w:eastAsia="en-US"/>
    </w:rPr>
  </w:style>
  <w:style w:type="character" w:styleId="FootnoteReference">
    <w:name w:val="footnote reference"/>
    <w:semiHidden/>
    <w:rsid w:val="006D20E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172D8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A172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72BC"/>
    <w:rPr>
      <w:rFonts w:ascii="Segoe UI" w:eastAsia="SimSun" w:hAnsi="Segoe UI" w:cs="Segoe UI"/>
      <w:sz w:val="18"/>
      <w:szCs w:val="18"/>
      <w:lang w:val="en-US" w:eastAsia="zh-CN"/>
    </w:rPr>
  </w:style>
  <w:style w:type="character" w:styleId="PageNumber">
    <w:name w:val="page number"/>
    <w:basedOn w:val="DefaultParagraphFont"/>
    <w:rsid w:val="00C72D64"/>
  </w:style>
  <w:style w:type="paragraph" w:styleId="NormalWeb">
    <w:name w:val="Normal (Web)"/>
    <w:basedOn w:val="Normal"/>
    <w:rsid w:val="00CB2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null1">
    <w:name w:val="null1"/>
    <w:rsid w:val="00CB202B"/>
  </w:style>
  <w:style w:type="character" w:styleId="CommentReference">
    <w:name w:val="annotation reference"/>
    <w:basedOn w:val="DefaultParagraphFont"/>
    <w:semiHidden/>
    <w:unhideWhenUsed/>
    <w:rsid w:val="009A2E7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2E7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2E7C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2E7C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semiHidden/>
    <w:unhideWhenUsed/>
    <w:rsid w:val="00916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CE56-EA8D-4C29-94A3-654B06E6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4099</Words>
  <Characters>22835</Characters>
  <Application>Microsoft Office Word</Application>
  <DocSecurity>0</DocSecurity>
  <Lines>713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26756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CERBARI Mihaela</dc:creator>
  <cp:keywords>FOR OFFICIAL USE ONLY</cp:keywords>
  <dc:description/>
  <cp:lastModifiedBy>ESTEVES DOS SANTOS Anabela</cp:lastModifiedBy>
  <cp:revision>2</cp:revision>
  <cp:lastPrinted>2019-08-21T13:55:00Z</cp:lastPrinted>
  <dcterms:created xsi:type="dcterms:W3CDTF">2019-09-02T10:28:00Z</dcterms:created>
  <dcterms:modified xsi:type="dcterms:W3CDTF">2019-09-02T10:28:00Z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dc7bd1b4-f2b0-431a-8887-74e269997dc7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