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430AD" w:rsidRPr="000F6A66" w14:paraId="66CCE9F5" w14:textId="77777777" w:rsidTr="00481AFB">
        <w:tc>
          <w:tcPr>
            <w:tcW w:w="4513" w:type="dxa"/>
            <w:tcBorders>
              <w:bottom w:val="single" w:sz="4" w:space="0" w:color="auto"/>
            </w:tcBorders>
            <w:tcMar>
              <w:bottom w:w="170" w:type="dxa"/>
            </w:tcMar>
          </w:tcPr>
          <w:p w14:paraId="59A5C2A4" w14:textId="77777777" w:rsidR="00A430AD" w:rsidRPr="000F6A66" w:rsidRDefault="00A430AD" w:rsidP="00481AFB">
            <w:pPr>
              <w:rPr>
                <w:lang w:val="fr-FR"/>
              </w:rPr>
            </w:pPr>
            <w:bookmarkStart w:id="0" w:name="_GoBack"/>
            <w:bookmarkEnd w:id="0"/>
          </w:p>
        </w:tc>
        <w:tc>
          <w:tcPr>
            <w:tcW w:w="4337" w:type="dxa"/>
            <w:tcBorders>
              <w:bottom w:val="single" w:sz="4" w:space="0" w:color="auto"/>
            </w:tcBorders>
            <w:tcMar>
              <w:left w:w="0" w:type="dxa"/>
              <w:right w:w="0" w:type="dxa"/>
            </w:tcMar>
          </w:tcPr>
          <w:p w14:paraId="4728E133" w14:textId="77777777" w:rsidR="00A430AD" w:rsidRPr="000F6A66" w:rsidRDefault="00A430AD" w:rsidP="00481AFB">
            <w:pPr>
              <w:rPr>
                <w:lang w:val="fr-FR"/>
              </w:rPr>
            </w:pPr>
            <w:r w:rsidRPr="000F6A66">
              <w:rPr>
                <w:noProof/>
                <w:lang w:val="en-US" w:eastAsia="en-US"/>
              </w:rPr>
              <w:drawing>
                <wp:inline distT="0" distB="0" distL="0" distR="0" wp14:anchorId="7F2F3B7B" wp14:editId="5209CB6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6543048" w14:textId="77777777" w:rsidR="00A430AD" w:rsidRPr="000F6A66" w:rsidRDefault="00A430AD" w:rsidP="00481AFB">
            <w:pPr>
              <w:jc w:val="right"/>
              <w:rPr>
                <w:lang w:val="fr-FR"/>
              </w:rPr>
            </w:pPr>
            <w:r w:rsidRPr="000F6A66">
              <w:rPr>
                <w:b/>
                <w:sz w:val="40"/>
                <w:szCs w:val="40"/>
                <w:lang w:val="fr-FR"/>
              </w:rPr>
              <w:t>F</w:t>
            </w:r>
          </w:p>
        </w:tc>
      </w:tr>
      <w:tr w:rsidR="00A430AD" w:rsidRPr="000F6A66" w14:paraId="328F766E" w14:textId="77777777" w:rsidTr="00481AFB">
        <w:trPr>
          <w:trHeight w:hRule="exact" w:val="357"/>
        </w:trPr>
        <w:tc>
          <w:tcPr>
            <w:tcW w:w="9356" w:type="dxa"/>
            <w:gridSpan w:val="3"/>
            <w:tcBorders>
              <w:top w:val="single" w:sz="4" w:space="0" w:color="auto"/>
            </w:tcBorders>
            <w:tcMar>
              <w:top w:w="170" w:type="dxa"/>
              <w:left w:w="0" w:type="dxa"/>
              <w:right w:w="0" w:type="dxa"/>
            </w:tcMar>
            <w:vAlign w:val="bottom"/>
          </w:tcPr>
          <w:p w14:paraId="5E3857DC" w14:textId="77777777" w:rsidR="00A430AD" w:rsidRPr="000F6A66" w:rsidRDefault="00A430AD" w:rsidP="00481AFB">
            <w:pPr>
              <w:jc w:val="right"/>
              <w:rPr>
                <w:rFonts w:ascii="Arial Black" w:hAnsi="Arial Black"/>
                <w:caps/>
                <w:sz w:val="15"/>
                <w:lang w:val="fr-FR"/>
              </w:rPr>
            </w:pPr>
            <w:r w:rsidRPr="000F6A66">
              <w:rPr>
                <w:rFonts w:ascii="Arial Black" w:hAnsi="Arial Black"/>
                <w:caps/>
                <w:sz w:val="15"/>
                <w:lang w:val="fr-FR"/>
              </w:rPr>
              <w:t>CDIP/24/</w:t>
            </w:r>
            <w:bookmarkStart w:id="1" w:name="Code"/>
            <w:bookmarkEnd w:id="1"/>
            <w:r w:rsidRPr="000F6A66">
              <w:rPr>
                <w:rFonts w:ascii="Arial Black" w:hAnsi="Arial Black"/>
                <w:caps/>
                <w:sz w:val="15"/>
                <w:lang w:val="fr-FR"/>
              </w:rPr>
              <w:t>10</w:t>
            </w:r>
          </w:p>
        </w:tc>
      </w:tr>
      <w:tr w:rsidR="00A430AD" w:rsidRPr="000F6A66" w14:paraId="71B544DF" w14:textId="77777777" w:rsidTr="00481AFB">
        <w:trPr>
          <w:trHeight w:hRule="exact" w:val="170"/>
        </w:trPr>
        <w:tc>
          <w:tcPr>
            <w:tcW w:w="9356" w:type="dxa"/>
            <w:gridSpan w:val="3"/>
            <w:noWrap/>
            <w:tcMar>
              <w:left w:w="0" w:type="dxa"/>
              <w:right w:w="0" w:type="dxa"/>
            </w:tcMar>
            <w:vAlign w:val="bottom"/>
          </w:tcPr>
          <w:p w14:paraId="44BF15D4" w14:textId="3495DF53" w:rsidR="00A430AD" w:rsidRPr="000F6A66" w:rsidRDefault="00A430AD" w:rsidP="00481AFB">
            <w:pPr>
              <w:jc w:val="right"/>
              <w:rPr>
                <w:rFonts w:ascii="Arial Black" w:hAnsi="Arial Black"/>
                <w:caps/>
                <w:sz w:val="15"/>
                <w:lang w:val="fr-FR"/>
              </w:rPr>
            </w:pPr>
            <w:r w:rsidRPr="000F6A66">
              <w:rPr>
                <w:rFonts w:ascii="Arial Black" w:hAnsi="Arial Black"/>
                <w:caps/>
                <w:sz w:val="15"/>
                <w:lang w:val="fr-FR"/>
              </w:rPr>
              <w:t>ORIGINAL</w:t>
            </w:r>
            <w:r w:rsidR="001B04F7" w:rsidRPr="000F6A66">
              <w:rPr>
                <w:rFonts w:ascii="Arial Black" w:hAnsi="Arial Black"/>
                <w:caps/>
                <w:sz w:val="15"/>
                <w:lang w:val="fr-FR"/>
              </w:rPr>
              <w:t> :</w:t>
            </w:r>
            <w:r w:rsidRPr="000F6A66">
              <w:rPr>
                <w:rFonts w:ascii="Arial Black" w:hAnsi="Arial Black"/>
                <w:caps/>
                <w:sz w:val="15"/>
                <w:lang w:val="fr-FR"/>
              </w:rPr>
              <w:t xml:space="preserve"> anglais </w:t>
            </w:r>
            <w:bookmarkStart w:id="2" w:name="Original"/>
            <w:bookmarkEnd w:id="2"/>
          </w:p>
        </w:tc>
      </w:tr>
      <w:tr w:rsidR="00A430AD" w:rsidRPr="000F6A66" w14:paraId="351B1593" w14:textId="77777777" w:rsidTr="00481AFB">
        <w:trPr>
          <w:trHeight w:hRule="exact" w:val="198"/>
        </w:trPr>
        <w:tc>
          <w:tcPr>
            <w:tcW w:w="9356" w:type="dxa"/>
            <w:gridSpan w:val="3"/>
            <w:tcMar>
              <w:left w:w="0" w:type="dxa"/>
              <w:right w:w="0" w:type="dxa"/>
            </w:tcMar>
            <w:vAlign w:val="bottom"/>
          </w:tcPr>
          <w:p w14:paraId="52201D91" w14:textId="2E4BEB69" w:rsidR="00A430AD" w:rsidRPr="000F6A66" w:rsidRDefault="00A430AD" w:rsidP="00481AFB">
            <w:pPr>
              <w:jc w:val="right"/>
              <w:rPr>
                <w:rFonts w:ascii="Arial Black" w:hAnsi="Arial Black"/>
                <w:caps/>
                <w:sz w:val="15"/>
                <w:lang w:val="fr-FR"/>
              </w:rPr>
            </w:pPr>
            <w:r w:rsidRPr="000F6A66">
              <w:rPr>
                <w:rFonts w:ascii="Arial Black" w:hAnsi="Arial Black"/>
                <w:caps/>
                <w:sz w:val="15"/>
                <w:lang w:val="fr-FR"/>
              </w:rPr>
              <w:t>DATE</w:t>
            </w:r>
            <w:r w:rsidR="001B04F7" w:rsidRPr="000F6A66">
              <w:rPr>
                <w:rFonts w:ascii="Arial Black" w:hAnsi="Arial Black"/>
                <w:caps/>
                <w:sz w:val="15"/>
                <w:lang w:val="fr-FR"/>
              </w:rPr>
              <w:t> :</w:t>
            </w:r>
            <w:r w:rsidRPr="000F6A66">
              <w:rPr>
                <w:rFonts w:ascii="Arial Black" w:hAnsi="Arial Black"/>
                <w:caps/>
                <w:sz w:val="15"/>
                <w:lang w:val="fr-FR"/>
              </w:rPr>
              <w:t xml:space="preserve"> 1</w:t>
            </w:r>
            <w:r w:rsidR="001B04F7" w:rsidRPr="000F6A66">
              <w:rPr>
                <w:rFonts w:ascii="Arial Black" w:hAnsi="Arial Black"/>
                <w:caps/>
                <w:sz w:val="15"/>
                <w:lang w:val="fr-FR"/>
              </w:rPr>
              <w:t>1 septembre</w:t>
            </w:r>
            <w:r w:rsidRPr="000F6A66">
              <w:rPr>
                <w:rFonts w:ascii="Arial Black" w:hAnsi="Arial Black"/>
                <w:caps/>
                <w:sz w:val="15"/>
                <w:lang w:val="fr-FR"/>
              </w:rPr>
              <w:t xml:space="preserve"> 2019 </w:t>
            </w:r>
            <w:bookmarkStart w:id="3" w:name="Date"/>
            <w:bookmarkEnd w:id="3"/>
          </w:p>
        </w:tc>
      </w:tr>
    </w:tbl>
    <w:p w14:paraId="6B177055" w14:textId="77777777" w:rsidR="00A430AD" w:rsidRPr="000F6A66" w:rsidRDefault="00A430AD" w:rsidP="00A430AD">
      <w:pPr>
        <w:rPr>
          <w:lang w:val="fr-FR"/>
        </w:rPr>
      </w:pPr>
    </w:p>
    <w:p w14:paraId="7D3D551A" w14:textId="77777777" w:rsidR="00A430AD" w:rsidRPr="000F6A66" w:rsidRDefault="00A430AD" w:rsidP="00A430AD">
      <w:pPr>
        <w:rPr>
          <w:lang w:val="fr-FR"/>
        </w:rPr>
      </w:pPr>
    </w:p>
    <w:p w14:paraId="34F6B9C3" w14:textId="77777777" w:rsidR="00A430AD" w:rsidRPr="000F6A66" w:rsidRDefault="00A430AD" w:rsidP="00A430AD">
      <w:pPr>
        <w:rPr>
          <w:lang w:val="fr-FR"/>
        </w:rPr>
      </w:pPr>
    </w:p>
    <w:p w14:paraId="7841364B" w14:textId="77777777" w:rsidR="00A430AD" w:rsidRPr="000F6A66" w:rsidRDefault="00A430AD" w:rsidP="00A430AD">
      <w:pPr>
        <w:rPr>
          <w:lang w:val="fr-FR"/>
        </w:rPr>
      </w:pPr>
    </w:p>
    <w:p w14:paraId="78CCCDE2" w14:textId="77777777" w:rsidR="00A430AD" w:rsidRPr="000F6A66" w:rsidRDefault="00A430AD" w:rsidP="00A430AD">
      <w:pPr>
        <w:rPr>
          <w:lang w:val="fr-FR"/>
        </w:rPr>
      </w:pPr>
    </w:p>
    <w:p w14:paraId="64035401" w14:textId="77777777" w:rsidR="00A430AD" w:rsidRPr="000F6A66" w:rsidRDefault="00A430AD" w:rsidP="00A430AD">
      <w:pPr>
        <w:rPr>
          <w:b/>
          <w:sz w:val="28"/>
          <w:szCs w:val="28"/>
          <w:lang w:val="fr-FR"/>
        </w:rPr>
      </w:pPr>
      <w:r w:rsidRPr="000F6A66">
        <w:rPr>
          <w:b/>
          <w:sz w:val="28"/>
          <w:szCs w:val="28"/>
          <w:lang w:val="fr-FR"/>
        </w:rPr>
        <w:t>Comité du développement et de la propriété intellectuelle (CDIP)</w:t>
      </w:r>
    </w:p>
    <w:p w14:paraId="6EBAA2C5" w14:textId="77777777" w:rsidR="00A430AD" w:rsidRPr="000F6A66" w:rsidRDefault="00A430AD" w:rsidP="00A430AD">
      <w:pPr>
        <w:rPr>
          <w:lang w:val="fr-FR"/>
        </w:rPr>
      </w:pPr>
    </w:p>
    <w:p w14:paraId="09035BCD" w14:textId="77777777" w:rsidR="00A430AD" w:rsidRPr="000F6A66" w:rsidRDefault="00A430AD" w:rsidP="00A430AD">
      <w:pPr>
        <w:rPr>
          <w:lang w:val="fr-FR"/>
        </w:rPr>
      </w:pPr>
    </w:p>
    <w:p w14:paraId="60E5813E" w14:textId="1C8C2169" w:rsidR="00A430AD" w:rsidRPr="000F6A66" w:rsidRDefault="00A430AD" w:rsidP="00A430AD">
      <w:pPr>
        <w:rPr>
          <w:b/>
          <w:sz w:val="24"/>
          <w:szCs w:val="24"/>
          <w:lang w:val="fr-FR"/>
        </w:rPr>
      </w:pPr>
      <w:r w:rsidRPr="000F6A66">
        <w:rPr>
          <w:b/>
          <w:sz w:val="24"/>
          <w:szCs w:val="24"/>
          <w:lang w:val="fr-FR"/>
        </w:rPr>
        <w:t>Vingt</w:t>
      </w:r>
      <w:r w:rsidR="001B04F7" w:rsidRPr="000F6A66">
        <w:rPr>
          <w:b/>
          <w:sz w:val="24"/>
          <w:szCs w:val="24"/>
          <w:lang w:val="fr-FR"/>
        </w:rPr>
        <w:t>-</w:t>
      </w:r>
      <w:r w:rsidRPr="000F6A66">
        <w:rPr>
          <w:b/>
          <w:sz w:val="24"/>
          <w:szCs w:val="24"/>
          <w:lang w:val="fr-FR"/>
        </w:rPr>
        <w:t>quatr</w:t>
      </w:r>
      <w:r w:rsidR="001B04F7" w:rsidRPr="000F6A66">
        <w:rPr>
          <w:b/>
          <w:sz w:val="24"/>
          <w:szCs w:val="24"/>
          <w:lang w:val="fr-FR"/>
        </w:rPr>
        <w:t>ième session</w:t>
      </w:r>
    </w:p>
    <w:p w14:paraId="5F9C0316" w14:textId="77777777" w:rsidR="00A430AD" w:rsidRPr="000F6A66" w:rsidRDefault="00A430AD" w:rsidP="00A430AD">
      <w:pPr>
        <w:rPr>
          <w:b/>
          <w:sz w:val="24"/>
          <w:szCs w:val="24"/>
          <w:lang w:val="fr-FR"/>
        </w:rPr>
      </w:pPr>
      <w:r w:rsidRPr="000F6A66">
        <w:rPr>
          <w:b/>
          <w:sz w:val="24"/>
          <w:szCs w:val="24"/>
          <w:lang w:val="fr-FR"/>
        </w:rPr>
        <w:t>Genève, 18 – 22 novembre 2019</w:t>
      </w:r>
    </w:p>
    <w:p w14:paraId="7250B5CF" w14:textId="77777777" w:rsidR="001C1D6B" w:rsidRPr="000F6A66" w:rsidRDefault="001C1D6B" w:rsidP="000A4EEB">
      <w:pPr>
        <w:rPr>
          <w:lang w:val="fr-FR"/>
        </w:rPr>
      </w:pPr>
    </w:p>
    <w:p w14:paraId="1D5BA9F8" w14:textId="77777777" w:rsidR="001C1D6B" w:rsidRPr="000F6A66" w:rsidRDefault="001C1D6B" w:rsidP="000A4EEB">
      <w:pPr>
        <w:rPr>
          <w:lang w:val="fr-FR"/>
        </w:rPr>
      </w:pPr>
    </w:p>
    <w:p w14:paraId="60945034" w14:textId="77777777" w:rsidR="001C1D6B" w:rsidRPr="000F6A66" w:rsidRDefault="001C1D6B" w:rsidP="000A4EEB">
      <w:pPr>
        <w:rPr>
          <w:lang w:val="fr-FR"/>
        </w:rPr>
      </w:pPr>
    </w:p>
    <w:p w14:paraId="6C67E350" w14:textId="37860FD9" w:rsidR="001B04F7" w:rsidRPr="000F6A66" w:rsidRDefault="0002785F" w:rsidP="0002785F">
      <w:pPr>
        <w:rPr>
          <w:caps/>
          <w:color w:val="000000"/>
          <w:sz w:val="24"/>
          <w:szCs w:val="24"/>
          <w:lang w:val="fr-FR"/>
        </w:rPr>
      </w:pPr>
      <w:bookmarkStart w:id="4" w:name="TitleOfDoc"/>
      <w:bookmarkEnd w:id="4"/>
      <w:r w:rsidRPr="000F6A66">
        <w:rPr>
          <w:caps/>
          <w:color w:val="000000"/>
          <w:sz w:val="24"/>
          <w:szCs w:val="24"/>
          <w:lang w:val="fr-FR"/>
        </w:rPr>
        <w:t>Rapport d</w:t>
      </w:r>
      <w:r w:rsidR="001B04F7" w:rsidRPr="000F6A66">
        <w:rPr>
          <w:caps/>
          <w:color w:val="000000"/>
          <w:sz w:val="24"/>
          <w:szCs w:val="24"/>
          <w:lang w:val="fr-FR"/>
        </w:rPr>
        <w:t>’</w:t>
      </w:r>
      <w:r w:rsidRPr="000F6A66">
        <w:rPr>
          <w:caps/>
          <w:color w:val="000000"/>
          <w:sz w:val="24"/>
          <w:szCs w:val="24"/>
          <w:lang w:val="fr-FR"/>
        </w:rPr>
        <w:t>évaluation du projet relatif à la propriété intellectuelle, au tourisme et à la culture</w:t>
      </w:r>
      <w:r w:rsidR="001B04F7" w:rsidRPr="000F6A66">
        <w:rPr>
          <w:caps/>
          <w:color w:val="000000"/>
          <w:sz w:val="24"/>
          <w:szCs w:val="24"/>
          <w:lang w:val="fr-FR"/>
        </w:rPr>
        <w:t> :</w:t>
      </w:r>
      <w:r w:rsidRPr="000F6A66">
        <w:rPr>
          <w:caps/>
          <w:color w:val="000000"/>
          <w:sz w:val="24"/>
          <w:szCs w:val="24"/>
          <w:lang w:val="fr-FR"/>
        </w:rPr>
        <w:t xml:space="preserve"> contribution aux</w:t>
      </w:r>
      <w:r w:rsidR="00655442" w:rsidRPr="000F6A66">
        <w:rPr>
          <w:caps/>
          <w:color w:val="000000"/>
          <w:sz w:val="24"/>
          <w:szCs w:val="24"/>
          <w:lang w:val="fr-FR"/>
        </w:rPr>
        <w:t> </w:t>
      </w:r>
      <w:r w:rsidRPr="000F6A66">
        <w:rPr>
          <w:caps/>
          <w:color w:val="000000"/>
          <w:sz w:val="24"/>
          <w:szCs w:val="24"/>
          <w:lang w:val="fr-FR"/>
        </w:rPr>
        <w:t>objectifs de développement et promotion du patrimoine culturel en Égypte et dans d</w:t>
      </w:r>
      <w:r w:rsidR="001B04F7" w:rsidRPr="000F6A66">
        <w:rPr>
          <w:caps/>
          <w:color w:val="000000"/>
          <w:sz w:val="24"/>
          <w:szCs w:val="24"/>
          <w:lang w:val="fr-FR"/>
        </w:rPr>
        <w:t>’</w:t>
      </w:r>
      <w:r w:rsidRPr="000F6A66">
        <w:rPr>
          <w:caps/>
          <w:color w:val="000000"/>
          <w:sz w:val="24"/>
          <w:szCs w:val="24"/>
          <w:lang w:val="fr-FR"/>
        </w:rPr>
        <w:t>autres pays en développement</w:t>
      </w:r>
    </w:p>
    <w:p w14:paraId="1BAB9D5C" w14:textId="465956E8" w:rsidR="001C1D6B" w:rsidRPr="000F6A66" w:rsidRDefault="001C1D6B" w:rsidP="000A4EEB">
      <w:pPr>
        <w:rPr>
          <w:caps/>
          <w:lang w:val="fr-FR"/>
        </w:rPr>
      </w:pPr>
    </w:p>
    <w:p w14:paraId="296FE8A4" w14:textId="3192DD02" w:rsidR="001B04F7" w:rsidRPr="000F6A66" w:rsidRDefault="0002785F" w:rsidP="0002785F">
      <w:pPr>
        <w:rPr>
          <w:lang w:val="fr-FR"/>
        </w:rPr>
      </w:pPr>
      <w:bookmarkStart w:id="5" w:name="Prepared"/>
      <w:bookmarkEnd w:id="5"/>
      <w:r w:rsidRPr="000F6A66">
        <w:rPr>
          <w:i/>
          <w:color w:val="000000"/>
          <w:lang w:val="fr-FR"/>
        </w:rPr>
        <w:t>établi par Daniel P.</w:t>
      </w:r>
      <w:r w:rsidR="004C05D1" w:rsidRPr="000F6A66">
        <w:rPr>
          <w:i/>
          <w:color w:val="000000"/>
          <w:lang w:val="fr-FR"/>
        </w:rPr>
        <w:t> </w:t>
      </w:r>
      <w:r w:rsidRPr="000F6A66">
        <w:rPr>
          <w:i/>
          <w:color w:val="000000"/>
          <w:lang w:val="fr-FR"/>
        </w:rPr>
        <w:t>Keller</w:t>
      </w:r>
      <w:r w:rsidR="00AF3C75" w:rsidRPr="000F6A66">
        <w:rPr>
          <w:i/>
          <w:color w:val="000000"/>
          <w:lang w:val="fr-FR"/>
        </w:rPr>
        <w:t>, évaluateur principal, Evilard</w:t>
      </w:r>
      <w:r w:rsidRPr="000F6A66">
        <w:rPr>
          <w:i/>
          <w:color w:val="000000"/>
          <w:lang w:val="fr-FR"/>
        </w:rPr>
        <w:t xml:space="preserve"> (Suisse)</w:t>
      </w:r>
    </w:p>
    <w:p w14:paraId="7EFEC49C" w14:textId="56E850C8" w:rsidR="001C1D6B" w:rsidRPr="000F6A66" w:rsidRDefault="001C1D6B" w:rsidP="000A4EEB">
      <w:pPr>
        <w:rPr>
          <w:lang w:val="fr-FR"/>
        </w:rPr>
      </w:pPr>
    </w:p>
    <w:p w14:paraId="7771D52B" w14:textId="650BB959" w:rsidR="00675065" w:rsidRPr="000F6A66" w:rsidRDefault="00675065" w:rsidP="000A4EEB">
      <w:pPr>
        <w:rPr>
          <w:lang w:val="fr-FR"/>
        </w:rPr>
      </w:pPr>
    </w:p>
    <w:p w14:paraId="0DD26660" w14:textId="77777777" w:rsidR="00675065" w:rsidRPr="000F6A66" w:rsidRDefault="00675065" w:rsidP="000A4EEB">
      <w:pPr>
        <w:rPr>
          <w:lang w:val="fr-FR"/>
        </w:rPr>
      </w:pPr>
    </w:p>
    <w:p w14:paraId="0EC9A177" w14:textId="77777777" w:rsidR="001C1D6B" w:rsidRPr="000F6A66" w:rsidRDefault="001C1D6B" w:rsidP="000A4EEB">
      <w:pPr>
        <w:rPr>
          <w:lang w:val="fr-FR"/>
        </w:rPr>
      </w:pPr>
    </w:p>
    <w:p w14:paraId="165C2E41" w14:textId="22178810" w:rsidR="001C1D6B" w:rsidRPr="000F6A66" w:rsidRDefault="0002785F" w:rsidP="00675065">
      <w:pPr>
        <w:pStyle w:val="ONUMFS"/>
        <w:rPr>
          <w:lang w:val="fr-FR"/>
        </w:rPr>
      </w:pPr>
      <w:r w:rsidRPr="000F6A66">
        <w:rPr>
          <w:lang w:val="fr-FR"/>
        </w:rPr>
        <w:t>L</w:t>
      </w:r>
      <w:r w:rsidR="001B04F7" w:rsidRPr="000F6A66">
        <w:rPr>
          <w:lang w:val="fr-FR"/>
        </w:rPr>
        <w:t>’</w:t>
      </w:r>
      <w:r w:rsidRPr="000F6A66">
        <w:rPr>
          <w:lang w:val="fr-FR"/>
        </w:rPr>
        <w:t>annexe du présen</w:t>
      </w:r>
      <w:r w:rsidR="00AF3C75" w:rsidRPr="000F6A66">
        <w:rPr>
          <w:lang w:val="fr-FR"/>
        </w:rPr>
        <w:t>t document contient un rapport sur l</w:t>
      </w:r>
      <w:r w:rsidR="001B04F7" w:rsidRPr="000F6A66">
        <w:rPr>
          <w:lang w:val="fr-FR"/>
        </w:rPr>
        <w:t>’</w:t>
      </w:r>
      <w:r w:rsidRPr="000F6A66">
        <w:rPr>
          <w:lang w:val="fr-FR"/>
        </w:rPr>
        <w:t>évaluation indépendant</w:t>
      </w:r>
      <w:r w:rsidR="008637DC" w:rsidRPr="000F6A66">
        <w:rPr>
          <w:lang w:val="fr-FR"/>
        </w:rPr>
        <w:t>e</w:t>
      </w:r>
      <w:r w:rsidRPr="000F6A66">
        <w:rPr>
          <w:lang w:val="fr-FR"/>
        </w:rPr>
        <w:t xml:space="preserve"> </w:t>
      </w:r>
      <w:r w:rsidR="008637DC" w:rsidRPr="000F6A66">
        <w:rPr>
          <w:lang w:val="fr-FR"/>
        </w:rPr>
        <w:t xml:space="preserve">du </w:t>
      </w:r>
      <w:r w:rsidRPr="000F6A66">
        <w:rPr>
          <w:lang w:val="fr-FR"/>
        </w:rPr>
        <w:t>projet relatif à la propriété intellectuelle, au tourisme et à la culture</w:t>
      </w:r>
      <w:r w:rsidR="001B04F7" w:rsidRPr="000F6A66">
        <w:rPr>
          <w:lang w:val="fr-FR"/>
        </w:rPr>
        <w:t> :</w:t>
      </w:r>
      <w:r w:rsidRPr="000F6A66">
        <w:rPr>
          <w:lang w:val="fr-FR"/>
        </w:rPr>
        <w:t xml:space="preserve"> contribution aux objectifs de développement et promotion du patrimoine culturel en Égypte et dans d</w:t>
      </w:r>
      <w:r w:rsidR="001B04F7" w:rsidRPr="000F6A66">
        <w:rPr>
          <w:lang w:val="fr-FR"/>
        </w:rPr>
        <w:t>’</w:t>
      </w:r>
      <w:r w:rsidRPr="000F6A66">
        <w:rPr>
          <w:lang w:val="fr-FR"/>
        </w:rPr>
        <w:t>autres pays en développement, établi par M.</w:t>
      </w:r>
      <w:r w:rsidR="0019339C" w:rsidRPr="000F6A66">
        <w:rPr>
          <w:lang w:val="fr-FR"/>
        </w:rPr>
        <w:t> </w:t>
      </w:r>
      <w:r w:rsidRPr="000F6A66">
        <w:rPr>
          <w:lang w:val="fr-FR"/>
        </w:rPr>
        <w:t>Daniel</w:t>
      </w:r>
      <w:r w:rsidR="0019339C" w:rsidRPr="000F6A66">
        <w:rPr>
          <w:lang w:val="fr-FR"/>
        </w:rPr>
        <w:t> </w:t>
      </w:r>
      <w:r w:rsidRPr="000F6A66">
        <w:rPr>
          <w:lang w:val="fr-FR"/>
        </w:rPr>
        <w:t>Keller, évaluateur principal, Evilard (Suisse).</w:t>
      </w:r>
    </w:p>
    <w:p w14:paraId="433410A0" w14:textId="4AD2528B" w:rsidR="001B04F7" w:rsidRPr="000F6A66" w:rsidRDefault="0002785F" w:rsidP="00675065">
      <w:pPr>
        <w:pStyle w:val="ONUMFS"/>
        <w:ind w:left="5533"/>
        <w:rPr>
          <w:i/>
          <w:lang w:val="fr-FR"/>
        </w:rPr>
      </w:pPr>
      <w:r w:rsidRPr="000F6A66">
        <w:rPr>
          <w:i/>
          <w:lang w:val="fr-FR"/>
        </w:rPr>
        <w:t>Le CDIP est invité à prendre note des informations contenues dans l</w:t>
      </w:r>
      <w:r w:rsidR="001B04F7" w:rsidRPr="000F6A66">
        <w:rPr>
          <w:i/>
          <w:lang w:val="fr-FR"/>
        </w:rPr>
        <w:t>’</w:t>
      </w:r>
      <w:r w:rsidRPr="000F6A66">
        <w:rPr>
          <w:i/>
          <w:lang w:val="fr-FR"/>
        </w:rPr>
        <w:t>annexe du présent document.</w:t>
      </w:r>
    </w:p>
    <w:p w14:paraId="52C8BF04" w14:textId="453CA934" w:rsidR="001C1D6B" w:rsidRPr="000F6A66" w:rsidRDefault="001C1D6B" w:rsidP="00675065">
      <w:pPr>
        <w:rPr>
          <w:lang w:val="fr-FR"/>
        </w:rPr>
      </w:pPr>
    </w:p>
    <w:p w14:paraId="252C1BB8" w14:textId="77777777" w:rsidR="001C1D6B" w:rsidRPr="000F6A66" w:rsidRDefault="001C1D6B" w:rsidP="00675065">
      <w:pPr>
        <w:rPr>
          <w:lang w:val="fr-FR"/>
        </w:rPr>
      </w:pPr>
    </w:p>
    <w:p w14:paraId="5BB98DE7" w14:textId="2AFB7FB9" w:rsidR="001C1D6B" w:rsidRPr="000F6A66" w:rsidRDefault="0002785F" w:rsidP="00675065">
      <w:pPr>
        <w:pStyle w:val="Endofdocument-Annex"/>
        <w:rPr>
          <w:lang w:val="fr-FR"/>
        </w:rPr>
      </w:pPr>
      <w:r w:rsidRPr="000F6A66">
        <w:rPr>
          <w:lang w:val="fr-FR"/>
        </w:rPr>
        <w:t>[L</w:t>
      </w:r>
      <w:r w:rsidR="001B04F7" w:rsidRPr="000F6A66">
        <w:rPr>
          <w:lang w:val="fr-FR"/>
        </w:rPr>
        <w:t>’</w:t>
      </w:r>
      <w:r w:rsidRPr="000F6A66">
        <w:rPr>
          <w:lang w:val="fr-FR"/>
        </w:rPr>
        <w:t>annexe suit]</w:t>
      </w:r>
    </w:p>
    <w:p w14:paraId="55816773" w14:textId="77777777" w:rsidR="001C1D6B" w:rsidRPr="000F6A66" w:rsidRDefault="001C1D6B">
      <w:pPr>
        <w:rPr>
          <w:lang w:val="fr-FR"/>
        </w:rPr>
      </w:pPr>
    </w:p>
    <w:p w14:paraId="605E7093" w14:textId="77777777" w:rsidR="0078011B" w:rsidRPr="000F6A66" w:rsidRDefault="0078011B">
      <w:pPr>
        <w:rPr>
          <w:lang w:val="fr-FR"/>
        </w:rPr>
        <w:sectPr w:rsidR="0078011B" w:rsidRPr="000F6A66" w:rsidSect="00675065">
          <w:headerReference w:type="even" r:id="rId9"/>
          <w:headerReference w:type="default" r:id="rId10"/>
          <w:footerReference w:type="even" r:id="rId11"/>
          <w:pgSz w:w="11907" w:h="16840" w:code="9"/>
          <w:pgMar w:top="567" w:right="1134" w:bottom="1417" w:left="1417" w:header="510" w:footer="1020" w:gutter="0"/>
          <w:cols w:space="720"/>
          <w:titlePg/>
          <w:docGrid w:linePitch="299"/>
        </w:sectPr>
      </w:pPr>
    </w:p>
    <w:p w14:paraId="7318350C" w14:textId="77777777" w:rsidR="001C1D6B" w:rsidRPr="000F6A66" w:rsidRDefault="00EA3A37" w:rsidP="00EA3A37">
      <w:pPr>
        <w:jc w:val="center"/>
        <w:rPr>
          <w:b/>
          <w:bCs/>
          <w:lang w:val="fr-FR"/>
        </w:rPr>
      </w:pPr>
      <w:r w:rsidRPr="000F6A66">
        <w:rPr>
          <w:b/>
          <w:bCs/>
          <w:lang w:val="fr-FR"/>
        </w:rPr>
        <w:lastRenderedPageBreak/>
        <w:t>TABLE DES MATIÈRES</w:t>
      </w:r>
    </w:p>
    <w:p w14:paraId="02B7F7D6" w14:textId="77777777" w:rsidR="001C1D6B" w:rsidRPr="000F6A66" w:rsidRDefault="001C1D6B" w:rsidP="00C34E43">
      <w:pPr>
        <w:jc w:val="center"/>
        <w:rPr>
          <w:b/>
          <w:bCs/>
          <w:lang w:val="fr-FR"/>
        </w:rPr>
      </w:pPr>
    </w:p>
    <w:p w14:paraId="6A490733" w14:textId="622E5DED" w:rsidR="006D153C" w:rsidRDefault="00A409C3">
      <w:pPr>
        <w:pStyle w:val="TOC1"/>
        <w:tabs>
          <w:tab w:val="right" w:leader="dot" w:pos="9345"/>
        </w:tabs>
        <w:rPr>
          <w:rFonts w:asciiTheme="minorHAnsi" w:eastAsiaTheme="minorEastAsia" w:hAnsiTheme="minorHAnsi" w:cstheme="minorBidi"/>
          <w:b w:val="0"/>
          <w:caps w:val="0"/>
          <w:noProof/>
          <w:szCs w:val="22"/>
          <w:lang w:val="fr-FR" w:eastAsia="fr-FR"/>
        </w:rPr>
      </w:pPr>
      <w:r w:rsidRPr="000F6A66">
        <w:rPr>
          <w:rFonts w:ascii="Arial" w:hAnsi="Arial"/>
          <w:bCs/>
          <w:caps w:val="0"/>
          <w:lang w:val="fr-FR"/>
        </w:rPr>
        <w:fldChar w:fldCharType="begin"/>
      </w:r>
      <w:r w:rsidRPr="000F6A66">
        <w:rPr>
          <w:rFonts w:ascii="Arial" w:hAnsi="Arial"/>
          <w:bCs/>
          <w:caps w:val="0"/>
          <w:lang w:val="fr-FR"/>
        </w:rPr>
        <w:instrText xml:space="preserve"> TOC \o "1-3" \h \z \u </w:instrText>
      </w:r>
      <w:r w:rsidRPr="000F6A66">
        <w:rPr>
          <w:rFonts w:ascii="Arial" w:hAnsi="Arial"/>
          <w:bCs/>
          <w:caps w:val="0"/>
          <w:lang w:val="fr-FR"/>
        </w:rPr>
        <w:fldChar w:fldCharType="separate"/>
      </w:r>
      <w:hyperlink w:anchor="_Toc20991634" w:history="1">
        <w:r w:rsidR="006D153C" w:rsidRPr="005631D7">
          <w:rPr>
            <w:rStyle w:val="Hyperlink"/>
            <w:noProof/>
            <w:lang w:val="fr-FR"/>
          </w:rPr>
          <w:t>Liste des sigles utilisés</w:t>
        </w:r>
        <w:r w:rsidR="006D153C">
          <w:rPr>
            <w:noProof/>
            <w:webHidden/>
          </w:rPr>
          <w:tab/>
        </w:r>
        <w:r w:rsidR="006D153C">
          <w:rPr>
            <w:noProof/>
            <w:webHidden/>
          </w:rPr>
          <w:fldChar w:fldCharType="begin"/>
        </w:r>
        <w:r w:rsidR="006D153C">
          <w:rPr>
            <w:noProof/>
            <w:webHidden/>
          </w:rPr>
          <w:instrText xml:space="preserve"> PAGEREF _Toc20991634 \h </w:instrText>
        </w:r>
        <w:r w:rsidR="006D153C">
          <w:rPr>
            <w:noProof/>
            <w:webHidden/>
          </w:rPr>
        </w:r>
        <w:r w:rsidR="006D153C">
          <w:rPr>
            <w:noProof/>
            <w:webHidden/>
          </w:rPr>
          <w:fldChar w:fldCharType="separate"/>
        </w:r>
        <w:r w:rsidR="006D153C">
          <w:rPr>
            <w:noProof/>
            <w:webHidden/>
          </w:rPr>
          <w:t>2</w:t>
        </w:r>
        <w:r w:rsidR="006D153C">
          <w:rPr>
            <w:noProof/>
            <w:webHidden/>
          </w:rPr>
          <w:fldChar w:fldCharType="end"/>
        </w:r>
      </w:hyperlink>
    </w:p>
    <w:p w14:paraId="0EA60C82" w14:textId="53EDB5D6" w:rsidR="006D153C" w:rsidRDefault="000B05BA">
      <w:pPr>
        <w:pStyle w:val="TOC1"/>
        <w:tabs>
          <w:tab w:val="right" w:leader="dot" w:pos="9345"/>
        </w:tabs>
        <w:rPr>
          <w:rFonts w:asciiTheme="minorHAnsi" w:eastAsiaTheme="minorEastAsia" w:hAnsiTheme="minorHAnsi" w:cstheme="minorBidi"/>
          <w:b w:val="0"/>
          <w:caps w:val="0"/>
          <w:noProof/>
          <w:szCs w:val="22"/>
          <w:lang w:val="fr-FR" w:eastAsia="fr-FR"/>
        </w:rPr>
      </w:pPr>
      <w:hyperlink w:anchor="_Toc20991635" w:history="1">
        <w:r w:rsidR="006D153C" w:rsidRPr="005631D7">
          <w:rPr>
            <w:rStyle w:val="Hyperlink"/>
            <w:noProof/>
            <w:lang w:val="fr-FR"/>
          </w:rPr>
          <w:t>Résumé</w:t>
        </w:r>
        <w:r w:rsidR="006D153C">
          <w:rPr>
            <w:noProof/>
            <w:webHidden/>
          </w:rPr>
          <w:tab/>
        </w:r>
        <w:r w:rsidR="006D153C">
          <w:rPr>
            <w:noProof/>
            <w:webHidden/>
          </w:rPr>
          <w:fldChar w:fldCharType="begin"/>
        </w:r>
        <w:r w:rsidR="006D153C">
          <w:rPr>
            <w:noProof/>
            <w:webHidden/>
          </w:rPr>
          <w:instrText xml:space="preserve"> PAGEREF _Toc20991635 \h </w:instrText>
        </w:r>
        <w:r w:rsidR="006D153C">
          <w:rPr>
            <w:noProof/>
            <w:webHidden/>
          </w:rPr>
        </w:r>
        <w:r w:rsidR="006D153C">
          <w:rPr>
            <w:noProof/>
            <w:webHidden/>
          </w:rPr>
          <w:fldChar w:fldCharType="separate"/>
        </w:r>
        <w:r w:rsidR="006D153C">
          <w:rPr>
            <w:noProof/>
            <w:webHidden/>
          </w:rPr>
          <w:t>3</w:t>
        </w:r>
        <w:r w:rsidR="006D153C">
          <w:rPr>
            <w:noProof/>
            <w:webHidden/>
          </w:rPr>
          <w:fldChar w:fldCharType="end"/>
        </w:r>
      </w:hyperlink>
    </w:p>
    <w:p w14:paraId="133A8B61" w14:textId="3CA1EA85" w:rsidR="006D153C" w:rsidRDefault="000B05BA">
      <w:pPr>
        <w:pStyle w:val="TOC1"/>
        <w:tabs>
          <w:tab w:val="right" w:leader="dot" w:pos="9345"/>
        </w:tabs>
        <w:rPr>
          <w:rFonts w:asciiTheme="minorHAnsi" w:eastAsiaTheme="minorEastAsia" w:hAnsiTheme="minorHAnsi" w:cstheme="minorBidi"/>
          <w:b w:val="0"/>
          <w:caps w:val="0"/>
          <w:noProof/>
          <w:szCs w:val="22"/>
          <w:lang w:val="fr-FR" w:eastAsia="fr-FR"/>
        </w:rPr>
      </w:pPr>
      <w:hyperlink w:anchor="_Toc20991636" w:history="1">
        <w:r w:rsidR="006D153C" w:rsidRPr="005631D7">
          <w:rPr>
            <w:rStyle w:val="Hyperlink"/>
            <w:noProof/>
            <w:lang w:val="fr-FR"/>
          </w:rPr>
          <w:t>Recommandations</w:t>
        </w:r>
        <w:r w:rsidR="006D153C">
          <w:rPr>
            <w:noProof/>
            <w:webHidden/>
          </w:rPr>
          <w:tab/>
        </w:r>
        <w:r w:rsidR="006D153C">
          <w:rPr>
            <w:noProof/>
            <w:webHidden/>
          </w:rPr>
          <w:fldChar w:fldCharType="begin"/>
        </w:r>
        <w:r w:rsidR="006D153C">
          <w:rPr>
            <w:noProof/>
            <w:webHidden/>
          </w:rPr>
          <w:instrText xml:space="preserve"> PAGEREF _Toc20991636 \h </w:instrText>
        </w:r>
        <w:r w:rsidR="006D153C">
          <w:rPr>
            <w:noProof/>
            <w:webHidden/>
          </w:rPr>
        </w:r>
        <w:r w:rsidR="006D153C">
          <w:rPr>
            <w:noProof/>
            <w:webHidden/>
          </w:rPr>
          <w:fldChar w:fldCharType="separate"/>
        </w:r>
        <w:r w:rsidR="006D153C">
          <w:rPr>
            <w:noProof/>
            <w:webHidden/>
          </w:rPr>
          <w:t>7</w:t>
        </w:r>
        <w:r w:rsidR="006D153C">
          <w:rPr>
            <w:noProof/>
            <w:webHidden/>
          </w:rPr>
          <w:fldChar w:fldCharType="end"/>
        </w:r>
      </w:hyperlink>
    </w:p>
    <w:p w14:paraId="4801CBE6" w14:textId="41B86D1E" w:rsidR="006D153C" w:rsidRDefault="000B05BA">
      <w:pPr>
        <w:pStyle w:val="TOC1"/>
        <w:tabs>
          <w:tab w:val="right" w:leader="dot" w:pos="9345"/>
        </w:tabs>
        <w:rPr>
          <w:rFonts w:asciiTheme="minorHAnsi" w:eastAsiaTheme="minorEastAsia" w:hAnsiTheme="minorHAnsi" w:cstheme="minorBidi"/>
          <w:b w:val="0"/>
          <w:caps w:val="0"/>
          <w:noProof/>
          <w:szCs w:val="22"/>
          <w:lang w:val="fr-FR" w:eastAsia="fr-FR"/>
        </w:rPr>
      </w:pPr>
      <w:hyperlink w:anchor="_Toc20991637" w:history="1">
        <w:r w:rsidR="006D153C" w:rsidRPr="005631D7">
          <w:rPr>
            <w:rStyle w:val="Hyperlink"/>
            <w:noProof/>
            <w:lang w:val="fr-FR"/>
          </w:rPr>
          <w:t>RAPPORT</w:t>
        </w:r>
        <w:r w:rsidR="006D153C">
          <w:rPr>
            <w:noProof/>
            <w:webHidden/>
          </w:rPr>
          <w:tab/>
        </w:r>
        <w:r w:rsidR="006D153C">
          <w:rPr>
            <w:noProof/>
            <w:webHidden/>
          </w:rPr>
          <w:fldChar w:fldCharType="begin"/>
        </w:r>
        <w:r w:rsidR="006D153C">
          <w:rPr>
            <w:noProof/>
            <w:webHidden/>
          </w:rPr>
          <w:instrText xml:space="preserve"> PAGEREF _Toc20991637 \h </w:instrText>
        </w:r>
        <w:r w:rsidR="006D153C">
          <w:rPr>
            <w:noProof/>
            <w:webHidden/>
          </w:rPr>
        </w:r>
        <w:r w:rsidR="006D153C">
          <w:rPr>
            <w:noProof/>
            <w:webHidden/>
          </w:rPr>
          <w:fldChar w:fldCharType="separate"/>
        </w:r>
        <w:r w:rsidR="006D153C">
          <w:rPr>
            <w:noProof/>
            <w:webHidden/>
          </w:rPr>
          <w:t>8</w:t>
        </w:r>
        <w:r w:rsidR="006D153C">
          <w:rPr>
            <w:noProof/>
            <w:webHidden/>
          </w:rPr>
          <w:fldChar w:fldCharType="end"/>
        </w:r>
      </w:hyperlink>
    </w:p>
    <w:p w14:paraId="07F81139" w14:textId="596FA54A" w:rsidR="006D153C" w:rsidRDefault="000B05BA">
      <w:pPr>
        <w:pStyle w:val="TOC1"/>
        <w:tabs>
          <w:tab w:val="left" w:pos="440"/>
          <w:tab w:val="right" w:leader="dot" w:pos="9345"/>
        </w:tabs>
        <w:rPr>
          <w:rFonts w:asciiTheme="minorHAnsi" w:eastAsiaTheme="minorEastAsia" w:hAnsiTheme="minorHAnsi" w:cstheme="minorBidi"/>
          <w:b w:val="0"/>
          <w:caps w:val="0"/>
          <w:noProof/>
          <w:szCs w:val="22"/>
          <w:lang w:val="fr-FR" w:eastAsia="fr-FR"/>
        </w:rPr>
      </w:pPr>
      <w:hyperlink w:anchor="_Toc20991638" w:history="1">
        <w:r w:rsidR="006D153C" w:rsidRPr="005631D7">
          <w:rPr>
            <w:rStyle w:val="Hyperlink"/>
            <w:noProof/>
            <w:lang w:val="fr-FR"/>
          </w:rPr>
          <w:t>1.</w:t>
        </w:r>
        <w:r w:rsidR="006D153C">
          <w:rPr>
            <w:rFonts w:asciiTheme="minorHAnsi" w:eastAsiaTheme="minorEastAsia" w:hAnsiTheme="minorHAnsi" w:cstheme="minorBidi"/>
            <w:b w:val="0"/>
            <w:caps w:val="0"/>
            <w:noProof/>
            <w:szCs w:val="22"/>
            <w:lang w:val="fr-FR" w:eastAsia="fr-FR"/>
          </w:rPr>
          <w:tab/>
        </w:r>
        <w:r w:rsidR="006D153C" w:rsidRPr="005631D7">
          <w:rPr>
            <w:rStyle w:val="Hyperlink"/>
            <w:noProof/>
            <w:lang w:val="fr-FR"/>
          </w:rPr>
          <w:t>introduction</w:t>
        </w:r>
        <w:r w:rsidR="006D153C">
          <w:rPr>
            <w:noProof/>
            <w:webHidden/>
          </w:rPr>
          <w:tab/>
        </w:r>
        <w:r w:rsidR="006D153C">
          <w:rPr>
            <w:noProof/>
            <w:webHidden/>
          </w:rPr>
          <w:fldChar w:fldCharType="begin"/>
        </w:r>
        <w:r w:rsidR="006D153C">
          <w:rPr>
            <w:noProof/>
            <w:webHidden/>
          </w:rPr>
          <w:instrText xml:space="preserve"> PAGEREF _Toc20991638 \h </w:instrText>
        </w:r>
        <w:r w:rsidR="006D153C">
          <w:rPr>
            <w:noProof/>
            <w:webHidden/>
          </w:rPr>
        </w:r>
        <w:r w:rsidR="006D153C">
          <w:rPr>
            <w:noProof/>
            <w:webHidden/>
          </w:rPr>
          <w:fldChar w:fldCharType="separate"/>
        </w:r>
        <w:r w:rsidR="006D153C">
          <w:rPr>
            <w:noProof/>
            <w:webHidden/>
          </w:rPr>
          <w:t>8</w:t>
        </w:r>
        <w:r w:rsidR="006D153C">
          <w:rPr>
            <w:noProof/>
            <w:webHidden/>
          </w:rPr>
          <w:fldChar w:fldCharType="end"/>
        </w:r>
      </w:hyperlink>
    </w:p>
    <w:p w14:paraId="52B962F1" w14:textId="59999C0B" w:rsidR="006D153C" w:rsidRDefault="000B05BA">
      <w:pPr>
        <w:pStyle w:val="TOC2"/>
        <w:tabs>
          <w:tab w:val="left" w:pos="880"/>
          <w:tab w:val="right" w:leader="dot" w:pos="9345"/>
        </w:tabs>
        <w:rPr>
          <w:rFonts w:asciiTheme="minorHAnsi" w:eastAsiaTheme="minorEastAsia" w:hAnsiTheme="minorHAnsi" w:cstheme="minorBidi"/>
          <w:caps w:val="0"/>
          <w:noProof/>
          <w:szCs w:val="22"/>
          <w:lang w:val="fr-FR" w:eastAsia="fr-FR"/>
        </w:rPr>
      </w:pPr>
      <w:hyperlink w:anchor="_Toc20991639" w:history="1">
        <w:r w:rsidR="006D153C" w:rsidRPr="005631D7">
          <w:rPr>
            <w:rStyle w:val="Hyperlink"/>
            <w:noProof/>
            <w:lang w:val="fr-FR"/>
          </w:rPr>
          <w:t>A)</w:t>
        </w:r>
        <w:r w:rsidR="006D153C">
          <w:rPr>
            <w:rFonts w:asciiTheme="minorHAnsi" w:eastAsiaTheme="minorEastAsia" w:hAnsiTheme="minorHAnsi" w:cstheme="minorBidi"/>
            <w:caps w:val="0"/>
            <w:noProof/>
            <w:szCs w:val="22"/>
            <w:lang w:val="fr-FR" w:eastAsia="fr-FR"/>
          </w:rPr>
          <w:tab/>
        </w:r>
        <w:r w:rsidR="006D153C" w:rsidRPr="005631D7">
          <w:rPr>
            <w:rStyle w:val="Hyperlink"/>
            <w:noProof/>
            <w:lang w:val="fr-FR"/>
          </w:rPr>
          <w:t>Contexte et description du projet</w:t>
        </w:r>
        <w:r w:rsidR="006D153C">
          <w:rPr>
            <w:noProof/>
            <w:webHidden/>
          </w:rPr>
          <w:tab/>
        </w:r>
        <w:r w:rsidR="006D153C">
          <w:rPr>
            <w:noProof/>
            <w:webHidden/>
          </w:rPr>
          <w:fldChar w:fldCharType="begin"/>
        </w:r>
        <w:r w:rsidR="006D153C">
          <w:rPr>
            <w:noProof/>
            <w:webHidden/>
          </w:rPr>
          <w:instrText xml:space="preserve"> PAGEREF _Toc20991639 \h </w:instrText>
        </w:r>
        <w:r w:rsidR="006D153C">
          <w:rPr>
            <w:noProof/>
            <w:webHidden/>
          </w:rPr>
        </w:r>
        <w:r w:rsidR="006D153C">
          <w:rPr>
            <w:noProof/>
            <w:webHidden/>
          </w:rPr>
          <w:fldChar w:fldCharType="separate"/>
        </w:r>
        <w:r w:rsidR="006D153C">
          <w:rPr>
            <w:noProof/>
            <w:webHidden/>
          </w:rPr>
          <w:t>8</w:t>
        </w:r>
        <w:r w:rsidR="006D153C">
          <w:rPr>
            <w:noProof/>
            <w:webHidden/>
          </w:rPr>
          <w:fldChar w:fldCharType="end"/>
        </w:r>
      </w:hyperlink>
    </w:p>
    <w:p w14:paraId="2D1589F9" w14:textId="5B89D125" w:rsidR="006D153C" w:rsidRDefault="000B05BA">
      <w:pPr>
        <w:pStyle w:val="TOC2"/>
        <w:tabs>
          <w:tab w:val="left" w:pos="880"/>
          <w:tab w:val="right" w:leader="dot" w:pos="9345"/>
        </w:tabs>
        <w:rPr>
          <w:rFonts w:asciiTheme="minorHAnsi" w:eastAsiaTheme="minorEastAsia" w:hAnsiTheme="minorHAnsi" w:cstheme="minorBidi"/>
          <w:caps w:val="0"/>
          <w:noProof/>
          <w:szCs w:val="22"/>
          <w:lang w:val="fr-FR" w:eastAsia="fr-FR"/>
        </w:rPr>
      </w:pPr>
      <w:hyperlink w:anchor="_Toc20991640" w:history="1">
        <w:r w:rsidR="006D153C" w:rsidRPr="005631D7">
          <w:rPr>
            <w:rStyle w:val="Hyperlink"/>
            <w:noProof/>
            <w:lang w:val="fr-FR"/>
          </w:rPr>
          <w:t>B)</w:t>
        </w:r>
        <w:r w:rsidR="006D153C">
          <w:rPr>
            <w:rFonts w:asciiTheme="minorHAnsi" w:eastAsiaTheme="minorEastAsia" w:hAnsiTheme="minorHAnsi" w:cstheme="minorBidi"/>
            <w:caps w:val="0"/>
            <w:noProof/>
            <w:szCs w:val="22"/>
            <w:lang w:val="fr-FR" w:eastAsia="fr-FR"/>
          </w:rPr>
          <w:tab/>
        </w:r>
        <w:r w:rsidR="006D153C" w:rsidRPr="005631D7">
          <w:rPr>
            <w:rStyle w:val="Hyperlink"/>
            <w:noProof/>
            <w:lang w:val="fr-FR"/>
          </w:rPr>
          <w:t>Champ d’observation, objet, méthode et limites de la présente évaluation</w:t>
        </w:r>
        <w:r w:rsidR="006D153C">
          <w:rPr>
            <w:noProof/>
            <w:webHidden/>
          </w:rPr>
          <w:tab/>
        </w:r>
        <w:r w:rsidR="006D153C">
          <w:rPr>
            <w:noProof/>
            <w:webHidden/>
          </w:rPr>
          <w:fldChar w:fldCharType="begin"/>
        </w:r>
        <w:r w:rsidR="006D153C">
          <w:rPr>
            <w:noProof/>
            <w:webHidden/>
          </w:rPr>
          <w:instrText xml:space="preserve"> PAGEREF _Toc20991640 \h </w:instrText>
        </w:r>
        <w:r w:rsidR="006D153C">
          <w:rPr>
            <w:noProof/>
            <w:webHidden/>
          </w:rPr>
        </w:r>
        <w:r w:rsidR="006D153C">
          <w:rPr>
            <w:noProof/>
            <w:webHidden/>
          </w:rPr>
          <w:fldChar w:fldCharType="separate"/>
        </w:r>
        <w:r w:rsidR="006D153C">
          <w:rPr>
            <w:noProof/>
            <w:webHidden/>
          </w:rPr>
          <w:t>9</w:t>
        </w:r>
        <w:r w:rsidR="006D153C">
          <w:rPr>
            <w:noProof/>
            <w:webHidden/>
          </w:rPr>
          <w:fldChar w:fldCharType="end"/>
        </w:r>
      </w:hyperlink>
    </w:p>
    <w:p w14:paraId="2E5AE7CE" w14:textId="323B7778" w:rsidR="006D153C" w:rsidRDefault="000B05BA">
      <w:pPr>
        <w:pStyle w:val="TOC3"/>
        <w:rPr>
          <w:rFonts w:asciiTheme="minorHAnsi" w:eastAsiaTheme="minorEastAsia" w:hAnsiTheme="minorHAnsi" w:cstheme="minorBidi"/>
          <w:noProof/>
          <w:szCs w:val="22"/>
          <w:lang w:val="fr-FR" w:eastAsia="fr-FR"/>
        </w:rPr>
      </w:pPr>
      <w:hyperlink w:anchor="_Toc20991641" w:history="1">
        <w:r w:rsidR="006D153C" w:rsidRPr="005631D7">
          <w:rPr>
            <w:rStyle w:val="Hyperlink"/>
            <w:noProof/>
            <w:lang w:val="fr-FR"/>
          </w:rPr>
          <w:t>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Champ d’observation</w:t>
        </w:r>
        <w:r w:rsidR="006D153C">
          <w:rPr>
            <w:noProof/>
            <w:webHidden/>
          </w:rPr>
          <w:tab/>
        </w:r>
        <w:r w:rsidR="006D153C">
          <w:rPr>
            <w:noProof/>
            <w:webHidden/>
          </w:rPr>
          <w:fldChar w:fldCharType="begin"/>
        </w:r>
        <w:r w:rsidR="006D153C">
          <w:rPr>
            <w:noProof/>
            <w:webHidden/>
          </w:rPr>
          <w:instrText xml:space="preserve"> PAGEREF _Toc20991641 \h </w:instrText>
        </w:r>
        <w:r w:rsidR="006D153C">
          <w:rPr>
            <w:noProof/>
            <w:webHidden/>
          </w:rPr>
        </w:r>
        <w:r w:rsidR="006D153C">
          <w:rPr>
            <w:noProof/>
            <w:webHidden/>
          </w:rPr>
          <w:fldChar w:fldCharType="separate"/>
        </w:r>
        <w:r w:rsidR="006D153C">
          <w:rPr>
            <w:noProof/>
            <w:webHidden/>
          </w:rPr>
          <w:t>9</w:t>
        </w:r>
        <w:r w:rsidR="006D153C">
          <w:rPr>
            <w:noProof/>
            <w:webHidden/>
          </w:rPr>
          <w:fldChar w:fldCharType="end"/>
        </w:r>
      </w:hyperlink>
    </w:p>
    <w:p w14:paraId="707B9536" w14:textId="75EE14CC" w:rsidR="006D153C" w:rsidRDefault="000B05BA">
      <w:pPr>
        <w:pStyle w:val="TOC3"/>
        <w:rPr>
          <w:rFonts w:asciiTheme="minorHAnsi" w:eastAsiaTheme="minorEastAsia" w:hAnsiTheme="minorHAnsi" w:cstheme="minorBidi"/>
          <w:noProof/>
          <w:szCs w:val="22"/>
          <w:lang w:val="fr-FR" w:eastAsia="fr-FR"/>
        </w:rPr>
      </w:pPr>
      <w:hyperlink w:anchor="_Toc20991642" w:history="1">
        <w:r w:rsidR="006D153C" w:rsidRPr="005631D7">
          <w:rPr>
            <w:rStyle w:val="Hyperlink"/>
            <w:noProof/>
            <w:lang w:val="fr-FR"/>
          </w:rPr>
          <w:t>ii)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Objet principal</w:t>
        </w:r>
        <w:r w:rsidR="006D153C">
          <w:rPr>
            <w:noProof/>
            <w:webHidden/>
          </w:rPr>
          <w:tab/>
        </w:r>
        <w:r w:rsidR="006D153C">
          <w:rPr>
            <w:noProof/>
            <w:webHidden/>
          </w:rPr>
          <w:fldChar w:fldCharType="begin"/>
        </w:r>
        <w:r w:rsidR="006D153C">
          <w:rPr>
            <w:noProof/>
            <w:webHidden/>
          </w:rPr>
          <w:instrText xml:space="preserve"> PAGEREF _Toc20991642 \h </w:instrText>
        </w:r>
        <w:r w:rsidR="006D153C">
          <w:rPr>
            <w:noProof/>
            <w:webHidden/>
          </w:rPr>
        </w:r>
        <w:r w:rsidR="006D153C">
          <w:rPr>
            <w:noProof/>
            <w:webHidden/>
          </w:rPr>
          <w:fldChar w:fldCharType="separate"/>
        </w:r>
        <w:r w:rsidR="006D153C">
          <w:rPr>
            <w:noProof/>
            <w:webHidden/>
          </w:rPr>
          <w:t>10</w:t>
        </w:r>
        <w:r w:rsidR="006D153C">
          <w:rPr>
            <w:noProof/>
            <w:webHidden/>
          </w:rPr>
          <w:fldChar w:fldCharType="end"/>
        </w:r>
      </w:hyperlink>
    </w:p>
    <w:p w14:paraId="50182E7B" w14:textId="372CFD40" w:rsidR="006D153C" w:rsidRDefault="000B05BA">
      <w:pPr>
        <w:pStyle w:val="TOC3"/>
        <w:rPr>
          <w:rFonts w:asciiTheme="minorHAnsi" w:eastAsiaTheme="minorEastAsia" w:hAnsiTheme="minorHAnsi" w:cstheme="minorBidi"/>
          <w:noProof/>
          <w:szCs w:val="22"/>
          <w:lang w:val="fr-FR" w:eastAsia="fr-FR"/>
        </w:rPr>
      </w:pPr>
      <w:hyperlink w:anchor="_Toc20991643" w:history="1">
        <w:r w:rsidR="006D153C" w:rsidRPr="005631D7">
          <w:rPr>
            <w:rStyle w:val="Hyperlink"/>
            <w:noProof/>
            <w:lang w:val="fr-FR"/>
          </w:rPr>
          <w:t>iii)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Méthode</w:t>
        </w:r>
        <w:r w:rsidR="006D153C">
          <w:rPr>
            <w:noProof/>
            <w:webHidden/>
          </w:rPr>
          <w:tab/>
        </w:r>
        <w:r w:rsidR="006D153C">
          <w:rPr>
            <w:noProof/>
            <w:webHidden/>
          </w:rPr>
          <w:fldChar w:fldCharType="begin"/>
        </w:r>
        <w:r w:rsidR="006D153C">
          <w:rPr>
            <w:noProof/>
            <w:webHidden/>
          </w:rPr>
          <w:instrText xml:space="preserve"> PAGEREF _Toc20991643 \h </w:instrText>
        </w:r>
        <w:r w:rsidR="006D153C">
          <w:rPr>
            <w:noProof/>
            <w:webHidden/>
          </w:rPr>
        </w:r>
        <w:r w:rsidR="006D153C">
          <w:rPr>
            <w:noProof/>
            <w:webHidden/>
          </w:rPr>
          <w:fldChar w:fldCharType="separate"/>
        </w:r>
        <w:r w:rsidR="006D153C">
          <w:rPr>
            <w:noProof/>
            <w:webHidden/>
          </w:rPr>
          <w:t>11</w:t>
        </w:r>
        <w:r w:rsidR="006D153C">
          <w:rPr>
            <w:noProof/>
            <w:webHidden/>
          </w:rPr>
          <w:fldChar w:fldCharType="end"/>
        </w:r>
      </w:hyperlink>
    </w:p>
    <w:p w14:paraId="4ABBF3E2" w14:textId="6B7CB9C6" w:rsidR="006D153C" w:rsidRDefault="000B05BA">
      <w:pPr>
        <w:pStyle w:val="TOC3"/>
        <w:rPr>
          <w:rFonts w:asciiTheme="minorHAnsi" w:eastAsiaTheme="minorEastAsia" w:hAnsiTheme="minorHAnsi" w:cstheme="minorBidi"/>
          <w:noProof/>
          <w:szCs w:val="22"/>
          <w:lang w:val="fr-FR" w:eastAsia="fr-FR"/>
        </w:rPr>
      </w:pPr>
      <w:hyperlink w:anchor="_Toc20991644" w:history="1">
        <w:r w:rsidR="006D153C" w:rsidRPr="005631D7">
          <w:rPr>
            <w:rStyle w:val="Hyperlink"/>
            <w:noProof/>
            <w:lang w:val="fr-FR"/>
          </w:rPr>
          <w:t>iv)</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Principales étapes d’évaluation</w:t>
        </w:r>
        <w:r w:rsidR="006D153C">
          <w:rPr>
            <w:noProof/>
            <w:webHidden/>
          </w:rPr>
          <w:tab/>
        </w:r>
        <w:r w:rsidR="006D153C">
          <w:rPr>
            <w:noProof/>
            <w:webHidden/>
          </w:rPr>
          <w:fldChar w:fldCharType="begin"/>
        </w:r>
        <w:r w:rsidR="006D153C">
          <w:rPr>
            <w:noProof/>
            <w:webHidden/>
          </w:rPr>
          <w:instrText xml:space="preserve"> PAGEREF _Toc20991644 \h </w:instrText>
        </w:r>
        <w:r w:rsidR="006D153C">
          <w:rPr>
            <w:noProof/>
            <w:webHidden/>
          </w:rPr>
        </w:r>
        <w:r w:rsidR="006D153C">
          <w:rPr>
            <w:noProof/>
            <w:webHidden/>
          </w:rPr>
          <w:fldChar w:fldCharType="separate"/>
        </w:r>
        <w:r w:rsidR="006D153C">
          <w:rPr>
            <w:noProof/>
            <w:webHidden/>
          </w:rPr>
          <w:t>12</w:t>
        </w:r>
        <w:r w:rsidR="006D153C">
          <w:rPr>
            <w:noProof/>
            <w:webHidden/>
          </w:rPr>
          <w:fldChar w:fldCharType="end"/>
        </w:r>
      </w:hyperlink>
    </w:p>
    <w:p w14:paraId="2787FEB8" w14:textId="1615FBB1" w:rsidR="006D153C" w:rsidRDefault="000B05BA">
      <w:pPr>
        <w:pStyle w:val="TOC3"/>
        <w:rPr>
          <w:rFonts w:asciiTheme="minorHAnsi" w:eastAsiaTheme="minorEastAsia" w:hAnsiTheme="minorHAnsi" w:cstheme="minorBidi"/>
          <w:noProof/>
          <w:szCs w:val="22"/>
          <w:lang w:val="fr-FR" w:eastAsia="fr-FR"/>
        </w:rPr>
      </w:pPr>
      <w:hyperlink w:anchor="_Toc20991645" w:history="1">
        <w:r w:rsidR="006D153C" w:rsidRPr="005631D7">
          <w:rPr>
            <w:rStyle w:val="Hyperlink"/>
            <w:noProof/>
            <w:lang w:val="fr-FR"/>
          </w:rPr>
          <w:t>v)</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Principales limites de la présente évaluation</w:t>
        </w:r>
        <w:r w:rsidR="006D153C">
          <w:rPr>
            <w:noProof/>
            <w:webHidden/>
          </w:rPr>
          <w:tab/>
        </w:r>
        <w:r w:rsidR="006D153C">
          <w:rPr>
            <w:noProof/>
            <w:webHidden/>
          </w:rPr>
          <w:fldChar w:fldCharType="begin"/>
        </w:r>
        <w:r w:rsidR="006D153C">
          <w:rPr>
            <w:noProof/>
            <w:webHidden/>
          </w:rPr>
          <w:instrText xml:space="preserve"> PAGEREF _Toc20991645 \h </w:instrText>
        </w:r>
        <w:r w:rsidR="006D153C">
          <w:rPr>
            <w:noProof/>
            <w:webHidden/>
          </w:rPr>
        </w:r>
        <w:r w:rsidR="006D153C">
          <w:rPr>
            <w:noProof/>
            <w:webHidden/>
          </w:rPr>
          <w:fldChar w:fldCharType="separate"/>
        </w:r>
        <w:r w:rsidR="006D153C">
          <w:rPr>
            <w:noProof/>
            <w:webHidden/>
          </w:rPr>
          <w:t>12</w:t>
        </w:r>
        <w:r w:rsidR="006D153C">
          <w:rPr>
            <w:noProof/>
            <w:webHidden/>
          </w:rPr>
          <w:fldChar w:fldCharType="end"/>
        </w:r>
      </w:hyperlink>
    </w:p>
    <w:p w14:paraId="2743959D" w14:textId="7826CA3F" w:rsidR="006D153C" w:rsidRDefault="000B05BA">
      <w:pPr>
        <w:pStyle w:val="TOC1"/>
        <w:tabs>
          <w:tab w:val="left" w:pos="440"/>
          <w:tab w:val="right" w:leader="dot" w:pos="9345"/>
        </w:tabs>
        <w:rPr>
          <w:rFonts w:asciiTheme="minorHAnsi" w:eastAsiaTheme="minorEastAsia" w:hAnsiTheme="minorHAnsi" w:cstheme="minorBidi"/>
          <w:b w:val="0"/>
          <w:caps w:val="0"/>
          <w:noProof/>
          <w:szCs w:val="22"/>
          <w:lang w:val="fr-FR" w:eastAsia="fr-FR"/>
        </w:rPr>
      </w:pPr>
      <w:hyperlink w:anchor="_Toc20991646" w:history="1">
        <w:r w:rsidR="006D153C" w:rsidRPr="005631D7">
          <w:rPr>
            <w:rStyle w:val="Hyperlink"/>
            <w:noProof/>
            <w:lang w:val="fr-FR"/>
          </w:rPr>
          <w:t>2.</w:t>
        </w:r>
        <w:r w:rsidR="006D153C">
          <w:rPr>
            <w:rFonts w:asciiTheme="minorHAnsi" w:eastAsiaTheme="minorEastAsia" w:hAnsiTheme="minorHAnsi" w:cstheme="minorBidi"/>
            <w:b w:val="0"/>
            <w:caps w:val="0"/>
            <w:noProof/>
            <w:szCs w:val="22"/>
            <w:lang w:val="fr-FR" w:eastAsia="fr-FR"/>
          </w:rPr>
          <w:tab/>
        </w:r>
        <w:r w:rsidR="006D153C" w:rsidRPr="005631D7">
          <w:rPr>
            <w:rStyle w:val="Hyperlink"/>
            <w:noProof/>
            <w:lang w:val="fr-FR"/>
          </w:rPr>
          <w:t>Constatations et évaluation</w:t>
        </w:r>
        <w:r w:rsidR="006D153C">
          <w:rPr>
            <w:noProof/>
            <w:webHidden/>
          </w:rPr>
          <w:tab/>
        </w:r>
        <w:r w:rsidR="006D153C">
          <w:rPr>
            <w:noProof/>
            <w:webHidden/>
          </w:rPr>
          <w:fldChar w:fldCharType="begin"/>
        </w:r>
        <w:r w:rsidR="006D153C">
          <w:rPr>
            <w:noProof/>
            <w:webHidden/>
          </w:rPr>
          <w:instrText xml:space="preserve"> PAGEREF _Toc20991646 \h </w:instrText>
        </w:r>
        <w:r w:rsidR="006D153C">
          <w:rPr>
            <w:noProof/>
            <w:webHidden/>
          </w:rPr>
        </w:r>
        <w:r w:rsidR="006D153C">
          <w:rPr>
            <w:noProof/>
            <w:webHidden/>
          </w:rPr>
          <w:fldChar w:fldCharType="separate"/>
        </w:r>
        <w:r w:rsidR="006D153C">
          <w:rPr>
            <w:noProof/>
            <w:webHidden/>
          </w:rPr>
          <w:t>13</w:t>
        </w:r>
        <w:r w:rsidR="006D153C">
          <w:rPr>
            <w:noProof/>
            <w:webHidden/>
          </w:rPr>
          <w:fldChar w:fldCharType="end"/>
        </w:r>
      </w:hyperlink>
    </w:p>
    <w:p w14:paraId="66CF676C" w14:textId="233506AE" w:rsidR="006D153C" w:rsidRDefault="000B05BA">
      <w:pPr>
        <w:pStyle w:val="TOC2"/>
        <w:tabs>
          <w:tab w:val="left" w:pos="880"/>
          <w:tab w:val="right" w:leader="dot" w:pos="9345"/>
        </w:tabs>
        <w:rPr>
          <w:rFonts w:asciiTheme="minorHAnsi" w:eastAsiaTheme="minorEastAsia" w:hAnsiTheme="minorHAnsi" w:cstheme="minorBidi"/>
          <w:caps w:val="0"/>
          <w:noProof/>
          <w:szCs w:val="22"/>
          <w:lang w:val="fr-FR" w:eastAsia="fr-FR"/>
        </w:rPr>
      </w:pPr>
      <w:hyperlink w:anchor="_Toc20991647" w:history="1">
        <w:r w:rsidR="006D153C" w:rsidRPr="005631D7">
          <w:rPr>
            <w:rStyle w:val="Hyperlink"/>
            <w:noProof/>
            <w:lang w:val="fr-FR"/>
          </w:rPr>
          <w:t>A)</w:t>
        </w:r>
        <w:r w:rsidR="006D153C">
          <w:rPr>
            <w:rFonts w:asciiTheme="minorHAnsi" w:eastAsiaTheme="minorEastAsia" w:hAnsiTheme="minorHAnsi" w:cstheme="minorBidi"/>
            <w:caps w:val="0"/>
            <w:noProof/>
            <w:szCs w:val="22"/>
            <w:lang w:val="fr-FR" w:eastAsia="fr-FR"/>
          </w:rPr>
          <w:tab/>
        </w:r>
        <w:r w:rsidR="006D153C" w:rsidRPr="005631D7">
          <w:rPr>
            <w:rStyle w:val="Hyperlink"/>
            <w:noProof/>
            <w:lang w:val="fr-FR"/>
          </w:rPr>
          <w:t>Préparation et gestion du projet</w:t>
        </w:r>
        <w:r w:rsidR="006D153C">
          <w:rPr>
            <w:noProof/>
            <w:webHidden/>
          </w:rPr>
          <w:tab/>
        </w:r>
        <w:r w:rsidR="006D153C">
          <w:rPr>
            <w:noProof/>
            <w:webHidden/>
          </w:rPr>
          <w:fldChar w:fldCharType="begin"/>
        </w:r>
        <w:r w:rsidR="006D153C">
          <w:rPr>
            <w:noProof/>
            <w:webHidden/>
          </w:rPr>
          <w:instrText xml:space="preserve"> PAGEREF _Toc20991647 \h </w:instrText>
        </w:r>
        <w:r w:rsidR="006D153C">
          <w:rPr>
            <w:noProof/>
            <w:webHidden/>
          </w:rPr>
        </w:r>
        <w:r w:rsidR="006D153C">
          <w:rPr>
            <w:noProof/>
            <w:webHidden/>
          </w:rPr>
          <w:fldChar w:fldCharType="separate"/>
        </w:r>
        <w:r w:rsidR="006D153C">
          <w:rPr>
            <w:noProof/>
            <w:webHidden/>
          </w:rPr>
          <w:t>13</w:t>
        </w:r>
        <w:r w:rsidR="006D153C">
          <w:rPr>
            <w:noProof/>
            <w:webHidden/>
          </w:rPr>
          <w:fldChar w:fldCharType="end"/>
        </w:r>
      </w:hyperlink>
    </w:p>
    <w:p w14:paraId="3DBF8DB3" w14:textId="32F2549A" w:rsidR="006D153C" w:rsidRDefault="000B05BA">
      <w:pPr>
        <w:pStyle w:val="TOC3"/>
        <w:rPr>
          <w:rFonts w:asciiTheme="minorHAnsi" w:eastAsiaTheme="minorEastAsia" w:hAnsiTheme="minorHAnsi" w:cstheme="minorBidi"/>
          <w:noProof/>
          <w:szCs w:val="22"/>
          <w:lang w:val="fr-FR" w:eastAsia="fr-FR"/>
        </w:rPr>
      </w:pPr>
      <w:hyperlink w:anchor="_Toc20991648" w:history="1">
        <w:r w:rsidR="006D153C" w:rsidRPr="005631D7">
          <w:rPr>
            <w:rStyle w:val="Hyperlink"/>
            <w:noProof/>
            <w:lang w:val="fr-FR"/>
          </w:rPr>
          <w:t>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Préparation du projet</w:t>
        </w:r>
        <w:r w:rsidR="006D153C">
          <w:rPr>
            <w:noProof/>
            <w:webHidden/>
          </w:rPr>
          <w:tab/>
        </w:r>
        <w:r w:rsidR="006D153C">
          <w:rPr>
            <w:noProof/>
            <w:webHidden/>
          </w:rPr>
          <w:fldChar w:fldCharType="begin"/>
        </w:r>
        <w:r w:rsidR="006D153C">
          <w:rPr>
            <w:noProof/>
            <w:webHidden/>
          </w:rPr>
          <w:instrText xml:space="preserve"> PAGEREF _Toc20991648 \h </w:instrText>
        </w:r>
        <w:r w:rsidR="006D153C">
          <w:rPr>
            <w:noProof/>
            <w:webHidden/>
          </w:rPr>
        </w:r>
        <w:r w:rsidR="006D153C">
          <w:rPr>
            <w:noProof/>
            <w:webHidden/>
          </w:rPr>
          <w:fldChar w:fldCharType="separate"/>
        </w:r>
        <w:r w:rsidR="006D153C">
          <w:rPr>
            <w:noProof/>
            <w:webHidden/>
          </w:rPr>
          <w:t>13</w:t>
        </w:r>
        <w:r w:rsidR="006D153C">
          <w:rPr>
            <w:noProof/>
            <w:webHidden/>
          </w:rPr>
          <w:fldChar w:fldCharType="end"/>
        </w:r>
      </w:hyperlink>
    </w:p>
    <w:p w14:paraId="78ABE257" w14:textId="674DD638" w:rsidR="006D153C" w:rsidRDefault="000B05BA">
      <w:pPr>
        <w:pStyle w:val="TOC3"/>
        <w:rPr>
          <w:rFonts w:asciiTheme="minorHAnsi" w:eastAsiaTheme="minorEastAsia" w:hAnsiTheme="minorHAnsi" w:cstheme="minorBidi"/>
          <w:noProof/>
          <w:szCs w:val="22"/>
          <w:lang w:val="fr-FR" w:eastAsia="fr-FR"/>
        </w:rPr>
      </w:pPr>
      <w:hyperlink w:anchor="_Toc20991649" w:history="1">
        <w:r w:rsidR="006D153C" w:rsidRPr="005631D7">
          <w:rPr>
            <w:rStyle w:val="Hyperlink"/>
            <w:noProof/>
            <w:lang w:val="fr-FR"/>
          </w:rPr>
          <w:t>ii)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Utilisation d’outils de planification du projet (au stade de planification)</w:t>
        </w:r>
        <w:r w:rsidR="006D153C">
          <w:rPr>
            <w:noProof/>
            <w:webHidden/>
          </w:rPr>
          <w:tab/>
        </w:r>
        <w:r w:rsidR="006D153C">
          <w:rPr>
            <w:noProof/>
            <w:webHidden/>
          </w:rPr>
          <w:fldChar w:fldCharType="begin"/>
        </w:r>
        <w:r w:rsidR="006D153C">
          <w:rPr>
            <w:noProof/>
            <w:webHidden/>
          </w:rPr>
          <w:instrText xml:space="preserve"> PAGEREF _Toc20991649 \h </w:instrText>
        </w:r>
        <w:r w:rsidR="006D153C">
          <w:rPr>
            <w:noProof/>
            <w:webHidden/>
          </w:rPr>
        </w:r>
        <w:r w:rsidR="006D153C">
          <w:rPr>
            <w:noProof/>
            <w:webHidden/>
          </w:rPr>
          <w:fldChar w:fldCharType="separate"/>
        </w:r>
        <w:r w:rsidR="006D153C">
          <w:rPr>
            <w:noProof/>
            <w:webHidden/>
          </w:rPr>
          <w:t>13</w:t>
        </w:r>
        <w:r w:rsidR="006D153C">
          <w:rPr>
            <w:noProof/>
            <w:webHidden/>
          </w:rPr>
          <w:fldChar w:fldCharType="end"/>
        </w:r>
      </w:hyperlink>
    </w:p>
    <w:p w14:paraId="75172D65" w14:textId="50C8E976" w:rsidR="006D153C" w:rsidRDefault="000B05BA">
      <w:pPr>
        <w:pStyle w:val="TOC3"/>
        <w:rPr>
          <w:rFonts w:asciiTheme="minorHAnsi" w:eastAsiaTheme="minorEastAsia" w:hAnsiTheme="minorHAnsi" w:cstheme="minorBidi"/>
          <w:noProof/>
          <w:szCs w:val="22"/>
          <w:lang w:val="fr-FR" w:eastAsia="fr-FR"/>
        </w:rPr>
      </w:pPr>
      <w:hyperlink w:anchor="_Toc20991650" w:history="1">
        <w:r w:rsidR="006D153C" w:rsidRPr="005631D7">
          <w:rPr>
            <w:rStyle w:val="Hyperlink"/>
            <w:noProof/>
            <w:lang w:val="fr-FR"/>
          </w:rPr>
          <w:t>iii)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Gestion du projet</w:t>
        </w:r>
        <w:r w:rsidR="006D153C">
          <w:rPr>
            <w:noProof/>
            <w:webHidden/>
          </w:rPr>
          <w:tab/>
        </w:r>
        <w:r w:rsidR="006D153C">
          <w:rPr>
            <w:noProof/>
            <w:webHidden/>
          </w:rPr>
          <w:fldChar w:fldCharType="begin"/>
        </w:r>
        <w:r w:rsidR="006D153C">
          <w:rPr>
            <w:noProof/>
            <w:webHidden/>
          </w:rPr>
          <w:instrText xml:space="preserve"> PAGEREF _Toc20991650 \h </w:instrText>
        </w:r>
        <w:r w:rsidR="006D153C">
          <w:rPr>
            <w:noProof/>
            <w:webHidden/>
          </w:rPr>
        </w:r>
        <w:r w:rsidR="006D153C">
          <w:rPr>
            <w:noProof/>
            <w:webHidden/>
          </w:rPr>
          <w:fldChar w:fldCharType="separate"/>
        </w:r>
        <w:r w:rsidR="006D153C">
          <w:rPr>
            <w:noProof/>
            <w:webHidden/>
          </w:rPr>
          <w:t>14</w:t>
        </w:r>
        <w:r w:rsidR="006D153C">
          <w:rPr>
            <w:noProof/>
            <w:webHidden/>
          </w:rPr>
          <w:fldChar w:fldCharType="end"/>
        </w:r>
      </w:hyperlink>
    </w:p>
    <w:p w14:paraId="15357D65" w14:textId="1239862B" w:rsidR="006D153C" w:rsidRDefault="000B05BA">
      <w:pPr>
        <w:pStyle w:val="TOC2"/>
        <w:tabs>
          <w:tab w:val="left" w:pos="880"/>
          <w:tab w:val="right" w:leader="dot" w:pos="9345"/>
        </w:tabs>
        <w:rPr>
          <w:rFonts w:asciiTheme="minorHAnsi" w:eastAsiaTheme="minorEastAsia" w:hAnsiTheme="minorHAnsi" w:cstheme="minorBidi"/>
          <w:caps w:val="0"/>
          <w:noProof/>
          <w:szCs w:val="22"/>
          <w:lang w:val="fr-FR" w:eastAsia="fr-FR"/>
        </w:rPr>
      </w:pPr>
      <w:hyperlink w:anchor="_Toc20991651" w:history="1">
        <w:r w:rsidR="006D153C" w:rsidRPr="005631D7">
          <w:rPr>
            <w:rStyle w:val="Hyperlink"/>
            <w:noProof/>
            <w:lang w:val="fr-FR"/>
          </w:rPr>
          <w:t>B)</w:t>
        </w:r>
        <w:r w:rsidR="006D153C">
          <w:rPr>
            <w:rFonts w:asciiTheme="minorHAnsi" w:eastAsiaTheme="minorEastAsia" w:hAnsiTheme="minorHAnsi" w:cstheme="minorBidi"/>
            <w:caps w:val="0"/>
            <w:noProof/>
            <w:szCs w:val="22"/>
            <w:lang w:val="fr-FR" w:eastAsia="fr-FR"/>
          </w:rPr>
          <w:tab/>
        </w:r>
        <w:r w:rsidR="006D153C" w:rsidRPr="005631D7">
          <w:rPr>
            <w:rStyle w:val="Hyperlink"/>
            <w:noProof/>
            <w:lang w:val="fr-FR"/>
          </w:rPr>
          <w:t>Pertinence</w:t>
        </w:r>
        <w:r w:rsidR="006D153C">
          <w:rPr>
            <w:noProof/>
            <w:webHidden/>
          </w:rPr>
          <w:tab/>
        </w:r>
        <w:r w:rsidR="006D153C">
          <w:rPr>
            <w:noProof/>
            <w:webHidden/>
          </w:rPr>
          <w:fldChar w:fldCharType="begin"/>
        </w:r>
        <w:r w:rsidR="006D153C">
          <w:rPr>
            <w:noProof/>
            <w:webHidden/>
          </w:rPr>
          <w:instrText xml:space="preserve"> PAGEREF _Toc20991651 \h </w:instrText>
        </w:r>
        <w:r w:rsidR="006D153C">
          <w:rPr>
            <w:noProof/>
            <w:webHidden/>
          </w:rPr>
        </w:r>
        <w:r w:rsidR="006D153C">
          <w:rPr>
            <w:noProof/>
            <w:webHidden/>
          </w:rPr>
          <w:fldChar w:fldCharType="separate"/>
        </w:r>
        <w:r w:rsidR="006D153C">
          <w:rPr>
            <w:noProof/>
            <w:webHidden/>
          </w:rPr>
          <w:t>14</w:t>
        </w:r>
        <w:r w:rsidR="006D153C">
          <w:rPr>
            <w:noProof/>
            <w:webHidden/>
          </w:rPr>
          <w:fldChar w:fldCharType="end"/>
        </w:r>
      </w:hyperlink>
    </w:p>
    <w:p w14:paraId="40184F5A" w14:textId="4FA3EAF0" w:rsidR="006D153C" w:rsidRDefault="000B05BA">
      <w:pPr>
        <w:pStyle w:val="TOC3"/>
        <w:rPr>
          <w:rFonts w:asciiTheme="minorHAnsi" w:eastAsiaTheme="minorEastAsia" w:hAnsiTheme="minorHAnsi" w:cstheme="minorBidi"/>
          <w:noProof/>
          <w:szCs w:val="22"/>
          <w:lang w:val="fr-FR" w:eastAsia="fr-FR"/>
        </w:rPr>
      </w:pPr>
      <w:hyperlink w:anchor="_Toc20991652" w:history="1">
        <w:r w:rsidR="006D153C" w:rsidRPr="005631D7">
          <w:rPr>
            <w:rStyle w:val="Hyperlink"/>
            <w:noProof/>
            <w:lang w:val="fr-FR"/>
          </w:rPr>
          <w:t>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Pertinence générale</w:t>
        </w:r>
        <w:r w:rsidR="006D153C">
          <w:rPr>
            <w:noProof/>
            <w:webHidden/>
          </w:rPr>
          <w:tab/>
        </w:r>
        <w:r w:rsidR="006D153C">
          <w:rPr>
            <w:noProof/>
            <w:webHidden/>
          </w:rPr>
          <w:fldChar w:fldCharType="begin"/>
        </w:r>
        <w:r w:rsidR="006D153C">
          <w:rPr>
            <w:noProof/>
            <w:webHidden/>
          </w:rPr>
          <w:instrText xml:space="preserve"> PAGEREF _Toc20991652 \h </w:instrText>
        </w:r>
        <w:r w:rsidR="006D153C">
          <w:rPr>
            <w:noProof/>
            <w:webHidden/>
          </w:rPr>
        </w:r>
        <w:r w:rsidR="006D153C">
          <w:rPr>
            <w:noProof/>
            <w:webHidden/>
          </w:rPr>
          <w:fldChar w:fldCharType="separate"/>
        </w:r>
        <w:r w:rsidR="006D153C">
          <w:rPr>
            <w:noProof/>
            <w:webHidden/>
          </w:rPr>
          <w:t>14</w:t>
        </w:r>
        <w:r w:rsidR="006D153C">
          <w:rPr>
            <w:noProof/>
            <w:webHidden/>
          </w:rPr>
          <w:fldChar w:fldCharType="end"/>
        </w:r>
      </w:hyperlink>
    </w:p>
    <w:p w14:paraId="7FA90A5B" w14:textId="63C38610" w:rsidR="006D153C" w:rsidRDefault="000B05BA">
      <w:pPr>
        <w:pStyle w:val="TOC3"/>
        <w:rPr>
          <w:rFonts w:asciiTheme="minorHAnsi" w:eastAsiaTheme="minorEastAsia" w:hAnsiTheme="minorHAnsi" w:cstheme="minorBidi"/>
          <w:noProof/>
          <w:szCs w:val="22"/>
          <w:lang w:val="fr-FR" w:eastAsia="fr-FR"/>
        </w:rPr>
      </w:pPr>
      <w:hyperlink w:anchor="_Toc20991653" w:history="1">
        <w:r w:rsidR="006D153C" w:rsidRPr="005631D7">
          <w:rPr>
            <w:rStyle w:val="Hyperlink"/>
            <w:noProof/>
            <w:lang w:val="fr-FR"/>
          </w:rPr>
          <w:t>ii)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Pertinence pour les bénéficiaires</w:t>
        </w:r>
        <w:r w:rsidR="006D153C">
          <w:rPr>
            <w:noProof/>
            <w:webHidden/>
          </w:rPr>
          <w:tab/>
        </w:r>
        <w:r w:rsidR="006D153C">
          <w:rPr>
            <w:noProof/>
            <w:webHidden/>
          </w:rPr>
          <w:fldChar w:fldCharType="begin"/>
        </w:r>
        <w:r w:rsidR="006D153C">
          <w:rPr>
            <w:noProof/>
            <w:webHidden/>
          </w:rPr>
          <w:instrText xml:space="preserve"> PAGEREF _Toc20991653 \h </w:instrText>
        </w:r>
        <w:r w:rsidR="006D153C">
          <w:rPr>
            <w:noProof/>
            <w:webHidden/>
          </w:rPr>
        </w:r>
        <w:r w:rsidR="006D153C">
          <w:rPr>
            <w:noProof/>
            <w:webHidden/>
          </w:rPr>
          <w:fldChar w:fldCharType="separate"/>
        </w:r>
        <w:r w:rsidR="006D153C">
          <w:rPr>
            <w:noProof/>
            <w:webHidden/>
          </w:rPr>
          <w:t>16</w:t>
        </w:r>
        <w:r w:rsidR="006D153C">
          <w:rPr>
            <w:noProof/>
            <w:webHidden/>
          </w:rPr>
          <w:fldChar w:fldCharType="end"/>
        </w:r>
      </w:hyperlink>
    </w:p>
    <w:p w14:paraId="12FF3D06" w14:textId="16688986" w:rsidR="006D153C" w:rsidRDefault="000B05BA">
      <w:pPr>
        <w:pStyle w:val="TOC2"/>
        <w:tabs>
          <w:tab w:val="left" w:pos="880"/>
          <w:tab w:val="right" w:leader="dot" w:pos="9345"/>
        </w:tabs>
        <w:rPr>
          <w:rFonts w:asciiTheme="minorHAnsi" w:eastAsiaTheme="minorEastAsia" w:hAnsiTheme="minorHAnsi" w:cstheme="minorBidi"/>
          <w:caps w:val="0"/>
          <w:noProof/>
          <w:szCs w:val="22"/>
          <w:lang w:val="fr-FR" w:eastAsia="fr-FR"/>
        </w:rPr>
      </w:pPr>
      <w:hyperlink w:anchor="_Toc20991654" w:history="1">
        <w:r w:rsidR="006D153C" w:rsidRPr="005631D7">
          <w:rPr>
            <w:rStyle w:val="Hyperlink"/>
            <w:noProof/>
            <w:lang w:val="fr-FR"/>
          </w:rPr>
          <w:t>C)</w:t>
        </w:r>
        <w:r w:rsidR="006D153C">
          <w:rPr>
            <w:rFonts w:asciiTheme="minorHAnsi" w:eastAsiaTheme="minorEastAsia" w:hAnsiTheme="minorHAnsi" w:cstheme="minorBidi"/>
            <w:caps w:val="0"/>
            <w:noProof/>
            <w:szCs w:val="22"/>
            <w:lang w:val="fr-FR" w:eastAsia="fr-FR"/>
          </w:rPr>
          <w:tab/>
        </w:r>
        <w:r w:rsidR="006D153C" w:rsidRPr="005631D7">
          <w:rPr>
            <w:rStyle w:val="Hyperlink"/>
            <w:noProof/>
            <w:lang w:val="fr-FR"/>
          </w:rPr>
          <w:t>Efficacité</w:t>
        </w:r>
        <w:r w:rsidR="006D153C">
          <w:rPr>
            <w:noProof/>
            <w:webHidden/>
          </w:rPr>
          <w:tab/>
        </w:r>
        <w:r w:rsidR="006D153C">
          <w:rPr>
            <w:noProof/>
            <w:webHidden/>
          </w:rPr>
          <w:fldChar w:fldCharType="begin"/>
        </w:r>
        <w:r w:rsidR="006D153C">
          <w:rPr>
            <w:noProof/>
            <w:webHidden/>
          </w:rPr>
          <w:instrText xml:space="preserve"> PAGEREF _Toc20991654 \h </w:instrText>
        </w:r>
        <w:r w:rsidR="006D153C">
          <w:rPr>
            <w:noProof/>
            <w:webHidden/>
          </w:rPr>
        </w:r>
        <w:r w:rsidR="006D153C">
          <w:rPr>
            <w:noProof/>
            <w:webHidden/>
          </w:rPr>
          <w:fldChar w:fldCharType="separate"/>
        </w:r>
        <w:r w:rsidR="006D153C">
          <w:rPr>
            <w:noProof/>
            <w:webHidden/>
          </w:rPr>
          <w:t>17</w:t>
        </w:r>
        <w:r w:rsidR="006D153C">
          <w:rPr>
            <w:noProof/>
            <w:webHidden/>
          </w:rPr>
          <w:fldChar w:fldCharType="end"/>
        </w:r>
      </w:hyperlink>
    </w:p>
    <w:p w14:paraId="64D4BB4F" w14:textId="2B0AFE17" w:rsidR="006D153C" w:rsidRDefault="000B05BA">
      <w:pPr>
        <w:pStyle w:val="TOC3"/>
        <w:rPr>
          <w:rFonts w:asciiTheme="minorHAnsi" w:eastAsiaTheme="minorEastAsia" w:hAnsiTheme="minorHAnsi" w:cstheme="minorBidi"/>
          <w:noProof/>
          <w:szCs w:val="22"/>
          <w:lang w:val="fr-FR" w:eastAsia="fr-FR"/>
        </w:rPr>
      </w:pPr>
      <w:hyperlink w:anchor="_Toc20991655" w:history="1">
        <w:r w:rsidR="006D153C" w:rsidRPr="005631D7">
          <w:rPr>
            <w:rStyle w:val="Hyperlink"/>
            <w:noProof/>
            <w:lang w:val="fr-FR"/>
          </w:rPr>
          <w:t>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Mise en place d’une structure de coopération</w:t>
        </w:r>
        <w:r w:rsidR="006D153C">
          <w:rPr>
            <w:noProof/>
            <w:webHidden/>
          </w:rPr>
          <w:tab/>
        </w:r>
        <w:r w:rsidR="006D153C">
          <w:rPr>
            <w:noProof/>
            <w:webHidden/>
          </w:rPr>
          <w:fldChar w:fldCharType="begin"/>
        </w:r>
        <w:r w:rsidR="006D153C">
          <w:rPr>
            <w:noProof/>
            <w:webHidden/>
          </w:rPr>
          <w:instrText xml:space="preserve"> PAGEREF _Toc20991655 \h </w:instrText>
        </w:r>
        <w:r w:rsidR="006D153C">
          <w:rPr>
            <w:noProof/>
            <w:webHidden/>
          </w:rPr>
        </w:r>
        <w:r w:rsidR="006D153C">
          <w:rPr>
            <w:noProof/>
            <w:webHidden/>
          </w:rPr>
          <w:fldChar w:fldCharType="separate"/>
        </w:r>
        <w:r w:rsidR="006D153C">
          <w:rPr>
            <w:noProof/>
            <w:webHidden/>
          </w:rPr>
          <w:t>17</w:t>
        </w:r>
        <w:r w:rsidR="006D153C">
          <w:rPr>
            <w:noProof/>
            <w:webHidden/>
          </w:rPr>
          <w:fldChar w:fldCharType="end"/>
        </w:r>
      </w:hyperlink>
    </w:p>
    <w:p w14:paraId="5022C560" w14:textId="5271B217" w:rsidR="006D153C" w:rsidRDefault="000B05BA">
      <w:pPr>
        <w:pStyle w:val="TOC3"/>
        <w:rPr>
          <w:rFonts w:asciiTheme="minorHAnsi" w:eastAsiaTheme="minorEastAsia" w:hAnsiTheme="minorHAnsi" w:cstheme="minorBidi"/>
          <w:noProof/>
          <w:szCs w:val="22"/>
          <w:lang w:val="fr-FR" w:eastAsia="fr-FR"/>
        </w:rPr>
      </w:pPr>
      <w:hyperlink w:anchor="_Toc20991656" w:history="1">
        <w:r w:rsidR="006D153C" w:rsidRPr="005631D7">
          <w:rPr>
            <w:rStyle w:val="Hyperlink"/>
            <w:noProof/>
            <w:lang w:val="fr-FR"/>
          </w:rPr>
          <w:t>ii)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Études de cas</w:t>
        </w:r>
        <w:r w:rsidR="006D153C">
          <w:rPr>
            <w:noProof/>
            <w:webHidden/>
          </w:rPr>
          <w:tab/>
        </w:r>
        <w:r w:rsidR="006D153C">
          <w:rPr>
            <w:noProof/>
            <w:webHidden/>
          </w:rPr>
          <w:fldChar w:fldCharType="begin"/>
        </w:r>
        <w:r w:rsidR="006D153C">
          <w:rPr>
            <w:noProof/>
            <w:webHidden/>
          </w:rPr>
          <w:instrText xml:space="preserve"> PAGEREF _Toc20991656 \h </w:instrText>
        </w:r>
        <w:r w:rsidR="006D153C">
          <w:rPr>
            <w:noProof/>
            <w:webHidden/>
          </w:rPr>
        </w:r>
        <w:r w:rsidR="006D153C">
          <w:rPr>
            <w:noProof/>
            <w:webHidden/>
          </w:rPr>
          <w:fldChar w:fldCharType="separate"/>
        </w:r>
        <w:r w:rsidR="006D153C">
          <w:rPr>
            <w:noProof/>
            <w:webHidden/>
          </w:rPr>
          <w:t>18</w:t>
        </w:r>
        <w:r w:rsidR="006D153C">
          <w:rPr>
            <w:noProof/>
            <w:webHidden/>
          </w:rPr>
          <w:fldChar w:fldCharType="end"/>
        </w:r>
      </w:hyperlink>
    </w:p>
    <w:p w14:paraId="60FAE17E" w14:textId="3F253055" w:rsidR="006D153C" w:rsidRDefault="000B05BA">
      <w:pPr>
        <w:pStyle w:val="TOC3"/>
        <w:rPr>
          <w:rFonts w:asciiTheme="minorHAnsi" w:eastAsiaTheme="minorEastAsia" w:hAnsiTheme="minorHAnsi" w:cstheme="minorBidi"/>
          <w:noProof/>
          <w:szCs w:val="22"/>
          <w:lang w:val="fr-FR" w:eastAsia="fr-FR"/>
        </w:rPr>
      </w:pPr>
      <w:hyperlink w:anchor="_Toc20991657" w:history="1">
        <w:r w:rsidR="006D153C" w:rsidRPr="005631D7">
          <w:rPr>
            <w:rStyle w:val="Hyperlink"/>
            <w:noProof/>
            <w:lang w:val="fr-FR"/>
          </w:rPr>
          <w:t>iii)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Guide sur la propriété intellectuelle et le tourisme</w:t>
        </w:r>
        <w:r w:rsidR="006D153C">
          <w:rPr>
            <w:noProof/>
            <w:webHidden/>
          </w:rPr>
          <w:tab/>
        </w:r>
        <w:r w:rsidR="006D153C">
          <w:rPr>
            <w:noProof/>
            <w:webHidden/>
          </w:rPr>
          <w:fldChar w:fldCharType="begin"/>
        </w:r>
        <w:r w:rsidR="006D153C">
          <w:rPr>
            <w:noProof/>
            <w:webHidden/>
          </w:rPr>
          <w:instrText xml:space="preserve"> PAGEREF _Toc20991657 \h </w:instrText>
        </w:r>
        <w:r w:rsidR="006D153C">
          <w:rPr>
            <w:noProof/>
            <w:webHidden/>
          </w:rPr>
        </w:r>
        <w:r w:rsidR="006D153C">
          <w:rPr>
            <w:noProof/>
            <w:webHidden/>
          </w:rPr>
          <w:fldChar w:fldCharType="separate"/>
        </w:r>
        <w:r w:rsidR="006D153C">
          <w:rPr>
            <w:noProof/>
            <w:webHidden/>
          </w:rPr>
          <w:t>18</w:t>
        </w:r>
        <w:r w:rsidR="006D153C">
          <w:rPr>
            <w:noProof/>
            <w:webHidden/>
          </w:rPr>
          <w:fldChar w:fldCharType="end"/>
        </w:r>
      </w:hyperlink>
    </w:p>
    <w:p w14:paraId="13A99503" w14:textId="144C90E0" w:rsidR="006D153C" w:rsidRDefault="000B05BA">
      <w:pPr>
        <w:pStyle w:val="TOC3"/>
        <w:rPr>
          <w:rFonts w:asciiTheme="minorHAnsi" w:eastAsiaTheme="minorEastAsia" w:hAnsiTheme="minorHAnsi" w:cstheme="minorBidi"/>
          <w:noProof/>
          <w:szCs w:val="22"/>
          <w:lang w:val="fr-FR" w:eastAsia="fr-FR"/>
        </w:rPr>
      </w:pPr>
      <w:hyperlink w:anchor="_Toc20991658" w:history="1">
        <w:r w:rsidR="006D153C" w:rsidRPr="005631D7">
          <w:rPr>
            <w:rStyle w:val="Hyperlink"/>
            <w:noProof/>
            <w:lang w:val="fr-FR"/>
          </w:rPr>
          <w:t>iv)</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Activités de sensibilisation</w:t>
        </w:r>
        <w:r w:rsidR="006D153C">
          <w:rPr>
            <w:noProof/>
            <w:webHidden/>
          </w:rPr>
          <w:tab/>
        </w:r>
        <w:r w:rsidR="006D153C">
          <w:rPr>
            <w:noProof/>
            <w:webHidden/>
          </w:rPr>
          <w:fldChar w:fldCharType="begin"/>
        </w:r>
        <w:r w:rsidR="006D153C">
          <w:rPr>
            <w:noProof/>
            <w:webHidden/>
          </w:rPr>
          <w:instrText xml:space="preserve"> PAGEREF _Toc20991658 \h </w:instrText>
        </w:r>
        <w:r w:rsidR="006D153C">
          <w:rPr>
            <w:noProof/>
            <w:webHidden/>
          </w:rPr>
        </w:r>
        <w:r w:rsidR="006D153C">
          <w:rPr>
            <w:noProof/>
            <w:webHidden/>
          </w:rPr>
          <w:fldChar w:fldCharType="separate"/>
        </w:r>
        <w:r w:rsidR="006D153C">
          <w:rPr>
            <w:noProof/>
            <w:webHidden/>
          </w:rPr>
          <w:t>19</w:t>
        </w:r>
        <w:r w:rsidR="006D153C">
          <w:rPr>
            <w:noProof/>
            <w:webHidden/>
          </w:rPr>
          <w:fldChar w:fldCharType="end"/>
        </w:r>
      </w:hyperlink>
    </w:p>
    <w:p w14:paraId="6BC65FB1" w14:textId="7303CB7C" w:rsidR="006D153C" w:rsidRDefault="000B05BA">
      <w:pPr>
        <w:pStyle w:val="TOC3"/>
        <w:rPr>
          <w:rFonts w:asciiTheme="minorHAnsi" w:eastAsiaTheme="minorEastAsia" w:hAnsiTheme="minorHAnsi" w:cstheme="minorBidi"/>
          <w:noProof/>
          <w:szCs w:val="22"/>
          <w:lang w:val="fr-FR" w:eastAsia="fr-FR"/>
        </w:rPr>
      </w:pPr>
      <w:hyperlink w:anchor="_Toc20991659" w:history="1">
        <w:r w:rsidR="006D153C" w:rsidRPr="005631D7">
          <w:rPr>
            <w:rStyle w:val="Hyperlink"/>
            <w:noProof/>
            <w:lang w:val="fr-FR"/>
          </w:rPr>
          <w:t>v)</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Matériel de sensibilisation et d’éducation</w:t>
        </w:r>
        <w:r w:rsidR="006D153C">
          <w:rPr>
            <w:noProof/>
            <w:webHidden/>
          </w:rPr>
          <w:tab/>
        </w:r>
        <w:r w:rsidR="006D153C">
          <w:rPr>
            <w:noProof/>
            <w:webHidden/>
          </w:rPr>
          <w:fldChar w:fldCharType="begin"/>
        </w:r>
        <w:r w:rsidR="006D153C">
          <w:rPr>
            <w:noProof/>
            <w:webHidden/>
          </w:rPr>
          <w:instrText xml:space="preserve"> PAGEREF _Toc20991659 \h </w:instrText>
        </w:r>
        <w:r w:rsidR="006D153C">
          <w:rPr>
            <w:noProof/>
            <w:webHidden/>
          </w:rPr>
        </w:r>
        <w:r w:rsidR="006D153C">
          <w:rPr>
            <w:noProof/>
            <w:webHidden/>
          </w:rPr>
          <w:fldChar w:fldCharType="separate"/>
        </w:r>
        <w:r w:rsidR="006D153C">
          <w:rPr>
            <w:noProof/>
            <w:webHidden/>
          </w:rPr>
          <w:t>19</w:t>
        </w:r>
        <w:r w:rsidR="006D153C">
          <w:rPr>
            <w:noProof/>
            <w:webHidden/>
          </w:rPr>
          <w:fldChar w:fldCharType="end"/>
        </w:r>
      </w:hyperlink>
    </w:p>
    <w:p w14:paraId="3451EDB5" w14:textId="3BC5F4B2" w:rsidR="006D153C" w:rsidRDefault="000B05BA">
      <w:pPr>
        <w:pStyle w:val="TOC3"/>
        <w:rPr>
          <w:rFonts w:asciiTheme="minorHAnsi" w:eastAsiaTheme="minorEastAsia" w:hAnsiTheme="minorHAnsi" w:cstheme="minorBidi"/>
          <w:noProof/>
          <w:szCs w:val="22"/>
          <w:lang w:val="fr-FR" w:eastAsia="fr-FR"/>
        </w:rPr>
      </w:pPr>
      <w:hyperlink w:anchor="_Toc20991660" w:history="1">
        <w:r w:rsidR="006D153C" w:rsidRPr="005631D7">
          <w:rPr>
            <w:rStyle w:val="Hyperlink"/>
            <w:noProof/>
            <w:lang w:val="fr-FR"/>
          </w:rPr>
          <w:t>vi)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Premiers résultats observés</w:t>
        </w:r>
        <w:r w:rsidR="006D153C">
          <w:rPr>
            <w:noProof/>
            <w:webHidden/>
          </w:rPr>
          <w:tab/>
        </w:r>
        <w:r w:rsidR="006D153C">
          <w:rPr>
            <w:noProof/>
            <w:webHidden/>
          </w:rPr>
          <w:fldChar w:fldCharType="begin"/>
        </w:r>
        <w:r w:rsidR="006D153C">
          <w:rPr>
            <w:noProof/>
            <w:webHidden/>
          </w:rPr>
          <w:instrText xml:space="preserve"> PAGEREF _Toc20991660 \h </w:instrText>
        </w:r>
        <w:r w:rsidR="006D153C">
          <w:rPr>
            <w:noProof/>
            <w:webHidden/>
          </w:rPr>
        </w:r>
        <w:r w:rsidR="006D153C">
          <w:rPr>
            <w:noProof/>
            <w:webHidden/>
          </w:rPr>
          <w:fldChar w:fldCharType="separate"/>
        </w:r>
        <w:r w:rsidR="006D153C">
          <w:rPr>
            <w:noProof/>
            <w:webHidden/>
          </w:rPr>
          <w:t>20</w:t>
        </w:r>
        <w:r w:rsidR="006D153C">
          <w:rPr>
            <w:noProof/>
            <w:webHidden/>
          </w:rPr>
          <w:fldChar w:fldCharType="end"/>
        </w:r>
      </w:hyperlink>
    </w:p>
    <w:p w14:paraId="4618FB84" w14:textId="1C372B1F" w:rsidR="006D153C" w:rsidRDefault="000B05BA">
      <w:pPr>
        <w:pStyle w:val="TOC3"/>
        <w:rPr>
          <w:rFonts w:asciiTheme="minorHAnsi" w:eastAsiaTheme="minorEastAsia" w:hAnsiTheme="minorHAnsi" w:cstheme="minorBidi"/>
          <w:noProof/>
          <w:szCs w:val="22"/>
          <w:lang w:val="fr-FR" w:eastAsia="fr-FR"/>
        </w:rPr>
      </w:pPr>
      <w:hyperlink w:anchor="_Toc20991661" w:history="1">
        <w:r w:rsidR="006D153C" w:rsidRPr="005631D7">
          <w:rPr>
            <w:rStyle w:val="Hyperlink"/>
            <w:noProof/>
            <w:lang w:val="fr-FR"/>
          </w:rPr>
          <w:t>vii)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Incidences</w:t>
        </w:r>
        <w:r w:rsidR="006D153C">
          <w:rPr>
            <w:noProof/>
            <w:webHidden/>
          </w:rPr>
          <w:tab/>
        </w:r>
        <w:r w:rsidR="006D153C">
          <w:rPr>
            <w:noProof/>
            <w:webHidden/>
          </w:rPr>
          <w:fldChar w:fldCharType="begin"/>
        </w:r>
        <w:r w:rsidR="006D153C">
          <w:rPr>
            <w:noProof/>
            <w:webHidden/>
          </w:rPr>
          <w:instrText xml:space="preserve"> PAGEREF _Toc20991661 \h </w:instrText>
        </w:r>
        <w:r w:rsidR="006D153C">
          <w:rPr>
            <w:noProof/>
            <w:webHidden/>
          </w:rPr>
        </w:r>
        <w:r w:rsidR="006D153C">
          <w:rPr>
            <w:noProof/>
            <w:webHidden/>
          </w:rPr>
          <w:fldChar w:fldCharType="separate"/>
        </w:r>
        <w:r w:rsidR="006D153C">
          <w:rPr>
            <w:noProof/>
            <w:webHidden/>
          </w:rPr>
          <w:t>21</w:t>
        </w:r>
        <w:r w:rsidR="006D153C">
          <w:rPr>
            <w:noProof/>
            <w:webHidden/>
          </w:rPr>
          <w:fldChar w:fldCharType="end"/>
        </w:r>
      </w:hyperlink>
    </w:p>
    <w:p w14:paraId="4775CAB9" w14:textId="7286F240" w:rsidR="006D153C" w:rsidRDefault="000B05BA">
      <w:pPr>
        <w:pStyle w:val="TOC2"/>
        <w:tabs>
          <w:tab w:val="left" w:pos="880"/>
          <w:tab w:val="right" w:leader="dot" w:pos="9345"/>
        </w:tabs>
        <w:rPr>
          <w:rFonts w:asciiTheme="minorHAnsi" w:eastAsiaTheme="minorEastAsia" w:hAnsiTheme="minorHAnsi" w:cstheme="minorBidi"/>
          <w:caps w:val="0"/>
          <w:noProof/>
          <w:szCs w:val="22"/>
          <w:lang w:val="fr-FR" w:eastAsia="fr-FR"/>
        </w:rPr>
      </w:pPr>
      <w:hyperlink w:anchor="_Toc20991662" w:history="1">
        <w:r w:rsidR="006D153C" w:rsidRPr="005631D7">
          <w:rPr>
            <w:rStyle w:val="Hyperlink"/>
            <w:noProof/>
            <w:lang w:val="fr-FR"/>
          </w:rPr>
          <w:t>D)</w:t>
        </w:r>
        <w:r w:rsidR="006D153C">
          <w:rPr>
            <w:rFonts w:asciiTheme="minorHAnsi" w:eastAsiaTheme="minorEastAsia" w:hAnsiTheme="minorHAnsi" w:cstheme="minorBidi"/>
            <w:caps w:val="0"/>
            <w:noProof/>
            <w:szCs w:val="22"/>
            <w:lang w:val="fr-FR" w:eastAsia="fr-FR"/>
          </w:rPr>
          <w:tab/>
        </w:r>
        <w:r w:rsidR="006D153C" w:rsidRPr="005631D7">
          <w:rPr>
            <w:rStyle w:val="Hyperlink"/>
            <w:noProof/>
            <w:lang w:val="fr-FR"/>
          </w:rPr>
          <w:t>Efficacité</w:t>
        </w:r>
        <w:r w:rsidR="006D153C">
          <w:rPr>
            <w:noProof/>
            <w:webHidden/>
          </w:rPr>
          <w:tab/>
        </w:r>
        <w:r w:rsidR="006D153C">
          <w:rPr>
            <w:noProof/>
            <w:webHidden/>
          </w:rPr>
          <w:fldChar w:fldCharType="begin"/>
        </w:r>
        <w:r w:rsidR="006D153C">
          <w:rPr>
            <w:noProof/>
            <w:webHidden/>
          </w:rPr>
          <w:instrText xml:space="preserve"> PAGEREF _Toc20991662 \h </w:instrText>
        </w:r>
        <w:r w:rsidR="006D153C">
          <w:rPr>
            <w:noProof/>
            <w:webHidden/>
          </w:rPr>
        </w:r>
        <w:r w:rsidR="006D153C">
          <w:rPr>
            <w:noProof/>
            <w:webHidden/>
          </w:rPr>
          <w:fldChar w:fldCharType="separate"/>
        </w:r>
        <w:r w:rsidR="006D153C">
          <w:rPr>
            <w:noProof/>
            <w:webHidden/>
          </w:rPr>
          <w:t>21</w:t>
        </w:r>
        <w:r w:rsidR="006D153C">
          <w:rPr>
            <w:noProof/>
            <w:webHidden/>
          </w:rPr>
          <w:fldChar w:fldCharType="end"/>
        </w:r>
      </w:hyperlink>
    </w:p>
    <w:p w14:paraId="0CEEF7E6" w14:textId="4C4147A1" w:rsidR="006D153C" w:rsidRDefault="000B05BA">
      <w:pPr>
        <w:pStyle w:val="TOC3"/>
        <w:rPr>
          <w:rFonts w:asciiTheme="minorHAnsi" w:eastAsiaTheme="minorEastAsia" w:hAnsiTheme="minorHAnsi" w:cstheme="minorBidi"/>
          <w:noProof/>
          <w:szCs w:val="22"/>
          <w:lang w:val="fr-FR" w:eastAsia="fr-FR"/>
        </w:rPr>
      </w:pPr>
      <w:hyperlink w:anchor="_Toc20991663" w:history="1">
        <w:r w:rsidR="006D153C" w:rsidRPr="005631D7">
          <w:rPr>
            <w:rStyle w:val="Hyperlink"/>
            <w:noProof/>
            <w:lang w:val="fr-FR"/>
          </w:rPr>
          <w:t>i)</w:t>
        </w:r>
        <w:r w:rsidR="006D153C">
          <w:rPr>
            <w:noProof/>
            <w:webHidden/>
          </w:rPr>
          <w:tab/>
        </w:r>
        <w:r w:rsidR="006D153C">
          <w:rPr>
            <w:noProof/>
            <w:webHidden/>
          </w:rPr>
          <w:fldChar w:fldCharType="begin"/>
        </w:r>
        <w:r w:rsidR="006D153C">
          <w:rPr>
            <w:noProof/>
            <w:webHidden/>
          </w:rPr>
          <w:instrText xml:space="preserve"> PAGEREF _Toc20991663 \h </w:instrText>
        </w:r>
        <w:r w:rsidR="006D153C">
          <w:rPr>
            <w:noProof/>
            <w:webHidden/>
          </w:rPr>
        </w:r>
        <w:r w:rsidR="006D153C">
          <w:rPr>
            <w:noProof/>
            <w:webHidden/>
          </w:rPr>
          <w:fldChar w:fldCharType="separate"/>
        </w:r>
        <w:r w:rsidR="006D153C">
          <w:rPr>
            <w:noProof/>
            <w:webHidden/>
          </w:rPr>
          <w:t>21</w:t>
        </w:r>
        <w:r w:rsidR="006D153C">
          <w:rPr>
            <w:noProof/>
            <w:webHidden/>
          </w:rPr>
          <w:fldChar w:fldCharType="end"/>
        </w:r>
      </w:hyperlink>
    </w:p>
    <w:p w14:paraId="46A8DA1E" w14:textId="26FF721E" w:rsidR="006D153C" w:rsidRDefault="000B05BA">
      <w:pPr>
        <w:pStyle w:val="TOC3"/>
        <w:rPr>
          <w:rFonts w:asciiTheme="minorHAnsi" w:eastAsiaTheme="minorEastAsia" w:hAnsiTheme="minorHAnsi" w:cstheme="minorBidi"/>
          <w:noProof/>
          <w:szCs w:val="22"/>
          <w:lang w:val="fr-FR" w:eastAsia="fr-FR"/>
        </w:rPr>
      </w:pPr>
      <w:hyperlink w:anchor="_Toc20991664" w:history="1">
        <w:r w:rsidR="006D153C" w:rsidRPr="005631D7">
          <w:rPr>
            <w:rStyle w:val="Hyperlink"/>
            <w:noProof/>
            <w:lang w:val="fr-FR"/>
          </w:rPr>
          <w:t>ii)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Exécution financière</w:t>
        </w:r>
        <w:r w:rsidR="006D153C">
          <w:rPr>
            <w:noProof/>
            <w:webHidden/>
          </w:rPr>
          <w:tab/>
        </w:r>
        <w:r w:rsidR="006D153C">
          <w:rPr>
            <w:noProof/>
            <w:webHidden/>
          </w:rPr>
          <w:fldChar w:fldCharType="begin"/>
        </w:r>
        <w:r w:rsidR="006D153C">
          <w:rPr>
            <w:noProof/>
            <w:webHidden/>
          </w:rPr>
          <w:instrText xml:space="preserve"> PAGEREF _Toc20991664 \h </w:instrText>
        </w:r>
        <w:r w:rsidR="006D153C">
          <w:rPr>
            <w:noProof/>
            <w:webHidden/>
          </w:rPr>
        </w:r>
        <w:r w:rsidR="006D153C">
          <w:rPr>
            <w:noProof/>
            <w:webHidden/>
          </w:rPr>
          <w:fldChar w:fldCharType="separate"/>
        </w:r>
        <w:r w:rsidR="006D153C">
          <w:rPr>
            <w:noProof/>
            <w:webHidden/>
          </w:rPr>
          <w:t>21</w:t>
        </w:r>
        <w:r w:rsidR="006D153C">
          <w:rPr>
            <w:noProof/>
            <w:webHidden/>
          </w:rPr>
          <w:fldChar w:fldCharType="end"/>
        </w:r>
      </w:hyperlink>
    </w:p>
    <w:p w14:paraId="56C48724" w14:textId="2E4824CD" w:rsidR="006D153C" w:rsidRDefault="000B05BA">
      <w:pPr>
        <w:pStyle w:val="TOC3"/>
        <w:rPr>
          <w:rFonts w:asciiTheme="minorHAnsi" w:eastAsiaTheme="minorEastAsia" w:hAnsiTheme="minorHAnsi" w:cstheme="minorBidi"/>
          <w:noProof/>
          <w:szCs w:val="22"/>
          <w:lang w:val="fr-FR" w:eastAsia="fr-FR"/>
        </w:rPr>
      </w:pPr>
      <w:hyperlink w:anchor="_Toc20991665" w:history="1">
        <w:r w:rsidR="006D153C" w:rsidRPr="005631D7">
          <w:rPr>
            <w:rStyle w:val="Hyperlink"/>
            <w:noProof/>
            <w:lang w:val="fr-FR"/>
          </w:rPr>
          <w:t>iii)</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Approche</w:t>
        </w:r>
        <w:r w:rsidR="006D153C">
          <w:rPr>
            <w:noProof/>
            <w:webHidden/>
          </w:rPr>
          <w:tab/>
        </w:r>
        <w:r w:rsidR="006D153C">
          <w:rPr>
            <w:noProof/>
            <w:webHidden/>
          </w:rPr>
          <w:fldChar w:fldCharType="begin"/>
        </w:r>
        <w:r w:rsidR="006D153C">
          <w:rPr>
            <w:noProof/>
            <w:webHidden/>
          </w:rPr>
          <w:instrText xml:space="preserve"> PAGEREF _Toc20991665 \h </w:instrText>
        </w:r>
        <w:r w:rsidR="006D153C">
          <w:rPr>
            <w:noProof/>
            <w:webHidden/>
          </w:rPr>
        </w:r>
        <w:r w:rsidR="006D153C">
          <w:rPr>
            <w:noProof/>
            <w:webHidden/>
          </w:rPr>
          <w:fldChar w:fldCharType="separate"/>
        </w:r>
        <w:r w:rsidR="006D153C">
          <w:rPr>
            <w:noProof/>
            <w:webHidden/>
          </w:rPr>
          <w:t>22</w:t>
        </w:r>
        <w:r w:rsidR="006D153C">
          <w:rPr>
            <w:noProof/>
            <w:webHidden/>
          </w:rPr>
          <w:fldChar w:fldCharType="end"/>
        </w:r>
      </w:hyperlink>
    </w:p>
    <w:p w14:paraId="4C814C8A" w14:textId="5B245976" w:rsidR="006D153C" w:rsidRDefault="000B05BA">
      <w:pPr>
        <w:pStyle w:val="TOC3"/>
        <w:rPr>
          <w:rFonts w:asciiTheme="minorHAnsi" w:eastAsiaTheme="minorEastAsia" w:hAnsiTheme="minorHAnsi" w:cstheme="minorBidi"/>
          <w:noProof/>
          <w:szCs w:val="22"/>
          <w:lang w:val="fr-FR" w:eastAsia="fr-FR"/>
        </w:rPr>
      </w:pPr>
      <w:hyperlink w:anchor="_Toc20991666" w:history="1">
        <w:r w:rsidR="006D153C" w:rsidRPr="005631D7">
          <w:rPr>
            <w:rStyle w:val="Hyperlink"/>
            <w:noProof/>
            <w:lang w:val="fr-FR"/>
          </w:rPr>
          <w:t>iv)</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Coordination et synergies au sein du Secrétariat</w:t>
        </w:r>
        <w:r w:rsidR="006D153C">
          <w:rPr>
            <w:noProof/>
            <w:webHidden/>
          </w:rPr>
          <w:tab/>
        </w:r>
        <w:r w:rsidR="006D153C">
          <w:rPr>
            <w:noProof/>
            <w:webHidden/>
          </w:rPr>
          <w:fldChar w:fldCharType="begin"/>
        </w:r>
        <w:r w:rsidR="006D153C">
          <w:rPr>
            <w:noProof/>
            <w:webHidden/>
          </w:rPr>
          <w:instrText xml:space="preserve"> PAGEREF _Toc20991666 \h </w:instrText>
        </w:r>
        <w:r w:rsidR="006D153C">
          <w:rPr>
            <w:noProof/>
            <w:webHidden/>
          </w:rPr>
        </w:r>
        <w:r w:rsidR="006D153C">
          <w:rPr>
            <w:noProof/>
            <w:webHidden/>
          </w:rPr>
          <w:fldChar w:fldCharType="separate"/>
        </w:r>
        <w:r w:rsidR="006D153C">
          <w:rPr>
            <w:noProof/>
            <w:webHidden/>
          </w:rPr>
          <w:t>23</w:t>
        </w:r>
        <w:r w:rsidR="006D153C">
          <w:rPr>
            <w:noProof/>
            <w:webHidden/>
          </w:rPr>
          <w:fldChar w:fldCharType="end"/>
        </w:r>
      </w:hyperlink>
    </w:p>
    <w:p w14:paraId="17622985" w14:textId="07B784AD" w:rsidR="006D153C" w:rsidRDefault="000B05BA">
      <w:pPr>
        <w:pStyle w:val="TOC3"/>
        <w:rPr>
          <w:rFonts w:asciiTheme="minorHAnsi" w:eastAsiaTheme="minorEastAsia" w:hAnsiTheme="minorHAnsi" w:cstheme="minorBidi"/>
          <w:noProof/>
          <w:szCs w:val="22"/>
          <w:lang w:val="fr-FR" w:eastAsia="fr-FR"/>
        </w:rPr>
      </w:pPr>
      <w:hyperlink w:anchor="_Toc20991667" w:history="1">
        <w:r w:rsidR="006D153C" w:rsidRPr="005631D7">
          <w:rPr>
            <w:rStyle w:val="Hyperlink"/>
            <w:noProof/>
            <w:lang w:val="fr-FR"/>
          </w:rPr>
          <w:t>v)</w:t>
        </w:r>
        <w:r w:rsidR="006D153C">
          <w:rPr>
            <w:rFonts w:asciiTheme="minorHAnsi" w:eastAsiaTheme="minorEastAsia" w:hAnsiTheme="minorHAnsi" w:cstheme="minorBidi"/>
            <w:noProof/>
            <w:szCs w:val="22"/>
            <w:lang w:val="fr-FR" w:eastAsia="fr-FR"/>
          </w:rPr>
          <w:tab/>
        </w:r>
        <w:r w:rsidR="006D153C" w:rsidRPr="005631D7">
          <w:rPr>
            <w:rStyle w:val="Hyperlink"/>
            <w:noProof/>
            <w:lang w:val="fr-FR"/>
          </w:rPr>
          <w:t>Synergies avec les autres organisations</w:t>
        </w:r>
        <w:r w:rsidR="006D153C">
          <w:rPr>
            <w:noProof/>
            <w:webHidden/>
          </w:rPr>
          <w:tab/>
        </w:r>
        <w:r w:rsidR="006D153C">
          <w:rPr>
            <w:noProof/>
            <w:webHidden/>
          </w:rPr>
          <w:fldChar w:fldCharType="begin"/>
        </w:r>
        <w:r w:rsidR="006D153C">
          <w:rPr>
            <w:noProof/>
            <w:webHidden/>
          </w:rPr>
          <w:instrText xml:space="preserve"> PAGEREF _Toc20991667 \h </w:instrText>
        </w:r>
        <w:r w:rsidR="006D153C">
          <w:rPr>
            <w:noProof/>
            <w:webHidden/>
          </w:rPr>
        </w:r>
        <w:r w:rsidR="006D153C">
          <w:rPr>
            <w:noProof/>
            <w:webHidden/>
          </w:rPr>
          <w:fldChar w:fldCharType="separate"/>
        </w:r>
        <w:r w:rsidR="006D153C">
          <w:rPr>
            <w:noProof/>
            <w:webHidden/>
          </w:rPr>
          <w:t>23</w:t>
        </w:r>
        <w:r w:rsidR="006D153C">
          <w:rPr>
            <w:noProof/>
            <w:webHidden/>
          </w:rPr>
          <w:fldChar w:fldCharType="end"/>
        </w:r>
      </w:hyperlink>
    </w:p>
    <w:p w14:paraId="2BDF8F8F" w14:textId="5B8208C6" w:rsidR="006D153C" w:rsidRDefault="000B05BA">
      <w:pPr>
        <w:pStyle w:val="TOC2"/>
        <w:tabs>
          <w:tab w:val="left" w:pos="880"/>
          <w:tab w:val="right" w:leader="dot" w:pos="9345"/>
        </w:tabs>
        <w:rPr>
          <w:rFonts w:asciiTheme="minorHAnsi" w:eastAsiaTheme="minorEastAsia" w:hAnsiTheme="minorHAnsi" w:cstheme="minorBidi"/>
          <w:caps w:val="0"/>
          <w:noProof/>
          <w:szCs w:val="22"/>
          <w:lang w:val="fr-FR" w:eastAsia="fr-FR"/>
        </w:rPr>
      </w:pPr>
      <w:hyperlink w:anchor="_Toc20991668" w:history="1">
        <w:r w:rsidR="006D153C" w:rsidRPr="005631D7">
          <w:rPr>
            <w:rStyle w:val="Hyperlink"/>
            <w:noProof/>
            <w:lang w:val="fr-FR"/>
          </w:rPr>
          <w:t>E)</w:t>
        </w:r>
        <w:r w:rsidR="006D153C">
          <w:rPr>
            <w:rFonts w:asciiTheme="minorHAnsi" w:eastAsiaTheme="minorEastAsia" w:hAnsiTheme="minorHAnsi" w:cstheme="minorBidi"/>
            <w:caps w:val="0"/>
            <w:noProof/>
            <w:szCs w:val="22"/>
            <w:lang w:val="fr-FR" w:eastAsia="fr-FR"/>
          </w:rPr>
          <w:tab/>
        </w:r>
        <w:r w:rsidR="006D153C" w:rsidRPr="005631D7">
          <w:rPr>
            <w:rStyle w:val="Hyperlink"/>
            <w:noProof/>
            <w:lang w:val="fr-FR"/>
          </w:rPr>
          <w:t>Degré de viabilité des résultats</w:t>
        </w:r>
        <w:r w:rsidR="006D153C">
          <w:rPr>
            <w:noProof/>
            <w:webHidden/>
          </w:rPr>
          <w:tab/>
        </w:r>
        <w:r w:rsidR="006D153C">
          <w:rPr>
            <w:noProof/>
            <w:webHidden/>
          </w:rPr>
          <w:fldChar w:fldCharType="begin"/>
        </w:r>
        <w:r w:rsidR="006D153C">
          <w:rPr>
            <w:noProof/>
            <w:webHidden/>
          </w:rPr>
          <w:instrText xml:space="preserve"> PAGEREF _Toc20991668 \h </w:instrText>
        </w:r>
        <w:r w:rsidR="006D153C">
          <w:rPr>
            <w:noProof/>
            <w:webHidden/>
          </w:rPr>
        </w:r>
        <w:r w:rsidR="006D153C">
          <w:rPr>
            <w:noProof/>
            <w:webHidden/>
          </w:rPr>
          <w:fldChar w:fldCharType="separate"/>
        </w:r>
        <w:r w:rsidR="006D153C">
          <w:rPr>
            <w:noProof/>
            <w:webHidden/>
          </w:rPr>
          <w:t>24</w:t>
        </w:r>
        <w:r w:rsidR="006D153C">
          <w:rPr>
            <w:noProof/>
            <w:webHidden/>
          </w:rPr>
          <w:fldChar w:fldCharType="end"/>
        </w:r>
      </w:hyperlink>
    </w:p>
    <w:p w14:paraId="3A933C4A" w14:textId="3F67516B" w:rsidR="006D153C" w:rsidRDefault="000B05BA">
      <w:pPr>
        <w:pStyle w:val="TOC1"/>
        <w:tabs>
          <w:tab w:val="left" w:pos="440"/>
          <w:tab w:val="right" w:leader="dot" w:pos="9345"/>
        </w:tabs>
        <w:rPr>
          <w:rFonts w:asciiTheme="minorHAnsi" w:eastAsiaTheme="minorEastAsia" w:hAnsiTheme="minorHAnsi" w:cstheme="minorBidi"/>
          <w:b w:val="0"/>
          <w:caps w:val="0"/>
          <w:noProof/>
          <w:szCs w:val="22"/>
          <w:lang w:val="fr-FR" w:eastAsia="fr-FR"/>
        </w:rPr>
      </w:pPr>
      <w:hyperlink w:anchor="_Toc20991669" w:history="1">
        <w:r w:rsidR="006D153C" w:rsidRPr="005631D7">
          <w:rPr>
            <w:rStyle w:val="Hyperlink"/>
            <w:noProof/>
            <w:lang w:val="fr-FR"/>
          </w:rPr>
          <w:t>3.</w:t>
        </w:r>
        <w:r w:rsidR="006D153C">
          <w:rPr>
            <w:rFonts w:asciiTheme="minorHAnsi" w:eastAsiaTheme="minorEastAsia" w:hAnsiTheme="minorHAnsi" w:cstheme="minorBidi"/>
            <w:b w:val="0"/>
            <w:caps w:val="0"/>
            <w:noProof/>
            <w:szCs w:val="22"/>
            <w:lang w:val="fr-FR" w:eastAsia="fr-FR"/>
          </w:rPr>
          <w:tab/>
        </w:r>
        <w:r w:rsidR="006D153C" w:rsidRPr="005631D7">
          <w:rPr>
            <w:rStyle w:val="Hyperlink"/>
            <w:noProof/>
            <w:lang w:val="fr-FR"/>
          </w:rPr>
          <w:t>Conclusions</w:t>
        </w:r>
        <w:r w:rsidR="006D153C">
          <w:rPr>
            <w:noProof/>
            <w:webHidden/>
          </w:rPr>
          <w:tab/>
        </w:r>
        <w:r w:rsidR="006D153C">
          <w:rPr>
            <w:noProof/>
            <w:webHidden/>
          </w:rPr>
          <w:fldChar w:fldCharType="begin"/>
        </w:r>
        <w:r w:rsidR="006D153C">
          <w:rPr>
            <w:noProof/>
            <w:webHidden/>
          </w:rPr>
          <w:instrText xml:space="preserve"> PAGEREF _Toc20991669 \h </w:instrText>
        </w:r>
        <w:r w:rsidR="006D153C">
          <w:rPr>
            <w:noProof/>
            <w:webHidden/>
          </w:rPr>
        </w:r>
        <w:r w:rsidR="006D153C">
          <w:rPr>
            <w:noProof/>
            <w:webHidden/>
          </w:rPr>
          <w:fldChar w:fldCharType="separate"/>
        </w:r>
        <w:r w:rsidR="006D153C">
          <w:rPr>
            <w:noProof/>
            <w:webHidden/>
          </w:rPr>
          <w:t>24</w:t>
        </w:r>
        <w:r w:rsidR="006D153C">
          <w:rPr>
            <w:noProof/>
            <w:webHidden/>
          </w:rPr>
          <w:fldChar w:fldCharType="end"/>
        </w:r>
      </w:hyperlink>
    </w:p>
    <w:p w14:paraId="3D7CA678" w14:textId="13F2771B" w:rsidR="006D153C" w:rsidRDefault="000B05BA">
      <w:pPr>
        <w:pStyle w:val="TOC1"/>
        <w:tabs>
          <w:tab w:val="left" w:pos="440"/>
          <w:tab w:val="right" w:leader="dot" w:pos="9345"/>
        </w:tabs>
        <w:rPr>
          <w:rFonts w:asciiTheme="minorHAnsi" w:eastAsiaTheme="minorEastAsia" w:hAnsiTheme="minorHAnsi" w:cstheme="minorBidi"/>
          <w:b w:val="0"/>
          <w:caps w:val="0"/>
          <w:noProof/>
          <w:szCs w:val="22"/>
          <w:lang w:val="fr-FR" w:eastAsia="fr-FR"/>
        </w:rPr>
      </w:pPr>
      <w:hyperlink w:anchor="_Toc20991670" w:history="1">
        <w:r w:rsidR="006D153C" w:rsidRPr="005631D7">
          <w:rPr>
            <w:rStyle w:val="Hyperlink"/>
            <w:noProof/>
            <w:lang w:val="fr-FR"/>
          </w:rPr>
          <w:t>4.</w:t>
        </w:r>
        <w:r w:rsidR="006D153C">
          <w:rPr>
            <w:rFonts w:asciiTheme="minorHAnsi" w:eastAsiaTheme="minorEastAsia" w:hAnsiTheme="minorHAnsi" w:cstheme="minorBidi"/>
            <w:b w:val="0"/>
            <w:caps w:val="0"/>
            <w:noProof/>
            <w:szCs w:val="22"/>
            <w:lang w:val="fr-FR" w:eastAsia="fr-FR"/>
          </w:rPr>
          <w:tab/>
        </w:r>
        <w:r w:rsidR="006D153C" w:rsidRPr="005631D7">
          <w:rPr>
            <w:rStyle w:val="Hyperlink"/>
            <w:noProof/>
            <w:lang w:val="fr-FR"/>
          </w:rPr>
          <w:t>Recommandations</w:t>
        </w:r>
        <w:r w:rsidR="006D153C">
          <w:rPr>
            <w:noProof/>
            <w:webHidden/>
          </w:rPr>
          <w:tab/>
        </w:r>
        <w:r w:rsidR="006D153C">
          <w:rPr>
            <w:noProof/>
            <w:webHidden/>
          </w:rPr>
          <w:fldChar w:fldCharType="begin"/>
        </w:r>
        <w:r w:rsidR="006D153C">
          <w:rPr>
            <w:noProof/>
            <w:webHidden/>
          </w:rPr>
          <w:instrText xml:space="preserve"> PAGEREF _Toc20991670 \h </w:instrText>
        </w:r>
        <w:r w:rsidR="006D153C">
          <w:rPr>
            <w:noProof/>
            <w:webHidden/>
          </w:rPr>
        </w:r>
        <w:r w:rsidR="006D153C">
          <w:rPr>
            <w:noProof/>
            <w:webHidden/>
          </w:rPr>
          <w:fldChar w:fldCharType="separate"/>
        </w:r>
        <w:r w:rsidR="006D153C">
          <w:rPr>
            <w:noProof/>
            <w:webHidden/>
          </w:rPr>
          <w:t>27</w:t>
        </w:r>
        <w:r w:rsidR="006D153C">
          <w:rPr>
            <w:noProof/>
            <w:webHidden/>
          </w:rPr>
          <w:fldChar w:fldCharType="end"/>
        </w:r>
      </w:hyperlink>
    </w:p>
    <w:p w14:paraId="28C5D502" w14:textId="0C0D036C" w:rsidR="008968E7" w:rsidRPr="000F6A66" w:rsidRDefault="00A409C3" w:rsidP="006D153C">
      <w:pPr>
        <w:pStyle w:val="Heading1"/>
        <w:numPr>
          <w:ilvl w:val="0"/>
          <w:numId w:val="0"/>
        </w:numPr>
        <w:ind w:left="567" w:hanging="567"/>
        <w:rPr>
          <w:lang w:val="fr-FR"/>
        </w:rPr>
      </w:pPr>
      <w:r w:rsidRPr="000F6A66">
        <w:rPr>
          <w:lang w:val="fr-FR"/>
        </w:rPr>
        <w:lastRenderedPageBreak/>
        <w:fldChar w:fldCharType="end"/>
      </w:r>
      <w:bookmarkStart w:id="6" w:name="_Toc20991634"/>
      <w:r w:rsidR="00EA3A37" w:rsidRPr="000F6A66">
        <w:rPr>
          <w:lang w:val="fr-FR"/>
        </w:rPr>
        <w:t>Liste des sigles utilisés</w:t>
      </w:r>
      <w:bookmarkEnd w:id="6"/>
    </w:p>
    <w:p w14:paraId="4AE41BA3" w14:textId="77777777" w:rsidR="00675065" w:rsidRPr="000F6A66" w:rsidRDefault="00675065" w:rsidP="00675065">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7002"/>
      </w:tblGrid>
      <w:tr w:rsidR="00675065" w:rsidRPr="000F6A66" w14:paraId="7641C577" w14:textId="77777777" w:rsidTr="00564FBD">
        <w:tc>
          <w:tcPr>
            <w:tcW w:w="2343" w:type="dxa"/>
          </w:tcPr>
          <w:p w14:paraId="5F749BDC" w14:textId="77777777" w:rsidR="00675065" w:rsidRPr="000F6A66" w:rsidRDefault="00675065" w:rsidP="006075D7">
            <w:pPr>
              <w:jc w:val="both"/>
              <w:rPr>
                <w:b/>
                <w:bCs/>
                <w:lang w:val="fr-FR"/>
              </w:rPr>
            </w:pPr>
            <w:r w:rsidRPr="000F6A66">
              <w:rPr>
                <w:b/>
                <w:bCs/>
                <w:lang w:val="fr-FR"/>
              </w:rPr>
              <w:t>BIPA</w:t>
            </w:r>
          </w:p>
        </w:tc>
        <w:tc>
          <w:tcPr>
            <w:tcW w:w="7002" w:type="dxa"/>
          </w:tcPr>
          <w:p w14:paraId="178C23B0" w14:textId="77777777" w:rsidR="00675065" w:rsidRPr="000F6A66" w:rsidRDefault="00675065" w:rsidP="00675065">
            <w:pPr>
              <w:rPr>
                <w:lang w:val="fr-FR"/>
              </w:rPr>
            </w:pPr>
            <w:r w:rsidRPr="000F6A66">
              <w:rPr>
                <w:lang w:val="fr-FR"/>
              </w:rPr>
              <w:t>Autorité des affaires commerciales et de la propriété intellectuelle (Namibie)</w:t>
            </w:r>
          </w:p>
        </w:tc>
      </w:tr>
      <w:tr w:rsidR="00675065" w:rsidRPr="000F6A66" w14:paraId="7F4A5249" w14:textId="77777777" w:rsidTr="00564FBD">
        <w:tc>
          <w:tcPr>
            <w:tcW w:w="2343" w:type="dxa"/>
          </w:tcPr>
          <w:p w14:paraId="54415EB7" w14:textId="77777777" w:rsidR="00675065" w:rsidRPr="000F6A66" w:rsidRDefault="00675065" w:rsidP="00E170CA">
            <w:pPr>
              <w:jc w:val="both"/>
              <w:rPr>
                <w:b/>
                <w:bCs/>
                <w:lang w:val="fr-FR"/>
              </w:rPr>
            </w:pPr>
            <w:r w:rsidRPr="000F6A66">
              <w:rPr>
                <w:b/>
                <w:bCs/>
                <w:lang w:val="fr-FR"/>
              </w:rPr>
              <w:t>CNUCED</w:t>
            </w:r>
          </w:p>
        </w:tc>
        <w:tc>
          <w:tcPr>
            <w:tcW w:w="7002" w:type="dxa"/>
          </w:tcPr>
          <w:p w14:paraId="6ADB6F50" w14:textId="15B71C13" w:rsidR="00675065" w:rsidRPr="000F6A66" w:rsidRDefault="00675065" w:rsidP="00675065">
            <w:pPr>
              <w:rPr>
                <w:lang w:val="fr-FR"/>
              </w:rPr>
            </w:pPr>
            <w:r w:rsidRPr="000F6A66">
              <w:rPr>
                <w:lang w:val="fr-FR"/>
              </w:rPr>
              <w:t xml:space="preserve">Conférence des </w:t>
            </w:r>
            <w:r w:rsidR="001B04F7" w:rsidRPr="000F6A66">
              <w:rPr>
                <w:lang w:val="fr-FR"/>
              </w:rPr>
              <w:t>Nations Unies</w:t>
            </w:r>
            <w:r w:rsidRPr="000F6A66">
              <w:rPr>
                <w:lang w:val="fr-FR"/>
              </w:rPr>
              <w:t xml:space="preserve"> sur le commerce et le développement</w:t>
            </w:r>
          </w:p>
        </w:tc>
      </w:tr>
      <w:tr w:rsidR="00675065" w:rsidRPr="000F6A66" w14:paraId="6EFE160D" w14:textId="77777777" w:rsidTr="00564FBD">
        <w:tc>
          <w:tcPr>
            <w:tcW w:w="2343" w:type="dxa"/>
          </w:tcPr>
          <w:p w14:paraId="6143AF08" w14:textId="77777777" w:rsidR="00675065" w:rsidRPr="000F6A66" w:rsidRDefault="00675065" w:rsidP="006075D7">
            <w:pPr>
              <w:jc w:val="both"/>
              <w:rPr>
                <w:b/>
                <w:bCs/>
                <w:lang w:val="fr-FR"/>
              </w:rPr>
            </w:pPr>
            <w:r w:rsidRPr="000F6A66">
              <w:rPr>
                <w:b/>
                <w:bCs/>
                <w:lang w:val="fr-FR"/>
              </w:rPr>
              <w:t>ESPE</w:t>
            </w:r>
          </w:p>
        </w:tc>
        <w:tc>
          <w:tcPr>
            <w:tcW w:w="7002" w:type="dxa"/>
          </w:tcPr>
          <w:p w14:paraId="7C9EB120" w14:textId="77777777" w:rsidR="00675065" w:rsidRPr="000F6A66" w:rsidRDefault="00675065" w:rsidP="00675065">
            <w:pPr>
              <w:rPr>
                <w:lang w:val="fr-FR"/>
              </w:rPr>
            </w:pPr>
            <w:r w:rsidRPr="000F6A66">
              <w:rPr>
                <w:lang w:val="fr-FR"/>
              </w:rPr>
              <w:t>École polytechnique des forces armées</w:t>
            </w:r>
          </w:p>
        </w:tc>
      </w:tr>
      <w:tr w:rsidR="00675065" w:rsidRPr="000F6A66" w14:paraId="4DCD73E4" w14:textId="77777777" w:rsidTr="00564FBD">
        <w:tc>
          <w:tcPr>
            <w:tcW w:w="2343" w:type="dxa"/>
          </w:tcPr>
          <w:p w14:paraId="24A0F3A0" w14:textId="77777777" w:rsidR="00675065" w:rsidRPr="000F6A66" w:rsidRDefault="00675065" w:rsidP="00E170CA">
            <w:pPr>
              <w:jc w:val="both"/>
              <w:rPr>
                <w:b/>
                <w:bCs/>
                <w:lang w:val="fr-FR"/>
              </w:rPr>
            </w:pPr>
            <w:r w:rsidRPr="000F6A66">
              <w:rPr>
                <w:b/>
                <w:bCs/>
                <w:lang w:val="fr-FR"/>
              </w:rPr>
              <w:t>GNUE</w:t>
            </w:r>
          </w:p>
        </w:tc>
        <w:tc>
          <w:tcPr>
            <w:tcW w:w="7002" w:type="dxa"/>
          </w:tcPr>
          <w:p w14:paraId="4DAF0130" w14:textId="005B8621" w:rsidR="00675065" w:rsidRPr="000F6A66" w:rsidRDefault="00675065" w:rsidP="00675065">
            <w:pPr>
              <w:rPr>
                <w:lang w:val="fr-FR"/>
              </w:rPr>
            </w:pPr>
            <w:r w:rsidRPr="000F6A66">
              <w:rPr>
                <w:lang w:val="fr-FR"/>
              </w:rPr>
              <w:t xml:space="preserve">Groupe des </w:t>
            </w:r>
            <w:r w:rsidR="001B04F7" w:rsidRPr="000F6A66">
              <w:rPr>
                <w:lang w:val="fr-FR"/>
              </w:rPr>
              <w:t>Nations Unies</w:t>
            </w:r>
            <w:r w:rsidRPr="000F6A66">
              <w:rPr>
                <w:lang w:val="fr-FR"/>
              </w:rPr>
              <w:t xml:space="preserve"> pour l</w:t>
            </w:r>
            <w:r w:rsidR="001B04F7" w:rsidRPr="000F6A66">
              <w:rPr>
                <w:lang w:val="fr-FR"/>
              </w:rPr>
              <w:t>’</w:t>
            </w:r>
            <w:r w:rsidRPr="000F6A66">
              <w:rPr>
                <w:lang w:val="fr-FR"/>
              </w:rPr>
              <w:t>évaluation</w:t>
            </w:r>
          </w:p>
        </w:tc>
      </w:tr>
      <w:tr w:rsidR="00675065" w:rsidRPr="000F6A66" w14:paraId="1A614C6B" w14:textId="77777777" w:rsidTr="00564FBD">
        <w:tc>
          <w:tcPr>
            <w:tcW w:w="2343" w:type="dxa"/>
          </w:tcPr>
          <w:p w14:paraId="5DE3C96B" w14:textId="77777777" w:rsidR="00675065" w:rsidRPr="000F6A66" w:rsidRDefault="00675065" w:rsidP="00E170CA">
            <w:pPr>
              <w:jc w:val="both"/>
              <w:rPr>
                <w:b/>
                <w:bCs/>
                <w:lang w:val="fr-FR"/>
              </w:rPr>
            </w:pPr>
            <w:r w:rsidRPr="000F6A66">
              <w:rPr>
                <w:b/>
                <w:bCs/>
                <w:lang w:val="fr-FR"/>
              </w:rPr>
              <w:t>OCDE</w:t>
            </w:r>
          </w:p>
        </w:tc>
        <w:tc>
          <w:tcPr>
            <w:tcW w:w="7002" w:type="dxa"/>
          </w:tcPr>
          <w:p w14:paraId="06B2F4AD" w14:textId="77777777" w:rsidR="00675065" w:rsidRPr="000F6A66" w:rsidRDefault="00675065" w:rsidP="00675065">
            <w:pPr>
              <w:rPr>
                <w:lang w:val="fr-FR"/>
              </w:rPr>
            </w:pPr>
            <w:r w:rsidRPr="000F6A66">
              <w:rPr>
                <w:lang w:val="fr-FR"/>
              </w:rPr>
              <w:t>Organisation de coopération et de développement économiques</w:t>
            </w:r>
          </w:p>
        </w:tc>
      </w:tr>
      <w:tr w:rsidR="00675065" w:rsidRPr="000F6A66" w14:paraId="700F3F1E" w14:textId="77777777" w:rsidTr="00564FBD">
        <w:tc>
          <w:tcPr>
            <w:tcW w:w="2343" w:type="dxa"/>
          </w:tcPr>
          <w:p w14:paraId="21BD67DC" w14:textId="77777777" w:rsidR="00675065" w:rsidRPr="000F6A66" w:rsidRDefault="00675065" w:rsidP="006075D7">
            <w:pPr>
              <w:jc w:val="both"/>
              <w:rPr>
                <w:b/>
                <w:bCs/>
                <w:lang w:val="fr-FR"/>
              </w:rPr>
            </w:pPr>
            <w:r w:rsidRPr="000F6A66">
              <w:rPr>
                <w:b/>
                <w:bCs/>
                <w:lang w:val="fr-FR"/>
              </w:rPr>
              <w:t>OMC</w:t>
            </w:r>
          </w:p>
        </w:tc>
        <w:tc>
          <w:tcPr>
            <w:tcW w:w="7002" w:type="dxa"/>
          </w:tcPr>
          <w:p w14:paraId="7A46253B" w14:textId="77777777" w:rsidR="00675065" w:rsidRPr="000F6A66" w:rsidRDefault="00675065" w:rsidP="00675065">
            <w:pPr>
              <w:rPr>
                <w:lang w:val="fr-FR"/>
              </w:rPr>
            </w:pPr>
            <w:r w:rsidRPr="000F6A66">
              <w:rPr>
                <w:lang w:val="fr-FR"/>
              </w:rPr>
              <w:t>Organisation mondiale du commerce</w:t>
            </w:r>
          </w:p>
        </w:tc>
      </w:tr>
      <w:tr w:rsidR="00675065" w:rsidRPr="000F6A66" w14:paraId="56B914E7" w14:textId="77777777" w:rsidTr="00564FBD">
        <w:tc>
          <w:tcPr>
            <w:tcW w:w="2343" w:type="dxa"/>
          </w:tcPr>
          <w:p w14:paraId="13F55750" w14:textId="77777777" w:rsidR="00675065" w:rsidRPr="000F6A66" w:rsidRDefault="00675065" w:rsidP="006075D7">
            <w:pPr>
              <w:jc w:val="both"/>
              <w:rPr>
                <w:b/>
                <w:bCs/>
                <w:lang w:val="fr-FR"/>
              </w:rPr>
            </w:pPr>
            <w:r w:rsidRPr="000F6A66">
              <w:rPr>
                <w:b/>
                <w:bCs/>
                <w:lang w:val="fr-FR"/>
              </w:rPr>
              <w:t>OMPI</w:t>
            </w:r>
          </w:p>
        </w:tc>
        <w:tc>
          <w:tcPr>
            <w:tcW w:w="7002" w:type="dxa"/>
          </w:tcPr>
          <w:p w14:paraId="462363D1" w14:textId="77777777" w:rsidR="00675065" w:rsidRPr="000F6A66" w:rsidRDefault="00675065" w:rsidP="00675065">
            <w:pPr>
              <w:rPr>
                <w:lang w:val="fr-FR"/>
              </w:rPr>
            </w:pPr>
            <w:r w:rsidRPr="000F6A66">
              <w:rPr>
                <w:lang w:val="fr-FR"/>
              </w:rPr>
              <w:t>Organisation Mondiale de la Propriété Intellectuelle</w:t>
            </w:r>
          </w:p>
        </w:tc>
      </w:tr>
      <w:tr w:rsidR="00675065" w:rsidRPr="000F6A66" w14:paraId="205A13EB" w14:textId="77777777" w:rsidTr="00564FBD">
        <w:tc>
          <w:tcPr>
            <w:tcW w:w="2343" w:type="dxa"/>
          </w:tcPr>
          <w:p w14:paraId="1563C2CE" w14:textId="77777777" w:rsidR="00675065" w:rsidRPr="000F6A66" w:rsidRDefault="00675065" w:rsidP="006075D7">
            <w:pPr>
              <w:jc w:val="both"/>
              <w:rPr>
                <w:b/>
                <w:bCs/>
                <w:lang w:val="fr-FR"/>
              </w:rPr>
            </w:pPr>
            <w:r w:rsidRPr="000F6A66">
              <w:rPr>
                <w:b/>
                <w:bCs/>
                <w:lang w:val="fr-FR"/>
              </w:rPr>
              <w:t>OMS</w:t>
            </w:r>
          </w:p>
        </w:tc>
        <w:tc>
          <w:tcPr>
            <w:tcW w:w="7002" w:type="dxa"/>
          </w:tcPr>
          <w:p w14:paraId="2F3506FE" w14:textId="77777777" w:rsidR="00675065" w:rsidRPr="000F6A66" w:rsidRDefault="00675065" w:rsidP="00675065">
            <w:pPr>
              <w:rPr>
                <w:lang w:val="fr-FR"/>
              </w:rPr>
            </w:pPr>
            <w:r w:rsidRPr="000F6A66">
              <w:rPr>
                <w:lang w:val="fr-FR"/>
              </w:rPr>
              <w:t>Organisation mondiale de la Santé</w:t>
            </w:r>
          </w:p>
        </w:tc>
      </w:tr>
      <w:tr w:rsidR="00675065" w:rsidRPr="000F6A66" w14:paraId="5DFBD0CF" w14:textId="77777777" w:rsidTr="00564FBD">
        <w:tc>
          <w:tcPr>
            <w:tcW w:w="2343" w:type="dxa"/>
          </w:tcPr>
          <w:p w14:paraId="3ABAE973" w14:textId="77777777" w:rsidR="00675065" w:rsidRPr="000F6A66" w:rsidRDefault="00675065" w:rsidP="006075D7">
            <w:pPr>
              <w:jc w:val="both"/>
              <w:rPr>
                <w:b/>
                <w:bCs/>
                <w:lang w:val="fr-FR"/>
              </w:rPr>
            </w:pPr>
            <w:r w:rsidRPr="000F6A66">
              <w:rPr>
                <w:b/>
                <w:bCs/>
                <w:lang w:val="fr-FR"/>
              </w:rPr>
              <w:t>OMT</w:t>
            </w:r>
          </w:p>
        </w:tc>
        <w:tc>
          <w:tcPr>
            <w:tcW w:w="7002" w:type="dxa"/>
          </w:tcPr>
          <w:p w14:paraId="2F9ABAC4" w14:textId="77777777" w:rsidR="00675065" w:rsidRPr="000F6A66" w:rsidRDefault="00675065" w:rsidP="00675065">
            <w:pPr>
              <w:rPr>
                <w:lang w:val="fr-FR"/>
              </w:rPr>
            </w:pPr>
            <w:r w:rsidRPr="000F6A66">
              <w:rPr>
                <w:lang w:val="fr-FR"/>
              </w:rPr>
              <w:t>Organisation mondiale du tourisme</w:t>
            </w:r>
          </w:p>
        </w:tc>
      </w:tr>
      <w:tr w:rsidR="00675065" w:rsidRPr="000F6A66" w14:paraId="3EBDEA6E" w14:textId="77777777" w:rsidTr="00564FBD">
        <w:tc>
          <w:tcPr>
            <w:tcW w:w="2343" w:type="dxa"/>
          </w:tcPr>
          <w:p w14:paraId="20868CB6" w14:textId="77777777" w:rsidR="00675065" w:rsidRPr="000F6A66" w:rsidRDefault="00675065" w:rsidP="00E170CA">
            <w:pPr>
              <w:jc w:val="both"/>
              <w:rPr>
                <w:b/>
                <w:bCs/>
                <w:lang w:val="fr-FR"/>
              </w:rPr>
            </w:pPr>
            <w:r w:rsidRPr="000F6A66">
              <w:rPr>
                <w:b/>
                <w:bCs/>
                <w:lang w:val="fr-FR"/>
              </w:rPr>
              <w:t xml:space="preserve">ONUDI </w:t>
            </w:r>
          </w:p>
        </w:tc>
        <w:tc>
          <w:tcPr>
            <w:tcW w:w="7002" w:type="dxa"/>
          </w:tcPr>
          <w:p w14:paraId="64D0F117" w14:textId="5DD5302B" w:rsidR="00675065" w:rsidRPr="000F6A66" w:rsidRDefault="00675065" w:rsidP="00675065">
            <w:pPr>
              <w:rPr>
                <w:lang w:val="fr-FR"/>
              </w:rPr>
            </w:pPr>
            <w:r w:rsidRPr="000F6A66">
              <w:rPr>
                <w:lang w:val="fr-FR"/>
              </w:rPr>
              <w:t xml:space="preserve">Organisation des </w:t>
            </w:r>
            <w:r w:rsidR="001B04F7" w:rsidRPr="000F6A66">
              <w:rPr>
                <w:lang w:val="fr-FR"/>
              </w:rPr>
              <w:t>Nations Unies</w:t>
            </w:r>
            <w:r w:rsidRPr="000F6A66">
              <w:rPr>
                <w:lang w:val="fr-FR"/>
              </w:rPr>
              <w:t xml:space="preserve"> pour le développement industriel</w:t>
            </w:r>
          </w:p>
        </w:tc>
      </w:tr>
      <w:tr w:rsidR="00675065" w:rsidRPr="000F6A66" w14:paraId="34579837" w14:textId="77777777" w:rsidTr="00564FBD">
        <w:tc>
          <w:tcPr>
            <w:tcW w:w="2343" w:type="dxa"/>
          </w:tcPr>
          <w:p w14:paraId="16D74718" w14:textId="77777777" w:rsidR="00675065" w:rsidRPr="000F6A66" w:rsidRDefault="00675065" w:rsidP="00E170CA">
            <w:pPr>
              <w:jc w:val="both"/>
              <w:rPr>
                <w:b/>
                <w:bCs/>
                <w:lang w:val="fr-FR"/>
              </w:rPr>
            </w:pPr>
            <w:r w:rsidRPr="000F6A66">
              <w:rPr>
                <w:b/>
                <w:bCs/>
                <w:lang w:val="fr-FR"/>
              </w:rPr>
              <w:t>PNUE</w:t>
            </w:r>
          </w:p>
        </w:tc>
        <w:tc>
          <w:tcPr>
            <w:tcW w:w="7002" w:type="dxa"/>
          </w:tcPr>
          <w:p w14:paraId="5BCF21FC" w14:textId="61ECB81E" w:rsidR="00675065" w:rsidRPr="000F6A66" w:rsidRDefault="00675065" w:rsidP="00675065">
            <w:pPr>
              <w:rPr>
                <w:lang w:val="fr-FR"/>
              </w:rPr>
            </w:pPr>
            <w:r w:rsidRPr="000F6A66">
              <w:rPr>
                <w:lang w:val="fr-FR"/>
              </w:rPr>
              <w:t xml:space="preserve">Programme des </w:t>
            </w:r>
            <w:r w:rsidR="001B04F7" w:rsidRPr="000F6A66">
              <w:rPr>
                <w:lang w:val="fr-FR"/>
              </w:rPr>
              <w:t>Nations Unies</w:t>
            </w:r>
            <w:r w:rsidRPr="000F6A66">
              <w:rPr>
                <w:lang w:val="fr-FR"/>
              </w:rPr>
              <w:t xml:space="preserve"> pour l</w:t>
            </w:r>
            <w:r w:rsidR="001B04F7" w:rsidRPr="000F6A66">
              <w:rPr>
                <w:lang w:val="fr-FR"/>
              </w:rPr>
              <w:t>’</w:t>
            </w:r>
            <w:r w:rsidRPr="000F6A66">
              <w:rPr>
                <w:lang w:val="fr-FR"/>
              </w:rPr>
              <w:t>environnement</w:t>
            </w:r>
          </w:p>
        </w:tc>
      </w:tr>
      <w:tr w:rsidR="00675065" w:rsidRPr="000F6A66" w14:paraId="507481A7" w14:textId="77777777" w:rsidTr="00564FBD">
        <w:tc>
          <w:tcPr>
            <w:tcW w:w="2343" w:type="dxa"/>
          </w:tcPr>
          <w:p w14:paraId="1F773D64" w14:textId="77777777" w:rsidR="00675065" w:rsidRPr="000F6A66" w:rsidRDefault="00675065" w:rsidP="006075D7">
            <w:pPr>
              <w:jc w:val="both"/>
              <w:rPr>
                <w:b/>
                <w:bCs/>
                <w:lang w:val="fr-FR"/>
              </w:rPr>
            </w:pPr>
            <w:r w:rsidRPr="000F6A66">
              <w:rPr>
                <w:b/>
                <w:bCs/>
                <w:lang w:val="fr-FR"/>
              </w:rPr>
              <w:t>SENADI</w:t>
            </w:r>
          </w:p>
        </w:tc>
        <w:tc>
          <w:tcPr>
            <w:tcW w:w="7002" w:type="dxa"/>
          </w:tcPr>
          <w:p w14:paraId="3C7ADCC7" w14:textId="77777777" w:rsidR="00675065" w:rsidRPr="000F6A66" w:rsidRDefault="00675065" w:rsidP="00675065">
            <w:pPr>
              <w:rPr>
                <w:lang w:val="fr-FR"/>
              </w:rPr>
            </w:pPr>
            <w:r w:rsidRPr="000F6A66">
              <w:rPr>
                <w:lang w:val="fr-FR"/>
              </w:rPr>
              <w:t>Service national des droits intellectuels (Équateur)</w:t>
            </w:r>
          </w:p>
        </w:tc>
      </w:tr>
      <w:tr w:rsidR="00675065" w:rsidRPr="000F6A66" w14:paraId="1DE6C770" w14:textId="77777777" w:rsidTr="00564FBD">
        <w:tc>
          <w:tcPr>
            <w:tcW w:w="2343" w:type="dxa"/>
          </w:tcPr>
          <w:p w14:paraId="209EC8D3" w14:textId="77777777" w:rsidR="00675065" w:rsidRPr="000F6A66" w:rsidRDefault="00675065" w:rsidP="006075D7">
            <w:pPr>
              <w:jc w:val="both"/>
              <w:rPr>
                <w:b/>
                <w:bCs/>
                <w:lang w:val="fr-FR"/>
              </w:rPr>
            </w:pPr>
            <w:r w:rsidRPr="000F6A66">
              <w:rPr>
                <w:b/>
                <w:bCs/>
                <w:lang w:val="fr-FR"/>
              </w:rPr>
              <w:t>SLTDA</w:t>
            </w:r>
          </w:p>
        </w:tc>
        <w:tc>
          <w:tcPr>
            <w:tcW w:w="7002" w:type="dxa"/>
          </w:tcPr>
          <w:p w14:paraId="068B0260" w14:textId="4D7E26EA" w:rsidR="00675065" w:rsidRPr="000F6A66" w:rsidRDefault="00675065" w:rsidP="00675065">
            <w:pPr>
              <w:rPr>
                <w:lang w:val="fr-FR"/>
              </w:rPr>
            </w:pPr>
            <w:r w:rsidRPr="000F6A66">
              <w:rPr>
                <w:lang w:val="fr-FR"/>
              </w:rPr>
              <w:t>Autorité du développement du tourisme (Sri</w:t>
            </w:r>
            <w:r w:rsidR="004C05D1" w:rsidRPr="000F6A66">
              <w:rPr>
                <w:lang w:val="fr-FR"/>
              </w:rPr>
              <w:t> </w:t>
            </w:r>
            <w:r w:rsidRPr="000F6A66">
              <w:rPr>
                <w:lang w:val="fr-FR"/>
              </w:rPr>
              <w:t>Lanka)</w:t>
            </w:r>
          </w:p>
        </w:tc>
      </w:tr>
      <w:tr w:rsidR="00675065" w:rsidRPr="000F6A66" w14:paraId="282A553B" w14:textId="77777777" w:rsidTr="00564FBD">
        <w:tc>
          <w:tcPr>
            <w:tcW w:w="2343" w:type="dxa"/>
          </w:tcPr>
          <w:p w14:paraId="397DCDC2" w14:textId="77777777" w:rsidR="00675065" w:rsidRPr="000F6A66" w:rsidRDefault="00675065" w:rsidP="006075D7">
            <w:pPr>
              <w:jc w:val="both"/>
              <w:rPr>
                <w:b/>
                <w:bCs/>
                <w:lang w:val="fr-FR"/>
              </w:rPr>
            </w:pPr>
            <w:r w:rsidRPr="000F6A66">
              <w:rPr>
                <w:b/>
                <w:bCs/>
                <w:lang w:val="fr-FR"/>
              </w:rPr>
              <w:t>UNESCO</w:t>
            </w:r>
          </w:p>
        </w:tc>
        <w:tc>
          <w:tcPr>
            <w:tcW w:w="7002" w:type="dxa"/>
          </w:tcPr>
          <w:p w14:paraId="2A4B5C8D" w14:textId="771CFC12" w:rsidR="00675065" w:rsidRPr="000F6A66" w:rsidRDefault="00675065" w:rsidP="00675065">
            <w:pPr>
              <w:rPr>
                <w:lang w:val="fr-FR"/>
              </w:rPr>
            </w:pPr>
            <w:r w:rsidRPr="000F6A66">
              <w:rPr>
                <w:lang w:val="fr-FR"/>
              </w:rPr>
              <w:t xml:space="preserve">Organisation des </w:t>
            </w:r>
            <w:r w:rsidR="001B04F7" w:rsidRPr="000F6A66">
              <w:rPr>
                <w:lang w:val="fr-FR"/>
              </w:rPr>
              <w:t>Nations Unies</w:t>
            </w:r>
            <w:r w:rsidRPr="000F6A66">
              <w:rPr>
                <w:lang w:val="fr-FR"/>
              </w:rPr>
              <w:t xml:space="preserve"> pour l</w:t>
            </w:r>
            <w:r w:rsidR="001B04F7" w:rsidRPr="000F6A66">
              <w:rPr>
                <w:lang w:val="fr-FR"/>
              </w:rPr>
              <w:t>’</w:t>
            </w:r>
            <w:r w:rsidRPr="000F6A66">
              <w:rPr>
                <w:lang w:val="fr-FR"/>
              </w:rPr>
              <w:t>éducation, la science et la culture</w:t>
            </w:r>
          </w:p>
        </w:tc>
      </w:tr>
    </w:tbl>
    <w:p w14:paraId="05F9C819" w14:textId="77777777" w:rsidR="001C1D6B" w:rsidRPr="000F6A66" w:rsidRDefault="001C1D6B" w:rsidP="006075D7">
      <w:pPr>
        <w:jc w:val="both"/>
        <w:rPr>
          <w:lang w:val="fr-FR"/>
        </w:rPr>
      </w:pPr>
    </w:p>
    <w:p w14:paraId="34829DF7" w14:textId="77777777" w:rsidR="001C1D6B" w:rsidRPr="000F6A66" w:rsidRDefault="008968E7" w:rsidP="006075D7">
      <w:pPr>
        <w:jc w:val="both"/>
        <w:rPr>
          <w:lang w:val="fr-FR"/>
        </w:rPr>
      </w:pPr>
      <w:r w:rsidRPr="000F6A66">
        <w:rPr>
          <w:lang w:val="fr-FR"/>
        </w:rPr>
        <w:br w:type="page"/>
      </w:r>
    </w:p>
    <w:p w14:paraId="2C901737" w14:textId="174855B6" w:rsidR="001C1D6B" w:rsidRPr="000F6A66" w:rsidRDefault="00675065" w:rsidP="00675065">
      <w:pPr>
        <w:pStyle w:val="Heading1"/>
        <w:numPr>
          <w:ilvl w:val="0"/>
          <w:numId w:val="0"/>
        </w:numPr>
        <w:ind w:left="567" w:hanging="567"/>
        <w:rPr>
          <w:lang w:val="fr-FR"/>
        </w:rPr>
      </w:pPr>
      <w:bookmarkStart w:id="7" w:name="_Toc20991635"/>
      <w:r w:rsidRPr="000F6A66">
        <w:rPr>
          <w:lang w:val="fr-FR"/>
        </w:rPr>
        <w:lastRenderedPageBreak/>
        <w:t>Résumé</w:t>
      </w:r>
      <w:bookmarkEnd w:id="7"/>
    </w:p>
    <w:p w14:paraId="4D0CE0BD" w14:textId="77777777" w:rsidR="00675065" w:rsidRPr="000F6A66" w:rsidRDefault="00675065" w:rsidP="00675065">
      <w:pPr>
        <w:rPr>
          <w:lang w:val="fr-FR"/>
        </w:rPr>
      </w:pPr>
    </w:p>
    <w:p w14:paraId="1885492C" w14:textId="65015575" w:rsidR="001C1D6B" w:rsidRPr="000F6A66" w:rsidRDefault="00985CE7" w:rsidP="00675065">
      <w:pPr>
        <w:pStyle w:val="ONUMFS"/>
        <w:numPr>
          <w:ilvl w:val="0"/>
          <w:numId w:val="0"/>
        </w:numPr>
        <w:rPr>
          <w:lang w:val="fr-FR"/>
        </w:rPr>
      </w:pPr>
      <w:r w:rsidRPr="000F6A66">
        <w:rPr>
          <w:lang w:val="fr-FR"/>
        </w:rPr>
        <w:t>L</w:t>
      </w:r>
      <w:r w:rsidR="001B04F7" w:rsidRPr="000F6A66">
        <w:rPr>
          <w:lang w:val="fr-FR"/>
        </w:rPr>
        <w:t>’</w:t>
      </w:r>
      <w:r w:rsidRPr="000F6A66">
        <w:rPr>
          <w:lang w:val="fr-FR"/>
        </w:rPr>
        <w:t>év</w:t>
      </w:r>
      <w:r w:rsidR="00AF3C75" w:rsidRPr="000F6A66">
        <w:rPr>
          <w:lang w:val="fr-FR"/>
        </w:rPr>
        <w:t>aluation finale indépendante (ci</w:t>
      </w:r>
      <w:r w:rsidR="001B04F7" w:rsidRPr="000F6A66">
        <w:rPr>
          <w:lang w:val="fr-FR"/>
        </w:rPr>
        <w:t>-</w:t>
      </w:r>
      <w:r w:rsidR="00AF3C75" w:rsidRPr="000F6A66">
        <w:rPr>
          <w:lang w:val="fr-FR"/>
        </w:rPr>
        <w:t>après dénommée “</w:t>
      </w:r>
      <w:r w:rsidRPr="000F6A66">
        <w:rPr>
          <w:lang w:val="fr-FR"/>
        </w:rPr>
        <w:t xml:space="preserve">évaluation”) </w:t>
      </w:r>
      <w:r w:rsidR="008637DC" w:rsidRPr="000F6A66">
        <w:rPr>
          <w:lang w:val="fr-FR"/>
        </w:rPr>
        <w:t>concerne</w:t>
      </w:r>
      <w:r w:rsidRPr="000F6A66">
        <w:rPr>
          <w:lang w:val="fr-FR"/>
        </w:rPr>
        <w:t xml:space="preserve"> le projet </w:t>
      </w:r>
      <w:r w:rsidR="008637DC" w:rsidRPr="000F6A66">
        <w:rPr>
          <w:lang w:val="fr-FR"/>
        </w:rPr>
        <w:t xml:space="preserve">intitulé </w:t>
      </w:r>
      <w:r w:rsidRPr="000F6A66">
        <w:rPr>
          <w:lang w:val="fr-FR"/>
        </w:rPr>
        <w:t>“Propriété intellectuelle, tourisme et culture</w:t>
      </w:r>
      <w:r w:rsidR="001B04F7" w:rsidRPr="000F6A66">
        <w:rPr>
          <w:lang w:val="fr-FR"/>
        </w:rPr>
        <w:t> :</w:t>
      </w:r>
      <w:r w:rsidRPr="000F6A66">
        <w:rPr>
          <w:lang w:val="fr-FR"/>
        </w:rPr>
        <w:t xml:space="preserve"> contribution aux objectifs de développement et promotion du patrimoine culturel en Égypte et dans d</w:t>
      </w:r>
      <w:r w:rsidR="001B04F7" w:rsidRPr="000F6A66">
        <w:rPr>
          <w:lang w:val="fr-FR"/>
        </w:rPr>
        <w:t>’</w:t>
      </w:r>
      <w:r w:rsidRPr="000F6A66">
        <w:rPr>
          <w:lang w:val="fr-FR"/>
        </w:rPr>
        <w:t>autres pays en développement” (code de projet</w:t>
      </w:r>
      <w:r w:rsidR="0019339C" w:rsidRPr="000F6A66">
        <w:rPr>
          <w:lang w:val="fr-FR"/>
        </w:rPr>
        <w:t> </w:t>
      </w:r>
      <w:r w:rsidRPr="000F6A66">
        <w:rPr>
          <w:lang w:val="fr-FR"/>
        </w:rPr>
        <w:t>DA_01_10_12_40_01) mené au titre du Plan d</w:t>
      </w:r>
      <w:r w:rsidR="001B04F7" w:rsidRPr="000F6A66">
        <w:rPr>
          <w:lang w:val="fr-FR"/>
        </w:rPr>
        <w:t>’</w:t>
      </w:r>
      <w:r w:rsidRPr="000F6A66">
        <w:rPr>
          <w:lang w:val="fr-FR"/>
        </w:rPr>
        <w:t>action pour le développement, ci</w:t>
      </w:r>
      <w:r w:rsidR="001B04F7" w:rsidRPr="000F6A66">
        <w:rPr>
          <w:lang w:val="fr-FR"/>
        </w:rPr>
        <w:t>-</w:t>
      </w:r>
      <w:r w:rsidRPr="000F6A66">
        <w:rPr>
          <w:lang w:val="fr-FR"/>
        </w:rPr>
        <w:t>après dénommé “projet”.</w:t>
      </w:r>
    </w:p>
    <w:p w14:paraId="70492872" w14:textId="0B9713C0" w:rsidR="001C1D6B" w:rsidRPr="000F6A66" w:rsidRDefault="00753F04" w:rsidP="00675065">
      <w:pPr>
        <w:pStyle w:val="ONUMFS"/>
        <w:numPr>
          <w:ilvl w:val="0"/>
          <w:numId w:val="0"/>
        </w:numPr>
        <w:rPr>
          <w:lang w:val="fr-FR"/>
        </w:rPr>
      </w:pPr>
      <w:r w:rsidRPr="000F6A66">
        <w:rPr>
          <w:lang w:val="fr-FR"/>
        </w:rPr>
        <w:t>Fondé sur une proposition présentée par la République arabe d</w:t>
      </w:r>
      <w:r w:rsidR="001B04F7" w:rsidRPr="000F6A66">
        <w:rPr>
          <w:lang w:val="fr-FR"/>
        </w:rPr>
        <w:t>’</w:t>
      </w:r>
      <w:r w:rsidRPr="000F6A66">
        <w:rPr>
          <w:lang w:val="fr-FR"/>
        </w:rPr>
        <w:t>Égypte (</w:t>
      </w:r>
      <w:r w:rsidR="00AD2D1A" w:rsidRPr="000F6A66">
        <w:rPr>
          <w:lang w:val="fr-FR"/>
        </w:rPr>
        <w:t>“</w:t>
      </w:r>
      <w:r w:rsidRPr="000F6A66">
        <w:rPr>
          <w:lang w:val="fr-FR"/>
        </w:rPr>
        <w:t>Égypte”), le projet a permis de fournir un appui dans trois</w:t>
      </w:r>
      <w:r w:rsidR="004C05D1" w:rsidRPr="000F6A66">
        <w:rPr>
          <w:lang w:val="fr-FR"/>
        </w:rPr>
        <w:t> </w:t>
      </w:r>
      <w:r w:rsidRPr="000F6A66">
        <w:rPr>
          <w:lang w:val="fr-FR"/>
        </w:rPr>
        <w:t>domaines</w:t>
      </w:r>
      <w:r w:rsidR="001B04F7" w:rsidRPr="000F6A66">
        <w:rPr>
          <w:lang w:val="fr-FR"/>
        </w:rPr>
        <w:t> :</w:t>
      </w:r>
      <w:r w:rsidRPr="000F6A66">
        <w:rPr>
          <w:lang w:val="fr-FR"/>
        </w:rPr>
        <w:t xml:space="preserve"> études économiques examinant le lien entre la propriété intellectuelle et le tourisme</w:t>
      </w:r>
      <w:r w:rsidR="008637DC" w:rsidRPr="000F6A66">
        <w:rPr>
          <w:lang w:val="fr-FR"/>
        </w:rPr>
        <w:t>;  renforcement d</w:t>
      </w:r>
      <w:r w:rsidR="00AF3C75" w:rsidRPr="000F6A66">
        <w:rPr>
          <w:lang w:val="fr-FR"/>
        </w:rPr>
        <w:t xml:space="preserve">es </w:t>
      </w:r>
      <w:r w:rsidRPr="000F6A66">
        <w:rPr>
          <w:lang w:val="fr-FR"/>
        </w:rPr>
        <w:t xml:space="preserve">offices de propriété intellectuelle </w:t>
      </w:r>
      <w:r w:rsidR="008637DC" w:rsidRPr="000F6A66">
        <w:rPr>
          <w:lang w:val="fr-FR"/>
        </w:rPr>
        <w:t xml:space="preserve">sélectionnés </w:t>
      </w:r>
      <w:r w:rsidR="00AF3C75" w:rsidRPr="000F6A66">
        <w:rPr>
          <w:lang w:val="fr-FR"/>
        </w:rPr>
        <w:t>afin de</w:t>
      </w:r>
      <w:r w:rsidRPr="000F6A66">
        <w:rPr>
          <w:lang w:val="fr-FR"/>
        </w:rPr>
        <w:t xml:space="preserve"> fournir un</w:t>
      </w:r>
      <w:r w:rsidR="008637DC" w:rsidRPr="000F6A66">
        <w:rPr>
          <w:lang w:val="fr-FR"/>
        </w:rPr>
        <w:t xml:space="preserve"> appui </w:t>
      </w:r>
      <w:r w:rsidRPr="000F6A66">
        <w:rPr>
          <w:lang w:val="fr-FR"/>
        </w:rPr>
        <w:t>au secteur du tourisme</w:t>
      </w:r>
      <w:r w:rsidR="008637DC" w:rsidRPr="000F6A66">
        <w:rPr>
          <w:lang w:val="fr-FR"/>
        </w:rPr>
        <w:t xml:space="preserve">; </w:t>
      </w:r>
      <w:r w:rsidRPr="000F6A66">
        <w:rPr>
          <w:lang w:val="fr-FR"/>
        </w:rPr>
        <w:t xml:space="preserve"> et </w:t>
      </w:r>
      <w:r w:rsidR="008637DC" w:rsidRPr="000F6A66">
        <w:rPr>
          <w:lang w:val="fr-FR"/>
        </w:rPr>
        <w:t xml:space="preserve">intégration de cours sur </w:t>
      </w:r>
      <w:r w:rsidRPr="000F6A66">
        <w:rPr>
          <w:lang w:val="fr-FR"/>
        </w:rPr>
        <w:t>la propriété intellectuelle dans l</w:t>
      </w:r>
      <w:r w:rsidR="001B04F7" w:rsidRPr="000F6A66">
        <w:rPr>
          <w:lang w:val="fr-FR"/>
        </w:rPr>
        <w:t>’</w:t>
      </w:r>
      <w:r w:rsidR="008637DC" w:rsidRPr="000F6A66">
        <w:rPr>
          <w:lang w:val="fr-FR"/>
        </w:rPr>
        <w:t>enseignement relatif au tourisme</w:t>
      </w:r>
      <w:r w:rsidRPr="000F6A66">
        <w:rPr>
          <w:lang w:val="fr-FR"/>
        </w:rPr>
        <w:t xml:space="preserve"> (écoles de tourisme et universit</w:t>
      </w:r>
      <w:r w:rsidR="00655442" w:rsidRPr="000F6A66">
        <w:rPr>
          <w:lang w:val="fr-FR"/>
        </w:rPr>
        <w:t>és).  Le</w:t>
      </w:r>
      <w:r w:rsidR="00DF227F" w:rsidRPr="000F6A66">
        <w:rPr>
          <w:lang w:val="fr-FR"/>
        </w:rPr>
        <w:t xml:space="preserve"> projet a essentiellement concerné</w:t>
      </w:r>
      <w:r w:rsidRPr="000F6A66">
        <w:rPr>
          <w:lang w:val="fr-FR"/>
        </w:rPr>
        <w:t xml:space="preserve"> quatre</w:t>
      </w:r>
      <w:r w:rsidR="004C05D1" w:rsidRPr="000F6A66">
        <w:rPr>
          <w:lang w:val="fr-FR"/>
        </w:rPr>
        <w:t> </w:t>
      </w:r>
      <w:r w:rsidRPr="000F6A66">
        <w:rPr>
          <w:lang w:val="fr-FR"/>
        </w:rPr>
        <w:t xml:space="preserve">pays sélectionnés </w:t>
      </w:r>
      <w:r w:rsidR="005C68C2" w:rsidRPr="000F6A66">
        <w:rPr>
          <w:lang w:val="fr-FR"/>
        </w:rPr>
        <w:t xml:space="preserve">lors de </w:t>
      </w:r>
      <w:r w:rsidRPr="000F6A66">
        <w:rPr>
          <w:lang w:val="fr-FR"/>
        </w:rPr>
        <w:t>la mise en œuvre</w:t>
      </w:r>
      <w:r w:rsidR="001B04F7" w:rsidRPr="000F6A66">
        <w:rPr>
          <w:lang w:val="fr-FR"/>
        </w:rPr>
        <w:t> :</w:t>
      </w:r>
      <w:r w:rsidRPr="000F6A66">
        <w:rPr>
          <w:lang w:val="fr-FR"/>
        </w:rPr>
        <w:t xml:space="preserve"> Égypte, </w:t>
      </w:r>
      <w:r w:rsidR="008637DC" w:rsidRPr="000F6A66">
        <w:rPr>
          <w:lang w:val="fr-FR"/>
        </w:rPr>
        <w:t xml:space="preserve">Équateur, </w:t>
      </w:r>
      <w:r w:rsidRPr="000F6A66">
        <w:rPr>
          <w:lang w:val="fr-FR"/>
        </w:rPr>
        <w:t>Namibie et Sri</w:t>
      </w:r>
      <w:r w:rsidR="004C05D1" w:rsidRPr="000F6A66">
        <w:rPr>
          <w:lang w:val="fr-FR"/>
        </w:rPr>
        <w:t> </w:t>
      </w:r>
      <w:r w:rsidRPr="000F6A66">
        <w:rPr>
          <w:lang w:val="fr-FR"/>
        </w:rPr>
        <w:t>Lanka.</w:t>
      </w:r>
    </w:p>
    <w:p w14:paraId="6E5C9CD6" w14:textId="1062CF2A" w:rsidR="001C1D6B" w:rsidRPr="000F6A66" w:rsidRDefault="0033516F" w:rsidP="00675065">
      <w:pPr>
        <w:pStyle w:val="ONUMFS"/>
        <w:numPr>
          <w:ilvl w:val="0"/>
          <w:numId w:val="0"/>
        </w:numPr>
        <w:rPr>
          <w:lang w:val="fr-FR"/>
        </w:rPr>
      </w:pPr>
      <w:bookmarkStart w:id="8" w:name="_Hlk18673068"/>
      <w:r w:rsidRPr="000F6A66">
        <w:rPr>
          <w:iCs/>
          <w:szCs w:val="22"/>
          <w:lang w:val="fr-FR"/>
        </w:rPr>
        <w:t>D</w:t>
      </w:r>
      <w:r w:rsidR="001B04F7" w:rsidRPr="000F6A66">
        <w:rPr>
          <w:iCs/>
          <w:szCs w:val="22"/>
          <w:lang w:val="fr-FR"/>
        </w:rPr>
        <w:t>’</w:t>
      </w:r>
      <w:r w:rsidRPr="000F6A66">
        <w:rPr>
          <w:iCs/>
          <w:szCs w:val="22"/>
          <w:lang w:val="fr-FR"/>
        </w:rPr>
        <w:t>après le rapport relatif à l</w:t>
      </w:r>
      <w:r w:rsidR="001B04F7" w:rsidRPr="000F6A66">
        <w:rPr>
          <w:iCs/>
          <w:szCs w:val="22"/>
          <w:lang w:val="fr-FR"/>
        </w:rPr>
        <w:t>’</w:t>
      </w:r>
      <w:r w:rsidRPr="000F6A66">
        <w:rPr>
          <w:iCs/>
          <w:szCs w:val="22"/>
          <w:lang w:val="fr-FR"/>
        </w:rPr>
        <w:t>achèvement du projet, le taux d</w:t>
      </w:r>
      <w:r w:rsidR="001B04F7" w:rsidRPr="000F6A66">
        <w:rPr>
          <w:iCs/>
          <w:szCs w:val="22"/>
          <w:lang w:val="fr-FR"/>
        </w:rPr>
        <w:t>’</w:t>
      </w:r>
      <w:r w:rsidRPr="000F6A66">
        <w:rPr>
          <w:iCs/>
          <w:szCs w:val="22"/>
          <w:lang w:val="fr-FR"/>
        </w:rPr>
        <w:t>utilisation du budget à la fin du mois de juillet</w:t>
      </w:r>
      <w:r w:rsidR="0019339C" w:rsidRPr="000F6A66">
        <w:rPr>
          <w:iCs/>
          <w:szCs w:val="22"/>
          <w:lang w:val="fr-FR"/>
        </w:rPr>
        <w:t> </w:t>
      </w:r>
      <w:r w:rsidRPr="000F6A66">
        <w:rPr>
          <w:iCs/>
          <w:szCs w:val="22"/>
          <w:lang w:val="fr-FR"/>
        </w:rPr>
        <w:t xml:space="preserve">2019 </w:t>
      </w:r>
      <w:r w:rsidR="00DF227F" w:rsidRPr="000F6A66">
        <w:rPr>
          <w:iCs/>
          <w:szCs w:val="22"/>
          <w:lang w:val="fr-FR"/>
        </w:rPr>
        <w:t>était</w:t>
      </w:r>
      <w:r w:rsidR="005C68C2" w:rsidRPr="000F6A66">
        <w:rPr>
          <w:iCs/>
          <w:szCs w:val="22"/>
          <w:lang w:val="fr-FR"/>
        </w:rPr>
        <w:t xml:space="preserve"> de</w:t>
      </w:r>
      <w:r w:rsidRPr="000F6A66">
        <w:rPr>
          <w:iCs/>
          <w:szCs w:val="22"/>
          <w:lang w:val="fr-FR"/>
        </w:rPr>
        <w:t xml:space="preserve"> 91%.</w:t>
      </w:r>
      <w:r w:rsidR="00840FDC" w:rsidRPr="000F6A66">
        <w:rPr>
          <w:iCs/>
          <w:szCs w:val="22"/>
          <w:lang w:val="fr-FR"/>
        </w:rPr>
        <w:t xml:space="preserve"> </w:t>
      </w:r>
      <w:bookmarkEnd w:id="8"/>
      <w:r w:rsidR="0019339C" w:rsidRPr="000F6A66">
        <w:rPr>
          <w:iCs/>
          <w:szCs w:val="22"/>
          <w:lang w:val="fr-FR"/>
        </w:rPr>
        <w:t xml:space="preserve"> L</w:t>
      </w:r>
      <w:r w:rsidRPr="000F6A66">
        <w:rPr>
          <w:iCs/>
          <w:szCs w:val="22"/>
          <w:lang w:val="fr-FR"/>
        </w:rPr>
        <w:t>e 19 août 2019, 305 662</w:t>
      </w:r>
      <w:r w:rsidR="0019339C" w:rsidRPr="000F6A66">
        <w:rPr>
          <w:iCs/>
          <w:szCs w:val="22"/>
          <w:lang w:val="fr-FR"/>
        </w:rPr>
        <w:t> </w:t>
      </w:r>
      <w:r w:rsidRPr="000F6A66">
        <w:rPr>
          <w:iCs/>
          <w:szCs w:val="22"/>
          <w:lang w:val="fr-FR"/>
        </w:rPr>
        <w:t xml:space="preserve">francs suisses </w:t>
      </w:r>
      <w:r w:rsidR="005C68C2" w:rsidRPr="000F6A66">
        <w:rPr>
          <w:iCs/>
          <w:szCs w:val="22"/>
          <w:lang w:val="fr-FR"/>
        </w:rPr>
        <w:t xml:space="preserve">avaient été dépensés </w:t>
      </w:r>
      <w:r w:rsidR="00245A05" w:rsidRPr="000F6A66">
        <w:rPr>
          <w:iCs/>
          <w:szCs w:val="22"/>
          <w:lang w:val="fr-FR"/>
        </w:rPr>
        <w:t>sur le</w:t>
      </w:r>
      <w:r w:rsidRPr="000F6A66">
        <w:rPr>
          <w:iCs/>
          <w:szCs w:val="22"/>
          <w:lang w:val="fr-FR"/>
        </w:rPr>
        <w:t xml:space="preserve"> budget total hors dépenses de personnel</w:t>
      </w:r>
      <w:r w:rsidR="00DF227F" w:rsidRPr="000F6A66">
        <w:rPr>
          <w:iCs/>
          <w:szCs w:val="22"/>
          <w:lang w:val="fr-FR"/>
        </w:rPr>
        <w:t xml:space="preserve"> qui</w:t>
      </w:r>
      <w:r w:rsidRPr="000F6A66">
        <w:rPr>
          <w:iCs/>
          <w:szCs w:val="22"/>
          <w:lang w:val="fr-FR"/>
        </w:rPr>
        <w:t xml:space="preserve"> </w:t>
      </w:r>
      <w:r w:rsidR="005C68C2" w:rsidRPr="000F6A66">
        <w:rPr>
          <w:iCs/>
          <w:szCs w:val="22"/>
          <w:lang w:val="fr-FR"/>
        </w:rPr>
        <w:t>s</w:t>
      </w:r>
      <w:r w:rsidR="001B04F7" w:rsidRPr="000F6A66">
        <w:rPr>
          <w:iCs/>
          <w:szCs w:val="22"/>
          <w:lang w:val="fr-FR"/>
        </w:rPr>
        <w:t>’</w:t>
      </w:r>
      <w:r w:rsidR="005C68C2" w:rsidRPr="000F6A66">
        <w:rPr>
          <w:iCs/>
          <w:szCs w:val="22"/>
          <w:lang w:val="fr-FR"/>
        </w:rPr>
        <w:t>éleva</w:t>
      </w:r>
      <w:r w:rsidR="00DF227F" w:rsidRPr="000F6A66">
        <w:rPr>
          <w:iCs/>
          <w:szCs w:val="22"/>
          <w:lang w:val="fr-FR"/>
        </w:rPr>
        <w:t>ie</w:t>
      </w:r>
      <w:r w:rsidR="005C68C2" w:rsidRPr="000F6A66">
        <w:rPr>
          <w:iCs/>
          <w:szCs w:val="22"/>
          <w:lang w:val="fr-FR"/>
        </w:rPr>
        <w:t>nt à</w:t>
      </w:r>
      <w:r w:rsidRPr="000F6A66">
        <w:rPr>
          <w:iCs/>
          <w:szCs w:val="22"/>
          <w:lang w:val="fr-FR"/>
        </w:rPr>
        <w:t xml:space="preserve"> 320 000</w:t>
      </w:r>
      <w:r w:rsidR="0019339C" w:rsidRPr="000F6A66">
        <w:rPr>
          <w:iCs/>
          <w:szCs w:val="22"/>
          <w:lang w:val="fr-FR"/>
        </w:rPr>
        <w:t> </w:t>
      </w:r>
      <w:r w:rsidRPr="000F6A66">
        <w:rPr>
          <w:iCs/>
          <w:szCs w:val="22"/>
          <w:lang w:val="fr-FR"/>
        </w:rPr>
        <w:t>francs suisses, soit 95,5%.</w:t>
      </w:r>
      <w:r w:rsidR="00705B75" w:rsidRPr="000F6A66">
        <w:rPr>
          <w:lang w:val="fr-FR"/>
        </w:rPr>
        <w:t xml:space="preserve"> </w:t>
      </w:r>
      <w:r w:rsidR="0019339C" w:rsidRPr="000F6A66">
        <w:rPr>
          <w:lang w:val="fr-FR"/>
        </w:rPr>
        <w:t xml:space="preserve"> L</w:t>
      </w:r>
      <w:r w:rsidRPr="000F6A66">
        <w:rPr>
          <w:lang w:val="fr-FR"/>
        </w:rPr>
        <w:t>a majeure partie du budget (203</w:t>
      </w:r>
      <w:r w:rsidR="0019339C" w:rsidRPr="000F6A66">
        <w:rPr>
          <w:lang w:val="fr-FR"/>
        </w:rPr>
        <w:t> </w:t>
      </w:r>
      <w:r w:rsidRPr="000F6A66">
        <w:rPr>
          <w:lang w:val="fr-FR"/>
        </w:rPr>
        <w:t>249</w:t>
      </w:r>
      <w:r w:rsidR="0019339C" w:rsidRPr="000F6A66">
        <w:rPr>
          <w:lang w:val="fr-FR"/>
        </w:rPr>
        <w:t> f</w:t>
      </w:r>
      <w:r w:rsidRPr="000F6A66">
        <w:rPr>
          <w:lang w:val="fr-FR"/>
        </w:rPr>
        <w:t>rancs suisses</w:t>
      </w:r>
      <w:r w:rsidR="005C68C2" w:rsidRPr="000F6A66">
        <w:rPr>
          <w:lang w:val="fr-FR"/>
        </w:rPr>
        <w:t>,</w:t>
      </w:r>
      <w:r w:rsidRPr="000F6A66">
        <w:rPr>
          <w:lang w:val="fr-FR"/>
        </w:rPr>
        <w:t xml:space="preserve"> soit 64%) a été allouée aux services de spécialist</w:t>
      </w:r>
      <w:r w:rsidR="00655442" w:rsidRPr="000F6A66">
        <w:rPr>
          <w:lang w:val="fr-FR"/>
        </w:rPr>
        <w:t>es.  Le</w:t>
      </w:r>
      <w:r w:rsidR="007267C6" w:rsidRPr="000F6A66">
        <w:rPr>
          <w:lang w:val="fr-FR"/>
        </w:rPr>
        <w:t>s frais de voyage pour les missions de fonctionnaires (77 973</w:t>
      </w:r>
      <w:r w:rsidR="0019339C" w:rsidRPr="000F6A66">
        <w:rPr>
          <w:lang w:val="fr-FR"/>
        </w:rPr>
        <w:t> </w:t>
      </w:r>
      <w:r w:rsidR="007267C6" w:rsidRPr="000F6A66">
        <w:rPr>
          <w:lang w:val="fr-FR"/>
        </w:rPr>
        <w:t>francs suisses) ont r</w:t>
      </w:r>
      <w:r w:rsidR="005C68C2" w:rsidRPr="000F6A66">
        <w:rPr>
          <w:lang w:val="fr-FR"/>
        </w:rPr>
        <w:t>eprésenté 24% des décaissements et</w:t>
      </w:r>
      <w:r w:rsidR="007267C6" w:rsidRPr="000F6A66">
        <w:rPr>
          <w:lang w:val="fr-FR"/>
        </w:rPr>
        <w:t xml:space="preserve"> les frais liés aux lieux des séminaires, à la restauration et aux publications se sont élevés à 24</w:t>
      </w:r>
      <w:r w:rsidR="0019339C" w:rsidRPr="000F6A66">
        <w:rPr>
          <w:lang w:val="fr-FR"/>
        </w:rPr>
        <w:t> </w:t>
      </w:r>
      <w:r w:rsidR="007267C6" w:rsidRPr="000F6A66">
        <w:rPr>
          <w:lang w:val="fr-FR"/>
        </w:rPr>
        <w:t>440</w:t>
      </w:r>
      <w:r w:rsidR="0019339C" w:rsidRPr="000F6A66">
        <w:rPr>
          <w:lang w:val="fr-FR"/>
        </w:rPr>
        <w:t> </w:t>
      </w:r>
      <w:r w:rsidR="007267C6" w:rsidRPr="000F6A66">
        <w:rPr>
          <w:lang w:val="fr-FR"/>
        </w:rPr>
        <w:t>francs suisses (soit 8% du budget).</w:t>
      </w:r>
    </w:p>
    <w:p w14:paraId="1147094A" w14:textId="17E45E49" w:rsidR="001C1D6B" w:rsidRPr="000F6A66" w:rsidRDefault="008C63EA" w:rsidP="00675065">
      <w:pPr>
        <w:pStyle w:val="ONUMFS"/>
        <w:numPr>
          <w:ilvl w:val="0"/>
          <w:numId w:val="0"/>
        </w:numPr>
        <w:rPr>
          <w:lang w:val="fr-FR"/>
        </w:rPr>
      </w:pPr>
      <w:r w:rsidRPr="000F6A66">
        <w:rPr>
          <w:lang w:val="fr-FR"/>
        </w:rPr>
        <w:t>Le projet a démarré en janvier</w:t>
      </w:r>
      <w:r w:rsidR="0019339C" w:rsidRPr="000F6A66">
        <w:rPr>
          <w:lang w:val="fr-FR"/>
        </w:rPr>
        <w:t> </w:t>
      </w:r>
      <w:r w:rsidRPr="000F6A66">
        <w:rPr>
          <w:lang w:val="fr-FR"/>
        </w:rPr>
        <w:t>2016 et s</w:t>
      </w:r>
      <w:r w:rsidR="001B04F7" w:rsidRPr="000F6A66">
        <w:rPr>
          <w:lang w:val="fr-FR"/>
        </w:rPr>
        <w:t>’</w:t>
      </w:r>
      <w:r w:rsidRPr="000F6A66">
        <w:rPr>
          <w:lang w:val="fr-FR"/>
        </w:rPr>
        <w:t>est achevé le 30</w:t>
      </w:r>
      <w:r w:rsidR="0019339C" w:rsidRPr="000F6A66">
        <w:rPr>
          <w:lang w:val="fr-FR"/>
        </w:rPr>
        <w:t> </w:t>
      </w:r>
      <w:r w:rsidRPr="000F6A66">
        <w:rPr>
          <w:lang w:val="fr-FR"/>
        </w:rPr>
        <w:t>avril</w:t>
      </w:r>
      <w:r w:rsidR="0019339C" w:rsidRPr="000F6A66">
        <w:rPr>
          <w:lang w:val="fr-FR"/>
        </w:rPr>
        <w:t> </w:t>
      </w:r>
      <w:r w:rsidRPr="000F6A66">
        <w:rPr>
          <w:lang w:val="fr-FR"/>
        </w:rPr>
        <w:t>2019 après une prolongation de quatre</w:t>
      </w:r>
      <w:r w:rsidR="004C05D1" w:rsidRPr="000F6A66">
        <w:rPr>
          <w:lang w:val="fr-FR"/>
        </w:rPr>
        <w:t> </w:t>
      </w:r>
      <w:r w:rsidRPr="000F6A66">
        <w:rPr>
          <w:lang w:val="fr-FR"/>
        </w:rPr>
        <w:t xml:space="preserve">mois sans </w:t>
      </w:r>
      <w:r w:rsidR="005C68C2" w:rsidRPr="000F6A66">
        <w:rPr>
          <w:lang w:val="fr-FR"/>
        </w:rPr>
        <w:t>ressources</w:t>
      </w:r>
      <w:r w:rsidRPr="000F6A66">
        <w:rPr>
          <w:lang w:val="fr-FR"/>
        </w:rPr>
        <w:t xml:space="preserve"> supplémentair</w:t>
      </w:r>
      <w:r w:rsidR="00655442" w:rsidRPr="000F6A66">
        <w:rPr>
          <w:lang w:val="fr-FR"/>
        </w:rPr>
        <w:t>es.  Le</w:t>
      </w:r>
      <w:r w:rsidR="00272861" w:rsidRPr="000F6A66">
        <w:rPr>
          <w:lang w:val="fr-FR"/>
        </w:rPr>
        <w:t>s activités prévues ont été menées à bien, à l</w:t>
      </w:r>
      <w:r w:rsidR="001B04F7" w:rsidRPr="000F6A66">
        <w:rPr>
          <w:lang w:val="fr-FR"/>
        </w:rPr>
        <w:t>’</w:t>
      </w:r>
      <w:r w:rsidR="00272861" w:rsidRPr="000F6A66">
        <w:rPr>
          <w:lang w:val="fr-FR"/>
        </w:rPr>
        <w:t>exception de la publication du guide sur la propriété intellectuelle et le tourisme en collaboration avec l</w:t>
      </w:r>
      <w:r w:rsidR="001B04F7" w:rsidRPr="000F6A66">
        <w:rPr>
          <w:lang w:val="fr-FR"/>
        </w:rPr>
        <w:t>’</w:t>
      </w:r>
      <w:r w:rsidR="00272861" w:rsidRPr="000F6A66">
        <w:rPr>
          <w:lang w:val="fr-FR"/>
        </w:rPr>
        <w:t>Organisation mondiale du tourisme (OMT).</w:t>
      </w:r>
    </w:p>
    <w:p w14:paraId="3265A245" w14:textId="252BBA5B" w:rsidR="001C1D6B" w:rsidRPr="000F6A66" w:rsidRDefault="00245A05" w:rsidP="00675065">
      <w:pPr>
        <w:pStyle w:val="ONUMFS"/>
        <w:numPr>
          <w:ilvl w:val="0"/>
          <w:numId w:val="0"/>
        </w:numPr>
        <w:rPr>
          <w:lang w:val="fr-FR"/>
        </w:rPr>
      </w:pPr>
      <w:r w:rsidRPr="000F6A66">
        <w:rPr>
          <w:lang w:val="fr-FR"/>
        </w:rPr>
        <w:t>L</w:t>
      </w:r>
      <w:r w:rsidR="001B04F7" w:rsidRPr="000F6A66">
        <w:rPr>
          <w:lang w:val="fr-FR"/>
        </w:rPr>
        <w:t>’</w:t>
      </w:r>
      <w:r w:rsidR="0061615A" w:rsidRPr="000F6A66">
        <w:rPr>
          <w:lang w:val="fr-FR"/>
        </w:rPr>
        <w:t>évaluation a été menée du 6</w:t>
      </w:r>
      <w:r w:rsidR="0019339C" w:rsidRPr="000F6A66">
        <w:rPr>
          <w:lang w:val="fr-FR"/>
        </w:rPr>
        <w:t> </w:t>
      </w:r>
      <w:r w:rsidR="0061615A" w:rsidRPr="000F6A66">
        <w:rPr>
          <w:lang w:val="fr-FR"/>
        </w:rPr>
        <w:t>juillet au 22</w:t>
      </w:r>
      <w:r w:rsidR="0019339C" w:rsidRPr="000F6A66">
        <w:rPr>
          <w:lang w:val="fr-FR"/>
        </w:rPr>
        <w:t> </w:t>
      </w:r>
      <w:r w:rsidR="0061615A" w:rsidRPr="000F6A66">
        <w:rPr>
          <w:lang w:val="fr-FR"/>
        </w:rPr>
        <w:t>novembre</w:t>
      </w:r>
      <w:r w:rsidR="0019339C" w:rsidRPr="000F6A66">
        <w:rPr>
          <w:lang w:val="fr-FR"/>
        </w:rPr>
        <w:t> </w:t>
      </w:r>
      <w:r w:rsidR="0061615A" w:rsidRPr="000F6A66">
        <w:rPr>
          <w:lang w:val="fr-FR"/>
        </w:rPr>
        <w:t>2019 par Daniel P.</w:t>
      </w:r>
      <w:r w:rsidR="004C05D1" w:rsidRPr="000F6A66">
        <w:rPr>
          <w:lang w:val="fr-FR"/>
        </w:rPr>
        <w:t> </w:t>
      </w:r>
      <w:r w:rsidR="0061615A" w:rsidRPr="000F6A66">
        <w:rPr>
          <w:lang w:val="fr-FR"/>
        </w:rPr>
        <w:t>Keller, évaluateur principal, Evila</w:t>
      </w:r>
      <w:r w:rsidR="00DF227F" w:rsidRPr="000F6A66">
        <w:rPr>
          <w:lang w:val="fr-FR"/>
        </w:rPr>
        <w:t>rd</w:t>
      </w:r>
      <w:r w:rsidR="0061615A" w:rsidRPr="000F6A66">
        <w:rPr>
          <w:lang w:val="fr-FR"/>
        </w:rPr>
        <w:t xml:space="preserve"> (Suisse), en étroite coordination avec la Division de la coordination du Plan d</w:t>
      </w:r>
      <w:r w:rsidR="001B04F7" w:rsidRPr="000F6A66">
        <w:rPr>
          <w:lang w:val="fr-FR"/>
        </w:rPr>
        <w:t>’</w:t>
      </w:r>
      <w:r w:rsidR="0061615A" w:rsidRPr="000F6A66">
        <w:rPr>
          <w:lang w:val="fr-FR"/>
        </w:rPr>
        <w:t>action pour le développement</w:t>
      </w:r>
      <w:r w:rsidRPr="000F6A66">
        <w:rPr>
          <w:lang w:val="fr-FR"/>
        </w:rPr>
        <w:t>,</w:t>
      </w:r>
      <w:r w:rsidR="0061615A" w:rsidRPr="000F6A66">
        <w:rPr>
          <w:lang w:val="fr-FR"/>
        </w:rPr>
        <w:t xml:space="preserve"> et </w:t>
      </w:r>
      <w:r w:rsidR="00DF227F" w:rsidRPr="000F6A66">
        <w:rPr>
          <w:lang w:val="fr-FR"/>
        </w:rPr>
        <w:t xml:space="preserve">elle </w:t>
      </w:r>
      <w:r w:rsidR="0061615A" w:rsidRPr="000F6A66">
        <w:rPr>
          <w:lang w:val="fr-FR"/>
        </w:rPr>
        <w:t xml:space="preserve">a abouti aux conclusions </w:t>
      </w:r>
      <w:r w:rsidR="005C68C2" w:rsidRPr="000F6A66">
        <w:rPr>
          <w:lang w:val="fr-FR"/>
        </w:rPr>
        <w:t>ci</w:t>
      </w:r>
      <w:r w:rsidR="001B04F7" w:rsidRPr="000F6A66">
        <w:rPr>
          <w:lang w:val="fr-FR"/>
        </w:rPr>
        <w:t>-</w:t>
      </w:r>
      <w:r w:rsidR="005C68C2" w:rsidRPr="000F6A66">
        <w:rPr>
          <w:lang w:val="fr-FR"/>
        </w:rPr>
        <w:t>après.</w:t>
      </w:r>
    </w:p>
    <w:p w14:paraId="516BF9DE" w14:textId="77777777" w:rsidR="001B04F7" w:rsidRPr="000F6A66" w:rsidRDefault="0061615A" w:rsidP="00675065">
      <w:pPr>
        <w:pStyle w:val="ONUMFS"/>
        <w:numPr>
          <w:ilvl w:val="0"/>
          <w:numId w:val="0"/>
        </w:numPr>
        <w:rPr>
          <w:b/>
          <w:lang w:val="fr-FR"/>
        </w:rPr>
      </w:pPr>
      <w:r w:rsidRPr="000F6A66">
        <w:rPr>
          <w:b/>
          <w:lang w:val="fr-FR"/>
        </w:rPr>
        <w:t>Conclusion</w:t>
      </w:r>
      <w:r w:rsidR="00707C79" w:rsidRPr="000F6A66">
        <w:rPr>
          <w:b/>
          <w:lang w:val="fr-FR"/>
        </w:rPr>
        <w:t xml:space="preserve"> n°</w:t>
      </w:r>
      <w:r w:rsidR="0019339C" w:rsidRPr="000F6A66">
        <w:rPr>
          <w:b/>
          <w:lang w:val="fr-FR"/>
        </w:rPr>
        <w:t> </w:t>
      </w:r>
      <w:r w:rsidRPr="000F6A66">
        <w:rPr>
          <w:b/>
          <w:lang w:val="fr-FR"/>
        </w:rPr>
        <w:t>1 sur la préparation et la gestion du projet</w:t>
      </w:r>
    </w:p>
    <w:p w14:paraId="3EED1436" w14:textId="39399371" w:rsidR="001B04F7" w:rsidRPr="000F6A66" w:rsidRDefault="0061615A" w:rsidP="00675065">
      <w:pPr>
        <w:pStyle w:val="ONUMFS"/>
        <w:numPr>
          <w:ilvl w:val="0"/>
          <w:numId w:val="0"/>
        </w:numPr>
        <w:rPr>
          <w:lang w:val="fr-FR"/>
        </w:rPr>
      </w:pPr>
      <w:r w:rsidRPr="000F6A66">
        <w:rPr>
          <w:lang w:val="fr-FR"/>
        </w:rPr>
        <w:t>En termes de stratégie et d</w:t>
      </w:r>
      <w:r w:rsidR="001B04F7" w:rsidRPr="000F6A66">
        <w:rPr>
          <w:lang w:val="fr-FR"/>
        </w:rPr>
        <w:t>’</w:t>
      </w:r>
      <w:r w:rsidRPr="000F6A66">
        <w:rPr>
          <w:lang w:val="fr-FR"/>
        </w:rPr>
        <w:t xml:space="preserve">organisation, le projet </w:t>
      </w:r>
      <w:r w:rsidR="0066636A" w:rsidRPr="000F6A66">
        <w:rPr>
          <w:lang w:val="fr-FR"/>
        </w:rPr>
        <w:t>a,</w:t>
      </w:r>
      <w:r w:rsidRPr="000F6A66">
        <w:rPr>
          <w:lang w:val="fr-FR"/>
        </w:rPr>
        <w:t xml:space="preserve"> </w:t>
      </w:r>
      <w:r w:rsidR="0066636A" w:rsidRPr="000F6A66">
        <w:rPr>
          <w:lang w:val="fr-FR"/>
        </w:rPr>
        <w:t>d</w:t>
      </w:r>
      <w:r w:rsidR="001B04F7" w:rsidRPr="000F6A66">
        <w:rPr>
          <w:lang w:val="fr-FR"/>
        </w:rPr>
        <w:t>’</w:t>
      </w:r>
      <w:r w:rsidR="0066636A" w:rsidRPr="000F6A66">
        <w:rPr>
          <w:lang w:val="fr-FR"/>
        </w:rPr>
        <w:t xml:space="preserve">une façon générale, </w:t>
      </w:r>
      <w:r w:rsidR="00707C79" w:rsidRPr="000F6A66">
        <w:rPr>
          <w:lang w:val="fr-FR"/>
        </w:rPr>
        <w:t xml:space="preserve">été </w:t>
      </w:r>
      <w:r w:rsidRPr="000F6A66">
        <w:rPr>
          <w:lang w:val="fr-FR"/>
        </w:rPr>
        <w:t>bien prépa</w:t>
      </w:r>
      <w:r w:rsidR="00655442" w:rsidRPr="000F6A66">
        <w:rPr>
          <w:lang w:val="fr-FR"/>
        </w:rPr>
        <w:t>ré.  De</w:t>
      </w:r>
      <w:r w:rsidRPr="000F6A66">
        <w:rPr>
          <w:lang w:val="fr-FR"/>
        </w:rPr>
        <w:t xml:space="preserve">s objectifs </w:t>
      </w:r>
      <w:r w:rsidR="00DF227F" w:rsidRPr="000F6A66">
        <w:rPr>
          <w:lang w:val="fr-FR"/>
        </w:rPr>
        <w:t>généraux</w:t>
      </w:r>
      <w:r w:rsidRPr="000F6A66">
        <w:rPr>
          <w:lang w:val="fr-FR"/>
        </w:rPr>
        <w:t xml:space="preserve"> et la manière de les atteindre ont </w:t>
      </w:r>
      <w:r w:rsidR="00DF227F" w:rsidRPr="000F6A66">
        <w:rPr>
          <w:lang w:val="fr-FR"/>
        </w:rPr>
        <w:t xml:space="preserve">été </w:t>
      </w:r>
      <w:r w:rsidR="00245A05" w:rsidRPr="000F6A66">
        <w:rPr>
          <w:lang w:val="fr-FR"/>
        </w:rPr>
        <w:t>bien</w:t>
      </w:r>
      <w:r w:rsidRPr="000F6A66">
        <w:rPr>
          <w:lang w:val="fr-FR"/>
        </w:rPr>
        <w:t xml:space="preserve"> défin</w:t>
      </w:r>
      <w:r w:rsidR="00655442" w:rsidRPr="000F6A66">
        <w:rPr>
          <w:lang w:val="fr-FR"/>
        </w:rPr>
        <w:t>is.  Le</w:t>
      </w:r>
      <w:r w:rsidRPr="000F6A66">
        <w:rPr>
          <w:lang w:val="fr-FR"/>
        </w:rPr>
        <w:t>s budgets et les calendriers étaient réalistes, comme en témoignent le taux de décaissement de 95,5% et le fait que la plupart des résultats attendus ont été atteints dans les délais prév</w:t>
      </w:r>
      <w:r w:rsidR="00655442" w:rsidRPr="000F6A66">
        <w:rPr>
          <w:lang w:val="fr-FR"/>
        </w:rPr>
        <w:t>us.  Le</w:t>
      </w:r>
      <w:r w:rsidR="005F21CE" w:rsidRPr="000F6A66">
        <w:rPr>
          <w:lang w:val="fr-FR"/>
        </w:rPr>
        <w:t xml:space="preserve"> contenu du projet (activités) a été </w:t>
      </w:r>
      <w:r w:rsidR="00DF227F" w:rsidRPr="000F6A66">
        <w:rPr>
          <w:lang w:val="fr-FR"/>
        </w:rPr>
        <w:t>adapté</w:t>
      </w:r>
      <w:r w:rsidR="005F21CE" w:rsidRPr="000F6A66">
        <w:rPr>
          <w:lang w:val="fr-FR"/>
        </w:rPr>
        <w:t xml:space="preserve"> </w:t>
      </w:r>
      <w:r w:rsidR="00DF227F" w:rsidRPr="000F6A66">
        <w:rPr>
          <w:lang w:val="fr-FR"/>
        </w:rPr>
        <w:t xml:space="preserve">au cours de </w:t>
      </w:r>
      <w:r w:rsidR="005F21CE" w:rsidRPr="000F6A66">
        <w:rPr>
          <w:lang w:val="fr-FR"/>
        </w:rPr>
        <w:t xml:space="preserve">la mise en œuvre </w:t>
      </w:r>
      <w:r w:rsidR="00245A05" w:rsidRPr="000F6A66">
        <w:rPr>
          <w:lang w:val="fr-FR"/>
        </w:rPr>
        <w:t xml:space="preserve">pour </w:t>
      </w:r>
      <w:r w:rsidR="00707C79" w:rsidRPr="000F6A66">
        <w:rPr>
          <w:lang w:val="fr-FR"/>
        </w:rPr>
        <w:t>tenir compte des</w:t>
      </w:r>
      <w:r w:rsidR="00245A05" w:rsidRPr="000F6A66">
        <w:rPr>
          <w:lang w:val="fr-FR"/>
        </w:rPr>
        <w:t xml:space="preserve"> </w:t>
      </w:r>
      <w:r w:rsidR="005F21CE" w:rsidRPr="000F6A66">
        <w:rPr>
          <w:lang w:val="fr-FR"/>
        </w:rPr>
        <w:t>besoins spécifiques des quatre</w:t>
      </w:r>
      <w:r w:rsidR="004C05D1" w:rsidRPr="000F6A66">
        <w:rPr>
          <w:lang w:val="fr-FR"/>
        </w:rPr>
        <w:t> </w:t>
      </w:r>
      <w:r w:rsidR="005F21CE" w:rsidRPr="000F6A66">
        <w:rPr>
          <w:lang w:val="fr-FR"/>
        </w:rPr>
        <w:t xml:space="preserve">pays </w:t>
      </w:r>
      <w:r w:rsidR="00707C79" w:rsidRPr="000F6A66">
        <w:rPr>
          <w:lang w:val="fr-FR"/>
        </w:rPr>
        <w:t xml:space="preserve">concernés </w:t>
      </w:r>
      <w:r w:rsidR="005F21CE" w:rsidRPr="000F6A66">
        <w:rPr>
          <w:lang w:val="fr-FR"/>
        </w:rPr>
        <w:t xml:space="preserve">qui ont été sélectionnés </w:t>
      </w:r>
      <w:r w:rsidR="00DF227F" w:rsidRPr="000F6A66">
        <w:rPr>
          <w:lang w:val="fr-FR"/>
        </w:rPr>
        <w:t>à ce moment</w:t>
      </w:r>
      <w:r w:rsidR="001B04F7" w:rsidRPr="000F6A66">
        <w:rPr>
          <w:lang w:val="fr-FR"/>
        </w:rPr>
        <w:t>-</w:t>
      </w:r>
      <w:r w:rsidR="00DF227F" w:rsidRPr="000F6A66">
        <w:rPr>
          <w:lang w:val="fr-FR"/>
        </w:rPr>
        <w:t>là</w:t>
      </w:r>
      <w:r w:rsidR="005F21CE" w:rsidRPr="000F6A66">
        <w:rPr>
          <w:lang w:val="fr-FR"/>
        </w:rPr>
        <w:t>.</w:t>
      </w:r>
    </w:p>
    <w:p w14:paraId="7BE941DC" w14:textId="20B2F9AA" w:rsidR="001C1D6B" w:rsidRPr="000F6A66" w:rsidRDefault="00707C79" w:rsidP="00675065">
      <w:pPr>
        <w:pStyle w:val="ONUMFS"/>
        <w:numPr>
          <w:ilvl w:val="0"/>
          <w:numId w:val="0"/>
        </w:numPr>
        <w:rPr>
          <w:lang w:val="fr-FR"/>
        </w:rPr>
      </w:pPr>
      <w:r w:rsidRPr="000F6A66">
        <w:rPr>
          <w:lang w:val="fr-FR"/>
        </w:rPr>
        <w:t>M</w:t>
      </w:r>
      <w:r w:rsidR="0066636A" w:rsidRPr="000F6A66">
        <w:rPr>
          <w:lang w:val="fr-FR"/>
        </w:rPr>
        <w:t xml:space="preserve">odèles standard </w:t>
      </w:r>
      <w:r w:rsidRPr="000F6A66">
        <w:rPr>
          <w:lang w:val="fr-FR"/>
        </w:rPr>
        <w:t xml:space="preserve">de </w:t>
      </w:r>
      <w:r w:rsidR="0066636A" w:rsidRPr="000F6A66">
        <w:rPr>
          <w:lang w:val="fr-FR"/>
        </w:rPr>
        <w:t xml:space="preserve">planification et </w:t>
      </w:r>
      <w:r w:rsidRPr="000F6A66">
        <w:rPr>
          <w:lang w:val="fr-FR"/>
        </w:rPr>
        <w:t>de suivi de</w:t>
      </w:r>
      <w:r w:rsidR="0066636A" w:rsidRPr="000F6A66">
        <w:rPr>
          <w:lang w:val="fr-FR"/>
        </w:rPr>
        <w:t xml:space="preserve"> projets</w:t>
      </w:r>
      <w:r w:rsidR="001B04F7" w:rsidRPr="000F6A66">
        <w:rPr>
          <w:lang w:val="fr-FR"/>
        </w:rPr>
        <w:t> :</w:t>
      </w:r>
      <w:r w:rsidR="00D66A10" w:rsidRPr="000F6A66">
        <w:rPr>
          <w:lang w:val="fr-FR"/>
        </w:rPr>
        <w:t xml:space="preserve"> </w:t>
      </w:r>
      <w:r w:rsidR="0066636A" w:rsidRPr="000F6A66">
        <w:rPr>
          <w:lang w:val="fr-FR"/>
        </w:rPr>
        <w:t>contrairement à la plupart des grands acteurs du développement, l</w:t>
      </w:r>
      <w:r w:rsidR="001B04F7" w:rsidRPr="000F6A66">
        <w:rPr>
          <w:lang w:val="fr-FR"/>
        </w:rPr>
        <w:t>’</w:t>
      </w:r>
      <w:r w:rsidR="0066636A" w:rsidRPr="000F6A66">
        <w:rPr>
          <w:lang w:val="fr-FR"/>
        </w:rPr>
        <w:t>OMPI n</w:t>
      </w:r>
      <w:r w:rsidR="001B04F7" w:rsidRPr="000F6A66">
        <w:rPr>
          <w:lang w:val="fr-FR"/>
        </w:rPr>
        <w:t>’</w:t>
      </w:r>
      <w:r w:rsidR="0066636A" w:rsidRPr="000F6A66">
        <w:rPr>
          <w:lang w:val="fr-FR"/>
        </w:rPr>
        <w:t>utilise pas</w:t>
      </w:r>
      <w:r w:rsidR="00245A05" w:rsidRPr="000F6A66">
        <w:rPr>
          <w:lang w:val="fr-FR"/>
        </w:rPr>
        <w:t>, pour la planification, le suivi et les évaluations, le cadre logique</w:t>
      </w:r>
      <w:r w:rsidR="0066636A" w:rsidRPr="000F6A66">
        <w:rPr>
          <w:lang w:val="fr-FR"/>
        </w:rPr>
        <w:t xml:space="preserve"> qui est la norme couramment utilisée pour la gestion axée sur les résultats dans tous les grands organismes de développeme</w:t>
      </w:r>
      <w:r w:rsidR="00655442" w:rsidRPr="000F6A66">
        <w:rPr>
          <w:lang w:val="fr-FR"/>
        </w:rPr>
        <w:t>nt.  Le</w:t>
      </w:r>
      <w:r w:rsidR="009636E6" w:rsidRPr="000F6A66">
        <w:rPr>
          <w:lang w:val="fr-FR"/>
        </w:rPr>
        <w:t xml:space="preserve"> Secrétariat estime que ce</w:t>
      </w:r>
      <w:r w:rsidRPr="000F6A66">
        <w:rPr>
          <w:lang w:val="fr-FR"/>
        </w:rPr>
        <w:t>t outil</w:t>
      </w:r>
      <w:r w:rsidR="009636E6" w:rsidRPr="000F6A66">
        <w:rPr>
          <w:lang w:val="fr-FR"/>
        </w:rPr>
        <w:t xml:space="preserve"> serait difficile </w:t>
      </w:r>
      <w:r w:rsidRPr="000F6A66">
        <w:rPr>
          <w:lang w:val="fr-FR"/>
        </w:rPr>
        <w:t xml:space="preserve">à utiliser </w:t>
      </w:r>
      <w:r w:rsidR="009636E6" w:rsidRPr="000F6A66">
        <w:rPr>
          <w:lang w:val="fr-FR"/>
        </w:rPr>
        <w:t xml:space="preserve">en raison des clauses </w:t>
      </w:r>
      <w:r w:rsidR="00245A05" w:rsidRPr="000F6A66">
        <w:rPr>
          <w:lang w:val="fr-FR"/>
        </w:rPr>
        <w:t>résultant</w:t>
      </w:r>
      <w:r w:rsidR="009636E6" w:rsidRPr="000F6A66">
        <w:rPr>
          <w:lang w:val="fr-FR"/>
        </w:rPr>
        <w:t xml:space="preserve"> de négociations qui figurent dans les descriptifs de proj</w:t>
      </w:r>
      <w:r w:rsidR="00655442" w:rsidRPr="000F6A66">
        <w:rPr>
          <w:lang w:val="fr-FR"/>
        </w:rPr>
        <w:t>et.  De</w:t>
      </w:r>
      <w:r w:rsidR="00E63CFD" w:rsidRPr="000F6A66">
        <w:rPr>
          <w:lang w:val="fr-FR"/>
        </w:rPr>
        <w:t xml:space="preserve"> plus, </w:t>
      </w:r>
      <w:r w:rsidRPr="000F6A66">
        <w:rPr>
          <w:lang w:val="fr-FR"/>
        </w:rPr>
        <w:t>auc</w:t>
      </w:r>
      <w:r w:rsidR="00E63CFD" w:rsidRPr="000F6A66">
        <w:rPr>
          <w:lang w:val="fr-FR"/>
        </w:rPr>
        <w:t xml:space="preserve">une stratégie </w:t>
      </w:r>
      <w:r w:rsidR="00245A05" w:rsidRPr="000F6A66">
        <w:rPr>
          <w:lang w:val="fr-FR"/>
        </w:rPr>
        <w:t>de retrait progressif</w:t>
      </w:r>
      <w:r w:rsidR="00E63CFD" w:rsidRPr="000F6A66">
        <w:rPr>
          <w:lang w:val="fr-FR"/>
        </w:rPr>
        <w:t xml:space="preserve"> décrivant </w:t>
      </w:r>
      <w:r w:rsidR="00245A05" w:rsidRPr="000F6A66">
        <w:rPr>
          <w:lang w:val="fr-FR"/>
        </w:rPr>
        <w:t>l</w:t>
      </w:r>
      <w:r w:rsidR="00E63CFD" w:rsidRPr="000F6A66">
        <w:rPr>
          <w:lang w:val="fr-FR"/>
        </w:rPr>
        <w:t xml:space="preserve">es mesures adéquates pour assurer </w:t>
      </w:r>
      <w:r w:rsidR="00245A05" w:rsidRPr="000F6A66">
        <w:rPr>
          <w:lang w:val="fr-FR"/>
        </w:rPr>
        <w:t xml:space="preserve">la continuité </w:t>
      </w:r>
      <w:r w:rsidR="00E63CFD" w:rsidRPr="000F6A66">
        <w:rPr>
          <w:lang w:val="fr-FR"/>
        </w:rPr>
        <w:t xml:space="preserve">des avantages découlant du projet </w:t>
      </w:r>
      <w:r w:rsidR="00245A05" w:rsidRPr="000F6A66">
        <w:rPr>
          <w:lang w:val="fr-FR"/>
        </w:rPr>
        <w:t xml:space="preserve">au terme du </w:t>
      </w:r>
      <w:r w:rsidRPr="000F6A66">
        <w:rPr>
          <w:lang w:val="fr-FR"/>
        </w:rPr>
        <w:t>mandat de l</w:t>
      </w:r>
      <w:r w:rsidR="001B04F7" w:rsidRPr="000F6A66">
        <w:rPr>
          <w:lang w:val="fr-FR"/>
        </w:rPr>
        <w:t>’</w:t>
      </w:r>
      <w:r w:rsidRPr="000F6A66">
        <w:rPr>
          <w:lang w:val="fr-FR"/>
        </w:rPr>
        <w:t>OMPI</w:t>
      </w:r>
      <w:r w:rsidR="00245A05" w:rsidRPr="000F6A66">
        <w:rPr>
          <w:lang w:val="fr-FR"/>
        </w:rPr>
        <w:t xml:space="preserve"> </w:t>
      </w:r>
      <w:r w:rsidR="00E63CFD" w:rsidRPr="000F6A66">
        <w:rPr>
          <w:lang w:val="fr-FR"/>
        </w:rPr>
        <w:t>(</w:t>
      </w:r>
      <w:r w:rsidR="00245A05" w:rsidRPr="000F6A66">
        <w:rPr>
          <w:lang w:val="fr-FR"/>
        </w:rPr>
        <w:t>pérennité</w:t>
      </w:r>
      <w:r w:rsidR="00E63CFD" w:rsidRPr="000F6A66">
        <w:rPr>
          <w:lang w:val="fr-FR"/>
        </w:rPr>
        <w:t>) n</w:t>
      </w:r>
      <w:r w:rsidR="001B04F7" w:rsidRPr="000F6A66">
        <w:rPr>
          <w:lang w:val="fr-FR"/>
        </w:rPr>
        <w:t>’</w:t>
      </w:r>
      <w:r w:rsidR="00E63CFD" w:rsidRPr="000F6A66">
        <w:rPr>
          <w:lang w:val="fr-FR"/>
        </w:rPr>
        <w:t>a été défin</w:t>
      </w:r>
      <w:r w:rsidR="00655442" w:rsidRPr="000F6A66">
        <w:rPr>
          <w:lang w:val="fr-FR"/>
        </w:rPr>
        <w:t>ie.  En</w:t>
      </w:r>
      <w:r w:rsidR="00E63CFD" w:rsidRPr="000F6A66">
        <w:rPr>
          <w:lang w:val="fr-FR"/>
        </w:rPr>
        <w:t>fin, l</w:t>
      </w:r>
      <w:r w:rsidR="001B04F7" w:rsidRPr="000F6A66">
        <w:rPr>
          <w:lang w:val="fr-FR"/>
        </w:rPr>
        <w:t>’</w:t>
      </w:r>
      <w:r w:rsidR="00E63CFD" w:rsidRPr="000F6A66">
        <w:rPr>
          <w:lang w:val="fr-FR"/>
        </w:rPr>
        <w:t>OMPI ne dispose pas d</w:t>
      </w:r>
      <w:r w:rsidR="001B04F7" w:rsidRPr="000F6A66">
        <w:rPr>
          <w:lang w:val="fr-FR"/>
        </w:rPr>
        <w:t>’</w:t>
      </w:r>
      <w:r w:rsidR="00E63CFD" w:rsidRPr="000F6A66">
        <w:rPr>
          <w:lang w:val="fr-FR"/>
        </w:rPr>
        <w:t xml:space="preserve">un mécanisme </w:t>
      </w:r>
      <w:r w:rsidRPr="000F6A66">
        <w:rPr>
          <w:lang w:val="fr-FR"/>
        </w:rPr>
        <w:t xml:space="preserve">(par exemple, des évaluations ex post) </w:t>
      </w:r>
      <w:r w:rsidR="00E63CFD" w:rsidRPr="000F6A66">
        <w:rPr>
          <w:lang w:val="fr-FR"/>
        </w:rPr>
        <w:t>permettant d</w:t>
      </w:r>
      <w:r w:rsidR="001B04F7" w:rsidRPr="000F6A66">
        <w:rPr>
          <w:lang w:val="fr-FR"/>
        </w:rPr>
        <w:t>’</w:t>
      </w:r>
      <w:r w:rsidR="00E63CFD" w:rsidRPr="000F6A66">
        <w:rPr>
          <w:lang w:val="fr-FR"/>
        </w:rPr>
        <w:t xml:space="preserve">évaluer si </w:t>
      </w:r>
      <w:r w:rsidR="00245A05" w:rsidRPr="000F6A66">
        <w:rPr>
          <w:lang w:val="fr-FR"/>
        </w:rPr>
        <w:t>l</w:t>
      </w:r>
      <w:r w:rsidR="00E63CFD" w:rsidRPr="000F6A66">
        <w:rPr>
          <w:lang w:val="fr-FR"/>
        </w:rPr>
        <w:t>es projets menés au titre du Plan d</w:t>
      </w:r>
      <w:r w:rsidR="001B04F7" w:rsidRPr="000F6A66">
        <w:rPr>
          <w:lang w:val="fr-FR"/>
        </w:rPr>
        <w:t>’</w:t>
      </w:r>
      <w:r w:rsidR="00E63CFD" w:rsidRPr="000F6A66">
        <w:rPr>
          <w:lang w:val="fr-FR"/>
        </w:rPr>
        <w:t xml:space="preserve">action pour le développement, </w:t>
      </w:r>
      <w:r w:rsidR="00245A05" w:rsidRPr="000F6A66">
        <w:rPr>
          <w:lang w:val="fr-FR"/>
        </w:rPr>
        <w:t>outre</w:t>
      </w:r>
      <w:r w:rsidR="00E63CFD" w:rsidRPr="000F6A66">
        <w:rPr>
          <w:lang w:val="fr-FR"/>
        </w:rPr>
        <w:t xml:space="preserve"> </w:t>
      </w:r>
      <w:r w:rsidR="00245A05" w:rsidRPr="000F6A66">
        <w:rPr>
          <w:lang w:val="fr-FR"/>
        </w:rPr>
        <w:t>l</w:t>
      </w:r>
      <w:r w:rsidR="00E63CFD" w:rsidRPr="000F6A66">
        <w:rPr>
          <w:lang w:val="fr-FR"/>
        </w:rPr>
        <w:t xml:space="preserve">es réalisations et résultats immédiats, ont </w:t>
      </w:r>
      <w:r w:rsidRPr="000F6A66">
        <w:rPr>
          <w:lang w:val="fr-FR"/>
        </w:rPr>
        <w:t xml:space="preserve">produit </w:t>
      </w:r>
      <w:r w:rsidR="00245A05" w:rsidRPr="000F6A66">
        <w:rPr>
          <w:lang w:val="fr-FR"/>
        </w:rPr>
        <w:t xml:space="preserve">des </w:t>
      </w:r>
      <w:r w:rsidR="00DF227F" w:rsidRPr="000F6A66">
        <w:rPr>
          <w:lang w:val="fr-FR"/>
        </w:rPr>
        <w:t>effets</w:t>
      </w:r>
      <w:r w:rsidR="00245A05" w:rsidRPr="000F6A66">
        <w:rPr>
          <w:lang w:val="fr-FR"/>
        </w:rPr>
        <w:t xml:space="preserve"> à long terme</w:t>
      </w:r>
      <w:r w:rsidR="00E63CFD" w:rsidRPr="000F6A66">
        <w:rPr>
          <w:lang w:val="fr-FR"/>
        </w:rPr>
        <w:t>.</w:t>
      </w:r>
    </w:p>
    <w:p w14:paraId="4A0C5183" w14:textId="54D37C6D" w:rsidR="001C1D6B" w:rsidRPr="000F6A66" w:rsidRDefault="00C1789D" w:rsidP="00675065">
      <w:pPr>
        <w:pStyle w:val="ONUMFS"/>
        <w:numPr>
          <w:ilvl w:val="0"/>
          <w:numId w:val="0"/>
        </w:numPr>
        <w:rPr>
          <w:lang w:val="fr-FR"/>
        </w:rPr>
      </w:pPr>
      <w:r w:rsidRPr="000F6A66">
        <w:rPr>
          <w:lang w:val="fr-FR"/>
        </w:rPr>
        <w:lastRenderedPageBreak/>
        <w:t>L</w:t>
      </w:r>
      <w:r w:rsidR="00245A05" w:rsidRPr="000F6A66">
        <w:rPr>
          <w:lang w:val="fr-FR"/>
        </w:rPr>
        <w:t>e</w:t>
      </w:r>
      <w:r w:rsidRPr="000F6A66">
        <w:rPr>
          <w:lang w:val="fr-FR"/>
        </w:rPr>
        <w:t xml:space="preserve"> chef de projet et son directeur ont participé à la mise en œuvre quotidienne des activités, </w:t>
      </w:r>
      <w:r w:rsidR="001B04F7" w:rsidRPr="000F6A66">
        <w:rPr>
          <w:lang w:val="fr-FR"/>
        </w:rPr>
        <w:t>y compris</w:t>
      </w:r>
      <w:r w:rsidRPr="000F6A66">
        <w:rPr>
          <w:lang w:val="fr-FR"/>
        </w:rPr>
        <w:t xml:space="preserve"> </w:t>
      </w:r>
      <w:r w:rsidR="00707C79" w:rsidRPr="000F6A66">
        <w:rPr>
          <w:lang w:val="fr-FR"/>
        </w:rPr>
        <w:t>les</w:t>
      </w:r>
      <w:r w:rsidRPr="000F6A66">
        <w:rPr>
          <w:lang w:val="fr-FR"/>
        </w:rPr>
        <w:t xml:space="preserve"> missions sur le terrain et </w:t>
      </w:r>
      <w:r w:rsidR="00707C79" w:rsidRPr="000F6A66">
        <w:rPr>
          <w:lang w:val="fr-FR"/>
        </w:rPr>
        <w:t>le</w:t>
      </w:r>
      <w:r w:rsidR="00245A05" w:rsidRPr="000F6A66">
        <w:rPr>
          <w:lang w:val="fr-FR"/>
        </w:rPr>
        <w:t xml:space="preserve"> </w:t>
      </w:r>
      <w:r w:rsidRPr="000F6A66">
        <w:rPr>
          <w:lang w:val="fr-FR"/>
        </w:rPr>
        <w:t>renforcement des capacit</w:t>
      </w:r>
      <w:r w:rsidR="00655442" w:rsidRPr="000F6A66">
        <w:rPr>
          <w:lang w:val="fr-FR"/>
        </w:rPr>
        <w:t>és.  En</w:t>
      </w:r>
      <w:r w:rsidRPr="000F6A66">
        <w:rPr>
          <w:lang w:val="fr-FR"/>
        </w:rPr>
        <w:t xml:space="preserve"> ce qui concerne les dépenses de personnel, qui n</w:t>
      </w:r>
      <w:r w:rsidR="001B04F7" w:rsidRPr="000F6A66">
        <w:rPr>
          <w:lang w:val="fr-FR"/>
        </w:rPr>
        <w:t>’</w:t>
      </w:r>
      <w:r w:rsidRPr="000F6A66">
        <w:rPr>
          <w:lang w:val="fr-FR"/>
        </w:rPr>
        <w:t>étaient pas inscrites au budget, le projet a donc nécessité des ressources plus importantes que prévu pour le Secrétari</w:t>
      </w:r>
      <w:r w:rsidR="00655442" w:rsidRPr="000F6A66">
        <w:rPr>
          <w:lang w:val="fr-FR"/>
        </w:rPr>
        <w:t>at.  Da</w:t>
      </w:r>
      <w:r w:rsidRPr="000F6A66">
        <w:rPr>
          <w:lang w:val="fr-FR"/>
        </w:rPr>
        <w:t>ns l</w:t>
      </w:r>
      <w:r w:rsidR="001B04F7" w:rsidRPr="000F6A66">
        <w:rPr>
          <w:lang w:val="fr-FR"/>
        </w:rPr>
        <w:t>’</w:t>
      </w:r>
      <w:r w:rsidRPr="000F6A66">
        <w:rPr>
          <w:lang w:val="fr-FR"/>
        </w:rPr>
        <w:t>ensemble, le projet a été bien gé</w:t>
      </w:r>
      <w:r w:rsidR="00655442" w:rsidRPr="000F6A66">
        <w:rPr>
          <w:lang w:val="fr-FR"/>
        </w:rPr>
        <w:t>ré.  Le</w:t>
      </w:r>
      <w:r w:rsidR="0025205B" w:rsidRPr="000F6A66">
        <w:rPr>
          <w:lang w:val="fr-FR"/>
        </w:rPr>
        <w:t xml:space="preserve">s partenaires ont fait part de leur satisfaction concernant la coopération avec le Secrétariat et </w:t>
      </w:r>
      <w:r w:rsidR="00DF227F" w:rsidRPr="000F6A66">
        <w:rPr>
          <w:lang w:val="fr-FR"/>
        </w:rPr>
        <w:t xml:space="preserve">ils </w:t>
      </w:r>
      <w:r w:rsidR="0025205B" w:rsidRPr="000F6A66">
        <w:rPr>
          <w:lang w:val="fr-FR"/>
        </w:rPr>
        <w:t>ont souligné la flexibilité et la réactivité de l</w:t>
      </w:r>
      <w:r w:rsidR="001B04F7" w:rsidRPr="000F6A66">
        <w:rPr>
          <w:lang w:val="fr-FR"/>
        </w:rPr>
        <w:t>’</w:t>
      </w:r>
      <w:r w:rsidR="0025205B" w:rsidRPr="000F6A66">
        <w:rPr>
          <w:lang w:val="fr-FR"/>
        </w:rPr>
        <w:t>équipe chargée du projet pour tenir compte de l</w:t>
      </w:r>
      <w:r w:rsidR="001B04F7" w:rsidRPr="000F6A66">
        <w:rPr>
          <w:lang w:val="fr-FR"/>
        </w:rPr>
        <w:t>’</w:t>
      </w:r>
      <w:r w:rsidR="0025205B" w:rsidRPr="000F6A66">
        <w:rPr>
          <w:lang w:val="fr-FR"/>
        </w:rPr>
        <w:t>évolution de leurs besoins.</w:t>
      </w:r>
    </w:p>
    <w:p w14:paraId="1DFBACD9" w14:textId="038773E8" w:rsidR="001C1D6B" w:rsidRPr="000F6A66" w:rsidRDefault="0025205B" w:rsidP="00675065">
      <w:pPr>
        <w:pStyle w:val="ONUMFS"/>
        <w:numPr>
          <w:ilvl w:val="0"/>
          <w:numId w:val="0"/>
        </w:numPr>
        <w:rPr>
          <w:b/>
          <w:bCs/>
          <w:lang w:val="fr-FR"/>
        </w:rPr>
      </w:pPr>
      <w:r w:rsidRPr="000F6A66">
        <w:rPr>
          <w:b/>
          <w:bCs/>
          <w:lang w:val="fr-FR"/>
        </w:rPr>
        <w:t>Conclusion</w:t>
      </w:r>
      <w:r w:rsidR="00707C79" w:rsidRPr="000F6A66">
        <w:rPr>
          <w:b/>
          <w:bCs/>
          <w:lang w:val="fr-FR"/>
        </w:rPr>
        <w:t xml:space="preserve"> n°</w:t>
      </w:r>
      <w:r w:rsidR="0019339C" w:rsidRPr="000F6A66">
        <w:rPr>
          <w:b/>
          <w:bCs/>
          <w:lang w:val="fr-FR"/>
        </w:rPr>
        <w:t> </w:t>
      </w:r>
      <w:r w:rsidRPr="000F6A66">
        <w:rPr>
          <w:b/>
          <w:bCs/>
          <w:lang w:val="fr-FR"/>
        </w:rPr>
        <w:t>2 sur la pertinence</w:t>
      </w:r>
    </w:p>
    <w:p w14:paraId="5FD61090" w14:textId="57A64930" w:rsidR="001C1D6B" w:rsidRPr="000F6A66" w:rsidRDefault="00E01C4A" w:rsidP="00675065">
      <w:pPr>
        <w:pStyle w:val="ONUMFS"/>
        <w:numPr>
          <w:ilvl w:val="0"/>
          <w:numId w:val="0"/>
        </w:numPr>
        <w:rPr>
          <w:lang w:val="fr-FR"/>
        </w:rPr>
      </w:pPr>
      <w:r w:rsidRPr="000F6A66">
        <w:rPr>
          <w:lang w:val="fr-FR"/>
        </w:rPr>
        <w:t>Les parties prenantes interrogées ont confirmé que l</w:t>
      </w:r>
      <w:r w:rsidR="001B04F7" w:rsidRPr="000F6A66">
        <w:rPr>
          <w:lang w:val="fr-FR"/>
        </w:rPr>
        <w:t>’</w:t>
      </w:r>
      <w:r w:rsidRPr="000F6A66">
        <w:rPr>
          <w:lang w:val="fr-FR"/>
        </w:rPr>
        <w:t>a</w:t>
      </w:r>
      <w:r w:rsidR="00707C79" w:rsidRPr="000F6A66">
        <w:rPr>
          <w:lang w:val="fr-FR"/>
        </w:rPr>
        <w:t xml:space="preserve">ssistance </w:t>
      </w:r>
      <w:r w:rsidR="00245A05" w:rsidRPr="000F6A66">
        <w:rPr>
          <w:lang w:val="fr-FR"/>
        </w:rPr>
        <w:t>fourni</w:t>
      </w:r>
      <w:r w:rsidR="00707C79" w:rsidRPr="000F6A66">
        <w:rPr>
          <w:lang w:val="fr-FR"/>
        </w:rPr>
        <w:t>e</w:t>
      </w:r>
      <w:r w:rsidRPr="000F6A66">
        <w:rPr>
          <w:lang w:val="fr-FR"/>
        </w:rPr>
        <w:t xml:space="preserve"> par l</w:t>
      </w:r>
      <w:r w:rsidR="001B04F7" w:rsidRPr="000F6A66">
        <w:rPr>
          <w:lang w:val="fr-FR"/>
        </w:rPr>
        <w:t>’</w:t>
      </w:r>
      <w:r w:rsidRPr="000F6A66">
        <w:rPr>
          <w:lang w:val="fr-FR"/>
        </w:rPr>
        <w:t xml:space="preserve">OMPI </w:t>
      </w:r>
      <w:r w:rsidR="00CD4E48" w:rsidRPr="000F6A66">
        <w:rPr>
          <w:lang w:val="fr-FR"/>
        </w:rPr>
        <w:t>avait</w:t>
      </w:r>
      <w:r w:rsidRPr="000F6A66">
        <w:rPr>
          <w:lang w:val="fr-FR"/>
        </w:rPr>
        <w:t xml:space="preserve"> pleinement </w:t>
      </w:r>
      <w:r w:rsidR="00CD4E48" w:rsidRPr="000F6A66">
        <w:rPr>
          <w:lang w:val="fr-FR"/>
        </w:rPr>
        <w:t>satisfait</w:t>
      </w:r>
      <w:r w:rsidRPr="000F6A66">
        <w:rPr>
          <w:lang w:val="fr-FR"/>
        </w:rPr>
        <w:t xml:space="preserve"> leurs besoi</w:t>
      </w:r>
      <w:r w:rsidR="00655442" w:rsidRPr="000F6A66">
        <w:rPr>
          <w:lang w:val="fr-FR"/>
        </w:rPr>
        <w:t>ns.  D’u</w:t>
      </w:r>
      <w:r w:rsidRPr="000F6A66">
        <w:rPr>
          <w:lang w:val="fr-FR"/>
        </w:rPr>
        <w:t>ne manière générale, le projet a concerné des pays à fort potentiel touristiq</w:t>
      </w:r>
      <w:r w:rsidR="00655442" w:rsidRPr="000F6A66">
        <w:rPr>
          <w:lang w:val="fr-FR"/>
        </w:rPr>
        <w:t>ue.  Le</w:t>
      </w:r>
      <w:r w:rsidRPr="000F6A66">
        <w:rPr>
          <w:lang w:val="fr-FR"/>
        </w:rPr>
        <w:t xml:space="preserve"> degré de participation et d</w:t>
      </w:r>
      <w:r w:rsidR="001B04F7" w:rsidRPr="000F6A66">
        <w:rPr>
          <w:lang w:val="fr-FR"/>
        </w:rPr>
        <w:t>’</w:t>
      </w:r>
      <w:r w:rsidRPr="000F6A66">
        <w:rPr>
          <w:lang w:val="fr-FR"/>
        </w:rPr>
        <w:t xml:space="preserve">enthousiasme </w:t>
      </w:r>
      <w:r w:rsidR="00DF227F" w:rsidRPr="000F6A66">
        <w:rPr>
          <w:lang w:val="fr-FR"/>
        </w:rPr>
        <w:t>a</w:t>
      </w:r>
      <w:r w:rsidRPr="000F6A66">
        <w:rPr>
          <w:lang w:val="fr-FR"/>
        </w:rPr>
        <w:t xml:space="preserve"> toutefois </w:t>
      </w:r>
      <w:r w:rsidR="00DF227F" w:rsidRPr="000F6A66">
        <w:rPr>
          <w:lang w:val="fr-FR"/>
        </w:rPr>
        <w:t>varié</w:t>
      </w:r>
      <w:r w:rsidR="00655442" w:rsidRPr="000F6A66">
        <w:rPr>
          <w:lang w:val="fr-FR"/>
        </w:rPr>
        <w:t xml:space="preserve"> s</w:t>
      </w:r>
      <w:r w:rsidRPr="000F6A66">
        <w:rPr>
          <w:lang w:val="fr-FR"/>
        </w:rPr>
        <w:t>elon les pays bénéficiair</w:t>
      </w:r>
      <w:r w:rsidR="00655442" w:rsidRPr="000F6A66">
        <w:rPr>
          <w:lang w:val="fr-FR"/>
        </w:rPr>
        <w:t>es.  Ce</w:t>
      </w:r>
      <w:r w:rsidR="00673334" w:rsidRPr="000F6A66">
        <w:rPr>
          <w:lang w:val="fr-FR"/>
        </w:rPr>
        <w:t>la s</w:t>
      </w:r>
      <w:r w:rsidR="001B04F7" w:rsidRPr="000F6A66">
        <w:rPr>
          <w:lang w:val="fr-FR"/>
        </w:rPr>
        <w:t>’</w:t>
      </w:r>
      <w:r w:rsidR="00673334" w:rsidRPr="000F6A66">
        <w:rPr>
          <w:lang w:val="fr-FR"/>
        </w:rPr>
        <w:t>explique probablement par le fait que la propriété intellectuelle n</w:t>
      </w:r>
      <w:r w:rsidR="001B04F7" w:rsidRPr="000F6A66">
        <w:rPr>
          <w:lang w:val="fr-FR"/>
        </w:rPr>
        <w:t>’</w:t>
      </w:r>
      <w:r w:rsidR="00673334" w:rsidRPr="000F6A66">
        <w:rPr>
          <w:lang w:val="fr-FR"/>
        </w:rPr>
        <w:t>est que l</w:t>
      </w:r>
      <w:r w:rsidR="001B04F7" w:rsidRPr="000F6A66">
        <w:rPr>
          <w:lang w:val="fr-FR"/>
        </w:rPr>
        <w:t>’</w:t>
      </w:r>
      <w:r w:rsidR="00673334" w:rsidRPr="000F6A66">
        <w:rPr>
          <w:lang w:val="fr-FR"/>
        </w:rPr>
        <w:t>un des nombreux facteurs nécessaires pour proposer des produits touristiques compétiti</w:t>
      </w:r>
      <w:r w:rsidR="00655442" w:rsidRPr="000F6A66">
        <w:rPr>
          <w:lang w:val="fr-FR"/>
        </w:rPr>
        <w:t>fs.  De</w:t>
      </w:r>
      <w:r w:rsidR="00673334" w:rsidRPr="000F6A66">
        <w:rPr>
          <w:lang w:val="fr-FR"/>
        </w:rPr>
        <w:t xml:space="preserve"> plus, le projet a été dirigé</w:t>
      </w:r>
      <w:r w:rsidR="00245A05" w:rsidRPr="000F6A66">
        <w:rPr>
          <w:lang w:val="fr-FR"/>
        </w:rPr>
        <w:t>, au moins au départ,</w:t>
      </w:r>
      <w:r w:rsidR="00673334" w:rsidRPr="000F6A66">
        <w:rPr>
          <w:lang w:val="fr-FR"/>
        </w:rPr>
        <w:t xml:space="preserve"> par des spécialistes de la propriété intellectuelle plutôt que par des acteurs du tourisme.</w:t>
      </w:r>
    </w:p>
    <w:p w14:paraId="0FB24DA4" w14:textId="22FF8476" w:rsidR="001B04F7" w:rsidRPr="000F6A66" w:rsidRDefault="0084207E" w:rsidP="00675065">
      <w:pPr>
        <w:pStyle w:val="ONUMFS"/>
        <w:numPr>
          <w:ilvl w:val="0"/>
          <w:numId w:val="0"/>
        </w:numPr>
        <w:rPr>
          <w:lang w:val="fr-FR"/>
        </w:rPr>
      </w:pPr>
      <w:r w:rsidRPr="000F6A66">
        <w:rPr>
          <w:lang w:val="fr-FR"/>
        </w:rPr>
        <w:t>L</w:t>
      </w:r>
      <w:r w:rsidR="001B04F7" w:rsidRPr="000F6A66">
        <w:rPr>
          <w:lang w:val="fr-FR"/>
        </w:rPr>
        <w:t>’</w:t>
      </w:r>
      <w:r w:rsidRPr="000F6A66">
        <w:rPr>
          <w:lang w:val="fr-FR"/>
        </w:rPr>
        <w:t>approbation</w:t>
      </w:r>
      <w:r w:rsidR="00707C79" w:rsidRPr="000F6A66">
        <w:rPr>
          <w:lang w:val="fr-FR"/>
        </w:rPr>
        <w:t xml:space="preserve"> par</w:t>
      </w:r>
      <w:r w:rsidR="001B04F7" w:rsidRPr="000F6A66">
        <w:rPr>
          <w:lang w:val="fr-FR"/>
        </w:rPr>
        <w:t xml:space="preserve"> le CDI</w:t>
      </w:r>
      <w:r w:rsidR="00707C79" w:rsidRPr="000F6A66">
        <w:rPr>
          <w:lang w:val="fr-FR"/>
        </w:rPr>
        <w:t>P,</w:t>
      </w:r>
      <w:r w:rsidRPr="000F6A66">
        <w:rPr>
          <w:lang w:val="fr-FR"/>
        </w:rPr>
        <w:t xml:space="preserve"> par consensus</w:t>
      </w:r>
      <w:r w:rsidR="00707C79" w:rsidRPr="000F6A66">
        <w:rPr>
          <w:lang w:val="fr-FR"/>
        </w:rPr>
        <w:t>,</w:t>
      </w:r>
      <w:r w:rsidRPr="000F6A66">
        <w:rPr>
          <w:lang w:val="fr-FR"/>
        </w:rPr>
        <w:t xml:space="preserve"> </w:t>
      </w:r>
      <w:r w:rsidR="00707C79" w:rsidRPr="000F6A66">
        <w:rPr>
          <w:lang w:val="fr-FR"/>
        </w:rPr>
        <w:t xml:space="preserve">montre </w:t>
      </w:r>
      <w:r w:rsidRPr="000F6A66">
        <w:rPr>
          <w:lang w:val="fr-FR"/>
        </w:rPr>
        <w:t>que les États membres de l</w:t>
      </w:r>
      <w:r w:rsidR="001B04F7" w:rsidRPr="000F6A66">
        <w:rPr>
          <w:lang w:val="fr-FR"/>
        </w:rPr>
        <w:t>’</w:t>
      </w:r>
      <w:r w:rsidRPr="000F6A66">
        <w:rPr>
          <w:lang w:val="fr-FR"/>
        </w:rPr>
        <w:t>OMPI jugent le projet pertine</w:t>
      </w:r>
      <w:r w:rsidR="00655442" w:rsidRPr="000F6A66">
        <w:rPr>
          <w:lang w:val="fr-FR"/>
        </w:rPr>
        <w:t>nt.  Ce</w:t>
      </w:r>
      <w:r w:rsidR="00707C79" w:rsidRPr="000F6A66">
        <w:rPr>
          <w:lang w:val="fr-FR"/>
        </w:rPr>
        <w:t>lui</w:t>
      </w:r>
      <w:r w:rsidR="001B04F7" w:rsidRPr="000F6A66">
        <w:rPr>
          <w:lang w:val="fr-FR"/>
        </w:rPr>
        <w:t>-</w:t>
      </w:r>
      <w:r w:rsidR="00707C79" w:rsidRPr="000F6A66">
        <w:rPr>
          <w:lang w:val="fr-FR"/>
        </w:rPr>
        <w:t xml:space="preserve">ci </w:t>
      </w:r>
      <w:r w:rsidRPr="000F6A66">
        <w:rPr>
          <w:lang w:val="fr-FR"/>
        </w:rPr>
        <w:t xml:space="preserve">était </w:t>
      </w:r>
      <w:r w:rsidR="00707C79" w:rsidRPr="000F6A66">
        <w:rPr>
          <w:lang w:val="fr-FR"/>
        </w:rPr>
        <w:t xml:space="preserve">conforme aux </w:t>
      </w:r>
      <w:r w:rsidRPr="000F6A66">
        <w:rPr>
          <w:lang w:val="fr-FR"/>
        </w:rPr>
        <w:t>recommandations du Plan d</w:t>
      </w:r>
      <w:r w:rsidR="001B04F7" w:rsidRPr="000F6A66">
        <w:rPr>
          <w:lang w:val="fr-FR"/>
        </w:rPr>
        <w:t>’</w:t>
      </w:r>
      <w:r w:rsidRPr="000F6A66">
        <w:rPr>
          <w:lang w:val="fr-FR"/>
        </w:rPr>
        <w:t>action pour le développement qu</w:t>
      </w:r>
      <w:r w:rsidR="001B04F7" w:rsidRPr="000F6A66">
        <w:rPr>
          <w:lang w:val="fr-FR"/>
        </w:rPr>
        <w:t>’</w:t>
      </w:r>
      <w:r w:rsidRPr="000F6A66">
        <w:rPr>
          <w:lang w:val="fr-FR"/>
        </w:rPr>
        <w:t xml:space="preserve">il visait à mettre en œuvre, </w:t>
      </w:r>
      <w:r w:rsidR="00DF227F" w:rsidRPr="000F6A66">
        <w:rPr>
          <w:lang w:val="fr-FR"/>
        </w:rPr>
        <w:t>même si</w:t>
      </w:r>
      <w:r w:rsidRPr="000F6A66">
        <w:rPr>
          <w:lang w:val="fr-FR"/>
        </w:rPr>
        <w:t xml:space="preserve"> l</w:t>
      </w:r>
      <w:r w:rsidR="00707C79" w:rsidRPr="000F6A66">
        <w:rPr>
          <w:lang w:val="fr-FR"/>
        </w:rPr>
        <w:t xml:space="preserve">es résultats </w:t>
      </w:r>
      <w:r w:rsidR="00DF227F" w:rsidRPr="000F6A66">
        <w:rPr>
          <w:lang w:val="fr-FR"/>
        </w:rPr>
        <w:t xml:space="preserve">ont </w:t>
      </w:r>
      <w:r w:rsidRPr="000F6A66">
        <w:rPr>
          <w:lang w:val="fr-FR"/>
        </w:rPr>
        <w:t xml:space="preserve">été </w:t>
      </w:r>
      <w:r w:rsidR="00245A05" w:rsidRPr="000F6A66">
        <w:rPr>
          <w:lang w:val="fr-FR"/>
        </w:rPr>
        <w:t>assez</w:t>
      </w:r>
      <w:r w:rsidRPr="000F6A66">
        <w:rPr>
          <w:lang w:val="fr-FR"/>
        </w:rPr>
        <w:t xml:space="preserve"> </w:t>
      </w:r>
      <w:r w:rsidR="00707C79" w:rsidRPr="000F6A66">
        <w:rPr>
          <w:lang w:val="fr-FR"/>
        </w:rPr>
        <w:t>limit</w:t>
      </w:r>
      <w:r w:rsidR="00655442" w:rsidRPr="000F6A66">
        <w:rPr>
          <w:lang w:val="fr-FR"/>
        </w:rPr>
        <w:t>és.  Au</w:t>
      </w:r>
      <w:r w:rsidRPr="000F6A66">
        <w:rPr>
          <w:lang w:val="fr-FR"/>
        </w:rPr>
        <w:t>cune recommandation spécifique du Plan d</w:t>
      </w:r>
      <w:r w:rsidR="001B04F7" w:rsidRPr="000F6A66">
        <w:rPr>
          <w:lang w:val="fr-FR"/>
        </w:rPr>
        <w:t>’</w:t>
      </w:r>
      <w:r w:rsidRPr="000F6A66">
        <w:rPr>
          <w:lang w:val="fr-FR"/>
        </w:rPr>
        <w:t>action pour le développement n</w:t>
      </w:r>
      <w:r w:rsidR="001B04F7" w:rsidRPr="000F6A66">
        <w:rPr>
          <w:lang w:val="fr-FR"/>
        </w:rPr>
        <w:t>’</w:t>
      </w:r>
      <w:r w:rsidRPr="000F6A66">
        <w:rPr>
          <w:lang w:val="fr-FR"/>
        </w:rPr>
        <w:t xml:space="preserve">appelle expressément à se pencher sur la </w:t>
      </w:r>
      <w:r w:rsidR="00AD2D1A" w:rsidRPr="000F6A66">
        <w:rPr>
          <w:lang w:val="fr-FR"/>
        </w:rPr>
        <w:t>“</w:t>
      </w:r>
      <w:r w:rsidRPr="000F6A66">
        <w:rPr>
          <w:lang w:val="fr-FR"/>
        </w:rPr>
        <w:t>propriété intellectuelle au service du développement du tourisme</w:t>
      </w:r>
      <w:r w:rsidR="00AD2D1A" w:rsidRPr="000F6A66">
        <w:rPr>
          <w:lang w:val="fr-FR"/>
        </w:rPr>
        <w:t>”</w:t>
      </w:r>
      <w:r w:rsidRPr="000F6A66">
        <w:rPr>
          <w:lang w:val="fr-FR"/>
        </w:rPr>
        <w:t>.</w:t>
      </w:r>
    </w:p>
    <w:p w14:paraId="237B1707" w14:textId="5BCC2069" w:rsidR="001C1D6B" w:rsidRPr="000F6A66" w:rsidRDefault="00FC4962" w:rsidP="00675065">
      <w:pPr>
        <w:pStyle w:val="ONUMFS"/>
        <w:numPr>
          <w:ilvl w:val="0"/>
          <w:numId w:val="0"/>
        </w:numPr>
        <w:rPr>
          <w:lang w:val="fr-FR"/>
        </w:rPr>
      </w:pPr>
      <w:r w:rsidRPr="000F6A66">
        <w:rPr>
          <w:lang w:val="fr-FR"/>
        </w:rPr>
        <w:t>Les recommandations du Plan d</w:t>
      </w:r>
      <w:r w:rsidR="001B04F7" w:rsidRPr="000F6A66">
        <w:rPr>
          <w:lang w:val="fr-FR"/>
        </w:rPr>
        <w:t>’</w:t>
      </w:r>
      <w:r w:rsidRPr="000F6A66">
        <w:rPr>
          <w:lang w:val="fr-FR"/>
        </w:rPr>
        <w:t xml:space="preserve">action pour le développement portent généralement sur des questions qui doivent être </w:t>
      </w:r>
      <w:r w:rsidR="00707C79" w:rsidRPr="000F6A66">
        <w:rPr>
          <w:lang w:val="fr-FR"/>
        </w:rPr>
        <w:t>examinées</w:t>
      </w:r>
      <w:r w:rsidRPr="000F6A66">
        <w:rPr>
          <w:lang w:val="fr-FR"/>
        </w:rPr>
        <w:t xml:space="preserve"> pour améliorer la </w:t>
      </w:r>
      <w:r w:rsidR="00707C79" w:rsidRPr="000F6A66">
        <w:rPr>
          <w:lang w:val="fr-FR"/>
        </w:rPr>
        <w:t xml:space="preserve">valorisation </w:t>
      </w:r>
      <w:r w:rsidRPr="000F6A66">
        <w:rPr>
          <w:lang w:val="fr-FR"/>
        </w:rPr>
        <w:t xml:space="preserve">des droits de propriété intellectuelle au </w:t>
      </w:r>
      <w:r w:rsidR="00245A05" w:rsidRPr="000F6A66">
        <w:rPr>
          <w:lang w:val="fr-FR"/>
        </w:rPr>
        <w:t>service</w:t>
      </w:r>
      <w:r w:rsidRPr="000F6A66">
        <w:rPr>
          <w:lang w:val="fr-FR"/>
        </w:rPr>
        <w:t xml:space="preserve"> du développeme</w:t>
      </w:r>
      <w:r w:rsidR="00655442" w:rsidRPr="000F6A66">
        <w:rPr>
          <w:lang w:val="fr-FR"/>
        </w:rPr>
        <w:t>nt.  El</w:t>
      </w:r>
      <w:r w:rsidRPr="000F6A66">
        <w:rPr>
          <w:lang w:val="fr-FR"/>
        </w:rPr>
        <w:t xml:space="preserve">les ne sont </w:t>
      </w:r>
      <w:r w:rsidR="00DF227F" w:rsidRPr="000F6A66">
        <w:rPr>
          <w:lang w:val="fr-FR"/>
        </w:rPr>
        <w:t>en principe</w:t>
      </w:r>
      <w:r w:rsidRPr="000F6A66">
        <w:rPr>
          <w:lang w:val="fr-FR"/>
        </w:rPr>
        <w:t xml:space="preserve"> pas propres à un secteur d</w:t>
      </w:r>
      <w:r w:rsidR="001B04F7" w:rsidRPr="000F6A66">
        <w:rPr>
          <w:lang w:val="fr-FR"/>
        </w:rPr>
        <w:t>’</w:t>
      </w:r>
      <w:r w:rsidRPr="000F6A66">
        <w:rPr>
          <w:lang w:val="fr-FR"/>
        </w:rPr>
        <w:t xml:space="preserve">activité, </w:t>
      </w:r>
      <w:r w:rsidR="00707C79" w:rsidRPr="000F6A66">
        <w:rPr>
          <w:lang w:val="fr-FR"/>
        </w:rPr>
        <w:t>même si</w:t>
      </w:r>
      <w:r w:rsidRPr="000F6A66">
        <w:rPr>
          <w:lang w:val="fr-FR"/>
        </w:rPr>
        <w:t xml:space="preserve"> certaines questions </w:t>
      </w:r>
      <w:r w:rsidR="00707C79" w:rsidRPr="000F6A66">
        <w:rPr>
          <w:lang w:val="fr-FR"/>
        </w:rPr>
        <w:t xml:space="preserve">incluses </w:t>
      </w:r>
      <w:r w:rsidRPr="000F6A66">
        <w:rPr>
          <w:lang w:val="fr-FR"/>
        </w:rPr>
        <w:t>dans le Plan d</w:t>
      </w:r>
      <w:r w:rsidR="001B04F7" w:rsidRPr="000F6A66">
        <w:rPr>
          <w:lang w:val="fr-FR"/>
        </w:rPr>
        <w:t>’</w:t>
      </w:r>
      <w:r w:rsidRPr="000F6A66">
        <w:rPr>
          <w:lang w:val="fr-FR"/>
        </w:rPr>
        <w:t xml:space="preserve">action pour le développement </w:t>
      </w:r>
      <w:r w:rsidR="00707C79" w:rsidRPr="000F6A66">
        <w:rPr>
          <w:lang w:val="fr-FR"/>
        </w:rPr>
        <w:t xml:space="preserve">peuvent </w:t>
      </w:r>
      <w:r w:rsidRPr="000F6A66">
        <w:rPr>
          <w:lang w:val="fr-FR"/>
        </w:rPr>
        <w:t>être plus pertinentes pour certains secteurs que pour d</w:t>
      </w:r>
      <w:r w:rsidR="001B04F7" w:rsidRPr="000F6A66">
        <w:rPr>
          <w:lang w:val="fr-FR"/>
        </w:rPr>
        <w:t>’</w:t>
      </w:r>
      <w:r w:rsidRPr="000F6A66">
        <w:rPr>
          <w:lang w:val="fr-FR"/>
        </w:rPr>
        <w:t>autr</w:t>
      </w:r>
      <w:r w:rsidR="00655442" w:rsidRPr="000F6A66">
        <w:rPr>
          <w:lang w:val="fr-FR"/>
        </w:rPr>
        <w:t>es.  Le</w:t>
      </w:r>
      <w:r w:rsidRPr="000F6A66">
        <w:rPr>
          <w:lang w:val="fr-FR"/>
        </w:rPr>
        <w:t>s programmes ordinaires de l</w:t>
      </w:r>
      <w:r w:rsidR="001B04F7" w:rsidRPr="000F6A66">
        <w:rPr>
          <w:lang w:val="fr-FR"/>
        </w:rPr>
        <w:t>’</w:t>
      </w:r>
      <w:r w:rsidRPr="000F6A66">
        <w:rPr>
          <w:lang w:val="fr-FR"/>
        </w:rPr>
        <w:t xml:space="preserve">OMPI ne sont pas non plus propres à un secteur </w:t>
      </w:r>
      <w:r w:rsidR="00245A05" w:rsidRPr="000F6A66">
        <w:rPr>
          <w:lang w:val="fr-FR"/>
        </w:rPr>
        <w:t>don</w:t>
      </w:r>
      <w:r w:rsidR="00655442" w:rsidRPr="000F6A66">
        <w:rPr>
          <w:lang w:val="fr-FR"/>
        </w:rPr>
        <w:t>né.  Le</w:t>
      </w:r>
      <w:r w:rsidR="00213929" w:rsidRPr="000F6A66">
        <w:rPr>
          <w:lang w:val="fr-FR"/>
        </w:rPr>
        <w:t xml:space="preserve">s services fournis </w:t>
      </w:r>
      <w:r w:rsidR="00707C79" w:rsidRPr="000F6A66">
        <w:rPr>
          <w:lang w:val="fr-FR"/>
        </w:rPr>
        <w:t xml:space="preserve">existent </w:t>
      </w:r>
      <w:r w:rsidR="00213929" w:rsidRPr="000F6A66">
        <w:rPr>
          <w:lang w:val="fr-FR"/>
        </w:rPr>
        <w:t>déjà dans différents programmes existants de l</w:t>
      </w:r>
      <w:r w:rsidR="001B04F7" w:rsidRPr="000F6A66">
        <w:rPr>
          <w:lang w:val="fr-FR"/>
        </w:rPr>
        <w:t>’</w:t>
      </w:r>
      <w:r w:rsidR="00213929" w:rsidRPr="000F6A66">
        <w:rPr>
          <w:lang w:val="fr-FR"/>
        </w:rPr>
        <w:t>OMPI (études économiques, appui</w:t>
      </w:r>
      <w:r w:rsidR="001B04F7" w:rsidRPr="000F6A66">
        <w:rPr>
          <w:lang w:val="fr-FR"/>
        </w:rPr>
        <w:t xml:space="preserve"> aux PME</w:t>
      </w:r>
      <w:r w:rsidR="00213929" w:rsidRPr="000F6A66">
        <w:rPr>
          <w:lang w:val="fr-FR"/>
        </w:rPr>
        <w:t xml:space="preserve">, renforcement des capacités des offices de propriété intellectuelle, enseignement de la propriété intellectuelle), mais le projet les a appliqués </w:t>
      </w:r>
      <w:r w:rsidR="00707C79" w:rsidRPr="000F6A66">
        <w:rPr>
          <w:lang w:val="fr-FR"/>
        </w:rPr>
        <w:t>expressément</w:t>
      </w:r>
      <w:r w:rsidR="00213929" w:rsidRPr="000F6A66">
        <w:rPr>
          <w:lang w:val="fr-FR"/>
        </w:rPr>
        <w:t xml:space="preserve"> au développement du tourisme.</w:t>
      </w:r>
    </w:p>
    <w:p w14:paraId="6217935A" w14:textId="42E272E7" w:rsidR="001C1D6B" w:rsidRPr="000F6A66" w:rsidRDefault="00A87D35" w:rsidP="00675065">
      <w:pPr>
        <w:pStyle w:val="ONUMFS"/>
        <w:numPr>
          <w:ilvl w:val="0"/>
          <w:numId w:val="0"/>
        </w:numPr>
        <w:rPr>
          <w:lang w:val="fr-FR"/>
        </w:rPr>
      </w:pPr>
      <w:r w:rsidRPr="000F6A66">
        <w:rPr>
          <w:lang w:val="fr-FR"/>
        </w:rPr>
        <w:t xml:space="preserve">Si un nouveau projet proposé </w:t>
      </w:r>
      <w:r w:rsidR="00245A05" w:rsidRPr="000F6A66">
        <w:rPr>
          <w:lang w:val="fr-FR"/>
        </w:rPr>
        <w:t xml:space="preserve">au titre </w:t>
      </w:r>
      <w:r w:rsidRPr="000F6A66">
        <w:rPr>
          <w:lang w:val="fr-FR"/>
        </w:rPr>
        <w:t>du Plan d</w:t>
      </w:r>
      <w:r w:rsidR="001B04F7" w:rsidRPr="000F6A66">
        <w:rPr>
          <w:lang w:val="fr-FR"/>
        </w:rPr>
        <w:t>’</w:t>
      </w:r>
      <w:r w:rsidRPr="000F6A66">
        <w:rPr>
          <w:lang w:val="fr-FR"/>
        </w:rPr>
        <w:t xml:space="preserve">action pour le développement ne </w:t>
      </w:r>
      <w:r w:rsidR="00707C79" w:rsidRPr="000F6A66">
        <w:rPr>
          <w:lang w:val="fr-FR"/>
        </w:rPr>
        <w:t>correspond</w:t>
      </w:r>
      <w:r w:rsidRPr="000F6A66">
        <w:rPr>
          <w:lang w:val="fr-FR"/>
        </w:rPr>
        <w:t xml:space="preserve"> pas </w:t>
      </w:r>
      <w:r w:rsidR="00707C79" w:rsidRPr="000F6A66">
        <w:rPr>
          <w:lang w:val="fr-FR"/>
        </w:rPr>
        <w:t xml:space="preserve">exactement </w:t>
      </w:r>
      <w:r w:rsidRPr="000F6A66">
        <w:rPr>
          <w:lang w:val="fr-FR"/>
        </w:rPr>
        <w:t xml:space="preserve">à une recommandation </w:t>
      </w:r>
      <w:r w:rsidR="00707C79" w:rsidRPr="000F6A66">
        <w:rPr>
          <w:lang w:val="fr-FR"/>
        </w:rPr>
        <w:t xml:space="preserve">donnée </w:t>
      </w:r>
      <w:r w:rsidRPr="000F6A66">
        <w:rPr>
          <w:lang w:val="fr-FR"/>
        </w:rPr>
        <w:t xml:space="preserve">du plan, </w:t>
      </w:r>
      <w:r w:rsidR="00245A05" w:rsidRPr="000F6A66">
        <w:rPr>
          <w:lang w:val="fr-FR"/>
        </w:rPr>
        <w:t>des échanges de vues</w:t>
      </w:r>
      <w:r w:rsidRPr="000F6A66">
        <w:rPr>
          <w:lang w:val="fr-FR"/>
        </w:rPr>
        <w:t xml:space="preserve"> préalable</w:t>
      </w:r>
      <w:r w:rsidR="00245A05" w:rsidRPr="000F6A66">
        <w:rPr>
          <w:lang w:val="fr-FR"/>
        </w:rPr>
        <w:t>s</w:t>
      </w:r>
      <w:r w:rsidRPr="000F6A66">
        <w:rPr>
          <w:lang w:val="fr-FR"/>
        </w:rPr>
        <w:t xml:space="preserve"> entre les États membres (sur la base d</w:t>
      </w:r>
      <w:r w:rsidR="001B04F7" w:rsidRPr="000F6A66">
        <w:rPr>
          <w:lang w:val="fr-FR"/>
        </w:rPr>
        <w:t>’</w:t>
      </w:r>
      <w:r w:rsidRPr="000F6A66">
        <w:rPr>
          <w:lang w:val="fr-FR"/>
        </w:rPr>
        <w:t>un document de travail) aiderai</w:t>
      </w:r>
      <w:r w:rsidR="00245A05" w:rsidRPr="000F6A66">
        <w:rPr>
          <w:lang w:val="fr-FR"/>
        </w:rPr>
        <w:t>en</w:t>
      </w:r>
      <w:r w:rsidRPr="000F6A66">
        <w:rPr>
          <w:lang w:val="fr-FR"/>
        </w:rPr>
        <w:t xml:space="preserve">t le Secrétariat à faire en sorte que les attentes et les besoins de tous les États membres soient pleinement satisfaits et que le projet proposé </w:t>
      </w:r>
      <w:r w:rsidR="00707C79" w:rsidRPr="000F6A66">
        <w:rPr>
          <w:lang w:val="fr-FR"/>
        </w:rPr>
        <w:t xml:space="preserve">utilise </w:t>
      </w:r>
      <w:r w:rsidRPr="000F6A66">
        <w:rPr>
          <w:lang w:val="fr-FR"/>
        </w:rPr>
        <w:t>toutes les ressources internes existantes du Secrétariat.</w:t>
      </w:r>
    </w:p>
    <w:p w14:paraId="785D0176" w14:textId="46134C24" w:rsidR="001C1D6B" w:rsidRPr="000F6A66" w:rsidRDefault="00A87D35" w:rsidP="00675065">
      <w:pPr>
        <w:pStyle w:val="ONUMFS"/>
        <w:numPr>
          <w:ilvl w:val="0"/>
          <w:numId w:val="0"/>
        </w:numPr>
        <w:rPr>
          <w:b/>
          <w:bCs/>
          <w:lang w:val="fr-FR"/>
        </w:rPr>
      </w:pPr>
      <w:r w:rsidRPr="000F6A66">
        <w:rPr>
          <w:b/>
          <w:bCs/>
          <w:lang w:val="fr-FR"/>
        </w:rPr>
        <w:t>Conclusion</w:t>
      </w:r>
      <w:r w:rsidR="00707C79" w:rsidRPr="000F6A66">
        <w:rPr>
          <w:b/>
          <w:bCs/>
          <w:lang w:val="fr-FR"/>
        </w:rPr>
        <w:t xml:space="preserve"> n°</w:t>
      </w:r>
      <w:r w:rsidR="0019339C" w:rsidRPr="000F6A66">
        <w:rPr>
          <w:b/>
          <w:bCs/>
          <w:lang w:val="fr-FR"/>
        </w:rPr>
        <w:t> </w:t>
      </w:r>
      <w:r w:rsidRPr="000F6A66">
        <w:rPr>
          <w:b/>
          <w:bCs/>
          <w:lang w:val="fr-FR"/>
        </w:rPr>
        <w:t>3 sur l</w:t>
      </w:r>
      <w:r w:rsidR="001B04F7" w:rsidRPr="000F6A66">
        <w:rPr>
          <w:b/>
          <w:bCs/>
          <w:lang w:val="fr-FR"/>
        </w:rPr>
        <w:t>’</w:t>
      </w:r>
      <w:r w:rsidRPr="000F6A66">
        <w:rPr>
          <w:b/>
          <w:bCs/>
          <w:lang w:val="fr-FR"/>
        </w:rPr>
        <w:t>efficacité et la pérennité des résultats</w:t>
      </w:r>
    </w:p>
    <w:p w14:paraId="6A9EDAFB" w14:textId="23C5614A" w:rsidR="001C1D6B" w:rsidRPr="000F6A66" w:rsidRDefault="0073355D" w:rsidP="00675065">
      <w:pPr>
        <w:pStyle w:val="ONUMFS"/>
        <w:numPr>
          <w:ilvl w:val="0"/>
          <w:numId w:val="0"/>
        </w:numPr>
        <w:rPr>
          <w:lang w:val="fr-FR"/>
        </w:rPr>
      </w:pPr>
      <w:r w:rsidRPr="000F6A66">
        <w:rPr>
          <w:lang w:val="fr-FR"/>
        </w:rPr>
        <w:t>Sur la base d</w:t>
      </w:r>
      <w:r w:rsidR="001B04F7" w:rsidRPr="000F6A66">
        <w:rPr>
          <w:lang w:val="fr-FR"/>
        </w:rPr>
        <w:t>’</w:t>
      </w:r>
      <w:r w:rsidRPr="000F6A66">
        <w:rPr>
          <w:lang w:val="fr-FR"/>
        </w:rPr>
        <w:t xml:space="preserve">une validation </w:t>
      </w:r>
      <w:r w:rsidR="009D218F" w:rsidRPr="000F6A66">
        <w:rPr>
          <w:lang w:val="fr-FR"/>
        </w:rPr>
        <w:t>après</w:t>
      </w:r>
      <w:r w:rsidRPr="000F6A66">
        <w:rPr>
          <w:lang w:val="fr-FR"/>
        </w:rPr>
        <w:t xml:space="preserve"> examen </w:t>
      </w:r>
      <w:r w:rsidR="009D218F" w:rsidRPr="000F6A66">
        <w:rPr>
          <w:lang w:val="fr-FR"/>
        </w:rPr>
        <w:t xml:space="preserve">préliminaire </w:t>
      </w:r>
      <w:r w:rsidR="00707C79" w:rsidRPr="000F6A66">
        <w:rPr>
          <w:lang w:val="fr-FR"/>
        </w:rPr>
        <w:t>de</w:t>
      </w:r>
      <w:r w:rsidRPr="000F6A66">
        <w:rPr>
          <w:lang w:val="fr-FR"/>
        </w:rPr>
        <w:t xml:space="preserve"> rapports, enquêtes internes et entretiens, l</w:t>
      </w:r>
      <w:r w:rsidR="001B04F7" w:rsidRPr="000F6A66">
        <w:rPr>
          <w:lang w:val="fr-FR"/>
        </w:rPr>
        <w:t>’</w:t>
      </w:r>
      <w:r w:rsidRPr="000F6A66">
        <w:rPr>
          <w:lang w:val="fr-FR"/>
        </w:rPr>
        <w:t>évaluateur approuve le projet de rapport d</w:t>
      </w:r>
      <w:r w:rsidR="001B04F7" w:rsidRPr="000F6A66">
        <w:rPr>
          <w:lang w:val="fr-FR"/>
        </w:rPr>
        <w:t>’</w:t>
      </w:r>
      <w:r w:rsidRPr="000F6A66">
        <w:rPr>
          <w:lang w:val="fr-FR"/>
        </w:rPr>
        <w:t>achèvement établi par l</w:t>
      </w:r>
      <w:r w:rsidR="009D218F" w:rsidRPr="000F6A66">
        <w:rPr>
          <w:lang w:val="fr-FR"/>
        </w:rPr>
        <w:t>e</w:t>
      </w:r>
      <w:r w:rsidRPr="000F6A66">
        <w:rPr>
          <w:lang w:val="fr-FR"/>
        </w:rPr>
        <w:t xml:space="preserve"> </w:t>
      </w:r>
      <w:r w:rsidR="009D218F" w:rsidRPr="000F6A66">
        <w:rPr>
          <w:lang w:val="fr-FR"/>
        </w:rPr>
        <w:t>chef</w:t>
      </w:r>
      <w:r w:rsidRPr="000F6A66">
        <w:rPr>
          <w:lang w:val="fr-FR"/>
        </w:rPr>
        <w:t xml:space="preserve"> de proj</w:t>
      </w:r>
      <w:r w:rsidR="00655442" w:rsidRPr="000F6A66">
        <w:rPr>
          <w:lang w:val="fr-FR"/>
        </w:rPr>
        <w:t>et.  Pr</w:t>
      </w:r>
      <w:r w:rsidR="00557B80" w:rsidRPr="000F6A66">
        <w:rPr>
          <w:lang w:val="fr-FR"/>
        </w:rPr>
        <w:t>incipaux résultats attendus</w:t>
      </w:r>
      <w:r w:rsidR="001B04F7" w:rsidRPr="000F6A66">
        <w:rPr>
          <w:lang w:val="fr-FR"/>
        </w:rPr>
        <w:t> :</w:t>
      </w:r>
      <w:r w:rsidR="00557B80" w:rsidRPr="000F6A66">
        <w:rPr>
          <w:lang w:val="fr-FR"/>
        </w:rPr>
        <w:t xml:space="preserve"> a)</w:t>
      </w:r>
      <w:r w:rsidR="004C05D1" w:rsidRPr="000F6A66">
        <w:rPr>
          <w:lang w:val="fr-FR"/>
        </w:rPr>
        <w:t> </w:t>
      </w:r>
      <w:r w:rsidR="00557B80" w:rsidRPr="000F6A66">
        <w:rPr>
          <w:lang w:val="fr-FR"/>
        </w:rPr>
        <w:t>Études de cas dans quatre</w:t>
      </w:r>
      <w:r w:rsidR="004C05D1" w:rsidRPr="000F6A66">
        <w:rPr>
          <w:lang w:val="fr-FR"/>
        </w:rPr>
        <w:t> </w:t>
      </w:r>
      <w:r w:rsidR="00557B80" w:rsidRPr="000F6A66">
        <w:rPr>
          <w:lang w:val="fr-FR"/>
        </w:rPr>
        <w:t>pays démontrant les avantages de la propriété intellectuelle pour le développement du tourisme, b)</w:t>
      </w:r>
      <w:r w:rsidR="004C05D1" w:rsidRPr="000F6A66">
        <w:rPr>
          <w:lang w:val="fr-FR"/>
        </w:rPr>
        <w:t> </w:t>
      </w:r>
      <w:r w:rsidR="00557B80" w:rsidRPr="000F6A66">
        <w:rPr>
          <w:lang w:val="fr-FR"/>
        </w:rPr>
        <w:t xml:space="preserve">événements nationaux </w:t>
      </w:r>
      <w:r w:rsidR="00707C79" w:rsidRPr="000F6A66">
        <w:rPr>
          <w:lang w:val="fr-FR"/>
        </w:rPr>
        <w:t xml:space="preserve">de </w:t>
      </w:r>
      <w:r w:rsidR="00557B80" w:rsidRPr="000F6A66">
        <w:rPr>
          <w:lang w:val="fr-FR"/>
        </w:rPr>
        <w:t>renforcement des capacités, c)</w:t>
      </w:r>
      <w:r w:rsidR="004C05D1" w:rsidRPr="000F6A66">
        <w:rPr>
          <w:lang w:val="fr-FR"/>
        </w:rPr>
        <w:t> </w:t>
      </w:r>
      <w:r w:rsidR="00557B80" w:rsidRPr="000F6A66">
        <w:rPr>
          <w:lang w:val="fr-FR"/>
        </w:rPr>
        <w:t xml:space="preserve">élaboration de programmes </w:t>
      </w:r>
      <w:r w:rsidR="009D218F" w:rsidRPr="000F6A66">
        <w:rPr>
          <w:lang w:val="fr-FR"/>
        </w:rPr>
        <w:t xml:space="preserve">de cours </w:t>
      </w:r>
      <w:r w:rsidR="00707C79" w:rsidRPr="000F6A66">
        <w:rPr>
          <w:lang w:val="fr-FR"/>
        </w:rPr>
        <w:t>intégrant</w:t>
      </w:r>
      <w:r w:rsidR="009D218F" w:rsidRPr="000F6A66">
        <w:rPr>
          <w:lang w:val="fr-FR"/>
        </w:rPr>
        <w:t xml:space="preserve"> </w:t>
      </w:r>
      <w:r w:rsidR="00557B80" w:rsidRPr="000F6A66">
        <w:rPr>
          <w:lang w:val="fr-FR"/>
        </w:rPr>
        <w:t>la propriété intellectuelle dans les écoles de tourisme et les universités</w:t>
      </w:r>
      <w:r w:rsidR="00707C79" w:rsidRPr="000F6A66">
        <w:rPr>
          <w:lang w:val="fr-FR"/>
        </w:rPr>
        <w:t>,</w:t>
      </w:r>
      <w:r w:rsidR="00557B80" w:rsidRPr="000F6A66">
        <w:rPr>
          <w:lang w:val="fr-FR"/>
        </w:rPr>
        <w:t xml:space="preserve"> et d)</w:t>
      </w:r>
      <w:r w:rsidR="004C05D1" w:rsidRPr="000F6A66">
        <w:rPr>
          <w:lang w:val="fr-FR"/>
        </w:rPr>
        <w:t> </w:t>
      </w:r>
      <w:r w:rsidR="00557B80" w:rsidRPr="000F6A66">
        <w:rPr>
          <w:lang w:val="fr-FR"/>
        </w:rPr>
        <w:t>guide pratique du tourisme (encore</w:t>
      </w:r>
      <w:r w:rsidR="00DF227F" w:rsidRPr="000F6A66">
        <w:rPr>
          <w:lang w:val="fr-FR"/>
        </w:rPr>
        <w:t xml:space="preserve"> au stade de projet et</w:t>
      </w:r>
      <w:r w:rsidR="009D218F" w:rsidRPr="000F6A66">
        <w:rPr>
          <w:lang w:val="fr-FR"/>
        </w:rPr>
        <w:t xml:space="preserve"> devant être</w:t>
      </w:r>
      <w:r w:rsidR="00557B80" w:rsidRPr="000F6A66">
        <w:rPr>
          <w:lang w:val="fr-FR"/>
        </w:rPr>
        <w:t xml:space="preserve"> mis à jour </w:t>
      </w:r>
      <w:r w:rsidR="00707C79" w:rsidRPr="000F6A66">
        <w:rPr>
          <w:lang w:val="fr-FR"/>
        </w:rPr>
        <w:t>en vue</w:t>
      </w:r>
      <w:r w:rsidR="00557B80" w:rsidRPr="000F6A66">
        <w:rPr>
          <w:lang w:val="fr-FR"/>
        </w:rPr>
        <w:t xml:space="preserve"> d</w:t>
      </w:r>
      <w:r w:rsidR="001B04F7" w:rsidRPr="000F6A66">
        <w:rPr>
          <w:lang w:val="fr-FR"/>
        </w:rPr>
        <w:t>’</w:t>
      </w:r>
      <w:r w:rsidR="00557B80" w:rsidRPr="000F6A66">
        <w:rPr>
          <w:lang w:val="fr-FR"/>
        </w:rPr>
        <w:t>une publication conjointe avec l</w:t>
      </w:r>
      <w:r w:rsidR="001B04F7" w:rsidRPr="000F6A66">
        <w:rPr>
          <w:lang w:val="fr-FR"/>
        </w:rPr>
        <w:t>’</w:t>
      </w:r>
      <w:r w:rsidR="00557B80" w:rsidRPr="000F6A66">
        <w:rPr>
          <w:lang w:val="fr-FR"/>
        </w:rPr>
        <w:t>Organisation mondiale du tourisme (OMT)).</w:t>
      </w:r>
    </w:p>
    <w:p w14:paraId="1F02ADFB" w14:textId="5316BA2A" w:rsidR="001C1D6B" w:rsidRPr="000F6A66" w:rsidRDefault="006D6884" w:rsidP="00675065">
      <w:pPr>
        <w:pStyle w:val="ONUMFS"/>
        <w:numPr>
          <w:ilvl w:val="0"/>
          <w:numId w:val="0"/>
        </w:numPr>
        <w:rPr>
          <w:lang w:val="fr-FR"/>
        </w:rPr>
      </w:pPr>
      <w:r w:rsidRPr="000F6A66">
        <w:rPr>
          <w:lang w:val="fr-FR"/>
        </w:rPr>
        <w:t>L</w:t>
      </w:r>
      <w:r w:rsidR="00557B80" w:rsidRPr="000F6A66">
        <w:rPr>
          <w:lang w:val="fr-FR"/>
        </w:rPr>
        <w:t>es</w:t>
      </w:r>
      <w:r w:rsidRPr="000F6A66">
        <w:rPr>
          <w:lang w:val="fr-FR"/>
        </w:rPr>
        <w:t xml:space="preserve"> </w:t>
      </w:r>
      <w:r w:rsidR="00557B80" w:rsidRPr="000F6A66">
        <w:rPr>
          <w:lang w:val="fr-FR"/>
        </w:rPr>
        <w:t xml:space="preserve">résultats sont </w:t>
      </w:r>
      <w:r w:rsidRPr="000F6A66">
        <w:rPr>
          <w:lang w:val="fr-FR"/>
        </w:rPr>
        <w:t>globalement bo</w:t>
      </w:r>
      <w:r w:rsidR="00655442" w:rsidRPr="000F6A66">
        <w:rPr>
          <w:lang w:val="fr-FR"/>
        </w:rPr>
        <w:t>ns.  Sa</w:t>
      </w:r>
      <w:r w:rsidR="00557B80" w:rsidRPr="000F6A66">
        <w:rPr>
          <w:lang w:val="fr-FR"/>
        </w:rPr>
        <w:t>ns surprise, les principales conclusions et recommandations des études sont assez évident</w:t>
      </w:r>
      <w:r w:rsidR="00655442" w:rsidRPr="000F6A66">
        <w:rPr>
          <w:lang w:val="fr-FR"/>
        </w:rPr>
        <w:t>es.  La</w:t>
      </w:r>
      <w:r w:rsidR="00596E70" w:rsidRPr="000F6A66">
        <w:rPr>
          <w:lang w:val="fr-FR"/>
        </w:rPr>
        <w:t xml:space="preserve"> valeur ajoutée des études menées au </w:t>
      </w:r>
      <w:r w:rsidR="00596E70" w:rsidRPr="000F6A66">
        <w:rPr>
          <w:lang w:val="fr-FR"/>
        </w:rPr>
        <w:lastRenderedPageBreak/>
        <w:t xml:space="preserve">niveau national a principalement consisté à </w:t>
      </w:r>
      <w:r w:rsidR="00592678" w:rsidRPr="000F6A66">
        <w:rPr>
          <w:lang w:val="fr-FR"/>
        </w:rPr>
        <w:t>expliquer la méthode d</w:t>
      </w:r>
      <w:r w:rsidR="001B04F7" w:rsidRPr="000F6A66">
        <w:rPr>
          <w:lang w:val="fr-FR"/>
        </w:rPr>
        <w:t>’</w:t>
      </w:r>
      <w:r w:rsidR="00592678" w:rsidRPr="000F6A66">
        <w:rPr>
          <w:lang w:val="fr-FR"/>
        </w:rPr>
        <w:t xml:space="preserve">évaluation de </w:t>
      </w:r>
      <w:r w:rsidR="00596E70" w:rsidRPr="000F6A66">
        <w:rPr>
          <w:lang w:val="fr-FR"/>
        </w:rPr>
        <w:t>l</w:t>
      </w:r>
      <w:r w:rsidR="001B04F7" w:rsidRPr="000F6A66">
        <w:rPr>
          <w:lang w:val="fr-FR"/>
        </w:rPr>
        <w:t>’</w:t>
      </w:r>
      <w:r w:rsidR="00596E70" w:rsidRPr="000F6A66">
        <w:rPr>
          <w:lang w:val="fr-FR"/>
        </w:rPr>
        <w:t xml:space="preserve">utilisation de la propriété intellectuelle dans un secteur </w:t>
      </w:r>
      <w:r w:rsidRPr="000F6A66">
        <w:rPr>
          <w:lang w:val="fr-FR"/>
        </w:rPr>
        <w:t>donné</w:t>
      </w:r>
      <w:r w:rsidR="00596E70" w:rsidRPr="000F6A66">
        <w:rPr>
          <w:lang w:val="fr-FR"/>
        </w:rPr>
        <w:t>.</w:t>
      </w:r>
    </w:p>
    <w:p w14:paraId="5DC91FE8" w14:textId="4F8F5049" w:rsidR="001C1D6B" w:rsidRPr="000F6A66" w:rsidRDefault="00DD26CA" w:rsidP="00675065">
      <w:pPr>
        <w:pStyle w:val="ONUMFS"/>
        <w:numPr>
          <w:ilvl w:val="0"/>
          <w:numId w:val="0"/>
        </w:numPr>
        <w:rPr>
          <w:lang w:val="fr-FR"/>
        </w:rPr>
      </w:pPr>
      <w:r w:rsidRPr="000F6A66">
        <w:rPr>
          <w:lang w:val="fr-FR"/>
        </w:rPr>
        <w:t xml:space="preserve">En Égypte, </w:t>
      </w:r>
      <w:r w:rsidR="004C05D1" w:rsidRPr="000F6A66">
        <w:rPr>
          <w:lang w:val="fr-FR"/>
        </w:rPr>
        <w:t>à</w:t>
      </w:r>
      <w:r w:rsidRPr="000F6A66">
        <w:rPr>
          <w:lang w:val="fr-FR"/>
        </w:rPr>
        <w:t xml:space="preserve"> Sri</w:t>
      </w:r>
      <w:r w:rsidR="004C05D1" w:rsidRPr="000F6A66">
        <w:rPr>
          <w:lang w:val="fr-FR"/>
        </w:rPr>
        <w:t> </w:t>
      </w:r>
      <w:r w:rsidRPr="000F6A66">
        <w:rPr>
          <w:lang w:val="fr-FR"/>
        </w:rPr>
        <w:t xml:space="preserve">Lanka et en Namibie, des données empiriques montrent </w:t>
      </w:r>
      <w:r w:rsidR="00592678" w:rsidRPr="000F6A66">
        <w:rPr>
          <w:lang w:val="fr-FR"/>
        </w:rPr>
        <w:t xml:space="preserve">une plus grande </w:t>
      </w:r>
      <w:r w:rsidRPr="000F6A66">
        <w:rPr>
          <w:lang w:val="fr-FR"/>
        </w:rPr>
        <w:t xml:space="preserve">sensibilisation à la </w:t>
      </w:r>
      <w:r w:rsidR="006D6884" w:rsidRPr="000F6A66">
        <w:rPr>
          <w:lang w:val="fr-FR"/>
        </w:rPr>
        <w:t>valorisation</w:t>
      </w:r>
      <w:r w:rsidRPr="000F6A66">
        <w:rPr>
          <w:lang w:val="fr-FR"/>
        </w:rPr>
        <w:t xml:space="preserve"> de la propriété intellectuelle dans le secteur du tourisme, mais rien n</w:t>
      </w:r>
      <w:r w:rsidR="001B04F7" w:rsidRPr="000F6A66">
        <w:rPr>
          <w:lang w:val="fr-FR"/>
        </w:rPr>
        <w:t>’</w:t>
      </w:r>
      <w:r w:rsidRPr="000F6A66">
        <w:rPr>
          <w:lang w:val="fr-FR"/>
        </w:rPr>
        <w:t xml:space="preserve">indique que cela ait déjà débouché sur des </w:t>
      </w:r>
      <w:r w:rsidR="00592678" w:rsidRPr="000F6A66">
        <w:rPr>
          <w:lang w:val="fr-FR"/>
        </w:rPr>
        <w:t>mesures</w:t>
      </w:r>
      <w:r w:rsidRPr="000F6A66">
        <w:rPr>
          <w:lang w:val="fr-FR"/>
        </w:rPr>
        <w:t xml:space="preserve"> spécifiques ou même des avantages plus importan</w:t>
      </w:r>
      <w:r w:rsidR="00655442" w:rsidRPr="000F6A66">
        <w:rPr>
          <w:lang w:val="fr-FR"/>
        </w:rPr>
        <w:t>ts.  Da</w:t>
      </w:r>
      <w:r w:rsidRPr="000F6A66">
        <w:rPr>
          <w:lang w:val="fr-FR"/>
        </w:rPr>
        <w:t>ns ces trois</w:t>
      </w:r>
      <w:r w:rsidR="004C05D1" w:rsidRPr="000F6A66">
        <w:rPr>
          <w:lang w:val="fr-FR"/>
        </w:rPr>
        <w:t> </w:t>
      </w:r>
      <w:r w:rsidRPr="000F6A66">
        <w:rPr>
          <w:lang w:val="fr-FR"/>
        </w:rPr>
        <w:t>pays, aucune décision n</w:t>
      </w:r>
      <w:r w:rsidR="001B04F7" w:rsidRPr="000F6A66">
        <w:rPr>
          <w:lang w:val="fr-FR"/>
        </w:rPr>
        <w:t>’</w:t>
      </w:r>
      <w:r w:rsidRPr="000F6A66">
        <w:rPr>
          <w:lang w:val="fr-FR"/>
        </w:rPr>
        <w:t>a été prise concernant l</w:t>
      </w:r>
      <w:r w:rsidR="001B04F7" w:rsidRPr="000F6A66">
        <w:rPr>
          <w:lang w:val="fr-FR"/>
        </w:rPr>
        <w:t>’</w:t>
      </w:r>
      <w:r w:rsidRPr="000F6A66">
        <w:rPr>
          <w:lang w:val="fr-FR"/>
        </w:rPr>
        <w:t>introduction de cours sur la propriété intellectuelle dans l</w:t>
      </w:r>
      <w:r w:rsidR="001B04F7" w:rsidRPr="000F6A66">
        <w:rPr>
          <w:lang w:val="fr-FR"/>
        </w:rPr>
        <w:t>’</w:t>
      </w:r>
      <w:r w:rsidRPr="000F6A66">
        <w:rPr>
          <w:lang w:val="fr-FR"/>
        </w:rPr>
        <w:t xml:space="preserve">enseignement </w:t>
      </w:r>
      <w:r w:rsidR="00592678" w:rsidRPr="000F6A66">
        <w:rPr>
          <w:lang w:val="fr-FR"/>
        </w:rPr>
        <w:t xml:space="preserve">relatif au </w:t>
      </w:r>
      <w:r w:rsidRPr="000F6A66">
        <w:rPr>
          <w:lang w:val="fr-FR"/>
        </w:rPr>
        <w:t>touris</w:t>
      </w:r>
      <w:r w:rsidR="00655442" w:rsidRPr="000F6A66">
        <w:rPr>
          <w:lang w:val="fr-FR"/>
        </w:rPr>
        <w:t>me.  On</w:t>
      </w:r>
      <w:r w:rsidRPr="000F6A66">
        <w:rPr>
          <w:lang w:val="fr-FR"/>
        </w:rPr>
        <w:t xml:space="preserve"> ne sait pas s</w:t>
      </w:r>
      <w:r w:rsidR="006D6884" w:rsidRPr="000F6A66">
        <w:rPr>
          <w:lang w:val="fr-FR"/>
        </w:rPr>
        <w:t xml:space="preserve">i et quand </w:t>
      </w:r>
      <w:r w:rsidRPr="000F6A66">
        <w:rPr>
          <w:lang w:val="fr-FR"/>
        </w:rPr>
        <w:t>ils ser</w:t>
      </w:r>
      <w:r w:rsidR="006D6884" w:rsidRPr="000F6A66">
        <w:rPr>
          <w:lang w:val="fr-FR"/>
        </w:rPr>
        <w:t>aie</w:t>
      </w:r>
      <w:r w:rsidRPr="000F6A66">
        <w:rPr>
          <w:lang w:val="fr-FR"/>
        </w:rPr>
        <w:t>nt introduits.</w:t>
      </w:r>
    </w:p>
    <w:p w14:paraId="1FBE83BD" w14:textId="17288198" w:rsidR="001C1D6B" w:rsidRPr="000F6A66" w:rsidRDefault="001C1D6B" w:rsidP="00675065">
      <w:pPr>
        <w:pStyle w:val="ONUMFS"/>
        <w:numPr>
          <w:ilvl w:val="0"/>
          <w:numId w:val="0"/>
        </w:numPr>
        <w:rPr>
          <w:lang w:val="fr-FR"/>
        </w:rPr>
      </w:pPr>
      <w:r w:rsidRPr="000F6A66">
        <w:rPr>
          <w:lang w:val="fr-FR"/>
        </w:rPr>
        <w:t>En Équateur, la sensibilisation découlant du projet a donné lieu à plusieurs activités de suivi.</w:t>
      </w:r>
      <w:r w:rsidR="00F86004" w:rsidRPr="000F6A66">
        <w:rPr>
          <w:lang w:val="fr-FR"/>
        </w:rPr>
        <w:t xml:space="preserve"> </w:t>
      </w:r>
      <w:r w:rsidRPr="000F6A66">
        <w:rPr>
          <w:lang w:val="fr-FR"/>
        </w:rPr>
        <w:t xml:space="preserve"> L</w:t>
      </w:r>
      <w:r w:rsidR="001B04F7" w:rsidRPr="000F6A66">
        <w:rPr>
          <w:lang w:val="fr-FR"/>
        </w:rPr>
        <w:t>’</w:t>
      </w:r>
      <w:r w:rsidRPr="000F6A66">
        <w:rPr>
          <w:lang w:val="fr-FR"/>
        </w:rPr>
        <w:t>Office de la propriété intellectuelle de l</w:t>
      </w:r>
      <w:r w:rsidR="001B04F7" w:rsidRPr="000F6A66">
        <w:rPr>
          <w:lang w:val="fr-FR"/>
        </w:rPr>
        <w:t>’</w:t>
      </w:r>
      <w:r w:rsidRPr="000F6A66">
        <w:rPr>
          <w:lang w:val="fr-FR"/>
        </w:rPr>
        <w:t>Équateur,</w:t>
      </w:r>
      <w:r w:rsidR="001B04F7" w:rsidRPr="000F6A66">
        <w:rPr>
          <w:lang w:val="fr-FR"/>
        </w:rPr>
        <w:t xml:space="preserve"> le SEN</w:t>
      </w:r>
      <w:r w:rsidRPr="000F6A66">
        <w:rPr>
          <w:lang w:val="fr-FR"/>
        </w:rPr>
        <w:t>ADI, et le gouvernement provincial d</w:t>
      </w:r>
      <w:r w:rsidR="001B04F7" w:rsidRPr="000F6A66">
        <w:rPr>
          <w:lang w:val="fr-FR"/>
        </w:rPr>
        <w:t>’</w:t>
      </w:r>
      <w:r w:rsidRPr="000F6A66">
        <w:rPr>
          <w:lang w:val="fr-FR"/>
        </w:rPr>
        <w:t>Imbabura (Équateur) ont signé un accord afin de mettre au point des stratégies en matière de propriété intellectuelle et de création de marques pour promouvoir l</w:t>
      </w:r>
      <w:r w:rsidR="001B04F7" w:rsidRPr="000F6A66">
        <w:rPr>
          <w:lang w:val="fr-FR"/>
        </w:rPr>
        <w:t>’</w:t>
      </w:r>
      <w:r w:rsidRPr="000F6A66">
        <w:rPr>
          <w:lang w:val="fr-FR"/>
        </w:rPr>
        <w:t>activité économique de la province en tirant parti de la spécificité de son écotouris</w:t>
      </w:r>
      <w:r w:rsidR="00655442" w:rsidRPr="000F6A66">
        <w:rPr>
          <w:lang w:val="fr-FR"/>
        </w:rPr>
        <w:t>me.  Le</w:t>
      </w:r>
      <w:r w:rsidR="001B04F7" w:rsidRPr="000F6A66">
        <w:rPr>
          <w:lang w:val="fr-FR"/>
        </w:rPr>
        <w:t> SEN</w:t>
      </w:r>
      <w:r w:rsidR="00F86004" w:rsidRPr="000F6A66">
        <w:rPr>
          <w:lang w:val="fr-FR"/>
        </w:rPr>
        <w:t xml:space="preserve">ADI </w:t>
      </w:r>
      <w:r w:rsidR="00C06CE5" w:rsidRPr="000F6A66">
        <w:rPr>
          <w:lang w:val="fr-FR"/>
        </w:rPr>
        <w:t>a manifesté un vif intérêt et dispensé plus d</w:t>
      </w:r>
      <w:r w:rsidR="001B04F7" w:rsidRPr="000F6A66">
        <w:rPr>
          <w:lang w:val="fr-FR"/>
        </w:rPr>
        <w:t>’</w:t>
      </w:r>
      <w:r w:rsidR="00C06CE5" w:rsidRPr="000F6A66">
        <w:rPr>
          <w:lang w:val="fr-FR"/>
        </w:rPr>
        <w:t>une vingtaine de cours de suivi aux membres du secteur jusqu</w:t>
      </w:r>
      <w:r w:rsidR="001B04F7" w:rsidRPr="000F6A66">
        <w:rPr>
          <w:lang w:val="fr-FR"/>
        </w:rPr>
        <w:t>’</w:t>
      </w:r>
      <w:r w:rsidR="00C06CE5" w:rsidRPr="000F6A66">
        <w:rPr>
          <w:lang w:val="fr-FR"/>
        </w:rPr>
        <w:t>à présent</w:t>
      </w:r>
      <w:r w:rsidR="00F86004" w:rsidRPr="000F6A66">
        <w:rPr>
          <w:lang w:val="fr-FR"/>
        </w:rPr>
        <w:t>.</w:t>
      </w:r>
    </w:p>
    <w:p w14:paraId="69F574D6" w14:textId="43154350" w:rsidR="001B04F7" w:rsidRPr="000F6A66" w:rsidRDefault="0031323D" w:rsidP="00675065">
      <w:pPr>
        <w:pStyle w:val="ONUMFS"/>
        <w:numPr>
          <w:ilvl w:val="0"/>
          <w:numId w:val="0"/>
        </w:numPr>
        <w:rPr>
          <w:lang w:val="fr-FR"/>
        </w:rPr>
      </w:pPr>
      <w:r w:rsidRPr="000F6A66">
        <w:rPr>
          <w:lang w:val="fr-FR"/>
        </w:rPr>
        <w:t>Avec l</w:t>
      </w:r>
      <w:r w:rsidR="001B04F7" w:rsidRPr="000F6A66">
        <w:rPr>
          <w:lang w:val="fr-FR"/>
        </w:rPr>
        <w:t>’</w:t>
      </w:r>
      <w:r w:rsidRPr="000F6A66">
        <w:rPr>
          <w:lang w:val="fr-FR"/>
        </w:rPr>
        <w:t>appui fourni dans le cadre du projet,</w:t>
      </w:r>
      <w:r w:rsidR="001B04F7" w:rsidRPr="000F6A66">
        <w:rPr>
          <w:lang w:val="fr-FR"/>
        </w:rPr>
        <w:t xml:space="preserve"> le SEN</w:t>
      </w:r>
      <w:r w:rsidRPr="000F6A66">
        <w:rPr>
          <w:lang w:val="fr-FR"/>
        </w:rPr>
        <w:t>ADI et l</w:t>
      </w:r>
      <w:r w:rsidR="001B04F7" w:rsidRPr="000F6A66">
        <w:rPr>
          <w:lang w:val="fr-FR"/>
        </w:rPr>
        <w:t>’</w:t>
      </w:r>
      <w:r w:rsidRPr="000F6A66">
        <w:rPr>
          <w:lang w:val="fr-FR"/>
        </w:rPr>
        <w:t xml:space="preserve">École polytechnique des forces armées (ESPE) ont conjointement mis au point un cours qui sera dispensé à partir </w:t>
      </w:r>
      <w:r w:rsidR="001B04F7" w:rsidRPr="000F6A66">
        <w:rPr>
          <w:lang w:val="fr-FR"/>
        </w:rPr>
        <w:t>de 2020</w:t>
      </w:r>
      <w:r w:rsidR="006D6884" w:rsidRPr="000F6A66">
        <w:rPr>
          <w:lang w:val="fr-FR"/>
        </w:rPr>
        <w:t>,</w:t>
      </w:r>
      <w:r w:rsidRPr="000F6A66">
        <w:rPr>
          <w:lang w:val="fr-FR"/>
        </w:rPr>
        <w:t xml:space="preserve"> </w:t>
      </w:r>
      <w:r w:rsidR="006D6884" w:rsidRPr="000F6A66">
        <w:rPr>
          <w:lang w:val="fr-FR"/>
        </w:rPr>
        <w:t>au départ</w:t>
      </w:r>
      <w:r w:rsidR="00592678" w:rsidRPr="000F6A66">
        <w:rPr>
          <w:lang w:val="fr-FR"/>
        </w:rPr>
        <w:t xml:space="preserve"> à 500 étudian</w:t>
      </w:r>
      <w:r w:rsidR="00655442" w:rsidRPr="000F6A66">
        <w:rPr>
          <w:lang w:val="fr-FR"/>
        </w:rPr>
        <w:t>ts.  Le</w:t>
      </w:r>
      <w:r w:rsidR="00825F28" w:rsidRPr="000F6A66">
        <w:rPr>
          <w:lang w:val="fr-FR"/>
        </w:rPr>
        <w:t xml:space="preserve"> cours </w:t>
      </w:r>
      <w:r w:rsidR="006D6884" w:rsidRPr="000F6A66">
        <w:rPr>
          <w:lang w:val="fr-FR"/>
        </w:rPr>
        <w:t xml:space="preserve">comprendra </w:t>
      </w:r>
      <w:r w:rsidR="00825F28" w:rsidRPr="000F6A66">
        <w:rPr>
          <w:lang w:val="fr-FR"/>
        </w:rPr>
        <w:t>quatre</w:t>
      </w:r>
      <w:r w:rsidR="004C05D1" w:rsidRPr="000F6A66">
        <w:rPr>
          <w:lang w:val="fr-FR"/>
        </w:rPr>
        <w:t> </w:t>
      </w:r>
      <w:r w:rsidR="00825F28" w:rsidRPr="000F6A66">
        <w:rPr>
          <w:lang w:val="fr-FR"/>
        </w:rPr>
        <w:t>heures par semaine (64 heures par semest</w:t>
      </w:r>
      <w:r w:rsidR="00655442" w:rsidRPr="000F6A66">
        <w:rPr>
          <w:lang w:val="fr-FR"/>
        </w:rPr>
        <w:t>re).  En</w:t>
      </w:r>
      <w:r w:rsidR="00825F28" w:rsidRPr="000F6A66">
        <w:rPr>
          <w:lang w:val="fr-FR"/>
        </w:rPr>
        <w:t xml:space="preserve"> outre, de grands thèmes de la propriété intellectuelle ont été </w:t>
      </w:r>
      <w:r w:rsidR="00592678" w:rsidRPr="000F6A66">
        <w:rPr>
          <w:lang w:val="fr-FR"/>
        </w:rPr>
        <w:t>intégrés à</w:t>
      </w:r>
      <w:r w:rsidR="00825F28" w:rsidRPr="000F6A66">
        <w:rPr>
          <w:lang w:val="fr-FR"/>
        </w:rPr>
        <w:t xml:space="preserve"> d</w:t>
      </w:r>
      <w:r w:rsidR="001B04F7" w:rsidRPr="000F6A66">
        <w:rPr>
          <w:lang w:val="fr-FR"/>
        </w:rPr>
        <w:t>’</w:t>
      </w:r>
      <w:r w:rsidR="00825F28" w:rsidRPr="000F6A66">
        <w:rPr>
          <w:lang w:val="fr-FR"/>
        </w:rPr>
        <w:t xml:space="preserve">autres cours </w:t>
      </w:r>
      <w:r w:rsidR="006D6884" w:rsidRPr="000F6A66">
        <w:rPr>
          <w:lang w:val="fr-FR"/>
        </w:rPr>
        <w:t>universitaires</w:t>
      </w:r>
      <w:r w:rsidR="00825F28" w:rsidRPr="000F6A66">
        <w:rPr>
          <w:lang w:val="fr-FR"/>
        </w:rPr>
        <w:t xml:space="preserve"> </w:t>
      </w:r>
      <w:r w:rsidR="00592678" w:rsidRPr="000F6A66">
        <w:rPr>
          <w:lang w:val="fr-FR"/>
        </w:rPr>
        <w:t xml:space="preserve">lors </w:t>
      </w:r>
      <w:r w:rsidR="00825F28" w:rsidRPr="000F6A66">
        <w:rPr>
          <w:lang w:val="fr-FR"/>
        </w:rPr>
        <w:t>d</w:t>
      </w:r>
      <w:r w:rsidR="001B04F7" w:rsidRPr="000F6A66">
        <w:rPr>
          <w:lang w:val="fr-FR"/>
        </w:rPr>
        <w:t>’</w:t>
      </w:r>
      <w:r w:rsidR="00825F28" w:rsidRPr="000F6A66">
        <w:rPr>
          <w:lang w:val="fr-FR"/>
        </w:rPr>
        <w:t>un atelier destiné aux enseignants.</w:t>
      </w:r>
    </w:p>
    <w:p w14:paraId="55375090" w14:textId="2A57D864" w:rsidR="001C1D6B" w:rsidRPr="000F6A66" w:rsidRDefault="00825F28" w:rsidP="00675065">
      <w:pPr>
        <w:pStyle w:val="ONUMFS"/>
        <w:numPr>
          <w:ilvl w:val="0"/>
          <w:numId w:val="0"/>
        </w:numPr>
        <w:rPr>
          <w:lang w:val="fr-FR"/>
        </w:rPr>
      </w:pPr>
      <w:r w:rsidRPr="000F6A66">
        <w:rPr>
          <w:lang w:val="fr-FR"/>
        </w:rPr>
        <w:t>Malgré ces premiers progrès prometteurs, peu d</w:t>
      </w:r>
      <w:r w:rsidR="001B04F7" w:rsidRPr="000F6A66">
        <w:rPr>
          <w:lang w:val="fr-FR"/>
        </w:rPr>
        <w:t>’</w:t>
      </w:r>
      <w:r w:rsidRPr="000F6A66">
        <w:rPr>
          <w:lang w:val="fr-FR"/>
        </w:rPr>
        <w:t>autres résultats concrets et tangibles directement attribuables au projet ont été signal</w:t>
      </w:r>
      <w:r w:rsidR="00655442" w:rsidRPr="000F6A66">
        <w:rPr>
          <w:lang w:val="fr-FR"/>
        </w:rPr>
        <w:t>és.  Ce</w:t>
      </w:r>
      <w:r w:rsidRPr="000F6A66">
        <w:rPr>
          <w:lang w:val="fr-FR"/>
        </w:rPr>
        <w:t xml:space="preserve"> sujet mérite l</w:t>
      </w:r>
      <w:r w:rsidR="001B04F7" w:rsidRPr="000F6A66">
        <w:rPr>
          <w:lang w:val="fr-FR"/>
        </w:rPr>
        <w:t>’</w:t>
      </w:r>
      <w:r w:rsidRPr="000F6A66">
        <w:rPr>
          <w:lang w:val="fr-FR"/>
        </w:rPr>
        <w:t>attention soutenue des administrations chargées de la propriété intellectuelle et du tourisme des pays concernés si l</w:t>
      </w:r>
      <w:r w:rsidR="001B04F7" w:rsidRPr="000F6A66">
        <w:rPr>
          <w:lang w:val="fr-FR"/>
        </w:rPr>
        <w:t>’</w:t>
      </w:r>
      <w:r w:rsidRPr="000F6A66">
        <w:rPr>
          <w:lang w:val="fr-FR"/>
        </w:rPr>
        <w:t>on veut que les recommandations auxquelles a abouti la recherche menée au niveau des pays produisent des résultats concrets.</w:t>
      </w:r>
    </w:p>
    <w:p w14:paraId="05040633" w14:textId="5574080A" w:rsidR="001C1D6B" w:rsidRPr="000F6A66" w:rsidRDefault="006D6884" w:rsidP="00675065">
      <w:pPr>
        <w:pStyle w:val="ONUMFS"/>
        <w:numPr>
          <w:ilvl w:val="0"/>
          <w:numId w:val="0"/>
        </w:numPr>
        <w:rPr>
          <w:lang w:val="fr-FR"/>
        </w:rPr>
      </w:pPr>
      <w:r w:rsidRPr="000F6A66">
        <w:rPr>
          <w:lang w:val="fr-FR"/>
        </w:rPr>
        <w:t>À l</w:t>
      </w:r>
      <w:r w:rsidR="001B04F7" w:rsidRPr="000F6A66">
        <w:rPr>
          <w:lang w:val="fr-FR"/>
        </w:rPr>
        <w:t>’</w:t>
      </w:r>
      <w:r w:rsidRPr="000F6A66">
        <w:rPr>
          <w:lang w:val="fr-FR"/>
        </w:rPr>
        <w:t>échelle</w:t>
      </w:r>
      <w:r w:rsidR="00825F28" w:rsidRPr="000F6A66">
        <w:rPr>
          <w:lang w:val="fr-FR"/>
        </w:rPr>
        <w:t xml:space="preserve"> mondial</w:t>
      </w:r>
      <w:r w:rsidRPr="000F6A66">
        <w:rPr>
          <w:lang w:val="fr-FR"/>
        </w:rPr>
        <w:t>e</w:t>
      </w:r>
      <w:r w:rsidR="00825F28" w:rsidRPr="000F6A66">
        <w:rPr>
          <w:lang w:val="fr-FR"/>
        </w:rPr>
        <w:t xml:space="preserve">, le projet </w:t>
      </w:r>
      <w:r w:rsidRPr="000F6A66">
        <w:rPr>
          <w:lang w:val="fr-FR"/>
        </w:rPr>
        <w:t>permettrait</w:t>
      </w:r>
      <w:r w:rsidR="00825F28" w:rsidRPr="000F6A66">
        <w:rPr>
          <w:lang w:val="fr-FR"/>
        </w:rPr>
        <w:t xml:space="preserve"> </w:t>
      </w:r>
      <w:r w:rsidRPr="000F6A66">
        <w:rPr>
          <w:lang w:val="fr-FR"/>
        </w:rPr>
        <w:t>d</w:t>
      </w:r>
      <w:r w:rsidR="001B04F7" w:rsidRPr="000F6A66">
        <w:rPr>
          <w:lang w:val="fr-FR"/>
        </w:rPr>
        <w:t>’</w:t>
      </w:r>
      <w:r w:rsidR="00825F28" w:rsidRPr="000F6A66">
        <w:rPr>
          <w:lang w:val="fr-FR"/>
        </w:rPr>
        <w:t xml:space="preserve">expliquer les avantages que la </w:t>
      </w:r>
      <w:r w:rsidRPr="000F6A66">
        <w:rPr>
          <w:lang w:val="fr-FR"/>
        </w:rPr>
        <w:t>valorisation</w:t>
      </w:r>
      <w:r w:rsidR="00825F28" w:rsidRPr="000F6A66">
        <w:rPr>
          <w:lang w:val="fr-FR"/>
        </w:rPr>
        <w:t xml:space="preserve"> de la propriété intellectuelle apporte au tourisme si le guide sur la propriété intellectuelle et le tourisme (publication conjointe avec l</w:t>
      </w:r>
      <w:r w:rsidR="001B04F7" w:rsidRPr="000F6A66">
        <w:rPr>
          <w:lang w:val="fr-FR"/>
        </w:rPr>
        <w:t>’</w:t>
      </w:r>
      <w:r w:rsidR="00825F28" w:rsidRPr="000F6A66">
        <w:rPr>
          <w:lang w:val="fr-FR"/>
        </w:rPr>
        <w:t>Organisation mondiale du tourisme) était publié comme prévu.</w:t>
      </w:r>
    </w:p>
    <w:p w14:paraId="5B620BA7" w14:textId="6C64AF3A" w:rsidR="001C1D6B" w:rsidRPr="000F6A66" w:rsidRDefault="00825F28" w:rsidP="00675065">
      <w:pPr>
        <w:pStyle w:val="ONUMFS"/>
        <w:numPr>
          <w:ilvl w:val="0"/>
          <w:numId w:val="0"/>
        </w:numPr>
        <w:rPr>
          <w:b/>
          <w:lang w:val="fr-FR"/>
        </w:rPr>
      </w:pPr>
      <w:r w:rsidRPr="000F6A66">
        <w:rPr>
          <w:b/>
          <w:lang w:val="fr-FR"/>
        </w:rPr>
        <w:t>Conclusion</w:t>
      </w:r>
      <w:r w:rsidR="00592678" w:rsidRPr="000F6A66">
        <w:rPr>
          <w:b/>
          <w:lang w:val="fr-FR"/>
        </w:rPr>
        <w:t xml:space="preserve"> n°</w:t>
      </w:r>
      <w:r w:rsidR="0019339C" w:rsidRPr="000F6A66">
        <w:rPr>
          <w:b/>
          <w:lang w:val="fr-FR"/>
        </w:rPr>
        <w:t> </w:t>
      </w:r>
      <w:r w:rsidRPr="000F6A66">
        <w:rPr>
          <w:b/>
          <w:lang w:val="fr-FR"/>
        </w:rPr>
        <w:t xml:space="preserve">4 sur la méthode </w:t>
      </w:r>
      <w:r w:rsidR="006D6884" w:rsidRPr="000F6A66">
        <w:rPr>
          <w:b/>
          <w:lang w:val="fr-FR"/>
        </w:rPr>
        <w:t xml:space="preserve">employée dans le cadre </w:t>
      </w:r>
      <w:r w:rsidRPr="000F6A66">
        <w:rPr>
          <w:b/>
          <w:lang w:val="fr-FR"/>
        </w:rPr>
        <w:t>du projet</w:t>
      </w:r>
    </w:p>
    <w:p w14:paraId="6EA98AFB" w14:textId="7CA026D0" w:rsidR="001C1D6B" w:rsidRPr="000F6A66" w:rsidRDefault="00C752A1" w:rsidP="00675065">
      <w:pPr>
        <w:pStyle w:val="ONUMFS"/>
        <w:numPr>
          <w:ilvl w:val="0"/>
          <w:numId w:val="0"/>
        </w:numPr>
        <w:rPr>
          <w:lang w:val="fr-FR"/>
        </w:rPr>
      </w:pPr>
      <w:r w:rsidRPr="000F6A66">
        <w:rPr>
          <w:lang w:val="fr-FR"/>
        </w:rPr>
        <w:t xml:space="preserve">Comme expliqué plus haut, la méthode consistait à renforcer la propriété intellectuelle dans un secteur (le tourisme), </w:t>
      </w:r>
      <w:r w:rsidR="00DF227F" w:rsidRPr="000F6A66">
        <w:rPr>
          <w:lang w:val="fr-FR"/>
        </w:rPr>
        <w:t xml:space="preserve">en </w:t>
      </w:r>
      <w:r w:rsidRPr="000F6A66">
        <w:rPr>
          <w:lang w:val="fr-FR"/>
        </w:rPr>
        <w:t xml:space="preserve">couvrant </w:t>
      </w:r>
      <w:r w:rsidR="00DF227F" w:rsidRPr="000F6A66">
        <w:rPr>
          <w:lang w:val="fr-FR"/>
        </w:rPr>
        <w:t xml:space="preserve">les </w:t>
      </w:r>
      <w:r w:rsidR="00592678" w:rsidRPr="000F6A66">
        <w:rPr>
          <w:lang w:val="fr-FR"/>
        </w:rPr>
        <w:t>différents</w:t>
      </w:r>
      <w:r w:rsidRPr="000F6A66">
        <w:rPr>
          <w:lang w:val="fr-FR"/>
        </w:rPr>
        <w:t xml:space="preserve"> types de droits </w:t>
      </w:r>
      <w:r w:rsidR="006D6884" w:rsidRPr="000F6A66">
        <w:rPr>
          <w:lang w:val="fr-FR"/>
        </w:rPr>
        <w:t>de propriété intellectuelle et de</w:t>
      </w:r>
      <w:r w:rsidRPr="000F6A66">
        <w:rPr>
          <w:lang w:val="fr-FR"/>
        </w:rPr>
        <w:t xml:space="preserve"> fonctions au sein du système de propriété intellectuel</w:t>
      </w:r>
      <w:r w:rsidR="00655442" w:rsidRPr="000F6A66">
        <w:rPr>
          <w:lang w:val="fr-FR"/>
        </w:rPr>
        <w:t>le.  Ce</w:t>
      </w:r>
      <w:r w:rsidRPr="000F6A66">
        <w:rPr>
          <w:lang w:val="fr-FR"/>
        </w:rPr>
        <w:t>la contraste avec la plupart des autres projets menés au titre du Plan d</w:t>
      </w:r>
      <w:r w:rsidR="001B04F7" w:rsidRPr="000F6A66">
        <w:rPr>
          <w:lang w:val="fr-FR"/>
        </w:rPr>
        <w:t>’</w:t>
      </w:r>
      <w:r w:rsidRPr="000F6A66">
        <w:rPr>
          <w:lang w:val="fr-FR"/>
        </w:rPr>
        <w:t>action pour le développement, qui portent sur certains droits de propriété intellectuelle ou des éléments particuliers du système de propriété intellectuelle dans tous les secteu</w:t>
      </w:r>
      <w:r w:rsidR="00655442" w:rsidRPr="000F6A66">
        <w:rPr>
          <w:lang w:val="fr-FR"/>
        </w:rPr>
        <w:t>rs.  Un</w:t>
      </w:r>
      <w:r w:rsidR="00A53532" w:rsidRPr="000F6A66">
        <w:rPr>
          <w:lang w:val="fr-FR"/>
        </w:rPr>
        <w:t xml:space="preserve"> projet propre à un secteur devait permettre de mieux répondre aux besoins </w:t>
      </w:r>
      <w:r w:rsidR="00592678" w:rsidRPr="000F6A66">
        <w:rPr>
          <w:lang w:val="fr-FR"/>
        </w:rPr>
        <w:t xml:space="preserve">du secteur en question </w:t>
      </w:r>
      <w:r w:rsidR="00A53532" w:rsidRPr="000F6A66">
        <w:rPr>
          <w:lang w:val="fr-FR"/>
        </w:rPr>
        <w:t>et d</w:t>
      </w:r>
      <w:r w:rsidR="001B04F7" w:rsidRPr="000F6A66">
        <w:rPr>
          <w:lang w:val="fr-FR"/>
        </w:rPr>
        <w:t>’</w:t>
      </w:r>
      <w:r w:rsidR="00A53532" w:rsidRPr="000F6A66">
        <w:rPr>
          <w:lang w:val="fr-FR"/>
        </w:rPr>
        <w:t>offrir un appui plus global et plus approfon</w:t>
      </w:r>
      <w:r w:rsidR="00655442" w:rsidRPr="000F6A66">
        <w:rPr>
          <w:lang w:val="fr-FR"/>
        </w:rPr>
        <w:t>di.  Tr</w:t>
      </w:r>
      <w:r w:rsidR="007A0925" w:rsidRPr="000F6A66">
        <w:rPr>
          <w:lang w:val="fr-FR"/>
        </w:rPr>
        <w:t xml:space="preserve">availler avec un secteur </w:t>
      </w:r>
      <w:r w:rsidR="006D6884" w:rsidRPr="000F6A66">
        <w:rPr>
          <w:lang w:val="fr-FR"/>
        </w:rPr>
        <w:t>d</w:t>
      </w:r>
      <w:r w:rsidR="001B04F7" w:rsidRPr="000F6A66">
        <w:rPr>
          <w:lang w:val="fr-FR"/>
        </w:rPr>
        <w:t>’</w:t>
      </w:r>
      <w:r w:rsidR="006D6884" w:rsidRPr="000F6A66">
        <w:rPr>
          <w:lang w:val="fr-FR"/>
        </w:rPr>
        <w:t xml:space="preserve">activité </w:t>
      </w:r>
      <w:r w:rsidR="007A0925" w:rsidRPr="000F6A66">
        <w:rPr>
          <w:lang w:val="fr-FR"/>
        </w:rPr>
        <w:t>donné suppose la participation des services publics et des parties prenantes du secteur qui ne sont pas des partenaires traditionnels de l</w:t>
      </w:r>
      <w:r w:rsidR="001B04F7" w:rsidRPr="000F6A66">
        <w:rPr>
          <w:lang w:val="fr-FR"/>
        </w:rPr>
        <w:t>’</w:t>
      </w:r>
      <w:r w:rsidR="007A0925" w:rsidRPr="000F6A66">
        <w:rPr>
          <w:lang w:val="fr-FR"/>
        </w:rPr>
        <w:t>O</w:t>
      </w:r>
      <w:r w:rsidR="00655442" w:rsidRPr="000F6A66">
        <w:rPr>
          <w:lang w:val="fr-FR"/>
        </w:rPr>
        <w:t>MPI.  Si</w:t>
      </w:r>
      <w:r w:rsidR="007A0925" w:rsidRPr="000F6A66">
        <w:rPr>
          <w:lang w:val="fr-FR"/>
        </w:rPr>
        <w:t xml:space="preserve"> leur participation peut élargir l</w:t>
      </w:r>
      <w:r w:rsidR="001B04F7" w:rsidRPr="000F6A66">
        <w:rPr>
          <w:lang w:val="fr-FR"/>
        </w:rPr>
        <w:t>’</w:t>
      </w:r>
      <w:r w:rsidR="007A0925" w:rsidRPr="000F6A66">
        <w:rPr>
          <w:lang w:val="fr-FR"/>
        </w:rPr>
        <w:t>action de l</w:t>
      </w:r>
      <w:r w:rsidR="001B04F7" w:rsidRPr="000F6A66">
        <w:rPr>
          <w:lang w:val="fr-FR"/>
        </w:rPr>
        <w:t>’</w:t>
      </w:r>
      <w:r w:rsidR="007A0925" w:rsidRPr="000F6A66">
        <w:rPr>
          <w:lang w:val="fr-FR"/>
        </w:rPr>
        <w:t xml:space="preserve">OMPI </w:t>
      </w:r>
      <w:r w:rsidR="00592678" w:rsidRPr="000F6A66">
        <w:rPr>
          <w:lang w:val="fr-FR"/>
        </w:rPr>
        <w:t>en</w:t>
      </w:r>
      <w:r w:rsidR="00655442" w:rsidRPr="000F6A66">
        <w:rPr>
          <w:lang w:val="fr-FR"/>
        </w:rPr>
        <w:t xml:space="preserve"> </w:t>
      </w:r>
      <w:r w:rsidR="00592678" w:rsidRPr="000F6A66">
        <w:rPr>
          <w:lang w:val="fr-FR"/>
        </w:rPr>
        <w:t>dehors</w:t>
      </w:r>
      <w:r w:rsidR="007A0925" w:rsidRPr="000F6A66">
        <w:rPr>
          <w:lang w:val="fr-FR"/>
        </w:rPr>
        <w:t xml:space="preserve"> des offices de propriété intellectuelle, la coordination avec </w:t>
      </w:r>
      <w:r w:rsidR="00592678" w:rsidRPr="000F6A66">
        <w:rPr>
          <w:lang w:val="fr-FR"/>
        </w:rPr>
        <w:t xml:space="preserve">une multitude </w:t>
      </w:r>
      <w:r w:rsidR="007A0925" w:rsidRPr="000F6A66">
        <w:rPr>
          <w:lang w:val="fr-FR"/>
        </w:rPr>
        <w:t xml:space="preserve">de partenaires (parties prenantes </w:t>
      </w:r>
      <w:r w:rsidR="006D6884" w:rsidRPr="000F6A66">
        <w:rPr>
          <w:lang w:val="fr-FR"/>
        </w:rPr>
        <w:t xml:space="preserve">chargées </w:t>
      </w:r>
      <w:r w:rsidR="007A0925" w:rsidRPr="000F6A66">
        <w:rPr>
          <w:lang w:val="fr-FR"/>
        </w:rPr>
        <w:t xml:space="preserve">des diverses activités mises en </w:t>
      </w:r>
      <w:r w:rsidR="00B070E2" w:rsidRPr="000F6A66">
        <w:rPr>
          <w:lang w:val="fr-FR"/>
        </w:rPr>
        <w:t xml:space="preserve">œuvre </w:t>
      </w:r>
      <w:r w:rsidR="007A0925" w:rsidRPr="000F6A66">
        <w:rPr>
          <w:lang w:val="fr-FR"/>
        </w:rPr>
        <w:t>dans les secteurs du tourisme ou de chacun des types de droits de propriété intellectuelle) est une affaire comple</w:t>
      </w:r>
      <w:r w:rsidR="00655442" w:rsidRPr="000F6A66">
        <w:rPr>
          <w:lang w:val="fr-FR"/>
        </w:rPr>
        <w:t>xe.  Le</w:t>
      </w:r>
      <w:r w:rsidR="00B070E2" w:rsidRPr="000F6A66">
        <w:rPr>
          <w:lang w:val="fr-FR"/>
        </w:rPr>
        <w:t xml:space="preserve"> projet préconisait la création de comités de pilotage en matière de propriété intellectuelle et de tourisme, mais </w:t>
      </w:r>
      <w:r w:rsidR="00592678" w:rsidRPr="000F6A66">
        <w:rPr>
          <w:lang w:val="fr-FR"/>
        </w:rPr>
        <w:t>l</w:t>
      </w:r>
      <w:r w:rsidR="006D6884" w:rsidRPr="000F6A66">
        <w:rPr>
          <w:lang w:val="fr-FR"/>
        </w:rPr>
        <w:t xml:space="preserve">es résultats </w:t>
      </w:r>
      <w:r w:rsidR="00592678" w:rsidRPr="000F6A66">
        <w:rPr>
          <w:lang w:val="fr-FR"/>
        </w:rPr>
        <w:t xml:space="preserve">ont été </w:t>
      </w:r>
      <w:r w:rsidR="006D6884" w:rsidRPr="000F6A66">
        <w:rPr>
          <w:lang w:val="fr-FR"/>
        </w:rPr>
        <w:t>mitigés</w:t>
      </w:r>
      <w:r w:rsidR="00B070E2" w:rsidRPr="000F6A66">
        <w:rPr>
          <w:lang w:val="fr-FR"/>
        </w:rPr>
        <w:t>.</w:t>
      </w:r>
    </w:p>
    <w:p w14:paraId="034210EC" w14:textId="267D53E1" w:rsidR="001C1D6B" w:rsidRPr="000F6A66" w:rsidRDefault="00705B75" w:rsidP="00675065">
      <w:pPr>
        <w:pStyle w:val="ONUMFS"/>
        <w:numPr>
          <w:ilvl w:val="0"/>
          <w:numId w:val="0"/>
        </w:numPr>
        <w:rPr>
          <w:b/>
          <w:bCs/>
          <w:lang w:val="fr-FR"/>
        </w:rPr>
      </w:pPr>
      <w:r w:rsidRPr="000F6A66">
        <w:rPr>
          <w:b/>
          <w:bCs/>
          <w:lang w:val="fr-FR"/>
        </w:rPr>
        <w:t>Conclusion</w:t>
      </w:r>
      <w:r w:rsidR="00592678" w:rsidRPr="000F6A66">
        <w:rPr>
          <w:b/>
          <w:bCs/>
          <w:lang w:val="fr-FR"/>
        </w:rPr>
        <w:t xml:space="preserve"> n°</w:t>
      </w:r>
      <w:r w:rsidR="0019339C" w:rsidRPr="000F6A66">
        <w:rPr>
          <w:b/>
          <w:bCs/>
          <w:lang w:val="fr-FR"/>
        </w:rPr>
        <w:t> </w:t>
      </w:r>
      <w:r w:rsidR="00D73EFD" w:rsidRPr="000F6A66">
        <w:rPr>
          <w:b/>
          <w:bCs/>
          <w:lang w:val="fr-FR"/>
        </w:rPr>
        <w:t>5</w:t>
      </w:r>
      <w:r w:rsidRPr="000F6A66">
        <w:rPr>
          <w:b/>
          <w:bCs/>
          <w:lang w:val="fr-FR"/>
        </w:rPr>
        <w:t xml:space="preserve"> </w:t>
      </w:r>
      <w:r w:rsidR="00C126C9" w:rsidRPr="000F6A66">
        <w:rPr>
          <w:b/>
          <w:bCs/>
          <w:lang w:val="fr-FR"/>
        </w:rPr>
        <w:t>sur les</w:t>
      </w:r>
      <w:r w:rsidRPr="000F6A66">
        <w:rPr>
          <w:b/>
          <w:bCs/>
          <w:lang w:val="fr-FR"/>
        </w:rPr>
        <w:t xml:space="preserve"> </w:t>
      </w:r>
      <w:r w:rsidR="001F4E9F" w:rsidRPr="000F6A66">
        <w:rPr>
          <w:b/>
          <w:bCs/>
          <w:lang w:val="fr-FR"/>
        </w:rPr>
        <w:t>synergies</w:t>
      </w:r>
    </w:p>
    <w:p w14:paraId="64A29090" w14:textId="3C86FA52" w:rsidR="001C1D6B" w:rsidRPr="000F6A66" w:rsidRDefault="0095670B" w:rsidP="00675065">
      <w:pPr>
        <w:pStyle w:val="ONUMFS"/>
        <w:numPr>
          <w:ilvl w:val="0"/>
          <w:numId w:val="0"/>
        </w:numPr>
        <w:rPr>
          <w:lang w:val="fr-FR"/>
        </w:rPr>
      </w:pPr>
      <w:r w:rsidRPr="000F6A66">
        <w:rPr>
          <w:lang w:val="fr-FR"/>
        </w:rPr>
        <w:t>La coordination et les synergies avec les activités menées dans le cadre des programmes ordinaires de l</w:t>
      </w:r>
      <w:r w:rsidR="001B04F7" w:rsidRPr="000F6A66">
        <w:rPr>
          <w:lang w:val="fr-FR"/>
        </w:rPr>
        <w:t>’</w:t>
      </w:r>
      <w:r w:rsidRPr="000F6A66">
        <w:rPr>
          <w:lang w:val="fr-FR"/>
        </w:rPr>
        <w:t xml:space="preserve">OMPI, </w:t>
      </w:r>
      <w:r w:rsidR="006D6884" w:rsidRPr="000F6A66">
        <w:rPr>
          <w:lang w:val="fr-FR"/>
        </w:rPr>
        <w:t>en</w:t>
      </w:r>
      <w:r w:rsidR="00655442" w:rsidRPr="000F6A66">
        <w:rPr>
          <w:lang w:val="fr-FR"/>
        </w:rPr>
        <w:t xml:space="preserve"> </w:t>
      </w:r>
      <w:r w:rsidR="006D6884" w:rsidRPr="000F6A66">
        <w:rPr>
          <w:lang w:val="fr-FR"/>
        </w:rPr>
        <w:t>dehors</w:t>
      </w:r>
      <w:r w:rsidRPr="000F6A66">
        <w:rPr>
          <w:lang w:val="fr-FR"/>
        </w:rPr>
        <w:t xml:space="preserve"> de l</w:t>
      </w:r>
      <w:r w:rsidR="001B04F7" w:rsidRPr="000F6A66">
        <w:rPr>
          <w:lang w:val="fr-FR"/>
        </w:rPr>
        <w:t>’</w:t>
      </w:r>
      <w:r w:rsidRPr="000F6A66">
        <w:rPr>
          <w:lang w:val="fr-FR"/>
        </w:rPr>
        <w:t xml:space="preserve">utilisation de certains documents disponibles au sein de </w:t>
      </w:r>
      <w:r w:rsidRPr="000F6A66">
        <w:rPr>
          <w:lang w:val="fr-FR"/>
        </w:rPr>
        <w:lastRenderedPageBreak/>
        <w:t>l</w:t>
      </w:r>
      <w:r w:rsidR="001B04F7" w:rsidRPr="000F6A66">
        <w:rPr>
          <w:lang w:val="fr-FR"/>
        </w:rPr>
        <w:t>’</w:t>
      </w:r>
      <w:r w:rsidRPr="000F6A66">
        <w:rPr>
          <w:lang w:val="fr-FR"/>
        </w:rPr>
        <w:t xml:space="preserve">OMPI, </w:t>
      </w:r>
      <w:r w:rsidR="00592678" w:rsidRPr="000F6A66">
        <w:rPr>
          <w:lang w:val="fr-FR"/>
        </w:rPr>
        <w:t>ont été assez restreint</w:t>
      </w:r>
      <w:r w:rsidR="00655442" w:rsidRPr="000F6A66">
        <w:rPr>
          <w:lang w:val="fr-FR"/>
        </w:rPr>
        <w:t>es.  Du</w:t>
      </w:r>
      <w:r w:rsidRPr="000F6A66">
        <w:rPr>
          <w:lang w:val="fr-FR"/>
        </w:rPr>
        <w:t>rant la mise en œuvre, il n</w:t>
      </w:r>
      <w:r w:rsidR="001B04F7" w:rsidRPr="000F6A66">
        <w:rPr>
          <w:lang w:val="fr-FR"/>
        </w:rPr>
        <w:t>’</w:t>
      </w:r>
      <w:r w:rsidRPr="000F6A66">
        <w:rPr>
          <w:lang w:val="fr-FR"/>
        </w:rPr>
        <w:t>y a pas eu d</w:t>
      </w:r>
      <w:r w:rsidR="001B04F7" w:rsidRPr="000F6A66">
        <w:rPr>
          <w:lang w:val="fr-FR"/>
        </w:rPr>
        <w:t>’</w:t>
      </w:r>
      <w:r w:rsidRPr="000F6A66">
        <w:rPr>
          <w:lang w:val="fr-FR"/>
        </w:rPr>
        <w:t>interaction avec d</w:t>
      </w:r>
      <w:r w:rsidR="001B04F7" w:rsidRPr="000F6A66">
        <w:rPr>
          <w:lang w:val="fr-FR"/>
        </w:rPr>
        <w:t>’</w:t>
      </w:r>
      <w:r w:rsidRPr="000F6A66">
        <w:rPr>
          <w:lang w:val="fr-FR"/>
        </w:rPr>
        <w:t>autres programmes pertinents fournissant un appui similaire, tels que Études économiques (programme</w:t>
      </w:r>
      <w:r w:rsidR="0019339C" w:rsidRPr="000F6A66">
        <w:rPr>
          <w:lang w:val="fr-FR"/>
        </w:rPr>
        <w:t> </w:t>
      </w:r>
      <w:r w:rsidRPr="000F6A66">
        <w:rPr>
          <w:lang w:val="fr-FR"/>
        </w:rPr>
        <w:t>16) et Savoirs traditionnels, expressions culturelles traditionnelles et ressources génétiques (programme</w:t>
      </w:r>
      <w:r w:rsidR="0019339C" w:rsidRPr="000F6A66">
        <w:rPr>
          <w:lang w:val="fr-FR"/>
        </w:rPr>
        <w:t> </w:t>
      </w:r>
      <w:r w:rsidRPr="000F6A66">
        <w:rPr>
          <w:lang w:val="fr-FR"/>
        </w:rPr>
        <w:t>4).</w:t>
      </w:r>
      <w:r w:rsidR="00152EAB" w:rsidRPr="000F6A66">
        <w:rPr>
          <w:lang w:val="fr-FR"/>
        </w:rPr>
        <w:t xml:space="preserve"> </w:t>
      </w:r>
      <w:r w:rsidR="0019339C" w:rsidRPr="000F6A66">
        <w:rPr>
          <w:lang w:val="fr-FR"/>
        </w:rPr>
        <w:t xml:space="preserve"> B</w:t>
      </w:r>
      <w:r w:rsidR="000F6DB2" w:rsidRPr="000F6A66">
        <w:rPr>
          <w:lang w:val="fr-FR"/>
        </w:rPr>
        <w:t>ien que les synergies soient restée</w:t>
      </w:r>
      <w:r w:rsidR="00655442" w:rsidRPr="000F6A66">
        <w:rPr>
          <w:lang w:val="fr-FR"/>
        </w:rPr>
        <w:t xml:space="preserve">s </w:t>
      </w:r>
      <w:r w:rsidR="000F6DB2" w:rsidRPr="000F6A66">
        <w:rPr>
          <w:lang w:val="fr-FR"/>
        </w:rPr>
        <w:t>relativement limitées, aucun double emploi ni chevauchement des activités n</w:t>
      </w:r>
      <w:r w:rsidR="001B04F7" w:rsidRPr="000F6A66">
        <w:rPr>
          <w:lang w:val="fr-FR"/>
        </w:rPr>
        <w:t>’</w:t>
      </w:r>
      <w:r w:rsidR="000F6DB2" w:rsidRPr="000F6A66">
        <w:rPr>
          <w:lang w:val="fr-FR"/>
        </w:rPr>
        <w:t>a été constaté au niveau des pays bénéficiair</w:t>
      </w:r>
      <w:r w:rsidR="00655442" w:rsidRPr="000F6A66">
        <w:rPr>
          <w:lang w:val="fr-FR"/>
        </w:rPr>
        <w:t>es.  La</w:t>
      </w:r>
      <w:r w:rsidR="00D50F5E" w:rsidRPr="000F6A66">
        <w:rPr>
          <w:lang w:val="fr-FR"/>
        </w:rPr>
        <w:t xml:space="preserve"> coopération avec l</w:t>
      </w:r>
      <w:r w:rsidR="001B04F7" w:rsidRPr="000F6A66">
        <w:rPr>
          <w:lang w:val="fr-FR"/>
        </w:rPr>
        <w:t>’</w:t>
      </w:r>
      <w:r w:rsidR="00D50F5E" w:rsidRPr="000F6A66">
        <w:rPr>
          <w:lang w:val="fr-FR"/>
        </w:rPr>
        <w:t xml:space="preserve">OMT </w:t>
      </w:r>
      <w:r w:rsidR="006D6884" w:rsidRPr="000F6A66">
        <w:rPr>
          <w:lang w:val="fr-FR"/>
        </w:rPr>
        <w:t xml:space="preserve">avait pour but </w:t>
      </w:r>
      <w:r w:rsidR="00592678" w:rsidRPr="000F6A66">
        <w:rPr>
          <w:lang w:val="fr-FR"/>
        </w:rPr>
        <w:t xml:space="preserve">de produire </w:t>
      </w:r>
      <w:r w:rsidR="00D50F5E" w:rsidRPr="000F6A66">
        <w:rPr>
          <w:lang w:val="fr-FR"/>
        </w:rPr>
        <w:t xml:space="preserve">un résultat commun au sein du système des </w:t>
      </w:r>
      <w:r w:rsidR="001B04F7" w:rsidRPr="000F6A66">
        <w:rPr>
          <w:lang w:val="fr-FR"/>
        </w:rPr>
        <w:t>Nations Unies</w:t>
      </w:r>
      <w:r w:rsidR="00D50F5E" w:rsidRPr="000F6A66">
        <w:rPr>
          <w:lang w:val="fr-FR"/>
        </w:rPr>
        <w:t xml:space="preserve"> </w:t>
      </w:r>
      <w:r w:rsidR="006D6884" w:rsidRPr="000F6A66">
        <w:rPr>
          <w:lang w:val="fr-FR"/>
        </w:rPr>
        <w:t xml:space="preserve">et elle </w:t>
      </w:r>
      <w:r w:rsidR="00D50F5E" w:rsidRPr="000F6A66">
        <w:rPr>
          <w:lang w:val="fr-FR"/>
        </w:rPr>
        <w:t>a porté ses fruits</w:t>
      </w:r>
      <w:r w:rsidR="006D6884" w:rsidRPr="000F6A66">
        <w:rPr>
          <w:lang w:val="fr-FR"/>
        </w:rPr>
        <w:t>,</w:t>
      </w:r>
      <w:r w:rsidR="00D50F5E" w:rsidRPr="000F6A66">
        <w:rPr>
          <w:lang w:val="fr-FR"/>
        </w:rPr>
        <w:t xml:space="preserve"> même si la publication conjointe prévue n</w:t>
      </w:r>
      <w:r w:rsidR="001B04F7" w:rsidRPr="000F6A66">
        <w:rPr>
          <w:lang w:val="fr-FR"/>
        </w:rPr>
        <w:t>’</w:t>
      </w:r>
      <w:r w:rsidR="00D50F5E" w:rsidRPr="000F6A66">
        <w:rPr>
          <w:lang w:val="fr-FR"/>
        </w:rPr>
        <w:t>a pas encore été finalis</w:t>
      </w:r>
      <w:r w:rsidR="00655442" w:rsidRPr="000F6A66">
        <w:rPr>
          <w:lang w:val="fr-FR"/>
        </w:rPr>
        <w:t>ée.  Le</w:t>
      </w:r>
      <w:r w:rsidR="00233A01" w:rsidRPr="000F6A66">
        <w:rPr>
          <w:lang w:val="fr-FR"/>
        </w:rPr>
        <w:t xml:space="preserve">s possibilités de collaboration avec les autres organisations du système des </w:t>
      </w:r>
      <w:r w:rsidR="001B04F7" w:rsidRPr="000F6A66">
        <w:rPr>
          <w:lang w:val="fr-FR"/>
        </w:rPr>
        <w:t>Nations Unies</w:t>
      </w:r>
      <w:r w:rsidR="00233A01" w:rsidRPr="000F6A66">
        <w:rPr>
          <w:lang w:val="fr-FR"/>
        </w:rPr>
        <w:t xml:space="preserve"> agissant dans le domaine du tourisme, dont certaines ont conclu des accords de coopération avec l</w:t>
      </w:r>
      <w:r w:rsidR="001B04F7" w:rsidRPr="000F6A66">
        <w:rPr>
          <w:lang w:val="fr-FR"/>
        </w:rPr>
        <w:t>’</w:t>
      </w:r>
      <w:r w:rsidR="00233A01" w:rsidRPr="000F6A66">
        <w:rPr>
          <w:lang w:val="fr-FR"/>
        </w:rPr>
        <w:t>OMPI, n</w:t>
      </w:r>
      <w:r w:rsidR="001B04F7" w:rsidRPr="000F6A66">
        <w:rPr>
          <w:lang w:val="fr-FR"/>
        </w:rPr>
        <w:t>’</w:t>
      </w:r>
      <w:r w:rsidR="00233A01" w:rsidRPr="000F6A66">
        <w:rPr>
          <w:lang w:val="fr-FR"/>
        </w:rPr>
        <w:t>ont pas été examinées ou, dans le cas de l</w:t>
      </w:r>
      <w:r w:rsidR="001B04F7" w:rsidRPr="000F6A66">
        <w:rPr>
          <w:lang w:val="fr-FR"/>
        </w:rPr>
        <w:t>’</w:t>
      </w:r>
      <w:r w:rsidR="00233A01" w:rsidRPr="000F6A66">
        <w:rPr>
          <w:lang w:val="fr-FR"/>
        </w:rPr>
        <w:t>UNESCO, n</w:t>
      </w:r>
      <w:r w:rsidR="001B04F7" w:rsidRPr="000F6A66">
        <w:rPr>
          <w:lang w:val="fr-FR"/>
        </w:rPr>
        <w:t>’</w:t>
      </w:r>
      <w:r w:rsidR="00233A01" w:rsidRPr="000F6A66">
        <w:rPr>
          <w:lang w:val="fr-FR"/>
        </w:rPr>
        <w:t>ont pas abouti.</w:t>
      </w:r>
    </w:p>
    <w:p w14:paraId="0DF7EC05" w14:textId="40632BB2" w:rsidR="001C1D6B" w:rsidRPr="000F6A66" w:rsidRDefault="00233A01" w:rsidP="00675065">
      <w:pPr>
        <w:pStyle w:val="ONUMFS"/>
        <w:numPr>
          <w:ilvl w:val="0"/>
          <w:numId w:val="0"/>
        </w:numPr>
        <w:rPr>
          <w:b/>
          <w:bCs/>
          <w:lang w:val="fr-FR"/>
        </w:rPr>
      </w:pPr>
      <w:r w:rsidRPr="000F6A66">
        <w:rPr>
          <w:b/>
          <w:bCs/>
          <w:lang w:val="fr-FR"/>
        </w:rPr>
        <w:t xml:space="preserve">Conclusion n° 6 sur la </w:t>
      </w:r>
      <w:r w:rsidR="006D6884" w:rsidRPr="000F6A66">
        <w:rPr>
          <w:b/>
          <w:bCs/>
          <w:lang w:val="fr-FR"/>
        </w:rPr>
        <w:t>pérennité</w:t>
      </w:r>
    </w:p>
    <w:p w14:paraId="04473288" w14:textId="74D014DE" w:rsidR="001C1D6B" w:rsidRPr="000F6A66" w:rsidRDefault="00233A01" w:rsidP="00675065">
      <w:pPr>
        <w:pStyle w:val="ONUMFS"/>
        <w:numPr>
          <w:ilvl w:val="0"/>
          <w:numId w:val="0"/>
        </w:numPr>
        <w:rPr>
          <w:lang w:val="fr-FR"/>
        </w:rPr>
      </w:pPr>
      <w:r w:rsidRPr="000F6A66">
        <w:rPr>
          <w:szCs w:val="22"/>
          <w:lang w:val="fr-FR"/>
        </w:rPr>
        <w:t>Il serait prématuré d</w:t>
      </w:r>
      <w:r w:rsidR="001B04F7" w:rsidRPr="000F6A66">
        <w:rPr>
          <w:szCs w:val="22"/>
          <w:lang w:val="fr-FR"/>
        </w:rPr>
        <w:t>’</w:t>
      </w:r>
      <w:r w:rsidRPr="000F6A66">
        <w:rPr>
          <w:szCs w:val="22"/>
          <w:lang w:val="fr-FR"/>
        </w:rPr>
        <w:t xml:space="preserve">évaluer le degré de </w:t>
      </w:r>
      <w:r w:rsidR="006D6884" w:rsidRPr="000F6A66">
        <w:rPr>
          <w:szCs w:val="22"/>
          <w:lang w:val="fr-FR"/>
        </w:rPr>
        <w:t>pérennité</w:t>
      </w:r>
      <w:r w:rsidRPr="000F6A66">
        <w:rPr>
          <w:szCs w:val="22"/>
          <w:lang w:val="fr-FR"/>
        </w:rPr>
        <w:t xml:space="preserve"> des résultats au niveau des pays, car la </w:t>
      </w:r>
      <w:r w:rsidR="006D6884" w:rsidRPr="000F6A66">
        <w:rPr>
          <w:szCs w:val="22"/>
          <w:lang w:val="fr-FR"/>
        </w:rPr>
        <w:t>continuité</w:t>
      </w:r>
      <w:r w:rsidRPr="000F6A66">
        <w:rPr>
          <w:szCs w:val="22"/>
          <w:lang w:val="fr-FR"/>
        </w:rPr>
        <w:t xml:space="preserve"> des avantages dépend dans une large mesure du suivi assuré par les offices de propriété intellectuelle concern</w:t>
      </w:r>
      <w:r w:rsidR="00655442" w:rsidRPr="000F6A66">
        <w:rPr>
          <w:szCs w:val="22"/>
          <w:lang w:val="fr-FR"/>
        </w:rPr>
        <w:t>és.  De</w:t>
      </w:r>
      <w:r w:rsidRPr="000F6A66">
        <w:rPr>
          <w:szCs w:val="22"/>
          <w:lang w:val="fr-FR"/>
        </w:rPr>
        <w:t>s activités de suivi sont en cours et devraient se poursuivre en Équateur et en Namib</w:t>
      </w:r>
      <w:r w:rsidR="00655442" w:rsidRPr="000F6A66">
        <w:rPr>
          <w:szCs w:val="22"/>
          <w:lang w:val="fr-FR"/>
        </w:rPr>
        <w:t>ie.  Ce</w:t>
      </w:r>
      <w:r w:rsidRPr="000F6A66">
        <w:rPr>
          <w:szCs w:val="22"/>
          <w:lang w:val="fr-FR"/>
        </w:rPr>
        <w:t xml:space="preserve">la semble être </w:t>
      </w:r>
      <w:r w:rsidR="00592678" w:rsidRPr="000F6A66">
        <w:rPr>
          <w:szCs w:val="22"/>
          <w:lang w:val="fr-FR"/>
        </w:rPr>
        <w:t xml:space="preserve">moins </w:t>
      </w:r>
      <w:r w:rsidRPr="000F6A66">
        <w:rPr>
          <w:szCs w:val="22"/>
          <w:lang w:val="fr-FR"/>
        </w:rPr>
        <w:t xml:space="preserve">le cas en Égypte et </w:t>
      </w:r>
      <w:r w:rsidR="004C05D1" w:rsidRPr="000F6A66">
        <w:rPr>
          <w:szCs w:val="22"/>
          <w:lang w:val="fr-FR"/>
        </w:rPr>
        <w:t>à</w:t>
      </w:r>
      <w:r w:rsidRPr="000F6A66">
        <w:rPr>
          <w:szCs w:val="22"/>
          <w:lang w:val="fr-FR"/>
        </w:rPr>
        <w:t xml:space="preserve"> Sri</w:t>
      </w:r>
      <w:r w:rsidR="004C05D1" w:rsidRPr="000F6A66">
        <w:rPr>
          <w:szCs w:val="22"/>
          <w:lang w:val="fr-FR"/>
        </w:rPr>
        <w:t> </w:t>
      </w:r>
      <w:r w:rsidRPr="000F6A66">
        <w:rPr>
          <w:szCs w:val="22"/>
          <w:lang w:val="fr-FR"/>
        </w:rPr>
        <w:t>Lan</w:t>
      </w:r>
      <w:r w:rsidR="00655442" w:rsidRPr="000F6A66">
        <w:rPr>
          <w:szCs w:val="22"/>
          <w:lang w:val="fr-FR"/>
        </w:rPr>
        <w:t>ka.  La</w:t>
      </w:r>
      <w:r w:rsidRPr="000F6A66">
        <w:rPr>
          <w:szCs w:val="22"/>
          <w:lang w:val="fr-FR"/>
        </w:rPr>
        <w:t xml:space="preserve"> majeure partie de l</w:t>
      </w:r>
      <w:r w:rsidR="001B04F7" w:rsidRPr="000F6A66">
        <w:rPr>
          <w:szCs w:val="22"/>
          <w:lang w:val="fr-FR"/>
        </w:rPr>
        <w:t>’</w:t>
      </w:r>
      <w:r w:rsidRPr="000F6A66">
        <w:rPr>
          <w:szCs w:val="22"/>
          <w:lang w:val="fr-FR"/>
        </w:rPr>
        <w:t xml:space="preserve">appui qui a été fourni </w:t>
      </w:r>
      <w:r w:rsidR="00DF227F" w:rsidRPr="000F6A66">
        <w:rPr>
          <w:szCs w:val="22"/>
          <w:lang w:val="fr-FR"/>
        </w:rPr>
        <w:t>est proposé</w:t>
      </w:r>
      <w:r w:rsidR="00592678" w:rsidRPr="000F6A66">
        <w:rPr>
          <w:szCs w:val="22"/>
          <w:lang w:val="fr-FR"/>
        </w:rPr>
        <w:t xml:space="preserve"> </w:t>
      </w:r>
      <w:r w:rsidRPr="000F6A66">
        <w:rPr>
          <w:szCs w:val="22"/>
          <w:lang w:val="fr-FR"/>
        </w:rPr>
        <w:t>dans d</w:t>
      </w:r>
      <w:r w:rsidR="001B04F7" w:rsidRPr="000F6A66">
        <w:rPr>
          <w:szCs w:val="22"/>
          <w:lang w:val="fr-FR"/>
        </w:rPr>
        <w:t>’</w:t>
      </w:r>
      <w:r w:rsidRPr="000F6A66">
        <w:rPr>
          <w:szCs w:val="22"/>
          <w:lang w:val="fr-FR"/>
        </w:rPr>
        <w:t>autres programmes de l</w:t>
      </w:r>
      <w:r w:rsidR="001B04F7" w:rsidRPr="000F6A66">
        <w:rPr>
          <w:szCs w:val="22"/>
          <w:lang w:val="fr-FR"/>
        </w:rPr>
        <w:t>’</w:t>
      </w:r>
      <w:r w:rsidRPr="000F6A66">
        <w:rPr>
          <w:szCs w:val="22"/>
          <w:lang w:val="fr-FR"/>
        </w:rPr>
        <w:t>O</w:t>
      </w:r>
      <w:r w:rsidR="00655442" w:rsidRPr="000F6A66">
        <w:rPr>
          <w:szCs w:val="22"/>
          <w:lang w:val="fr-FR"/>
        </w:rPr>
        <w:t>MPI.  Un</w:t>
      </w:r>
      <w:r w:rsidR="00CA616B" w:rsidRPr="000F6A66">
        <w:rPr>
          <w:szCs w:val="22"/>
          <w:lang w:val="fr-FR"/>
        </w:rPr>
        <w:t>e assistance supplémentaire peut donc être apportée pour consolider et compléter l</w:t>
      </w:r>
      <w:r w:rsidR="001B04F7" w:rsidRPr="000F6A66">
        <w:rPr>
          <w:szCs w:val="22"/>
          <w:lang w:val="fr-FR"/>
        </w:rPr>
        <w:t>’</w:t>
      </w:r>
      <w:r w:rsidR="00CA616B" w:rsidRPr="000F6A66">
        <w:rPr>
          <w:szCs w:val="22"/>
          <w:lang w:val="fr-FR"/>
        </w:rPr>
        <w:t>appui fourni (</w:t>
      </w:r>
      <w:r w:rsidR="001B04F7" w:rsidRPr="000F6A66">
        <w:rPr>
          <w:szCs w:val="22"/>
          <w:lang w:val="fr-FR"/>
        </w:rPr>
        <w:t>y compris</w:t>
      </w:r>
      <w:r w:rsidR="00CA616B" w:rsidRPr="000F6A66">
        <w:rPr>
          <w:szCs w:val="22"/>
          <w:lang w:val="fr-FR"/>
        </w:rPr>
        <w:t>, le cas échéant, des conseils de politique</w:t>
      </w:r>
      <w:r w:rsidR="006D6884" w:rsidRPr="000F6A66">
        <w:rPr>
          <w:szCs w:val="22"/>
          <w:lang w:val="fr-FR"/>
        </w:rPr>
        <w:t xml:space="preserve"> généra</w:t>
      </w:r>
      <w:r w:rsidR="00655442" w:rsidRPr="000F6A66">
        <w:rPr>
          <w:szCs w:val="22"/>
          <w:lang w:val="fr-FR"/>
        </w:rPr>
        <w:t>le).  La</w:t>
      </w:r>
      <w:r w:rsidR="00CA616B" w:rsidRPr="000F6A66">
        <w:rPr>
          <w:szCs w:val="22"/>
          <w:lang w:val="fr-FR"/>
        </w:rPr>
        <w:t xml:space="preserve"> publication conjointe OMPI</w:t>
      </w:r>
      <w:r w:rsidR="001B04F7" w:rsidRPr="000F6A66">
        <w:rPr>
          <w:szCs w:val="22"/>
          <w:lang w:val="fr-FR"/>
        </w:rPr>
        <w:t>-</w:t>
      </w:r>
      <w:r w:rsidR="00CA616B" w:rsidRPr="000F6A66">
        <w:rPr>
          <w:szCs w:val="22"/>
          <w:lang w:val="fr-FR"/>
        </w:rPr>
        <w:t xml:space="preserve">OMT prévue sur la propriété intellectuelle et le tourisme permettra une diffusion plus large des informations </w:t>
      </w:r>
      <w:r w:rsidR="00592678" w:rsidRPr="000F6A66">
        <w:rPr>
          <w:szCs w:val="22"/>
          <w:lang w:val="fr-FR"/>
        </w:rPr>
        <w:t>recu</w:t>
      </w:r>
      <w:r w:rsidR="00DF227F" w:rsidRPr="000F6A66">
        <w:rPr>
          <w:szCs w:val="22"/>
          <w:lang w:val="fr-FR"/>
        </w:rPr>
        <w:t>e</w:t>
      </w:r>
      <w:r w:rsidR="00592678" w:rsidRPr="000F6A66">
        <w:rPr>
          <w:szCs w:val="22"/>
          <w:lang w:val="fr-FR"/>
        </w:rPr>
        <w:t>illies</w:t>
      </w:r>
      <w:r w:rsidR="00CA616B" w:rsidRPr="000F6A66">
        <w:rPr>
          <w:szCs w:val="22"/>
          <w:lang w:val="fr-FR"/>
        </w:rPr>
        <w:t xml:space="preserve"> dans le cadre du proj</w:t>
      </w:r>
      <w:r w:rsidR="00655442" w:rsidRPr="000F6A66">
        <w:rPr>
          <w:szCs w:val="22"/>
          <w:lang w:val="fr-FR"/>
        </w:rPr>
        <w:t xml:space="preserve">et.  </w:t>
      </w:r>
      <w:r w:rsidR="00655442" w:rsidRPr="000F6A66">
        <w:rPr>
          <w:lang w:val="fr-FR"/>
        </w:rPr>
        <w:t>Ce</w:t>
      </w:r>
      <w:r w:rsidR="006D6884" w:rsidRPr="000F6A66">
        <w:rPr>
          <w:lang w:val="fr-FR"/>
        </w:rPr>
        <w:t>lui</w:t>
      </w:r>
      <w:r w:rsidR="001B04F7" w:rsidRPr="000F6A66">
        <w:rPr>
          <w:lang w:val="fr-FR"/>
        </w:rPr>
        <w:t>-</w:t>
      </w:r>
      <w:r w:rsidR="006D6884" w:rsidRPr="000F6A66">
        <w:rPr>
          <w:lang w:val="fr-FR"/>
        </w:rPr>
        <w:t>ci</w:t>
      </w:r>
      <w:r w:rsidR="00CA616B" w:rsidRPr="000F6A66">
        <w:rPr>
          <w:lang w:val="fr-FR"/>
        </w:rPr>
        <w:t xml:space="preserve"> n</w:t>
      </w:r>
      <w:r w:rsidR="001B04F7" w:rsidRPr="000F6A66">
        <w:rPr>
          <w:lang w:val="fr-FR"/>
        </w:rPr>
        <w:t>’</w:t>
      </w:r>
      <w:r w:rsidR="00CA616B" w:rsidRPr="000F6A66">
        <w:rPr>
          <w:lang w:val="fr-FR"/>
        </w:rPr>
        <w:t>a pas débouché sur un nouveau service pouvant être amélioré et générali</w:t>
      </w:r>
      <w:r w:rsidR="00655442" w:rsidRPr="000F6A66">
        <w:rPr>
          <w:lang w:val="fr-FR"/>
        </w:rPr>
        <w:t xml:space="preserve">sé.  </w:t>
      </w:r>
      <w:r w:rsidR="00655442" w:rsidRPr="000F6A66">
        <w:rPr>
          <w:szCs w:val="22"/>
          <w:lang w:val="fr-FR"/>
        </w:rPr>
        <w:t>La</w:t>
      </w:r>
      <w:r w:rsidR="00CA616B" w:rsidRPr="000F6A66">
        <w:rPr>
          <w:szCs w:val="22"/>
          <w:lang w:val="fr-FR"/>
        </w:rPr>
        <w:t xml:space="preserve"> valeur ajoutée d</w:t>
      </w:r>
      <w:r w:rsidR="001B04F7" w:rsidRPr="000F6A66">
        <w:rPr>
          <w:szCs w:val="22"/>
          <w:lang w:val="fr-FR"/>
        </w:rPr>
        <w:t>’</w:t>
      </w:r>
      <w:r w:rsidR="00CA616B" w:rsidRPr="000F6A66">
        <w:rPr>
          <w:szCs w:val="22"/>
          <w:lang w:val="fr-FR"/>
        </w:rPr>
        <w:t>un nouveau projet sur la propriété intellectuelle et le tourisme s</w:t>
      </w:r>
      <w:r w:rsidR="001B04F7" w:rsidRPr="000F6A66">
        <w:rPr>
          <w:szCs w:val="22"/>
          <w:lang w:val="fr-FR"/>
        </w:rPr>
        <w:t>’</w:t>
      </w:r>
      <w:r w:rsidR="00CA616B" w:rsidRPr="000F6A66">
        <w:rPr>
          <w:szCs w:val="22"/>
          <w:lang w:val="fr-FR"/>
        </w:rPr>
        <w:t xml:space="preserve">ajoutant à la poursuite des travaux en cours </w:t>
      </w:r>
      <w:r w:rsidR="006D6884" w:rsidRPr="000F6A66">
        <w:rPr>
          <w:szCs w:val="22"/>
          <w:lang w:val="fr-FR"/>
        </w:rPr>
        <w:t>est incertaine</w:t>
      </w:r>
      <w:r w:rsidR="00CA616B" w:rsidRPr="000F6A66">
        <w:rPr>
          <w:szCs w:val="22"/>
          <w:lang w:val="fr-FR"/>
        </w:rPr>
        <w:t>.</w:t>
      </w:r>
    </w:p>
    <w:p w14:paraId="1A2BE811" w14:textId="77777777" w:rsidR="001C1D6B" w:rsidRPr="000F6A66" w:rsidRDefault="002F0441">
      <w:pPr>
        <w:rPr>
          <w:bCs/>
          <w:caps/>
          <w:kern w:val="32"/>
          <w:szCs w:val="32"/>
          <w:lang w:val="fr-FR"/>
        </w:rPr>
      </w:pPr>
      <w:r w:rsidRPr="000F6A66">
        <w:rPr>
          <w:b/>
          <w:lang w:val="fr-FR"/>
        </w:rPr>
        <w:br w:type="page"/>
      </w:r>
    </w:p>
    <w:p w14:paraId="258CADCC" w14:textId="7133F987" w:rsidR="001C1D6B" w:rsidRPr="000F6A66" w:rsidRDefault="00CA616B" w:rsidP="00675065">
      <w:pPr>
        <w:pStyle w:val="Heading1"/>
        <w:numPr>
          <w:ilvl w:val="0"/>
          <w:numId w:val="0"/>
        </w:numPr>
        <w:ind w:left="567" w:hanging="567"/>
        <w:rPr>
          <w:lang w:val="fr-FR"/>
        </w:rPr>
      </w:pPr>
      <w:bookmarkStart w:id="9" w:name="_Toc20991636"/>
      <w:r w:rsidRPr="000F6A66">
        <w:rPr>
          <w:lang w:val="fr-FR"/>
        </w:rPr>
        <w:lastRenderedPageBreak/>
        <w:t>Recommandations</w:t>
      </w:r>
      <w:bookmarkEnd w:id="9"/>
    </w:p>
    <w:p w14:paraId="71F89B7D" w14:textId="77777777" w:rsidR="00675065" w:rsidRPr="000F6A66" w:rsidRDefault="00675065" w:rsidP="00675065">
      <w:pPr>
        <w:rPr>
          <w:lang w:val="fr-FR"/>
        </w:rPr>
      </w:pPr>
    </w:p>
    <w:p w14:paraId="5193A329" w14:textId="0DA76711" w:rsidR="001C1D6B" w:rsidRPr="000F6A66" w:rsidRDefault="00CA616B" w:rsidP="00675065">
      <w:pPr>
        <w:pStyle w:val="ONUMFS"/>
        <w:numPr>
          <w:ilvl w:val="0"/>
          <w:numId w:val="0"/>
        </w:numPr>
        <w:rPr>
          <w:b/>
          <w:lang w:val="fr-FR"/>
        </w:rPr>
      </w:pPr>
      <w:r w:rsidRPr="000F6A66">
        <w:rPr>
          <w:b/>
          <w:lang w:val="fr-FR"/>
        </w:rPr>
        <w:t>Recommandation n°</w:t>
      </w:r>
      <w:r w:rsidR="0019339C" w:rsidRPr="000F6A66">
        <w:rPr>
          <w:b/>
          <w:lang w:val="fr-FR"/>
        </w:rPr>
        <w:t> </w:t>
      </w:r>
      <w:r w:rsidRPr="000F6A66">
        <w:rPr>
          <w:b/>
          <w:lang w:val="fr-FR"/>
        </w:rPr>
        <w:t>1 (tirée de la conclusion n°</w:t>
      </w:r>
      <w:r w:rsidR="0019339C" w:rsidRPr="000F6A66">
        <w:rPr>
          <w:b/>
          <w:lang w:val="fr-FR"/>
        </w:rPr>
        <w:t> </w:t>
      </w:r>
      <w:r w:rsidRPr="000F6A66">
        <w:rPr>
          <w:b/>
          <w:lang w:val="fr-FR"/>
        </w:rPr>
        <w:t>3) au Secrétariat de l</w:t>
      </w:r>
      <w:r w:rsidR="001B04F7" w:rsidRPr="000F6A66">
        <w:rPr>
          <w:b/>
          <w:lang w:val="fr-FR"/>
        </w:rPr>
        <w:t>’</w:t>
      </w:r>
      <w:r w:rsidRPr="000F6A66">
        <w:rPr>
          <w:b/>
          <w:lang w:val="fr-FR"/>
        </w:rPr>
        <w:t>OMPI</w:t>
      </w:r>
    </w:p>
    <w:p w14:paraId="6F0D5C0C" w14:textId="5E44DAA7" w:rsidR="001C1D6B" w:rsidRPr="000F6A66" w:rsidRDefault="00CB6A38" w:rsidP="00675065">
      <w:pPr>
        <w:pStyle w:val="ONUMFS"/>
        <w:numPr>
          <w:ilvl w:val="0"/>
          <w:numId w:val="0"/>
        </w:numPr>
        <w:rPr>
          <w:lang w:val="fr-FR"/>
        </w:rPr>
      </w:pPr>
      <w:r w:rsidRPr="000F6A66">
        <w:rPr>
          <w:lang w:val="fr-FR"/>
        </w:rPr>
        <w:t>Finaliser et publier le guide sur le tourisme en coopération avec l</w:t>
      </w:r>
      <w:r w:rsidR="001B04F7" w:rsidRPr="000F6A66">
        <w:rPr>
          <w:lang w:val="fr-FR"/>
        </w:rPr>
        <w:t>’</w:t>
      </w:r>
      <w:r w:rsidRPr="000F6A66">
        <w:rPr>
          <w:lang w:val="fr-FR"/>
        </w:rPr>
        <w:t>OMT.</w:t>
      </w:r>
    </w:p>
    <w:p w14:paraId="541CBF18" w14:textId="19FDCA8B" w:rsidR="001C1D6B" w:rsidRPr="000F6A66" w:rsidRDefault="00CB6A38" w:rsidP="00675065">
      <w:pPr>
        <w:pStyle w:val="ONUMFS"/>
        <w:numPr>
          <w:ilvl w:val="0"/>
          <w:numId w:val="0"/>
        </w:numPr>
        <w:rPr>
          <w:b/>
          <w:lang w:val="fr-FR"/>
        </w:rPr>
      </w:pPr>
      <w:r w:rsidRPr="000F6A66">
        <w:rPr>
          <w:b/>
          <w:lang w:val="fr-FR"/>
        </w:rPr>
        <w:t>Recommandation n°</w:t>
      </w:r>
      <w:r w:rsidR="0019339C" w:rsidRPr="000F6A66">
        <w:rPr>
          <w:b/>
          <w:lang w:val="fr-FR"/>
        </w:rPr>
        <w:t> </w:t>
      </w:r>
      <w:r w:rsidRPr="000F6A66">
        <w:rPr>
          <w:b/>
          <w:lang w:val="fr-FR"/>
        </w:rPr>
        <w:t>2 (tirée de la conclusion n°</w:t>
      </w:r>
      <w:r w:rsidR="0019339C" w:rsidRPr="000F6A66">
        <w:rPr>
          <w:b/>
          <w:lang w:val="fr-FR"/>
        </w:rPr>
        <w:t> </w:t>
      </w:r>
      <w:r w:rsidRPr="000F6A66">
        <w:rPr>
          <w:b/>
          <w:lang w:val="fr-FR"/>
        </w:rPr>
        <w:t>1) au Secrétariat de l</w:t>
      </w:r>
      <w:r w:rsidR="001B04F7" w:rsidRPr="000F6A66">
        <w:rPr>
          <w:b/>
          <w:lang w:val="fr-FR"/>
        </w:rPr>
        <w:t>’</w:t>
      </w:r>
      <w:r w:rsidRPr="000F6A66">
        <w:rPr>
          <w:b/>
          <w:lang w:val="fr-FR"/>
        </w:rPr>
        <w:t>OMPI</w:t>
      </w:r>
    </w:p>
    <w:p w14:paraId="25CA9E8E" w14:textId="5385346A" w:rsidR="001C1D6B" w:rsidRPr="000F6A66" w:rsidRDefault="00D8292B" w:rsidP="00675065">
      <w:pPr>
        <w:pStyle w:val="ONUMFS"/>
        <w:numPr>
          <w:ilvl w:val="0"/>
          <w:numId w:val="0"/>
        </w:numPr>
        <w:rPr>
          <w:lang w:val="fr-FR"/>
        </w:rPr>
      </w:pPr>
      <w:r w:rsidRPr="000F6A66">
        <w:rPr>
          <w:lang w:val="fr-FR"/>
        </w:rPr>
        <w:t xml:space="preserve">Inclure une stratégie </w:t>
      </w:r>
      <w:r w:rsidR="006D6884" w:rsidRPr="000F6A66">
        <w:rPr>
          <w:lang w:val="fr-FR"/>
        </w:rPr>
        <w:t>de retrait progressif</w:t>
      </w:r>
      <w:r w:rsidRPr="000F6A66">
        <w:rPr>
          <w:lang w:val="fr-FR"/>
        </w:rPr>
        <w:t xml:space="preserve"> dans les descriptifs de projet pour les nouveaux projets menés au titre du Plan d</w:t>
      </w:r>
      <w:r w:rsidR="001B04F7" w:rsidRPr="000F6A66">
        <w:rPr>
          <w:lang w:val="fr-FR"/>
        </w:rPr>
        <w:t>’</w:t>
      </w:r>
      <w:r w:rsidRPr="000F6A66">
        <w:rPr>
          <w:lang w:val="fr-FR"/>
        </w:rPr>
        <w:t xml:space="preserve">action pour le développement, en indiquant les mesures à prendre pour assurer la continuité des avantages au terme </w:t>
      </w:r>
      <w:r w:rsidR="006D6884" w:rsidRPr="000F6A66">
        <w:rPr>
          <w:lang w:val="fr-FR"/>
        </w:rPr>
        <w:t xml:space="preserve">du </w:t>
      </w:r>
      <w:r w:rsidR="00592678" w:rsidRPr="000F6A66">
        <w:rPr>
          <w:lang w:val="fr-FR"/>
        </w:rPr>
        <w:t>mandat</w:t>
      </w:r>
      <w:r w:rsidRPr="000F6A66">
        <w:rPr>
          <w:lang w:val="fr-FR"/>
        </w:rPr>
        <w:t xml:space="preserve"> de l</w:t>
      </w:r>
      <w:r w:rsidR="001B04F7" w:rsidRPr="000F6A66">
        <w:rPr>
          <w:lang w:val="fr-FR"/>
        </w:rPr>
        <w:t>’</w:t>
      </w:r>
      <w:r w:rsidRPr="000F6A66">
        <w:rPr>
          <w:lang w:val="fr-FR"/>
        </w:rPr>
        <w:t>OMPI (pérennité des résultats).</w:t>
      </w:r>
    </w:p>
    <w:p w14:paraId="27F7E261" w14:textId="71213458" w:rsidR="001C1D6B" w:rsidRPr="000F6A66" w:rsidRDefault="00D8292B" w:rsidP="00675065">
      <w:pPr>
        <w:pStyle w:val="ONUMFS"/>
        <w:numPr>
          <w:ilvl w:val="0"/>
          <w:numId w:val="0"/>
        </w:numPr>
        <w:rPr>
          <w:b/>
          <w:lang w:val="fr-FR"/>
        </w:rPr>
      </w:pPr>
      <w:r w:rsidRPr="000F6A66">
        <w:rPr>
          <w:b/>
          <w:lang w:val="fr-FR"/>
        </w:rPr>
        <w:t>Recommandation n°</w:t>
      </w:r>
      <w:r w:rsidR="0019339C" w:rsidRPr="000F6A66">
        <w:rPr>
          <w:b/>
          <w:lang w:val="fr-FR"/>
        </w:rPr>
        <w:t> </w:t>
      </w:r>
      <w:r w:rsidRPr="000F6A66">
        <w:rPr>
          <w:b/>
          <w:lang w:val="fr-FR"/>
        </w:rPr>
        <w:t>3 (tirée de la conclusion n°</w:t>
      </w:r>
      <w:r w:rsidR="0019339C" w:rsidRPr="000F6A66">
        <w:rPr>
          <w:b/>
          <w:lang w:val="fr-FR"/>
        </w:rPr>
        <w:t> </w:t>
      </w:r>
      <w:r w:rsidRPr="000F6A66">
        <w:rPr>
          <w:b/>
          <w:lang w:val="fr-FR"/>
        </w:rPr>
        <w:t>5) au Secrétariat de l</w:t>
      </w:r>
      <w:r w:rsidR="001B04F7" w:rsidRPr="000F6A66">
        <w:rPr>
          <w:b/>
          <w:lang w:val="fr-FR"/>
        </w:rPr>
        <w:t>’</w:t>
      </w:r>
      <w:r w:rsidRPr="000F6A66">
        <w:rPr>
          <w:b/>
          <w:lang w:val="fr-FR"/>
        </w:rPr>
        <w:t>OMPI</w:t>
      </w:r>
    </w:p>
    <w:p w14:paraId="05E47D4E" w14:textId="747F62AF" w:rsidR="001C1D6B" w:rsidRPr="000F6A66" w:rsidRDefault="003143A5" w:rsidP="00675065">
      <w:pPr>
        <w:pStyle w:val="ONUMFS"/>
        <w:numPr>
          <w:ilvl w:val="0"/>
          <w:numId w:val="0"/>
        </w:numPr>
        <w:rPr>
          <w:lang w:val="fr-FR"/>
        </w:rPr>
      </w:pPr>
      <w:r w:rsidRPr="000F6A66">
        <w:rPr>
          <w:lang w:val="fr-FR"/>
        </w:rPr>
        <w:t xml:space="preserve">Examiner les possibilités de projets conjoints avec les organisations pertinentes des </w:t>
      </w:r>
      <w:r w:rsidR="001B04F7" w:rsidRPr="000F6A66">
        <w:rPr>
          <w:lang w:val="fr-FR"/>
        </w:rPr>
        <w:t>Nations Unies</w:t>
      </w:r>
      <w:r w:rsidRPr="000F6A66">
        <w:rPr>
          <w:lang w:val="fr-FR"/>
        </w:rPr>
        <w:t xml:space="preserve"> qui </w:t>
      </w:r>
      <w:r w:rsidR="00592678" w:rsidRPr="000F6A66">
        <w:rPr>
          <w:lang w:val="fr-FR"/>
        </w:rPr>
        <w:t>œuvrent en faveur</w:t>
      </w:r>
      <w:r w:rsidRPr="000F6A66">
        <w:rPr>
          <w:lang w:val="fr-FR"/>
        </w:rPr>
        <w:t xml:space="preserve"> du développement du commerce et du secteur privé, </w:t>
      </w:r>
      <w:r w:rsidR="001B04F7" w:rsidRPr="000F6A66">
        <w:rPr>
          <w:lang w:val="fr-FR"/>
        </w:rPr>
        <w:t>y compris</w:t>
      </w:r>
      <w:r w:rsidRPr="000F6A66">
        <w:rPr>
          <w:lang w:val="fr-FR"/>
        </w:rPr>
        <w:t xml:space="preserve"> mais sans exclusive celles mentionnées dans la recommandation n° 40 du Plan d</w:t>
      </w:r>
      <w:r w:rsidR="001B04F7" w:rsidRPr="000F6A66">
        <w:rPr>
          <w:lang w:val="fr-FR"/>
        </w:rPr>
        <w:t>’</w:t>
      </w:r>
      <w:r w:rsidRPr="000F6A66">
        <w:rPr>
          <w:lang w:val="fr-FR"/>
        </w:rPr>
        <w:t>action pour le développeme</w:t>
      </w:r>
      <w:r w:rsidR="00655442" w:rsidRPr="000F6A66">
        <w:rPr>
          <w:lang w:val="fr-FR"/>
        </w:rPr>
        <w:t>nt.  Co</w:t>
      </w:r>
      <w:r w:rsidRPr="000F6A66">
        <w:rPr>
          <w:lang w:val="fr-FR"/>
        </w:rPr>
        <w:t>ntrairement aux projets indépendants en matière de propriété intellectuelle qui sont propres à un secteur d</w:t>
      </w:r>
      <w:r w:rsidR="001B04F7" w:rsidRPr="000F6A66">
        <w:rPr>
          <w:lang w:val="fr-FR"/>
        </w:rPr>
        <w:t>’</w:t>
      </w:r>
      <w:r w:rsidRPr="000F6A66">
        <w:rPr>
          <w:lang w:val="fr-FR"/>
        </w:rPr>
        <w:t>activité, ce serait l</w:t>
      </w:r>
      <w:r w:rsidR="001B04F7" w:rsidRPr="000F6A66">
        <w:rPr>
          <w:lang w:val="fr-FR"/>
        </w:rPr>
        <w:t>’</w:t>
      </w:r>
      <w:r w:rsidRPr="000F6A66">
        <w:rPr>
          <w:lang w:val="fr-FR"/>
        </w:rPr>
        <w:t>occasion de combiner le savoir</w:t>
      </w:r>
      <w:r w:rsidR="001B04F7" w:rsidRPr="000F6A66">
        <w:rPr>
          <w:lang w:val="fr-FR"/>
        </w:rPr>
        <w:t>-</w:t>
      </w:r>
      <w:r w:rsidRPr="000F6A66">
        <w:rPr>
          <w:lang w:val="fr-FR"/>
        </w:rPr>
        <w:t xml:space="preserve">faire et les relations propres </w:t>
      </w:r>
      <w:r w:rsidR="006D6884" w:rsidRPr="000F6A66">
        <w:rPr>
          <w:lang w:val="fr-FR"/>
        </w:rPr>
        <w:t>au</w:t>
      </w:r>
      <w:r w:rsidRPr="000F6A66">
        <w:rPr>
          <w:lang w:val="fr-FR"/>
        </w:rPr>
        <w:t xml:space="preserve"> secteur avec les compétences de l</w:t>
      </w:r>
      <w:r w:rsidR="001B04F7" w:rsidRPr="000F6A66">
        <w:rPr>
          <w:lang w:val="fr-FR"/>
        </w:rPr>
        <w:t>’</w:t>
      </w:r>
      <w:r w:rsidRPr="000F6A66">
        <w:rPr>
          <w:lang w:val="fr-FR"/>
        </w:rPr>
        <w:t xml:space="preserve">OMPI </w:t>
      </w:r>
      <w:r w:rsidR="006D6884" w:rsidRPr="000F6A66">
        <w:rPr>
          <w:lang w:val="fr-FR"/>
        </w:rPr>
        <w:t>en matière de</w:t>
      </w:r>
      <w:r w:rsidRPr="000F6A66">
        <w:rPr>
          <w:lang w:val="fr-FR"/>
        </w:rPr>
        <w:t xml:space="preserve"> commercialisation des actifs de propriété intellectuelle.</w:t>
      </w:r>
    </w:p>
    <w:p w14:paraId="242727B9" w14:textId="49C498A4" w:rsidR="001C1D6B" w:rsidRPr="000F6A66" w:rsidRDefault="003143A5" w:rsidP="00675065">
      <w:pPr>
        <w:pStyle w:val="ONUMFS"/>
        <w:numPr>
          <w:ilvl w:val="0"/>
          <w:numId w:val="0"/>
        </w:numPr>
        <w:rPr>
          <w:b/>
          <w:lang w:val="fr-FR"/>
        </w:rPr>
      </w:pPr>
      <w:r w:rsidRPr="000F6A66">
        <w:rPr>
          <w:b/>
          <w:lang w:val="fr-FR"/>
        </w:rPr>
        <w:t>Recommandation n°</w:t>
      </w:r>
      <w:r w:rsidR="0019339C" w:rsidRPr="000F6A66">
        <w:rPr>
          <w:b/>
          <w:lang w:val="fr-FR"/>
        </w:rPr>
        <w:t> </w:t>
      </w:r>
      <w:r w:rsidRPr="000F6A66">
        <w:rPr>
          <w:b/>
          <w:lang w:val="fr-FR"/>
        </w:rPr>
        <w:t>4 (tirée de la conclusion n°</w:t>
      </w:r>
      <w:r w:rsidR="0019339C" w:rsidRPr="000F6A66">
        <w:rPr>
          <w:b/>
          <w:lang w:val="fr-FR"/>
        </w:rPr>
        <w:t> </w:t>
      </w:r>
      <w:r w:rsidRPr="000F6A66">
        <w:rPr>
          <w:b/>
          <w:lang w:val="fr-FR"/>
        </w:rPr>
        <w:t>2) au Secrétariat de l</w:t>
      </w:r>
      <w:r w:rsidR="001B04F7" w:rsidRPr="000F6A66">
        <w:rPr>
          <w:b/>
          <w:lang w:val="fr-FR"/>
        </w:rPr>
        <w:t>’</w:t>
      </w:r>
      <w:r w:rsidRPr="000F6A66">
        <w:rPr>
          <w:b/>
          <w:lang w:val="fr-FR"/>
        </w:rPr>
        <w:t>OMPI</w:t>
      </w:r>
    </w:p>
    <w:p w14:paraId="5C83A4F4" w14:textId="5D6B8201" w:rsidR="001C1D6B" w:rsidRPr="000F6A66" w:rsidRDefault="00D97A6C" w:rsidP="00675065">
      <w:pPr>
        <w:pStyle w:val="ONUMFS"/>
        <w:numPr>
          <w:ilvl w:val="0"/>
          <w:numId w:val="0"/>
        </w:numPr>
        <w:rPr>
          <w:lang w:val="fr-FR"/>
        </w:rPr>
      </w:pPr>
      <w:r w:rsidRPr="000F6A66">
        <w:rPr>
          <w:lang w:val="fr-FR"/>
        </w:rPr>
        <w:t>Lorsque les propositions de nouveaux projets au titre du Plan d</w:t>
      </w:r>
      <w:r w:rsidR="001B04F7" w:rsidRPr="000F6A66">
        <w:rPr>
          <w:lang w:val="fr-FR"/>
        </w:rPr>
        <w:t>’</w:t>
      </w:r>
      <w:r w:rsidRPr="000F6A66">
        <w:rPr>
          <w:lang w:val="fr-FR"/>
        </w:rPr>
        <w:t xml:space="preserve">action pour le développement ne </w:t>
      </w:r>
      <w:r w:rsidR="00592678" w:rsidRPr="000F6A66">
        <w:rPr>
          <w:lang w:val="fr-FR"/>
        </w:rPr>
        <w:t>correspondent</w:t>
      </w:r>
      <w:r w:rsidRPr="000F6A66">
        <w:rPr>
          <w:lang w:val="fr-FR"/>
        </w:rPr>
        <w:t xml:space="preserve"> pas </w:t>
      </w:r>
      <w:r w:rsidR="00592678" w:rsidRPr="000F6A66">
        <w:rPr>
          <w:lang w:val="fr-FR"/>
        </w:rPr>
        <w:t xml:space="preserve">exactement </w:t>
      </w:r>
      <w:r w:rsidRPr="000F6A66">
        <w:rPr>
          <w:lang w:val="fr-FR"/>
        </w:rPr>
        <w:t xml:space="preserve">à une recommandation </w:t>
      </w:r>
      <w:r w:rsidR="00592678" w:rsidRPr="000F6A66">
        <w:rPr>
          <w:lang w:val="fr-FR"/>
        </w:rPr>
        <w:t>donnée</w:t>
      </w:r>
      <w:r w:rsidRPr="000F6A66">
        <w:rPr>
          <w:lang w:val="fr-FR"/>
        </w:rPr>
        <w:t xml:space="preserve"> du plan, préparer et soumettre</w:t>
      </w:r>
      <w:r w:rsidR="001B04F7" w:rsidRPr="000F6A66">
        <w:rPr>
          <w:lang w:val="fr-FR"/>
        </w:rPr>
        <w:t xml:space="preserve"> au CDI</w:t>
      </w:r>
      <w:r w:rsidRPr="000F6A66">
        <w:rPr>
          <w:lang w:val="fr-FR"/>
        </w:rPr>
        <w:t>P des documents de travail suivant un format normalisé avant de présenter une proposition précise pour un projet au titre du Plan d</w:t>
      </w:r>
      <w:r w:rsidR="001B04F7" w:rsidRPr="000F6A66">
        <w:rPr>
          <w:lang w:val="fr-FR"/>
        </w:rPr>
        <w:t>’</w:t>
      </w:r>
      <w:r w:rsidRPr="000F6A66">
        <w:rPr>
          <w:lang w:val="fr-FR"/>
        </w:rPr>
        <w:t>action pour le développeme</w:t>
      </w:r>
      <w:r w:rsidR="00655442" w:rsidRPr="000F6A66">
        <w:rPr>
          <w:lang w:val="fr-FR"/>
        </w:rPr>
        <w:t xml:space="preserve">nt.  </w:t>
      </w:r>
      <w:bookmarkStart w:id="10" w:name="_Hlk18316229"/>
      <w:r w:rsidR="00655442" w:rsidRPr="000F6A66">
        <w:rPr>
          <w:lang w:val="fr-FR"/>
        </w:rPr>
        <w:t>Le</w:t>
      </w:r>
      <w:r w:rsidR="006D4C97" w:rsidRPr="000F6A66">
        <w:rPr>
          <w:lang w:val="fr-FR"/>
        </w:rPr>
        <w:t>s documents de travail devraient notamment examiner</w:t>
      </w:r>
      <w:r w:rsidR="001B04F7" w:rsidRPr="000F6A66">
        <w:rPr>
          <w:lang w:val="fr-FR"/>
        </w:rPr>
        <w:t> :</w:t>
      </w:r>
      <w:r w:rsidR="006D4C97" w:rsidRPr="000F6A66">
        <w:rPr>
          <w:lang w:val="fr-FR"/>
        </w:rPr>
        <w:t xml:space="preserve"> si l</w:t>
      </w:r>
      <w:r w:rsidR="001B04F7" w:rsidRPr="000F6A66">
        <w:rPr>
          <w:lang w:val="fr-FR"/>
        </w:rPr>
        <w:t>’</w:t>
      </w:r>
      <w:r w:rsidR="006D4C97" w:rsidRPr="000F6A66">
        <w:rPr>
          <w:lang w:val="fr-FR"/>
        </w:rPr>
        <w:t xml:space="preserve">appui proposé répond à un besoin exprimé, </w:t>
      </w:r>
      <w:r w:rsidR="006D6884" w:rsidRPr="000F6A66">
        <w:rPr>
          <w:lang w:val="fr-FR"/>
        </w:rPr>
        <w:t xml:space="preserve">quel est </w:t>
      </w:r>
      <w:r w:rsidR="006D4C97" w:rsidRPr="000F6A66">
        <w:rPr>
          <w:lang w:val="fr-FR"/>
        </w:rPr>
        <w:t>l</w:t>
      </w:r>
      <w:r w:rsidR="001B04F7" w:rsidRPr="000F6A66">
        <w:rPr>
          <w:lang w:val="fr-FR"/>
        </w:rPr>
        <w:t>’</w:t>
      </w:r>
      <w:r w:rsidR="006D4C97" w:rsidRPr="000F6A66">
        <w:rPr>
          <w:lang w:val="fr-FR"/>
        </w:rPr>
        <w:t>avantage comparatif de l</w:t>
      </w:r>
      <w:r w:rsidR="001B04F7" w:rsidRPr="000F6A66">
        <w:rPr>
          <w:lang w:val="fr-FR"/>
        </w:rPr>
        <w:t>’</w:t>
      </w:r>
      <w:r w:rsidR="006D4C97" w:rsidRPr="000F6A66">
        <w:rPr>
          <w:lang w:val="fr-FR"/>
        </w:rPr>
        <w:t xml:space="preserve">OMPI concernant la fourniture de cet appui, et si le ou les services requis </w:t>
      </w:r>
      <w:r w:rsidR="00592678" w:rsidRPr="000F6A66">
        <w:rPr>
          <w:lang w:val="fr-FR"/>
        </w:rPr>
        <w:t xml:space="preserve">existent </w:t>
      </w:r>
      <w:r w:rsidR="006D4C97" w:rsidRPr="000F6A66">
        <w:rPr>
          <w:lang w:val="fr-FR"/>
        </w:rPr>
        <w:t>déjà dans des programmes existants de l</w:t>
      </w:r>
      <w:r w:rsidR="001B04F7" w:rsidRPr="000F6A66">
        <w:rPr>
          <w:lang w:val="fr-FR"/>
        </w:rPr>
        <w:t>’</w:t>
      </w:r>
      <w:r w:rsidR="006D4C97" w:rsidRPr="000F6A66">
        <w:rPr>
          <w:lang w:val="fr-FR"/>
        </w:rPr>
        <w:t>OMPI.</w:t>
      </w:r>
    </w:p>
    <w:bookmarkEnd w:id="10"/>
    <w:p w14:paraId="710D9557" w14:textId="767692FA" w:rsidR="001C1D6B" w:rsidRPr="000F6A66" w:rsidRDefault="006D4C97" w:rsidP="00675065">
      <w:pPr>
        <w:pStyle w:val="ONUMFS"/>
        <w:numPr>
          <w:ilvl w:val="0"/>
          <w:numId w:val="0"/>
        </w:numPr>
        <w:rPr>
          <w:b/>
          <w:lang w:val="fr-FR"/>
        </w:rPr>
      </w:pPr>
      <w:r w:rsidRPr="000F6A66">
        <w:rPr>
          <w:b/>
          <w:lang w:val="fr-FR"/>
        </w:rPr>
        <w:t>Recommandation n°</w:t>
      </w:r>
      <w:r w:rsidR="0019339C" w:rsidRPr="000F6A66">
        <w:rPr>
          <w:b/>
          <w:lang w:val="fr-FR"/>
        </w:rPr>
        <w:t> </w:t>
      </w:r>
      <w:r w:rsidRPr="000F6A66">
        <w:rPr>
          <w:b/>
          <w:lang w:val="fr-FR"/>
        </w:rPr>
        <w:t>5 (tirée de la conclusion n°</w:t>
      </w:r>
      <w:r w:rsidR="0019339C" w:rsidRPr="000F6A66">
        <w:rPr>
          <w:b/>
          <w:lang w:val="fr-FR"/>
        </w:rPr>
        <w:t> </w:t>
      </w:r>
      <w:r w:rsidRPr="000F6A66">
        <w:rPr>
          <w:b/>
          <w:lang w:val="fr-FR"/>
        </w:rPr>
        <w:t>1) au Secrétariat de l</w:t>
      </w:r>
      <w:r w:rsidR="001B04F7" w:rsidRPr="000F6A66">
        <w:rPr>
          <w:b/>
          <w:lang w:val="fr-FR"/>
        </w:rPr>
        <w:t>’</w:t>
      </w:r>
      <w:r w:rsidRPr="000F6A66">
        <w:rPr>
          <w:b/>
          <w:lang w:val="fr-FR"/>
        </w:rPr>
        <w:t>OMPI</w:t>
      </w:r>
    </w:p>
    <w:p w14:paraId="46FE14CF" w14:textId="753D3182" w:rsidR="001C1D6B" w:rsidRPr="000F6A66" w:rsidRDefault="002E3544" w:rsidP="00675065">
      <w:pPr>
        <w:pStyle w:val="ONUMFS"/>
        <w:numPr>
          <w:ilvl w:val="0"/>
          <w:numId w:val="0"/>
        </w:numPr>
        <w:rPr>
          <w:lang w:val="fr-FR"/>
        </w:rPr>
      </w:pPr>
      <w:r w:rsidRPr="000F6A66">
        <w:rPr>
          <w:lang w:val="fr-FR"/>
        </w:rPr>
        <w:t xml:space="preserve">Envisager de demander des évaluations ex post </w:t>
      </w:r>
      <w:r w:rsidR="006D6884" w:rsidRPr="000F6A66">
        <w:rPr>
          <w:lang w:val="fr-FR"/>
        </w:rPr>
        <w:t>d</w:t>
      </w:r>
      <w:r w:rsidRPr="000F6A66">
        <w:rPr>
          <w:lang w:val="fr-FR"/>
        </w:rPr>
        <w:t xml:space="preserve">es </w:t>
      </w:r>
      <w:r w:rsidR="00592678" w:rsidRPr="000F6A66">
        <w:rPr>
          <w:lang w:val="fr-FR"/>
        </w:rPr>
        <w:t xml:space="preserve">grands </w:t>
      </w:r>
      <w:r w:rsidRPr="000F6A66">
        <w:rPr>
          <w:lang w:val="fr-FR"/>
        </w:rPr>
        <w:t xml:space="preserve">avantages socioéconomiques à long terme (résultats) de certains projets </w:t>
      </w:r>
      <w:r w:rsidR="006D6884" w:rsidRPr="000F6A66">
        <w:rPr>
          <w:lang w:val="fr-FR"/>
        </w:rPr>
        <w:t xml:space="preserve">menés </w:t>
      </w:r>
      <w:r w:rsidRPr="000F6A66">
        <w:rPr>
          <w:lang w:val="fr-FR"/>
        </w:rPr>
        <w:t>au titre du Plan d</w:t>
      </w:r>
      <w:r w:rsidR="001B04F7" w:rsidRPr="000F6A66">
        <w:rPr>
          <w:lang w:val="fr-FR"/>
        </w:rPr>
        <w:t>’</w:t>
      </w:r>
      <w:r w:rsidRPr="000F6A66">
        <w:rPr>
          <w:lang w:val="fr-FR"/>
        </w:rPr>
        <w:t>action pour le développement et, sur cette base, tirer des enseignements généraux concernant la poursuite des travaux de développement liés à la propriété intellectuelle.</w:t>
      </w:r>
    </w:p>
    <w:p w14:paraId="59DB39E4" w14:textId="77777777" w:rsidR="00675065" w:rsidRPr="000F6A66" w:rsidRDefault="00675065">
      <w:pPr>
        <w:rPr>
          <w:b/>
          <w:bCs/>
          <w:caps/>
          <w:kern w:val="32"/>
          <w:szCs w:val="32"/>
          <w:lang w:val="fr-FR"/>
        </w:rPr>
      </w:pPr>
      <w:bookmarkStart w:id="11" w:name="_Toc18331403"/>
      <w:r w:rsidRPr="000F6A66">
        <w:rPr>
          <w:lang w:val="fr-FR"/>
        </w:rPr>
        <w:br w:type="page"/>
      </w:r>
    </w:p>
    <w:p w14:paraId="61FDBCEE" w14:textId="293E1CED" w:rsidR="00675065" w:rsidRPr="000F6A66" w:rsidRDefault="00675065" w:rsidP="00675065">
      <w:pPr>
        <w:pStyle w:val="Heading1"/>
        <w:numPr>
          <w:ilvl w:val="0"/>
          <w:numId w:val="0"/>
        </w:numPr>
        <w:ind w:left="567" w:hanging="567"/>
        <w:rPr>
          <w:lang w:val="fr-FR"/>
        </w:rPr>
      </w:pPr>
      <w:bookmarkStart w:id="12" w:name="_Toc20991637"/>
      <w:r w:rsidRPr="000F6A66">
        <w:rPr>
          <w:lang w:val="fr-FR"/>
        </w:rPr>
        <w:lastRenderedPageBreak/>
        <w:t>RAPPORT</w:t>
      </w:r>
      <w:bookmarkEnd w:id="11"/>
      <w:bookmarkEnd w:id="12"/>
    </w:p>
    <w:p w14:paraId="5E45D2B2" w14:textId="77777777" w:rsidR="00675065" w:rsidRPr="000F6A66" w:rsidRDefault="00675065" w:rsidP="00675065">
      <w:pPr>
        <w:pStyle w:val="Heading1"/>
        <w:rPr>
          <w:lang w:val="fr-FR"/>
        </w:rPr>
      </w:pPr>
      <w:bookmarkStart w:id="13" w:name="_Toc18331404"/>
      <w:bookmarkStart w:id="14" w:name="_Toc20991638"/>
      <w:r w:rsidRPr="000F6A66">
        <w:rPr>
          <w:lang w:val="fr-FR"/>
        </w:rPr>
        <w:t>introduction</w:t>
      </w:r>
      <w:bookmarkEnd w:id="13"/>
      <w:bookmarkEnd w:id="14"/>
    </w:p>
    <w:p w14:paraId="37B0E782" w14:textId="5CA308DE" w:rsidR="00675065" w:rsidRPr="000F6A66" w:rsidRDefault="00675065" w:rsidP="00675065">
      <w:pPr>
        <w:pStyle w:val="ONUMFS"/>
        <w:numPr>
          <w:ilvl w:val="0"/>
          <w:numId w:val="6"/>
        </w:numPr>
        <w:rPr>
          <w:lang w:val="fr-FR"/>
        </w:rPr>
      </w:pPr>
      <w:r w:rsidRPr="000F6A66">
        <w:rPr>
          <w:lang w:val="fr-FR"/>
        </w:rPr>
        <w:t>La présente évaluation finale indépendante (ci</w:t>
      </w:r>
      <w:r w:rsidR="001B04F7" w:rsidRPr="000F6A66">
        <w:rPr>
          <w:lang w:val="fr-FR"/>
        </w:rPr>
        <w:t>-</w:t>
      </w:r>
      <w:r w:rsidRPr="000F6A66">
        <w:rPr>
          <w:lang w:val="fr-FR"/>
        </w:rPr>
        <w:t>après dénommée “évaluation”) porte sur le projet relevant du Plan d</w:t>
      </w:r>
      <w:r w:rsidR="001B04F7" w:rsidRPr="000F6A66">
        <w:rPr>
          <w:lang w:val="fr-FR"/>
        </w:rPr>
        <w:t>’</w:t>
      </w:r>
      <w:r w:rsidRPr="000F6A66">
        <w:rPr>
          <w:lang w:val="fr-FR"/>
        </w:rPr>
        <w:t>action pour le développement intitulé “Propriété intellectuelle, tourisme et culture</w:t>
      </w:r>
      <w:r w:rsidR="001B04F7" w:rsidRPr="000F6A66">
        <w:rPr>
          <w:lang w:val="fr-FR"/>
        </w:rPr>
        <w:t> :</w:t>
      </w:r>
      <w:r w:rsidRPr="000F6A66">
        <w:rPr>
          <w:lang w:val="fr-FR"/>
        </w:rPr>
        <w:t xml:space="preserve"> contribution aux objectifs de développement et promotion du patrimoine culturel en Égypte et dans d</w:t>
      </w:r>
      <w:r w:rsidR="001B04F7" w:rsidRPr="000F6A66">
        <w:rPr>
          <w:lang w:val="fr-FR"/>
        </w:rPr>
        <w:t>’</w:t>
      </w:r>
      <w:r w:rsidRPr="000F6A66">
        <w:rPr>
          <w:lang w:val="fr-FR"/>
        </w:rPr>
        <w:t>autres pays en développement” (cote du projet</w:t>
      </w:r>
      <w:r w:rsidR="001B04F7" w:rsidRPr="000F6A66">
        <w:rPr>
          <w:lang w:val="fr-FR"/>
        </w:rPr>
        <w:t> :</w:t>
      </w:r>
      <w:r w:rsidRPr="000F6A66">
        <w:rPr>
          <w:lang w:val="fr-FR"/>
        </w:rPr>
        <w:t xml:space="preserve"> DA_01_10_12_40_01), ci</w:t>
      </w:r>
      <w:r w:rsidR="001B04F7" w:rsidRPr="000F6A66">
        <w:rPr>
          <w:lang w:val="fr-FR"/>
        </w:rPr>
        <w:t>-</w:t>
      </w:r>
      <w:r w:rsidRPr="000F6A66">
        <w:rPr>
          <w:lang w:val="fr-FR"/>
        </w:rPr>
        <w:t>après dénommé “projet”.  Le descriptif du projet</w:t>
      </w:r>
      <w:r w:rsidRPr="000F6A66">
        <w:rPr>
          <w:rStyle w:val="FootnoteReference"/>
          <w:szCs w:val="22"/>
          <w:lang w:val="fr-FR"/>
        </w:rPr>
        <w:footnoteReference w:id="2"/>
      </w:r>
      <w:r w:rsidRPr="000F6A66">
        <w:rPr>
          <w:lang w:val="fr-FR"/>
        </w:rPr>
        <w:t xml:space="preserve"> figure à l</w:t>
      </w:r>
      <w:r w:rsidR="001B04F7" w:rsidRPr="000F6A66">
        <w:rPr>
          <w:lang w:val="fr-FR"/>
        </w:rPr>
        <w:t>’</w:t>
      </w:r>
      <w:r w:rsidRPr="000F6A66">
        <w:rPr>
          <w:u w:val="single"/>
          <w:lang w:val="fr-FR"/>
        </w:rPr>
        <w:t>appendice I</w:t>
      </w:r>
      <w:r w:rsidRPr="000F6A66">
        <w:rPr>
          <w:lang w:val="fr-FR"/>
        </w:rPr>
        <w:t>.</w:t>
      </w:r>
    </w:p>
    <w:p w14:paraId="18AE2ED6" w14:textId="5FEF7CBB" w:rsidR="00675065" w:rsidRPr="000F6A66" w:rsidRDefault="00675065" w:rsidP="00675065">
      <w:pPr>
        <w:pStyle w:val="ONUMFS"/>
        <w:rPr>
          <w:lang w:val="fr-FR"/>
        </w:rPr>
      </w:pPr>
      <w:r w:rsidRPr="000F6A66">
        <w:rPr>
          <w:lang w:val="fr-FR"/>
        </w:rPr>
        <w:t>Le projet visait à analyser, faciliter et promouvoir la connaissance du rôle du système de la propriété intellectuelle dans l</w:t>
      </w:r>
      <w:r w:rsidR="001B04F7" w:rsidRPr="000F6A66">
        <w:rPr>
          <w:lang w:val="fr-FR"/>
        </w:rPr>
        <w:t>’</w:t>
      </w:r>
      <w:r w:rsidRPr="000F6A66">
        <w:rPr>
          <w:lang w:val="fr-FR"/>
        </w:rPr>
        <w:t>activité touristiq</w:t>
      </w:r>
      <w:r w:rsidR="00655442" w:rsidRPr="000F6A66">
        <w:rPr>
          <w:lang w:val="fr-FR"/>
        </w:rPr>
        <w:t>ue.  Il</w:t>
      </w:r>
      <w:r w:rsidRPr="000F6A66">
        <w:rPr>
          <w:lang w:val="fr-FR"/>
        </w:rPr>
        <w:t xml:space="preserve"> visait notamment à renforcer les capacités des principales parties prenantes et à promouvoir l</w:t>
      </w:r>
      <w:r w:rsidR="001B04F7" w:rsidRPr="000F6A66">
        <w:rPr>
          <w:lang w:val="fr-FR"/>
        </w:rPr>
        <w:t>’</w:t>
      </w:r>
      <w:r w:rsidRPr="000F6A66">
        <w:rPr>
          <w:lang w:val="fr-FR"/>
        </w:rPr>
        <w:t>interface entre propriété intellectuelle et tourisme dans le cadre des politiques de croissance et de développeme</w:t>
      </w:r>
      <w:r w:rsidR="00655442" w:rsidRPr="000F6A66">
        <w:rPr>
          <w:lang w:val="fr-FR"/>
        </w:rPr>
        <w:t>nt.  Le</w:t>
      </w:r>
      <w:r w:rsidRPr="000F6A66">
        <w:rPr>
          <w:lang w:val="fr-FR"/>
        </w:rPr>
        <w:t>s principales activités prévues étaient les suivantes</w:t>
      </w:r>
      <w:r w:rsidR="001B04F7" w:rsidRPr="000F6A66">
        <w:rPr>
          <w:lang w:val="fr-FR"/>
        </w:rPr>
        <w:t> :</w:t>
      </w:r>
    </w:p>
    <w:p w14:paraId="6D477B97" w14:textId="77777777" w:rsidR="00675065" w:rsidRPr="000F6A66" w:rsidRDefault="00675065" w:rsidP="00675065">
      <w:pPr>
        <w:pStyle w:val="ONUMFS"/>
        <w:numPr>
          <w:ilvl w:val="1"/>
          <w:numId w:val="5"/>
        </w:numPr>
        <w:rPr>
          <w:lang w:val="fr-FR"/>
        </w:rPr>
      </w:pPr>
      <w:r w:rsidRPr="000F6A66">
        <w:rPr>
          <w:lang w:val="fr-FR"/>
        </w:rPr>
        <w:t>activités de recherche et de documentation sur des études de cas;</w:t>
      </w:r>
    </w:p>
    <w:p w14:paraId="6A5D445E" w14:textId="509E1550" w:rsidR="00675065" w:rsidRPr="000F6A66" w:rsidRDefault="00675065" w:rsidP="00675065">
      <w:pPr>
        <w:pStyle w:val="ONUMFS"/>
        <w:numPr>
          <w:ilvl w:val="1"/>
          <w:numId w:val="5"/>
        </w:numPr>
        <w:rPr>
          <w:lang w:val="fr-FR"/>
        </w:rPr>
      </w:pPr>
      <w:r w:rsidRPr="000F6A66">
        <w:rPr>
          <w:lang w:val="fr-FR"/>
        </w:rPr>
        <w:t>activités de renforcement des capacités à l</w:t>
      </w:r>
      <w:r w:rsidR="001B04F7" w:rsidRPr="000F6A66">
        <w:rPr>
          <w:lang w:val="fr-FR"/>
        </w:rPr>
        <w:t>’</w:t>
      </w:r>
      <w:r w:rsidRPr="000F6A66">
        <w:rPr>
          <w:lang w:val="fr-FR"/>
        </w:rPr>
        <w:t>intention des principales parties prenantes du secteur touristique et des autorités nationales;  et</w:t>
      </w:r>
    </w:p>
    <w:p w14:paraId="1714B560" w14:textId="6B8EBCC5" w:rsidR="00675065" w:rsidRPr="000F6A66" w:rsidRDefault="00675065" w:rsidP="00675065">
      <w:pPr>
        <w:pStyle w:val="ONUMFS"/>
        <w:numPr>
          <w:ilvl w:val="1"/>
          <w:numId w:val="5"/>
        </w:numPr>
        <w:rPr>
          <w:lang w:val="fr-FR"/>
        </w:rPr>
      </w:pPr>
      <w:r w:rsidRPr="000F6A66">
        <w:rPr>
          <w:lang w:val="fr-FR"/>
        </w:rPr>
        <w:t xml:space="preserve">activités de sensibilisation à large échelle, </w:t>
      </w:r>
      <w:r w:rsidR="001B04F7" w:rsidRPr="000F6A66">
        <w:rPr>
          <w:lang w:val="fr-FR"/>
        </w:rPr>
        <w:t>y compris</w:t>
      </w:r>
      <w:r w:rsidRPr="000F6A66">
        <w:rPr>
          <w:lang w:val="fr-FR"/>
        </w:rPr>
        <w:t xml:space="preserve"> l</w:t>
      </w:r>
      <w:r w:rsidR="001B04F7" w:rsidRPr="000F6A66">
        <w:rPr>
          <w:lang w:val="fr-FR"/>
        </w:rPr>
        <w:t>’</w:t>
      </w:r>
      <w:r w:rsidRPr="000F6A66">
        <w:rPr>
          <w:lang w:val="fr-FR"/>
        </w:rPr>
        <w:t>élaboration de matériel didactique et de programmes d</w:t>
      </w:r>
      <w:r w:rsidR="001B04F7" w:rsidRPr="000F6A66">
        <w:rPr>
          <w:lang w:val="fr-FR"/>
        </w:rPr>
        <w:t>’</w:t>
      </w:r>
      <w:r w:rsidRPr="000F6A66">
        <w:rPr>
          <w:lang w:val="fr-FR"/>
        </w:rPr>
        <w:t>enseignements appropriés à l</w:t>
      </w:r>
      <w:r w:rsidR="001B04F7" w:rsidRPr="000F6A66">
        <w:rPr>
          <w:lang w:val="fr-FR"/>
        </w:rPr>
        <w:t>’</w:t>
      </w:r>
      <w:r w:rsidRPr="000F6A66">
        <w:rPr>
          <w:lang w:val="fr-FR"/>
        </w:rPr>
        <w:t>intention des milieux universitaires.</w:t>
      </w:r>
    </w:p>
    <w:p w14:paraId="107ED495" w14:textId="2279B212" w:rsidR="00675065" w:rsidRPr="000F6A66" w:rsidRDefault="00675065" w:rsidP="00675065">
      <w:pPr>
        <w:pStyle w:val="ONUMFS"/>
        <w:rPr>
          <w:lang w:val="fr-FR"/>
        </w:rPr>
      </w:pPr>
      <w:r w:rsidRPr="000F6A66">
        <w:rPr>
          <w:lang w:val="fr-FR"/>
        </w:rPr>
        <w:t>Au sein du Secrétariat, le Bureau du vice</w:t>
      </w:r>
      <w:r w:rsidR="001B04F7" w:rsidRPr="000F6A66">
        <w:rPr>
          <w:lang w:val="fr-FR"/>
        </w:rPr>
        <w:t>-</w:t>
      </w:r>
      <w:r w:rsidRPr="000F6A66">
        <w:rPr>
          <w:lang w:val="fr-FR"/>
        </w:rPr>
        <w:t>directeur général chargé du Secteur du développement était responsable de la mise en œuvre du proj</w:t>
      </w:r>
      <w:r w:rsidR="00655442" w:rsidRPr="000F6A66">
        <w:rPr>
          <w:lang w:val="fr-FR"/>
        </w:rPr>
        <w:t>et.  Le</w:t>
      </w:r>
      <w:r w:rsidRPr="000F6A66">
        <w:rPr>
          <w:lang w:val="fr-FR"/>
        </w:rPr>
        <w:t xml:space="preserve"> Secrétariat a nommé un chef de projet.</w:t>
      </w:r>
    </w:p>
    <w:p w14:paraId="6CAE0E26" w14:textId="7038B1A3" w:rsidR="00675065" w:rsidRPr="000F6A66" w:rsidRDefault="00675065" w:rsidP="00675065">
      <w:pPr>
        <w:pStyle w:val="ONUMFS"/>
        <w:rPr>
          <w:lang w:val="fr-FR"/>
        </w:rPr>
      </w:pPr>
      <w:r w:rsidRPr="000F6A66">
        <w:rPr>
          <w:lang w:val="fr-FR"/>
        </w:rPr>
        <w:t>L</w:t>
      </w:r>
      <w:r w:rsidR="001B04F7" w:rsidRPr="000F6A66">
        <w:rPr>
          <w:lang w:val="fr-FR"/>
        </w:rPr>
        <w:t>’</w:t>
      </w:r>
      <w:r w:rsidRPr="000F6A66">
        <w:rPr>
          <w:lang w:val="fr-FR"/>
        </w:rPr>
        <w:t>évaluation a été réalisée à la demande du Secrétariat et conformément au mandat daté du 6 juin 2019, qui figure à l</w:t>
      </w:r>
      <w:r w:rsidR="001B04F7" w:rsidRPr="000F6A66">
        <w:rPr>
          <w:lang w:val="fr-FR"/>
        </w:rPr>
        <w:t>’</w:t>
      </w:r>
      <w:r w:rsidRPr="000F6A66">
        <w:rPr>
          <w:szCs w:val="22"/>
          <w:u w:val="single"/>
          <w:lang w:val="fr-FR"/>
        </w:rPr>
        <w:t>appendice II</w:t>
      </w:r>
      <w:r w:rsidRPr="000F6A66">
        <w:rPr>
          <w:szCs w:val="22"/>
          <w:lang w:val="fr-FR"/>
        </w:rPr>
        <w:t>.  Ce travail a été effectué entre le 6 juillet 2019 et le 22 novembre 2019 par un évaluateur externe indépendant</w:t>
      </w:r>
      <w:r w:rsidRPr="000F6A66">
        <w:rPr>
          <w:rStyle w:val="FootnoteReference"/>
          <w:szCs w:val="22"/>
          <w:lang w:val="fr-FR"/>
        </w:rPr>
        <w:footnoteReference w:id="3"/>
      </w:r>
      <w:r w:rsidRPr="000F6A66">
        <w:rPr>
          <w:szCs w:val="22"/>
          <w:lang w:val="fr-FR"/>
        </w:rPr>
        <w:t xml:space="preserve"> en concertation avec la Division de la coordination du Plan d</w:t>
      </w:r>
      <w:r w:rsidR="001B04F7" w:rsidRPr="000F6A66">
        <w:rPr>
          <w:szCs w:val="22"/>
          <w:lang w:val="fr-FR"/>
        </w:rPr>
        <w:t>’</w:t>
      </w:r>
      <w:r w:rsidRPr="000F6A66">
        <w:rPr>
          <w:szCs w:val="22"/>
          <w:lang w:val="fr-FR"/>
        </w:rPr>
        <w:t>action pour le développement et le chef de projet</w:t>
      </w:r>
      <w:r w:rsidRPr="000F6A66">
        <w:rPr>
          <w:rStyle w:val="FootnoteReference"/>
          <w:szCs w:val="22"/>
          <w:lang w:val="fr-FR"/>
        </w:rPr>
        <w:footnoteReference w:id="4"/>
      </w:r>
      <w:r w:rsidRPr="000F6A66">
        <w:rPr>
          <w:lang w:val="fr-FR"/>
        </w:rPr>
        <w:t>.</w:t>
      </w:r>
    </w:p>
    <w:p w14:paraId="6C61C695" w14:textId="653A04A2" w:rsidR="00675065" w:rsidRPr="000F6A66" w:rsidRDefault="00675065" w:rsidP="00675065">
      <w:pPr>
        <w:pStyle w:val="ONUMFS"/>
        <w:rPr>
          <w:lang w:val="fr-FR"/>
        </w:rPr>
      </w:pPr>
      <w:r w:rsidRPr="000F6A66">
        <w:rPr>
          <w:lang w:val="fr-FR"/>
        </w:rPr>
        <w:t>L</w:t>
      </w:r>
      <w:r w:rsidR="001B04F7" w:rsidRPr="000F6A66">
        <w:rPr>
          <w:lang w:val="fr-FR"/>
        </w:rPr>
        <w:t>’</w:t>
      </w:r>
      <w:r w:rsidRPr="000F6A66">
        <w:rPr>
          <w:lang w:val="fr-FR"/>
        </w:rPr>
        <w:t>évaluateur est indépenda</w:t>
      </w:r>
      <w:r w:rsidR="00655442" w:rsidRPr="000F6A66">
        <w:rPr>
          <w:lang w:val="fr-FR"/>
        </w:rPr>
        <w:t>nt.  Bi</w:t>
      </w:r>
      <w:r w:rsidRPr="000F6A66">
        <w:rPr>
          <w:lang w:val="fr-FR"/>
        </w:rPr>
        <w:t>en qu</w:t>
      </w:r>
      <w:r w:rsidR="001B04F7" w:rsidRPr="000F6A66">
        <w:rPr>
          <w:lang w:val="fr-FR"/>
        </w:rPr>
        <w:t>’</w:t>
      </w:r>
      <w:r w:rsidRPr="000F6A66">
        <w:rPr>
          <w:lang w:val="fr-FR"/>
        </w:rPr>
        <w:t>il bénéficie d</w:t>
      </w:r>
      <w:r w:rsidR="001B04F7" w:rsidRPr="000F6A66">
        <w:rPr>
          <w:lang w:val="fr-FR"/>
        </w:rPr>
        <w:t>’</w:t>
      </w:r>
      <w:r w:rsidRPr="000F6A66">
        <w:rPr>
          <w:lang w:val="fr-FR"/>
        </w:rPr>
        <w:t>une expérience préalable en matière d</w:t>
      </w:r>
      <w:r w:rsidR="001B04F7" w:rsidRPr="000F6A66">
        <w:rPr>
          <w:lang w:val="fr-FR"/>
        </w:rPr>
        <w:t>’</w:t>
      </w:r>
      <w:r w:rsidRPr="000F6A66">
        <w:rPr>
          <w:lang w:val="fr-FR"/>
        </w:rPr>
        <w:t>évaluation auprès de l</w:t>
      </w:r>
      <w:r w:rsidR="001B04F7" w:rsidRPr="000F6A66">
        <w:rPr>
          <w:lang w:val="fr-FR"/>
        </w:rPr>
        <w:t>’</w:t>
      </w:r>
      <w:r w:rsidRPr="000F6A66">
        <w:rPr>
          <w:lang w:val="fr-FR"/>
        </w:rPr>
        <w:t>OMPI, ce dernier n</w:t>
      </w:r>
      <w:r w:rsidR="001B04F7" w:rsidRPr="000F6A66">
        <w:rPr>
          <w:lang w:val="fr-FR"/>
        </w:rPr>
        <w:t>’</w:t>
      </w:r>
      <w:r w:rsidRPr="000F6A66">
        <w:rPr>
          <w:lang w:val="fr-FR"/>
        </w:rPr>
        <w:t>a pris part à aucun projet relevant du Plan d</w:t>
      </w:r>
      <w:r w:rsidR="001B04F7" w:rsidRPr="000F6A66">
        <w:rPr>
          <w:lang w:val="fr-FR"/>
        </w:rPr>
        <w:t>’</w:t>
      </w:r>
      <w:r w:rsidRPr="000F6A66">
        <w:rPr>
          <w:lang w:val="fr-FR"/>
        </w:rPr>
        <w:t>action pour le développement et ne devrait participer à aucun projet de la sorte à l</w:t>
      </w:r>
      <w:r w:rsidR="001B04F7" w:rsidRPr="000F6A66">
        <w:rPr>
          <w:lang w:val="fr-FR"/>
        </w:rPr>
        <w:t>’</w:t>
      </w:r>
      <w:r w:rsidRPr="000F6A66">
        <w:rPr>
          <w:lang w:val="fr-FR"/>
        </w:rPr>
        <w:t>avenir.</w:t>
      </w:r>
    </w:p>
    <w:p w14:paraId="7E0C28DA" w14:textId="7DBF836B" w:rsidR="00675065" w:rsidRPr="000F6A66" w:rsidRDefault="00675065" w:rsidP="00675065">
      <w:pPr>
        <w:pStyle w:val="Heading2"/>
        <w:rPr>
          <w:lang w:val="fr-FR"/>
        </w:rPr>
      </w:pPr>
      <w:bookmarkStart w:id="15" w:name="_Toc18331405"/>
      <w:bookmarkStart w:id="16" w:name="_Toc20991639"/>
      <w:r w:rsidRPr="000F6A66">
        <w:rPr>
          <w:lang w:val="fr-FR"/>
        </w:rPr>
        <w:t>Contexte et description du projet</w:t>
      </w:r>
      <w:bookmarkEnd w:id="15"/>
      <w:bookmarkEnd w:id="16"/>
    </w:p>
    <w:p w14:paraId="3721A1B9" w14:textId="77777777" w:rsidR="00675065" w:rsidRPr="000F6A66" w:rsidRDefault="00675065" w:rsidP="00675065">
      <w:pPr>
        <w:rPr>
          <w:lang w:val="fr-FR"/>
        </w:rPr>
      </w:pPr>
    </w:p>
    <w:p w14:paraId="33883499" w14:textId="13F202B5" w:rsidR="00675065" w:rsidRPr="000F6A66" w:rsidRDefault="00675065" w:rsidP="00675065">
      <w:pPr>
        <w:pStyle w:val="ONUMFS"/>
        <w:rPr>
          <w:lang w:val="fr-FR"/>
        </w:rPr>
      </w:pPr>
      <w:r w:rsidRPr="000F6A66">
        <w:rPr>
          <w:lang w:val="fr-FR"/>
        </w:rPr>
        <w:t>Le projet a été adopté le 22 avril 2015 durant la quinz</w:t>
      </w:r>
      <w:r w:rsidR="001B04F7" w:rsidRPr="000F6A66">
        <w:rPr>
          <w:lang w:val="fr-FR"/>
        </w:rPr>
        <w:t>ième session</w:t>
      </w:r>
      <w:r w:rsidRPr="000F6A66">
        <w:rPr>
          <w:lang w:val="fr-FR"/>
        </w:rPr>
        <w:t xml:space="preserve"> du Comité du développement et de la propriété intellectuelle (CDIP) à Genè</w:t>
      </w:r>
      <w:r w:rsidR="00655442" w:rsidRPr="000F6A66">
        <w:rPr>
          <w:lang w:val="fr-FR"/>
        </w:rPr>
        <w:t>ve.  Il</w:t>
      </w:r>
      <w:r w:rsidRPr="000F6A66">
        <w:rPr>
          <w:lang w:val="fr-FR"/>
        </w:rPr>
        <w:t xml:space="preserve"> est fondé sur une proposition soumise par la République arabe d</w:t>
      </w:r>
      <w:r w:rsidR="001B04F7" w:rsidRPr="000F6A66">
        <w:rPr>
          <w:lang w:val="fr-FR"/>
        </w:rPr>
        <w:t>’</w:t>
      </w:r>
      <w:r w:rsidRPr="000F6A66">
        <w:rPr>
          <w:lang w:val="fr-FR"/>
        </w:rPr>
        <w:t>Égypte (document CDIP/13/8), examinée durant la quatorz</w:t>
      </w:r>
      <w:r w:rsidR="001B04F7" w:rsidRPr="000F6A66">
        <w:rPr>
          <w:lang w:val="fr-FR"/>
        </w:rPr>
        <w:t>ième session</w:t>
      </w:r>
      <w:r w:rsidRPr="000F6A66">
        <w:rPr>
          <w:lang w:val="fr-FR"/>
        </w:rPr>
        <w:t xml:space="preserve"> du CDIP (novembre 2014).</w:t>
      </w:r>
    </w:p>
    <w:p w14:paraId="0B569FBC" w14:textId="4474B115" w:rsidR="00675065" w:rsidRPr="000F6A66" w:rsidRDefault="00675065" w:rsidP="00675065">
      <w:pPr>
        <w:pStyle w:val="ONUMFS"/>
        <w:rPr>
          <w:lang w:val="fr-FR"/>
        </w:rPr>
      </w:pPr>
      <w:r w:rsidRPr="000F6A66">
        <w:rPr>
          <w:lang w:val="fr-FR"/>
        </w:rPr>
        <w:t>La proposition reposait sur le fait que le tourisme est devenu l</w:t>
      </w:r>
      <w:r w:rsidR="001B04F7" w:rsidRPr="000F6A66">
        <w:rPr>
          <w:lang w:val="fr-FR"/>
        </w:rPr>
        <w:t>’</w:t>
      </w:r>
      <w:r w:rsidRPr="000F6A66">
        <w:rPr>
          <w:lang w:val="fr-FR"/>
        </w:rPr>
        <w:t>un des acteurs majeurs du commerce international et représente l</w:t>
      </w:r>
      <w:r w:rsidR="001B04F7" w:rsidRPr="000F6A66">
        <w:rPr>
          <w:lang w:val="fr-FR"/>
        </w:rPr>
        <w:t>’</w:t>
      </w:r>
      <w:r w:rsidRPr="000F6A66">
        <w:rPr>
          <w:lang w:val="fr-FR"/>
        </w:rPr>
        <w:t>une des principales sources de revenus et de création d</w:t>
      </w:r>
      <w:r w:rsidR="001B04F7" w:rsidRPr="000F6A66">
        <w:rPr>
          <w:lang w:val="fr-FR"/>
        </w:rPr>
        <w:t>’</w:t>
      </w:r>
      <w:r w:rsidRPr="000F6A66">
        <w:rPr>
          <w:lang w:val="fr-FR"/>
        </w:rPr>
        <w:t>emploi pour de nombreux pays en développeme</w:t>
      </w:r>
      <w:r w:rsidR="00655442" w:rsidRPr="000F6A66">
        <w:rPr>
          <w:lang w:val="fr-FR"/>
        </w:rPr>
        <w:t>nt.  Da</w:t>
      </w:r>
      <w:r w:rsidRPr="000F6A66">
        <w:rPr>
          <w:lang w:val="fr-FR"/>
        </w:rPr>
        <w:t xml:space="preserve">ns cet environnement très </w:t>
      </w:r>
      <w:r w:rsidRPr="000F6A66">
        <w:rPr>
          <w:lang w:val="fr-FR"/>
        </w:rPr>
        <w:lastRenderedPageBreak/>
        <w:t>concurrentiel, il importe de se différencier de la concurrence et de proposer des produits sur mesure.</w:t>
      </w:r>
    </w:p>
    <w:p w14:paraId="153AB416" w14:textId="7C1AD43C" w:rsidR="00675065" w:rsidRPr="000F6A66" w:rsidRDefault="00675065" w:rsidP="00675065">
      <w:pPr>
        <w:pStyle w:val="ONUMFS"/>
        <w:rPr>
          <w:lang w:val="fr-FR"/>
        </w:rPr>
      </w:pPr>
      <w:r w:rsidRPr="000F6A66">
        <w:rPr>
          <w:lang w:val="fr-FR"/>
        </w:rPr>
        <w:t xml:space="preserve">Dans ce contexte, le projet visait à démontrer comment la propriété intellectuelle, </w:t>
      </w:r>
      <w:r w:rsidR="001B04F7" w:rsidRPr="000F6A66">
        <w:rPr>
          <w:lang w:val="fr-FR"/>
        </w:rPr>
        <w:t>y compris</w:t>
      </w:r>
      <w:r w:rsidRPr="000F6A66">
        <w:rPr>
          <w:lang w:val="fr-FR"/>
        </w:rPr>
        <w:t xml:space="preserve"> les savoirs traditionnels et les expressions culturelles traditionnelles, pouvaient être utilisés pour bénéficier d</w:t>
      </w:r>
      <w:r w:rsidR="001B04F7" w:rsidRPr="000F6A66">
        <w:rPr>
          <w:lang w:val="fr-FR"/>
        </w:rPr>
        <w:t>’</w:t>
      </w:r>
      <w:r w:rsidRPr="000F6A66">
        <w:rPr>
          <w:lang w:val="fr-FR"/>
        </w:rPr>
        <w:t>un avantage concurrentiel, notamment par la création de produits sur mesure à forte valeur ajout</w:t>
      </w:r>
      <w:r w:rsidR="00655442" w:rsidRPr="000F6A66">
        <w:rPr>
          <w:lang w:val="fr-FR"/>
        </w:rPr>
        <w:t>ée.  Ce</w:t>
      </w:r>
      <w:r w:rsidRPr="000F6A66">
        <w:rPr>
          <w:lang w:val="fr-FR"/>
        </w:rPr>
        <w:t>tte utilisation plus efficace de la propriété intellectuelle dans l</w:t>
      </w:r>
      <w:r w:rsidR="001B04F7" w:rsidRPr="000F6A66">
        <w:rPr>
          <w:lang w:val="fr-FR"/>
        </w:rPr>
        <w:t>’</w:t>
      </w:r>
      <w:r w:rsidRPr="000F6A66">
        <w:rPr>
          <w:lang w:val="fr-FR"/>
        </w:rPr>
        <w:t>activité touristique devait se traduire par une amélioration des produits touristiques en termes de diversification, de valeur ajoutée et de compétitivité.</w:t>
      </w:r>
    </w:p>
    <w:p w14:paraId="081B59BB" w14:textId="7249C01C" w:rsidR="00675065" w:rsidRPr="000F6A66" w:rsidRDefault="00675065" w:rsidP="00675065">
      <w:pPr>
        <w:pStyle w:val="ONUMFS"/>
        <w:rPr>
          <w:lang w:val="fr-FR"/>
        </w:rPr>
      </w:pPr>
      <w:r w:rsidRPr="000F6A66">
        <w:rPr>
          <w:szCs w:val="22"/>
          <w:lang w:val="fr-FR"/>
        </w:rPr>
        <w:t>Le projet visait directement les pays suivants</w:t>
      </w:r>
      <w:r w:rsidR="001B04F7" w:rsidRPr="000F6A66">
        <w:rPr>
          <w:szCs w:val="22"/>
          <w:lang w:val="fr-FR"/>
        </w:rPr>
        <w:t> :</w:t>
      </w:r>
      <w:r w:rsidRPr="000F6A66">
        <w:rPr>
          <w:szCs w:val="22"/>
          <w:lang w:val="fr-FR"/>
        </w:rPr>
        <w:t xml:space="preserve"> Égypte, Équateur, Namibie et Sri Lan</w:t>
      </w:r>
      <w:r w:rsidR="00655442" w:rsidRPr="000F6A66">
        <w:rPr>
          <w:szCs w:val="22"/>
          <w:lang w:val="fr-FR"/>
        </w:rPr>
        <w:t>ka.  In</w:t>
      </w:r>
      <w:r w:rsidRPr="000F6A66">
        <w:rPr>
          <w:szCs w:val="22"/>
          <w:lang w:val="fr-FR"/>
        </w:rPr>
        <w:t>directement, l</w:t>
      </w:r>
      <w:r w:rsidR="001B04F7" w:rsidRPr="000F6A66">
        <w:rPr>
          <w:szCs w:val="22"/>
          <w:lang w:val="fr-FR"/>
        </w:rPr>
        <w:t>’</w:t>
      </w:r>
      <w:r w:rsidRPr="000F6A66">
        <w:rPr>
          <w:szCs w:val="22"/>
          <w:lang w:val="fr-FR"/>
        </w:rPr>
        <w:t>idée était de créer des modèles qui puissent être repris par le secteur touristique dans d</w:t>
      </w:r>
      <w:r w:rsidR="001B04F7" w:rsidRPr="000F6A66">
        <w:rPr>
          <w:szCs w:val="22"/>
          <w:lang w:val="fr-FR"/>
        </w:rPr>
        <w:t>’</w:t>
      </w:r>
      <w:r w:rsidRPr="000F6A66">
        <w:rPr>
          <w:szCs w:val="22"/>
          <w:lang w:val="fr-FR"/>
        </w:rPr>
        <w:t>autres pa</w:t>
      </w:r>
      <w:r w:rsidR="00655442" w:rsidRPr="000F6A66">
        <w:rPr>
          <w:szCs w:val="22"/>
          <w:lang w:val="fr-FR"/>
        </w:rPr>
        <w:t>ys.  Il</w:t>
      </w:r>
      <w:r w:rsidRPr="000F6A66">
        <w:rPr>
          <w:szCs w:val="22"/>
          <w:lang w:val="fr-FR"/>
        </w:rPr>
        <w:t xml:space="preserve"> comprenait dans un premier temps des activités de recherche et de documentation sur la contribution de la propriété intellectuelle à l</w:t>
      </w:r>
      <w:r w:rsidR="001B04F7" w:rsidRPr="000F6A66">
        <w:rPr>
          <w:szCs w:val="22"/>
          <w:lang w:val="fr-FR"/>
        </w:rPr>
        <w:t>’</w:t>
      </w:r>
      <w:r w:rsidRPr="000F6A66">
        <w:rPr>
          <w:szCs w:val="22"/>
          <w:lang w:val="fr-FR"/>
        </w:rPr>
        <w:t>élaboration d</w:t>
      </w:r>
      <w:r w:rsidR="001B04F7" w:rsidRPr="000F6A66">
        <w:rPr>
          <w:szCs w:val="22"/>
          <w:lang w:val="fr-FR"/>
        </w:rPr>
        <w:t>’</w:t>
      </w:r>
      <w:r w:rsidRPr="000F6A66">
        <w:rPr>
          <w:szCs w:val="22"/>
          <w:lang w:val="fr-FR"/>
        </w:rPr>
        <w:t>un produit touristique compétitif dans ces quatre pa</w:t>
      </w:r>
      <w:r w:rsidR="00655442" w:rsidRPr="000F6A66">
        <w:rPr>
          <w:szCs w:val="22"/>
          <w:lang w:val="fr-FR"/>
        </w:rPr>
        <w:t xml:space="preserve">ys.  </w:t>
      </w:r>
      <w:r w:rsidR="00655442" w:rsidRPr="000F6A66">
        <w:rPr>
          <w:lang w:val="fr-FR"/>
        </w:rPr>
        <w:t>Ce</w:t>
      </w:r>
      <w:r w:rsidRPr="000F6A66">
        <w:rPr>
          <w:lang w:val="fr-FR"/>
        </w:rPr>
        <w:t>lles</w:t>
      </w:r>
      <w:r w:rsidR="001B04F7" w:rsidRPr="000F6A66">
        <w:rPr>
          <w:lang w:val="fr-FR"/>
        </w:rPr>
        <w:t>-</w:t>
      </w:r>
      <w:r w:rsidRPr="000F6A66">
        <w:rPr>
          <w:lang w:val="fr-FR"/>
        </w:rPr>
        <w:t>ci étaient suivies d</w:t>
      </w:r>
      <w:r w:rsidR="001B04F7" w:rsidRPr="000F6A66">
        <w:rPr>
          <w:lang w:val="fr-FR"/>
        </w:rPr>
        <w:t>’</w:t>
      </w:r>
      <w:r w:rsidRPr="000F6A66">
        <w:rPr>
          <w:lang w:val="fr-FR"/>
        </w:rPr>
        <w:t>un recensement des instruments de propriété intellectuelle existants ou potentiels en matière de promotion du tourisme, des savoirs, des traditions et de la culture, à l</w:t>
      </w:r>
      <w:r w:rsidR="001B04F7" w:rsidRPr="000F6A66">
        <w:rPr>
          <w:lang w:val="fr-FR"/>
        </w:rPr>
        <w:t>’</w:t>
      </w:r>
      <w:r w:rsidRPr="000F6A66">
        <w:rPr>
          <w:lang w:val="fr-FR"/>
        </w:rPr>
        <w:t>échelle nationale ou locale, sur la base de recherches et d</w:t>
      </w:r>
      <w:r w:rsidR="001B04F7" w:rsidRPr="000F6A66">
        <w:rPr>
          <w:lang w:val="fr-FR"/>
        </w:rPr>
        <w:t>’</w:t>
      </w:r>
      <w:r w:rsidRPr="000F6A66">
        <w:rPr>
          <w:lang w:val="fr-FR"/>
        </w:rPr>
        <w:t>études de c</w:t>
      </w:r>
      <w:r w:rsidR="00655442" w:rsidRPr="000F6A66">
        <w:rPr>
          <w:lang w:val="fr-FR"/>
        </w:rPr>
        <w:t>as.  Pa</w:t>
      </w:r>
      <w:r w:rsidRPr="000F6A66">
        <w:rPr>
          <w:lang w:val="fr-FR"/>
        </w:rPr>
        <w:t>r la suite, certains de ces instruments ont été utilisés dans des activités de sensibilisation et de renforcement des capacités.</w:t>
      </w:r>
    </w:p>
    <w:p w14:paraId="1C4E1515" w14:textId="5260F0AF" w:rsidR="00675065" w:rsidRPr="000F6A66" w:rsidRDefault="00675065" w:rsidP="00675065">
      <w:pPr>
        <w:pStyle w:val="ONUMFS"/>
        <w:rPr>
          <w:lang w:val="fr-FR"/>
        </w:rPr>
      </w:pPr>
      <w:r w:rsidRPr="000F6A66">
        <w:rPr>
          <w:lang w:val="fr-FR"/>
        </w:rPr>
        <w:t>Les données d</w:t>
      </w:r>
      <w:r w:rsidR="001B04F7" w:rsidRPr="000F6A66">
        <w:rPr>
          <w:lang w:val="fr-FR"/>
        </w:rPr>
        <w:t>’</w:t>
      </w:r>
      <w:r w:rsidRPr="000F6A66">
        <w:rPr>
          <w:lang w:val="fr-FR"/>
        </w:rPr>
        <w:t>expérience et les pratiques recommandées recueillies, de même que les stratégies, les instruments et un guide pratique</w:t>
      </w:r>
      <w:r w:rsidRPr="000F6A66">
        <w:rPr>
          <w:rStyle w:val="FootnoteReference"/>
          <w:szCs w:val="22"/>
          <w:lang w:val="fr-FR"/>
        </w:rPr>
        <w:footnoteReference w:id="5"/>
      </w:r>
      <w:r w:rsidRPr="000F6A66">
        <w:rPr>
          <w:lang w:val="fr-FR"/>
        </w:rPr>
        <w:t xml:space="preserve"> devaient orienter les décisions de politique générale et sensibiliser le public à l</w:t>
      </w:r>
      <w:r w:rsidR="001B04F7" w:rsidRPr="000F6A66">
        <w:rPr>
          <w:lang w:val="fr-FR"/>
        </w:rPr>
        <w:t>’</w:t>
      </w:r>
      <w:r w:rsidRPr="000F6A66">
        <w:rPr>
          <w:lang w:val="fr-FR"/>
        </w:rPr>
        <w:t>utilisation de la propriété intellectuelle aux fins de la promotion du tourisme, tout en renforçant les avantages économiques, sociaux et culturels au niveau national.</w:t>
      </w:r>
    </w:p>
    <w:p w14:paraId="7A8B784E" w14:textId="62E78307" w:rsidR="00675065" w:rsidRPr="000F6A66" w:rsidRDefault="00675065" w:rsidP="00675065">
      <w:pPr>
        <w:pStyle w:val="ONUMFS"/>
        <w:rPr>
          <w:lang w:val="fr-FR"/>
        </w:rPr>
      </w:pPr>
      <w:r w:rsidRPr="000F6A66">
        <w:rPr>
          <w:szCs w:val="22"/>
          <w:lang w:val="fr-FR"/>
        </w:rPr>
        <w:t>La durée prévue du projet était de 36 mois à compter du</w:t>
      </w:r>
      <w:r w:rsidR="001B04F7" w:rsidRPr="000F6A66">
        <w:rPr>
          <w:szCs w:val="22"/>
          <w:lang w:val="fr-FR"/>
        </w:rPr>
        <w:t xml:space="preserve"> 1</w:t>
      </w:r>
      <w:r w:rsidR="001B04F7" w:rsidRPr="000F6A66">
        <w:rPr>
          <w:szCs w:val="22"/>
          <w:vertAlign w:val="superscript"/>
          <w:lang w:val="fr-FR"/>
        </w:rPr>
        <w:t>er</w:t>
      </w:r>
      <w:r w:rsidR="001B04F7" w:rsidRPr="000F6A66">
        <w:rPr>
          <w:szCs w:val="22"/>
          <w:lang w:val="fr-FR"/>
        </w:rPr>
        <w:t> </w:t>
      </w:r>
      <w:r w:rsidRPr="000F6A66">
        <w:rPr>
          <w:szCs w:val="22"/>
          <w:lang w:val="fr-FR"/>
        </w:rPr>
        <w:t>janvier 2016.  À la suite de changements internes dans les agences pilotes responsables et en l</w:t>
      </w:r>
      <w:r w:rsidR="001B04F7" w:rsidRPr="000F6A66">
        <w:rPr>
          <w:szCs w:val="22"/>
          <w:lang w:val="fr-FR"/>
        </w:rPr>
        <w:t>’</w:t>
      </w:r>
      <w:r w:rsidRPr="000F6A66">
        <w:rPr>
          <w:szCs w:val="22"/>
          <w:lang w:val="fr-FR"/>
        </w:rPr>
        <w:t>absence de coordonnateurs désignés ou autre direction nationale du projet</w:t>
      </w:r>
      <w:r w:rsidRPr="000F6A66">
        <w:rPr>
          <w:iCs/>
          <w:szCs w:val="22"/>
          <w:lang w:val="fr-FR"/>
        </w:rPr>
        <w:t>, la mise en œuvre des activités en Égypte, en Namibie et à Sri Lanka a été retard</w:t>
      </w:r>
      <w:r w:rsidR="00655442" w:rsidRPr="000F6A66">
        <w:rPr>
          <w:iCs/>
          <w:szCs w:val="22"/>
          <w:lang w:val="fr-FR"/>
        </w:rPr>
        <w:t>ée.  Le</w:t>
      </w:r>
      <w:r w:rsidRPr="000F6A66">
        <w:rPr>
          <w:iCs/>
          <w:szCs w:val="22"/>
          <w:lang w:val="fr-FR"/>
        </w:rPr>
        <w:t> CDIP a approuvé une prolongation du projet de quatre mois, jusqu</w:t>
      </w:r>
      <w:r w:rsidR="001B04F7" w:rsidRPr="000F6A66">
        <w:rPr>
          <w:iCs/>
          <w:szCs w:val="22"/>
          <w:lang w:val="fr-FR"/>
        </w:rPr>
        <w:t>’</w:t>
      </w:r>
      <w:r w:rsidRPr="000F6A66">
        <w:rPr>
          <w:iCs/>
          <w:szCs w:val="22"/>
          <w:lang w:val="fr-FR"/>
        </w:rPr>
        <w:t>au 30 avril 2019, pour pouvoir mener à bien les activités en cours</w:t>
      </w:r>
      <w:r w:rsidRPr="000F6A66">
        <w:rPr>
          <w:rStyle w:val="FootnoteReference"/>
          <w:szCs w:val="22"/>
          <w:lang w:val="fr-FR"/>
        </w:rPr>
        <w:footnoteReference w:id="6"/>
      </w:r>
      <w:r w:rsidRPr="000F6A66">
        <w:rPr>
          <w:iCs/>
          <w:szCs w:val="22"/>
          <w:lang w:val="fr-FR"/>
        </w:rPr>
        <w:t>.</w:t>
      </w:r>
    </w:p>
    <w:p w14:paraId="53933295" w14:textId="59491FD4" w:rsidR="00675065" w:rsidRPr="000F6A66" w:rsidRDefault="00675065" w:rsidP="00675065">
      <w:pPr>
        <w:pStyle w:val="ONUMFS"/>
        <w:rPr>
          <w:lang w:val="fr-FR"/>
        </w:rPr>
      </w:pPr>
      <w:r w:rsidRPr="000F6A66">
        <w:rPr>
          <w:szCs w:val="22"/>
          <w:lang w:val="fr-FR"/>
        </w:rPr>
        <w:t>Le budget total s</w:t>
      </w:r>
      <w:r w:rsidR="001B04F7" w:rsidRPr="000F6A66">
        <w:rPr>
          <w:szCs w:val="22"/>
          <w:lang w:val="fr-FR"/>
        </w:rPr>
        <w:t>’</w:t>
      </w:r>
      <w:r w:rsidRPr="000F6A66">
        <w:rPr>
          <w:szCs w:val="22"/>
          <w:lang w:val="fr-FR"/>
        </w:rPr>
        <w:t>élevait à 320 000 francs suisses (CHF) et était entièrement alloué aux dépenses autres que les dépenses de personn</w:t>
      </w:r>
      <w:r w:rsidR="00655442" w:rsidRPr="000F6A66">
        <w:rPr>
          <w:szCs w:val="22"/>
          <w:lang w:val="fr-FR"/>
        </w:rPr>
        <w:t>el.  Le</w:t>
      </w:r>
      <w:r w:rsidRPr="000F6A66">
        <w:rPr>
          <w:szCs w:val="22"/>
          <w:lang w:val="fr-FR"/>
        </w:rPr>
        <w:t xml:space="preserve"> dernier rapport présenté au CDIP concernant l</w:t>
      </w:r>
      <w:r w:rsidR="001B04F7" w:rsidRPr="000F6A66">
        <w:rPr>
          <w:szCs w:val="22"/>
          <w:lang w:val="fr-FR"/>
        </w:rPr>
        <w:t>’</w:t>
      </w:r>
      <w:r w:rsidRPr="000F6A66">
        <w:rPr>
          <w:szCs w:val="22"/>
          <w:lang w:val="fr-FR"/>
        </w:rPr>
        <w:t>état d</w:t>
      </w:r>
      <w:r w:rsidR="001B04F7" w:rsidRPr="000F6A66">
        <w:rPr>
          <w:szCs w:val="22"/>
          <w:lang w:val="fr-FR"/>
        </w:rPr>
        <w:t>’</w:t>
      </w:r>
      <w:r w:rsidRPr="000F6A66">
        <w:rPr>
          <w:szCs w:val="22"/>
          <w:lang w:val="fr-FR"/>
        </w:rPr>
        <w:t>avancement du projet date du 14 septembre 2018 et a été examiné par le CDIP en novembre 2018 (annexe IV du document CDIP/22/2).  Le rapport relatif à l</w:t>
      </w:r>
      <w:r w:rsidR="001B04F7" w:rsidRPr="000F6A66">
        <w:rPr>
          <w:szCs w:val="22"/>
          <w:lang w:val="fr-FR"/>
        </w:rPr>
        <w:t>’</w:t>
      </w:r>
      <w:r w:rsidRPr="000F6A66">
        <w:rPr>
          <w:szCs w:val="22"/>
          <w:lang w:val="fr-FR"/>
        </w:rPr>
        <w:t>achèvement du projet utilisé aux fins de l</w:t>
      </w:r>
      <w:r w:rsidR="001B04F7" w:rsidRPr="000F6A66">
        <w:rPr>
          <w:szCs w:val="22"/>
          <w:lang w:val="fr-FR"/>
        </w:rPr>
        <w:t>’</w:t>
      </w:r>
      <w:r w:rsidRPr="000F6A66">
        <w:rPr>
          <w:szCs w:val="22"/>
          <w:lang w:val="fr-FR"/>
        </w:rPr>
        <w:t>évaluation date du</w:t>
      </w:r>
      <w:r w:rsidR="001B04F7" w:rsidRPr="000F6A66">
        <w:rPr>
          <w:szCs w:val="22"/>
          <w:lang w:val="fr-FR"/>
        </w:rPr>
        <w:t xml:space="preserve"> 1</w:t>
      </w:r>
      <w:r w:rsidR="001B04F7" w:rsidRPr="000F6A66">
        <w:rPr>
          <w:szCs w:val="22"/>
          <w:vertAlign w:val="superscript"/>
          <w:lang w:val="fr-FR"/>
        </w:rPr>
        <w:t>er</w:t>
      </w:r>
      <w:r w:rsidR="001B04F7" w:rsidRPr="000F6A66">
        <w:rPr>
          <w:szCs w:val="22"/>
          <w:lang w:val="fr-FR"/>
        </w:rPr>
        <w:t> </w:t>
      </w:r>
      <w:r w:rsidRPr="000F6A66">
        <w:rPr>
          <w:szCs w:val="22"/>
          <w:lang w:val="fr-FR"/>
        </w:rPr>
        <w:t>septembre 2019</w:t>
      </w:r>
      <w:r w:rsidRPr="000F6A66">
        <w:rPr>
          <w:rStyle w:val="FootnoteReference"/>
          <w:szCs w:val="22"/>
          <w:lang w:val="fr-FR"/>
        </w:rPr>
        <w:footnoteReference w:id="7"/>
      </w:r>
      <w:r w:rsidRPr="000F6A66">
        <w:rPr>
          <w:szCs w:val="22"/>
          <w:lang w:val="fr-FR"/>
        </w:rPr>
        <w:t>.  Le taux d</w:t>
      </w:r>
      <w:r w:rsidR="001B04F7" w:rsidRPr="000F6A66">
        <w:rPr>
          <w:szCs w:val="22"/>
          <w:lang w:val="fr-FR"/>
        </w:rPr>
        <w:t>’</w:t>
      </w:r>
      <w:r w:rsidRPr="000F6A66">
        <w:rPr>
          <w:szCs w:val="22"/>
          <w:lang w:val="fr-FR"/>
        </w:rPr>
        <w:t xml:space="preserve">utilisation du budget à la fin du mois de juillet 2019 était </w:t>
      </w:r>
      <w:r w:rsidRPr="000F6A66">
        <w:rPr>
          <w:iCs/>
          <w:szCs w:val="22"/>
          <w:lang w:val="fr-FR"/>
        </w:rPr>
        <w:t>de 91%.</w:t>
      </w:r>
    </w:p>
    <w:p w14:paraId="1DDD08D3" w14:textId="54F00784" w:rsidR="001B04F7" w:rsidRPr="000F6A66" w:rsidRDefault="00675065" w:rsidP="00675065">
      <w:pPr>
        <w:pStyle w:val="ONUMFS"/>
        <w:rPr>
          <w:lang w:val="fr-FR"/>
        </w:rPr>
      </w:pPr>
      <w:r w:rsidRPr="000F6A66">
        <w:rPr>
          <w:lang w:val="fr-FR"/>
        </w:rPr>
        <w:t>Les activités prévues ont été menées à bien, à l</w:t>
      </w:r>
      <w:r w:rsidR="001B04F7" w:rsidRPr="000F6A66">
        <w:rPr>
          <w:lang w:val="fr-FR"/>
        </w:rPr>
        <w:t>’</w:t>
      </w:r>
      <w:r w:rsidRPr="000F6A66">
        <w:rPr>
          <w:lang w:val="fr-FR"/>
        </w:rPr>
        <w:t>exception d</w:t>
      </w:r>
      <w:r w:rsidR="001B04F7" w:rsidRPr="000F6A66">
        <w:rPr>
          <w:lang w:val="fr-FR"/>
        </w:rPr>
        <w:t>’</w:t>
      </w:r>
      <w:r w:rsidRPr="000F6A66">
        <w:rPr>
          <w:lang w:val="fr-FR"/>
        </w:rPr>
        <w:t>une copublication de l</w:t>
      </w:r>
      <w:r w:rsidR="001B04F7" w:rsidRPr="000F6A66">
        <w:rPr>
          <w:lang w:val="fr-FR"/>
        </w:rPr>
        <w:t>’</w:t>
      </w:r>
      <w:r w:rsidRPr="000F6A66">
        <w:rPr>
          <w:lang w:val="fr-FR"/>
        </w:rPr>
        <w:t>OMPI et de l</w:t>
      </w:r>
      <w:r w:rsidR="001B04F7" w:rsidRPr="000F6A66">
        <w:rPr>
          <w:lang w:val="fr-FR"/>
        </w:rPr>
        <w:t>’</w:t>
      </w:r>
      <w:r w:rsidRPr="000F6A66">
        <w:rPr>
          <w:lang w:val="fr-FR"/>
        </w:rPr>
        <w:t>Organisation mondiale du tourisme (OMT) sur la propriété intellectuelle et le tourisme.</w:t>
      </w:r>
    </w:p>
    <w:p w14:paraId="4B6AF101" w14:textId="6F385AA3" w:rsidR="00675065" w:rsidRPr="000F6A66" w:rsidRDefault="00675065" w:rsidP="00675065">
      <w:pPr>
        <w:pStyle w:val="Heading2"/>
        <w:rPr>
          <w:lang w:val="fr-FR"/>
        </w:rPr>
      </w:pPr>
      <w:bookmarkStart w:id="18" w:name="_Toc18331406"/>
      <w:bookmarkStart w:id="19" w:name="_Toc20991640"/>
      <w:r w:rsidRPr="000F6A66">
        <w:rPr>
          <w:lang w:val="fr-FR"/>
        </w:rPr>
        <w:t>Champ d</w:t>
      </w:r>
      <w:r w:rsidR="001B04F7" w:rsidRPr="000F6A66">
        <w:rPr>
          <w:lang w:val="fr-FR"/>
        </w:rPr>
        <w:t>’</w:t>
      </w:r>
      <w:r w:rsidRPr="000F6A66">
        <w:rPr>
          <w:lang w:val="fr-FR"/>
        </w:rPr>
        <w:t>observation, objet, méthode et limites de la présente évaluation</w:t>
      </w:r>
      <w:bookmarkEnd w:id="18"/>
      <w:bookmarkEnd w:id="19"/>
    </w:p>
    <w:p w14:paraId="60AC7EAA" w14:textId="49A0E0BC" w:rsidR="00675065" w:rsidRPr="000F6A66" w:rsidRDefault="00675065" w:rsidP="00675065">
      <w:pPr>
        <w:pStyle w:val="Heading3"/>
        <w:rPr>
          <w:lang w:val="fr-FR"/>
        </w:rPr>
      </w:pPr>
      <w:bookmarkStart w:id="20" w:name="_Toc20991641"/>
      <w:r w:rsidRPr="000F6A66">
        <w:rPr>
          <w:lang w:val="fr-FR"/>
        </w:rPr>
        <w:t>Champ d</w:t>
      </w:r>
      <w:r w:rsidR="001B04F7" w:rsidRPr="000F6A66">
        <w:rPr>
          <w:lang w:val="fr-FR"/>
        </w:rPr>
        <w:t>’</w:t>
      </w:r>
      <w:r w:rsidRPr="000F6A66">
        <w:rPr>
          <w:lang w:val="fr-FR"/>
        </w:rPr>
        <w:t>observation</w:t>
      </w:r>
      <w:bookmarkEnd w:id="20"/>
    </w:p>
    <w:p w14:paraId="3D29854A" w14:textId="77777777" w:rsidR="00675065" w:rsidRPr="000F6A66" w:rsidRDefault="00675065" w:rsidP="00675065">
      <w:pPr>
        <w:rPr>
          <w:lang w:val="fr-FR"/>
        </w:rPr>
      </w:pPr>
    </w:p>
    <w:p w14:paraId="54842EA7" w14:textId="05F47777" w:rsidR="00675065" w:rsidRPr="000F6A66" w:rsidRDefault="00675065" w:rsidP="00675065">
      <w:pPr>
        <w:pStyle w:val="ONUMFS"/>
        <w:rPr>
          <w:lang w:val="fr-FR"/>
        </w:rPr>
      </w:pPr>
      <w:r w:rsidRPr="000F6A66">
        <w:rPr>
          <w:lang w:val="fr-FR"/>
        </w:rPr>
        <w:t>L</w:t>
      </w:r>
      <w:r w:rsidR="001B04F7" w:rsidRPr="000F6A66">
        <w:rPr>
          <w:lang w:val="fr-FR"/>
        </w:rPr>
        <w:t>’</w:t>
      </w:r>
      <w:r w:rsidRPr="000F6A66">
        <w:rPr>
          <w:lang w:val="fr-FR"/>
        </w:rPr>
        <w:t>évaluation couvre toute la durée du projet (</w:t>
      </w:r>
      <w:r w:rsidR="001B04F7" w:rsidRPr="000F6A66">
        <w:rPr>
          <w:lang w:val="fr-FR"/>
        </w:rPr>
        <w:t>y compris</w:t>
      </w:r>
      <w:r w:rsidRPr="000F6A66">
        <w:rPr>
          <w:lang w:val="fr-FR"/>
        </w:rPr>
        <w:t xml:space="preserve"> la prolongation), de janvier 2016 à fin avril 2019.  Afin de garantir une certaine cohérence entre les constatations provenant des </w:t>
      </w:r>
      <w:r w:rsidRPr="000F6A66">
        <w:rPr>
          <w:lang w:val="fr-FR"/>
        </w:rPr>
        <w:lastRenderedPageBreak/>
        <w:t>différentes sources, les constatations ont été prises en considération jusqu</w:t>
      </w:r>
      <w:r w:rsidR="001B04F7" w:rsidRPr="000F6A66">
        <w:rPr>
          <w:lang w:val="fr-FR"/>
        </w:rPr>
        <w:t>’</w:t>
      </w:r>
      <w:r w:rsidRPr="000F6A66">
        <w:rPr>
          <w:lang w:val="fr-FR"/>
        </w:rPr>
        <w:t>au</w:t>
      </w:r>
      <w:r w:rsidR="001B04F7" w:rsidRPr="000F6A66">
        <w:rPr>
          <w:lang w:val="fr-FR"/>
        </w:rPr>
        <w:t xml:space="preserve"> 1</w:t>
      </w:r>
      <w:r w:rsidR="001B04F7" w:rsidRPr="000F6A66">
        <w:rPr>
          <w:vertAlign w:val="superscript"/>
          <w:lang w:val="fr-FR"/>
        </w:rPr>
        <w:t>er</w:t>
      </w:r>
      <w:r w:rsidR="001B04F7" w:rsidRPr="000F6A66">
        <w:rPr>
          <w:lang w:val="fr-FR"/>
        </w:rPr>
        <w:t> </w:t>
      </w:r>
      <w:r w:rsidRPr="000F6A66">
        <w:rPr>
          <w:lang w:val="fr-FR"/>
        </w:rPr>
        <w:t>septembre 2019 (publication du rapport relatif à l</w:t>
      </w:r>
      <w:r w:rsidR="001B04F7" w:rsidRPr="000F6A66">
        <w:rPr>
          <w:lang w:val="fr-FR"/>
        </w:rPr>
        <w:t>’</w:t>
      </w:r>
      <w:r w:rsidRPr="000F6A66">
        <w:rPr>
          <w:lang w:val="fr-FR"/>
        </w:rPr>
        <w:t>achèvement du proj</w:t>
      </w:r>
      <w:r w:rsidR="00655442" w:rsidRPr="000F6A66">
        <w:rPr>
          <w:lang w:val="fr-FR"/>
        </w:rPr>
        <w:t>et).  Il</w:t>
      </w:r>
      <w:r w:rsidRPr="000F6A66">
        <w:rPr>
          <w:lang w:val="fr-FR"/>
        </w:rPr>
        <w:t xml:space="preserve"> n</w:t>
      </w:r>
      <w:r w:rsidR="001B04F7" w:rsidRPr="000F6A66">
        <w:rPr>
          <w:lang w:val="fr-FR"/>
        </w:rPr>
        <w:t>’</w:t>
      </w:r>
      <w:r w:rsidRPr="000F6A66">
        <w:rPr>
          <w:lang w:val="fr-FR"/>
        </w:rPr>
        <w:t>a pas été tenu compte des faits nouveaux survenus après cette date.</w:t>
      </w:r>
    </w:p>
    <w:p w14:paraId="6DFE8FE9" w14:textId="1D20E3BF" w:rsidR="00675065" w:rsidRPr="000F6A66" w:rsidRDefault="00675065" w:rsidP="00675065">
      <w:pPr>
        <w:pStyle w:val="Heading3"/>
        <w:rPr>
          <w:lang w:val="fr-FR"/>
        </w:rPr>
      </w:pPr>
      <w:bookmarkStart w:id="21" w:name="_Toc18331408"/>
      <w:bookmarkStart w:id="22" w:name="_Toc20991642"/>
      <w:r w:rsidRPr="000F6A66">
        <w:rPr>
          <w:lang w:val="fr-FR"/>
        </w:rPr>
        <w:t>Objet principal</w:t>
      </w:r>
      <w:bookmarkEnd w:id="21"/>
      <w:bookmarkEnd w:id="22"/>
    </w:p>
    <w:p w14:paraId="11CDE810" w14:textId="77777777" w:rsidR="00675065" w:rsidRPr="000F6A66" w:rsidRDefault="00675065" w:rsidP="00675065">
      <w:pPr>
        <w:rPr>
          <w:lang w:val="fr-FR"/>
        </w:rPr>
      </w:pPr>
    </w:p>
    <w:p w14:paraId="59E3D647" w14:textId="768C5466" w:rsidR="00675065" w:rsidRPr="000F6A66" w:rsidRDefault="00675065" w:rsidP="00675065">
      <w:pPr>
        <w:pStyle w:val="ONUMFS"/>
        <w:rPr>
          <w:lang w:val="fr-FR"/>
        </w:rPr>
      </w:pPr>
      <w:r w:rsidRPr="000F6A66">
        <w:rPr>
          <w:lang w:val="fr-FR"/>
        </w:rPr>
        <w:t>En vue de garantir la reddition des comptes aux États membres par le Secrétariat et de contribuer à l</w:t>
      </w:r>
      <w:r w:rsidR="001B04F7" w:rsidRPr="000F6A66">
        <w:rPr>
          <w:lang w:val="fr-FR"/>
        </w:rPr>
        <w:t>’</w:t>
      </w:r>
      <w:r w:rsidRPr="000F6A66">
        <w:rPr>
          <w:lang w:val="fr-FR"/>
        </w:rPr>
        <w:t>apprentissage institutionnel, le mandat prévoyait deux objectifs</w:t>
      </w:r>
      <w:r w:rsidR="001B04F7" w:rsidRPr="000F6A66">
        <w:rPr>
          <w:lang w:val="fr-FR"/>
        </w:rPr>
        <w:t> :</w:t>
      </w:r>
    </w:p>
    <w:p w14:paraId="14A04CB8" w14:textId="58F3EC9C" w:rsidR="00675065" w:rsidRPr="000F6A66" w:rsidRDefault="00675065" w:rsidP="00675065">
      <w:pPr>
        <w:pStyle w:val="ONUMFS"/>
        <w:numPr>
          <w:ilvl w:val="1"/>
          <w:numId w:val="5"/>
        </w:numPr>
        <w:rPr>
          <w:lang w:val="fr-FR"/>
        </w:rPr>
      </w:pPr>
      <w:r w:rsidRPr="000F6A66">
        <w:rPr>
          <w:lang w:val="fr-FR"/>
        </w:rPr>
        <w:t>tirer des enseignements de l</w:t>
      </w:r>
      <w:r w:rsidR="001B04F7" w:rsidRPr="000F6A66">
        <w:rPr>
          <w:lang w:val="fr-FR"/>
        </w:rPr>
        <w:t>’</w:t>
      </w:r>
      <w:r w:rsidRPr="000F6A66">
        <w:rPr>
          <w:lang w:val="fr-FR"/>
        </w:rPr>
        <w:t>expérience acquise durant la mise en œuvre du projet</w:t>
      </w:r>
      <w:r w:rsidR="001B04F7" w:rsidRPr="000F6A66">
        <w:rPr>
          <w:lang w:val="fr-FR"/>
        </w:rPr>
        <w:t> :</w:t>
      </w:r>
      <w:r w:rsidRPr="000F6A66">
        <w:rPr>
          <w:lang w:val="fr-FR"/>
        </w:rPr>
        <w:t xml:space="preserve"> ce qui a bien fonctionné et ce qui n</w:t>
      </w:r>
      <w:r w:rsidR="001B04F7" w:rsidRPr="000F6A66">
        <w:rPr>
          <w:lang w:val="fr-FR"/>
        </w:rPr>
        <w:t>’</w:t>
      </w:r>
      <w:r w:rsidRPr="000F6A66">
        <w:rPr>
          <w:lang w:val="fr-FR"/>
        </w:rPr>
        <w:t>a pas bien fonctionné dans l</w:t>
      </w:r>
      <w:r w:rsidR="001B04F7" w:rsidRPr="000F6A66">
        <w:rPr>
          <w:lang w:val="fr-FR"/>
        </w:rPr>
        <w:t>’</w:t>
      </w:r>
      <w:r w:rsidRPr="000F6A66">
        <w:rPr>
          <w:lang w:val="fr-FR"/>
        </w:rPr>
        <w:t>intérêt de la poursuite des activités dans ce domai</w:t>
      </w:r>
      <w:r w:rsidR="00655442" w:rsidRPr="000F6A66">
        <w:rPr>
          <w:lang w:val="fr-FR"/>
        </w:rPr>
        <w:t>ne.  Ce</w:t>
      </w:r>
      <w:r w:rsidRPr="000F6A66">
        <w:rPr>
          <w:lang w:val="fr-FR"/>
        </w:rPr>
        <w:t>la inclut l</w:t>
      </w:r>
      <w:r w:rsidR="001B04F7" w:rsidRPr="000F6A66">
        <w:rPr>
          <w:lang w:val="fr-FR"/>
        </w:rPr>
        <w:t>’</w:t>
      </w:r>
      <w:r w:rsidRPr="000F6A66">
        <w:rPr>
          <w:lang w:val="fr-FR"/>
        </w:rPr>
        <w:t xml:space="preserve">évaluation du cadre de conception du projet, la gestion de projet, </w:t>
      </w:r>
      <w:r w:rsidR="001B04F7" w:rsidRPr="000F6A66">
        <w:rPr>
          <w:lang w:val="fr-FR"/>
        </w:rPr>
        <w:t>y compris</w:t>
      </w:r>
      <w:r w:rsidRPr="000F6A66">
        <w:rPr>
          <w:lang w:val="fr-FR"/>
        </w:rPr>
        <w:t xml:space="preserve"> les outils de suivi et d</w:t>
      </w:r>
      <w:r w:rsidR="001B04F7" w:rsidRPr="000F6A66">
        <w:rPr>
          <w:lang w:val="fr-FR"/>
        </w:rPr>
        <w:t>’</w:t>
      </w:r>
      <w:r w:rsidRPr="000F6A66">
        <w:rPr>
          <w:lang w:val="fr-FR"/>
        </w:rPr>
        <w:t>établissement de rapports, ainsi que la mesure et le compte rendu des résultats obtenus à ce jour et l</w:t>
      </w:r>
      <w:r w:rsidR="001B04F7" w:rsidRPr="000F6A66">
        <w:rPr>
          <w:lang w:val="fr-FR"/>
        </w:rPr>
        <w:t>’</w:t>
      </w:r>
      <w:r w:rsidRPr="000F6A66">
        <w:rPr>
          <w:lang w:val="fr-FR"/>
        </w:rPr>
        <w:t>évaluation de la probabilité de la durabilité des résultats obtenus;  et</w:t>
      </w:r>
    </w:p>
    <w:p w14:paraId="64ABEA09" w14:textId="7E710336" w:rsidR="00675065" w:rsidRPr="000F6A66" w:rsidRDefault="00675065" w:rsidP="00675065">
      <w:pPr>
        <w:pStyle w:val="ONUMFS"/>
        <w:numPr>
          <w:ilvl w:val="1"/>
          <w:numId w:val="5"/>
        </w:numPr>
        <w:rPr>
          <w:lang w:val="fr-FR"/>
        </w:rPr>
      </w:pPr>
      <w:r w:rsidRPr="000F6A66">
        <w:rPr>
          <w:lang w:val="fr-FR"/>
        </w:rPr>
        <w:t>fournir les données d</w:t>
      </w:r>
      <w:r w:rsidR="001B04F7" w:rsidRPr="000F6A66">
        <w:rPr>
          <w:lang w:val="fr-FR"/>
        </w:rPr>
        <w:t>’</w:t>
      </w:r>
      <w:r w:rsidRPr="000F6A66">
        <w:rPr>
          <w:lang w:val="fr-FR"/>
        </w:rPr>
        <w:t>évaluation factuelles nécessaires au processus décisionnel du CDIP.</w:t>
      </w:r>
    </w:p>
    <w:p w14:paraId="323E4824" w14:textId="02F0658B" w:rsidR="00675065" w:rsidRPr="000F6A66" w:rsidRDefault="00675065" w:rsidP="00B85C11">
      <w:pPr>
        <w:pStyle w:val="ONUMFS"/>
        <w:rPr>
          <w:lang w:val="fr-FR"/>
        </w:rPr>
      </w:pPr>
      <w:r w:rsidRPr="000F6A66">
        <w:rPr>
          <w:lang w:val="fr-FR"/>
        </w:rPr>
        <w:t>Dans le cadre de ces deux objectifs, l</w:t>
      </w:r>
      <w:r w:rsidR="001B04F7" w:rsidRPr="000F6A66">
        <w:rPr>
          <w:lang w:val="fr-FR"/>
        </w:rPr>
        <w:t>’</w:t>
      </w:r>
      <w:r w:rsidRPr="000F6A66">
        <w:rPr>
          <w:lang w:val="fr-FR"/>
        </w:rPr>
        <w:t>évaluateur devait déterminer dans quelle mesure le projet contribuait</w:t>
      </w:r>
    </w:p>
    <w:p w14:paraId="1A6263FF" w14:textId="494A617F" w:rsidR="00675065" w:rsidRPr="000F6A66" w:rsidRDefault="00675065" w:rsidP="00B85C11">
      <w:pPr>
        <w:pStyle w:val="ONUMFS"/>
        <w:numPr>
          <w:ilvl w:val="1"/>
          <w:numId w:val="5"/>
        </w:numPr>
        <w:rPr>
          <w:lang w:val="fr-FR"/>
        </w:rPr>
      </w:pPr>
      <w:r w:rsidRPr="000F6A66">
        <w:rPr>
          <w:lang w:val="fr-FR"/>
        </w:rPr>
        <w:t xml:space="preserve">au renforcement des capacités des principales parties prenantes et des autorités nationales, </w:t>
      </w:r>
      <w:r w:rsidR="001B04F7" w:rsidRPr="000F6A66">
        <w:rPr>
          <w:lang w:val="fr-FR"/>
        </w:rPr>
        <w:t>y compris</w:t>
      </w:r>
      <w:r w:rsidRPr="000F6A66">
        <w:rPr>
          <w:lang w:val="fr-FR"/>
        </w:rPr>
        <w:t xml:space="preserve"> les offices de propriété intellectuelle, en matière d</w:t>
      </w:r>
      <w:r w:rsidR="001B04F7" w:rsidRPr="000F6A66">
        <w:rPr>
          <w:lang w:val="fr-FR"/>
        </w:rPr>
        <w:t>’</w:t>
      </w:r>
      <w:r w:rsidRPr="000F6A66">
        <w:rPr>
          <w:lang w:val="fr-FR"/>
        </w:rPr>
        <w:t>utilisation des instruments et stratégies de propriété intellectuelle aux fins de la création de valeur ajoutée et de diversification de l</w:t>
      </w:r>
      <w:r w:rsidR="001B04F7" w:rsidRPr="000F6A66">
        <w:rPr>
          <w:lang w:val="fr-FR"/>
        </w:rPr>
        <w:t>’</w:t>
      </w:r>
      <w:r w:rsidRPr="000F6A66">
        <w:rPr>
          <w:lang w:val="fr-FR"/>
        </w:rPr>
        <w:t>activité touristique, en particulier sous l</w:t>
      </w:r>
      <w:r w:rsidR="001B04F7" w:rsidRPr="000F6A66">
        <w:rPr>
          <w:lang w:val="fr-FR"/>
        </w:rPr>
        <w:t>’</w:t>
      </w:r>
      <w:r w:rsidRPr="000F6A66">
        <w:rPr>
          <w:lang w:val="fr-FR"/>
        </w:rPr>
        <w:t>angle de la promotion du tourisme et des savoirs, des traditions et de la culture à l</w:t>
      </w:r>
      <w:r w:rsidR="001B04F7" w:rsidRPr="000F6A66">
        <w:rPr>
          <w:lang w:val="fr-FR"/>
        </w:rPr>
        <w:t>’</w:t>
      </w:r>
      <w:r w:rsidRPr="000F6A66">
        <w:rPr>
          <w:lang w:val="fr-FR"/>
        </w:rPr>
        <w:t>échelle nationale ou locale et</w:t>
      </w:r>
    </w:p>
    <w:p w14:paraId="4BA2FC16" w14:textId="4F0A42FA" w:rsidR="00675065" w:rsidRPr="000F6A66" w:rsidRDefault="00675065" w:rsidP="00B85C11">
      <w:pPr>
        <w:pStyle w:val="ONUMFS"/>
        <w:numPr>
          <w:ilvl w:val="1"/>
          <w:numId w:val="5"/>
        </w:numPr>
        <w:rPr>
          <w:lang w:val="fr-FR"/>
        </w:rPr>
      </w:pPr>
      <w:r w:rsidRPr="000F6A66">
        <w:rPr>
          <w:lang w:val="fr-FR"/>
        </w:rPr>
        <w:t>à sensibiliser les milieux universitaires à l</w:t>
      </w:r>
      <w:r w:rsidR="001B04F7" w:rsidRPr="000F6A66">
        <w:rPr>
          <w:lang w:val="fr-FR"/>
        </w:rPr>
        <w:t>’</w:t>
      </w:r>
      <w:r w:rsidRPr="000F6A66">
        <w:rPr>
          <w:lang w:val="fr-FR"/>
        </w:rPr>
        <w:t>interface entre propriété intellectuelle et tourisme dans le cadre des politiques en matière de développement et de croissance, en vue d</w:t>
      </w:r>
      <w:r w:rsidR="001B04F7" w:rsidRPr="000F6A66">
        <w:rPr>
          <w:lang w:val="fr-FR"/>
        </w:rPr>
        <w:t>’</w:t>
      </w:r>
      <w:r w:rsidRPr="000F6A66">
        <w:rPr>
          <w:lang w:val="fr-FR"/>
        </w:rPr>
        <w:t>élaborer du matériel didactique et de promouvoir l</w:t>
      </w:r>
      <w:r w:rsidR="001B04F7" w:rsidRPr="000F6A66">
        <w:rPr>
          <w:lang w:val="fr-FR"/>
        </w:rPr>
        <w:t>’</w:t>
      </w:r>
      <w:r w:rsidRPr="000F6A66">
        <w:rPr>
          <w:lang w:val="fr-FR"/>
        </w:rPr>
        <w:t>inclusion de programmes spécialisés dans les écoles de tourisme et les académies nationales de propriété intellectuelle.</w:t>
      </w:r>
    </w:p>
    <w:p w14:paraId="46ADB8A6" w14:textId="7D415A59" w:rsidR="00675065" w:rsidRPr="000F6A66" w:rsidRDefault="00675065" w:rsidP="00B85C11">
      <w:pPr>
        <w:pStyle w:val="ONUMFS"/>
        <w:rPr>
          <w:lang w:val="fr-FR"/>
        </w:rPr>
      </w:pPr>
      <w:r w:rsidRPr="000F6A66">
        <w:rPr>
          <w:lang w:val="fr-FR"/>
        </w:rPr>
        <w:t>Le mandat prévoyait des questions d</w:t>
      </w:r>
      <w:r w:rsidR="001B04F7" w:rsidRPr="000F6A66">
        <w:rPr>
          <w:lang w:val="fr-FR"/>
        </w:rPr>
        <w:t>’</w:t>
      </w:r>
      <w:r w:rsidRPr="000F6A66">
        <w:rPr>
          <w:lang w:val="fr-FR"/>
        </w:rPr>
        <w:t>évaluation</w:t>
      </w:r>
      <w:r w:rsidRPr="000F6A66">
        <w:rPr>
          <w:rStyle w:val="FootnoteReference"/>
          <w:lang w:val="fr-FR"/>
        </w:rPr>
        <w:footnoteReference w:id="8"/>
      </w:r>
      <w:r w:rsidRPr="000F6A66">
        <w:rPr>
          <w:lang w:val="fr-FR"/>
        </w:rPr>
        <w:t>, qui ont été complétées par un processus itérat</w:t>
      </w:r>
      <w:r w:rsidR="00655442" w:rsidRPr="000F6A66">
        <w:rPr>
          <w:lang w:val="fr-FR"/>
        </w:rPr>
        <w:t>if.  Le</w:t>
      </w:r>
      <w:r w:rsidRPr="000F6A66">
        <w:rPr>
          <w:lang w:val="fr-FR"/>
        </w:rPr>
        <w:t>s informations obtenues ont été validées au moyen d</w:t>
      </w:r>
      <w:r w:rsidR="001B04F7" w:rsidRPr="000F6A66">
        <w:rPr>
          <w:lang w:val="fr-FR"/>
        </w:rPr>
        <w:t>’</w:t>
      </w:r>
      <w:r w:rsidRPr="000F6A66">
        <w:rPr>
          <w:lang w:val="fr-FR"/>
        </w:rPr>
        <w:t>entrevues ultérieures et de documents supplémentaires.</w:t>
      </w:r>
    </w:p>
    <w:p w14:paraId="11919E49" w14:textId="393C4150" w:rsidR="00675065" w:rsidRPr="000F6A66" w:rsidRDefault="00675065" w:rsidP="00B85C11">
      <w:pPr>
        <w:pStyle w:val="ONUMFS"/>
        <w:rPr>
          <w:lang w:val="fr-FR"/>
        </w:rPr>
      </w:pPr>
      <w:r w:rsidRPr="000F6A66">
        <w:rPr>
          <w:lang w:val="fr-FR"/>
        </w:rPr>
        <w:t>Le projet différait d</w:t>
      </w:r>
      <w:r w:rsidR="001B04F7" w:rsidRPr="000F6A66">
        <w:rPr>
          <w:lang w:val="fr-FR"/>
        </w:rPr>
        <w:t>’</w:t>
      </w:r>
      <w:r w:rsidRPr="000F6A66">
        <w:rPr>
          <w:lang w:val="fr-FR"/>
        </w:rPr>
        <w:t>autres projets relevant du Plan d</w:t>
      </w:r>
      <w:r w:rsidR="001B04F7" w:rsidRPr="000F6A66">
        <w:rPr>
          <w:lang w:val="fr-FR"/>
        </w:rPr>
        <w:t>’</w:t>
      </w:r>
      <w:r w:rsidRPr="000F6A66">
        <w:rPr>
          <w:lang w:val="fr-FR"/>
        </w:rPr>
        <w:t>action pour le développement et programmes de l</w:t>
      </w:r>
      <w:r w:rsidR="001B04F7" w:rsidRPr="000F6A66">
        <w:rPr>
          <w:lang w:val="fr-FR"/>
        </w:rPr>
        <w:t>’</w:t>
      </w:r>
      <w:r w:rsidRPr="000F6A66">
        <w:rPr>
          <w:lang w:val="fr-FR"/>
        </w:rPr>
        <w:t>OMPI prévoyant généralement des activités d</w:t>
      </w:r>
      <w:r w:rsidR="001B04F7" w:rsidRPr="000F6A66">
        <w:rPr>
          <w:lang w:val="fr-FR"/>
        </w:rPr>
        <w:t>’</w:t>
      </w:r>
      <w:r w:rsidRPr="000F6A66">
        <w:rPr>
          <w:lang w:val="fr-FR"/>
        </w:rPr>
        <w:t>assistance technique parallèlement à différents types de droits de propriété intellectuelle et fonctions principales du système de la propriété intellectuelle (administration de la propriété intellectuelle, promotion du respect de la propriété intellectuelle, enseignement de la propriété intellectuelle, etc.).  Il semble qu</w:t>
      </w:r>
      <w:r w:rsidR="001B04F7" w:rsidRPr="000F6A66">
        <w:rPr>
          <w:lang w:val="fr-FR"/>
        </w:rPr>
        <w:t>’</w:t>
      </w:r>
      <w:r w:rsidRPr="000F6A66">
        <w:rPr>
          <w:lang w:val="fr-FR"/>
        </w:rPr>
        <w:t>une exception soit faite lorsqu</w:t>
      </w:r>
      <w:r w:rsidR="001B04F7" w:rsidRPr="000F6A66">
        <w:rPr>
          <w:lang w:val="fr-FR"/>
        </w:rPr>
        <w:t>’</w:t>
      </w:r>
      <w:r w:rsidRPr="000F6A66">
        <w:rPr>
          <w:lang w:val="fr-FR"/>
        </w:rPr>
        <w:t>un secteur repose dans une large mesure sur des droits de propriété intellectuelle spécifiques, comme dans le cas des industries de la création (droit d</w:t>
      </w:r>
      <w:r w:rsidR="001B04F7" w:rsidRPr="000F6A66">
        <w:rPr>
          <w:lang w:val="fr-FR"/>
        </w:rPr>
        <w:t>’</w:t>
      </w:r>
      <w:r w:rsidRPr="000F6A66">
        <w:rPr>
          <w:lang w:val="fr-FR"/>
        </w:rPr>
        <w:t>auteur et droits connexes, dessins et modèles, etc.).</w:t>
      </w:r>
    </w:p>
    <w:p w14:paraId="1A72122A" w14:textId="3D156D6B" w:rsidR="00675065" w:rsidRPr="000F6A66" w:rsidRDefault="00675065" w:rsidP="00B85C11">
      <w:pPr>
        <w:pStyle w:val="ONUMFS"/>
        <w:rPr>
          <w:lang w:val="fr-FR"/>
        </w:rPr>
      </w:pPr>
      <w:r w:rsidRPr="000F6A66">
        <w:rPr>
          <w:lang w:val="fr-FR"/>
        </w:rPr>
        <w:lastRenderedPageBreak/>
        <w:t>L</w:t>
      </w:r>
      <w:r w:rsidR="001B04F7" w:rsidRPr="000F6A66">
        <w:rPr>
          <w:lang w:val="fr-FR"/>
        </w:rPr>
        <w:t>’</w:t>
      </w:r>
      <w:r w:rsidRPr="000F6A66">
        <w:rPr>
          <w:lang w:val="fr-FR"/>
        </w:rPr>
        <w:t>évaluation fournissait également un premier aperçu des avantages et des inconvénients potentiels à appliquer une approche spécifique d</w:t>
      </w:r>
      <w:r w:rsidR="001B04F7" w:rsidRPr="000F6A66">
        <w:rPr>
          <w:lang w:val="fr-FR"/>
        </w:rPr>
        <w:t>’</w:t>
      </w:r>
      <w:r w:rsidRPr="000F6A66">
        <w:rPr>
          <w:lang w:val="fr-FR"/>
        </w:rPr>
        <w:t>un secteur au renforcement du système de la propriété intellectuelle au service du développement.</w:t>
      </w:r>
    </w:p>
    <w:p w14:paraId="252F9F37" w14:textId="64785474" w:rsidR="00675065" w:rsidRPr="000F6A66" w:rsidRDefault="00675065" w:rsidP="00B85C11">
      <w:pPr>
        <w:pStyle w:val="Heading3"/>
        <w:rPr>
          <w:lang w:val="fr-FR"/>
        </w:rPr>
      </w:pPr>
      <w:bookmarkStart w:id="23" w:name="_Toc18331409"/>
      <w:bookmarkStart w:id="24" w:name="_Toc20991643"/>
      <w:r w:rsidRPr="000F6A66">
        <w:rPr>
          <w:lang w:val="fr-FR"/>
        </w:rPr>
        <w:t>Méthode</w:t>
      </w:r>
      <w:bookmarkEnd w:id="23"/>
      <w:bookmarkEnd w:id="24"/>
    </w:p>
    <w:p w14:paraId="774CDFE5" w14:textId="77777777" w:rsidR="00B85C11" w:rsidRPr="000F6A66" w:rsidRDefault="00B85C11" w:rsidP="00B85C11">
      <w:pPr>
        <w:rPr>
          <w:lang w:val="fr-FR"/>
        </w:rPr>
      </w:pPr>
    </w:p>
    <w:p w14:paraId="2EFBBF2C" w14:textId="737AABFA" w:rsidR="00675065" w:rsidRPr="000F6A66" w:rsidRDefault="00675065" w:rsidP="00B85C11">
      <w:pPr>
        <w:pStyle w:val="ONUMFS"/>
        <w:rPr>
          <w:lang w:val="fr-FR"/>
        </w:rPr>
      </w:pPr>
      <w:r w:rsidRPr="000F6A66">
        <w:rPr>
          <w:lang w:val="fr-FR"/>
        </w:rPr>
        <w:t xml:space="preserve">Le mandat prévoyait une évaluation de la qualité du projet, </w:t>
      </w:r>
      <w:r w:rsidR="001B04F7" w:rsidRPr="000F6A66">
        <w:rPr>
          <w:lang w:val="fr-FR"/>
        </w:rPr>
        <w:t>y compris</w:t>
      </w:r>
      <w:r w:rsidRPr="000F6A66">
        <w:rPr>
          <w:lang w:val="fr-FR"/>
        </w:rPr>
        <w:t xml:space="preserve"> de sa conception et de sa gesti</w:t>
      </w:r>
      <w:r w:rsidR="00655442" w:rsidRPr="000F6A66">
        <w:rPr>
          <w:lang w:val="fr-FR"/>
        </w:rPr>
        <w:t>on.  La</w:t>
      </w:r>
      <w:r w:rsidRPr="000F6A66">
        <w:rPr>
          <w:lang w:val="fr-FR"/>
        </w:rPr>
        <w:t xml:space="preserve"> méthode appliquée pour toutes les évaluations réalisées à la demande du Secrétariat est celle prévue par la politique d</w:t>
      </w:r>
      <w:r w:rsidR="001B04F7" w:rsidRPr="000F6A66">
        <w:rPr>
          <w:lang w:val="fr-FR"/>
        </w:rPr>
        <w:t>’</w:t>
      </w:r>
      <w:r w:rsidRPr="000F6A66">
        <w:rPr>
          <w:lang w:val="fr-FR"/>
        </w:rPr>
        <w:t>évaluation de l</w:t>
      </w:r>
      <w:r w:rsidR="001B04F7" w:rsidRPr="000F6A66">
        <w:rPr>
          <w:lang w:val="fr-FR"/>
        </w:rPr>
        <w:t>’</w:t>
      </w:r>
      <w:r w:rsidRPr="000F6A66">
        <w:rPr>
          <w:lang w:val="fr-FR"/>
        </w:rPr>
        <w:t>OMPI</w:t>
      </w:r>
      <w:r w:rsidRPr="000F6A66">
        <w:rPr>
          <w:vertAlign w:val="superscript"/>
          <w:lang w:val="fr-FR"/>
        </w:rPr>
        <w:footnoteReference w:id="9"/>
      </w:r>
      <w:r w:rsidRPr="000F6A66">
        <w:rPr>
          <w:lang w:val="fr-FR"/>
        </w:rPr>
        <w:t>, qui repose sur les critères d</w:t>
      </w:r>
      <w:r w:rsidR="001B04F7" w:rsidRPr="000F6A66">
        <w:rPr>
          <w:lang w:val="fr-FR"/>
        </w:rPr>
        <w:t>’</w:t>
      </w:r>
      <w:r w:rsidRPr="000F6A66">
        <w:rPr>
          <w:lang w:val="fr-FR"/>
        </w:rPr>
        <w:t>évaluation et les normes de qualité adoptés par le comité d</w:t>
      </w:r>
      <w:r w:rsidR="001B04F7" w:rsidRPr="000F6A66">
        <w:rPr>
          <w:lang w:val="fr-FR"/>
        </w:rPr>
        <w:t>’</w:t>
      </w:r>
      <w:r w:rsidRPr="000F6A66">
        <w:rPr>
          <w:lang w:val="fr-FR"/>
        </w:rPr>
        <w:t>aide au développement de l</w:t>
      </w:r>
      <w:r w:rsidR="001B04F7" w:rsidRPr="000F6A66">
        <w:rPr>
          <w:lang w:val="fr-FR"/>
        </w:rPr>
        <w:t>’</w:t>
      </w:r>
      <w:r w:rsidRPr="000F6A66">
        <w:rPr>
          <w:lang w:val="fr-FR"/>
        </w:rPr>
        <w:t>Organisation de coopération et de développement économiques (OCDE</w:t>
      </w:r>
      <w:r w:rsidR="001B04F7" w:rsidRPr="000F6A66">
        <w:rPr>
          <w:lang w:val="fr-FR"/>
        </w:rPr>
        <w:t>-</w:t>
      </w:r>
      <w:r w:rsidRPr="000F6A66">
        <w:rPr>
          <w:lang w:val="fr-FR"/>
        </w:rPr>
        <w:t>CAD)</w:t>
      </w:r>
      <w:r w:rsidRPr="000F6A66">
        <w:rPr>
          <w:vertAlign w:val="superscript"/>
          <w:lang w:val="fr-FR"/>
        </w:rPr>
        <w:footnoteReference w:id="10"/>
      </w:r>
      <w:r w:rsidRPr="000F6A66">
        <w:rPr>
          <w:lang w:val="fr-FR"/>
        </w:rPr>
        <w:t>.  Conformément au mandat et aux pratiques d</w:t>
      </w:r>
      <w:r w:rsidR="001B04F7" w:rsidRPr="000F6A66">
        <w:rPr>
          <w:lang w:val="fr-FR"/>
        </w:rPr>
        <w:t>’</w:t>
      </w:r>
      <w:r w:rsidRPr="000F6A66">
        <w:rPr>
          <w:lang w:val="fr-FR"/>
        </w:rPr>
        <w:t>évaluation standard, l</w:t>
      </w:r>
      <w:r w:rsidR="001B04F7" w:rsidRPr="000F6A66">
        <w:rPr>
          <w:lang w:val="fr-FR"/>
        </w:rPr>
        <w:t>’</w:t>
      </w:r>
      <w:r w:rsidRPr="000F6A66">
        <w:rPr>
          <w:lang w:val="fr-FR"/>
        </w:rPr>
        <w:t>évaluation a été menée sur la base des cinq critères suivants</w:t>
      </w:r>
      <w:r w:rsidRPr="000F6A66">
        <w:rPr>
          <w:rStyle w:val="FootnoteReference"/>
          <w:lang w:val="fr-FR"/>
        </w:rPr>
        <w:footnoteReference w:id="11"/>
      </w:r>
      <w:r w:rsidR="001B04F7" w:rsidRPr="000F6A66">
        <w:rPr>
          <w:lang w:val="fr-FR"/>
        </w:rPr>
        <w:t> :</w:t>
      </w:r>
    </w:p>
    <w:p w14:paraId="0AE1CBB0" w14:textId="4FACCFF8" w:rsidR="00675065" w:rsidRPr="000F6A66" w:rsidRDefault="00675065" w:rsidP="00B85C11">
      <w:pPr>
        <w:pStyle w:val="ONUMFS"/>
        <w:numPr>
          <w:ilvl w:val="1"/>
          <w:numId w:val="5"/>
        </w:numPr>
        <w:rPr>
          <w:lang w:val="fr-FR"/>
        </w:rPr>
      </w:pPr>
      <w:r w:rsidRPr="000F6A66">
        <w:rPr>
          <w:lang w:val="fr-FR"/>
        </w:rPr>
        <w:t>La préparation et la gestion du projet</w:t>
      </w:r>
      <w:r w:rsidR="001B04F7" w:rsidRPr="000F6A66">
        <w:rPr>
          <w:lang w:val="fr-FR"/>
        </w:rPr>
        <w:t> :</w:t>
      </w:r>
      <w:r w:rsidRPr="000F6A66">
        <w:rPr>
          <w:lang w:val="fr-FR"/>
        </w:rPr>
        <w:t xml:space="preserve"> mesure dans laquelle le projet a été préparé et géré selon des pratiques recommandées, </w:t>
      </w:r>
      <w:r w:rsidR="001B04F7" w:rsidRPr="000F6A66">
        <w:rPr>
          <w:lang w:val="fr-FR"/>
        </w:rPr>
        <w:t>y compris</w:t>
      </w:r>
      <w:r w:rsidRPr="000F6A66">
        <w:rPr>
          <w:lang w:val="fr-FR"/>
        </w:rPr>
        <w:t xml:space="preserve"> l</w:t>
      </w:r>
      <w:r w:rsidR="001B04F7" w:rsidRPr="000F6A66">
        <w:rPr>
          <w:lang w:val="fr-FR"/>
        </w:rPr>
        <w:t>’</w:t>
      </w:r>
      <w:r w:rsidRPr="000F6A66">
        <w:rPr>
          <w:lang w:val="fr-FR"/>
        </w:rPr>
        <w:t>utilisation d</w:t>
      </w:r>
      <w:r w:rsidR="001B04F7" w:rsidRPr="000F6A66">
        <w:rPr>
          <w:lang w:val="fr-FR"/>
        </w:rPr>
        <w:t>’</w:t>
      </w:r>
      <w:r w:rsidRPr="000F6A66">
        <w:rPr>
          <w:lang w:val="fr-FR"/>
        </w:rPr>
        <w:t>outils de gestion axée sur les résulta</w:t>
      </w:r>
      <w:r w:rsidR="00655442" w:rsidRPr="000F6A66">
        <w:rPr>
          <w:lang w:val="fr-FR"/>
        </w:rPr>
        <w:t>ts.  La</w:t>
      </w:r>
      <w:r w:rsidRPr="000F6A66">
        <w:rPr>
          <w:lang w:val="fr-FR"/>
        </w:rPr>
        <w:t xml:space="preserve"> gestion comprend également le suivi et l</w:t>
      </w:r>
      <w:r w:rsidR="001B04F7" w:rsidRPr="000F6A66">
        <w:rPr>
          <w:lang w:val="fr-FR"/>
        </w:rPr>
        <w:t>’</w:t>
      </w:r>
      <w:r w:rsidRPr="000F6A66">
        <w:rPr>
          <w:lang w:val="fr-FR"/>
        </w:rPr>
        <w:t>auto</w:t>
      </w:r>
      <w:r w:rsidR="001B04F7" w:rsidRPr="000F6A66">
        <w:rPr>
          <w:lang w:val="fr-FR"/>
        </w:rPr>
        <w:t>-</w:t>
      </w:r>
      <w:r w:rsidRPr="000F6A66">
        <w:rPr>
          <w:lang w:val="fr-FR"/>
        </w:rPr>
        <w:t>évaluation, l</w:t>
      </w:r>
      <w:r w:rsidR="001B04F7" w:rsidRPr="000F6A66">
        <w:rPr>
          <w:lang w:val="fr-FR"/>
        </w:rPr>
        <w:t>’</w:t>
      </w:r>
      <w:r w:rsidRPr="000F6A66">
        <w:rPr>
          <w:lang w:val="fr-FR"/>
        </w:rPr>
        <w:t>atténuation des risques et la capacité de la direction à faire face aux nouvelles situations externes.</w:t>
      </w:r>
    </w:p>
    <w:p w14:paraId="134FC41B" w14:textId="251D1CE9" w:rsidR="00675065" w:rsidRPr="000F6A66" w:rsidRDefault="00675065" w:rsidP="00B85C11">
      <w:pPr>
        <w:pStyle w:val="ONUMFS"/>
        <w:numPr>
          <w:ilvl w:val="1"/>
          <w:numId w:val="5"/>
        </w:numPr>
        <w:rPr>
          <w:lang w:val="fr-FR"/>
        </w:rPr>
      </w:pPr>
      <w:r w:rsidRPr="000F6A66">
        <w:rPr>
          <w:lang w:val="fr-FR"/>
        </w:rPr>
        <w:t>La pertinence</w:t>
      </w:r>
      <w:r w:rsidR="001B04F7" w:rsidRPr="000F6A66">
        <w:rPr>
          <w:lang w:val="fr-FR"/>
        </w:rPr>
        <w:t> :</w:t>
      </w:r>
      <w:r w:rsidRPr="000F6A66">
        <w:rPr>
          <w:lang w:val="fr-FR"/>
        </w:rPr>
        <w:t xml:space="preserve"> mesure dans laquelle les objectifs du projet étaient conformes aux exigences des bénéficiaires, aux besoins des États membres, aux priorités mondiales et aux politiques de l</w:t>
      </w:r>
      <w:r w:rsidR="001B04F7" w:rsidRPr="000F6A66">
        <w:rPr>
          <w:lang w:val="fr-FR"/>
        </w:rPr>
        <w:t>’</w:t>
      </w:r>
      <w:r w:rsidRPr="000F6A66">
        <w:rPr>
          <w:lang w:val="fr-FR"/>
        </w:rPr>
        <w:t>OMPI (en particulier les recommandations du Plan d</w:t>
      </w:r>
      <w:r w:rsidR="001B04F7" w:rsidRPr="000F6A66">
        <w:rPr>
          <w:lang w:val="fr-FR"/>
        </w:rPr>
        <w:t>’</w:t>
      </w:r>
      <w:r w:rsidRPr="000F6A66">
        <w:rPr>
          <w:lang w:val="fr-FR"/>
        </w:rPr>
        <w:t>action pour le développement).</w:t>
      </w:r>
    </w:p>
    <w:p w14:paraId="7622F6E1" w14:textId="1308310C" w:rsidR="00675065" w:rsidRPr="000F6A66" w:rsidRDefault="00675065" w:rsidP="00B85C11">
      <w:pPr>
        <w:pStyle w:val="ONUMFS"/>
        <w:numPr>
          <w:ilvl w:val="1"/>
          <w:numId w:val="5"/>
        </w:numPr>
        <w:rPr>
          <w:lang w:val="fr-FR"/>
        </w:rPr>
      </w:pPr>
      <w:r w:rsidRPr="000F6A66">
        <w:rPr>
          <w:lang w:val="fr-FR"/>
        </w:rPr>
        <w:t>L</w:t>
      </w:r>
      <w:r w:rsidR="001B04F7" w:rsidRPr="000F6A66">
        <w:rPr>
          <w:lang w:val="fr-FR"/>
        </w:rPr>
        <w:t>’</w:t>
      </w:r>
      <w:r w:rsidRPr="000F6A66">
        <w:rPr>
          <w:lang w:val="fr-FR"/>
        </w:rPr>
        <w:t>efficience</w:t>
      </w:r>
      <w:r w:rsidR="001B04F7" w:rsidRPr="000F6A66">
        <w:rPr>
          <w:lang w:val="fr-FR"/>
        </w:rPr>
        <w:t> :</w:t>
      </w:r>
      <w:r w:rsidRPr="000F6A66">
        <w:rPr>
          <w:lang w:val="fr-FR"/>
        </w:rPr>
        <w:t xml:space="preserve"> mesure dans laquelle les ressources économiques (par exemple, les fonds, les compétences, le temps) ont débouché sur des résultats</w:t>
      </w:r>
      <w:r w:rsidRPr="000F6A66">
        <w:rPr>
          <w:vertAlign w:val="superscript"/>
          <w:lang w:val="fr-FR"/>
        </w:rPr>
        <w:footnoteReference w:id="12"/>
      </w:r>
      <w:r w:rsidRPr="000F6A66">
        <w:rPr>
          <w:lang w:val="fr-FR"/>
        </w:rPr>
        <w:t>, soit la “rentabilité”.</w:t>
      </w:r>
    </w:p>
    <w:p w14:paraId="366602FC" w14:textId="56D643E7" w:rsidR="00675065" w:rsidRPr="000F6A66" w:rsidRDefault="00675065" w:rsidP="00B85C11">
      <w:pPr>
        <w:pStyle w:val="ONUMFS"/>
        <w:numPr>
          <w:ilvl w:val="1"/>
          <w:numId w:val="5"/>
        </w:numPr>
        <w:rPr>
          <w:lang w:val="fr-FR"/>
        </w:rPr>
      </w:pPr>
      <w:r w:rsidRPr="000F6A66">
        <w:rPr>
          <w:lang w:val="fr-FR"/>
        </w:rPr>
        <w:t>L</w:t>
      </w:r>
      <w:r w:rsidR="001B04F7" w:rsidRPr="000F6A66">
        <w:rPr>
          <w:lang w:val="fr-FR"/>
        </w:rPr>
        <w:t>’</w:t>
      </w:r>
      <w:r w:rsidRPr="000F6A66">
        <w:rPr>
          <w:lang w:val="fr-FR"/>
        </w:rPr>
        <w:t>efficacité</w:t>
      </w:r>
      <w:r w:rsidR="001B04F7" w:rsidRPr="000F6A66">
        <w:rPr>
          <w:lang w:val="fr-FR"/>
        </w:rPr>
        <w:t> :</w:t>
      </w:r>
      <w:r w:rsidRPr="000F6A66">
        <w:rPr>
          <w:lang w:val="fr-FR"/>
        </w:rPr>
        <w:t xml:space="preserve"> mesure dans laquelle les objectifs ont été atteints (</w:t>
      </w:r>
      <w:r w:rsidR="001B04F7" w:rsidRPr="000F6A66">
        <w:rPr>
          <w:lang w:val="fr-FR"/>
        </w:rPr>
        <w:t>y compris</w:t>
      </w:r>
      <w:r w:rsidRPr="000F6A66">
        <w:rPr>
          <w:lang w:val="fr-FR"/>
        </w:rPr>
        <w:t xml:space="preserve"> la mesure dans laquelle les recommandations du Plan d</w:t>
      </w:r>
      <w:r w:rsidR="001B04F7" w:rsidRPr="000F6A66">
        <w:rPr>
          <w:lang w:val="fr-FR"/>
        </w:rPr>
        <w:t>’</w:t>
      </w:r>
      <w:r w:rsidRPr="000F6A66">
        <w:rPr>
          <w:lang w:val="fr-FR"/>
        </w:rPr>
        <w:t>action pour le développement visées dans le cadre du projet ont été mises en œuvre), ou devraient l</w:t>
      </w:r>
      <w:r w:rsidR="001B04F7" w:rsidRPr="000F6A66">
        <w:rPr>
          <w:lang w:val="fr-FR"/>
        </w:rPr>
        <w:t>’</w:t>
      </w:r>
      <w:r w:rsidRPr="000F6A66">
        <w:rPr>
          <w:lang w:val="fr-FR"/>
        </w:rPr>
        <w:t>être, compte tenu de leur importance relati</w:t>
      </w:r>
      <w:r w:rsidR="00655442" w:rsidRPr="000F6A66">
        <w:rPr>
          <w:lang w:val="fr-FR"/>
        </w:rPr>
        <w:t>ve.  L’é</w:t>
      </w:r>
      <w:r w:rsidRPr="000F6A66">
        <w:rPr>
          <w:lang w:val="fr-FR"/>
        </w:rPr>
        <w:t>valuation a également porté sur la réalisation des résultats escomptés ou des possibles résultats non escomptés, positifs ou négatifs (dans la mesure où cela était déjà possib</w:t>
      </w:r>
      <w:r w:rsidR="00655442" w:rsidRPr="000F6A66">
        <w:rPr>
          <w:lang w:val="fr-FR"/>
        </w:rPr>
        <w:t>le).  Da</w:t>
      </w:r>
      <w:r w:rsidRPr="000F6A66">
        <w:rPr>
          <w:lang w:val="fr-FR"/>
        </w:rPr>
        <w:t>ns ce contexte, les résultats enregistrés ont été validés et évalués en fonction des principaux indicateurs d</w:t>
      </w:r>
      <w:r w:rsidR="001B04F7" w:rsidRPr="000F6A66">
        <w:rPr>
          <w:lang w:val="fr-FR"/>
        </w:rPr>
        <w:t>’</w:t>
      </w:r>
      <w:r w:rsidRPr="000F6A66">
        <w:rPr>
          <w:lang w:val="fr-FR"/>
        </w:rPr>
        <w:t>exécution définis dans le descriptif de projet.</w:t>
      </w:r>
    </w:p>
    <w:p w14:paraId="028D5119" w14:textId="2DA9867E" w:rsidR="00675065" w:rsidRPr="000F6A66" w:rsidRDefault="00675065" w:rsidP="00B85C11">
      <w:pPr>
        <w:pStyle w:val="ONUMFS"/>
        <w:numPr>
          <w:ilvl w:val="1"/>
          <w:numId w:val="5"/>
        </w:numPr>
        <w:rPr>
          <w:lang w:val="fr-FR"/>
        </w:rPr>
      </w:pPr>
      <w:r w:rsidRPr="000F6A66">
        <w:rPr>
          <w:lang w:val="fr-FR"/>
        </w:rPr>
        <w:t>La viabilité</w:t>
      </w:r>
      <w:r w:rsidR="001B04F7" w:rsidRPr="000F6A66">
        <w:rPr>
          <w:lang w:val="fr-FR"/>
        </w:rPr>
        <w:t> :</w:t>
      </w:r>
      <w:r w:rsidRPr="000F6A66">
        <w:rPr>
          <w:lang w:val="fr-FR"/>
        </w:rPr>
        <w:t xml:space="preserve"> évaluer la probabilité de la pérennité des avantages du projet (acquis, résultats) au terme de l</w:t>
      </w:r>
      <w:r w:rsidR="001B04F7" w:rsidRPr="000F6A66">
        <w:rPr>
          <w:lang w:val="fr-FR"/>
        </w:rPr>
        <w:t>’</w:t>
      </w:r>
      <w:r w:rsidRPr="000F6A66">
        <w:rPr>
          <w:lang w:val="fr-FR"/>
        </w:rPr>
        <w:t>assistance.</w:t>
      </w:r>
    </w:p>
    <w:p w14:paraId="026CCD81" w14:textId="3F7BE12C" w:rsidR="00675065" w:rsidRPr="000F6A66" w:rsidRDefault="00675065" w:rsidP="00B85C11">
      <w:pPr>
        <w:pStyle w:val="ONUMFS"/>
        <w:rPr>
          <w:lang w:val="fr-FR"/>
        </w:rPr>
      </w:pPr>
      <w:r w:rsidRPr="000F6A66">
        <w:rPr>
          <w:lang w:val="fr-FR"/>
        </w:rPr>
        <w:t>Différents outils d</w:t>
      </w:r>
      <w:r w:rsidR="001B04F7" w:rsidRPr="000F6A66">
        <w:rPr>
          <w:lang w:val="fr-FR"/>
        </w:rPr>
        <w:t>’</w:t>
      </w:r>
      <w:r w:rsidRPr="000F6A66">
        <w:rPr>
          <w:lang w:val="fr-FR"/>
        </w:rPr>
        <w:t>évaluation ont été combinés pour garantir une évaluation qualitative et quantitative fondée sur des données factuell</w:t>
      </w:r>
      <w:r w:rsidR="00655442" w:rsidRPr="000F6A66">
        <w:rPr>
          <w:lang w:val="fr-FR"/>
        </w:rPr>
        <w:t>es.  Le</w:t>
      </w:r>
      <w:r w:rsidRPr="000F6A66">
        <w:rPr>
          <w:lang w:val="fr-FR"/>
        </w:rPr>
        <w:t>s données provenant de différentes sources ont été calculées par triangulation et la plausibilité des résultats obtenus a été évalu</w:t>
      </w:r>
      <w:r w:rsidR="00655442" w:rsidRPr="000F6A66">
        <w:rPr>
          <w:lang w:val="fr-FR"/>
        </w:rPr>
        <w:t>ée.  Le</w:t>
      </w:r>
      <w:r w:rsidRPr="000F6A66">
        <w:rPr>
          <w:lang w:val="fr-FR"/>
        </w:rPr>
        <w:t>s conclusions et les recommandations ont été tirées des conclusions de l</w:t>
      </w:r>
      <w:r w:rsidR="001B04F7" w:rsidRPr="000F6A66">
        <w:rPr>
          <w:lang w:val="fr-FR"/>
        </w:rPr>
        <w:t>’</w:t>
      </w:r>
      <w:r w:rsidRPr="000F6A66">
        <w:rPr>
          <w:lang w:val="fr-FR"/>
        </w:rPr>
        <w:t>évaluation (raisonnement déductif).</w:t>
      </w:r>
    </w:p>
    <w:p w14:paraId="231481CB" w14:textId="000A367F" w:rsidR="00675065" w:rsidRPr="000F6A66" w:rsidRDefault="00675065" w:rsidP="00B85C11">
      <w:pPr>
        <w:pStyle w:val="ONUMFS"/>
        <w:rPr>
          <w:lang w:val="fr-FR"/>
        </w:rPr>
      </w:pPr>
      <w:r w:rsidRPr="000F6A66">
        <w:rPr>
          <w:lang w:val="fr-FR"/>
        </w:rPr>
        <w:lastRenderedPageBreak/>
        <w:t>La méthode comprenait notamment des examens sur dossier, des entretiens individuels semi</w:t>
      </w:r>
      <w:r w:rsidR="001B04F7" w:rsidRPr="000F6A66">
        <w:rPr>
          <w:lang w:val="fr-FR"/>
        </w:rPr>
        <w:t>-</w:t>
      </w:r>
      <w:r w:rsidRPr="000F6A66">
        <w:rPr>
          <w:lang w:val="fr-FR"/>
        </w:rPr>
        <w:t>structurés et des entretiens semi</w:t>
      </w:r>
      <w:r w:rsidR="001B04F7" w:rsidRPr="000F6A66">
        <w:rPr>
          <w:lang w:val="fr-FR"/>
        </w:rPr>
        <w:t>-</w:t>
      </w:r>
      <w:r w:rsidRPr="000F6A66">
        <w:rPr>
          <w:lang w:val="fr-FR"/>
        </w:rPr>
        <w:t>structurés avec des groupes de conta</w:t>
      </w:r>
      <w:r w:rsidR="00655442" w:rsidRPr="000F6A66">
        <w:rPr>
          <w:lang w:val="fr-FR"/>
        </w:rPr>
        <w:t>ct.  De</w:t>
      </w:r>
      <w:r w:rsidRPr="000F6A66">
        <w:rPr>
          <w:lang w:val="fr-FR"/>
        </w:rPr>
        <w:t>s discussions approfondies ont eu lieu avec la direction et le personnel des secteurs fonctionnels du Secrétariat ayant participé ou contribué au proj</w:t>
      </w:r>
      <w:r w:rsidR="00655442" w:rsidRPr="000F6A66">
        <w:rPr>
          <w:lang w:val="fr-FR"/>
        </w:rPr>
        <w:t>et.  Le</w:t>
      </w:r>
      <w:r w:rsidRPr="000F6A66">
        <w:rPr>
          <w:lang w:val="fr-FR"/>
        </w:rPr>
        <w:t>s entretiens avec les bénéficiaires à l</w:t>
      </w:r>
      <w:r w:rsidR="001B04F7" w:rsidRPr="000F6A66">
        <w:rPr>
          <w:lang w:val="fr-FR"/>
        </w:rPr>
        <w:t>’</w:t>
      </w:r>
      <w:r w:rsidRPr="000F6A66">
        <w:rPr>
          <w:lang w:val="fr-FR"/>
        </w:rPr>
        <w:t>échelle nationale visaient un petit groupe de partenaires ou de bénéficiaires clés participant activement à la mise en œuvre du proj</w:t>
      </w:r>
      <w:r w:rsidR="00655442" w:rsidRPr="000F6A66">
        <w:rPr>
          <w:lang w:val="fr-FR"/>
        </w:rPr>
        <w:t>et.  La</w:t>
      </w:r>
      <w:r w:rsidRPr="000F6A66">
        <w:rPr>
          <w:lang w:val="fr-FR"/>
        </w:rPr>
        <w:t xml:space="preserve"> liste des personnes interrogées figure à l</w:t>
      </w:r>
      <w:r w:rsidR="001B04F7" w:rsidRPr="000F6A66">
        <w:rPr>
          <w:lang w:val="fr-FR"/>
        </w:rPr>
        <w:t>’</w:t>
      </w:r>
      <w:r w:rsidRPr="000F6A66">
        <w:rPr>
          <w:u w:val="single"/>
          <w:lang w:val="fr-FR"/>
        </w:rPr>
        <w:t>appendice III</w:t>
      </w:r>
      <w:r w:rsidRPr="000F6A66">
        <w:rPr>
          <w:lang w:val="fr-FR"/>
        </w:rPr>
        <w:t>.</w:t>
      </w:r>
    </w:p>
    <w:p w14:paraId="64C40E7F" w14:textId="371523E7" w:rsidR="00675065" w:rsidRPr="000F6A66" w:rsidRDefault="00675065" w:rsidP="00B85C11">
      <w:pPr>
        <w:pStyle w:val="ONUMFS"/>
        <w:rPr>
          <w:lang w:val="fr-FR"/>
        </w:rPr>
      </w:pPr>
      <w:r w:rsidRPr="000F6A66">
        <w:rPr>
          <w:lang w:val="fr-FR"/>
        </w:rPr>
        <w:t>L</w:t>
      </w:r>
      <w:r w:rsidR="001B04F7" w:rsidRPr="000F6A66">
        <w:rPr>
          <w:lang w:val="fr-FR"/>
        </w:rPr>
        <w:t>’</w:t>
      </w:r>
      <w:r w:rsidRPr="000F6A66">
        <w:rPr>
          <w:lang w:val="fr-FR"/>
        </w:rPr>
        <w:t>analyse sur documents a porté sur le descriptif de projet, les rapports sur l</w:t>
      </w:r>
      <w:r w:rsidR="001B04F7" w:rsidRPr="000F6A66">
        <w:rPr>
          <w:lang w:val="fr-FR"/>
        </w:rPr>
        <w:t>’</w:t>
      </w:r>
      <w:r w:rsidRPr="000F6A66">
        <w:rPr>
          <w:lang w:val="fr-FR"/>
        </w:rPr>
        <w:t>état d</w:t>
      </w:r>
      <w:r w:rsidR="001B04F7" w:rsidRPr="000F6A66">
        <w:rPr>
          <w:lang w:val="fr-FR"/>
        </w:rPr>
        <w:t>’</w:t>
      </w:r>
      <w:r w:rsidRPr="000F6A66">
        <w:rPr>
          <w:lang w:val="fr-FR"/>
        </w:rPr>
        <w:t>avancement, le rapport relatif à l</w:t>
      </w:r>
      <w:r w:rsidR="001B04F7" w:rsidRPr="000F6A66">
        <w:rPr>
          <w:lang w:val="fr-FR"/>
        </w:rPr>
        <w:t>’</w:t>
      </w:r>
      <w:r w:rsidRPr="000F6A66">
        <w:rPr>
          <w:lang w:val="fr-FR"/>
        </w:rPr>
        <w:t>achèvement du projet et certains résultats (voir la liste des documents qui figure à l</w:t>
      </w:r>
      <w:r w:rsidR="001B04F7" w:rsidRPr="000F6A66">
        <w:rPr>
          <w:lang w:val="fr-FR"/>
        </w:rPr>
        <w:t>’</w:t>
      </w:r>
      <w:r w:rsidRPr="000F6A66">
        <w:rPr>
          <w:u w:val="single"/>
          <w:lang w:val="fr-FR"/>
        </w:rPr>
        <w:t>appendice IV)</w:t>
      </w:r>
      <w:r w:rsidRPr="000F6A66">
        <w:rPr>
          <w:lang w:val="fr-FR"/>
        </w:rPr>
        <w:t>.</w:t>
      </w:r>
    </w:p>
    <w:p w14:paraId="506D1AD1" w14:textId="6AC69352" w:rsidR="00675065" w:rsidRPr="000F6A66" w:rsidRDefault="00675065" w:rsidP="00B85C11">
      <w:pPr>
        <w:pStyle w:val="ONUMFS"/>
        <w:rPr>
          <w:lang w:val="fr-FR"/>
        </w:rPr>
      </w:pPr>
      <w:r w:rsidRPr="000F6A66">
        <w:rPr>
          <w:lang w:val="fr-FR"/>
        </w:rPr>
        <w:t>Afin de tirer les enseignements du projet et de maintenir un processus d</w:t>
      </w:r>
      <w:r w:rsidR="001B04F7" w:rsidRPr="000F6A66">
        <w:rPr>
          <w:lang w:val="fr-FR"/>
        </w:rPr>
        <w:t>’</w:t>
      </w:r>
      <w:r w:rsidRPr="000F6A66">
        <w:rPr>
          <w:lang w:val="fr-FR"/>
        </w:rPr>
        <w:t>évaluation participatif, les entretiens ont été structurés sur la base de questions ouvertes pour garantir une liberté d</w:t>
      </w:r>
      <w:r w:rsidR="001B04F7" w:rsidRPr="000F6A66">
        <w:rPr>
          <w:lang w:val="fr-FR"/>
        </w:rPr>
        <w:t>’</w:t>
      </w:r>
      <w:r w:rsidRPr="000F6A66">
        <w:rPr>
          <w:lang w:val="fr-FR"/>
        </w:rPr>
        <w:t>échange de points de v</w:t>
      </w:r>
      <w:r w:rsidR="00655442" w:rsidRPr="000F6A66">
        <w:rPr>
          <w:lang w:val="fr-FR"/>
        </w:rPr>
        <w:t>ue.  To</w:t>
      </w:r>
      <w:r w:rsidRPr="000F6A66">
        <w:rPr>
          <w:lang w:val="fr-FR"/>
        </w:rPr>
        <w:t>ut en restant indépendant, l</w:t>
      </w:r>
      <w:r w:rsidR="001B04F7" w:rsidRPr="000F6A66">
        <w:rPr>
          <w:lang w:val="fr-FR"/>
        </w:rPr>
        <w:t>’</w:t>
      </w:r>
      <w:r w:rsidRPr="000F6A66">
        <w:rPr>
          <w:lang w:val="fr-FR"/>
        </w:rPr>
        <w:t>évaluateur a recueilli les points de vue de toutes les parties prenant</w:t>
      </w:r>
      <w:r w:rsidR="00655442" w:rsidRPr="000F6A66">
        <w:rPr>
          <w:lang w:val="fr-FR"/>
        </w:rPr>
        <w:t>es.  L’i</w:t>
      </w:r>
      <w:r w:rsidRPr="000F6A66">
        <w:rPr>
          <w:lang w:val="fr-FR"/>
        </w:rPr>
        <w:t>ntégration des principales parties prenantes au processus d</w:t>
      </w:r>
      <w:r w:rsidR="001B04F7" w:rsidRPr="000F6A66">
        <w:rPr>
          <w:lang w:val="fr-FR"/>
        </w:rPr>
        <w:t>’</w:t>
      </w:r>
      <w:r w:rsidRPr="000F6A66">
        <w:rPr>
          <w:lang w:val="fr-FR"/>
        </w:rPr>
        <w:t>évaluation ainsi que l</w:t>
      </w:r>
      <w:r w:rsidR="001B04F7" w:rsidRPr="000F6A66">
        <w:rPr>
          <w:lang w:val="fr-FR"/>
        </w:rPr>
        <w:t>’</w:t>
      </w:r>
      <w:r w:rsidRPr="000F6A66">
        <w:rPr>
          <w:lang w:val="fr-FR"/>
        </w:rPr>
        <w:t>harmonisation des principales constatations, conclusions et recommandations devraient permettre de tirer les enseignements du projet et d</w:t>
      </w:r>
      <w:r w:rsidR="001B04F7" w:rsidRPr="000F6A66">
        <w:rPr>
          <w:lang w:val="fr-FR"/>
        </w:rPr>
        <w:t>’</w:t>
      </w:r>
      <w:r w:rsidRPr="000F6A66">
        <w:rPr>
          <w:lang w:val="fr-FR"/>
        </w:rPr>
        <w:t>améliorer de façon continue les méthodes de travail.</w:t>
      </w:r>
    </w:p>
    <w:p w14:paraId="04AAA75C" w14:textId="7B4EEEE4" w:rsidR="00675065" w:rsidRPr="000F6A66" w:rsidRDefault="00675065" w:rsidP="00B85C11">
      <w:pPr>
        <w:pStyle w:val="ONUMFS"/>
        <w:rPr>
          <w:lang w:val="fr-FR"/>
        </w:rPr>
      </w:pPr>
      <w:r w:rsidRPr="000F6A66">
        <w:rPr>
          <w:lang w:val="fr-FR"/>
        </w:rPr>
        <w:t>La présentation de ce rapport à la vingt</w:t>
      </w:r>
      <w:r w:rsidR="001B04F7" w:rsidRPr="000F6A66">
        <w:rPr>
          <w:lang w:val="fr-FR"/>
        </w:rPr>
        <w:t>-</w:t>
      </w:r>
      <w:r w:rsidRPr="000F6A66">
        <w:rPr>
          <w:lang w:val="fr-FR"/>
        </w:rPr>
        <w:t>quatr</w:t>
      </w:r>
      <w:r w:rsidR="001B04F7" w:rsidRPr="000F6A66">
        <w:rPr>
          <w:lang w:val="fr-FR"/>
        </w:rPr>
        <w:t>ième session</w:t>
      </w:r>
      <w:r w:rsidRPr="000F6A66">
        <w:rPr>
          <w:lang w:val="fr-FR"/>
        </w:rPr>
        <w:t xml:space="preserve"> du CDIP en novembre 2019 permettra de communiquer les informations, de contribuer au processus de prise de décisions du CDIP et d</w:t>
      </w:r>
      <w:r w:rsidR="001B04F7" w:rsidRPr="000F6A66">
        <w:rPr>
          <w:lang w:val="fr-FR"/>
        </w:rPr>
        <w:t>’</w:t>
      </w:r>
      <w:r w:rsidRPr="000F6A66">
        <w:rPr>
          <w:lang w:val="fr-FR"/>
        </w:rPr>
        <w:t>assurer la responsabilisation du Secrétariat devant ses États membres.</w:t>
      </w:r>
    </w:p>
    <w:p w14:paraId="21E32953" w14:textId="22365931" w:rsidR="00675065" w:rsidRPr="000F6A66" w:rsidRDefault="00675065" w:rsidP="00B85C11">
      <w:pPr>
        <w:pStyle w:val="Heading3"/>
        <w:rPr>
          <w:lang w:val="fr-FR"/>
        </w:rPr>
      </w:pPr>
      <w:bookmarkStart w:id="26" w:name="_Toc18331410"/>
      <w:bookmarkStart w:id="27" w:name="_Toc20991644"/>
      <w:r w:rsidRPr="000F6A66">
        <w:rPr>
          <w:lang w:val="fr-FR"/>
        </w:rPr>
        <w:t>Principales étapes d</w:t>
      </w:r>
      <w:r w:rsidR="001B04F7" w:rsidRPr="000F6A66">
        <w:rPr>
          <w:lang w:val="fr-FR"/>
        </w:rPr>
        <w:t>’</w:t>
      </w:r>
      <w:r w:rsidRPr="000F6A66">
        <w:rPr>
          <w:lang w:val="fr-FR"/>
        </w:rPr>
        <w:t>évaluation</w:t>
      </w:r>
      <w:bookmarkEnd w:id="26"/>
      <w:bookmarkEnd w:id="27"/>
    </w:p>
    <w:p w14:paraId="77258DA4" w14:textId="77777777" w:rsidR="00B85C11" w:rsidRPr="000F6A66" w:rsidRDefault="00B85C11" w:rsidP="00B85C11">
      <w:pPr>
        <w:rPr>
          <w:lang w:val="fr-FR"/>
        </w:rPr>
      </w:pPr>
    </w:p>
    <w:p w14:paraId="22B511C5" w14:textId="26883B62" w:rsidR="00675065" w:rsidRPr="000F6A66" w:rsidRDefault="00675065" w:rsidP="00B85C11">
      <w:pPr>
        <w:pStyle w:val="ONUMFS"/>
        <w:rPr>
          <w:lang w:val="fr-FR"/>
        </w:rPr>
      </w:pPr>
      <w:r w:rsidRPr="000F6A66">
        <w:rPr>
          <w:lang w:val="fr-FR"/>
        </w:rPr>
        <w:t>Les principales étapes d</w:t>
      </w:r>
      <w:r w:rsidR="001B04F7" w:rsidRPr="000F6A66">
        <w:rPr>
          <w:lang w:val="fr-FR"/>
        </w:rPr>
        <w:t>’</w:t>
      </w:r>
      <w:r w:rsidRPr="000F6A66">
        <w:rPr>
          <w:lang w:val="fr-FR"/>
        </w:rPr>
        <w:t>évaluation comprenaient l</w:t>
      </w:r>
      <w:r w:rsidR="001B04F7" w:rsidRPr="000F6A66">
        <w:rPr>
          <w:lang w:val="fr-FR"/>
        </w:rPr>
        <w:t>’</w:t>
      </w:r>
      <w:r w:rsidRPr="000F6A66">
        <w:rPr>
          <w:lang w:val="fr-FR"/>
        </w:rPr>
        <w:t>étude des documents, la mise en œuvre du mandat dans le cadre d</w:t>
      </w:r>
      <w:r w:rsidR="001B04F7" w:rsidRPr="000F6A66">
        <w:rPr>
          <w:lang w:val="fr-FR"/>
        </w:rPr>
        <w:t>’</w:t>
      </w:r>
      <w:r w:rsidRPr="000F6A66">
        <w:rPr>
          <w:lang w:val="fr-FR"/>
        </w:rPr>
        <w:t>un rapport initial (18 juillet 2019), les entretiens à Genève (22 – 24 juillet 2019), une séance d</w:t>
      </w:r>
      <w:r w:rsidR="001B04F7" w:rsidRPr="000F6A66">
        <w:rPr>
          <w:lang w:val="fr-FR"/>
        </w:rPr>
        <w:t>’</w:t>
      </w:r>
      <w:r w:rsidRPr="000F6A66">
        <w:rPr>
          <w:lang w:val="fr-FR"/>
        </w:rPr>
        <w:t>information intermédiaire sur les résultats de l</w:t>
      </w:r>
      <w:r w:rsidR="001B04F7" w:rsidRPr="000F6A66">
        <w:rPr>
          <w:lang w:val="fr-FR"/>
        </w:rPr>
        <w:t>’</w:t>
      </w:r>
      <w:r w:rsidRPr="000F6A66">
        <w:rPr>
          <w:lang w:val="fr-FR"/>
        </w:rPr>
        <w:t>évaluation préliminaire (juillet 2019), la soumission d</w:t>
      </w:r>
      <w:r w:rsidR="001B04F7" w:rsidRPr="000F6A66">
        <w:rPr>
          <w:lang w:val="fr-FR"/>
        </w:rPr>
        <w:t>’</w:t>
      </w:r>
      <w:r w:rsidRPr="000F6A66">
        <w:rPr>
          <w:lang w:val="fr-FR"/>
        </w:rPr>
        <w:t>un projet de rapport de vérification des faits (2 septembre 2019), la réponse aux observations reçues, la soumission du rapport final (12 septembre 2019) et sa présentation au CDIP.</w:t>
      </w:r>
    </w:p>
    <w:p w14:paraId="17778A63" w14:textId="709E0A50" w:rsidR="00675065" w:rsidRPr="000F6A66" w:rsidRDefault="00675065" w:rsidP="00B85C11">
      <w:pPr>
        <w:pStyle w:val="Heading3"/>
        <w:rPr>
          <w:lang w:val="fr-FR"/>
        </w:rPr>
      </w:pPr>
      <w:bookmarkStart w:id="28" w:name="_Toc18331411"/>
      <w:bookmarkStart w:id="29" w:name="_Toc20991645"/>
      <w:r w:rsidRPr="000F6A66">
        <w:rPr>
          <w:lang w:val="fr-FR"/>
        </w:rPr>
        <w:t>Principales limites de la présente évaluation</w:t>
      </w:r>
      <w:bookmarkEnd w:id="28"/>
      <w:bookmarkEnd w:id="29"/>
    </w:p>
    <w:p w14:paraId="79FEA089" w14:textId="77777777" w:rsidR="00B85C11" w:rsidRPr="000F6A66" w:rsidRDefault="00B85C11" w:rsidP="00B85C11">
      <w:pPr>
        <w:rPr>
          <w:lang w:val="fr-FR"/>
        </w:rPr>
      </w:pPr>
    </w:p>
    <w:p w14:paraId="6004A6F1" w14:textId="4D51143C" w:rsidR="00675065" w:rsidRPr="000F6A66" w:rsidRDefault="00675065" w:rsidP="00B85C11">
      <w:pPr>
        <w:pStyle w:val="ONUMFS"/>
        <w:rPr>
          <w:lang w:val="fr-FR"/>
        </w:rPr>
      </w:pPr>
      <w:r w:rsidRPr="000F6A66">
        <w:rPr>
          <w:lang w:val="fr-FR"/>
        </w:rPr>
        <w:t>L</w:t>
      </w:r>
      <w:r w:rsidR="001B04F7" w:rsidRPr="000F6A66">
        <w:rPr>
          <w:lang w:val="fr-FR"/>
        </w:rPr>
        <w:t>’</w:t>
      </w:r>
      <w:r w:rsidRPr="000F6A66">
        <w:rPr>
          <w:lang w:val="fr-FR"/>
        </w:rPr>
        <w:t>expérience montre qu</w:t>
      </w:r>
      <w:r w:rsidR="001B04F7" w:rsidRPr="000F6A66">
        <w:rPr>
          <w:lang w:val="fr-FR"/>
        </w:rPr>
        <w:t>’</w:t>
      </w:r>
      <w:r w:rsidRPr="000F6A66">
        <w:rPr>
          <w:lang w:val="fr-FR"/>
        </w:rPr>
        <w:t>il faut du temps avant que les objectifs du projet, par leur mise en œuvre dans les pays bénéficiaires, produisent des effets mesurabl</w:t>
      </w:r>
      <w:r w:rsidR="00655442" w:rsidRPr="000F6A66">
        <w:rPr>
          <w:lang w:val="fr-FR"/>
        </w:rPr>
        <w:t>es.  Il</w:t>
      </w:r>
      <w:r w:rsidRPr="000F6A66">
        <w:rPr>
          <w:lang w:val="fr-FR"/>
        </w:rPr>
        <w:t xml:space="preserve"> serait donc prématuré d</w:t>
      </w:r>
      <w:r w:rsidR="001B04F7" w:rsidRPr="000F6A66">
        <w:rPr>
          <w:lang w:val="fr-FR"/>
        </w:rPr>
        <w:t>’</w:t>
      </w:r>
      <w:r w:rsidRPr="000F6A66">
        <w:rPr>
          <w:lang w:val="fr-FR"/>
        </w:rPr>
        <w:t>essayer d</w:t>
      </w:r>
      <w:r w:rsidR="001B04F7" w:rsidRPr="000F6A66">
        <w:rPr>
          <w:lang w:val="fr-FR"/>
        </w:rPr>
        <w:t>’</w:t>
      </w:r>
      <w:r w:rsidRPr="000F6A66">
        <w:rPr>
          <w:lang w:val="fr-FR"/>
        </w:rPr>
        <w:t>évaluer les résultats obtenus dans leur ensemble, ou leur impact, au niveau des changements socioéconomiques plus généraux dans les secteurs touristiques des pays bénéficiaires ou au</w:t>
      </w:r>
      <w:r w:rsidR="001B04F7" w:rsidRPr="000F6A66">
        <w:rPr>
          <w:lang w:val="fr-FR"/>
        </w:rPr>
        <w:t>-</w:t>
      </w:r>
      <w:r w:rsidRPr="000F6A66">
        <w:rPr>
          <w:lang w:val="fr-FR"/>
        </w:rPr>
        <w:t>delà.</w:t>
      </w:r>
    </w:p>
    <w:p w14:paraId="2D85677C" w14:textId="7654799C" w:rsidR="00675065" w:rsidRPr="000F6A66" w:rsidRDefault="00675065" w:rsidP="00B85C11">
      <w:pPr>
        <w:pStyle w:val="ONUMFS"/>
        <w:rPr>
          <w:lang w:val="fr-FR"/>
        </w:rPr>
      </w:pPr>
      <w:r w:rsidRPr="000F6A66">
        <w:rPr>
          <w:lang w:val="fr-FR"/>
        </w:rPr>
        <w:t>Aucune enquête n</w:t>
      </w:r>
      <w:r w:rsidR="001B04F7" w:rsidRPr="000F6A66">
        <w:rPr>
          <w:lang w:val="fr-FR"/>
        </w:rPr>
        <w:t>’</w:t>
      </w:r>
      <w:r w:rsidRPr="000F6A66">
        <w:rPr>
          <w:lang w:val="fr-FR"/>
        </w:rPr>
        <w:t>a été réalisée auprès des personnes ayant participé aux événements liés au projet et aucune liste de participants pouvant être utilisée pour des enquêtes n</w:t>
      </w:r>
      <w:r w:rsidR="001B04F7" w:rsidRPr="000F6A66">
        <w:rPr>
          <w:lang w:val="fr-FR"/>
        </w:rPr>
        <w:t>’</w:t>
      </w:r>
      <w:r w:rsidRPr="000F6A66">
        <w:rPr>
          <w:lang w:val="fr-FR"/>
        </w:rPr>
        <w:t>a été établ</w:t>
      </w:r>
      <w:r w:rsidR="00655442" w:rsidRPr="000F6A66">
        <w:rPr>
          <w:lang w:val="fr-FR"/>
        </w:rPr>
        <w:t>ie.  Il</w:t>
      </w:r>
      <w:r w:rsidRPr="000F6A66">
        <w:rPr>
          <w:lang w:val="fr-FR"/>
        </w:rPr>
        <w:t xml:space="preserve"> n</w:t>
      </w:r>
      <w:r w:rsidR="001B04F7" w:rsidRPr="000F6A66">
        <w:rPr>
          <w:lang w:val="fr-FR"/>
        </w:rPr>
        <w:t>’</w:t>
      </w:r>
      <w:r w:rsidRPr="000F6A66">
        <w:rPr>
          <w:lang w:val="fr-FR"/>
        </w:rPr>
        <w:t>a donc pas été possible de valider les enquêtes menées en interne auprès des participants (après les projets) dans le cadre d</w:t>
      </w:r>
      <w:r w:rsidR="001B04F7" w:rsidRPr="000F6A66">
        <w:rPr>
          <w:lang w:val="fr-FR"/>
        </w:rPr>
        <w:t>’</w:t>
      </w:r>
      <w:r w:rsidRPr="000F6A66">
        <w:rPr>
          <w:lang w:val="fr-FR"/>
        </w:rPr>
        <w:t>entretie</w:t>
      </w:r>
      <w:r w:rsidR="00655442" w:rsidRPr="000F6A66">
        <w:rPr>
          <w:lang w:val="fr-FR"/>
        </w:rPr>
        <w:t>ns.  La</w:t>
      </w:r>
      <w:r w:rsidRPr="000F6A66">
        <w:rPr>
          <w:lang w:val="fr-FR"/>
        </w:rPr>
        <w:t xml:space="preserve"> collecte de données a été limitée à l</w:t>
      </w:r>
      <w:r w:rsidR="001B04F7" w:rsidRPr="000F6A66">
        <w:rPr>
          <w:lang w:val="fr-FR"/>
        </w:rPr>
        <w:t>’</w:t>
      </w:r>
      <w:r w:rsidRPr="000F6A66">
        <w:rPr>
          <w:lang w:val="fr-FR"/>
        </w:rPr>
        <w:t>étude préliminaire (voir l</w:t>
      </w:r>
      <w:r w:rsidR="001B04F7" w:rsidRPr="000F6A66">
        <w:rPr>
          <w:lang w:val="fr-FR"/>
        </w:rPr>
        <w:t>’</w:t>
      </w:r>
      <w:r w:rsidRPr="000F6A66">
        <w:rPr>
          <w:lang w:val="fr-FR"/>
        </w:rPr>
        <w:t>appendice IV) et aux entretiens avec une vingtaine de parties prenantes ayant participé directement aux activités du projet (voir l</w:t>
      </w:r>
      <w:r w:rsidR="001B04F7" w:rsidRPr="000F6A66">
        <w:rPr>
          <w:lang w:val="fr-FR"/>
        </w:rPr>
        <w:t>’</w:t>
      </w:r>
      <w:r w:rsidRPr="000F6A66">
        <w:rPr>
          <w:lang w:val="fr-FR"/>
        </w:rPr>
        <w:t>appendice III).  Aucune visite de terrain n</w:t>
      </w:r>
      <w:r w:rsidR="001B04F7" w:rsidRPr="000F6A66">
        <w:rPr>
          <w:lang w:val="fr-FR"/>
        </w:rPr>
        <w:t>’</w:t>
      </w:r>
      <w:r w:rsidRPr="000F6A66">
        <w:rPr>
          <w:lang w:val="fr-FR"/>
        </w:rPr>
        <w:t>a été effectuée dans les pays bénéficiaires.</w:t>
      </w:r>
    </w:p>
    <w:p w14:paraId="71DFC427" w14:textId="4B351281" w:rsidR="00675065" w:rsidRPr="000F6A66" w:rsidRDefault="00675065" w:rsidP="00B85C11">
      <w:pPr>
        <w:pStyle w:val="ONUMFS"/>
        <w:rPr>
          <w:lang w:val="fr-FR"/>
        </w:rPr>
      </w:pPr>
      <w:r w:rsidRPr="000F6A66">
        <w:rPr>
          <w:lang w:val="fr-FR"/>
        </w:rPr>
        <w:t>La version finale du guide pratique n</w:t>
      </w:r>
      <w:r w:rsidR="001B04F7" w:rsidRPr="000F6A66">
        <w:rPr>
          <w:lang w:val="fr-FR"/>
        </w:rPr>
        <w:t>’</w:t>
      </w:r>
      <w:r w:rsidRPr="000F6A66">
        <w:rPr>
          <w:lang w:val="fr-FR"/>
        </w:rPr>
        <w:t>était pas disponible pour exam</w:t>
      </w:r>
      <w:r w:rsidR="00655442" w:rsidRPr="000F6A66">
        <w:rPr>
          <w:lang w:val="fr-FR"/>
        </w:rPr>
        <w:t>en.  Ce</w:t>
      </w:r>
      <w:r w:rsidRPr="000F6A66">
        <w:rPr>
          <w:lang w:val="fr-FR"/>
        </w:rPr>
        <w:t>rtains des documents ont été reçus sous forme de projets.</w:t>
      </w:r>
    </w:p>
    <w:p w14:paraId="307510A4" w14:textId="7B79B942" w:rsidR="00675065" w:rsidRPr="000F6A66" w:rsidRDefault="00675065" w:rsidP="00B85C11">
      <w:pPr>
        <w:pStyle w:val="ONUMFS"/>
        <w:rPr>
          <w:lang w:val="fr-FR"/>
        </w:rPr>
      </w:pPr>
      <w:r w:rsidRPr="000F6A66">
        <w:rPr>
          <w:lang w:val="fr-FR"/>
        </w:rPr>
        <w:lastRenderedPageBreak/>
        <w:t>Les constatations et l</w:t>
      </w:r>
      <w:r w:rsidR="001B04F7" w:rsidRPr="000F6A66">
        <w:rPr>
          <w:lang w:val="fr-FR"/>
        </w:rPr>
        <w:t>’</w:t>
      </w:r>
      <w:r w:rsidRPr="000F6A66">
        <w:rPr>
          <w:lang w:val="fr-FR"/>
        </w:rPr>
        <w:t>évaluation figurant au chapitre 2 doivent être interprétées en tenant compte du fait que ces contraintes ont nécessairement limité le champ d</w:t>
      </w:r>
      <w:r w:rsidR="001B04F7" w:rsidRPr="000F6A66">
        <w:rPr>
          <w:lang w:val="fr-FR"/>
        </w:rPr>
        <w:t>’</w:t>
      </w:r>
      <w:r w:rsidRPr="000F6A66">
        <w:rPr>
          <w:lang w:val="fr-FR"/>
        </w:rPr>
        <w:t>observation et la profondeur de l</w:t>
      </w:r>
      <w:r w:rsidR="001B04F7" w:rsidRPr="000F6A66">
        <w:rPr>
          <w:lang w:val="fr-FR"/>
        </w:rPr>
        <w:t>’</w:t>
      </w:r>
      <w:r w:rsidRPr="000F6A66">
        <w:rPr>
          <w:lang w:val="fr-FR"/>
        </w:rPr>
        <w:t>évaluation.</w:t>
      </w:r>
    </w:p>
    <w:p w14:paraId="6F6BFA3B" w14:textId="521C473F" w:rsidR="00675065" w:rsidRPr="000F6A66" w:rsidRDefault="00B85C11" w:rsidP="00B85C11">
      <w:pPr>
        <w:pStyle w:val="Heading1"/>
        <w:rPr>
          <w:lang w:val="fr-FR"/>
        </w:rPr>
      </w:pPr>
      <w:bookmarkStart w:id="30" w:name="_Toc18331412"/>
      <w:bookmarkStart w:id="31" w:name="_Toc20991646"/>
      <w:r w:rsidRPr="000F6A66">
        <w:rPr>
          <w:lang w:val="fr-FR"/>
        </w:rPr>
        <w:t>Constatations et évaluation</w:t>
      </w:r>
      <w:bookmarkEnd w:id="30"/>
      <w:bookmarkEnd w:id="31"/>
    </w:p>
    <w:p w14:paraId="21E61E92" w14:textId="77777777" w:rsidR="00B85C11" w:rsidRPr="000F6A66" w:rsidRDefault="00B85C11" w:rsidP="00B85C11">
      <w:pPr>
        <w:rPr>
          <w:lang w:val="fr-FR"/>
        </w:rPr>
      </w:pPr>
    </w:p>
    <w:p w14:paraId="1C6B8D04" w14:textId="7B559F2D" w:rsidR="00675065" w:rsidRPr="000F6A66" w:rsidRDefault="00675065" w:rsidP="00B85C11">
      <w:pPr>
        <w:pStyle w:val="ONUMFS"/>
        <w:rPr>
          <w:lang w:val="fr-FR"/>
        </w:rPr>
      </w:pPr>
      <w:r w:rsidRPr="000F6A66">
        <w:rPr>
          <w:lang w:val="fr-FR"/>
        </w:rPr>
        <w:t>La présente section présente les observations de l</w:t>
      </w:r>
      <w:r w:rsidR="001B04F7" w:rsidRPr="000F6A66">
        <w:rPr>
          <w:lang w:val="fr-FR"/>
        </w:rPr>
        <w:t>’</w:t>
      </w:r>
      <w:r w:rsidRPr="000F6A66">
        <w:rPr>
          <w:lang w:val="fr-FR"/>
        </w:rPr>
        <w:t>évaluation et une évaluation de la qualité du projet au regard des critères d</w:t>
      </w:r>
      <w:r w:rsidR="001B04F7" w:rsidRPr="000F6A66">
        <w:rPr>
          <w:lang w:val="fr-FR"/>
        </w:rPr>
        <w:t>’</w:t>
      </w:r>
      <w:r w:rsidRPr="000F6A66">
        <w:rPr>
          <w:lang w:val="fr-FR"/>
        </w:rPr>
        <w:t>évaluation.</w:t>
      </w:r>
    </w:p>
    <w:p w14:paraId="650D955D" w14:textId="252F094B" w:rsidR="00675065" w:rsidRPr="000F6A66" w:rsidRDefault="00B85C11" w:rsidP="00B85C11">
      <w:pPr>
        <w:pStyle w:val="Heading2"/>
        <w:rPr>
          <w:lang w:val="fr-FR"/>
        </w:rPr>
      </w:pPr>
      <w:bookmarkStart w:id="32" w:name="_Toc18331413"/>
      <w:bookmarkStart w:id="33" w:name="_Toc20991647"/>
      <w:r w:rsidRPr="000F6A66">
        <w:rPr>
          <w:lang w:val="fr-FR"/>
        </w:rPr>
        <w:t xml:space="preserve">Préparation </w:t>
      </w:r>
      <w:r w:rsidR="00675065" w:rsidRPr="000F6A66">
        <w:rPr>
          <w:lang w:val="fr-FR"/>
        </w:rPr>
        <w:t>et gestion du projet</w:t>
      </w:r>
      <w:bookmarkEnd w:id="32"/>
      <w:bookmarkEnd w:id="33"/>
    </w:p>
    <w:p w14:paraId="5527F27E" w14:textId="6822B8D4" w:rsidR="00675065" w:rsidRPr="000F6A66" w:rsidRDefault="00675065" w:rsidP="00B85C11">
      <w:pPr>
        <w:pStyle w:val="Heading3"/>
        <w:rPr>
          <w:lang w:val="fr-FR"/>
        </w:rPr>
      </w:pPr>
      <w:bookmarkStart w:id="34" w:name="_Toc18331414"/>
      <w:bookmarkStart w:id="35" w:name="_Toc20991648"/>
      <w:r w:rsidRPr="000F6A66">
        <w:rPr>
          <w:lang w:val="fr-FR"/>
        </w:rPr>
        <w:t>Préparation du projet</w:t>
      </w:r>
      <w:bookmarkEnd w:id="34"/>
      <w:bookmarkEnd w:id="35"/>
    </w:p>
    <w:p w14:paraId="17197C07" w14:textId="77777777" w:rsidR="00B85C11" w:rsidRPr="000F6A66" w:rsidRDefault="00B85C11" w:rsidP="00B85C11">
      <w:pPr>
        <w:rPr>
          <w:lang w:val="fr-FR"/>
        </w:rPr>
      </w:pPr>
    </w:p>
    <w:p w14:paraId="788EA037" w14:textId="490C27EB" w:rsidR="00675065" w:rsidRPr="000F6A66" w:rsidRDefault="00675065" w:rsidP="00B85C11">
      <w:pPr>
        <w:pStyle w:val="ONUMFS"/>
        <w:rPr>
          <w:lang w:val="fr-FR"/>
        </w:rPr>
      </w:pPr>
      <w:r w:rsidRPr="000F6A66">
        <w:rPr>
          <w:lang w:val="fr-FR"/>
        </w:rPr>
        <w:t>Le descriptif du projet présente les objectifs généraux et les grandes lignes d</w:t>
      </w:r>
      <w:r w:rsidR="001B04F7" w:rsidRPr="000F6A66">
        <w:rPr>
          <w:lang w:val="fr-FR"/>
        </w:rPr>
        <w:t>’</w:t>
      </w:r>
      <w:r w:rsidRPr="000F6A66">
        <w:rPr>
          <w:lang w:val="fr-FR"/>
        </w:rPr>
        <w:t>une stratégie d</w:t>
      </w:r>
      <w:r w:rsidR="001B04F7" w:rsidRPr="000F6A66">
        <w:rPr>
          <w:lang w:val="fr-FR"/>
        </w:rPr>
        <w:t>’</w:t>
      </w:r>
      <w:r w:rsidRPr="000F6A66">
        <w:rPr>
          <w:lang w:val="fr-FR"/>
        </w:rPr>
        <w:t>interventi</w:t>
      </w:r>
      <w:r w:rsidR="00655442" w:rsidRPr="000F6A66">
        <w:rPr>
          <w:lang w:val="fr-FR"/>
        </w:rPr>
        <w:t>on.  Le</w:t>
      </w:r>
      <w:r w:rsidRPr="000F6A66">
        <w:rPr>
          <w:lang w:val="fr-FR"/>
        </w:rPr>
        <w:t xml:space="preserve"> contenu du projet (activités) a été élaboré plus avant durant la mise en œuvre, compte tenu des besoins spécifiques des pays cibles, qui ont été sélectionnés durant la mise en œuvre seuleme</w:t>
      </w:r>
      <w:r w:rsidR="00655442" w:rsidRPr="000F6A66">
        <w:rPr>
          <w:lang w:val="fr-FR"/>
        </w:rPr>
        <w:t>nt.  Le</w:t>
      </w:r>
      <w:r w:rsidRPr="000F6A66">
        <w:rPr>
          <w:lang w:val="fr-FR"/>
        </w:rPr>
        <w:t xml:space="preserve"> calendrier et le budget étaient appropriés, comme en témoignent le taux de décaissement et le recours à une courte prolongation seulement.</w:t>
      </w:r>
    </w:p>
    <w:p w14:paraId="12A55306" w14:textId="45E66917" w:rsidR="00675065" w:rsidRPr="000F6A66" w:rsidRDefault="00675065" w:rsidP="00B85C11">
      <w:pPr>
        <w:pStyle w:val="ONUMFS"/>
        <w:rPr>
          <w:lang w:val="fr-FR"/>
        </w:rPr>
      </w:pPr>
      <w:r w:rsidRPr="000F6A66">
        <w:rPr>
          <w:lang w:val="fr-FR"/>
        </w:rPr>
        <w:t>La logique d</w:t>
      </w:r>
      <w:r w:rsidR="001B04F7" w:rsidRPr="000F6A66">
        <w:rPr>
          <w:lang w:val="fr-FR"/>
        </w:rPr>
        <w:t>’</w:t>
      </w:r>
      <w:r w:rsidRPr="000F6A66">
        <w:rPr>
          <w:lang w:val="fr-FR"/>
        </w:rPr>
        <w:t>intervention semble fondée sur un thème donné (propriété intellectuelle et tourisme) et des activités proposées plutôt que sur des objectifs définis et une analyse sur la façon de les atteind</w:t>
      </w:r>
      <w:r w:rsidR="00655442" w:rsidRPr="000F6A66">
        <w:rPr>
          <w:lang w:val="fr-FR"/>
        </w:rPr>
        <w:t>re.  L’a</w:t>
      </w:r>
      <w:r w:rsidRPr="000F6A66">
        <w:rPr>
          <w:lang w:val="fr-FR"/>
        </w:rPr>
        <w:t>ide apportée au secteur nécessite souvent différentes mesures, pas uniquement dans un seul domai</w:t>
      </w:r>
      <w:r w:rsidR="00655442" w:rsidRPr="000F6A66">
        <w:rPr>
          <w:lang w:val="fr-FR"/>
        </w:rPr>
        <w:t>ne.  Ap</w:t>
      </w:r>
      <w:r w:rsidRPr="000F6A66">
        <w:rPr>
          <w:lang w:val="fr-FR"/>
        </w:rPr>
        <w:t>porter une aide aux fins du développement du tourisme dans d</w:t>
      </w:r>
      <w:r w:rsidR="001B04F7" w:rsidRPr="000F6A66">
        <w:rPr>
          <w:lang w:val="fr-FR"/>
        </w:rPr>
        <w:t>’</w:t>
      </w:r>
      <w:r w:rsidRPr="000F6A66">
        <w:rPr>
          <w:lang w:val="fr-FR"/>
        </w:rPr>
        <w:t>autres domaines que la propriété intellectuelle ne relèverait plus du mandat de l</w:t>
      </w:r>
      <w:r w:rsidR="001B04F7" w:rsidRPr="000F6A66">
        <w:rPr>
          <w:lang w:val="fr-FR"/>
        </w:rPr>
        <w:t>’</w:t>
      </w:r>
      <w:r w:rsidRPr="000F6A66">
        <w:rPr>
          <w:lang w:val="fr-FR"/>
        </w:rPr>
        <w:t>O</w:t>
      </w:r>
      <w:r w:rsidR="00655442" w:rsidRPr="000F6A66">
        <w:rPr>
          <w:lang w:val="fr-FR"/>
        </w:rPr>
        <w:t>MPI.  Ce</w:t>
      </w:r>
      <w:r w:rsidRPr="000F6A66">
        <w:rPr>
          <w:lang w:val="fr-FR"/>
        </w:rPr>
        <w:t>s éléments, l</w:t>
      </w:r>
      <w:r w:rsidR="001B04F7" w:rsidRPr="000F6A66">
        <w:rPr>
          <w:lang w:val="fr-FR"/>
        </w:rPr>
        <w:t>’</w:t>
      </w:r>
      <w:r w:rsidRPr="000F6A66">
        <w:rPr>
          <w:lang w:val="fr-FR"/>
        </w:rPr>
        <w:t>incidence potentielle de la propriété intellectuelle sur le tourisme (par rapport à d</w:t>
      </w:r>
      <w:r w:rsidR="001B04F7" w:rsidRPr="000F6A66">
        <w:rPr>
          <w:lang w:val="fr-FR"/>
        </w:rPr>
        <w:t>’</w:t>
      </w:r>
      <w:r w:rsidRPr="000F6A66">
        <w:rPr>
          <w:lang w:val="fr-FR"/>
        </w:rPr>
        <w:t>autres éléments) et les autres moyens éventuellement requis pour obtenir le résultat escompté n</w:t>
      </w:r>
      <w:r w:rsidR="001B04F7" w:rsidRPr="000F6A66">
        <w:rPr>
          <w:lang w:val="fr-FR"/>
        </w:rPr>
        <w:t>’</w:t>
      </w:r>
      <w:r w:rsidRPr="000F6A66">
        <w:rPr>
          <w:lang w:val="fr-FR"/>
        </w:rPr>
        <w:t>ont pas été examinés.</w:t>
      </w:r>
    </w:p>
    <w:p w14:paraId="6B6EB62A" w14:textId="5E028BF5" w:rsidR="00675065" w:rsidRPr="000F6A66" w:rsidRDefault="00675065" w:rsidP="00B85C11">
      <w:pPr>
        <w:pStyle w:val="Heading3"/>
        <w:rPr>
          <w:lang w:val="fr-FR"/>
        </w:rPr>
      </w:pPr>
      <w:bookmarkStart w:id="36" w:name="_Toc335712733"/>
      <w:bookmarkStart w:id="37" w:name="_Toc18331415"/>
      <w:bookmarkStart w:id="38" w:name="_Toc20991649"/>
      <w:r w:rsidRPr="000F6A66">
        <w:rPr>
          <w:lang w:val="fr-FR"/>
        </w:rPr>
        <w:t>Utilisation d</w:t>
      </w:r>
      <w:r w:rsidR="001B04F7" w:rsidRPr="000F6A66">
        <w:rPr>
          <w:lang w:val="fr-FR"/>
        </w:rPr>
        <w:t>’</w:t>
      </w:r>
      <w:r w:rsidRPr="000F6A66">
        <w:rPr>
          <w:lang w:val="fr-FR"/>
        </w:rPr>
        <w:t>outils de planification du projet</w:t>
      </w:r>
      <w:bookmarkEnd w:id="36"/>
      <w:r w:rsidRPr="000F6A66">
        <w:rPr>
          <w:lang w:val="fr-FR"/>
        </w:rPr>
        <w:t xml:space="preserve"> (au stade de planification)</w:t>
      </w:r>
      <w:bookmarkEnd w:id="37"/>
      <w:bookmarkEnd w:id="38"/>
    </w:p>
    <w:p w14:paraId="3C77A95A" w14:textId="77777777" w:rsidR="00B85C11" w:rsidRPr="000F6A66" w:rsidRDefault="00B85C11" w:rsidP="00B85C11">
      <w:pPr>
        <w:rPr>
          <w:lang w:val="fr-FR"/>
        </w:rPr>
      </w:pPr>
    </w:p>
    <w:p w14:paraId="114F50D0" w14:textId="3EBBF467" w:rsidR="00675065" w:rsidRPr="000F6A66" w:rsidRDefault="00675065" w:rsidP="00B85C11">
      <w:pPr>
        <w:pStyle w:val="ONUMFS"/>
        <w:rPr>
          <w:lang w:val="fr-FR"/>
        </w:rPr>
      </w:pPr>
      <w:r w:rsidRPr="000F6A66">
        <w:rPr>
          <w:lang w:val="fr-FR"/>
        </w:rPr>
        <w:t>Le chef de projet a appliqué les modèles standard de l</w:t>
      </w:r>
      <w:r w:rsidR="001B04F7" w:rsidRPr="000F6A66">
        <w:rPr>
          <w:lang w:val="fr-FR"/>
        </w:rPr>
        <w:t>’</w:t>
      </w:r>
      <w:r w:rsidRPr="000F6A66">
        <w:rPr>
          <w:lang w:val="fr-FR"/>
        </w:rPr>
        <w:t>OMPI pour la préparation et le suivi des projets relevant du Plan d</w:t>
      </w:r>
      <w:r w:rsidR="001B04F7" w:rsidRPr="000F6A66">
        <w:rPr>
          <w:lang w:val="fr-FR"/>
        </w:rPr>
        <w:t>’</w:t>
      </w:r>
      <w:r w:rsidRPr="000F6A66">
        <w:rPr>
          <w:lang w:val="fr-FR"/>
        </w:rPr>
        <w:t>action pour le développeme</w:t>
      </w:r>
      <w:r w:rsidR="00655442" w:rsidRPr="000F6A66">
        <w:rPr>
          <w:lang w:val="fr-FR"/>
        </w:rPr>
        <w:t>nt.  Bi</w:t>
      </w:r>
      <w:r w:rsidRPr="000F6A66">
        <w:rPr>
          <w:lang w:val="fr-FR"/>
        </w:rPr>
        <w:t>en que ces modèles soient utiles aux fins de l</w:t>
      </w:r>
      <w:r w:rsidR="001B04F7" w:rsidRPr="000F6A66">
        <w:rPr>
          <w:lang w:val="fr-FR"/>
        </w:rPr>
        <w:t>’</w:t>
      </w:r>
      <w:r w:rsidRPr="000F6A66">
        <w:rPr>
          <w:lang w:val="fr-FR"/>
        </w:rPr>
        <w:t>établissement de rapports pour le CDIP, ils ne sont pas entièrement conformes aux pratiques recommandées ci</w:t>
      </w:r>
      <w:r w:rsidR="001B04F7" w:rsidRPr="000F6A66">
        <w:rPr>
          <w:lang w:val="fr-FR"/>
        </w:rPr>
        <w:t>-</w:t>
      </w:r>
      <w:r w:rsidRPr="000F6A66">
        <w:rPr>
          <w:lang w:val="fr-FR"/>
        </w:rPr>
        <w:t>après, largement reconnues en matière de gestion axée sur les résultats dans le domaine de la coopération internationale</w:t>
      </w:r>
      <w:r w:rsidR="001B04F7" w:rsidRPr="000F6A66">
        <w:rPr>
          <w:lang w:val="fr-FR"/>
        </w:rPr>
        <w:t> :</w:t>
      </w:r>
    </w:p>
    <w:p w14:paraId="2ADBF03D" w14:textId="6B0D69F2" w:rsidR="00675065" w:rsidRPr="000F6A66" w:rsidRDefault="00675065" w:rsidP="00B85C11">
      <w:pPr>
        <w:pStyle w:val="ONUMFS"/>
        <w:numPr>
          <w:ilvl w:val="1"/>
          <w:numId w:val="5"/>
        </w:numPr>
        <w:rPr>
          <w:lang w:val="fr-FR"/>
        </w:rPr>
      </w:pPr>
      <w:r w:rsidRPr="000F6A66">
        <w:rPr>
          <w:lang w:val="fr-FR"/>
        </w:rPr>
        <w:t>L</w:t>
      </w:r>
      <w:r w:rsidR="001B04F7" w:rsidRPr="000F6A66">
        <w:rPr>
          <w:lang w:val="fr-FR"/>
        </w:rPr>
        <w:t>’</w:t>
      </w:r>
      <w:r w:rsidRPr="000F6A66">
        <w:rPr>
          <w:lang w:val="fr-FR"/>
        </w:rPr>
        <w:t>application de cadres logiques aux fins de la planification, du suivi et de l</w:t>
      </w:r>
      <w:r w:rsidR="001B04F7" w:rsidRPr="000F6A66">
        <w:rPr>
          <w:lang w:val="fr-FR"/>
        </w:rPr>
        <w:t>’</w:t>
      </w:r>
      <w:r w:rsidRPr="000F6A66">
        <w:rPr>
          <w:lang w:val="fr-FR"/>
        </w:rPr>
        <w:t>établissement des rapports, englobant les objectifs qui sont séparés entre les produits pour lesquels le Secrétariat est responsable (acquis), leurs effets (réalisations) et les changements plus généraux qu</w:t>
      </w:r>
      <w:r w:rsidR="001B04F7" w:rsidRPr="000F6A66">
        <w:rPr>
          <w:lang w:val="fr-FR"/>
        </w:rPr>
        <w:t>’</w:t>
      </w:r>
      <w:r w:rsidRPr="000F6A66">
        <w:rPr>
          <w:lang w:val="fr-FR"/>
        </w:rPr>
        <w:t>ils sont censés apporter (incidences).</w:t>
      </w:r>
    </w:p>
    <w:p w14:paraId="529C223C" w14:textId="17241556" w:rsidR="00675065" w:rsidRPr="000F6A66" w:rsidRDefault="00675065" w:rsidP="00B85C11">
      <w:pPr>
        <w:pStyle w:val="ONUMFS"/>
        <w:numPr>
          <w:ilvl w:val="1"/>
          <w:numId w:val="5"/>
        </w:numPr>
        <w:rPr>
          <w:lang w:val="fr-FR"/>
        </w:rPr>
      </w:pPr>
      <w:r w:rsidRPr="000F6A66">
        <w:rPr>
          <w:lang w:val="fr-FR"/>
        </w:rPr>
        <w:t>La définition d</w:t>
      </w:r>
      <w:r w:rsidR="001B04F7" w:rsidRPr="000F6A66">
        <w:rPr>
          <w:lang w:val="fr-FR"/>
        </w:rPr>
        <w:t>’</w:t>
      </w:r>
      <w:r w:rsidRPr="000F6A66">
        <w:rPr>
          <w:lang w:val="fr-FR"/>
        </w:rPr>
        <w:t>hypothèses et de risques spécifiques (outre les risques liés à la mise en œuvre)</w:t>
      </w:r>
      <w:r w:rsidR="001B04F7" w:rsidRPr="000F6A66">
        <w:rPr>
          <w:lang w:val="fr-FR"/>
        </w:rPr>
        <w:t> :</w:t>
      </w:r>
      <w:r w:rsidRPr="000F6A66">
        <w:rPr>
          <w:lang w:val="fr-FR"/>
        </w:rPr>
        <w:t xml:space="preserve"> quels facteurs externes doivent être en place ou atténués pour que les résultats intermédiaires se traduisent en résultats et ces derniers aient une réelle incidence</w:t>
      </w:r>
      <w:r w:rsidRPr="000F6A66">
        <w:rPr>
          <w:rStyle w:val="FootnoteReference"/>
          <w:lang w:val="fr-FR"/>
        </w:rPr>
        <w:footnoteReference w:id="13"/>
      </w:r>
      <w:r w:rsidRPr="000F6A66">
        <w:rPr>
          <w:lang w:val="fr-FR"/>
        </w:rPr>
        <w:t>.</w:t>
      </w:r>
    </w:p>
    <w:p w14:paraId="4ADA3BFA" w14:textId="72C2156F" w:rsidR="00675065" w:rsidRPr="000F6A66" w:rsidRDefault="00675065" w:rsidP="00B85C11">
      <w:pPr>
        <w:pStyle w:val="ONUMFS"/>
        <w:numPr>
          <w:ilvl w:val="1"/>
          <w:numId w:val="5"/>
        </w:numPr>
        <w:rPr>
          <w:lang w:val="fr-FR"/>
        </w:rPr>
      </w:pPr>
      <w:r w:rsidRPr="000F6A66">
        <w:rPr>
          <w:lang w:val="fr-FR"/>
        </w:rPr>
        <w:lastRenderedPageBreak/>
        <w:t>L</w:t>
      </w:r>
      <w:r w:rsidR="001B04F7" w:rsidRPr="000F6A66">
        <w:rPr>
          <w:lang w:val="fr-FR"/>
        </w:rPr>
        <w:t>’</w:t>
      </w:r>
      <w:r w:rsidRPr="000F6A66">
        <w:rPr>
          <w:lang w:val="fr-FR"/>
        </w:rPr>
        <w:t>utilisation d</w:t>
      </w:r>
      <w:r w:rsidR="001B04F7" w:rsidRPr="000F6A66">
        <w:rPr>
          <w:lang w:val="fr-FR"/>
        </w:rPr>
        <w:t>’</w:t>
      </w:r>
      <w:r w:rsidRPr="000F6A66">
        <w:rPr>
          <w:lang w:val="fr-FR"/>
        </w:rPr>
        <w:t>indicateurs précis, mesurables, ambitieux, pertinents et assortis de délais pour déterminer dans quelle mesure les objectifs ont été atteints à tous les niveaux.</w:t>
      </w:r>
    </w:p>
    <w:p w14:paraId="313BBA0A" w14:textId="665B76BD" w:rsidR="00675065" w:rsidRPr="000F6A66" w:rsidRDefault="00675065" w:rsidP="00B85C11">
      <w:pPr>
        <w:pStyle w:val="ONUMFS"/>
        <w:numPr>
          <w:ilvl w:val="1"/>
          <w:numId w:val="5"/>
        </w:numPr>
        <w:rPr>
          <w:lang w:val="fr-FR"/>
        </w:rPr>
      </w:pPr>
      <w:r w:rsidRPr="000F6A66">
        <w:rPr>
          <w:bCs/>
          <w:lang w:val="fr-FR"/>
        </w:rPr>
        <w:t>Déterminer les moyens de vérification (enquêtes, statistiques, etc.) pour chaque indicate</w:t>
      </w:r>
      <w:r w:rsidR="00655442" w:rsidRPr="000F6A66">
        <w:rPr>
          <w:bCs/>
          <w:lang w:val="fr-FR"/>
        </w:rPr>
        <w:t>ur.  Si</w:t>
      </w:r>
      <w:r w:rsidRPr="000F6A66">
        <w:rPr>
          <w:bCs/>
          <w:lang w:val="fr-FR"/>
        </w:rPr>
        <w:t>, pour collecter les données pour la gestion axée sur les résultats, des ressources externes sont requises, celles</w:t>
      </w:r>
      <w:r w:rsidR="001B04F7" w:rsidRPr="000F6A66">
        <w:rPr>
          <w:bCs/>
          <w:lang w:val="fr-FR"/>
        </w:rPr>
        <w:t>-</w:t>
      </w:r>
      <w:r w:rsidRPr="000F6A66">
        <w:rPr>
          <w:bCs/>
          <w:lang w:val="fr-FR"/>
        </w:rPr>
        <w:t>ci doivent être prévues</w:t>
      </w:r>
      <w:r w:rsidRPr="000F6A66">
        <w:rPr>
          <w:rStyle w:val="FootnoteReference"/>
          <w:bCs/>
          <w:lang w:val="fr-FR"/>
        </w:rPr>
        <w:footnoteReference w:id="14"/>
      </w:r>
      <w:r w:rsidRPr="000F6A66">
        <w:rPr>
          <w:bCs/>
          <w:lang w:val="fr-FR"/>
        </w:rPr>
        <w:t>.</w:t>
      </w:r>
    </w:p>
    <w:p w14:paraId="5B5CF1C4" w14:textId="6DA83C46" w:rsidR="00675065" w:rsidRPr="000F6A66" w:rsidRDefault="00675065" w:rsidP="00B85C11">
      <w:pPr>
        <w:pStyle w:val="ONUMFS"/>
        <w:numPr>
          <w:ilvl w:val="1"/>
          <w:numId w:val="5"/>
        </w:numPr>
        <w:rPr>
          <w:lang w:val="fr-FR"/>
        </w:rPr>
      </w:pPr>
      <w:r w:rsidRPr="000F6A66">
        <w:rPr>
          <w:lang w:val="fr-FR"/>
        </w:rPr>
        <w:t>Pas de mécanisme pour évaluer les résultats plus généraux à plus long terme (résultats, c</w:t>
      </w:r>
      <w:r w:rsidR="001B04F7" w:rsidRPr="000F6A66">
        <w:rPr>
          <w:lang w:val="fr-FR"/>
        </w:rPr>
        <w:t>’</w:t>
      </w:r>
      <w:r w:rsidRPr="000F6A66">
        <w:rPr>
          <w:lang w:val="fr-FR"/>
        </w:rPr>
        <w:t>est</w:t>
      </w:r>
      <w:r w:rsidR="001B04F7" w:rsidRPr="000F6A66">
        <w:rPr>
          <w:lang w:val="fr-FR"/>
        </w:rPr>
        <w:t>-</w:t>
      </w:r>
      <w:r w:rsidRPr="000F6A66">
        <w:rPr>
          <w:lang w:val="fr-FR"/>
        </w:rPr>
        <w:t>à</w:t>
      </w:r>
      <w:r w:rsidR="001B04F7" w:rsidRPr="000F6A66">
        <w:rPr>
          <w:lang w:val="fr-FR"/>
        </w:rPr>
        <w:t>-</w:t>
      </w:r>
      <w:r w:rsidRPr="000F6A66">
        <w:rPr>
          <w:lang w:val="fr-FR"/>
        </w:rPr>
        <w:t>dire les avantages tirés de l</w:t>
      </w:r>
      <w:r w:rsidR="001B04F7" w:rsidRPr="000F6A66">
        <w:rPr>
          <w:lang w:val="fr-FR"/>
        </w:rPr>
        <w:t>’</w:t>
      </w:r>
      <w:r w:rsidRPr="000F6A66">
        <w:rPr>
          <w:lang w:val="fr-FR"/>
        </w:rPr>
        <w:t>assistance fournie par l</w:t>
      </w:r>
      <w:r w:rsidR="001B04F7" w:rsidRPr="000F6A66">
        <w:rPr>
          <w:lang w:val="fr-FR"/>
        </w:rPr>
        <w:t>’</w:t>
      </w:r>
      <w:r w:rsidRPr="000F6A66">
        <w:rPr>
          <w:lang w:val="fr-FR"/>
        </w:rPr>
        <w:t>OMPI, au</w:t>
      </w:r>
      <w:r w:rsidR="001B04F7" w:rsidRPr="000F6A66">
        <w:rPr>
          <w:lang w:val="fr-FR"/>
        </w:rPr>
        <w:t>-</w:t>
      </w:r>
      <w:r w:rsidRPr="000F6A66">
        <w:rPr>
          <w:lang w:val="fr-FR"/>
        </w:rPr>
        <w:t>delà des effets immédiats).</w:t>
      </w:r>
    </w:p>
    <w:p w14:paraId="17B3C7C5" w14:textId="1F8A5AF6" w:rsidR="00675065" w:rsidRPr="000F6A66" w:rsidRDefault="00675065" w:rsidP="00B85C11">
      <w:pPr>
        <w:pStyle w:val="ONUMFS"/>
        <w:rPr>
          <w:lang w:val="fr-FR"/>
        </w:rPr>
      </w:pPr>
      <w:r w:rsidRPr="000F6A66">
        <w:rPr>
          <w:lang w:val="fr-FR"/>
        </w:rPr>
        <w:t>La difficulté, en ce qui concerne l</w:t>
      </w:r>
      <w:r w:rsidR="001B04F7" w:rsidRPr="000F6A66">
        <w:rPr>
          <w:lang w:val="fr-FR"/>
        </w:rPr>
        <w:t>’</w:t>
      </w:r>
      <w:r w:rsidRPr="000F6A66">
        <w:rPr>
          <w:lang w:val="fr-FR"/>
        </w:rPr>
        <w:t>application des instruments standard de gestion axée sur les résultats, réside dans le fait que leur contenu résulte d</w:t>
      </w:r>
      <w:r w:rsidR="001B04F7" w:rsidRPr="000F6A66">
        <w:rPr>
          <w:lang w:val="fr-FR"/>
        </w:rPr>
        <w:t>’</w:t>
      </w:r>
      <w:r w:rsidRPr="000F6A66">
        <w:rPr>
          <w:lang w:val="fr-FR"/>
        </w:rPr>
        <w:t>une négociati</w:t>
      </w:r>
      <w:r w:rsidR="00655442" w:rsidRPr="000F6A66">
        <w:rPr>
          <w:lang w:val="fr-FR"/>
        </w:rPr>
        <w:t>on.  Ce</w:t>
      </w:r>
      <w:r w:rsidRPr="000F6A66">
        <w:rPr>
          <w:lang w:val="fr-FR"/>
        </w:rPr>
        <w:t>la n</w:t>
      </w:r>
      <w:r w:rsidR="001B04F7" w:rsidRPr="000F6A66">
        <w:rPr>
          <w:lang w:val="fr-FR"/>
        </w:rPr>
        <w:t>’</w:t>
      </w:r>
      <w:r w:rsidRPr="000F6A66">
        <w:rPr>
          <w:lang w:val="fr-FR"/>
        </w:rPr>
        <w:t>empêcherait cependant pas le Secrétariat d</w:t>
      </w:r>
      <w:r w:rsidR="001B04F7" w:rsidRPr="000F6A66">
        <w:rPr>
          <w:lang w:val="fr-FR"/>
        </w:rPr>
        <w:t>’</w:t>
      </w:r>
      <w:r w:rsidRPr="000F6A66">
        <w:rPr>
          <w:lang w:val="fr-FR"/>
        </w:rPr>
        <w:t>élaborer des cadres logiques dans un rapport initial et de les utiliser à des fins de suivi et d</w:t>
      </w:r>
      <w:r w:rsidR="001B04F7" w:rsidRPr="000F6A66">
        <w:rPr>
          <w:lang w:val="fr-FR"/>
        </w:rPr>
        <w:t>’</w:t>
      </w:r>
      <w:r w:rsidRPr="000F6A66">
        <w:rPr>
          <w:lang w:val="fr-FR"/>
        </w:rPr>
        <w:t>évaluation.</w:t>
      </w:r>
    </w:p>
    <w:p w14:paraId="670382B1" w14:textId="753EECCE" w:rsidR="00675065" w:rsidRPr="000F6A66" w:rsidRDefault="00675065" w:rsidP="00B85C11">
      <w:pPr>
        <w:pStyle w:val="ONUMFS"/>
        <w:rPr>
          <w:lang w:val="fr-FR"/>
        </w:rPr>
      </w:pPr>
      <w:r w:rsidRPr="000F6A66">
        <w:rPr>
          <w:lang w:val="fr-FR"/>
        </w:rPr>
        <w:t>Le descriptif du projet ne prévoit pas de stratégie de retrait progressif, ce qui signifie que les mesures requises pour garantir la pérennité des avantages du projet ne relèvent plus du mandat de l</w:t>
      </w:r>
      <w:r w:rsidR="001B04F7" w:rsidRPr="000F6A66">
        <w:rPr>
          <w:lang w:val="fr-FR"/>
        </w:rPr>
        <w:t>’</w:t>
      </w:r>
      <w:r w:rsidRPr="000F6A66">
        <w:rPr>
          <w:lang w:val="fr-FR"/>
        </w:rPr>
        <w:t>OMPI.</w:t>
      </w:r>
    </w:p>
    <w:p w14:paraId="0CB9AE00" w14:textId="14DCCA1D" w:rsidR="00675065" w:rsidRPr="000F6A66" w:rsidRDefault="00675065" w:rsidP="00B85C11">
      <w:pPr>
        <w:pStyle w:val="Heading3"/>
        <w:rPr>
          <w:lang w:val="fr-FR"/>
        </w:rPr>
      </w:pPr>
      <w:bookmarkStart w:id="39" w:name="_Toc18331416"/>
      <w:bookmarkStart w:id="40" w:name="_Toc20991650"/>
      <w:r w:rsidRPr="000F6A66">
        <w:rPr>
          <w:lang w:val="fr-FR"/>
        </w:rPr>
        <w:t>Gestion du projet</w:t>
      </w:r>
      <w:bookmarkEnd w:id="39"/>
      <w:bookmarkEnd w:id="40"/>
    </w:p>
    <w:p w14:paraId="754275F3" w14:textId="77777777" w:rsidR="00B85C11" w:rsidRPr="000F6A66" w:rsidRDefault="00B85C11" w:rsidP="00B85C11">
      <w:pPr>
        <w:rPr>
          <w:lang w:val="fr-FR"/>
        </w:rPr>
      </w:pPr>
    </w:p>
    <w:p w14:paraId="4A54E67A" w14:textId="6479DCAD" w:rsidR="00675065" w:rsidRPr="000F6A66" w:rsidRDefault="00675065" w:rsidP="00B85C11">
      <w:pPr>
        <w:pStyle w:val="ONUMFS"/>
        <w:rPr>
          <w:lang w:val="fr-FR"/>
        </w:rPr>
      </w:pPr>
      <w:r w:rsidRPr="000F6A66">
        <w:rPr>
          <w:lang w:val="fr-FR"/>
        </w:rPr>
        <w:t>Le projet a été globalement bien gé</w:t>
      </w:r>
      <w:r w:rsidR="00655442" w:rsidRPr="000F6A66">
        <w:rPr>
          <w:lang w:val="fr-FR"/>
        </w:rPr>
        <w:t>ré.  Ho</w:t>
      </w:r>
      <w:r w:rsidRPr="000F6A66">
        <w:rPr>
          <w:lang w:val="fr-FR"/>
        </w:rPr>
        <w:t>rmis quelques exceptions (par exemple une première tentative de rédaction d</w:t>
      </w:r>
      <w:r w:rsidR="001B04F7" w:rsidRPr="000F6A66">
        <w:rPr>
          <w:lang w:val="fr-FR"/>
        </w:rPr>
        <w:t>’</w:t>
      </w:r>
      <w:r w:rsidRPr="000F6A66">
        <w:rPr>
          <w:lang w:val="fr-FR"/>
        </w:rPr>
        <w:t>une étude en Namibie, première étude générale en Équateur), la direction a sélectionné les bons experts et veillé à la qualité de l</w:t>
      </w:r>
      <w:r w:rsidR="001B04F7" w:rsidRPr="000F6A66">
        <w:rPr>
          <w:lang w:val="fr-FR"/>
        </w:rPr>
        <w:t>’</w:t>
      </w:r>
      <w:r w:rsidRPr="000F6A66">
        <w:rPr>
          <w:lang w:val="fr-FR"/>
        </w:rPr>
        <w:t>appui four</w:t>
      </w:r>
      <w:r w:rsidR="00655442" w:rsidRPr="000F6A66">
        <w:rPr>
          <w:lang w:val="fr-FR"/>
        </w:rPr>
        <w:t>ni.  Un</w:t>
      </w:r>
      <w:r w:rsidRPr="000F6A66">
        <w:rPr>
          <w:lang w:val="fr-FR"/>
        </w:rPr>
        <w:t>e expertise au niveau national était disponible dans tous les pays et semble avoir été privilégi</w:t>
      </w:r>
      <w:r w:rsidR="00655442" w:rsidRPr="000F6A66">
        <w:rPr>
          <w:lang w:val="fr-FR"/>
        </w:rPr>
        <w:t>ée.  De</w:t>
      </w:r>
      <w:r w:rsidRPr="000F6A66">
        <w:rPr>
          <w:lang w:val="fr-FR"/>
        </w:rPr>
        <w:t>s homologues nationaux ont participé à l</w:t>
      </w:r>
      <w:r w:rsidR="001B04F7" w:rsidRPr="000F6A66">
        <w:rPr>
          <w:lang w:val="fr-FR"/>
        </w:rPr>
        <w:t>’</w:t>
      </w:r>
      <w:r w:rsidRPr="000F6A66">
        <w:rPr>
          <w:lang w:val="fr-FR"/>
        </w:rPr>
        <w:t>identification des experts.</w:t>
      </w:r>
    </w:p>
    <w:p w14:paraId="361AC42B" w14:textId="4D683455" w:rsidR="00675065" w:rsidRPr="000F6A66" w:rsidRDefault="00675065" w:rsidP="00B85C11">
      <w:pPr>
        <w:pStyle w:val="ONUMFS"/>
        <w:rPr>
          <w:lang w:val="fr-FR"/>
        </w:rPr>
      </w:pPr>
      <w:r w:rsidRPr="000F6A66">
        <w:rPr>
          <w:lang w:val="fr-FR"/>
        </w:rPr>
        <w:t>Le chef de projet et son directeur ont travaillé en équipe et ont pris part à la mise en œuvre des activités courantes, notamment aux missions sur le terrain et aux activités de renforcement des capacit</w:t>
      </w:r>
      <w:r w:rsidR="00655442" w:rsidRPr="000F6A66">
        <w:rPr>
          <w:lang w:val="fr-FR"/>
        </w:rPr>
        <w:t>és.  Le</w:t>
      </w:r>
      <w:r w:rsidRPr="000F6A66">
        <w:rPr>
          <w:lang w:val="fr-FR"/>
        </w:rPr>
        <w:t>s dépenses de personnel affectées à ce projet ont donc été plus élevées que pré</w:t>
      </w:r>
      <w:r w:rsidR="00655442" w:rsidRPr="000F6A66">
        <w:rPr>
          <w:lang w:val="fr-FR"/>
        </w:rPr>
        <w:t>vu.  Le</w:t>
      </w:r>
      <w:r w:rsidRPr="000F6A66">
        <w:rPr>
          <w:lang w:val="fr-FR"/>
        </w:rPr>
        <w:t xml:space="preserve"> fait que les bénéficiaires aient travaillé avec le Secrétariat par l</w:t>
      </w:r>
      <w:r w:rsidR="001B04F7" w:rsidRPr="000F6A66">
        <w:rPr>
          <w:lang w:val="fr-FR"/>
        </w:rPr>
        <w:t>’</w:t>
      </w:r>
      <w:r w:rsidRPr="000F6A66">
        <w:rPr>
          <w:lang w:val="fr-FR"/>
        </w:rPr>
        <w:t>intermédiaire de deux coordonnateurs n</w:t>
      </w:r>
      <w:r w:rsidR="001B04F7" w:rsidRPr="000F6A66">
        <w:rPr>
          <w:lang w:val="fr-FR"/>
        </w:rPr>
        <w:t>’</w:t>
      </w:r>
      <w:r w:rsidRPr="000F6A66">
        <w:rPr>
          <w:lang w:val="fr-FR"/>
        </w:rPr>
        <w:t>a pas posé de problèmes.</w:t>
      </w:r>
    </w:p>
    <w:p w14:paraId="3BE46409" w14:textId="0FC062AF" w:rsidR="00675065" w:rsidRPr="000F6A66" w:rsidRDefault="00675065" w:rsidP="00B85C11">
      <w:pPr>
        <w:pStyle w:val="ONUMFS"/>
        <w:rPr>
          <w:lang w:val="fr-FR"/>
        </w:rPr>
      </w:pPr>
      <w:r w:rsidRPr="000F6A66">
        <w:rPr>
          <w:lang w:val="fr-FR"/>
        </w:rPr>
        <w:t xml:space="preserve">Les bénéficiaires interrogés ont souligné la bonne coopération avec le Secrétariat et la direction du projet, </w:t>
      </w:r>
      <w:r w:rsidR="001B04F7" w:rsidRPr="000F6A66">
        <w:rPr>
          <w:lang w:val="fr-FR"/>
        </w:rPr>
        <w:t>y compris</w:t>
      </w:r>
      <w:r w:rsidRPr="000F6A66">
        <w:rPr>
          <w:lang w:val="fr-FR"/>
        </w:rPr>
        <w:t xml:space="preserve"> la réactivité de l</w:t>
      </w:r>
      <w:r w:rsidR="001B04F7" w:rsidRPr="000F6A66">
        <w:rPr>
          <w:lang w:val="fr-FR"/>
        </w:rPr>
        <w:t>’</w:t>
      </w:r>
      <w:r w:rsidRPr="000F6A66">
        <w:rPr>
          <w:lang w:val="fr-FR"/>
        </w:rPr>
        <w:t>équipe répondant à leurs besoins.</w:t>
      </w:r>
    </w:p>
    <w:p w14:paraId="43DE92DF" w14:textId="08FFA393" w:rsidR="00675065" w:rsidRPr="000F6A66" w:rsidRDefault="00675065" w:rsidP="00B85C11">
      <w:pPr>
        <w:pStyle w:val="Heading2"/>
        <w:rPr>
          <w:lang w:val="fr-FR"/>
        </w:rPr>
      </w:pPr>
      <w:bookmarkStart w:id="41" w:name="_Toc20991651"/>
      <w:r w:rsidRPr="000F6A66">
        <w:rPr>
          <w:lang w:val="fr-FR"/>
        </w:rPr>
        <w:t>Pertinence</w:t>
      </w:r>
      <w:bookmarkEnd w:id="41"/>
    </w:p>
    <w:p w14:paraId="5232F2DB" w14:textId="77777777" w:rsidR="00B85C11" w:rsidRPr="000F6A66" w:rsidRDefault="00B85C11" w:rsidP="00B85C11">
      <w:pPr>
        <w:rPr>
          <w:lang w:val="fr-FR"/>
        </w:rPr>
      </w:pPr>
    </w:p>
    <w:p w14:paraId="4CB55A8A" w14:textId="6A676008" w:rsidR="00675065" w:rsidRPr="000F6A66" w:rsidRDefault="00675065" w:rsidP="00B85C11">
      <w:pPr>
        <w:pStyle w:val="ONUMFS"/>
        <w:rPr>
          <w:lang w:val="fr-FR"/>
        </w:rPr>
      </w:pPr>
      <w:r w:rsidRPr="000F6A66">
        <w:rPr>
          <w:lang w:val="fr-FR"/>
        </w:rPr>
        <w:t>L</w:t>
      </w:r>
      <w:r w:rsidR="001B04F7" w:rsidRPr="000F6A66">
        <w:rPr>
          <w:lang w:val="fr-FR"/>
        </w:rPr>
        <w:t>’</w:t>
      </w:r>
      <w:r w:rsidRPr="000F6A66">
        <w:rPr>
          <w:lang w:val="fr-FR"/>
        </w:rPr>
        <w:t>évaluation de la pertinence permet de savoir dans quelle mesure les objectifs du projet répondaient aux exigences des bénéficiaires, aux besoins des pays membres, aux priorités mondiales et aux politiques de l</w:t>
      </w:r>
      <w:r w:rsidR="001B04F7" w:rsidRPr="000F6A66">
        <w:rPr>
          <w:lang w:val="fr-FR"/>
        </w:rPr>
        <w:t>’</w:t>
      </w:r>
      <w:r w:rsidRPr="000F6A66">
        <w:rPr>
          <w:lang w:val="fr-FR"/>
        </w:rPr>
        <w:t>OMPI.</w:t>
      </w:r>
    </w:p>
    <w:p w14:paraId="645F3EB1" w14:textId="4720A0D4" w:rsidR="00675065" w:rsidRPr="000F6A66" w:rsidRDefault="00675065" w:rsidP="00B85C11">
      <w:pPr>
        <w:pStyle w:val="Heading3"/>
        <w:rPr>
          <w:lang w:val="fr-FR"/>
        </w:rPr>
      </w:pPr>
      <w:bookmarkStart w:id="42" w:name="_Toc20991652"/>
      <w:r w:rsidRPr="000F6A66">
        <w:rPr>
          <w:lang w:val="fr-FR"/>
        </w:rPr>
        <w:t>Pertinence générale</w:t>
      </w:r>
      <w:bookmarkEnd w:id="42"/>
    </w:p>
    <w:p w14:paraId="49C6AE25" w14:textId="77777777" w:rsidR="00B85C11" w:rsidRPr="000F6A66" w:rsidRDefault="00B85C11" w:rsidP="00B85C11">
      <w:pPr>
        <w:rPr>
          <w:lang w:val="fr-FR"/>
        </w:rPr>
      </w:pPr>
    </w:p>
    <w:p w14:paraId="34F4EEFB" w14:textId="06603BA9" w:rsidR="00675065" w:rsidRPr="000F6A66" w:rsidRDefault="00675065" w:rsidP="00B85C11">
      <w:pPr>
        <w:pStyle w:val="ONUMFS"/>
        <w:rPr>
          <w:lang w:val="fr-FR"/>
        </w:rPr>
      </w:pPr>
      <w:r w:rsidRPr="000F6A66">
        <w:rPr>
          <w:lang w:val="fr-FR"/>
        </w:rPr>
        <w:t>L</w:t>
      </w:r>
      <w:r w:rsidR="001B04F7" w:rsidRPr="000F6A66">
        <w:rPr>
          <w:lang w:val="fr-FR"/>
        </w:rPr>
        <w:t>’</w:t>
      </w:r>
      <w:r w:rsidRPr="000F6A66">
        <w:rPr>
          <w:lang w:val="fr-FR"/>
        </w:rPr>
        <w:t>approbation par consensus du CDIP témoigne de la pertinence stratégique du projet aux yeux des États membres.</w:t>
      </w:r>
    </w:p>
    <w:p w14:paraId="3380F57E" w14:textId="2482738C" w:rsidR="00675065" w:rsidRPr="000F6A66" w:rsidRDefault="00675065" w:rsidP="00B85C11">
      <w:pPr>
        <w:pStyle w:val="ONUMFS"/>
        <w:rPr>
          <w:lang w:val="fr-FR"/>
        </w:rPr>
      </w:pPr>
      <w:r w:rsidRPr="000F6A66">
        <w:rPr>
          <w:lang w:val="fr-FR"/>
        </w:rPr>
        <w:t>Il ne s</w:t>
      </w:r>
      <w:r w:rsidR="001B04F7" w:rsidRPr="000F6A66">
        <w:rPr>
          <w:lang w:val="fr-FR"/>
        </w:rPr>
        <w:t>’</w:t>
      </w:r>
      <w:r w:rsidRPr="000F6A66">
        <w:rPr>
          <w:lang w:val="fr-FR"/>
        </w:rPr>
        <w:t>agissait pas d</w:t>
      </w:r>
      <w:r w:rsidR="001B04F7" w:rsidRPr="000F6A66">
        <w:rPr>
          <w:lang w:val="fr-FR"/>
        </w:rPr>
        <w:t>’</w:t>
      </w:r>
      <w:r w:rsidRPr="000F6A66">
        <w:rPr>
          <w:lang w:val="fr-FR"/>
        </w:rPr>
        <w:t>apporter un soutien global en faveur du développement du tourisme dans les pays cibles, car cela aurait dépassé le mandat de l</w:t>
      </w:r>
      <w:r w:rsidR="001B04F7" w:rsidRPr="000F6A66">
        <w:rPr>
          <w:lang w:val="fr-FR"/>
        </w:rPr>
        <w:t>’</w:t>
      </w:r>
      <w:r w:rsidRPr="000F6A66">
        <w:rPr>
          <w:lang w:val="fr-FR"/>
        </w:rPr>
        <w:t xml:space="preserve">OMPI, mais plutôt de promouvoir </w:t>
      </w:r>
      <w:r w:rsidRPr="000F6A66">
        <w:rPr>
          <w:lang w:val="fr-FR"/>
        </w:rPr>
        <w:lastRenderedPageBreak/>
        <w:t>l</w:t>
      </w:r>
      <w:r w:rsidR="001B04F7" w:rsidRPr="000F6A66">
        <w:rPr>
          <w:lang w:val="fr-FR"/>
        </w:rPr>
        <w:t>’</w:t>
      </w:r>
      <w:r w:rsidRPr="000F6A66">
        <w:rPr>
          <w:lang w:val="fr-FR"/>
        </w:rPr>
        <w:t>utilisation de différents droits de propriété intellectuelle pertinents comme moyen pour renforcer la compétitivité du secteur et lui apporter une valeur ajoutée.</w:t>
      </w:r>
    </w:p>
    <w:p w14:paraId="7556A23C" w14:textId="5626D9F7" w:rsidR="00675065" w:rsidRPr="000F6A66" w:rsidRDefault="00675065" w:rsidP="00B85C11">
      <w:pPr>
        <w:pStyle w:val="ONUMFS"/>
        <w:rPr>
          <w:lang w:val="fr-FR"/>
        </w:rPr>
      </w:pPr>
      <w:r w:rsidRPr="000F6A66">
        <w:rPr>
          <w:lang w:val="fr-FR"/>
        </w:rPr>
        <w:t>En termes de pertinence par rapport aux politiques de l</w:t>
      </w:r>
      <w:r w:rsidR="001B04F7" w:rsidRPr="000F6A66">
        <w:rPr>
          <w:lang w:val="fr-FR"/>
        </w:rPr>
        <w:t>’</w:t>
      </w:r>
      <w:r w:rsidRPr="000F6A66">
        <w:rPr>
          <w:lang w:val="fr-FR"/>
        </w:rPr>
        <w:t>OMPI, les objectifs du projet visaient à répondre aux recommandations ci</w:t>
      </w:r>
      <w:r w:rsidR="001B04F7" w:rsidRPr="000F6A66">
        <w:rPr>
          <w:lang w:val="fr-FR"/>
        </w:rPr>
        <w:t>-</w:t>
      </w:r>
      <w:r w:rsidRPr="000F6A66">
        <w:rPr>
          <w:lang w:val="fr-FR"/>
        </w:rPr>
        <w:t>après du Plan d</w:t>
      </w:r>
      <w:r w:rsidR="001B04F7" w:rsidRPr="000F6A66">
        <w:rPr>
          <w:lang w:val="fr-FR"/>
        </w:rPr>
        <w:t>’</w:t>
      </w:r>
      <w:r w:rsidRPr="000F6A66">
        <w:rPr>
          <w:lang w:val="fr-FR"/>
        </w:rPr>
        <w:t>action pour le développement</w:t>
      </w:r>
      <w:r w:rsidR="001B04F7" w:rsidRPr="000F6A66">
        <w:rPr>
          <w:lang w:val="fr-FR"/>
        </w:rPr>
        <w:t> :</w:t>
      </w:r>
    </w:p>
    <w:p w14:paraId="179AD23C" w14:textId="4BBE006D" w:rsidR="00675065" w:rsidRPr="000F6A66" w:rsidRDefault="00675065" w:rsidP="00B85C11">
      <w:pPr>
        <w:pStyle w:val="ONUMFS"/>
        <w:numPr>
          <w:ilvl w:val="1"/>
          <w:numId w:val="5"/>
        </w:numPr>
        <w:rPr>
          <w:lang w:val="fr-FR"/>
        </w:rPr>
      </w:pPr>
      <w:r w:rsidRPr="000F6A66">
        <w:rPr>
          <w:lang w:val="fr-FR"/>
        </w:rPr>
        <w:t>Recommandation n° 1</w:t>
      </w:r>
      <w:r w:rsidR="001B04F7" w:rsidRPr="000F6A66">
        <w:rPr>
          <w:lang w:val="fr-FR"/>
        </w:rPr>
        <w:t> :</w:t>
      </w:r>
      <w:r w:rsidRPr="000F6A66">
        <w:rPr>
          <w:lang w:val="fr-FR"/>
        </w:rPr>
        <w:t xml:space="preserve"> L</w:t>
      </w:r>
      <w:r w:rsidR="001B04F7" w:rsidRPr="000F6A66">
        <w:rPr>
          <w:lang w:val="fr-FR"/>
        </w:rPr>
        <w:t>’</w:t>
      </w:r>
      <w:r w:rsidRPr="000F6A66">
        <w:rPr>
          <w:lang w:val="fr-FR"/>
        </w:rPr>
        <w:t>assistance technique de l</w:t>
      </w:r>
      <w:r w:rsidR="001B04F7" w:rsidRPr="000F6A66">
        <w:rPr>
          <w:lang w:val="fr-FR"/>
        </w:rPr>
        <w:t>’</w:t>
      </w:r>
      <w:r w:rsidRPr="000F6A66">
        <w:rPr>
          <w:lang w:val="fr-FR"/>
        </w:rPr>
        <w:t>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w:t>
      </w:r>
      <w:r w:rsidR="00655442" w:rsidRPr="000F6A66">
        <w:rPr>
          <w:lang w:val="fr-FR"/>
        </w:rPr>
        <w:t xml:space="preserve">is.  À </w:t>
      </w:r>
      <w:r w:rsidRPr="000F6A66">
        <w:rPr>
          <w:lang w:val="fr-FR"/>
        </w:rPr>
        <w:t>cet égard, les mécanismes d</w:t>
      </w:r>
      <w:r w:rsidR="001B04F7" w:rsidRPr="000F6A66">
        <w:rPr>
          <w:lang w:val="fr-FR"/>
        </w:rPr>
        <w:t>’</w:t>
      </w:r>
      <w:r w:rsidRPr="000F6A66">
        <w:rPr>
          <w:lang w:val="fr-FR"/>
        </w:rPr>
        <w:t>établissement et d</w:t>
      </w:r>
      <w:r w:rsidR="001B04F7" w:rsidRPr="000F6A66">
        <w:rPr>
          <w:lang w:val="fr-FR"/>
        </w:rPr>
        <w:t>’</w:t>
      </w:r>
      <w:r w:rsidRPr="000F6A66">
        <w:rPr>
          <w:lang w:val="fr-FR"/>
        </w:rPr>
        <w:t>exécution et procédures d</w:t>
      </w:r>
      <w:r w:rsidR="001B04F7" w:rsidRPr="000F6A66">
        <w:rPr>
          <w:lang w:val="fr-FR"/>
        </w:rPr>
        <w:t>’</w:t>
      </w:r>
      <w:r w:rsidRPr="000F6A66">
        <w:rPr>
          <w:lang w:val="fr-FR"/>
        </w:rPr>
        <w:t>évaluation des programmes d</w:t>
      </w:r>
      <w:r w:rsidR="001B04F7" w:rsidRPr="000F6A66">
        <w:rPr>
          <w:lang w:val="fr-FR"/>
        </w:rPr>
        <w:t>’</w:t>
      </w:r>
      <w:r w:rsidRPr="000F6A66">
        <w:rPr>
          <w:lang w:val="fr-FR"/>
        </w:rPr>
        <w:t>assistance technique doivent être ciblés par pays.</w:t>
      </w:r>
    </w:p>
    <w:p w14:paraId="297FF3C8" w14:textId="39953FB5" w:rsidR="00675065" w:rsidRPr="000F6A66" w:rsidRDefault="00675065" w:rsidP="00B85C11">
      <w:pPr>
        <w:pStyle w:val="ONUMFS"/>
        <w:numPr>
          <w:ilvl w:val="1"/>
          <w:numId w:val="5"/>
        </w:numPr>
        <w:rPr>
          <w:lang w:val="fr-FR"/>
        </w:rPr>
      </w:pPr>
      <w:r w:rsidRPr="000F6A66">
        <w:rPr>
          <w:lang w:val="fr-FR"/>
        </w:rPr>
        <w:t>Recommandation n° 10</w:t>
      </w:r>
      <w:r w:rsidR="001B04F7" w:rsidRPr="000F6A66">
        <w:rPr>
          <w:lang w:val="fr-FR"/>
        </w:rPr>
        <w:t> :</w:t>
      </w:r>
      <w:r w:rsidRPr="000F6A66">
        <w:rPr>
          <w:lang w:val="fr-FR"/>
        </w:rPr>
        <w:t xml:space="preserve"> Aider les États membres à développer et à améliorer les capacités institutionnelles nationales en propriété intellectuelle par le développement des infrastructures et autres moyens en vue de renforcer l</w:t>
      </w:r>
      <w:r w:rsidR="001B04F7" w:rsidRPr="000F6A66">
        <w:rPr>
          <w:lang w:val="fr-FR"/>
        </w:rPr>
        <w:t>’</w:t>
      </w:r>
      <w:r w:rsidRPr="000F6A66">
        <w:rPr>
          <w:lang w:val="fr-FR"/>
        </w:rPr>
        <w:t>efficacité des institutions nationales de propriété intellectuelle et de concilier protection de la propriété intellectuelle et préservation de l</w:t>
      </w:r>
      <w:r w:rsidR="001B04F7" w:rsidRPr="000F6A66">
        <w:rPr>
          <w:lang w:val="fr-FR"/>
        </w:rPr>
        <w:t>’</w:t>
      </w:r>
      <w:r w:rsidRPr="000F6A66">
        <w:rPr>
          <w:lang w:val="fr-FR"/>
        </w:rPr>
        <w:t>intérêt génér</w:t>
      </w:r>
      <w:r w:rsidR="00655442" w:rsidRPr="000F6A66">
        <w:rPr>
          <w:lang w:val="fr-FR"/>
        </w:rPr>
        <w:t>al.  Ce</w:t>
      </w:r>
      <w:r w:rsidRPr="000F6A66">
        <w:rPr>
          <w:lang w:val="fr-FR"/>
        </w:rPr>
        <w:t>tte assistance technique devrait également être étendue aux organisations sous régionales et régionales œuvrant dans le domaine de la propriété intellectuelle.</w:t>
      </w:r>
    </w:p>
    <w:p w14:paraId="2CB80B09" w14:textId="405216A5" w:rsidR="00675065" w:rsidRPr="000F6A66" w:rsidRDefault="00675065" w:rsidP="00B85C11">
      <w:pPr>
        <w:pStyle w:val="ONUMFS"/>
        <w:numPr>
          <w:ilvl w:val="1"/>
          <w:numId w:val="5"/>
        </w:numPr>
        <w:rPr>
          <w:lang w:val="fr-FR"/>
        </w:rPr>
      </w:pPr>
      <w:r w:rsidRPr="000F6A66">
        <w:rPr>
          <w:lang w:val="fr-FR"/>
        </w:rPr>
        <w:t>Recommandation n° 12</w:t>
      </w:r>
      <w:r w:rsidR="001B04F7" w:rsidRPr="000F6A66">
        <w:rPr>
          <w:lang w:val="fr-FR"/>
        </w:rPr>
        <w:t> :</w:t>
      </w:r>
      <w:r w:rsidRPr="000F6A66">
        <w:rPr>
          <w:lang w:val="fr-FR"/>
        </w:rPr>
        <w:t xml:space="preserve"> Intégrer davantage la dimension du développement dans les activités et délibérations de l</w:t>
      </w:r>
      <w:r w:rsidR="001B04F7" w:rsidRPr="000F6A66">
        <w:rPr>
          <w:lang w:val="fr-FR"/>
        </w:rPr>
        <w:t>’</w:t>
      </w:r>
      <w:r w:rsidRPr="000F6A66">
        <w:rPr>
          <w:lang w:val="fr-FR"/>
        </w:rPr>
        <w:t>OMPI portant sur les questions de fond et l</w:t>
      </w:r>
      <w:r w:rsidR="001B04F7" w:rsidRPr="000F6A66">
        <w:rPr>
          <w:lang w:val="fr-FR"/>
        </w:rPr>
        <w:t>’</w:t>
      </w:r>
      <w:r w:rsidRPr="000F6A66">
        <w:rPr>
          <w:lang w:val="fr-FR"/>
        </w:rPr>
        <w:t>assistance technique, conformément au mandat de l</w:t>
      </w:r>
      <w:r w:rsidR="001B04F7" w:rsidRPr="000F6A66">
        <w:rPr>
          <w:lang w:val="fr-FR"/>
        </w:rPr>
        <w:t>’</w:t>
      </w:r>
      <w:r w:rsidRPr="000F6A66">
        <w:rPr>
          <w:lang w:val="fr-FR"/>
        </w:rPr>
        <w:t>Organisation.</w:t>
      </w:r>
    </w:p>
    <w:p w14:paraId="2B8C27C5" w14:textId="3FDAC637" w:rsidR="00675065" w:rsidRPr="000F6A66" w:rsidRDefault="00675065" w:rsidP="00B85C11">
      <w:pPr>
        <w:pStyle w:val="ONUMFS"/>
        <w:numPr>
          <w:ilvl w:val="1"/>
          <w:numId w:val="5"/>
        </w:numPr>
        <w:rPr>
          <w:lang w:val="fr-FR"/>
        </w:rPr>
      </w:pPr>
      <w:r w:rsidRPr="000F6A66">
        <w:rPr>
          <w:lang w:val="fr-FR"/>
        </w:rPr>
        <w:t>Recommandation n° 40</w:t>
      </w:r>
      <w:r w:rsidR="001B04F7" w:rsidRPr="000F6A66">
        <w:rPr>
          <w:lang w:val="fr-FR"/>
        </w:rPr>
        <w:t> :</w:t>
      </w:r>
      <w:r w:rsidRPr="000F6A66">
        <w:rPr>
          <w:lang w:val="fr-FR"/>
        </w:rPr>
        <w:t xml:space="preserve"> Demander à l</w:t>
      </w:r>
      <w:r w:rsidR="001B04F7" w:rsidRPr="000F6A66">
        <w:rPr>
          <w:lang w:val="fr-FR"/>
        </w:rPr>
        <w:t>’</w:t>
      </w:r>
      <w:r w:rsidRPr="000F6A66">
        <w:rPr>
          <w:lang w:val="fr-FR"/>
        </w:rPr>
        <w:t>OMPI d</w:t>
      </w:r>
      <w:r w:rsidR="001B04F7" w:rsidRPr="000F6A66">
        <w:rPr>
          <w:lang w:val="fr-FR"/>
        </w:rPr>
        <w:t>’</w:t>
      </w:r>
      <w:r w:rsidRPr="000F6A66">
        <w:rPr>
          <w:lang w:val="fr-FR"/>
        </w:rPr>
        <w:t xml:space="preserve">intensifier sa coopération avec les institutions des </w:t>
      </w:r>
      <w:r w:rsidR="001B04F7" w:rsidRPr="000F6A66">
        <w:rPr>
          <w:lang w:val="fr-FR"/>
        </w:rPr>
        <w:t>Nations Unies</w:t>
      </w:r>
      <w:r w:rsidRPr="000F6A66">
        <w:rPr>
          <w:lang w:val="fr-FR"/>
        </w:rPr>
        <w:t>, en particulier la CNUCED, le PNUE, l</w:t>
      </w:r>
      <w:r w:rsidR="001B04F7" w:rsidRPr="000F6A66">
        <w:rPr>
          <w:lang w:val="fr-FR"/>
        </w:rPr>
        <w:t>’</w:t>
      </w:r>
      <w:r w:rsidRPr="000F6A66">
        <w:rPr>
          <w:lang w:val="fr-FR"/>
        </w:rPr>
        <w:t>OMS, l</w:t>
      </w:r>
      <w:r w:rsidR="001B04F7" w:rsidRPr="000F6A66">
        <w:rPr>
          <w:lang w:val="fr-FR"/>
        </w:rPr>
        <w:t>’</w:t>
      </w:r>
      <w:r w:rsidRPr="000F6A66">
        <w:rPr>
          <w:lang w:val="fr-FR"/>
        </w:rPr>
        <w:t>ONUDI, l</w:t>
      </w:r>
      <w:r w:rsidR="001B04F7" w:rsidRPr="000F6A66">
        <w:rPr>
          <w:lang w:val="fr-FR"/>
        </w:rPr>
        <w:t>’</w:t>
      </w:r>
      <w:r w:rsidRPr="000F6A66">
        <w:rPr>
          <w:lang w:val="fr-FR"/>
        </w:rPr>
        <w:t>UNESCO et d</w:t>
      </w:r>
      <w:r w:rsidR="001B04F7" w:rsidRPr="000F6A66">
        <w:rPr>
          <w:lang w:val="fr-FR"/>
        </w:rPr>
        <w:t>’</w:t>
      </w:r>
      <w:r w:rsidRPr="000F6A66">
        <w:rPr>
          <w:lang w:val="fr-FR"/>
        </w:rPr>
        <w:t>autres organisations internationales compétentes, notamment l</w:t>
      </w:r>
      <w:r w:rsidR="001B04F7" w:rsidRPr="000F6A66">
        <w:rPr>
          <w:lang w:val="fr-FR"/>
        </w:rPr>
        <w:t>’</w:t>
      </w:r>
      <w:r w:rsidRPr="000F6A66">
        <w:rPr>
          <w:lang w:val="fr-FR"/>
        </w:rPr>
        <w:t>OMC, sur les questions relatives à la propriété intellectuelle et conformément aux orientations données par les États membres, afin de renforcer la coordination pour une efficacité maximum dans l</w:t>
      </w:r>
      <w:r w:rsidR="001B04F7" w:rsidRPr="000F6A66">
        <w:rPr>
          <w:lang w:val="fr-FR"/>
        </w:rPr>
        <w:t>’</w:t>
      </w:r>
      <w:r w:rsidRPr="000F6A66">
        <w:rPr>
          <w:lang w:val="fr-FR"/>
        </w:rPr>
        <w:t>application de programmes de développement</w:t>
      </w:r>
    </w:p>
    <w:p w14:paraId="3ADE7FB1" w14:textId="7649C2E7" w:rsidR="00675065" w:rsidRPr="000F6A66" w:rsidRDefault="00675065" w:rsidP="00B85C11">
      <w:pPr>
        <w:pStyle w:val="ONUMFS"/>
        <w:rPr>
          <w:lang w:val="fr-FR"/>
        </w:rPr>
      </w:pPr>
      <w:r w:rsidRPr="000F6A66">
        <w:rPr>
          <w:lang w:val="fr-FR"/>
        </w:rPr>
        <w:t>Le projet devait contribuer aux deux résultats ci</w:t>
      </w:r>
      <w:r w:rsidR="001B04F7" w:rsidRPr="000F6A66">
        <w:rPr>
          <w:lang w:val="fr-FR"/>
        </w:rPr>
        <w:t>-</w:t>
      </w:r>
      <w:r w:rsidRPr="000F6A66">
        <w:rPr>
          <w:lang w:val="fr-FR"/>
        </w:rPr>
        <w:t>après du programme et budget de l</w:t>
      </w:r>
      <w:r w:rsidR="001B04F7" w:rsidRPr="000F6A66">
        <w:rPr>
          <w:lang w:val="fr-FR"/>
        </w:rPr>
        <w:t>’</w:t>
      </w:r>
      <w:r w:rsidRPr="000F6A66">
        <w:rPr>
          <w:lang w:val="fr-FR"/>
        </w:rPr>
        <w:t>OMPI (2016</w:t>
      </w:r>
      <w:r w:rsidR="001B04F7" w:rsidRPr="000F6A66">
        <w:rPr>
          <w:lang w:val="fr-FR"/>
        </w:rPr>
        <w:t>-</w:t>
      </w:r>
      <w:r w:rsidRPr="000F6A66">
        <w:rPr>
          <w:lang w:val="fr-FR"/>
        </w:rPr>
        <w:t>2017).</w:t>
      </w:r>
    </w:p>
    <w:p w14:paraId="04D57BF3" w14:textId="1F00AE7E" w:rsidR="00675065" w:rsidRPr="000F6A66" w:rsidRDefault="00675065" w:rsidP="00B85C11">
      <w:pPr>
        <w:pStyle w:val="ONUMFS"/>
        <w:numPr>
          <w:ilvl w:val="1"/>
          <w:numId w:val="5"/>
        </w:numPr>
        <w:rPr>
          <w:lang w:val="fr-FR"/>
        </w:rPr>
      </w:pPr>
      <w:r w:rsidRPr="000F6A66">
        <w:rPr>
          <w:lang w:val="fr-FR"/>
        </w:rPr>
        <w:t>Résultat escompté III.1</w:t>
      </w:r>
      <w:r w:rsidR="001B04F7" w:rsidRPr="000F6A66">
        <w:rPr>
          <w:lang w:val="fr-FR"/>
        </w:rPr>
        <w:t> :</w:t>
      </w:r>
      <w:r w:rsidRPr="000F6A66">
        <w:rPr>
          <w:lang w:val="fr-FR"/>
        </w:rPr>
        <w:t xml:space="preserve"> Stratégies et plans nationaux en matière d</w:t>
      </w:r>
      <w:r w:rsidR="001B04F7" w:rsidRPr="000F6A66">
        <w:rPr>
          <w:lang w:val="fr-FR"/>
        </w:rPr>
        <w:t>’</w:t>
      </w:r>
      <w:r w:rsidRPr="000F6A66">
        <w:rPr>
          <w:lang w:val="fr-FR"/>
        </w:rPr>
        <w:t>innovation et de propriété intellectuelle conformes aux objectifs de développement nationaux.</w:t>
      </w:r>
    </w:p>
    <w:p w14:paraId="0D00DA2B" w14:textId="53ED96E8" w:rsidR="00675065" w:rsidRPr="000F6A66" w:rsidRDefault="00675065" w:rsidP="00B85C11">
      <w:pPr>
        <w:pStyle w:val="ONUMFS"/>
        <w:numPr>
          <w:ilvl w:val="1"/>
          <w:numId w:val="5"/>
        </w:numPr>
        <w:rPr>
          <w:lang w:val="fr-FR"/>
        </w:rPr>
      </w:pPr>
      <w:r w:rsidRPr="000F6A66">
        <w:rPr>
          <w:lang w:val="fr-FR"/>
        </w:rPr>
        <w:t>Résultat escompté III.2</w:t>
      </w:r>
      <w:r w:rsidR="001B04F7" w:rsidRPr="000F6A66">
        <w:rPr>
          <w:lang w:val="fr-FR"/>
        </w:rPr>
        <w:t> :</w:t>
      </w:r>
      <w:r w:rsidRPr="000F6A66">
        <w:rPr>
          <w:lang w:val="fr-FR"/>
        </w:rPr>
        <w:t xml:space="preserve"> Renforcement des capacités en matière de ressources humaines pour pouvoir répondre aux nombreuses exigences en ce qui concerne l</w:t>
      </w:r>
      <w:r w:rsidR="001B04F7" w:rsidRPr="000F6A66">
        <w:rPr>
          <w:lang w:val="fr-FR"/>
        </w:rPr>
        <w:t>’</w:t>
      </w:r>
      <w:r w:rsidRPr="000F6A66">
        <w:rPr>
          <w:lang w:val="fr-FR"/>
        </w:rPr>
        <w:t>utilisation efficace de la propriété intellectuelle au service du développement dans les pays en développement, les PMA et les pays en transition.</w:t>
      </w:r>
    </w:p>
    <w:p w14:paraId="74BE62A2" w14:textId="09D67D01" w:rsidR="00675065" w:rsidRPr="000F6A66" w:rsidRDefault="00675065" w:rsidP="00B85C11">
      <w:pPr>
        <w:pStyle w:val="ONUMFS"/>
        <w:rPr>
          <w:lang w:val="fr-FR"/>
        </w:rPr>
      </w:pPr>
      <w:r w:rsidRPr="000F6A66">
        <w:rPr>
          <w:lang w:val="fr-FR"/>
        </w:rPr>
        <w:t>Le projet a été mis en œuvre par le Secteur du développement (programme 9) au titre de l</w:t>
      </w:r>
      <w:r w:rsidR="001B04F7" w:rsidRPr="000F6A66">
        <w:rPr>
          <w:lang w:val="fr-FR"/>
        </w:rPr>
        <w:t>’</w:t>
      </w:r>
      <w:r w:rsidRPr="000F6A66">
        <w:rPr>
          <w:lang w:val="fr-FR"/>
        </w:rPr>
        <w:t xml:space="preserve">objectif stratégique III, </w:t>
      </w:r>
      <w:r w:rsidR="001B04F7" w:rsidRPr="000F6A66">
        <w:rPr>
          <w:lang w:val="fr-FR"/>
        </w:rPr>
        <w:t>à savoir</w:t>
      </w:r>
      <w:r w:rsidRPr="000F6A66">
        <w:rPr>
          <w:lang w:val="fr-FR"/>
        </w:rPr>
        <w:t xml:space="preserve"> “Favoriser l</w:t>
      </w:r>
      <w:r w:rsidR="001B04F7" w:rsidRPr="000F6A66">
        <w:rPr>
          <w:lang w:val="fr-FR"/>
        </w:rPr>
        <w:t>’</w:t>
      </w:r>
      <w:r w:rsidRPr="000F6A66">
        <w:rPr>
          <w:lang w:val="fr-FR"/>
        </w:rPr>
        <w:t>utilisation de la propriété intellectuelle au service du développement”.</w:t>
      </w:r>
    </w:p>
    <w:p w14:paraId="46DAD7D6" w14:textId="2B749E29" w:rsidR="00675065" w:rsidRPr="000F6A66" w:rsidRDefault="00675065" w:rsidP="00B85C11">
      <w:pPr>
        <w:pStyle w:val="ONUMFS"/>
        <w:rPr>
          <w:lang w:val="fr-FR"/>
        </w:rPr>
      </w:pPr>
      <w:r w:rsidRPr="000F6A66">
        <w:rPr>
          <w:lang w:val="fr-FR"/>
        </w:rPr>
        <w:t>Le projet devait également être en lien avec les programmes ci</w:t>
      </w:r>
      <w:r w:rsidR="001B04F7" w:rsidRPr="000F6A66">
        <w:rPr>
          <w:lang w:val="fr-FR"/>
        </w:rPr>
        <w:t>-</w:t>
      </w:r>
      <w:r w:rsidRPr="000F6A66">
        <w:rPr>
          <w:lang w:val="fr-FR"/>
        </w:rPr>
        <w:t>après de l</w:t>
      </w:r>
      <w:r w:rsidR="001B04F7" w:rsidRPr="000F6A66">
        <w:rPr>
          <w:lang w:val="fr-FR"/>
        </w:rPr>
        <w:t>’</w:t>
      </w:r>
      <w:r w:rsidRPr="000F6A66">
        <w:rPr>
          <w:lang w:val="fr-FR"/>
        </w:rPr>
        <w:t>OMPI</w:t>
      </w:r>
      <w:r w:rsidR="001B04F7" w:rsidRPr="000F6A66">
        <w:rPr>
          <w:lang w:val="fr-FR"/>
        </w:rPr>
        <w:t> :</w:t>
      </w:r>
    </w:p>
    <w:p w14:paraId="549717AA" w14:textId="5B69986F" w:rsidR="00675065" w:rsidRPr="000F6A66" w:rsidRDefault="00675065" w:rsidP="00B85C11">
      <w:pPr>
        <w:pStyle w:val="ONUMFS"/>
        <w:numPr>
          <w:ilvl w:val="1"/>
          <w:numId w:val="5"/>
        </w:numPr>
        <w:rPr>
          <w:lang w:val="fr-FR"/>
        </w:rPr>
      </w:pPr>
      <w:r w:rsidRPr="000F6A66">
        <w:rPr>
          <w:lang w:val="fr-FR"/>
        </w:rPr>
        <w:t>programme 30</w:t>
      </w:r>
      <w:r w:rsidR="001B04F7" w:rsidRPr="000F6A66">
        <w:rPr>
          <w:lang w:val="fr-FR"/>
        </w:rPr>
        <w:t> :</w:t>
      </w:r>
      <w:r w:rsidRPr="000F6A66">
        <w:rPr>
          <w:lang w:val="fr-FR"/>
        </w:rPr>
        <w:t xml:space="preserve"> Appui aux PME et à la création d</w:t>
      </w:r>
      <w:r w:rsidR="001B04F7" w:rsidRPr="000F6A66">
        <w:rPr>
          <w:lang w:val="fr-FR"/>
        </w:rPr>
        <w:t>’</w:t>
      </w:r>
      <w:r w:rsidRPr="000F6A66">
        <w:rPr>
          <w:lang w:val="fr-FR"/>
        </w:rPr>
        <w:t>entreprises quant aux incidences de ses conclusions et recommandations concernant le secteur du tourisme, notamment les PME opérant dans ce secteur;</w:t>
      </w:r>
    </w:p>
    <w:p w14:paraId="4373B651" w14:textId="41E0F469" w:rsidR="00675065" w:rsidRPr="000F6A66" w:rsidRDefault="00675065" w:rsidP="00B85C11">
      <w:pPr>
        <w:pStyle w:val="ONUMFS"/>
        <w:numPr>
          <w:ilvl w:val="1"/>
          <w:numId w:val="5"/>
        </w:numPr>
        <w:rPr>
          <w:lang w:val="fr-FR"/>
        </w:rPr>
      </w:pPr>
      <w:r w:rsidRPr="000F6A66">
        <w:rPr>
          <w:lang w:val="fr-FR"/>
        </w:rPr>
        <w:t>programme 3</w:t>
      </w:r>
      <w:r w:rsidR="001B04F7" w:rsidRPr="000F6A66">
        <w:rPr>
          <w:lang w:val="fr-FR"/>
        </w:rPr>
        <w:t> :</w:t>
      </w:r>
      <w:r w:rsidRPr="000F6A66">
        <w:rPr>
          <w:lang w:val="fr-FR"/>
        </w:rPr>
        <w:t xml:space="preserve"> Droit </w:t>
      </w:r>
      <w:r w:rsidR="00655442" w:rsidRPr="000F6A66">
        <w:rPr>
          <w:lang w:val="fr-FR"/>
        </w:rPr>
        <w:t>d’au</w:t>
      </w:r>
      <w:r w:rsidRPr="000F6A66">
        <w:rPr>
          <w:lang w:val="fr-FR"/>
        </w:rPr>
        <w:t>teur et droits connexes;</w:t>
      </w:r>
    </w:p>
    <w:p w14:paraId="492607EF" w14:textId="765A5BEE" w:rsidR="00675065" w:rsidRPr="000F6A66" w:rsidRDefault="00675065" w:rsidP="00B85C11">
      <w:pPr>
        <w:pStyle w:val="ONUMFS"/>
        <w:numPr>
          <w:ilvl w:val="1"/>
          <w:numId w:val="5"/>
        </w:numPr>
        <w:rPr>
          <w:lang w:val="fr-FR"/>
        </w:rPr>
      </w:pPr>
      <w:r w:rsidRPr="000F6A66">
        <w:rPr>
          <w:lang w:val="fr-FR"/>
        </w:rPr>
        <w:lastRenderedPageBreak/>
        <w:t>programme 4</w:t>
      </w:r>
      <w:r w:rsidR="00655442" w:rsidRPr="000F6A66">
        <w:rPr>
          <w:lang w:val="fr-FR"/>
        </w:rPr>
        <w:t> : S</w:t>
      </w:r>
      <w:r w:rsidRPr="000F6A66">
        <w:rPr>
          <w:lang w:val="fr-FR"/>
        </w:rPr>
        <w:t>avoirs traditionnels, expressions culturelles traditionnelles et ressources génétiques et</w:t>
      </w:r>
    </w:p>
    <w:p w14:paraId="530B32BD" w14:textId="5BCA1F3A" w:rsidR="00675065" w:rsidRPr="000F6A66" w:rsidRDefault="00675065" w:rsidP="00B85C11">
      <w:pPr>
        <w:pStyle w:val="ONUMFS"/>
        <w:numPr>
          <w:ilvl w:val="1"/>
          <w:numId w:val="5"/>
        </w:numPr>
        <w:rPr>
          <w:lang w:val="fr-FR"/>
        </w:rPr>
      </w:pPr>
      <w:r w:rsidRPr="000F6A66">
        <w:rPr>
          <w:lang w:val="fr-FR"/>
        </w:rPr>
        <w:t>programme 18</w:t>
      </w:r>
      <w:r w:rsidR="00655442" w:rsidRPr="000F6A66">
        <w:rPr>
          <w:lang w:val="fr-FR"/>
        </w:rPr>
        <w:t> : P</w:t>
      </w:r>
      <w:r w:rsidRPr="000F6A66">
        <w:rPr>
          <w:lang w:val="fr-FR"/>
        </w:rPr>
        <w:t>ropriété intellectuelle et défis mondiaux.</w:t>
      </w:r>
    </w:p>
    <w:p w14:paraId="6FA67179" w14:textId="77777777" w:rsidR="00675065" w:rsidRPr="000F6A66" w:rsidRDefault="00675065" w:rsidP="00B85C11">
      <w:pPr>
        <w:pStyle w:val="ONUMFS"/>
        <w:rPr>
          <w:lang w:val="fr-FR"/>
        </w:rPr>
      </w:pPr>
      <w:r w:rsidRPr="000F6A66">
        <w:rPr>
          <w:lang w:val="fr-FR"/>
        </w:rPr>
        <w:t>Des liens étaient envisagés avec le projet DA_4_10_01, Propriété intellectuelle et commercialisation de produits aux fins de développement des entreprises dans les pays en développement et les pays les moins avancés, et les projets DA_10_01 et DA_10_02, concernant respectivement les phases I et II du projet pilote de création de nouvelles académies nationales de la propriété intellectuelle.</w:t>
      </w:r>
    </w:p>
    <w:p w14:paraId="5F5C0F9D" w14:textId="183C0579" w:rsidR="00675065" w:rsidRPr="000F6A66" w:rsidRDefault="00675065" w:rsidP="00B85C11">
      <w:pPr>
        <w:pStyle w:val="ONUMFS"/>
        <w:rPr>
          <w:lang w:val="fr-FR"/>
        </w:rPr>
      </w:pPr>
      <w:r w:rsidRPr="000F6A66">
        <w:rPr>
          <w:lang w:val="fr-FR"/>
        </w:rPr>
        <w:t>Le projet était pertinent en ce qui concerne les recommandations ci</w:t>
      </w:r>
      <w:r w:rsidR="001B04F7" w:rsidRPr="000F6A66">
        <w:rPr>
          <w:lang w:val="fr-FR"/>
        </w:rPr>
        <w:t>-</w:t>
      </w:r>
      <w:r w:rsidRPr="000F6A66">
        <w:rPr>
          <w:lang w:val="fr-FR"/>
        </w:rPr>
        <w:t>dessus du Plan d</w:t>
      </w:r>
      <w:r w:rsidR="001B04F7" w:rsidRPr="000F6A66">
        <w:rPr>
          <w:lang w:val="fr-FR"/>
        </w:rPr>
        <w:t>’</w:t>
      </w:r>
      <w:r w:rsidRPr="000F6A66">
        <w:rPr>
          <w:lang w:val="fr-FR"/>
        </w:rPr>
        <w:t>action pour le développement, même si le lien avec ces recommandations (à l</w:t>
      </w:r>
      <w:r w:rsidR="001B04F7" w:rsidRPr="000F6A66">
        <w:rPr>
          <w:lang w:val="fr-FR"/>
        </w:rPr>
        <w:t>’</w:t>
      </w:r>
      <w:r w:rsidRPr="000F6A66">
        <w:rPr>
          <w:lang w:val="fr-FR"/>
        </w:rPr>
        <w:t>exception de la recommandation n° 1 du Plan d</w:t>
      </w:r>
      <w:r w:rsidR="001B04F7" w:rsidRPr="000F6A66">
        <w:rPr>
          <w:lang w:val="fr-FR"/>
        </w:rPr>
        <w:t>’</w:t>
      </w:r>
      <w:r w:rsidRPr="000F6A66">
        <w:rPr>
          <w:lang w:val="fr-FR"/>
        </w:rPr>
        <w:t>action pour le développement) n</w:t>
      </w:r>
      <w:r w:rsidR="001B04F7" w:rsidRPr="000F6A66">
        <w:rPr>
          <w:lang w:val="fr-FR"/>
        </w:rPr>
        <w:t>’</w:t>
      </w:r>
      <w:r w:rsidRPr="000F6A66">
        <w:rPr>
          <w:lang w:val="fr-FR"/>
        </w:rPr>
        <w:t>est pas évide</w:t>
      </w:r>
      <w:r w:rsidR="00655442" w:rsidRPr="000F6A66">
        <w:rPr>
          <w:lang w:val="fr-FR"/>
        </w:rPr>
        <w:t>nt.  Il</w:t>
      </w:r>
      <w:r w:rsidRPr="000F6A66">
        <w:rPr>
          <w:lang w:val="fr-FR"/>
        </w:rPr>
        <w:t xml:space="preserve"> n</w:t>
      </w:r>
      <w:r w:rsidR="001B04F7" w:rsidRPr="000F6A66">
        <w:rPr>
          <w:lang w:val="fr-FR"/>
        </w:rPr>
        <w:t>’</w:t>
      </w:r>
      <w:r w:rsidRPr="000F6A66">
        <w:rPr>
          <w:lang w:val="fr-FR"/>
        </w:rPr>
        <w:t>existe aucune recommandation du Plan d</w:t>
      </w:r>
      <w:r w:rsidR="001B04F7" w:rsidRPr="000F6A66">
        <w:rPr>
          <w:lang w:val="fr-FR"/>
        </w:rPr>
        <w:t>’</w:t>
      </w:r>
      <w:r w:rsidRPr="000F6A66">
        <w:rPr>
          <w:lang w:val="fr-FR"/>
        </w:rPr>
        <w:t>action pour le développement directement en lien avec le thème de la propriété intellectuelle au service du développement du tourisme.</w:t>
      </w:r>
    </w:p>
    <w:p w14:paraId="69CFE029" w14:textId="18BE096B" w:rsidR="00675065" w:rsidRPr="000F6A66" w:rsidRDefault="00675065" w:rsidP="00B85C11">
      <w:pPr>
        <w:pStyle w:val="ONUMFS"/>
        <w:rPr>
          <w:lang w:val="fr-FR"/>
        </w:rPr>
      </w:pPr>
      <w:r w:rsidRPr="000F6A66">
        <w:rPr>
          <w:lang w:val="fr-FR"/>
        </w:rPr>
        <w:t>Les recommandations du Plan d</w:t>
      </w:r>
      <w:r w:rsidR="001B04F7" w:rsidRPr="000F6A66">
        <w:rPr>
          <w:lang w:val="fr-FR"/>
        </w:rPr>
        <w:t>’</w:t>
      </w:r>
      <w:r w:rsidRPr="000F6A66">
        <w:rPr>
          <w:lang w:val="fr-FR"/>
        </w:rPr>
        <w:t>action pour le développement portent en général sur des questions qui doivent être traitées pour améliorer la valorisation des droits de propriété intellectuelle à des fins de développeme</w:t>
      </w:r>
      <w:r w:rsidR="00655442" w:rsidRPr="000F6A66">
        <w:rPr>
          <w:lang w:val="fr-FR"/>
        </w:rPr>
        <w:t>nt.  El</w:t>
      </w:r>
      <w:r w:rsidRPr="000F6A66">
        <w:rPr>
          <w:lang w:val="fr-FR"/>
        </w:rPr>
        <w:t>les ne sont généralement pas propres à un secteur déterminé, même si certaines questions soulevées dans le Plan d</w:t>
      </w:r>
      <w:r w:rsidR="001B04F7" w:rsidRPr="000F6A66">
        <w:rPr>
          <w:lang w:val="fr-FR"/>
        </w:rPr>
        <w:t>’</w:t>
      </w:r>
      <w:r w:rsidRPr="000F6A66">
        <w:rPr>
          <w:lang w:val="fr-FR"/>
        </w:rPr>
        <w:t>action pour le développement sont plus pertinentes pour certains secteurs que pour d</w:t>
      </w:r>
      <w:r w:rsidR="001B04F7" w:rsidRPr="000F6A66">
        <w:rPr>
          <w:lang w:val="fr-FR"/>
        </w:rPr>
        <w:t>’</w:t>
      </w:r>
      <w:r w:rsidRPr="000F6A66">
        <w:rPr>
          <w:lang w:val="fr-FR"/>
        </w:rPr>
        <w:t>autr</w:t>
      </w:r>
      <w:r w:rsidR="00655442" w:rsidRPr="000F6A66">
        <w:rPr>
          <w:lang w:val="fr-FR"/>
        </w:rPr>
        <w:t>es.  Le</w:t>
      </w:r>
      <w:r w:rsidRPr="000F6A66">
        <w:rPr>
          <w:lang w:val="fr-FR"/>
        </w:rPr>
        <w:t>s programmes ordinaires de l</w:t>
      </w:r>
      <w:r w:rsidR="001B04F7" w:rsidRPr="000F6A66">
        <w:rPr>
          <w:lang w:val="fr-FR"/>
        </w:rPr>
        <w:t>’</w:t>
      </w:r>
      <w:r w:rsidRPr="000F6A66">
        <w:rPr>
          <w:lang w:val="fr-FR"/>
        </w:rPr>
        <w:t>OMPI ne sont pas non plus propres à un secteur déterminé.</w:t>
      </w:r>
    </w:p>
    <w:p w14:paraId="66D774D6" w14:textId="4BB0735A" w:rsidR="00675065" w:rsidRPr="000F6A66" w:rsidRDefault="00675065" w:rsidP="00B85C11">
      <w:pPr>
        <w:pStyle w:val="ONUMFS"/>
        <w:rPr>
          <w:lang w:val="fr-FR"/>
        </w:rPr>
      </w:pPr>
      <w:r w:rsidRPr="000F6A66">
        <w:rPr>
          <w:lang w:val="fr-FR"/>
        </w:rPr>
        <w:t>L</w:t>
      </w:r>
      <w:r w:rsidR="001B04F7" w:rsidRPr="000F6A66">
        <w:rPr>
          <w:lang w:val="fr-FR"/>
        </w:rPr>
        <w:t>’</w:t>
      </w:r>
      <w:r w:rsidRPr="000F6A66">
        <w:rPr>
          <w:lang w:val="fr-FR"/>
        </w:rPr>
        <w:t>appui fourni dans le cadre du projet appliquait les instruments existants de l</w:t>
      </w:r>
      <w:r w:rsidR="001B04F7" w:rsidRPr="000F6A66">
        <w:rPr>
          <w:lang w:val="fr-FR"/>
        </w:rPr>
        <w:t>’</w:t>
      </w:r>
      <w:r w:rsidRPr="000F6A66">
        <w:rPr>
          <w:lang w:val="fr-FR"/>
        </w:rPr>
        <w:t>OMPI du programme 3 (Droit d</w:t>
      </w:r>
      <w:r w:rsidR="001B04F7" w:rsidRPr="000F6A66">
        <w:rPr>
          <w:lang w:val="fr-FR"/>
        </w:rPr>
        <w:t>’</w:t>
      </w:r>
      <w:r w:rsidRPr="000F6A66">
        <w:rPr>
          <w:lang w:val="fr-FR"/>
        </w:rPr>
        <w:t>auteur et droits connexes), du programme 4 (Savoirs traditionnels, expressions culturelles traditionnelles et ressources génétiques), du programme 16 (Études économiques), du programme 30 (PME et création d</w:t>
      </w:r>
      <w:r w:rsidR="001B04F7" w:rsidRPr="000F6A66">
        <w:rPr>
          <w:lang w:val="fr-FR"/>
        </w:rPr>
        <w:t>’</w:t>
      </w:r>
      <w:r w:rsidRPr="000F6A66">
        <w:rPr>
          <w:lang w:val="fr-FR"/>
        </w:rPr>
        <w:t>entreprises) et certains éléments du programme 11 (Académie de l</w:t>
      </w:r>
      <w:r w:rsidR="001B04F7" w:rsidRPr="000F6A66">
        <w:rPr>
          <w:lang w:val="fr-FR"/>
        </w:rPr>
        <w:t>’</w:t>
      </w:r>
      <w:r w:rsidRPr="000F6A66">
        <w:rPr>
          <w:lang w:val="fr-FR"/>
        </w:rPr>
        <w:t>OMPI) au secteur du tourisme dans les quatre pays bénéficiair</w:t>
      </w:r>
      <w:r w:rsidR="00655442" w:rsidRPr="000F6A66">
        <w:rPr>
          <w:lang w:val="fr-FR"/>
        </w:rPr>
        <w:t>es.  Le</w:t>
      </w:r>
      <w:r w:rsidRPr="000F6A66">
        <w:rPr>
          <w:lang w:val="fr-FR"/>
        </w:rPr>
        <w:t xml:space="preserve"> projet est lié au programme 18 (Défis mondiaux) par l</w:t>
      </w:r>
      <w:r w:rsidR="001B04F7" w:rsidRPr="000F6A66">
        <w:rPr>
          <w:lang w:val="fr-FR"/>
        </w:rPr>
        <w:t>’</w:t>
      </w:r>
      <w:r w:rsidRPr="000F6A66">
        <w:rPr>
          <w:lang w:val="fr-FR"/>
        </w:rPr>
        <w:t>intermédiaire du thème du tourisme durable souligné par les études.</w:t>
      </w:r>
    </w:p>
    <w:p w14:paraId="72AA1DD1" w14:textId="3589F1C5" w:rsidR="00675065" w:rsidRPr="000F6A66" w:rsidRDefault="00675065" w:rsidP="00B85C11">
      <w:pPr>
        <w:pStyle w:val="ONUMFS"/>
        <w:rPr>
          <w:lang w:val="fr-FR"/>
        </w:rPr>
      </w:pPr>
      <w:r w:rsidRPr="000F6A66">
        <w:rPr>
          <w:lang w:val="fr-FR"/>
        </w:rPr>
        <w:t>Le tourisme ne constitue pas en soi un secteur d</w:t>
      </w:r>
      <w:r w:rsidR="001B04F7" w:rsidRPr="000F6A66">
        <w:rPr>
          <w:lang w:val="fr-FR"/>
        </w:rPr>
        <w:t>’</w:t>
      </w:r>
      <w:r w:rsidRPr="000F6A66">
        <w:rPr>
          <w:lang w:val="fr-FR"/>
        </w:rPr>
        <w:t>activité qui repose sur la valorisation de la propriété intellectuelle, comme les industries de la créati</w:t>
      </w:r>
      <w:r w:rsidR="00655442" w:rsidRPr="000F6A66">
        <w:rPr>
          <w:lang w:val="fr-FR"/>
        </w:rPr>
        <w:t>on.  Le</w:t>
      </w:r>
      <w:r w:rsidRPr="000F6A66">
        <w:rPr>
          <w:lang w:val="fr-FR"/>
        </w:rPr>
        <w:t>s aspects touchant à la propriété intellectuelle concernent le développement du tourisme, mais ne sont qu</w:t>
      </w:r>
      <w:r w:rsidR="001B04F7" w:rsidRPr="000F6A66">
        <w:rPr>
          <w:lang w:val="fr-FR"/>
        </w:rPr>
        <w:t>’</w:t>
      </w:r>
      <w:r w:rsidRPr="000F6A66">
        <w:rPr>
          <w:lang w:val="fr-FR"/>
        </w:rPr>
        <w:t>un des nombreux éléments pouvant potentiellement contribuer à l</w:t>
      </w:r>
      <w:r w:rsidR="001B04F7" w:rsidRPr="000F6A66">
        <w:rPr>
          <w:lang w:val="fr-FR"/>
        </w:rPr>
        <w:t>’</w:t>
      </w:r>
      <w:r w:rsidRPr="000F6A66">
        <w:rPr>
          <w:lang w:val="fr-FR"/>
        </w:rPr>
        <w:t>élaboration de produits touristiques compétiti</w:t>
      </w:r>
      <w:r w:rsidR="00655442" w:rsidRPr="000F6A66">
        <w:rPr>
          <w:lang w:val="fr-FR"/>
        </w:rPr>
        <w:t>fs.  Fo</w:t>
      </w:r>
      <w:r w:rsidRPr="000F6A66">
        <w:rPr>
          <w:lang w:val="fr-FR"/>
        </w:rPr>
        <w:t>urnir un appui complet aux fins du développement du tourisme requiert de toute évidence une approche globale, qui dépasse le mandat de l</w:t>
      </w:r>
      <w:r w:rsidR="001B04F7" w:rsidRPr="000F6A66">
        <w:rPr>
          <w:lang w:val="fr-FR"/>
        </w:rPr>
        <w:t>’</w:t>
      </w:r>
      <w:r w:rsidRPr="000F6A66">
        <w:rPr>
          <w:lang w:val="fr-FR"/>
        </w:rPr>
        <w:t>OMPI et la portée d</w:t>
      </w:r>
      <w:r w:rsidR="001B04F7" w:rsidRPr="000F6A66">
        <w:rPr>
          <w:lang w:val="fr-FR"/>
        </w:rPr>
        <w:t>’</w:t>
      </w:r>
      <w:r w:rsidRPr="000F6A66">
        <w:rPr>
          <w:lang w:val="fr-FR"/>
        </w:rPr>
        <w:t>un projet de petite envergure relevant du Plan d</w:t>
      </w:r>
      <w:r w:rsidR="001B04F7" w:rsidRPr="000F6A66">
        <w:rPr>
          <w:lang w:val="fr-FR"/>
        </w:rPr>
        <w:t>’</w:t>
      </w:r>
      <w:r w:rsidRPr="000F6A66">
        <w:rPr>
          <w:lang w:val="fr-FR"/>
        </w:rPr>
        <w:t>action pour le développement.</w:t>
      </w:r>
    </w:p>
    <w:p w14:paraId="0346C03C" w14:textId="36592129" w:rsidR="00675065" w:rsidRPr="000F6A66" w:rsidRDefault="00675065" w:rsidP="00B85C11">
      <w:pPr>
        <w:pStyle w:val="ONUMFS"/>
        <w:rPr>
          <w:lang w:val="fr-FR"/>
        </w:rPr>
      </w:pPr>
      <w:r w:rsidRPr="000F6A66">
        <w:rPr>
          <w:lang w:val="fr-FR"/>
        </w:rPr>
        <w:t>Les projets relevant du Plan d</w:t>
      </w:r>
      <w:r w:rsidR="001B04F7" w:rsidRPr="000F6A66">
        <w:rPr>
          <w:lang w:val="fr-FR"/>
        </w:rPr>
        <w:t>’</w:t>
      </w:r>
      <w:r w:rsidRPr="000F6A66">
        <w:rPr>
          <w:lang w:val="fr-FR"/>
        </w:rPr>
        <w:t>action pour le développement qui ne sont pas directement liés aux recommandations du Plan d</w:t>
      </w:r>
      <w:r w:rsidR="001B04F7" w:rsidRPr="000F6A66">
        <w:rPr>
          <w:lang w:val="fr-FR"/>
        </w:rPr>
        <w:t>’</w:t>
      </w:r>
      <w:r w:rsidRPr="000F6A66">
        <w:rPr>
          <w:lang w:val="fr-FR"/>
        </w:rPr>
        <w:t>action pour le développement et couvrent de nouveaux domaines d</w:t>
      </w:r>
      <w:r w:rsidR="001B04F7" w:rsidRPr="000F6A66">
        <w:rPr>
          <w:lang w:val="fr-FR"/>
        </w:rPr>
        <w:t>’</w:t>
      </w:r>
      <w:r w:rsidRPr="000F6A66">
        <w:rPr>
          <w:lang w:val="fr-FR"/>
        </w:rPr>
        <w:t>activité devraient faire l</w:t>
      </w:r>
      <w:r w:rsidR="001B04F7" w:rsidRPr="000F6A66">
        <w:rPr>
          <w:lang w:val="fr-FR"/>
        </w:rPr>
        <w:t>’</w:t>
      </w:r>
      <w:r w:rsidRPr="000F6A66">
        <w:rPr>
          <w:lang w:val="fr-FR"/>
        </w:rPr>
        <w:t>objet de discussions préalables entre les États membr</w:t>
      </w:r>
      <w:r w:rsidR="00655442" w:rsidRPr="000F6A66">
        <w:rPr>
          <w:lang w:val="fr-FR"/>
        </w:rPr>
        <w:t>es.  Ce</w:t>
      </w:r>
      <w:r w:rsidRPr="000F6A66">
        <w:rPr>
          <w:lang w:val="fr-FR"/>
        </w:rPr>
        <w:t>la aiderait le Secrétariat à s</w:t>
      </w:r>
      <w:r w:rsidR="001B04F7" w:rsidRPr="000F6A66">
        <w:rPr>
          <w:lang w:val="fr-FR"/>
        </w:rPr>
        <w:t>’</w:t>
      </w:r>
      <w:r w:rsidRPr="000F6A66">
        <w:rPr>
          <w:lang w:val="fr-FR"/>
        </w:rPr>
        <w:t>assurer qu</w:t>
      </w:r>
      <w:r w:rsidR="001B04F7" w:rsidRPr="000F6A66">
        <w:rPr>
          <w:lang w:val="fr-FR"/>
        </w:rPr>
        <w:t>’</w:t>
      </w:r>
      <w:r w:rsidRPr="000F6A66">
        <w:rPr>
          <w:lang w:val="fr-FR"/>
        </w:rPr>
        <w:t>il soit satisfait aux attentes et aux besoins des États membr</w:t>
      </w:r>
      <w:r w:rsidR="00655442" w:rsidRPr="000F6A66">
        <w:rPr>
          <w:lang w:val="fr-FR"/>
        </w:rPr>
        <w:t>es.  Le</w:t>
      </w:r>
      <w:r w:rsidRPr="000F6A66">
        <w:rPr>
          <w:lang w:val="fr-FR"/>
        </w:rPr>
        <w:t>s nouveaux projets pourraient ainsi bénéficier de toutes les ressources internes existantes et des enseignements tirés dans le cadre des programmes pertinents existan</w:t>
      </w:r>
      <w:r w:rsidR="00655442" w:rsidRPr="000F6A66">
        <w:rPr>
          <w:lang w:val="fr-FR"/>
        </w:rPr>
        <w:t>ts.  Ce</w:t>
      </w:r>
      <w:r w:rsidRPr="000F6A66">
        <w:rPr>
          <w:lang w:val="fr-FR"/>
        </w:rPr>
        <w:t xml:space="preserve"> travail pourrait être fait au moyen d</w:t>
      </w:r>
      <w:r w:rsidR="001B04F7" w:rsidRPr="000F6A66">
        <w:rPr>
          <w:lang w:val="fr-FR"/>
        </w:rPr>
        <w:t>’</w:t>
      </w:r>
      <w:r w:rsidRPr="000F6A66">
        <w:rPr>
          <w:lang w:val="fr-FR"/>
        </w:rPr>
        <w:t>un document de travail standard présenté au CDIP</w:t>
      </w:r>
      <w:r w:rsidRPr="000F6A66">
        <w:rPr>
          <w:rStyle w:val="FootnoteReference"/>
          <w:lang w:val="fr-FR"/>
        </w:rPr>
        <w:footnoteReference w:id="15"/>
      </w:r>
      <w:r w:rsidRPr="000F6A66">
        <w:rPr>
          <w:lang w:val="fr-FR"/>
        </w:rPr>
        <w:t>.</w:t>
      </w:r>
    </w:p>
    <w:p w14:paraId="4C496116" w14:textId="4DAEF7BA" w:rsidR="00675065" w:rsidRPr="000F6A66" w:rsidRDefault="00675065" w:rsidP="00B85C11">
      <w:pPr>
        <w:pStyle w:val="Heading3"/>
        <w:rPr>
          <w:lang w:val="fr-FR"/>
        </w:rPr>
      </w:pPr>
      <w:bookmarkStart w:id="43" w:name="_Toc20991653"/>
      <w:r w:rsidRPr="000F6A66">
        <w:rPr>
          <w:lang w:val="fr-FR"/>
        </w:rPr>
        <w:t>Pertinence pour les bénéficiaires</w:t>
      </w:r>
      <w:bookmarkEnd w:id="43"/>
    </w:p>
    <w:p w14:paraId="4C626F04" w14:textId="77777777" w:rsidR="00B85C11" w:rsidRPr="000F6A66" w:rsidRDefault="00B85C11" w:rsidP="00B85C11">
      <w:pPr>
        <w:rPr>
          <w:lang w:val="fr-FR"/>
        </w:rPr>
      </w:pPr>
    </w:p>
    <w:p w14:paraId="361E780A" w14:textId="08F5B8CD" w:rsidR="00675065" w:rsidRPr="000F6A66" w:rsidRDefault="00675065" w:rsidP="00B85C11">
      <w:pPr>
        <w:pStyle w:val="ONUMFS"/>
        <w:rPr>
          <w:lang w:val="fr-FR"/>
        </w:rPr>
      </w:pPr>
      <w:r w:rsidRPr="000F6A66">
        <w:rPr>
          <w:lang w:val="fr-FR"/>
        </w:rPr>
        <w:t>Toutes les parties prenantes interrogées, parmi lesquelles aucune ne représentait le secteur du tourisme, ont confirmé que l</w:t>
      </w:r>
      <w:r w:rsidR="001B04F7" w:rsidRPr="000F6A66">
        <w:rPr>
          <w:lang w:val="fr-FR"/>
        </w:rPr>
        <w:t>’</w:t>
      </w:r>
      <w:r w:rsidRPr="000F6A66">
        <w:rPr>
          <w:lang w:val="fr-FR"/>
        </w:rPr>
        <w:t>assistance fournie par l</w:t>
      </w:r>
      <w:r w:rsidR="001B04F7" w:rsidRPr="000F6A66">
        <w:rPr>
          <w:lang w:val="fr-FR"/>
        </w:rPr>
        <w:t>’</w:t>
      </w:r>
      <w:r w:rsidRPr="000F6A66">
        <w:rPr>
          <w:lang w:val="fr-FR"/>
        </w:rPr>
        <w:t xml:space="preserve">OMPI avait pleinement satisfait </w:t>
      </w:r>
      <w:r w:rsidRPr="000F6A66">
        <w:rPr>
          <w:lang w:val="fr-FR"/>
        </w:rPr>
        <w:lastRenderedPageBreak/>
        <w:t>leurs besoi</w:t>
      </w:r>
      <w:r w:rsidR="00655442" w:rsidRPr="000F6A66">
        <w:rPr>
          <w:lang w:val="fr-FR"/>
        </w:rPr>
        <w:t>ns.  De</w:t>
      </w:r>
      <w:r w:rsidRPr="000F6A66">
        <w:rPr>
          <w:lang w:val="fr-FR"/>
        </w:rPr>
        <w:t xml:space="preserve"> manière générale, le projet visait les pays possédant un fort potentiel touristiq</w:t>
      </w:r>
      <w:r w:rsidR="00655442" w:rsidRPr="000F6A66">
        <w:rPr>
          <w:lang w:val="fr-FR"/>
        </w:rPr>
        <w:t>ue.  Le</w:t>
      </w:r>
      <w:r w:rsidRPr="000F6A66">
        <w:rPr>
          <w:lang w:val="fr-FR"/>
        </w:rPr>
        <w:t xml:space="preserve"> degré d</w:t>
      </w:r>
      <w:r w:rsidR="001B04F7" w:rsidRPr="000F6A66">
        <w:rPr>
          <w:lang w:val="fr-FR"/>
        </w:rPr>
        <w:t>’</w:t>
      </w:r>
      <w:r w:rsidRPr="000F6A66">
        <w:rPr>
          <w:lang w:val="fr-FR"/>
        </w:rPr>
        <w:t>appropriation et d</w:t>
      </w:r>
      <w:r w:rsidR="001B04F7" w:rsidRPr="000F6A66">
        <w:rPr>
          <w:lang w:val="fr-FR"/>
        </w:rPr>
        <w:t>’</w:t>
      </w:r>
      <w:r w:rsidRPr="000F6A66">
        <w:rPr>
          <w:lang w:val="fr-FR"/>
        </w:rPr>
        <w:t>enthousiasme variait cependant selon les pays bénéficiair</w:t>
      </w:r>
      <w:r w:rsidR="00655442" w:rsidRPr="000F6A66">
        <w:rPr>
          <w:lang w:val="fr-FR"/>
        </w:rPr>
        <w:t>es.  Ce</w:t>
      </w:r>
      <w:r w:rsidRPr="000F6A66">
        <w:rPr>
          <w:lang w:val="fr-FR"/>
        </w:rPr>
        <w:t>la venait probablement du fait que, du moins au départ, le projet était piloté par des parties prenantes de la propriété intellectuelle plutôt que par des parties prenantes du secteur du tourisme et que, pour ces derniers, l</w:t>
      </w:r>
      <w:r w:rsidR="001B04F7" w:rsidRPr="000F6A66">
        <w:rPr>
          <w:lang w:val="fr-FR"/>
        </w:rPr>
        <w:t>’</w:t>
      </w:r>
      <w:r w:rsidRPr="000F6A66">
        <w:rPr>
          <w:lang w:val="fr-FR"/>
        </w:rPr>
        <w:t>appui fourni dans d</w:t>
      </w:r>
      <w:r w:rsidR="001B04F7" w:rsidRPr="000F6A66">
        <w:rPr>
          <w:lang w:val="fr-FR"/>
        </w:rPr>
        <w:t>’</w:t>
      </w:r>
      <w:r w:rsidRPr="000F6A66">
        <w:rPr>
          <w:lang w:val="fr-FR"/>
        </w:rPr>
        <w:t>autres domaines du développement du tourisme était plus important que la valorisation de la propriété intellectuelle.</w:t>
      </w:r>
    </w:p>
    <w:p w14:paraId="49EFE974" w14:textId="348BC231" w:rsidR="00675065" w:rsidRPr="000F6A66" w:rsidRDefault="00675065" w:rsidP="00B85C11">
      <w:pPr>
        <w:pStyle w:val="Heading2"/>
        <w:rPr>
          <w:lang w:val="fr-FR"/>
        </w:rPr>
      </w:pPr>
      <w:bookmarkStart w:id="44" w:name="_Toc20991654"/>
      <w:r w:rsidRPr="000F6A66">
        <w:rPr>
          <w:lang w:val="fr-FR"/>
        </w:rPr>
        <w:t>Efficacité</w:t>
      </w:r>
      <w:bookmarkEnd w:id="44"/>
    </w:p>
    <w:p w14:paraId="70A5A99D" w14:textId="77777777" w:rsidR="00B85C11" w:rsidRPr="000F6A66" w:rsidRDefault="00B85C11" w:rsidP="00B85C11">
      <w:pPr>
        <w:rPr>
          <w:lang w:val="fr-FR"/>
        </w:rPr>
      </w:pPr>
    </w:p>
    <w:p w14:paraId="13DBEE78" w14:textId="76D81305" w:rsidR="00675065" w:rsidRPr="000F6A66" w:rsidRDefault="00675065" w:rsidP="00B85C11">
      <w:pPr>
        <w:pStyle w:val="ONUMFS"/>
        <w:rPr>
          <w:lang w:val="fr-FR"/>
        </w:rPr>
      </w:pPr>
      <w:r w:rsidRPr="000F6A66">
        <w:rPr>
          <w:lang w:val="fr-FR"/>
        </w:rPr>
        <w:t>Compte tenu des limites expliquées ci</w:t>
      </w:r>
      <w:r w:rsidR="001B04F7" w:rsidRPr="000F6A66">
        <w:rPr>
          <w:lang w:val="fr-FR"/>
        </w:rPr>
        <w:t>-</w:t>
      </w:r>
      <w:r w:rsidRPr="000F6A66">
        <w:rPr>
          <w:lang w:val="fr-FR"/>
        </w:rPr>
        <w:t>dessus, l</w:t>
      </w:r>
      <w:r w:rsidR="001B04F7" w:rsidRPr="000F6A66">
        <w:rPr>
          <w:lang w:val="fr-FR"/>
        </w:rPr>
        <w:t>’</w:t>
      </w:r>
      <w:r w:rsidRPr="000F6A66">
        <w:rPr>
          <w:lang w:val="fr-FR"/>
        </w:rPr>
        <w:t>accent a été mis principalement sur l</w:t>
      </w:r>
      <w:r w:rsidR="001B04F7" w:rsidRPr="000F6A66">
        <w:rPr>
          <w:lang w:val="fr-FR"/>
        </w:rPr>
        <w:t>’</w:t>
      </w:r>
      <w:r w:rsidRPr="000F6A66">
        <w:rPr>
          <w:lang w:val="fr-FR"/>
        </w:rPr>
        <w:t>évaluation des produits escomptés et des résultats finaux directement attribuables.</w:t>
      </w:r>
    </w:p>
    <w:p w14:paraId="77583793" w14:textId="3C3344E1" w:rsidR="00675065" w:rsidRPr="000F6A66" w:rsidRDefault="00675065" w:rsidP="00B85C11">
      <w:pPr>
        <w:pStyle w:val="ONUMFS"/>
        <w:rPr>
          <w:lang w:val="fr-FR"/>
        </w:rPr>
      </w:pPr>
      <w:r w:rsidRPr="000F6A66">
        <w:rPr>
          <w:lang w:val="fr-FR"/>
        </w:rPr>
        <w:t>Sur la base d</w:t>
      </w:r>
      <w:r w:rsidR="001B04F7" w:rsidRPr="000F6A66">
        <w:rPr>
          <w:lang w:val="fr-FR"/>
        </w:rPr>
        <w:t>’</w:t>
      </w:r>
      <w:r w:rsidRPr="000F6A66">
        <w:rPr>
          <w:lang w:val="fr-FR"/>
        </w:rPr>
        <w:t>une validation effectuée au moyen d</w:t>
      </w:r>
      <w:r w:rsidR="001B04F7" w:rsidRPr="000F6A66">
        <w:rPr>
          <w:lang w:val="fr-FR"/>
        </w:rPr>
        <w:t>’</w:t>
      </w:r>
      <w:r w:rsidRPr="000F6A66">
        <w:rPr>
          <w:lang w:val="fr-FR"/>
        </w:rPr>
        <w:t>un examen préliminaire des rapports, d</w:t>
      </w:r>
      <w:r w:rsidR="001B04F7" w:rsidRPr="000F6A66">
        <w:rPr>
          <w:lang w:val="fr-FR"/>
        </w:rPr>
        <w:t>’</w:t>
      </w:r>
      <w:r w:rsidRPr="000F6A66">
        <w:rPr>
          <w:lang w:val="fr-FR"/>
        </w:rPr>
        <w:t>enquêtes internes et d</w:t>
      </w:r>
      <w:r w:rsidR="001B04F7" w:rsidRPr="000F6A66">
        <w:rPr>
          <w:lang w:val="fr-FR"/>
        </w:rPr>
        <w:t>’</w:t>
      </w:r>
      <w:r w:rsidRPr="000F6A66">
        <w:rPr>
          <w:lang w:val="fr-FR"/>
        </w:rPr>
        <w:t>entretiens, l</w:t>
      </w:r>
      <w:r w:rsidR="001B04F7" w:rsidRPr="000F6A66">
        <w:rPr>
          <w:lang w:val="fr-FR"/>
        </w:rPr>
        <w:t>’</w:t>
      </w:r>
      <w:r w:rsidRPr="000F6A66">
        <w:rPr>
          <w:lang w:val="fr-FR"/>
        </w:rPr>
        <w:t>évaluateur approuve le projet de rapport relatif à l</w:t>
      </w:r>
      <w:r w:rsidR="001B04F7" w:rsidRPr="000F6A66">
        <w:rPr>
          <w:lang w:val="fr-FR"/>
        </w:rPr>
        <w:t>’</w:t>
      </w:r>
      <w:r w:rsidRPr="000F6A66">
        <w:rPr>
          <w:lang w:val="fr-FR"/>
        </w:rPr>
        <w:t>achèvement du projet établi par le chef de proj</w:t>
      </w:r>
      <w:r w:rsidR="00655442" w:rsidRPr="000F6A66">
        <w:rPr>
          <w:lang w:val="fr-FR"/>
        </w:rPr>
        <w:t>et.  Le</w:t>
      </w:r>
      <w:r w:rsidRPr="000F6A66">
        <w:rPr>
          <w:lang w:val="fr-FR"/>
        </w:rPr>
        <w:t>s informations manquantes ont été complétées au moyen d</w:t>
      </w:r>
      <w:r w:rsidR="001B04F7" w:rsidRPr="000F6A66">
        <w:rPr>
          <w:lang w:val="fr-FR"/>
        </w:rPr>
        <w:t>’</w:t>
      </w:r>
      <w:r w:rsidRPr="000F6A66">
        <w:rPr>
          <w:lang w:val="fr-FR"/>
        </w:rPr>
        <w:t xml:space="preserve">entretiens, </w:t>
      </w:r>
      <w:r w:rsidR="001B04F7" w:rsidRPr="000F6A66">
        <w:rPr>
          <w:lang w:val="fr-FR"/>
        </w:rPr>
        <w:t>y compris</w:t>
      </w:r>
      <w:r w:rsidRPr="000F6A66">
        <w:rPr>
          <w:lang w:val="fr-FR"/>
        </w:rPr>
        <w:t xml:space="preserve"> avec certains bénéficiaires.</w:t>
      </w:r>
    </w:p>
    <w:p w14:paraId="0E58F545" w14:textId="3958A65B" w:rsidR="00675065" w:rsidRPr="000F6A66" w:rsidRDefault="00675065" w:rsidP="00B85C11">
      <w:pPr>
        <w:pStyle w:val="ONUMFS"/>
        <w:rPr>
          <w:bCs/>
          <w:lang w:val="fr-FR"/>
        </w:rPr>
      </w:pPr>
      <w:r w:rsidRPr="000F6A66">
        <w:rPr>
          <w:bCs/>
          <w:lang w:val="fr-FR"/>
        </w:rPr>
        <w:t>Les principaux produits et les principales activités dont il a été fait état dans le cadre du projet sont indiqués ci</w:t>
      </w:r>
      <w:r w:rsidR="001B04F7" w:rsidRPr="000F6A66">
        <w:rPr>
          <w:bCs/>
          <w:lang w:val="fr-FR"/>
        </w:rPr>
        <w:t>-</w:t>
      </w:r>
      <w:r w:rsidRPr="000F6A66">
        <w:rPr>
          <w:bCs/>
          <w:lang w:val="fr-FR"/>
        </w:rPr>
        <w:t>après</w:t>
      </w:r>
      <w:r w:rsidRPr="000F6A66">
        <w:rPr>
          <w:rStyle w:val="FootnoteReference"/>
          <w:bCs/>
          <w:lang w:val="fr-FR"/>
        </w:rPr>
        <w:footnoteReference w:id="16"/>
      </w:r>
      <w:r w:rsidR="001B04F7" w:rsidRPr="000F6A66">
        <w:rPr>
          <w:bCs/>
          <w:lang w:val="fr-FR"/>
        </w:rPr>
        <w:t> :</w:t>
      </w:r>
    </w:p>
    <w:p w14:paraId="05C61D14" w14:textId="57D4EC92" w:rsidR="00675065" w:rsidRPr="000F6A66" w:rsidRDefault="00675065" w:rsidP="00B85C11">
      <w:pPr>
        <w:pStyle w:val="Heading3"/>
        <w:rPr>
          <w:lang w:val="fr-FR"/>
        </w:rPr>
      </w:pPr>
      <w:bookmarkStart w:id="45" w:name="_Toc20991655"/>
      <w:r w:rsidRPr="000F6A66">
        <w:rPr>
          <w:lang w:val="fr-FR"/>
        </w:rPr>
        <w:t>Mise en place d</w:t>
      </w:r>
      <w:r w:rsidR="001B04F7" w:rsidRPr="000F6A66">
        <w:rPr>
          <w:lang w:val="fr-FR"/>
        </w:rPr>
        <w:t>’</w:t>
      </w:r>
      <w:r w:rsidRPr="000F6A66">
        <w:rPr>
          <w:lang w:val="fr-FR"/>
        </w:rPr>
        <w:t>une structure de coopération</w:t>
      </w:r>
      <w:bookmarkEnd w:id="45"/>
    </w:p>
    <w:p w14:paraId="38EA3335" w14:textId="77777777" w:rsidR="00B85C11" w:rsidRPr="000F6A66" w:rsidRDefault="00B85C11" w:rsidP="00B85C11">
      <w:pPr>
        <w:rPr>
          <w:lang w:val="fr-FR"/>
        </w:rPr>
      </w:pPr>
    </w:p>
    <w:p w14:paraId="1C5646E8" w14:textId="17BF210B" w:rsidR="00675065" w:rsidRPr="000F6A66" w:rsidRDefault="00675065" w:rsidP="00B85C11">
      <w:pPr>
        <w:pStyle w:val="ONUMFS"/>
        <w:rPr>
          <w:lang w:val="fr-FR"/>
        </w:rPr>
      </w:pPr>
      <w:r w:rsidRPr="000F6A66">
        <w:rPr>
          <w:lang w:val="fr-FR"/>
        </w:rPr>
        <w:t>Outre l</w:t>
      </w:r>
      <w:r w:rsidR="001B04F7" w:rsidRPr="000F6A66">
        <w:rPr>
          <w:lang w:val="fr-FR"/>
        </w:rPr>
        <w:t>’</w:t>
      </w:r>
      <w:r w:rsidRPr="000F6A66">
        <w:rPr>
          <w:lang w:val="fr-FR"/>
        </w:rPr>
        <w:t>Égypte, le Secrétariat a sélectionné l</w:t>
      </w:r>
      <w:r w:rsidR="001B04F7" w:rsidRPr="000F6A66">
        <w:rPr>
          <w:lang w:val="fr-FR"/>
        </w:rPr>
        <w:t>’</w:t>
      </w:r>
      <w:r w:rsidRPr="000F6A66">
        <w:rPr>
          <w:lang w:val="fr-FR"/>
        </w:rPr>
        <w:t>Équateur, la Namibie et Sri Lanka comme pays pilot</w:t>
      </w:r>
      <w:r w:rsidR="00655442" w:rsidRPr="000F6A66">
        <w:rPr>
          <w:lang w:val="fr-FR"/>
        </w:rPr>
        <w:t>es.  Ce</w:t>
      </w:r>
      <w:r w:rsidRPr="000F6A66">
        <w:rPr>
          <w:lang w:val="fr-FR"/>
        </w:rPr>
        <w:t>tte sélection a été faite sur la base d</w:t>
      </w:r>
      <w:r w:rsidR="001B04F7" w:rsidRPr="000F6A66">
        <w:rPr>
          <w:lang w:val="fr-FR"/>
        </w:rPr>
        <w:t>’</w:t>
      </w:r>
      <w:r w:rsidRPr="000F6A66">
        <w:rPr>
          <w:lang w:val="fr-FR"/>
        </w:rPr>
        <w:t>un appel à propositions, dans le cadre duquel les pays intéressés devaient soumettre une proposition comprenant les éléments suivants</w:t>
      </w:r>
      <w:r w:rsidR="001B04F7" w:rsidRPr="000F6A66">
        <w:rPr>
          <w:lang w:val="fr-FR"/>
        </w:rPr>
        <w:t> :</w:t>
      </w:r>
    </w:p>
    <w:p w14:paraId="34EB066D" w14:textId="389BF6E7" w:rsidR="00675065" w:rsidRPr="000F6A66" w:rsidRDefault="00675065" w:rsidP="00B85C11">
      <w:pPr>
        <w:pStyle w:val="ONUMFS"/>
        <w:numPr>
          <w:ilvl w:val="1"/>
          <w:numId w:val="5"/>
        </w:numPr>
        <w:rPr>
          <w:lang w:val="fr-FR"/>
        </w:rPr>
      </w:pPr>
      <w:r w:rsidRPr="000F6A66">
        <w:rPr>
          <w:lang w:val="fr-FR"/>
        </w:rPr>
        <w:t>Indication de l</w:t>
      </w:r>
      <w:r w:rsidR="001B04F7" w:rsidRPr="000F6A66">
        <w:rPr>
          <w:lang w:val="fr-FR"/>
        </w:rPr>
        <w:t>’</w:t>
      </w:r>
      <w:r w:rsidRPr="000F6A66">
        <w:rPr>
          <w:lang w:val="fr-FR"/>
        </w:rPr>
        <w:t>agence ou institution principale qui sera chargée de coordonner les activités par pays avec le Secrétariat de l</w:t>
      </w:r>
      <w:r w:rsidR="001B04F7" w:rsidRPr="000F6A66">
        <w:rPr>
          <w:lang w:val="fr-FR"/>
        </w:rPr>
        <w:t>’</w:t>
      </w:r>
      <w:r w:rsidRPr="000F6A66">
        <w:rPr>
          <w:lang w:val="fr-FR"/>
        </w:rPr>
        <w:t>OMPI (p. ex., office de propriété intellectuelle national, office du tourisme national ou local, ONG du secteur, etc.),</w:t>
      </w:r>
    </w:p>
    <w:p w14:paraId="37625CC3" w14:textId="52F64E40" w:rsidR="00675065" w:rsidRPr="000F6A66" w:rsidRDefault="00675065" w:rsidP="00B85C11">
      <w:pPr>
        <w:pStyle w:val="ONUMFS"/>
        <w:numPr>
          <w:ilvl w:val="1"/>
          <w:numId w:val="5"/>
        </w:numPr>
        <w:rPr>
          <w:lang w:val="fr-FR"/>
        </w:rPr>
      </w:pPr>
      <w:r w:rsidRPr="000F6A66">
        <w:rPr>
          <w:lang w:val="fr-FR"/>
        </w:rPr>
        <w:t>Description succincte de l</w:t>
      </w:r>
      <w:r w:rsidR="001B04F7" w:rsidRPr="000F6A66">
        <w:rPr>
          <w:lang w:val="fr-FR"/>
        </w:rPr>
        <w:t>’</w:t>
      </w:r>
      <w:r w:rsidRPr="000F6A66">
        <w:rPr>
          <w:lang w:val="fr-FR"/>
        </w:rPr>
        <w:t>intérêt touristique du pays et environnement commercial de l</w:t>
      </w:r>
      <w:r w:rsidR="001B04F7" w:rsidRPr="000F6A66">
        <w:rPr>
          <w:lang w:val="fr-FR"/>
        </w:rPr>
        <w:t>’</w:t>
      </w:r>
      <w:r w:rsidRPr="000F6A66">
        <w:rPr>
          <w:lang w:val="fr-FR"/>
        </w:rPr>
        <w:t>activité touristique (p. ex., tourisme culturel, tourisme médical, écotourisme, etc.) et</w:t>
      </w:r>
    </w:p>
    <w:p w14:paraId="538D8486" w14:textId="753E4048" w:rsidR="00675065" w:rsidRPr="000F6A66" w:rsidRDefault="00675065" w:rsidP="00B85C11">
      <w:pPr>
        <w:pStyle w:val="ONUMFS"/>
        <w:numPr>
          <w:ilvl w:val="1"/>
          <w:numId w:val="5"/>
        </w:numPr>
        <w:rPr>
          <w:lang w:val="fr-FR"/>
        </w:rPr>
      </w:pPr>
      <w:r w:rsidRPr="000F6A66">
        <w:rPr>
          <w:lang w:val="fr-FR"/>
        </w:rPr>
        <w:t>Aptitude de l</w:t>
      </w:r>
      <w:r w:rsidR="001B04F7" w:rsidRPr="000F6A66">
        <w:rPr>
          <w:lang w:val="fr-FR"/>
        </w:rPr>
        <w:t>’</w:t>
      </w:r>
      <w:r w:rsidRPr="000F6A66">
        <w:rPr>
          <w:lang w:val="fr-FR"/>
        </w:rPr>
        <w:t>agence chargée de la coordination et des autres parties prenantes à poursuivre la mise en œuvre des stratégies proposées une fois le projet achevé.</w:t>
      </w:r>
    </w:p>
    <w:p w14:paraId="7721E0CB" w14:textId="2807E482" w:rsidR="00675065" w:rsidRPr="000F6A66" w:rsidRDefault="00675065" w:rsidP="00B85C11">
      <w:pPr>
        <w:pStyle w:val="ONUMFS"/>
        <w:rPr>
          <w:lang w:val="fr-FR"/>
        </w:rPr>
      </w:pPr>
      <w:r w:rsidRPr="000F6A66">
        <w:rPr>
          <w:lang w:val="fr-FR"/>
        </w:rPr>
        <w:t>Des comités directeurs nationaux ont été créés au sein des agences principales ci</w:t>
      </w:r>
      <w:r w:rsidR="001B04F7" w:rsidRPr="000F6A66">
        <w:rPr>
          <w:lang w:val="fr-FR"/>
        </w:rPr>
        <w:t>-</w:t>
      </w:r>
      <w:r w:rsidRPr="000F6A66">
        <w:rPr>
          <w:lang w:val="fr-FR"/>
        </w:rPr>
        <w:t>après</w:t>
      </w:r>
      <w:r w:rsidR="001B04F7" w:rsidRPr="000F6A66">
        <w:rPr>
          <w:lang w:val="fr-FR"/>
        </w:rPr>
        <w:t> :</w:t>
      </w:r>
    </w:p>
    <w:p w14:paraId="69B9BCF6" w14:textId="3C5FCE3D" w:rsidR="00675065" w:rsidRPr="000F6A66" w:rsidRDefault="00675065" w:rsidP="00B85C11">
      <w:pPr>
        <w:pStyle w:val="ONUMFS"/>
        <w:numPr>
          <w:ilvl w:val="1"/>
          <w:numId w:val="5"/>
        </w:numPr>
        <w:rPr>
          <w:lang w:val="fr-FR"/>
        </w:rPr>
      </w:pPr>
      <w:r w:rsidRPr="000F6A66">
        <w:rPr>
          <w:lang w:val="fr-FR"/>
        </w:rPr>
        <w:t>Service national des droits intellectuels de l</w:t>
      </w:r>
      <w:r w:rsidR="001B04F7" w:rsidRPr="000F6A66">
        <w:rPr>
          <w:lang w:val="fr-FR"/>
        </w:rPr>
        <w:t>’</w:t>
      </w:r>
      <w:r w:rsidRPr="000F6A66">
        <w:rPr>
          <w:lang w:val="fr-FR"/>
        </w:rPr>
        <w:t>Équateur (SENADI)</w:t>
      </w:r>
      <w:r w:rsidRPr="000F6A66">
        <w:rPr>
          <w:rStyle w:val="FootnoteReference"/>
          <w:lang w:val="fr-FR"/>
        </w:rPr>
        <w:footnoteReference w:id="17"/>
      </w:r>
      <w:r w:rsidRPr="000F6A66">
        <w:rPr>
          <w:lang w:val="fr-FR"/>
        </w:rPr>
        <w:t>;</w:t>
      </w:r>
    </w:p>
    <w:p w14:paraId="159314E4" w14:textId="77777777" w:rsidR="00675065" w:rsidRPr="000F6A66" w:rsidRDefault="00675065" w:rsidP="00B85C11">
      <w:pPr>
        <w:pStyle w:val="ONUMFS"/>
        <w:numPr>
          <w:ilvl w:val="1"/>
          <w:numId w:val="5"/>
        </w:numPr>
        <w:rPr>
          <w:lang w:val="fr-FR"/>
        </w:rPr>
      </w:pPr>
      <w:r w:rsidRPr="000F6A66">
        <w:rPr>
          <w:lang w:val="fr-FR"/>
        </w:rPr>
        <w:t>Ministère des affaires étrangères égyptien;</w:t>
      </w:r>
    </w:p>
    <w:p w14:paraId="46953B68" w14:textId="77777777" w:rsidR="00675065" w:rsidRPr="000F6A66" w:rsidRDefault="00675065" w:rsidP="00B85C11">
      <w:pPr>
        <w:pStyle w:val="ONUMFS"/>
        <w:numPr>
          <w:ilvl w:val="1"/>
          <w:numId w:val="5"/>
        </w:numPr>
        <w:rPr>
          <w:lang w:val="fr-FR"/>
        </w:rPr>
      </w:pPr>
      <w:r w:rsidRPr="000F6A66">
        <w:rPr>
          <w:lang w:val="fr-FR"/>
        </w:rPr>
        <w:t>Autorité de la propriété intellectuelle et des entreprises (BIPA) de la Namibie et</w:t>
      </w:r>
    </w:p>
    <w:p w14:paraId="6614D0AE" w14:textId="77777777" w:rsidR="00675065" w:rsidRPr="000F6A66" w:rsidRDefault="00675065" w:rsidP="00B85C11">
      <w:pPr>
        <w:pStyle w:val="ONUMFS"/>
        <w:numPr>
          <w:ilvl w:val="1"/>
          <w:numId w:val="5"/>
        </w:numPr>
        <w:rPr>
          <w:lang w:val="fr-FR"/>
        </w:rPr>
      </w:pPr>
      <w:r w:rsidRPr="000F6A66">
        <w:rPr>
          <w:lang w:val="fr-FR"/>
        </w:rPr>
        <w:t>Autorité de développement du tourisme à Sri Lanka (SLTDA).</w:t>
      </w:r>
    </w:p>
    <w:p w14:paraId="4796A37D" w14:textId="424A412E" w:rsidR="00675065" w:rsidRPr="000F6A66" w:rsidRDefault="00675065" w:rsidP="00B85C11">
      <w:pPr>
        <w:pStyle w:val="ONUMFS"/>
        <w:rPr>
          <w:lang w:val="fr-FR"/>
        </w:rPr>
      </w:pPr>
      <w:r w:rsidRPr="000F6A66">
        <w:rPr>
          <w:lang w:val="fr-FR"/>
        </w:rPr>
        <w:t>Des accords de coopération ont été signés et des courriers échangés entre l</w:t>
      </w:r>
      <w:r w:rsidR="001B04F7" w:rsidRPr="000F6A66">
        <w:rPr>
          <w:lang w:val="fr-FR"/>
        </w:rPr>
        <w:t>’</w:t>
      </w:r>
      <w:r w:rsidRPr="000F6A66">
        <w:rPr>
          <w:lang w:val="fr-FR"/>
        </w:rPr>
        <w:t>OMPI et les agences principales de ces quatre pa</w:t>
      </w:r>
      <w:r w:rsidR="00655442" w:rsidRPr="000F6A66">
        <w:rPr>
          <w:lang w:val="fr-FR"/>
        </w:rPr>
        <w:t>ys.  Ce</w:t>
      </w:r>
      <w:r w:rsidRPr="000F6A66">
        <w:rPr>
          <w:lang w:val="fr-FR"/>
        </w:rPr>
        <w:t>ux</w:t>
      </w:r>
      <w:r w:rsidR="001B04F7" w:rsidRPr="000F6A66">
        <w:rPr>
          <w:lang w:val="fr-FR"/>
        </w:rPr>
        <w:t>-</w:t>
      </w:r>
      <w:r w:rsidRPr="000F6A66">
        <w:rPr>
          <w:lang w:val="fr-FR"/>
        </w:rPr>
        <w:t>ci ont contribué à renforcer l</w:t>
      </w:r>
      <w:r w:rsidR="001B04F7" w:rsidRPr="000F6A66">
        <w:rPr>
          <w:lang w:val="fr-FR"/>
        </w:rPr>
        <w:t>’</w:t>
      </w:r>
      <w:r w:rsidRPr="000F6A66">
        <w:rPr>
          <w:lang w:val="fr-FR"/>
        </w:rPr>
        <w:t>appui politique et l</w:t>
      </w:r>
      <w:r w:rsidR="001B04F7" w:rsidRPr="000F6A66">
        <w:rPr>
          <w:lang w:val="fr-FR"/>
        </w:rPr>
        <w:t>’</w:t>
      </w:r>
      <w:r w:rsidRPr="000F6A66">
        <w:rPr>
          <w:lang w:val="fr-FR"/>
        </w:rPr>
        <w:t>engagement des parties prenant</w:t>
      </w:r>
      <w:r w:rsidR="00655442" w:rsidRPr="000F6A66">
        <w:rPr>
          <w:lang w:val="fr-FR"/>
        </w:rPr>
        <w:t>es.  La</w:t>
      </w:r>
      <w:r w:rsidRPr="000F6A66">
        <w:rPr>
          <w:lang w:val="fr-FR"/>
        </w:rPr>
        <w:t xml:space="preserve"> création, dans trois des quatre pays, de comités directeurs représentant les organismes publics, les opérateurs touristiques privés et les </w:t>
      </w:r>
      <w:r w:rsidRPr="000F6A66">
        <w:rPr>
          <w:lang w:val="fr-FR"/>
        </w:rPr>
        <w:lastRenderedPageBreak/>
        <w:t>institutions universitaires concernés, a permis d</w:t>
      </w:r>
      <w:r w:rsidR="001B04F7" w:rsidRPr="000F6A66">
        <w:rPr>
          <w:lang w:val="fr-FR"/>
        </w:rPr>
        <w:t>’</w:t>
      </w:r>
      <w:r w:rsidRPr="000F6A66">
        <w:rPr>
          <w:lang w:val="fr-FR"/>
        </w:rPr>
        <w:t>assurer une bonne coordination et une bonne visibilité.</w:t>
      </w:r>
    </w:p>
    <w:p w14:paraId="790ACB0C" w14:textId="36F8C33A" w:rsidR="00675065" w:rsidRPr="000F6A66" w:rsidRDefault="00675065" w:rsidP="00B85C11">
      <w:pPr>
        <w:pStyle w:val="Heading3"/>
        <w:rPr>
          <w:lang w:val="fr-FR"/>
        </w:rPr>
      </w:pPr>
      <w:bookmarkStart w:id="46" w:name="_Toc20991656"/>
      <w:r w:rsidRPr="000F6A66">
        <w:rPr>
          <w:lang w:val="fr-FR"/>
        </w:rPr>
        <w:t>Études de cas</w:t>
      </w:r>
      <w:bookmarkEnd w:id="46"/>
    </w:p>
    <w:p w14:paraId="00665D91" w14:textId="77777777" w:rsidR="00B85C11" w:rsidRPr="000F6A66" w:rsidRDefault="00B85C11" w:rsidP="00B85C11">
      <w:pPr>
        <w:rPr>
          <w:lang w:val="fr-FR"/>
        </w:rPr>
      </w:pPr>
    </w:p>
    <w:p w14:paraId="2E1C86FE" w14:textId="07748B75" w:rsidR="00675065" w:rsidRPr="000F6A66" w:rsidRDefault="00675065" w:rsidP="00B85C11">
      <w:pPr>
        <w:pStyle w:val="ONUMFS"/>
        <w:rPr>
          <w:lang w:val="fr-FR"/>
        </w:rPr>
      </w:pPr>
      <w:r w:rsidRPr="000F6A66">
        <w:rPr>
          <w:lang w:val="fr-FR"/>
        </w:rPr>
        <w:t>Six études de cas ont été établies (une en Égypte, deux</w:t>
      </w:r>
      <w:r w:rsidR="004C05D1" w:rsidRPr="000F6A66">
        <w:rPr>
          <w:lang w:val="fr-FR"/>
        </w:rPr>
        <w:t> </w:t>
      </w:r>
      <w:r w:rsidRPr="000F6A66">
        <w:rPr>
          <w:lang w:val="fr-FR"/>
        </w:rPr>
        <w:t>en Équateur, deux en Namibie et une à Sri Lan</w:t>
      </w:r>
      <w:r w:rsidR="00655442" w:rsidRPr="000F6A66">
        <w:rPr>
          <w:lang w:val="fr-FR"/>
        </w:rPr>
        <w:t>ka).  Le</w:t>
      </w:r>
      <w:r w:rsidRPr="000F6A66">
        <w:rPr>
          <w:lang w:val="fr-FR"/>
        </w:rPr>
        <w:t>s résumés de deux études ont été présentés au CDIP</w:t>
      </w:r>
      <w:r w:rsidR="001B04F7" w:rsidRPr="000F6A66">
        <w:rPr>
          <w:lang w:val="fr-FR"/>
        </w:rPr>
        <w:t> :</w:t>
      </w:r>
      <w:r w:rsidRPr="000F6A66">
        <w:rPr>
          <w:lang w:val="fr-FR"/>
        </w:rPr>
        <w:t xml:space="preserve"> l</w:t>
      </w:r>
      <w:r w:rsidR="001B04F7" w:rsidRPr="000F6A66">
        <w:rPr>
          <w:lang w:val="fr-FR"/>
        </w:rPr>
        <w:t>’</w:t>
      </w:r>
      <w:r w:rsidRPr="000F6A66">
        <w:rPr>
          <w:lang w:val="fr-FR"/>
        </w:rPr>
        <w:t>étude sur la propriété intellectuelle</w:t>
      </w:r>
      <w:r w:rsidR="001B04F7" w:rsidRPr="000F6A66">
        <w:rPr>
          <w:lang w:val="fr-FR"/>
        </w:rPr>
        <w:t> :</w:t>
      </w:r>
      <w:r w:rsidRPr="000F6A66">
        <w:rPr>
          <w:lang w:val="fr-FR"/>
        </w:rPr>
        <w:t xml:space="preserve"> La propriété intellectuelle au service du renforcement de l</w:t>
      </w:r>
      <w:r w:rsidR="001B04F7" w:rsidRPr="000F6A66">
        <w:rPr>
          <w:lang w:val="fr-FR"/>
        </w:rPr>
        <w:t>’</w:t>
      </w:r>
      <w:r w:rsidRPr="000F6A66">
        <w:rPr>
          <w:lang w:val="fr-FR"/>
        </w:rPr>
        <w:t>identité provinciale dans le cadre du projet de géoparc d</w:t>
      </w:r>
      <w:r w:rsidR="001B04F7" w:rsidRPr="000F6A66">
        <w:rPr>
          <w:lang w:val="fr-FR"/>
        </w:rPr>
        <w:t>’</w:t>
      </w:r>
      <w:r w:rsidRPr="000F6A66">
        <w:rPr>
          <w:lang w:val="fr-FR"/>
        </w:rPr>
        <w:t>Imbabura</w:t>
      </w:r>
      <w:r w:rsidRPr="000F6A66">
        <w:rPr>
          <w:rStyle w:val="FootnoteReference"/>
          <w:lang w:val="fr-FR"/>
        </w:rPr>
        <w:footnoteReference w:id="18"/>
      </w:r>
      <w:r w:rsidRPr="000F6A66">
        <w:rPr>
          <w:lang w:val="fr-FR"/>
        </w:rPr>
        <w:t xml:space="preserve"> et le résumé de l</w:t>
      </w:r>
      <w:r w:rsidR="001B04F7" w:rsidRPr="000F6A66">
        <w:rPr>
          <w:lang w:val="fr-FR"/>
        </w:rPr>
        <w:t>’</w:t>
      </w:r>
      <w:r w:rsidRPr="000F6A66">
        <w:rPr>
          <w:lang w:val="fr-FR"/>
        </w:rPr>
        <w:t>étude sur la propriété intellectuelle, le tourisme et la culture</w:t>
      </w:r>
      <w:r w:rsidR="001B04F7" w:rsidRPr="000F6A66">
        <w:rPr>
          <w:lang w:val="fr-FR"/>
        </w:rPr>
        <w:t> :</w:t>
      </w:r>
      <w:r w:rsidRPr="000F6A66">
        <w:rPr>
          <w:lang w:val="fr-FR"/>
        </w:rPr>
        <w:t xml:space="preserve"> contribution aux objectifs de développement et promotion du patrimoine culturel en Égypte</w:t>
      </w:r>
      <w:r w:rsidRPr="000F6A66">
        <w:rPr>
          <w:rStyle w:val="FootnoteReference"/>
          <w:lang w:val="fr-FR"/>
        </w:rPr>
        <w:footnoteReference w:id="19"/>
      </w:r>
      <w:r w:rsidRPr="000F6A66">
        <w:rPr>
          <w:lang w:val="fr-FR"/>
        </w:rPr>
        <w:t>.  Selon le chef de projet, l</w:t>
      </w:r>
      <w:r w:rsidR="001B04F7" w:rsidRPr="000F6A66">
        <w:rPr>
          <w:lang w:val="fr-FR"/>
        </w:rPr>
        <w:t>’</w:t>
      </w:r>
      <w:r w:rsidRPr="000F6A66">
        <w:rPr>
          <w:lang w:val="fr-FR"/>
        </w:rPr>
        <w:t>étude relative à Sri Lanka et les deux études de cas relatives à la Namibie seront présentées au CDIP le 24 novembre 2019.</w:t>
      </w:r>
    </w:p>
    <w:p w14:paraId="17738D07" w14:textId="4129E695" w:rsidR="00675065" w:rsidRPr="000F6A66" w:rsidRDefault="00675065" w:rsidP="00B85C11">
      <w:pPr>
        <w:pStyle w:val="ONUMFS"/>
        <w:rPr>
          <w:lang w:val="fr-FR"/>
        </w:rPr>
      </w:pPr>
      <w:r w:rsidRPr="000F6A66">
        <w:rPr>
          <w:lang w:val="fr-FR"/>
        </w:rPr>
        <w:t>L</w:t>
      </w:r>
      <w:r w:rsidR="001B04F7" w:rsidRPr="000F6A66">
        <w:rPr>
          <w:lang w:val="fr-FR"/>
        </w:rPr>
        <w:t>’</w:t>
      </w:r>
      <w:r w:rsidRPr="000F6A66">
        <w:rPr>
          <w:lang w:val="fr-FR"/>
        </w:rPr>
        <w:t>étude réalisée en Égypte analysait les possibilités d</w:t>
      </w:r>
      <w:r w:rsidR="001B04F7" w:rsidRPr="000F6A66">
        <w:rPr>
          <w:lang w:val="fr-FR"/>
        </w:rPr>
        <w:t>’</w:t>
      </w:r>
      <w:r w:rsidRPr="000F6A66">
        <w:rPr>
          <w:lang w:val="fr-FR"/>
        </w:rPr>
        <w:t>utilisation du système de propriété intellectuelle pour stimuler l</w:t>
      </w:r>
      <w:r w:rsidR="001B04F7" w:rsidRPr="000F6A66">
        <w:rPr>
          <w:lang w:val="fr-FR"/>
        </w:rPr>
        <w:t>’</w:t>
      </w:r>
      <w:r w:rsidRPr="000F6A66">
        <w:rPr>
          <w:lang w:val="fr-FR"/>
        </w:rPr>
        <w:t>activité économique et promouvoir le patrimoine culturel dans quatre sites, choisis pour l</w:t>
      </w:r>
      <w:r w:rsidR="001B04F7" w:rsidRPr="000F6A66">
        <w:rPr>
          <w:lang w:val="fr-FR"/>
        </w:rPr>
        <w:t>’</w:t>
      </w:r>
      <w:r w:rsidRPr="000F6A66">
        <w:rPr>
          <w:lang w:val="fr-FR"/>
        </w:rPr>
        <w:t>intérêt touristique exceptionnel qu</w:t>
      </w:r>
      <w:r w:rsidR="001B04F7" w:rsidRPr="000F6A66">
        <w:rPr>
          <w:lang w:val="fr-FR"/>
        </w:rPr>
        <w:t>’</w:t>
      </w:r>
      <w:r w:rsidRPr="000F6A66">
        <w:rPr>
          <w:lang w:val="fr-FR"/>
        </w:rPr>
        <w:t>ils présentaient</w:t>
      </w:r>
      <w:r w:rsidR="001B04F7" w:rsidRPr="000F6A66">
        <w:rPr>
          <w:lang w:val="fr-FR"/>
        </w:rPr>
        <w:t> :</w:t>
      </w:r>
      <w:r w:rsidRPr="000F6A66">
        <w:rPr>
          <w:lang w:val="fr-FR"/>
        </w:rPr>
        <w:t xml:space="preserve"> a) la route de Nubie (Pays de l</w:t>
      </w:r>
      <w:r w:rsidR="001B04F7" w:rsidRPr="000F6A66">
        <w:rPr>
          <w:lang w:val="fr-FR"/>
        </w:rPr>
        <w:t>’</w:t>
      </w:r>
      <w:r w:rsidRPr="000F6A66">
        <w:rPr>
          <w:lang w:val="fr-FR"/>
        </w:rPr>
        <w:t>or);  b) le Voyage de la Sainte Famille;  c) la route de l</w:t>
      </w:r>
      <w:r w:rsidR="001B04F7" w:rsidRPr="000F6A66">
        <w:rPr>
          <w:lang w:val="fr-FR"/>
        </w:rPr>
        <w:t>’</w:t>
      </w:r>
      <w:r w:rsidRPr="000F6A66">
        <w:rPr>
          <w:lang w:val="fr-FR"/>
        </w:rPr>
        <w:t>oasis de Siwa;  et d) le Musée national de la civilisation égyptienne (NMEC) au Cai</w:t>
      </w:r>
      <w:r w:rsidR="00655442" w:rsidRPr="000F6A66">
        <w:rPr>
          <w:lang w:val="fr-FR"/>
        </w:rPr>
        <w:t>re.  Ce</w:t>
      </w:r>
      <w:r w:rsidRPr="000F6A66">
        <w:rPr>
          <w:lang w:val="fr-FR"/>
        </w:rPr>
        <w:t>tte étude est disponible uniquement en anglais, alors que la langue officielle communément utilisée en Égypte est l</w:t>
      </w:r>
      <w:r w:rsidR="001B04F7" w:rsidRPr="000F6A66">
        <w:rPr>
          <w:lang w:val="fr-FR"/>
        </w:rPr>
        <w:t>’</w:t>
      </w:r>
      <w:r w:rsidRPr="000F6A66">
        <w:rPr>
          <w:lang w:val="fr-FR"/>
        </w:rPr>
        <w:t>ara</w:t>
      </w:r>
      <w:r w:rsidR="00655442" w:rsidRPr="000F6A66">
        <w:rPr>
          <w:lang w:val="fr-FR"/>
        </w:rPr>
        <w:t>be.  Ce</w:t>
      </w:r>
      <w:r w:rsidRPr="000F6A66">
        <w:rPr>
          <w:lang w:val="fr-FR"/>
        </w:rPr>
        <w:t>tte étude n</w:t>
      </w:r>
      <w:r w:rsidR="001B04F7" w:rsidRPr="000F6A66">
        <w:rPr>
          <w:lang w:val="fr-FR"/>
        </w:rPr>
        <w:t>’</w:t>
      </w:r>
      <w:r w:rsidRPr="000F6A66">
        <w:rPr>
          <w:lang w:val="fr-FR"/>
        </w:rPr>
        <w:t>est donc pas accessible aux personnes qui ne sont pas capables d</w:t>
      </w:r>
      <w:r w:rsidR="001B04F7" w:rsidRPr="000F6A66">
        <w:rPr>
          <w:lang w:val="fr-FR"/>
        </w:rPr>
        <w:t>’</w:t>
      </w:r>
      <w:r w:rsidRPr="000F6A66">
        <w:rPr>
          <w:lang w:val="fr-FR"/>
        </w:rPr>
        <w:t>assimiler le contenu d</w:t>
      </w:r>
      <w:r w:rsidR="001B04F7" w:rsidRPr="000F6A66">
        <w:rPr>
          <w:lang w:val="fr-FR"/>
        </w:rPr>
        <w:t>’</w:t>
      </w:r>
      <w:r w:rsidRPr="000F6A66">
        <w:rPr>
          <w:lang w:val="fr-FR"/>
        </w:rPr>
        <w:t>un document universitaire en anglais.</w:t>
      </w:r>
    </w:p>
    <w:p w14:paraId="46F5F559" w14:textId="1E9C2204" w:rsidR="00675065" w:rsidRPr="000F6A66" w:rsidRDefault="00675065" w:rsidP="00B85C11">
      <w:pPr>
        <w:pStyle w:val="ONUMFS"/>
        <w:rPr>
          <w:lang w:val="fr-FR"/>
        </w:rPr>
      </w:pPr>
      <w:r w:rsidRPr="000F6A66">
        <w:rPr>
          <w:lang w:val="fr-FR"/>
        </w:rPr>
        <w:t>Il est donc peu probable que les études de pays touchent un large publ</w:t>
      </w:r>
      <w:r w:rsidR="00655442" w:rsidRPr="000F6A66">
        <w:rPr>
          <w:lang w:val="fr-FR"/>
        </w:rPr>
        <w:t>ic.  Ce</w:t>
      </w:r>
      <w:r w:rsidRPr="000F6A66">
        <w:rPr>
          <w:lang w:val="fr-FR"/>
        </w:rPr>
        <w:t>s études sont trop académiques et théoriques même pour un public averti, voire même des lecteurs du secteur du touris</w:t>
      </w:r>
      <w:r w:rsidR="00655442" w:rsidRPr="000F6A66">
        <w:rPr>
          <w:lang w:val="fr-FR"/>
        </w:rPr>
        <w:t>me.  Po</w:t>
      </w:r>
      <w:r w:rsidRPr="000F6A66">
        <w:rPr>
          <w:lang w:val="fr-FR"/>
        </w:rPr>
        <w:t>ur pouvoir être utilisées à des fins académiques, un travail de recherche et d</w:t>
      </w:r>
      <w:r w:rsidR="001B04F7" w:rsidRPr="000F6A66">
        <w:rPr>
          <w:lang w:val="fr-FR"/>
        </w:rPr>
        <w:t>’</w:t>
      </w:r>
      <w:r w:rsidRPr="000F6A66">
        <w:rPr>
          <w:lang w:val="fr-FR"/>
        </w:rPr>
        <w:t>édition important serait nécessaire.</w:t>
      </w:r>
    </w:p>
    <w:p w14:paraId="64D22CD3" w14:textId="505A1C31" w:rsidR="00675065" w:rsidRPr="000F6A66" w:rsidRDefault="00675065" w:rsidP="00B85C11">
      <w:pPr>
        <w:pStyle w:val="ONUMFS"/>
        <w:rPr>
          <w:lang w:val="fr-FR"/>
        </w:rPr>
      </w:pPr>
      <w:r w:rsidRPr="000F6A66">
        <w:rPr>
          <w:lang w:val="fr-FR"/>
        </w:rPr>
        <w:t>Selon le chef de projet, le contenu des études et la méthode suivie ont été décidés avec les comités directeu</w:t>
      </w:r>
      <w:r w:rsidR="00655442" w:rsidRPr="000F6A66">
        <w:rPr>
          <w:lang w:val="fr-FR"/>
        </w:rPr>
        <w:t>rs.  Ce</w:t>
      </w:r>
      <w:r w:rsidRPr="000F6A66">
        <w:rPr>
          <w:lang w:val="fr-FR"/>
        </w:rPr>
        <w:t>s études visaient à informer les parties prenantes au sujet des résultats obten</w:t>
      </w:r>
      <w:r w:rsidR="00655442" w:rsidRPr="000F6A66">
        <w:rPr>
          <w:lang w:val="fr-FR"/>
        </w:rPr>
        <w:t>us.  Il</w:t>
      </w:r>
      <w:r w:rsidRPr="000F6A66">
        <w:rPr>
          <w:lang w:val="fr-FR"/>
        </w:rPr>
        <w:t xml:space="preserve"> n</w:t>
      </w:r>
      <w:r w:rsidR="001B04F7" w:rsidRPr="000F6A66">
        <w:rPr>
          <w:lang w:val="fr-FR"/>
        </w:rPr>
        <w:t>’</w:t>
      </w:r>
      <w:r w:rsidRPr="000F6A66">
        <w:rPr>
          <w:lang w:val="fr-FR"/>
        </w:rPr>
        <w:t>était pas prévu de diffuser ces résultats auprès d</w:t>
      </w:r>
      <w:r w:rsidR="001B04F7" w:rsidRPr="000F6A66">
        <w:rPr>
          <w:lang w:val="fr-FR"/>
        </w:rPr>
        <w:t>’</w:t>
      </w:r>
      <w:r w:rsidRPr="000F6A66">
        <w:rPr>
          <w:lang w:val="fr-FR"/>
        </w:rPr>
        <w:t>un public plus large, mais cela aurait été souhaitable afin d</w:t>
      </w:r>
      <w:r w:rsidR="001B04F7" w:rsidRPr="000F6A66">
        <w:rPr>
          <w:lang w:val="fr-FR"/>
        </w:rPr>
        <w:t>’</w:t>
      </w:r>
      <w:r w:rsidRPr="000F6A66">
        <w:rPr>
          <w:lang w:val="fr-FR"/>
        </w:rPr>
        <w:t>élargir la portée potentielle des études.</w:t>
      </w:r>
    </w:p>
    <w:p w14:paraId="6E0E7E28" w14:textId="5758BC0E" w:rsidR="00675065" w:rsidRPr="000F6A66" w:rsidRDefault="00675065" w:rsidP="00B85C11">
      <w:pPr>
        <w:pStyle w:val="ONUMFS"/>
        <w:rPr>
          <w:lang w:val="fr-FR"/>
        </w:rPr>
      </w:pPr>
      <w:r w:rsidRPr="000F6A66">
        <w:rPr>
          <w:lang w:val="fr-FR"/>
        </w:rPr>
        <w:t>Certaines parties de ces études sont très générales et reprennent des publications existant</w:t>
      </w:r>
      <w:r w:rsidR="00655442" w:rsidRPr="000F6A66">
        <w:rPr>
          <w:lang w:val="fr-FR"/>
        </w:rPr>
        <w:t xml:space="preserve">es.  À </w:t>
      </w:r>
      <w:r w:rsidRPr="000F6A66">
        <w:rPr>
          <w:lang w:val="fr-FR"/>
        </w:rPr>
        <w:t>nouveau, il s</w:t>
      </w:r>
      <w:r w:rsidR="001B04F7" w:rsidRPr="000F6A66">
        <w:rPr>
          <w:lang w:val="fr-FR"/>
        </w:rPr>
        <w:t>’</w:t>
      </w:r>
      <w:r w:rsidRPr="000F6A66">
        <w:rPr>
          <w:lang w:val="fr-FR"/>
        </w:rPr>
        <w:t>agit là d</w:t>
      </w:r>
      <w:r w:rsidR="001B04F7" w:rsidRPr="000F6A66">
        <w:rPr>
          <w:lang w:val="fr-FR"/>
        </w:rPr>
        <w:t>’</w:t>
      </w:r>
      <w:r w:rsidRPr="000F6A66">
        <w:rPr>
          <w:lang w:val="fr-FR"/>
        </w:rPr>
        <w:t>un problème qui touche les publications sur les questions de propriété intellectuelle propres à un secteur, car les principes fondamentaux concernant la valorisation des produits et services par la propriété intellectuelle restent les mêmes.</w:t>
      </w:r>
    </w:p>
    <w:p w14:paraId="4446DE6A" w14:textId="441ABB73" w:rsidR="00C31DE2" w:rsidRPr="000F6A66" w:rsidRDefault="00C31DE2" w:rsidP="00C31DE2">
      <w:pPr>
        <w:pStyle w:val="Heading3"/>
        <w:rPr>
          <w:lang w:val="fr-FR"/>
        </w:rPr>
      </w:pPr>
      <w:bookmarkStart w:id="47" w:name="_Toc18331423"/>
      <w:bookmarkStart w:id="48" w:name="_Toc20991657"/>
      <w:r w:rsidRPr="000F6A66">
        <w:rPr>
          <w:lang w:val="fr-FR"/>
        </w:rPr>
        <w:t xml:space="preserve">Guide </w:t>
      </w:r>
      <w:bookmarkEnd w:id="47"/>
      <w:r w:rsidRPr="000F6A66">
        <w:rPr>
          <w:lang w:val="fr-FR"/>
        </w:rPr>
        <w:t>sur la propriété intellectuelle et le tourisme</w:t>
      </w:r>
      <w:bookmarkEnd w:id="48"/>
    </w:p>
    <w:p w14:paraId="509600DF" w14:textId="77777777" w:rsidR="00C31DE2" w:rsidRPr="000F6A66" w:rsidRDefault="00C31DE2" w:rsidP="00C31DE2">
      <w:pPr>
        <w:rPr>
          <w:lang w:val="fr-FR"/>
        </w:rPr>
      </w:pPr>
    </w:p>
    <w:p w14:paraId="6DCF50BC" w14:textId="77777777" w:rsidR="00C31DE2" w:rsidRPr="000F6A66" w:rsidRDefault="00C31DE2" w:rsidP="00C31DE2">
      <w:pPr>
        <w:pStyle w:val="ONUMFS"/>
        <w:rPr>
          <w:lang w:val="fr-FR"/>
        </w:rPr>
      </w:pPr>
      <w:r w:rsidRPr="000F6A66">
        <w:rPr>
          <w:lang w:val="fr-FR"/>
        </w:rPr>
        <w:t xml:space="preserve">Un guide pratique sur la propriété intellectuelle et le tourisme a été rédigé mais n’a pas encore été finalisé.  Ce guide devrait donner lieu à une copublication entre l’OMT et l’OMPI.  Des discussions avec l’OMT en vue d’utiliser le guide comme base pour une publication </w:t>
      </w:r>
      <w:r w:rsidRPr="000F6A66">
        <w:rPr>
          <w:lang w:val="fr-FR"/>
        </w:rPr>
        <w:lastRenderedPageBreak/>
        <w:t>conjointe seraient en cours.  On ne sait toujours pas quand et sous quelle forme le guide sera publié et comment il sera diffusé.</w:t>
      </w:r>
    </w:p>
    <w:p w14:paraId="45594065" w14:textId="77777777" w:rsidR="00C31DE2" w:rsidRPr="000F6A66" w:rsidRDefault="00C31DE2" w:rsidP="00C31DE2">
      <w:pPr>
        <w:pStyle w:val="ONUMFS"/>
        <w:rPr>
          <w:lang w:val="fr-FR"/>
        </w:rPr>
      </w:pPr>
      <w:r w:rsidRPr="000F6A66">
        <w:rPr>
          <w:lang w:val="fr-FR"/>
        </w:rPr>
        <w:t>Dans la version provisoire du guide, les auteurs expliquent l’importance socioéconomique du tourisme pour les pays en développement.  Ils révèlent les liens qui existent entre la propriété intellectuelle, le tourisme, la culture et le développement.  Le guide souligne la possibilité pour les pays en développement d’utiliser les droits de propriété intellectuelle afin de promouvoir les vastes et uniques atouts touristiques et culturels qu’ils possèdent, ce qui peut contribuer à la réalisation des objectifs de développement socioéconomique</w:t>
      </w:r>
      <w:r w:rsidRPr="000F6A66">
        <w:rPr>
          <w:rStyle w:val="FootnoteReference"/>
          <w:lang w:val="fr-FR"/>
        </w:rPr>
        <w:footnoteReference w:id="20"/>
      </w:r>
      <w:r w:rsidRPr="000F6A66">
        <w:rPr>
          <w:lang w:val="fr-FR"/>
        </w:rPr>
        <w:t>.  S’appuyant sur des études de cas d’exemples réussis, le guide explore principalement la valorisation du patrimoine culturel, bien qu’il souligne également l’importance d’utiliser d’autres formes de propriété intellectuelle dans les entreprises liées au tourisme, notamment les entreprises qui pourraient bénéficier du tourisme (par exemple, les ventes aux touristes ou les hôtels).  Les exemples portent principalement sur les marques de certification et les indications géographiques.</w:t>
      </w:r>
    </w:p>
    <w:p w14:paraId="0C084586" w14:textId="38278BB7" w:rsidR="00C31DE2" w:rsidRPr="000F6A66" w:rsidRDefault="00C31DE2" w:rsidP="00C31DE2">
      <w:pPr>
        <w:pStyle w:val="Heading3"/>
        <w:rPr>
          <w:lang w:val="fr-FR"/>
        </w:rPr>
      </w:pPr>
      <w:bookmarkStart w:id="49" w:name="_Toc20991658"/>
      <w:r w:rsidRPr="000F6A66">
        <w:rPr>
          <w:lang w:val="fr-FR"/>
        </w:rPr>
        <w:t>Activités de sensibilisation</w:t>
      </w:r>
      <w:bookmarkEnd w:id="49"/>
    </w:p>
    <w:p w14:paraId="6027C312" w14:textId="77777777" w:rsidR="00C31DE2" w:rsidRPr="000F6A66" w:rsidRDefault="00C31DE2" w:rsidP="00C31DE2">
      <w:pPr>
        <w:rPr>
          <w:lang w:val="fr-FR"/>
        </w:rPr>
      </w:pPr>
    </w:p>
    <w:p w14:paraId="345FEF8F" w14:textId="77777777" w:rsidR="00C31DE2" w:rsidRPr="000F6A66" w:rsidRDefault="00C31DE2" w:rsidP="00C31DE2">
      <w:pPr>
        <w:pStyle w:val="ONUMFS"/>
        <w:rPr>
          <w:lang w:val="fr-FR"/>
        </w:rPr>
      </w:pPr>
      <w:r w:rsidRPr="000F6A66">
        <w:rPr>
          <w:lang w:val="fr-FR"/>
        </w:rPr>
        <w:t>Le projet a fait état des activités de sensibilisation suivantes :</w:t>
      </w:r>
    </w:p>
    <w:p w14:paraId="5F761E88" w14:textId="77777777" w:rsidR="00C31DE2" w:rsidRPr="000F6A66" w:rsidRDefault="00C31DE2" w:rsidP="00C31DE2">
      <w:pPr>
        <w:pStyle w:val="ONUMFS"/>
        <w:numPr>
          <w:ilvl w:val="1"/>
          <w:numId w:val="5"/>
        </w:numPr>
        <w:rPr>
          <w:lang w:val="fr-FR"/>
        </w:rPr>
      </w:pPr>
      <w:r w:rsidRPr="000F6A66">
        <w:rPr>
          <w:lang w:val="fr-FR"/>
        </w:rPr>
        <w:t>Trois ateliers destinés aux parties prenantes ont été organisés en Équateur.</w:t>
      </w:r>
    </w:p>
    <w:p w14:paraId="517E4296" w14:textId="77777777" w:rsidR="00C31DE2" w:rsidRPr="000F6A66" w:rsidRDefault="00C31DE2" w:rsidP="00C31DE2">
      <w:pPr>
        <w:pStyle w:val="ONUMFS"/>
        <w:numPr>
          <w:ilvl w:val="1"/>
          <w:numId w:val="5"/>
        </w:numPr>
        <w:rPr>
          <w:lang w:val="fr-FR"/>
        </w:rPr>
      </w:pPr>
      <w:r w:rsidRPr="000F6A66">
        <w:rPr>
          <w:lang w:val="fr-FR"/>
        </w:rPr>
        <w:t>En Égypte, le projet a appuyé l’organisation de trois séminaires de sensibilisation avec l’appui des membres du Comité directeur et deux activités de renforcement des capacités.  Le renforcement des capacités était axé sur les besoins du secteur de l’artisanat, des musées et des collections inscrites au patrimoine mondial, en vue de les aider à gérer efficacement leurs actifs de propriété intellectuelle et à mettre en œuvre leurs stratégies visant à attirer davantage de visiteurs.</w:t>
      </w:r>
    </w:p>
    <w:p w14:paraId="73CD6601" w14:textId="77777777" w:rsidR="00C31DE2" w:rsidRPr="000F6A66" w:rsidRDefault="00C31DE2" w:rsidP="00C31DE2">
      <w:pPr>
        <w:pStyle w:val="ONUMFS"/>
        <w:numPr>
          <w:ilvl w:val="1"/>
          <w:numId w:val="5"/>
        </w:numPr>
        <w:rPr>
          <w:lang w:val="fr-FR"/>
        </w:rPr>
      </w:pPr>
      <w:r w:rsidRPr="000F6A66">
        <w:rPr>
          <w:lang w:val="fr-FR"/>
        </w:rPr>
        <w:t>Namibie : quatre ateliers nationaux organisés à l’intention des acteurs du secteur touristique et des décideurs.  Le projet a contribué à l’approche stratégique de l’utilisation de la propriété intellectuelle pour la promotion du tourisme dans le cadre de la stratégie nationale en matière de propriété intellectuelle.  L’Autorité des affaires commerciales et de la propriété intellectuelle poursuivra ses ateliers de sensibilisation et de renforcement des capacités à l’intention des profanes en matière de propriété intellectuelle.</w:t>
      </w:r>
    </w:p>
    <w:p w14:paraId="29CF3BAF" w14:textId="77777777" w:rsidR="00C31DE2" w:rsidRPr="000F6A66" w:rsidRDefault="00C31DE2" w:rsidP="00C31DE2">
      <w:pPr>
        <w:pStyle w:val="ONUMFS"/>
        <w:numPr>
          <w:ilvl w:val="1"/>
          <w:numId w:val="5"/>
        </w:numPr>
        <w:rPr>
          <w:lang w:val="fr-FR"/>
        </w:rPr>
      </w:pPr>
      <w:r w:rsidRPr="000F6A66">
        <w:rPr>
          <w:lang w:val="fr-FR"/>
        </w:rPr>
        <w:t>Sri Lanka : trois ateliers nationaux organisés à l’intention des acteurs du tourisme et des décideurs.  Le suivi de l’atelier n’est pas clair.</w:t>
      </w:r>
    </w:p>
    <w:p w14:paraId="0E318437" w14:textId="77777777" w:rsidR="00C31DE2" w:rsidRPr="000F6A66" w:rsidRDefault="00C31DE2" w:rsidP="00C31DE2">
      <w:pPr>
        <w:pStyle w:val="ONUMFS"/>
        <w:rPr>
          <w:lang w:val="fr-FR"/>
        </w:rPr>
      </w:pPr>
      <w:r w:rsidRPr="000F6A66">
        <w:rPr>
          <w:lang w:val="fr-FR"/>
        </w:rPr>
        <w:t>Aucun plan de suivi n’est disponible.  Deux des quatre offices de propriété intellectuelle ont confirmé qu’ils ont organisé des événements de sensibilisation ciblant spécifiquement le secteur du tourisme.</w:t>
      </w:r>
    </w:p>
    <w:p w14:paraId="1CA9EB14" w14:textId="540F0B1E" w:rsidR="00C31DE2" w:rsidRPr="000F6A66" w:rsidRDefault="00C31DE2" w:rsidP="00C31DE2">
      <w:pPr>
        <w:pStyle w:val="Heading3"/>
        <w:rPr>
          <w:lang w:val="fr-FR"/>
        </w:rPr>
      </w:pPr>
      <w:bookmarkStart w:id="50" w:name="_Toc20991659"/>
      <w:r w:rsidRPr="000F6A66">
        <w:rPr>
          <w:lang w:val="fr-FR"/>
        </w:rPr>
        <w:t>Matériel de sensibilisation et d’éducation</w:t>
      </w:r>
      <w:bookmarkEnd w:id="50"/>
    </w:p>
    <w:p w14:paraId="602A4F32" w14:textId="77777777" w:rsidR="00C31DE2" w:rsidRPr="000F6A66" w:rsidRDefault="00C31DE2" w:rsidP="00C31DE2">
      <w:pPr>
        <w:rPr>
          <w:lang w:val="fr-FR"/>
        </w:rPr>
      </w:pPr>
    </w:p>
    <w:p w14:paraId="3DAC217A" w14:textId="77777777" w:rsidR="00C31DE2" w:rsidRPr="000F6A66" w:rsidRDefault="00C31DE2" w:rsidP="00C31DE2">
      <w:pPr>
        <w:pStyle w:val="ONUMFS"/>
        <w:rPr>
          <w:lang w:val="fr-FR"/>
        </w:rPr>
      </w:pPr>
      <w:r w:rsidRPr="000F6A66">
        <w:rPr>
          <w:lang w:val="fr-FR"/>
        </w:rPr>
        <w:t xml:space="preserve">En lieu et place d’un documentaire vidéo, un webinaire sur la propriété intellectuelle, le tourisme et la culture a été organisé en coopération avec l’European IP Helpdesk le service d’assistance européen pour les droits de propriété intellectuelle en août 2018, sur le thème “Propriété intellectuelle, tourisme et développement”.  L’OMPI a indiqué que plus de 70 participants venus de 15 pays européens ont assisté à cet événement.  L’objectif était </w:t>
      </w:r>
      <w:r w:rsidRPr="000F6A66">
        <w:rPr>
          <w:lang w:val="fr-FR"/>
        </w:rPr>
        <w:lastRenderedPageBreak/>
        <w:t>d’échanger des données d’expérience en vue de l’élaboration de programmes d’études spécialisés dans le domaine du tourisme et de faire en sorte que les questions de propriété intellectuelle commencent à être intégrées dans l’enseignement de la gestion du tourisme</w:t>
      </w:r>
      <w:r w:rsidRPr="000F6A66">
        <w:rPr>
          <w:bCs/>
          <w:lang w:val="fr-FR"/>
        </w:rPr>
        <w:t>.</w:t>
      </w:r>
    </w:p>
    <w:p w14:paraId="0F8D1C8A" w14:textId="77777777" w:rsidR="00C31DE2" w:rsidRPr="000F6A66" w:rsidRDefault="00C31DE2" w:rsidP="00C31DE2">
      <w:pPr>
        <w:pStyle w:val="ONUMFS"/>
        <w:rPr>
          <w:lang w:val="fr-FR"/>
        </w:rPr>
      </w:pPr>
      <w:r w:rsidRPr="000F6A66">
        <w:rPr>
          <w:lang w:val="fr-FR"/>
        </w:rPr>
        <w:t>Trois ensembles de supports d’enseignement (Équateur, Namibie, Sri Lanka) ont été produits</w:t>
      </w:r>
      <w:r w:rsidRPr="000F6A66">
        <w:rPr>
          <w:vertAlign w:val="superscript"/>
          <w:lang w:val="fr-FR"/>
        </w:rPr>
        <w:footnoteReference w:id="21"/>
      </w:r>
      <w:r w:rsidRPr="000F6A66">
        <w:rPr>
          <w:lang w:val="fr-FR"/>
        </w:rPr>
        <w:t>.</w:t>
      </w:r>
    </w:p>
    <w:p w14:paraId="338C9E18" w14:textId="27B8D1AF" w:rsidR="00C31DE2" w:rsidRPr="000F6A66" w:rsidRDefault="00C31DE2" w:rsidP="00C31DE2">
      <w:pPr>
        <w:pStyle w:val="Heading3"/>
        <w:rPr>
          <w:lang w:val="fr-FR"/>
        </w:rPr>
      </w:pPr>
      <w:bookmarkStart w:id="51" w:name="_Toc20991660"/>
      <w:r w:rsidRPr="000F6A66">
        <w:rPr>
          <w:lang w:val="fr-FR"/>
        </w:rPr>
        <w:t>Premiers résultats observés</w:t>
      </w:r>
      <w:bookmarkEnd w:id="51"/>
    </w:p>
    <w:p w14:paraId="7850DBC5" w14:textId="77777777" w:rsidR="00C31DE2" w:rsidRPr="000F6A66" w:rsidRDefault="00C31DE2" w:rsidP="00C31DE2">
      <w:pPr>
        <w:rPr>
          <w:lang w:val="fr-FR"/>
        </w:rPr>
      </w:pPr>
    </w:p>
    <w:p w14:paraId="3499CEE5" w14:textId="77777777" w:rsidR="00C31DE2" w:rsidRPr="000F6A66" w:rsidRDefault="00C31DE2" w:rsidP="00C31DE2">
      <w:pPr>
        <w:pStyle w:val="ONUMFS"/>
        <w:rPr>
          <w:lang w:val="fr-FR"/>
        </w:rPr>
      </w:pPr>
      <w:r w:rsidRPr="000F6A66">
        <w:rPr>
          <w:lang w:val="fr-FR"/>
        </w:rPr>
        <w:t>Le projet avait les deux objectifs généraux suivants :</w:t>
      </w:r>
    </w:p>
    <w:p w14:paraId="0BA2E84F" w14:textId="77777777" w:rsidR="00C31DE2" w:rsidRPr="000F6A66" w:rsidRDefault="00C31DE2" w:rsidP="00C31DE2">
      <w:pPr>
        <w:pStyle w:val="ONUMFS"/>
        <w:numPr>
          <w:ilvl w:val="1"/>
          <w:numId w:val="5"/>
        </w:numPr>
        <w:rPr>
          <w:lang w:val="fr-FR"/>
        </w:rPr>
      </w:pPr>
      <w:r w:rsidRPr="000F6A66">
        <w:rPr>
          <w:lang w:val="fr-FR"/>
        </w:rPr>
        <w:t>Doter de compétences les principales parties prenantes du tourisme, ainsi que les autorités nationales et locales, y compris les offices de propriété intellectuelle, sur les moyens d’utiliser les outils et stratégies de propriété intellectuelle afin d’ajouter de la valeur et diversifier l’activité économique liée au tourisme, notamment en ce qui concerne la promotion du tourisme, des connaissances, traditions et cultures nationales et locales.</w:t>
      </w:r>
    </w:p>
    <w:p w14:paraId="03B6CC42" w14:textId="77777777" w:rsidR="00C31DE2" w:rsidRPr="000F6A66" w:rsidRDefault="00C31DE2" w:rsidP="00C31DE2">
      <w:pPr>
        <w:pStyle w:val="ONUMFS"/>
        <w:numPr>
          <w:ilvl w:val="1"/>
          <w:numId w:val="5"/>
        </w:numPr>
        <w:rPr>
          <w:lang w:val="fr-FR"/>
        </w:rPr>
      </w:pPr>
      <w:r w:rsidRPr="000F6A66">
        <w:rPr>
          <w:lang w:val="fr-FR"/>
        </w:rPr>
        <w:t>Sensibiliser la communauté universitaire aux liens</w:t>
      </w:r>
      <w:r w:rsidRPr="000F6A66">
        <w:rPr>
          <w:b/>
          <w:bCs/>
          <w:lang w:val="fr-FR"/>
        </w:rPr>
        <w:t xml:space="preserve"> </w:t>
      </w:r>
      <w:r w:rsidRPr="000F6A66">
        <w:rPr>
          <w:lang w:val="fr-FR"/>
        </w:rPr>
        <w:t>qui existent</w:t>
      </w:r>
      <w:r w:rsidRPr="000F6A66">
        <w:rPr>
          <w:b/>
          <w:bCs/>
          <w:lang w:val="fr-FR"/>
        </w:rPr>
        <w:t xml:space="preserve"> </w:t>
      </w:r>
      <w:r w:rsidRPr="000F6A66">
        <w:rPr>
          <w:lang w:val="fr-FR"/>
        </w:rPr>
        <w:t>entre la propriété intellectuelle et le tourisme dans le cadre des politiques de croissance et de développement en vue d’élaborer des supports d’enseignement et de promouvoir l’intégration de programmes spécialisés dans les écoles de gestion du tourisme et dans les académies nationales de propriété intellectuelle.</w:t>
      </w:r>
    </w:p>
    <w:p w14:paraId="16C6C43D" w14:textId="77777777" w:rsidR="00C31DE2" w:rsidRPr="000F6A66" w:rsidRDefault="00C31DE2" w:rsidP="00481AFB">
      <w:pPr>
        <w:pStyle w:val="ONUMFS"/>
        <w:rPr>
          <w:lang w:val="fr-FR"/>
        </w:rPr>
      </w:pPr>
      <w:r w:rsidRPr="000F6A66">
        <w:rPr>
          <w:lang w:val="fr-FR"/>
        </w:rPr>
        <w:t>En Équateur, les principaux résultats observés sont les suivants :</w:t>
      </w:r>
    </w:p>
    <w:p w14:paraId="62631DD7" w14:textId="77777777" w:rsidR="00C31DE2" w:rsidRPr="000F6A66" w:rsidRDefault="00C31DE2" w:rsidP="00481AFB">
      <w:pPr>
        <w:pStyle w:val="ONUMFS"/>
        <w:numPr>
          <w:ilvl w:val="1"/>
          <w:numId w:val="5"/>
        </w:numPr>
        <w:rPr>
          <w:lang w:val="fr-FR"/>
        </w:rPr>
      </w:pPr>
      <w:r w:rsidRPr="000F6A66">
        <w:rPr>
          <w:lang w:val="fr-FR"/>
        </w:rPr>
        <w:t>Le Service national des droits intellectuels (SENADI) a organisé une série de programmes de formation à l’intention des communautés locales, mettant l’accent sur les liens entre l’utilisation de la propriété intellectuelle, l’activité économique locale (principalement l’artisanat) et le développement local, ainsi que sur le respect de l’identité culturelle et des traditions.  Le SENADI a confirmé que la sensibilisation du secteur du tourisme à la propriété intellectuelle est devenue une activité régulière.</w:t>
      </w:r>
    </w:p>
    <w:p w14:paraId="0F7CBE77" w14:textId="77777777" w:rsidR="00C31DE2" w:rsidRPr="000F6A66" w:rsidRDefault="00C31DE2" w:rsidP="00481AFB">
      <w:pPr>
        <w:pStyle w:val="ONUMFS"/>
        <w:numPr>
          <w:ilvl w:val="1"/>
          <w:numId w:val="5"/>
        </w:numPr>
        <w:rPr>
          <w:lang w:val="fr-FR"/>
        </w:rPr>
      </w:pPr>
      <w:bookmarkStart w:id="52" w:name="_Hlk18218383"/>
      <w:r w:rsidRPr="000F6A66">
        <w:rPr>
          <w:lang w:val="fr-FR"/>
        </w:rPr>
        <w:t>Le SENADI et le gouvernement provincial d’Imbabura ont signé un accord pour développer des stratégies en matière de propriété intellectuelle et de branding pour promouvoir l’activité économique de la province sur la base du caractère unique de son écotourisme.  Le SENADI envisage d’utiliser l’étude sur la propriété intellectuelle au service du renforcement de l’identité provinciale dans le cadre du projet de géoparc d’Imbabura comme modèle pour d’autres destinations touristiques.  Il s’est engagé à revoir les travaux effectués dans le cadre de l’étude afin de rendre son contenu plus compréhensible aux publics cibles autres que les spécialistes de la propriété intellectuelle.</w:t>
      </w:r>
    </w:p>
    <w:bookmarkEnd w:id="52"/>
    <w:p w14:paraId="3FA38A49" w14:textId="77777777" w:rsidR="00C31DE2" w:rsidRPr="000F6A66" w:rsidRDefault="00C31DE2" w:rsidP="00481AFB">
      <w:pPr>
        <w:pStyle w:val="ONUMFS"/>
        <w:numPr>
          <w:ilvl w:val="1"/>
          <w:numId w:val="5"/>
        </w:numPr>
        <w:rPr>
          <w:lang w:val="fr-FR"/>
        </w:rPr>
      </w:pPr>
      <w:r w:rsidRPr="000F6A66">
        <w:rPr>
          <w:lang w:val="fr-FR"/>
        </w:rPr>
        <w:t>Avec le soutien du projet, le SENADI et l’École polytechnique des forces armées (ESPE) ont élaboré conjointement un cours qui sera enseigné à partir de 2020 à 500 étudiants dans un premier temps</w:t>
      </w:r>
      <w:r w:rsidRPr="000F6A66">
        <w:rPr>
          <w:rStyle w:val="FootnoteReference"/>
          <w:lang w:val="fr-FR"/>
        </w:rPr>
        <w:footnoteReference w:id="22"/>
      </w:r>
      <w:r w:rsidRPr="000F6A66">
        <w:rPr>
          <w:lang w:val="fr-FR"/>
        </w:rPr>
        <w:t xml:space="preserve">.  Le cours sera de quatre heures par semaine, soit 64 heures par semestre.  En outre, les questions de propriété intellectuelle ont été intégrées dans d’autres cours (par exemple dans les cours de marketing) grâce à un atelier destiné aux enseignants.  L’ESPE prévoit de soutenir l’introduction du même cours dans quatre autres universités (ciblant environ 3000 étudiants).  Le SENADI offre </w:t>
      </w:r>
      <w:r w:rsidRPr="000F6A66">
        <w:rPr>
          <w:lang w:val="fr-FR"/>
        </w:rPr>
        <w:lastRenderedPageBreak/>
        <w:t>également des cours sur la propriété intellectuelle et le tourisme à d’autres professionnels du tourisme.</w:t>
      </w:r>
    </w:p>
    <w:p w14:paraId="7FFCEF0D" w14:textId="77777777" w:rsidR="00C31DE2" w:rsidRPr="000F6A66" w:rsidRDefault="00C31DE2" w:rsidP="00481AFB">
      <w:pPr>
        <w:pStyle w:val="ONUMFS"/>
        <w:numPr>
          <w:ilvl w:val="1"/>
          <w:numId w:val="5"/>
        </w:numPr>
        <w:rPr>
          <w:lang w:val="fr-FR"/>
        </w:rPr>
      </w:pPr>
      <w:r w:rsidRPr="000F6A66">
        <w:rPr>
          <w:lang w:val="fr-FR"/>
        </w:rPr>
        <w:t>Selon le SENADI, le Ministère du tourisme a intégré les aspects relatifs à la propriété intellectuelle dans ses formations destinées aux responsables du tourisme.</w:t>
      </w:r>
    </w:p>
    <w:p w14:paraId="256BD271" w14:textId="77777777" w:rsidR="00C31DE2" w:rsidRPr="000F6A66" w:rsidRDefault="00C31DE2" w:rsidP="00481AFB">
      <w:pPr>
        <w:pStyle w:val="ONUMFS"/>
        <w:rPr>
          <w:lang w:val="fr-FR"/>
        </w:rPr>
      </w:pPr>
      <w:r w:rsidRPr="000F6A66">
        <w:rPr>
          <w:lang w:val="fr-FR"/>
        </w:rPr>
        <w:t>L’intérêt suscité par les activités de sensibilisation en Égypte, y compris au sein du Musée national, n’a pas encore donné de résultats tangibles.</w:t>
      </w:r>
    </w:p>
    <w:p w14:paraId="3474F153" w14:textId="77777777" w:rsidR="00C31DE2" w:rsidRPr="000F6A66" w:rsidRDefault="00C31DE2" w:rsidP="00481AFB">
      <w:pPr>
        <w:pStyle w:val="ONUMFS"/>
        <w:rPr>
          <w:lang w:val="fr-FR"/>
        </w:rPr>
      </w:pPr>
      <w:r w:rsidRPr="000F6A66">
        <w:rPr>
          <w:lang w:val="fr-FR"/>
        </w:rPr>
        <w:t>L’Université des sciences et technologies de la Namibie (NUST) a annoncé que l’ensemble des supports d’enseignement sur la propriété intellectuelle et le tourisme qu’elle avait élaboré en tant que produit du projet pourrait servir à mettre au point un plan de formation qui serait communiqué aux autres universités nationales, parmi lesquelles l’Université de Namibie (UNAM).  Aucune décision n’a été prise.</w:t>
      </w:r>
    </w:p>
    <w:p w14:paraId="055AC071" w14:textId="77777777" w:rsidR="00C31DE2" w:rsidRPr="000F6A66" w:rsidRDefault="00C31DE2" w:rsidP="00481AFB">
      <w:pPr>
        <w:pStyle w:val="ONUMFS"/>
        <w:rPr>
          <w:lang w:val="fr-FR"/>
        </w:rPr>
      </w:pPr>
      <w:r w:rsidRPr="000F6A66">
        <w:rPr>
          <w:lang w:val="fr-FR"/>
        </w:rPr>
        <w:t>À Sri Lanka, le projet a généré une visibilité et un soutien politique importants.  Trois domaines ont été reconnus comme présentant un intérêt prioritaire pour le tourisme sri-lankais : le tourisme culturel, le tourisme écologique et le tourisme de bien-être.  Cette dynamique positive ne s’est toutefois pas traduite par des résultats.  L’évolution positive s’est arrêtée en 2018 en raison de changements politiques.</w:t>
      </w:r>
    </w:p>
    <w:p w14:paraId="059566E0" w14:textId="77777777" w:rsidR="00C31DE2" w:rsidRPr="000F6A66" w:rsidRDefault="00C31DE2" w:rsidP="00481AFB">
      <w:pPr>
        <w:pStyle w:val="ONUMFS"/>
        <w:rPr>
          <w:lang w:val="fr-FR"/>
        </w:rPr>
      </w:pPr>
      <w:r w:rsidRPr="000F6A66">
        <w:rPr>
          <w:lang w:val="fr-FR"/>
        </w:rPr>
        <w:t>De manière plus générale, grâce à sa réputation et sa crédibilité en tant qu’organisation des Nations Unies, l’OMPI a aidé les offices de propriété intellectuelle à faire comprendre aux principales parties prenantes le potentiel que représente la propriété intellectuelle pour le développement du tourisme.</w:t>
      </w:r>
    </w:p>
    <w:p w14:paraId="4F985F37" w14:textId="77777777" w:rsidR="00C31DE2" w:rsidRPr="000F6A66" w:rsidRDefault="00C31DE2" w:rsidP="00481AFB">
      <w:pPr>
        <w:pStyle w:val="ONUMFS"/>
        <w:rPr>
          <w:lang w:val="fr-FR"/>
        </w:rPr>
      </w:pPr>
      <w:r w:rsidRPr="000F6A66">
        <w:rPr>
          <w:lang w:val="fr-FR"/>
        </w:rPr>
        <w:t>En plus de l’apport technique, l’OMPI semble avoir joué un rôle de facilitateur en réunissant différents acteurs du tourisme.</w:t>
      </w:r>
    </w:p>
    <w:p w14:paraId="23899188" w14:textId="77777777" w:rsidR="00C31DE2" w:rsidRPr="000F6A66" w:rsidRDefault="00C31DE2" w:rsidP="00481AFB">
      <w:pPr>
        <w:pStyle w:val="ONUMFS"/>
        <w:rPr>
          <w:lang w:val="fr-FR"/>
        </w:rPr>
      </w:pPr>
      <w:bookmarkStart w:id="53" w:name="_Hlk18155525"/>
      <w:r w:rsidRPr="000F6A66">
        <w:rPr>
          <w:lang w:val="fr-FR"/>
        </w:rPr>
        <w:t>Malgré les premiers résultats prometteurs mentionnés ci-dessus, le suivi de l’appui fourni dans le cadre du projet mérite une attention soutenue de la part des autorités chargées de la propriété intellectuelle et du tourisme dans les pays concernés, si les recommandations formulées dans le projet à l’issue des recherches menées au niveau national doivent produire des résultats concrets.</w:t>
      </w:r>
      <w:bookmarkStart w:id="54" w:name="_Toc18331427"/>
      <w:bookmarkEnd w:id="53"/>
    </w:p>
    <w:p w14:paraId="6FA0CBFF" w14:textId="70B6E70B" w:rsidR="00C31DE2" w:rsidRPr="000F6A66" w:rsidRDefault="00C31DE2" w:rsidP="00481AFB">
      <w:pPr>
        <w:pStyle w:val="Heading3"/>
        <w:rPr>
          <w:lang w:val="fr-FR"/>
        </w:rPr>
      </w:pPr>
      <w:bookmarkStart w:id="55" w:name="_Toc20991661"/>
      <w:r w:rsidRPr="000F6A66">
        <w:rPr>
          <w:lang w:val="fr-FR"/>
        </w:rPr>
        <w:t>I</w:t>
      </w:r>
      <w:bookmarkEnd w:id="54"/>
      <w:r w:rsidRPr="000F6A66">
        <w:rPr>
          <w:lang w:val="fr-FR"/>
        </w:rPr>
        <w:t>ncidences</w:t>
      </w:r>
      <w:bookmarkEnd w:id="55"/>
    </w:p>
    <w:p w14:paraId="33CA7879" w14:textId="77777777" w:rsidR="00481AFB" w:rsidRPr="000F6A66" w:rsidRDefault="00481AFB" w:rsidP="00481AFB">
      <w:pPr>
        <w:rPr>
          <w:lang w:val="fr-FR"/>
        </w:rPr>
      </w:pPr>
    </w:p>
    <w:p w14:paraId="06BEDB51" w14:textId="77777777" w:rsidR="00C31DE2" w:rsidRPr="000F6A66" w:rsidRDefault="00C31DE2" w:rsidP="00481AFB">
      <w:pPr>
        <w:pStyle w:val="ONUMFS"/>
        <w:rPr>
          <w:lang w:val="fr-FR"/>
        </w:rPr>
      </w:pPr>
      <w:r w:rsidRPr="000F6A66">
        <w:rPr>
          <w:lang w:val="fr-FR"/>
        </w:rPr>
        <w:t>Il était trop tôt pour évaluer l’incidence des résultats obtenus.</w:t>
      </w:r>
    </w:p>
    <w:p w14:paraId="62F078A2" w14:textId="69D46EB2" w:rsidR="00C31DE2" w:rsidRPr="000F6A66" w:rsidRDefault="00481AFB" w:rsidP="00481AFB">
      <w:pPr>
        <w:pStyle w:val="Heading2"/>
        <w:rPr>
          <w:lang w:val="fr-FR"/>
        </w:rPr>
      </w:pPr>
      <w:bookmarkStart w:id="56" w:name="_Toc20991662"/>
      <w:r w:rsidRPr="000F6A66">
        <w:rPr>
          <w:lang w:val="fr-FR"/>
        </w:rPr>
        <w:t>Efficacité</w:t>
      </w:r>
      <w:bookmarkEnd w:id="56"/>
    </w:p>
    <w:p w14:paraId="27322AF3" w14:textId="77777777" w:rsidR="00481AFB" w:rsidRPr="000F6A66" w:rsidRDefault="00481AFB" w:rsidP="00481AFB">
      <w:pPr>
        <w:pStyle w:val="Heading3"/>
        <w:rPr>
          <w:lang w:val="fr-FR"/>
        </w:rPr>
      </w:pPr>
      <w:bookmarkStart w:id="57" w:name="_Toc20991663"/>
      <w:bookmarkEnd w:id="57"/>
    </w:p>
    <w:p w14:paraId="3E50C042" w14:textId="27B00811" w:rsidR="00C31DE2" w:rsidRPr="000F6A66" w:rsidRDefault="00C31DE2" w:rsidP="00481AFB">
      <w:pPr>
        <w:pStyle w:val="Heading3"/>
        <w:rPr>
          <w:lang w:val="fr-FR"/>
        </w:rPr>
      </w:pPr>
      <w:bookmarkStart w:id="58" w:name="_Toc20991664"/>
      <w:r w:rsidRPr="000F6A66">
        <w:rPr>
          <w:lang w:val="fr-FR"/>
        </w:rPr>
        <w:t>Exécution financière</w:t>
      </w:r>
      <w:bookmarkEnd w:id="58"/>
    </w:p>
    <w:p w14:paraId="3AEC82E9" w14:textId="77777777" w:rsidR="00C31DE2" w:rsidRPr="000F6A66" w:rsidRDefault="00C31DE2" w:rsidP="00481AFB">
      <w:pPr>
        <w:pStyle w:val="ONUMFS"/>
        <w:rPr>
          <w:lang w:val="fr-FR"/>
        </w:rPr>
      </w:pPr>
      <w:bookmarkStart w:id="59" w:name="_Hlk18222709"/>
      <w:r w:rsidRPr="000F6A66">
        <w:rPr>
          <w:lang w:val="fr-FR"/>
        </w:rPr>
        <w:t>Le taux d’utilisation du budget à la fin de juillet 2019, tel qu’indiqué par le Secrétariat, était de 91%.</w:t>
      </w:r>
    </w:p>
    <w:p w14:paraId="1E6703CE" w14:textId="77777777" w:rsidR="00C31DE2" w:rsidRPr="000F6A66" w:rsidRDefault="00C31DE2" w:rsidP="00481AFB">
      <w:pPr>
        <w:pStyle w:val="ONUMFS"/>
        <w:rPr>
          <w:iCs/>
          <w:lang w:val="fr-FR"/>
        </w:rPr>
      </w:pPr>
      <w:r w:rsidRPr="000F6A66">
        <w:rPr>
          <w:iCs/>
          <w:lang w:val="fr-FR"/>
        </w:rPr>
        <w:t xml:space="preserve">Outre le rapport financier officiel, le directeur de projet a préparé une ventilation des dépenses par activités et pays clefs au 19 août 2019, qui montre que 305 662 francs suisses, </w:t>
      </w:r>
      <w:r w:rsidRPr="000F6A66">
        <w:rPr>
          <w:iCs/>
          <w:lang w:val="fr-FR"/>
        </w:rPr>
        <w:lastRenderedPageBreak/>
        <w:t>soit 95,5% du budget total de 320 000 francs suisses (dépenses hors personnels uniquement) ont été utilisés</w:t>
      </w:r>
      <w:r w:rsidRPr="000F6A66">
        <w:rPr>
          <w:iCs/>
          <w:vertAlign w:val="superscript"/>
          <w:lang w:val="fr-FR"/>
        </w:rPr>
        <w:footnoteReference w:id="23"/>
      </w:r>
      <w:r w:rsidRPr="000F6A66">
        <w:rPr>
          <w:iCs/>
          <w:lang w:val="fr-FR"/>
        </w:rPr>
        <w:t>.</w:t>
      </w:r>
    </w:p>
    <w:p w14:paraId="7109C389" w14:textId="77777777" w:rsidR="00C31DE2" w:rsidRPr="000F6A66" w:rsidRDefault="00C31DE2" w:rsidP="00481AFB">
      <w:pPr>
        <w:pStyle w:val="ONUMFS"/>
        <w:rPr>
          <w:lang w:val="fr-FR"/>
        </w:rPr>
      </w:pPr>
      <w:r w:rsidRPr="000F6A66">
        <w:rPr>
          <w:lang w:val="fr-FR"/>
        </w:rPr>
        <w:t>En termes d’activités clefs :</w:t>
      </w:r>
    </w:p>
    <w:p w14:paraId="1E9F4679" w14:textId="77777777" w:rsidR="00C31DE2" w:rsidRPr="000F6A66" w:rsidRDefault="00C31DE2" w:rsidP="00481AFB">
      <w:pPr>
        <w:pStyle w:val="ONUMFS"/>
        <w:numPr>
          <w:ilvl w:val="1"/>
          <w:numId w:val="5"/>
        </w:numPr>
        <w:rPr>
          <w:lang w:val="fr-FR"/>
        </w:rPr>
      </w:pPr>
      <w:r w:rsidRPr="000F6A66">
        <w:rPr>
          <w:lang w:val="fr-FR"/>
        </w:rPr>
        <w:t>131 506 francs suisses, soit 41,1% du budget, ont été consacrés au guide général et aux études de pays;</w:t>
      </w:r>
    </w:p>
    <w:p w14:paraId="5F5F526B" w14:textId="77777777" w:rsidR="00C31DE2" w:rsidRPr="000F6A66" w:rsidRDefault="00C31DE2" w:rsidP="00481AFB">
      <w:pPr>
        <w:pStyle w:val="ONUMFS"/>
        <w:numPr>
          <w:ilvl w:val="1"/>
          <w:numId w:val="5"/>
        </w:numPr>
        <w:rPr>
          <w:lang w:val="fr-FR"/>
        </w:rPr>
      </w:pPr>
      <w:r w:rsidRPr="000F6A66">
        <w:rPr>
          <w:lang w:val="fr-FR"/>
        </w:rPr>
        <w:t>17 049 francs suisses, soit 5,3% au recensement des acteurs du tourisme;</w:t>
      </w:r>
    </w:p>
    <w:p w14:paraId="66E9B121" w14:textId="77777777" w:rsidR="00C31DE2" w:rsidRPr="000F6A66" w:rsidRDefault="00C31DE2" w:rsidP="00481AFB">
      <w:pPr>
        <w:pStyle w:val="ONUMFS"/>
        <w:numPr>
          <w:ilvl w:val="1"/>
          <w:numId w:val="5"/>
        </w:numPr>
        <w:rPr>
          <w:lang w:val="fr-FR"/>
        </w:rPr>
      </w:pPr>
      <w:r w:rsidRPr="000F6A66">
        <w:rPr>
          <w:lang w:val="fr-FR"/>
        </w:rPr>
        <w:t>94 190 francs suisses, soit 29,4% aux activités de renforcement des capacités;</w:t>
      </w:r>
    </w:p>
    <w:p w14:paraId="2E3D2C29" w14:textId="77777777" w:rsidR="00C31DE2" w:rsidRPr="000F6A66" w:rsidRDefault="00C31DE2" w:rsidP="00481AFB">
      <w:pPr>
        <w:pStyle w:val="ONUMFS"/>
        <w:numPr>
          <w:ilvl w:val="1"/>
          <w:numId w:val="5"/>
        </w:numPr>
        <w:rPr>
          <w:lang w:val="fr-FR"/>
        </w:rPr>
      </w:pPr>
      <w:r w:rsidRPr="000F6A66">
        <w:rPr>
          <w:lang w:val="fr-FR"/>
        </w:rPr>
        <w:t>45 331 francs suisses, soit 14,2% à l’enseignement de la propriété intellectuelle (y compris les supports d’enseignement);</w:t>
      </w:r>
    </w:p>
    <w:p w14:paraId="7BD3ED51" w14:textId="77777777" w:rsidR="00C31DE2" w:rsidRPr="000F6A66" w:rsidRDefault="00C31DE2" w:rsidP="00481AFB">
      <w:pPr>
        <w:pStyle w:val="ONUMFS"/>
        <w:numPr>
          <w:ilvl w:val="1"/>
          <w:numId w:val="5"/>
        </w:numPr>
        <w:rPr>
          <w:lang w:val="fr-FR"/>
        </w:rPr>
      </w:pPr>
      <w:r w:rsidRPr="000F6A66">
        <w:rPr>
          <w:lang w:val="fr-FR"/>
        </w:rPr>
        <w:t>17 586 francs suisses, soit 5,5% à d’autres activités de sensibilisation.</w:t>
      </w:r>
    </w:p>
    <w:p w14:paraId="0C44471F" w14:textId="77777777" w:rsidR="00C31DE2" w:rsidRPr="000F6A66" w:rsidRDefault="00C31DE2" w:rsidP="00481AFB">
      <w:pPr>
        <w:pStyle w:val="ONUMFS"/>
        <w:rPr>
          <w:lang w:val="fr-FR"/>
        </w:rPr>
      </w:pPr>
      <w:r w:rsidRPr="000F6A66">
        <w:rPr>
          <w:lang w:val="fr-FR"/>
        </w:rPr>
        <w:t>En termes de type de coûts (au 19 août 2019), la plupart des dépenses (203 249 francs suisses ou 64%) ont été consacrées à l’expertise.  Les frais de voyage des missions du personnel (77 973 francs suisses) ont représenté 24% du budget, les lieux de séminaires, la restauration et les publications ont coûté 24 440 francs suisses (8% du budget).</w:t>
      </w:r>
    </w:p>
    <w:bookmarkEnd w:id="59"/>
    <w:p w14:paraId="32692C21" w14:textId="77777777" w:rsidR="00C31DE2" w:rsidRPr="000F6A66" w:rsidRDefault="00C31DE2" w:rsidP="00481AFB">
      <w:pPr>
        <w:pStyle w:val="ONUMFS"/>
        <w:rPr>
          <w:lang w:val="fr-FR"/>
        </w:rPr>
      </w:pPr>
      <w:r w:rsidRPr="000F6A66">
        <w:rPr>
          <w:lang w:val="fr-FR"/>
        </w:rPr>
        <w:t>Les dépenses liées au personnel n’ont pas été budgétisées dans le cadre du projet, mais elles auraient pu être beaucoup plus élevées puisque la gestionnaire de projet et son directeur ont contribué au projet.</w:t>
      </w:r>
    </w:p>
    <w:p w14:paraId="07CECCDA" w14:textId="77777777" w:rsidR="00C31DE2" w:rsidRPr="000F6A66" w:rsidRDefault="00C31DE2" w:rsidP="00481AFB">
      <w:pPr>
        <w:pStyle w:val="ONUMFS"/>
        <w:rPr>
          <w:lang w:val="fr-FR"/>
        </w:rPr>
      </w:pPr>
      <w:r w:rsidRPr="000F6A66">
        <w:rPr>
          <w:lang w:val="fr-FR"/>
        </w:rPr>
        <w:t>La relation entre les coûts totaux (intrants) et les produits (études, séminaires, etc.) fournis semble être comparable à celle d’autres projets de l’OMPI ayant des activités similaires.</w:t>
      </w:r>
    </w:p>
    <w:p w14:paraId="23957906" w14:textId="3971F61C" w:rsidR="00C31DE2" w:rsidRPr="000F6A66" w:rsidRDefault="00C31DE2" w:rsidP="00481AFB">
      <w:pPr>
        <w:pStyle w:val="Heading3"/>
        <w:rPr>
          <w:lang w:val="fr-FR"/>
        </w:rPr>
      </w:pPr>
      <w:bookmarkStart w:id="60" w:name="_Toc18331430"/>
      <w:bookmarkStart w:id="61" w:name="_Toc20991665"/>
      <w:r w:rsidRPr="000F6A66">
        <w:rPr>
          <w:lang w:val="fr-FR"/>
        </w:rPr>
        <w:t>Approch</w:t>
      </w:r>
      <w:bookmarkEnd w:id="60"/>
      <w:r w:rsidRPr="000F6A66">
        <w:rPr>
          <w:lang w:val="fr-FR"/>
        </w:rPr>
        <w:t>e</w:t>
      </w:r>
      <w:bookmarkEnd w:id="61"/>
    </w:p>
    <w:p w14:paraId="63FB5E9F" w14:textId="77777777" w:rsidR="00481AFB" w:rsidRPr="000F6A66" w:rsidRDefault="00481AFB" w:rsidP="00481AFB">
      <w:pPr>
        <w:rPr>
          <w:lang w:val="fr-FR"/>
        </w:rPr>
      </w:pPr>
    </w:p>
    <w:p w14:paraId="3850AD01" w14:textId="77777777" w:rsidR="00C31DE2" w:rsidRPr="000F6A66" w:rsidRDefault="00C31DE2" w:rsidP="00481AFB">
      <w:pPr>
        <w:pStyle w:val="ONUMFS"/>
        <w:rPr>
          <w:lang w:val="fr-FR"/>
        </w:rPr>
      </w:pPr>
      <w:r w:rsidRPr="000F6A66">
        <w:rPr>
          <w:lang w:val="fr-FR"/>
        </w:rPr>
        <w:t>L’approche du projet consistait à renforcer la propriété intellectuelle dans un secteur (le tourisme), qui recouvre divers types de droits de propriété intellectuelle et de fonctions dans le système de propriété intellectuelle, y compris l’enseignement de la propriété intellectuelle.</w:t>
      </w:r>
    </w:p>
    <w:p w14:paraId="0A09C054" w14:textId="77777777" w:rsidR="00C31DE2" w:rsidRPr="000F6A66" w:rsidRDefault="00C31DE2" w:rsidP="00481AFB">
      <w:pPr>
        <w:pStyle w:val="ONUMFS"/>
        <w:rPr>
          <w:lang w:val="fr-FR"/>
        </w:rPr>
      </w:pPr>
      <w:r w:rsidRPr="000F6A66">
        <w:rPr>
          <w:lang w:val="fr-FR"/>
        </w:rPr>
        <w:t>Elle contraste avec celle de la plupart des autres projets du Plan d’action pour le développement qui portent sur des droits de propriété spécifiques ou des éléments du système de la propriété intellectuelle qui répondent aux besoins des différents utilisateurs de la propriété intellectuelle.</w:t>
      </w:r>
    </w:p>
    <w:p w14:paraId="33241C80" w14:textId="77777777" w:rsidR="00C31DE2" w:rsidRPr="000F6A66" w:rsidRDefault="00C31DE2" w:rsidP="00481AFB">
      <w:pPr>
        <w:pStyle w:val="ONUMFS"/>
        <w:rPr>
          <w:lang w:val="fr-FR"/>
        </w:rPr>
      </w:pPr>
      <w:r w:rsidRPr="000F6A66">
        <w:rPr>
          <w:lang w:val="fr-FR"/>
        </w:rPr>
        <w:t>Un projet sectoriel aurait permis de mieux répondre aux besoins des utilisateurs et d’offrir un appui plus général et plus approfondi.</w:t>
      </w:r>
    </w:p>
    <w:p w14:paraId="0B662701" w14:textId="77777777" w:rsidR="00C31DE2" w:rsidRPr="000F6A66" w:rsidRDefault="00C31DE2" w:rsidP="00481AFB">
      <w:pPr>
        <w:pStyle w:val="ONUMFS"/>
        <w:rPr>
          <w:lang w:val="fr-FR"/>
        </w:rPr>
      </w:pPr>
      <w:r w:rsidRPr="000F6A66">
        <w:rPr>
          <w:lang w:val="fr-FR"/>
        </w:rPr>
        <w:t>Les programmes ordinaires de l’OMPI sont structurés selon différents droits de propriété intellectuelle et fonctions au sein du système de la propriété intellectuelle et non selon différents groupes d’utilisateurs.  L’exception porte sur les programmes bénéficiant à des industries qui reposent dans une large mesure sur les droits de propriété intellectuelle, par exemple le secteur audiovisuel.  Les activités ordinaires de l’OMPI et les projets non sectoriels du Plan d’action pour le développement ciblent déjà, directement ou indirectement, la plupart des industries clefs et d’autres utilisateurs de la propriété intellectuelle des pays en développement.</w:t>
      </w:r>
    </w:p>
    <w:p w14:paraId="68F3164C" w14:textId="77777777" w:rsidR="00C31DE2" w:rsidRPr="000F6A66" w:rsidRDefault="00C31DE2" w:rsidP="00481AFB">
      <w:pPr>
        <w:pStyle w:val="ONUMFS"/>
        <w:rPr>
          <w:lang w:val="fr-FR"/>
        </w:rPr>
      </w:pPr>
      <w:r w:rsidRPr="000F6A66">
        <w:rPr>
          <w:lang w:val="fr-FR"/>
        </w:rPr>
        <w:t xml:space="preserve">L’avantage d’un projet ciblant des utilisateurs spécifiques de la propriété intellectuelle est que l’OMPI doit faire appel à de multiples parties prenantes qui ne sont peut-être pas ses </w:t>
      </w:r>
      <w:r w:rsidRPr="000F6A66">
        <w:rPr>
          <w:lang w:val="fr-FR"/>
        </w:rPr>
        <w:lastRenderedPageBreak/>
        <w:t>partenaires traditionnels.  De toute évidence, l’organisation gagne directement en notoriété au-delà des offices de propriété intellectuelle, mais le revers de la médaille est qu’il est complexe de coordonner les parties prenantes des différentes entreprises travaillant ou contribuant à l’industrie touristique et les différentes parties prenantes du système de la propriété intellectuelle.</w:t>
      </w:r>
    </w:p>
    <w:p w14:paraId="50AB3FA5" w14:textId="77777777" w:rsidR="00C31DE2" w:rsidRPr="000F6A66" w:rsidRDefault="00C31DE2" w:rsidP="00481AFB">
      <w:pPr>
        <w:pStyle w:val="ONUMFS"/>
        <w:rPr>
          <w:lang w:val="fr-FR"/>
        </w:rPr>
      </w:pPr>
      <w:r w:rsidRPr="000F6A66">
        <w:rPr>
          <w:lang w:val="fr-FR"/>
        </w:rPr>
        <w:t>Aucun chevauchement direct avec d’autres programmes de l’OMPI dans les quatre pays bénéficiaires n’a été constaté.  D’autre part, le projet a été essentiellement mis en œuvre en tant qu’initiative autonome faisant appel à ses propres experts externes et développant ses propres activités de sensibilisation, de renforcement des capacités et de supports d’enseignement, quelques fois en parallèle aux activités similaires existantes du Secrétariat, mais n’ayant pas les mêmes bénéficiaires directs.</w:t>
      </w:r>
    </w:p>
    <w:p w14:paraId="54B57535" w14:textId="77777777" w:rsidR="00C31DE2" w:rsidRPr="000F6A66" w:rsidRDefault="00C31DE2" w:rsidP="00481AFB">
      <w:pPr>
        <w:pStyle w:val="ONUMFS"/>
        <w:rPr>
          <w:lang w:val="fr-FR"/>
        </w:rPr>
      </w:pPr>
      <w:r w:rsidRPr="000F6A66">
        <w:rPr>
          <w:lang w:val="fr-FR"/>
        </w:rPr>
        <w:t>Comme nous l’avons analysé plus haut, même si le projet est lié aux recommandations du Plan d’action pour le développement qu’il a pour but de mettre en œuvre, la mesure dans laquelle il y donne suite est plutôt faible.  Aucune recommandation du Plan ne porte directement sur le renforcement de l’utilisation des droits de propriété intellectuelle dans le secteur touristique.</w:t>
      </w:r>
    </w:p>
    <w:p w14:paraId="505E4B0B" w14:textId="77777777" w:rsidR="00C31DE2" w:rsidRPr="000F6A66" w:rsidRDefault="00C31DE2" w:rsidP="00481AFB">
      <w:pPr>
        <w:pStyle w:val="ONUMFS"/>
        <w:rPr>
          <w:lang w:val="fr-FR"/>
        </w:rPr>
      </w:pPr>
      <w:r w:rsidRPr="000F6A66">
        <w:rPr>
          <w:lang w:val="fr-FR"/>
        </w:rPr>
        <w:t>Lorsqu’un projet du Plan d’action pour le développement ne répond pas directement à une recommandation spécifique de ce plan, le Secrétariat pourrait vouloir consulter le Comité du développement et de la propriété intellectuelle (document de travail) avant de soumettre une proposition de projet spécifique au Comité du développement et de la propriété intellectuelle.</w:t>
      </w:r>
    </w:p>
    <w:p w14:paraId="4C71C833" w14:textId="77777777" w:rsidR="00C31DE2" w:rsidRPr="000F6A66" w:rsidRDefault="00C31DE2" w:rsidP="00481AFB">
      <w:pPr>
        <w:pStyle w:val="ONUMFS"/>
        <w:rPr>
          <w:lang w:val="fr-FR"/>
        </w:rPr>
      </w:pPr>
      <w:r w:rsidRPr="000F6A66">
        <w:rPr>
          <w:lang w:val="fr-FR"/>
        </w:rPr>
        <w:t>La procédure en vigueur pour l’approbation de nouvelles publications de l’OMPI pourrait fournir des éléments d’information sur les facteurs à considérer, permettant ainsi de déterminer si l’appui proposé répond à un besoin exprimé, si l’avantage comparatif de l’OMPI lui permet de fournir cet appui et si le ou les services requis sont déjà disponibles au titre des programmes actuels de l’OMPI.</w:t>
      </w:r>
    </w:p>
    <w:p w14:paraId="441A3940" w14:textId="5D4869DC" w:rsidR="00C31DE2" w:rsidRPr="000F6A66" w:rsidRDefault="00C31DE2" w:rsidP="00481AFB">
      <w:pPr>
        <w:pStyle w:val="Heading3"/>
        <w:rPr>
          <w:lang w:val="fr-FR"/>
        </w:rPr>
      </w:pPr>
      <w:bookmarkStart w:id="62" w:name="_Toc18331431"/>
      <w:bookmarkStart w:id="63" w:name="_Toc20991666"/>
      <w:r w:rsidRPr="000F6A66">
        <w:rPr>
          <w:lang w:val="fr-FR"/>
        </w:rPr>
        <w:t xml:space="preserve">Coordination et synergies </w:t>
      </w:r>
      <w:bookmarkEnd w:id="62"/>
      <w:r w:rsidRPr="000F6A66">
        <w:rPr>
          <w:lang w:val="fr-FR"/>
        </w:rPr>
        <w:t>au sein du Secrétariat</w:t>
      </w:r>
      <w:bookmarkEnd w:id="63"/>
    </w:p>
    <w:p w14:paraId="3E1213D5" w14:textId="77777777" w:rsidR="00481AFB" w:rsidRPr="000F6A66" w:rsidRDefault="00481AFB" w:rsidP="00481AFB">
      <w:pPr>
        <w:rPr>
          <w:lang w:val="fr-FR"/>
        </w:rPr>
      </w:pPr>
    </w:p>
    <w:p w14:paraId="3D13153B" w14:textId="77777777" w:rsidR="00C31DE2" w:rsidRPr="000F6A66" w:rsidRDefault="00C31DE2" w:rsidP="00481AFB">
      <w:pPr>
        <w:pStyle w:val="ONUMFS"/>
        <w:rPr>
          <w:iCs/>
          <w:lang w:val="fr-FR"/>
        </w:rPr>
      </w:pPr>
      <w:r w:rsidRPr="000F6A66">
        <w:rPr>
          <w:lang w:val="fr-FR"/>
        </w:rPr>
        <w:t>Outre l’utilisation de certains documents disponibles au sein de l’OMPI, la coordination et les synergies entre les activités menées dans le cadre des programmes ordinaires de l’OMPI ont été plutôt faibles.  Il n’y avait par exemple aucune interaction avec le programme n° 4 (savoirs traditionnels, expressions culturelles traditionnelles et ressources génétiques), quoique les savoirs traditionnels et les expressions culturelles traditionnelles fassent partie de droits de propriété intellectuelle susceptibles de contribuer au développement de produits touristiques intéressants.  Le programme 16 (Statistiques économiques) n’était pas concerné, même si l’un des principaux objectifs du projet était de montrer les avantages socioéconomiques des droits de propriété intellectuelle</w:t>
      </w:r>
      <w:r w:rsidRPr="000F6A66">
        <w:rPr>
          <w:rStyle w:val="FootnoteReference"/>
          <w:lang w:val="fr-FR"/>
        </w:rPr>
        <w:footnoteReference w:id="24"/>
      </w:r>
      <w:r w:rsidRPr="000F6A66">
        <w:rPr>
          <w:lang w:val="fr-FR"/>
        </w:rPr>
        <w:t>.  Certes, les synergies restent assez limitées, mais l’évaluation effectuée n’a pas révélé de doubles emplois ou de chevauchements spécifiques qui exigeraient l’attention du CDIP</w:t>
      </w:r>
      <w:r w:rsidRPr="000F6A66">
        <w:rPr>
          <w:iCs/>
          <w:lang w:val="fr-FR"/>
        </w:rPr>
        <w:t>.</w:t>
      </w:r>
    </w:p>
    <w:p w14:paraId="20224F21" w14:textId="2E8C4C44" w:rsidR="00C31DE2" w:rsidRPr="000F6A66" w:rsidRDefault="00C31DE2" w:rsidP="00481AFB">
      <w:pPr>
        <w:pStyle w:val="Heading3"/>
        <w:rPr>
          <w:lang w:val="fr-FR"/>
        </w:rPr>
      </w:pPr>
      <w:bookmarkStart w:id="64" w:name="_Toc18331432"/>
      <w:bookmarkStart w:id="65" w:name="_Toc20991667"/>
      <w:r w:rsidRPr="000F6A66">
        <w:rPr>
          <w:lang w:val="fr-FR"/>
        </w:rPr>
        <w:t xml:space="preserve">Synergies </w:t>
      </w:r>
      <w:bookmarkEnd w:id="64"/>
      <w:r w:rsidRPr="000F6A66">
        <w:rPr>
          <w:lang w:val="fr-FR"/>
        </w:rPr>
        <w:t>avec les autres organisations</w:t>
      </w:r>
      <w:bookmarkEnd w:id="65"/>
    </w:p>
    <w:p w14:paraId="5756A02C" w14:textId="77777777" w:rsidR="00481AFB" w:rsidRPr="000F6A66" w:rsidRDefault="00481AFB" w:rsidP="00481AFB">
      <w:pPr>
        <w:rPr>
          <w:lang w:val="fr-FR"/>
        </w:rPr>
      </w:pPr>
    </w:p>
    <w:p w14:paraId="5F425E88" w14:textId="77777777" w:rsidR="00C31DE2" w:rsidRPr="000F6A66" w:rsidRDefault="00C31DE2" w:rsidP="00481AFB">
      <w:pPr>
        <w:pStyle w:val="ONUMFS"/>
        <w:rPr>
          <w:lang w:val="fr-FR"/>
        </w:rPr>
      </w:pPr>
      <w:r w:rsidRPr="000F6A66">
        <w:rPr>
          <w:lang w:val="fr-FR"/>
        </w:rPr>
        <w:t xml:space="preserve">La coopération avec l’OMT obéit à la recommandation n° 40 du Plan d’action pour le développement et constitue une tentative réussie de créer un produit commun, même si la </w:t>
      </w:r>
      <w:r w:rsidRPr="000F6A66">
        <w:rPr>
          <w:lang w:val="fr-FR"/>
        </w:rPr>
        <w:lastRenderedPageBreak/>
        <w:t>publication conjointe prévue n’a pas encore été finalisée.  Les possibilités de collaboration avec les autres organisations du système des Nations Unies œuvrant dans le domaine du tourisme et des industries liées au tourisme, dont certaines ont conclu des accords de coopération avec l’OMPI (par exemple l’ONUDI, en partie la CNUCED), n’ont pas été explorées ou, dans le cas de l’UNESCO, ont échoué.</w:t>
      </w:r>
    </w:p>
    <w:p w14:paraId="1031746E" w14:textId="43AC7CA1" w:rsidR="00C31DE2" w:rsidRPr="000F6A66" w:rsidRDefault="00481AFB" w:rsidP="00481AFB">
      <w:pPr>
        <w:pStyle w:val="Heading2"/>
        <w:rPr>
          <w:lang w:val="fr-FR"/>
        </w:rPr>
      </w:pPr>
      <w:bookmarkStart w:id="66" w:name="_Toc20991668"/>
      <w:r w:rsidRPr="000F6A66">
        <w:rPr>
          <w:lang w:val="fr-FR"/>
        </w:rPr>
        <w:t>Degré de viabilité des résultats</w:t>
      </w:r>
      <w:bookmarkEnd w:id="66"/>
    </w:p>
    <w:p w14:paraId="4B35FC49" w14:textId="77777777" w:rsidR="00481AFB" w:rsidRPr="000F6A66" w:rsidRDefault="00481AFB" w:rsidP="00481AFB">
      <w:pPr>
        <w:rPr>
          <w:lang w:val="fr-FR"/>
        </w:rPr>
      </w:pPr>
    </w:p>
    <w:p w14:paraId="544C5E73" w14:textId="77777777" w:rsidR="00C31DE2" w:rsidRPr="000F6A66" w:rsidRDefault="00C31DE2" w:rsidP="00481AFB">
      <w:pPr>
        <w:pStyle w:val="ONUMFS"/>
        <w:rPr>
          <w:lang w:val="fr-FR"/>
        </w:rPr>
      </w:pPr>
      <w:r w:rsidRPr="000F6A66">
        <w:rPr>
          <w:lang w:val="fr-FR"/>
        </w:rPr>
        <w:t>Il serait prématuré de tenter d’évaluer la viabilité des résultats au niveau des pays, car le maintien des avantages dépend en grande partie du suivi effectué par les offices de propriété intellectuelle de chaque pays.  Des activités de suivi sont déjà en cours et devraient se poursuivre en Équateur et en Namibie.  Au niveau mondial, le projet a réussi à faire savoir que le tourisme peut tirer parti de la valorisation de la propriété intellectuelle.  Si elle est achevée comme convenu, la publication conjointe sur la propriété intellectuelle et le tourisme permettra une diffusion plus large d’informations dépassant le cadre des quatre pays cibles du projet.</w:t>
      </w:r>
    </w:p>
    <w:p w14:paraId="10D04E5A" w14:textId="77777777" w:rsidR="00C31DE2" w:rsidRPr="000F6A66" w:rsidRDefault="00C31DE2" w:rsidP="00481AFB">
      <w:pPr>
        <w:pStyle w:val="ONUMFS"/>
        <w:rPr>
          <w:lang w:val="fr-FR"/>
        </w:rPr>
      </w:pPr>
      <w:r w:rsidRPr="000F6A66">
        <w:rPr>
          <w:lang w:val="fr-FR"/>
        </w:rPr>
        <w:t>Comme nous l’avons déjà expliqué, la majeure partie de l’aide fournie fait déjà partie des programmes ordinaires de l’OMPI.  Une aide supplémentaire limitée est donc disponible pour consolider et compléter cet appui.  Aucun nouveau service n’a fait l’objet d’un projet pilote qui pourrait être élaboré et intégré.  Prévoir une nouvelle phase après la poursuite des travaux prévus au cours de la première phase aurait une valeur ajoutée limitée.  Un projet ou une phase de suivi n’est pas nécessaire.</w:t>
      </w:r>
    </w:p>
    <w:p w14:paraId="225A8DBE" w14:textId="22E182D4" w:rsidR="00C31DE2" w:rsidRPr="000F6A66" w:rsidRDefault="00481AFB" w:rsidP="00481AFB">
      <w:pPr>
        <w:pStyle w:val="Heading1"/>
        <w:rPr>
          <w:lang w:val="fr-FR"/>
        </w:rPr>
      </w:pPr>
      <w:bookmarkStart w:id="67" w:name="_Toc18331434"/>
      <w:bookmarkStart w:id="68" w:name="_Toc20991669"/>
      <w:r w:rsidRPr="000F6A66">
        <w:rPr>
          <w:lang w:val="fr-FR"/>
        </w:rPr>
        <w:t>Conclusions</w:t>
      </w:r>
      <w:bookmarkEnd w:id="67"/>
      <w:bookmarkEnd w:id="68"/>
    </w:p>
    <w:p w14:paraId="4064C200" w14:textId="77777777" w:rsidR="00481AFB" w:rsidRPr="000F6A66" w:rsidRDefault="00481AFB" w:rsidP="00481AFB">
      <w:pPr>
        <w:rPr>
          <w:lang w:val="fr-FR"/>
        </w:rPr>
      </w:pPr>
    </w:p>
    <w:p w14:paraId="06FC6A99" w14:textId="77777777" w:rsidR="00C31DE2" w:rsidRPr="000F6A66" w:rsidRDefault="00C31DE2" w:rsidP="00481AFB">
      <w:pPr>
        <w:pStyle w:val="ONUMFS"/>
        <w:rPr>
          <w:lang w:val="fr-FR"/>
        </w:rPr>
      </w:pPr>
      <w:r w:rsidRPr="000F6A66">
        <w:rPr>
          <w:lang w:val="fr-FR"/>
        </w:rPr>
        <w:t>Les constatations et l’évaluation présentées ci-dessus ont conduit aux conclusions suivantes :</w:t>
      </w:r>
    </w:p>
    <w:p w14:paraId="1C922861" w14:textId="77777777" w:rsidR="00C31DE2" w:rsidRPr="000F6A66" w:rsidRDefault="00C31DE2" w:rsidP="00481AFB">
      <w:pPr>
        <w:pStyle w:val="ONUMFS"/>
        <w:numPr>
          <w:ilvl w:val="0"/>
          <w:numId w:val="0"/>
        </w:numPr>
        <w:rPr>
          <w:b/>
          <w:lang w:val="fr-FR"/>
        </w:rPr>
      </w:pPr>
      <w:r w:rsidRPr="000F6A66">
        <w:rPr>
          <w:b/>
          <w:lang w:val="fr-FR"/>
        </w:rPr>
        <w:t>Conclusion n° 1 concernant la préparation et la gestion du projet</w:t>
      </w:r>
    </w:p>
    <w:p w14:paraId="2E23DEF1" w14:textId="77777777" w:rsidR="00C31DE2" w:rsidRPr="000F6A66" w:rsidRDefault="00C31DE2" w:rsidP="00481AFB">
      <w:pPr>
        <w:pStyle w:val="ONUMFS"/>
        <w:rPr>
          <w:lang w:val="fr-FR"/>
        </w:rPr>
      </w:pPr>
      <w:r w:rsidRPr="000F6A66">
        <w:rPr>
          <w:lang w:val="fr-FR"/>
        </w:rPr>
        <w:t>En termes de stratégie et d’organisation, le projet a été globalement bien préparé.  Les objectifs généraux et la manière de les atteindre étaient clairement définis.  Les budgets et les échéanciers étaient réalistes, comme en témoignent le taux de décaissement de 95,5% et le fait que la plupart des produits livrables ont été réalisés dans les délais prévus.  Le contenu réel du projet (activités) a été affiné au cours de la mise en œuvre, répondant aux besoins spécifiques des quatre pays cibles, qui n’ont été sélectionnés qu’au cours de la mise en œuvre.</w:t>
      </w:r>
    </w:p>
    <w:p w14:paraId="312C84E4" w14:textId="77777777" w:rsidR="00C31DE2" w:rsidRPr="000F6A66" w:rsidRDefault="00C31DE2" w:rsidP="00481AFB">
      <w:pPr>
        <w:pStyle w:val="ONUMFS"/>
        <w:rPr>
          <w:lang w:val="fr-FR"/>
        </w:rPr>
      </w:pPr>
      <w:r w:rsidRPr="000F6A66">
        <w:rPr>
          <w:lang w:val="fr-FR"/>
        </w:rPr>
        <w:t>Les modèles standard pour la planification et le suivi des projets.  Contrairement à la plupart des grands acteurs du développement, l’OMPI n’utilise pas le cadre logique, qui est couramment utilisé pour la gestion axée sur les résultats dans tous les grands organismes de développement, pour la planification, le suivi et les évaluations.  Le Secrétariat estime qu’il serait difficile de le faire en raison des termes négociés dans les descriptifs de projet.  De plus, une stratégie d’élimination progressive décrivant des mesures adéquates pour assurer le maintien des avantages du projet à la fin du soutien dont il bénéficie (viabilité) n’a pas été définie.  Enfin, l’OMPI ne dispose pas d’un mécanisme permettant d’évaluer si, outre les produits et les résultats immédiats, les résultats à long terme des projets du Plan d’action pour le développement se sont matérialisés (par exemple, évaluations ex-post).</w:t>
      </w:r>
    </w:p>
    <w:p w14:paraId="13F2E14B" w14:textId="77777777" w:rsidR="00C31DE2" w:rsidRPr="000F6A66" w:rsidRDefault="00C31DE2" w:rsidP="00481AFB">
      <w:pPr>
        <w:pStyle w:val="ONUMFS"/>
        <w:rPr>
          <w:lang w:val="fr-FR"/>
        </w:rPr>
      </w:pPr>
      <w:r w:rsidRPr="000F6A66">
        <w:rPr>
          <w:lang w:val="fr-FR"/>
        </w:rPr>
        <w:t xml:space="preserve">La gestionnaire de projet et son directeur ont participé à l’exécution quotidienne des activités, y compris les missions sur le terrain et le renforcement des capacités.  En ce qui concerne les dépenses de personnel, qui n’ont pas été budgétisées, le projet a donc nécessité des ressources plus importantes que prévu pour le Secrétariat.  Dans l’ensemble, les responsables se sont bien comportés.  Les partenaires se sont félicités de la coopération avec </w:t>
      </w:r>
      <w:r w:rsidRPr="000F6A66">
        <w:rPr>
          <w:lang w:val="fr-FR"/>
        </w:rPr>
        <w:lastRenderedPageBreak/>
        <w:t>le Secrétariat et ont souligné la souplesse et la capacité d’adaptation de l’équipe de projet à l’évolution de leurs besoins.</w:t>
      </w:r>
    </w:p>
    <w:p w14:paraId="67B9B224" w14:textId="77777777" w:rsidR="00C31DE2" w:rsidRPr="000F6A66" w:rsidRDefault="00C31DE2" w:rsidP="00481AFB">
      <w:pPr>
        <w:pStyle w:val="ONUMFS"/>
        <w:numPr>
          <w:ilvl w:val="0"/>
          <w:numId w:val="0"/>
        </w:numPr>
        <w:rPr>
          <w:b/>
          <w:lang w:val="fr-FR"/>
        </w:rPr>
      </w:pPr>
      <w:r w:rsidRPr="000F6A66">
        <w:rPr>
          <w:b/>
          <w:lang w:val="fr-FR"/>
        </w:rPr>
        <w:t>Conclusion n° 2 concernant la pertinence</w:t>
      </w:r>
    </w:p>
    <w:p w14:paraId="59F3FC3F" w14:textId="77777777" w:rsidR="00C31DE2" w:rsidRPr="000F6A66" w:rsidRDefault="00C31DE2" w:rsidP="00481AFB">
      <w:pPr>
        <w:pStyle w:val="ONUMFS"/>
        <w:rPr>
          <w:lang w:val="fr-FR"/>
        </w:rPr>
      </w:pPr>
      <w:r w:rsidRPr="000F6A66">
        <w:rPr>
          <w:lang w:val="fr-FR"/>
        </w:rPr>
        <w:t>Les parties prenantes interrogées ont confirmé que l’assistance de l’OMPI répondait pleinement à leurs besoins.  D’une manière générale, le projet a ciblé des pays à fort potentiel touristique.  Le degré d’appropriation et d’enthousiasme variait toutefois selon les pays bénéficiaires.  La raison en est probablement que la propriété intellectuelle n’est qu’un des nombreux facteurs nécessaires pour offrir des produits touristiques compétitifs.  De plus, le projet a été piloté au départ par des spécialistes de la propriété intellectuelle plutôt que par des acteurs du tourisme.</w:t>
      </w:r>
    </w:p>
    <w:p w14:paraId="0020EFAE" w14:textId="77777777" w:rsidR="00C31DE2" w:rsidRPr="000F6A66" w:rsidRDefault="00C31DE2" w:rsidP="00481AFB">
      <w:pPr>
        <w:pStyle w:val="ONUMFS"/>
        <w:rPr>
          <w:lang w:val="fr-FR"/>
        </w:rPr>
      </w:pPr>
      <w:r w:rsidRPr="000F6A66">
        <w:rPr>
          <w:lang w:val="fr-FR"/>
        </w:rPr>
        <w:t>L’approbation du CDIP par consensus indique que les États membres considèrent que le projet est pertinent.  Le projet était cohérent avec les recommandations du Plan d’action pour le développement qu’il avait pour but de mettre en œuvre, même si la mesure dans laquelle il y a répondu a été plutôt faible.  Aucune recommandation spécifique du Plan d’action ne requiert de travailler directement sur la “propriété intellectuelle aux fins de développement du tourisme”.</w:t>
      </w:r>
    </w:p>
    <w:p w14:paraId="0A97A42E" w14:textId="77777777" w:rsidR="00C31DE2" w:rsidRPr="000F6A66" w:rsidRDefault="00C31DE2" w:rsidP="00481AFB">
      <w:pPr>
        <w:pStyle w:val="ONUMFS"/>
        <w:rPr>
          <w:lang w:val="fr-FR"/>
        </w:rPr>
      </w:pPr>
      <w:r w:rsidRPr="000F6A66">
        <w:rPr>
          <w:lang w:val="fr-FR"/>
        </w:rPr>
        <w:t>Les recommandations du Plan d’action pour le développement portent en général sur des questions qui doivent être abordées pour améliorer la valorisation des droits de propriété intellectuelle à des fins de développement.  Elles ne sont pas spécifiques à un secteur d’activité, quoique certaines questions soulevées dans ce plan d’action peuvent s’avérer plus pertinentes pour certains secteurs que pour d’autres.  Les programmes ordinaires de l’OMPI ne sont pas non plus propres à une industrie.</w:t>
      </w:r>
    </w:p>
    <w:p w14:paraId="76823481" w14:textId="77777777" w:rsidR="00C31DE2" w:rsidRPr="000F6A66" w:rsidRDefault="00C31DE2" w:rsidP="00481AFB">
      <w:pPr>
        <w:pStyle w:val="ONUMFS"/>
        <w:rPr>
          <w:lang w:val="fr-FR"/>
        </w:rPr>
      </w:pPr>
      <w:r w:rsidRPr="000F6A66">
        <w:rPr>
          <w:lang w:val="fr-FR"/>
        </w:rPr>
        <w:t>Les services fournis sont déjà disponibles dans le cadre de différents programmes existants de l’OMPI (études économiques, soutien aux PME, renforcement des capacités des offices de propriété intellectuelle, enseignement de la propriété intellectuelle, contribution aux politiques), mais le projet les a appliqués spécifiquement au développement du tourisme.</w:t>
      </w:r>
    </w:p>
    <w:p w14:paraId="7C251F21" w14:textId="77777777" w:rsidR="00C31DE2" w:rsidRPr="000F6A66" w:rsidRDefault="00C31DE2" w:rsidP="00481AFB">
      <w:pPr>
        <w:pStyle w:val="ONUMFS"/>
        <w:rPr>
          <w:lang w:val="fr-FR"/>
        </w:rPr>
      </w:pPr>
      <w:r w:rsidRPr="000F6A66">
        <w:rPr>
          <w:lang w:val="fr-FR"/>
        </w:rPr>
        <w:t>Si un nouveau projet du Plan d’action pour le développement proposé ne répond pas directement à une recommandation spécifique de ce plan d’action, une discussion préalable entre les États membres (sur la base d’un document de travail) aiderait le Secrétariat à faire en sorte que les attentes et les besoins de tous les États membres soient pleinement satisfaits et que le projet proposé dans le cadre du Plan d’action pour le développement bénéficie de toutes les ressources internes existantes.</w:t>
      </w:r>
    </w:p>
    <w:p w14:paraId="372823A9" w14:textId="77777777" w:rsidR="00C31DE2" w:rsidRPr="000F6A66" w:rsidRDefault="00C31DE2" w:rsidP="00481AFB">
      <w:pPr>
        <w:pStyle w:val="ONUMFS"/>
        <w:numPr>
          <w:ilvl w:val="0"/>
          <w:numId w:val="0"/>
        </w:numPr>
        <w:rPr>
          <w:b/>
          <w:lang w:val="fr-FR"/>
        </w:rPr>
      </w:pPr>
      <w:r w:rsidRPr="000F6A66">
        <w:rPr>
          <w:b/>
          <w:lang w:val="fr-FR"/>
        </w:rPr>
        <w:t>Conclusion n° 3 concernant l’efficacité et la pérennité des résultats</w:t>
      </w:r>
    </w:p>
    <w:p w14:paraId="19ECC8D0" w14:textId="77777777" w:rsidR="00C31DE2" w:rsidRPr="000F6A66" w:rsidRDefault="00C31DE2" w:rsidP="00481AFB">
      <w:pPr>
        <w:pStyle w:val="ONUMFS"/>
        <w:rPr>
          <w:lang w:val="fr-FR"/>
        </w:rPr>
      </w:pPr>
      <w:r w:rsidRPr="000F6A66">
        <w:rPr>
          <w:lang w:val="fr-FR"/>
        </w:rPr>
        <w:t>Sur la base d’une validation obtenue au moyen d’une analyse préliminaire de rapports, d’enquêtes internes et d’entretiens, l’évaluateur approuve le projet de rapport d’achèvement préparé par le directeur de projet.  Principaux produits livrables inclus : a) études de cas dans quatre pays démontrant les avantages de la propriété intellectuelle pour le développement du tourisme, b) manifestations nationales de renforcement des capacités, c) élaboration de programmes d’enseignement de la propriété intellectuelle dans les écoles et universités de tourisme et d) guide pratique du tourisme (seul projet, qui doit encore être transformé en publication conjointe avec l’Organisation mondiale du tourisme des Nations Unies, OMT).</w:t>
      </w:r>
    </w:p>
    <w:p w14:paraId="2BE092CE" w14:textId="77777777" w:rsidR="00C31DE2" w:rsidRPr="000F6A66" w:rsidRDefault="00C31DE2" w:rsidP="00481AFB">
      <w:pPr>
        <w:pStyle w:val="ONUMFS"/>
        <w:rPr>
          <w:lang w:val="fr-FR"/>
        </w:rPr>
      </w:pPr>
      <w:r w:rsidRPr="000F6A66">
        <w:rPr>
          <w:lang w:val="fr-FR"/>
        </w:rPr>
        <w:t>Les produits livrables étaient généralement de bonne qualité.  Il n’est pas surprenant que les principales conclusions et recommandations des études soient assez évidentes.  La valeur ajoutée des études menées à l’échelle nationale a principalement été de montrer comment évaluer l’utilisation de la propriété intellectuelle dans un secteur spécifique.</w:t>
      </w:r>
    </w:p>
    <w:p w14:paraId="616CA800" w14:textId="77777777" w:rsidR="00C31DE2" w:rsidRPr="000F6A66" w:rsidRDefault="00C31DE2" w:rsidP="00481AFB">
      <w:pPr>
        <w:pStyle w:val="ONUMFS"/>
        <w:rPr>
          <w:lang w:val="fr-FR"/>
        </w:rPr>
      </w:pPr>
      <w:r w:rsidRPr="000F6A66">
        <w:rPr>
          <w:lang w:val="fr-FR"/>
        </w:rPr>
        <w:t xml:space="preserve">En Égypte, à Sri Lanka et en Namibie, des données anecdotiques indiquent que la valorisation de la propriété intellectuelle dans le secteur du tourisme est mieux connue, mais </w:t>
      </w:r>
      <w:r w:rsidRPr="000F6A66">
        <w:rPr>
          <w:lang w:val="fr-FR"/>
        </w:rPr>
        <w:lastRenderedPageBreak/>
        <w:t>rien n’indique que cela ait déjà débouché sur des actions spécifiques ou même sur des avantages plus larges.  Dans ces trois pays, aucune décision n’a été prise quant à l’introduction de cours de propriété intellectuelle dans l’enseignement du tourisme.  On ignore si et quand ils seront intégrés.</w:t>
      </w:r>
    </w:p>
    <w:p w14:paraId="2075E690" w14:textId="77777777" w:rsidR="00C31DE2" w:rsidRPr="000F6A66" w:rsidRDefault="00C31DE2" w:rsidP="00481AFB">
      <w:pPr>
        <w:pStyle w:val="ONUMFS"/>
        <w:rPr>
          <w:lang w:val="fr-FR"/>
        </w:rPr>
      </w:pPr>
      <w:r w:rsidRPr="000F6A66">
        <w:rPr>
          <w:lang w:val="fr-FR"/>
        </w:rPr>
        <w:t>En Équateur, la sensibilisation suscitée par le projet a donné lieu à diverses activités de suivi.  L’Office équatorien de la propriété intellectuelle, le SENADI, et le gouvernement provincial d’Imbabura (Équateur) ont signé un accord visant à élaborer des stratégies en matière de propriété intellectuelle et de branding pour promouvoir l’activité économique de la province sur la base du caractère unique de son écotourisme.  Le SENADI a fait preuve d’un grand enthousiasme et à ce jour a dispensé plus de 20 cours de suivi aux acteurs de l’industrie.</w:t>
      </w:r>
    </w:p>
    <w:p w14:paraId="661ADEA1" w14:textId="77777777" w:rsidR="00C31DE2" w:rsidRPr="000F6A66" w:rsidRDefault="00C31DE2" w:rsidP="00481AFB">
      <w:pPr>
        <w:pStyle w:val="ONUMFS"/>
        <w:rPr>
          <w:lang w:val="fr-FR"/>
        </w:rPr>
      </w:pPr>
      <w:r w:rsidRPr="000F6A66">
        <w:rPr>
          <w:lang w:val="fr-FR"/>
        </w:rPr>
        <w:t>Avec le soutien du projet, le SENADI et l’École polytechnique des forces armées (ESPE) ont développé conjointement un cours qui sera enseigné à partir de 2020 à 500 étudiants.  Le cours sera dispensé pendant quatre heures chaque semaine (64 heures par semestre).  De plus, les questions de propriété intellectuelle ont été intégrées dans d’autres cours de l’université dans le cadre d’un atelier destiné aux enseignants.</w:t>
      </w:r>
    </w:p>
    <w:p w14:paraId="2FDBA8CC" w14:textId="77777777" w:rsidR="00C31DE2" w:rsidRPr="000F6A66" w:rsidRDefault="00C31DE2" w:rsidP="00481AFB">
      <w:pPr>
        <w:pStyle w:val="ONUMFS"/>
        <w:rPr>
          <w:lang w:val="fr-FR"/>
        </w:rPr>
      </w:pPr>
      <w:r w:rsidRPr="000F6A66">
        <w:rPr>
          <w:lang w:val="fr-FR"/>
        </w:rPr>
        <w:t>Malgré ces premières avancées prometteuses, rares sont les résultats spécifiques et tangibles directement attribuables au projet.  Le sujet mérite une attention soutenue de la part des autorités chargées de la propriété intellectuelle et du tourisme dans les pays concernés si l’on veut que les recommandations issues de la recherche menée au niveau national produisent des résultats concrets.</w:t>
      </w:r>
    </w:p>
    <w:p w14:paraId="18E75994" w14:textId="77777777" w:rsidR="00C31DE2" w:rsidRPr="000F6A66" w:rsidRDefault="00C31DE2" w:rsidP="00481AFB">
      <w:pPr>
        <w:pStyle w:val="ONUMFS"/>
        <w:rPr>
          <w:lang w:val="fr-FR"/>
        </w:rPr>
      </w:pPr>
      <w:r w:rsidRPr="000F6A66">
        <w:rPr>
          <w:lang w:val="fr-FR"/>
        </w:rPr>
        <w:t>Au niveau international, le projet réussirait à faire savoir dans quelle mesure le tourisme peut bénéficier de la valorisation de la propriété intellectuelle si le guide sur la propriété intellectuelle et le tourisme (publication conjointe avec l’Organisation mondiale du tourisme) est publié comme prévu.</w:t>
      </w:r>
    </w:p>
    <w:p w14:paraId="7E643078" w14:textId="77777777" w:rsidR="00C31DE2" w:rsidRPr="000F6A66" w:rsidRDefault="00C31DE2" w:rsidP="00481AFB">
      <w:pPr>
        <w:pStyle w:val="ONUMFS"/>
        <w:numPr>
          <w:ilvl w:val="0"/>
          <w:numId w:val="0"/>
        </w:numPr>
        <w:rPr>
          <w:b/>
          <w:lang w:val="fr-FR"/>
        </w:rPr>
      </w:pPr>
      <w:r w:rsidRPr="000F6A66">
        <w:rPr>
          <w:b/>
          <w:lang w:val="fr-FR"/>
        </w:rPr>
        <w:t>Conclusion n° 4 concernant l’approche du projet</w:t>
      </w:r>
    </w:p>
    <w:p w14:paraId="64A46427" w14:textId="77777777" w:rsidR="00C31DE2" w:rsidRPr="000F6A66" w:rsidRDefault="00C31DE2" w:rsidP="00481AFB">
      <w:pPr>
        <w:pStyle w:val="ONUMFS"/>
        <w:rPr>
          <w:lang w:val="fr-FR"/>
        </w:rPr>
      </w:pPr>
      <w:r w:rsidRPr="000F6A66">
        <w:rPr>
          <w:lang w:val="fr-FR"/>
        </w:rPr>
        <w:t>Comme expliqué plus haut, l’approche du projet consistait à renforcer l’intégration des questions liées à la propriété intellectuelle dans un secteur (le tourisme), qui recouvre divers types de droits de propriété intellectuelle et de fonctions au sein du système de la propriété intellectuelle.  Cela contraste avec la plupart des autres projets du Plan d’action pour le développement, qui portent sur des droits de propriété ou des éléments spécifiques du système de la propriété intellectuelle dans toutes les industries.  Un projet propre à l’industrie aurait permis de mieux répondre aux besoins de l’industrie et d’offrir un soutien plus global et plus approfondi.  Les travaux dans cette industrie exigent la participation des services gouvernementaux et des parties prenantes de l’industrie, qui ne sont pas des partenaires traditionnels de l’OMPI.  Certes, leur participation peut potentiellement élargir la portée de l’OMPI au-delà des offices de propriété intellectuelle, mais il est complexe de collaborer avec de multiples partenaires (parties prenantes de la diversité des activités dans les secteurs du tourisme et responsables de chacun des différents droits de propriété intellectuelle).  Le projet préconisait la création de comités directeurs sur la propriété intellectuelle et le tourisme, mais l’expérience a donné des résultats mitigés.</w:t>
      </w:r>
    </w:p>
    <w:p w14:paraId="11A3100D" w14:textId="77777777" w:rsidR="00C31DE2" w:rsidRPr="000F6A66" w:rsidRDefault="00C31DE2" w:rsidP="00481AFB">
      <w:pPr>
        <w:pStyle w:val="ONUMFS"/>
        <w:numPr>
          <w:ilvl w:val="0"/>
          <w:numId w:val="0"/>
        </w:numPr>
        <w:rPr>
          <w:b/>
          <w:lang w:val="fr-FR"/>
        </w:rPr>
      </w:pPr>
      <w:r w:rsidRPr="000F6A66">
        <w:rPr>
          <w:b/>
          <w:lang w:val="fr-FR"/>
        </w:rPr>
        <w:t>Conclusion n° 5 concernant les synergies</w:t>
      </w:r>
    </w:p>
    <w:p w14:paraId="37AB7B12" w14:textId="77777777" w:rsidR="00C31DE2" w:rsidRPr="000F6A66" w:rsidRDefault="00C31DE2" w:rsidP="00481AFB">
      <w:pPr>
        <w:pStyle w:val="ONUMFS"/>
        <w:rPr>
          <w:lang w:val="fr-FR"/>
        </w:rPr>
      </w:pPr>
      <w:r w:rsidRPr="000F6A66">
        <w:rPr>
          <w:lang w:val="fr-FR"/>
        </w:rPr>
        <w:t xml:space="preserve">Outre l’utilisation de certains documents disponibles au sein de l’OMPI, la coordination et les synergies avec les activités menées dans le cadre des programmes ordinaires de l’OMPI étaient plutôt faibles.  Il n’y a pas eu d’interaction avec plusieurs autres programmes pertinents fournissant un soutien similaire, par exemple les programmes d’études économiques (programme n° 16), le programme n° 4 (savoirs traditionnels, expressions culturelles traditionnelles et ressources génétiques).  Si les synergies sont restées assez limitées, aucun </w:t>
      </w:r>
      <w:r w:rsidRPr="000F6A66">
        <w:rPr>
          <w:lang w:val="fr-FR"/>
        </w:rPr>
        <w:lastRenderedPageBreak/>
        <w:t>chevauchement ou double emploi d’activités au niveau des pays bénéficiaires n’a été constaté.  La coopération avec l’OMT a été une tentative réussie de produire un résultat commun au sein du système des Nations Unies, même si la publication conjointe prévue n’a pas encore été finalisée.  Les possibilités de collaboration avec les autres organisations du système des Nations Unies travaillant dans le domaine du tourisme, dont certaines ont conclu des accords de coopération avec l’OMPI, n’ont pas été explorées ou, dans le cas de l’UNESCO, ont échoué.</w:t>
      </w:r>
    </w:p>
    <w:p w14:paraId="489D2BCB" w14:textId="77777777" w:rsidR="00C31DE2" w:rsidRPr="000F6A66" w:rsidRDefault="00C31DE2" w:rsidP="00481AFB">
      <w:pPr>
        <w:pStyle w:val="ONUMFS"/>
        <w:numPr>
          <w:ilvl w:val="0"/>
          <w:numId w:val="0"/>
        </w:numPr>
        <w:rPr>
          <w:b/>
          <w:lang w:val="fr-FR"/>
        </w:rPr>
      </w:pPr>
      <w:r w:rsidRPr="000F6A66">
        <w:rPr>
          <w:b/>
          <w:lang w:val="fr-FR"/>
        </w:rPr>
        <w:t>Conclusion n° 6 concernant la viabilité</w:t>
      </w:r>
    </w:p>
    <w:p w14:paraId="50A5E4CF" w14:textId="77777777" w:rsidR="00C31DE2" w:rsidRPr="000F6A66" w:rsidRDefault="00C31DE2" w:rsidP="00481AFB">
      <w:pPr>
        <w:pStyle w:val="ONUMFS"/>
        <w:rPr>
          <w:lang w:val="fr-FR"/>
        </w:rPr>
      </w:pPr>
      <w:r w:rsidRPr="000F6A66">
        <w:rPr>
          <w:lang w:val="fr-FR"/>
        </w:rPr>
        <w:t>Il serait prématuré d’évaluer le degré de viabilité des résultats au niveau des pays, car le maintien des avantages dépend largement d’un suivi par les offices de propriété intellectuelle de chaque pays.  Des activités de suivi sont en cours et devraient se poursuivre en Équateur et en Namibie.  Cela semble être moins le cas en Égypte et à Sri Lanka.</w:t>
      </w:r>
    </w:p>
    <w:p w14:paraId="0747BFC8" w14:textId="77777777" w:rsidR="00C31DE2" w:rsidRPr="000F6A66" w:rsidRDefault="00C31DE2" w:rsidP="00481AFB">
      <w:pPr>
        <w:pStyle w:val="ONUMFS"/>
        <w:rPr>
          <w:lang w:val="fr-FR"/>
        </w:rPr>
      </w:pPr>
      <w:r w:rsidRPr="000F6A66">
        <w:rPr>
          <w:lang w:val="fr-FR"/>
        </w:rPr>
        <w:t>La majeure partie de l’aide qui a été fournie reste disponible dans le cadre d’autres programmes de l’OMPI.  Une assistance supplémentaire est donc disponible pour consolider et compléter le soutien apporté (y compris, le cas échéant, des conseils sur les politiques à suivre).  La publication prévue par l’OMPI et l’OMT sur la propriété intellectuelle et le tourisme permettra une diffusion plus large des informations obtenues dans le cadre du projet.  Le projet n’a pas apporté un nouveau service qui pourrait être développé et intégré davantage.  La valeur ajoutée d’un nouveau projet sur la propriété intellectuelle et le tourisme après les travaux sur ce sujet serait discutable.</w:t>
      </w:r>
    </w:p>
    <w:p w14:paraId="66950251" w14:textId="0D892C7D" w:rsidR="00C31DE2" w:rsidRPr="000F6A66" w:rsidRDefault="00481AFB" w:rsidP="00481AFB">
      <w:pPr>
        <w:pStyle w:val="Heading1"/>
        <w:rPr>
          <w:lang w:val="fr-FR"/>
        </w:rPr>
      </w:pPr>
      <w:bookmarkStart w:id="69" w:name="_Toc335712746"/>
      <w:bookmarkStart w:id="70" w:name="_Toc18331435"/>
      <w:bookmarkStart w:id="71" w:name="_Toc20991670"/>
      <w:r w:rsidRPr="000F6A66">
        <w:rPr>
          <w:lang w:val="fr-FR"/>
        </w:rPr>
        <w:t>Recommandations</w:t>
      </w:r>
      <w:bookmarkEnd w:id="69"/>
      <w:bookmarkEnd w:id="70"/>
      <w:bookmarkEnd w:id="71"/>
    </w:p>
    <w:p w14:paraId="627C6903" w14:textId="77777777" w:rsidR="00481AFB" w:rsidRPr="000F6A66" w:rsidRDefault="00481AFB" w:rsidP="00481AFB">
      <w:pPr>
        <w:rPr>
          <w:lang w:val="fr-FR"/>
        </w:rPr>
      </w:pPr>
    </w:p>
    <w:p w14:paraId="7D86D322" w14:textId="77777777" w:rsidR="00C31DE2" w:rsidRPr="000F6A66" w:rsidRDefault="00C31DE2" w:rsidP="00481AFB">
      <w:pPr>
        <w:pStyle w:val="ONUMFS"/>
        <w:rPr>
          <w:lang w:val="fr-FR"/>
        </w:rPr>
      </w:pPr>
      <w:r w:rsidRPr="000F6A66">
        <w:rPr>
          <w:lang w:val="fr-FR"/>
        </w:rPr>
        <w:t>De ces conclusions, l’évaluation tire les recommandations suivantes :</w:t>
      </w:r>
    </w:p>
    <w:p w14:paraId="385ECD44" w14:textId="77777777" w:rsidR="00C31DE2" w:rsidRPr="000F6A66" w:rsidRDefault="00C31DE2" w:rsidP="00481AFB">
      <w:pPr>
        <w:pStyle w:val="ONUMFS"/>
        <w:numPr>
          <w:ilvl w:val="0"/>
          <w:numId w:val="0"/>
        </w:numPr>
        <w:rPr>
          <w:b/>
          <w:lang w:val="fr-FR"/>
        </w:rPr>
      </w:pPr>
      <w:r w:rsidRPr="000F6A66">
        <w:rPr>
          <w:b/>
          <w:lang w:val="fr-FR"/>
        </w:rPr>
        <w:t>Recommandation n° 1 (tirée de la conclusion n° 3) au Secrétariat de l’OMPI</w:t>
      </w:r>
    </w:p>
    <w:p w14:paraId="27F584BE" w14:textId="77777777" w:rsidR="00C31DE2" w:rsidRPr="000F6A66" w:rsidRDefault="00C31DE2" w:rsidP="00481AFB">
      <w:pPr>
        <w:pStyle w:val="ONUMFS"/>
        <w:numPr>
          <w:ilvl w:val="0"/>
          <w:numId w:val="0"/>
        </w:numPr>
        <w:rPr>
          <w:lang w:val="fr-FR"/>
        </w:rPr>
      </w:pPr>
      <w:r w:rsidRPr="000F6A66">
        <w:rPr>
          <w:lang w:val="fr-FR"/>
        </w:rPr>
        <w:t>Finaliser et publier le guide sur le tourisme avec la collaboration de l’OMT.</w:t>
      </w:r>
    </w:p>
    <w:p w14:paraId="10F23B1A" w14:textId="77777777" w:rsidR="00C31DE2" w:rsidRPr="000F6A66" w:rsidRDefault="00C31DE2" w:rsidP="00481AFB">
      <w:pPr>
        <w:pStyle w:val="ONUMFS"/>
        <w:numPr>
          <w:ilvl w:val="0"/>
          <w:numId w:val="0"/>
        </w:numPr>
        <w:rPr>
          <w:b/>
          <w:lang w:val="fr-FR"/>
        </w:rPr>
      </w:pPr>
      <w:r w:rsidRPr="000F6A66">
        <w:rPr>
          <w:b/>
          <w:lang w:val="fr-FR"/>
        </w:rPr>
        <w:t>Recommandation n° 2 (tirée de la conclusion n° 1) au Secrétariat de l’OMPI</w:t>
      </w:r>
    </w:p>
    <w:p w14:paraId="37D21243" w14:textId="77777777" w:rsidR="00C31DE2" w:rsidRPr="000F6A66" w:rsidRDefault="00C31DE2" w:rsidP="00481AFB">
      <w:pPr>
        <w:pStyle w:val="ONUMFS"/>
        <w:numPr>
          <w:ilvl w:val="0"/>
          <w:numId w:val="0"/>
        </w:numPr>
        <w:rPr>
          <w:lang w:val="fr-FR"/>
        </w:rPr>
      </w:pPr>
      <w:r w:rsidRPr="000F6A66">
        <w:rPr>
          <w:lang w:val="fr-FR"/>
        </w:rPr>
        <w:t>Inclure une stratégie d’élimination progressive dans les descriptifs de projet pour les nouveaux projets du Plan d’action pour le développement, décrivant les mesures à prendre pour assurer la continuité des avantages après que l’OMPI retire son appui (viabilité des résultats).</w:t>
      </w:r>
    </w:p>
    <w:p w14:paraId="11136890" w14:textId="77777777" w:rsidR="00C31DE2" w:rsidRPr="000F6A66" w:rsidRDefault="00C31DE2" w:rsidP="00481AFB">
      <w:pPr>
        <w:pStyle w:val="ONUMFS"/>
        <w:numPr>
          <w:ilvl w:val="0"/>
          <w:numId w:val="0"/>
        </w:numPr>
        <w:rPr>
          <w:b/>
          <w:lang w:val="fr-FR"/>
        </w:rPr>
      </w:pPr>
      <w:r w:rsidRPr="000F6A66">
        <w:rPr>
          <w:b/>
          <w:lang w:val="fr-FR"/>
        </w:rPr>
        <w:t>Recommandation n° 3 (tirée de la conclusion n° 5) au Secrétariat de l’OMPI</w:t>
      </w:r>
    </w:p>
    <w:p w14:paraId="11AC4B5A" w14:textId="77777777" w:rsidR="00481AFB" w:rsidRPr="000F6A66" w:rsidRDefault="00C31DE2" w:rsidP="00481AFB">
      <w:pPr>
        <w:pStyle w:val="ONUMFS"/>
        <w:numPr>
          <w:ilvl w:val="0"/>
          <w:numId w:val="0"/>
        </w:numPr>
        <w:rPr>
          <w:lang w:val="fr-FR"/>
        </w:rPr>
      </w:pPr>
      <w:r w:rsidRPr="000F6A66">
        <w:rPr>
          <w:lang w:val="fr-FR"/>
        </w:rPr>
        <w:t>Explorer les possibilités de créer des projets conjoints avec les organisations pertinentes des Nations Unies qui œuvrent dans le domaine du commerce et du développement du secteur privé, y compris, mais sans s’y limiter, ceux mentionnés dans la recommandation n° 40 du Plan d’action pour le développement.  Contrairement aux projets de propriété intellectuelle propres à un secteur d’activité donné, ce serait l’occasion d’associer le savoir-faire et les relations propres à un secteur aux compétences de l’OMPI dans le domaine de la commercialisation de la propriété intellectuelle.</w:t>
      </w:r>
    </w:p>
    <w:p w14:paraId="5A30D34A" w14:textId="7E3D5329" w:rsidR="00C31DE2" w:rsidRPr="000F6A66" w:rsidRDefault="00C31DE2" w:rsidP="00481AFB">
      <w:pPr>
        <w:pStyle w:val="ONUMFS"/>
        <w:numPr>
          <w:ilvl w:val="0"/>
          <w:numId w:val="0"/>
        </w:numPr>
        <w:rPr>
          <w:b/>
          <w:lang w:val="fr-FR"/>
        </w:rPr>
      </w:pPr>
      <w:r w:rsidRPr="000F6A66">
        <w:rPr>
          <w:b/>
          <w:lang w:val="fr-FR"/>
        </w:rPr>
        <w:t>Recommandation n° 4 (tirée de la conclusion n° 2) au Secrétariat de l’OMPI</w:t>
      </w:r>
    </w:p>
    <w:p w14:paraId="1E26AB95" w14:textId="77777777" w:rsidR="00C31DE2" w:rsidRPr="000F6A66" w:rsidRDefault="00C31DE2" w:rsidP="00481AFB">
      <w:pPr>
        <w:pStyle w:val="ONUMFS"/>
        <w:numPr>
          <w:ilvl w:val="0"/>
          <w:numId w:val="0"/>
        </w:numPr>
        <w:rPr>
          <w:lang w:val="fr-FR"/>
        </w:rPr>
      </w:pPr>
      <w:r w:rsidRPr="000F6A66">
        <w:rPr>
          <w:lang w:val="fr-FR"/>
        </w:rPr>
        <w:t>Lorsque les propositions de nouveaux projets du Plan d’action pour le développement ne s’alignent pas directement sur l’une des recommandations du plan d’action, préparer des documents de travail selon un format type et les soumettre au CDIP avant de faire une proposition concernant un projet du Plan d’action pour le développement.</w:t>
      </w:r>
    </w:p>
    <w:p w14:paraId="4C91239B" w14:textId="77777777" w:rsidR="00C31DE2" w:rsidRPr="000F6A66" w:rsidRDefault="00C31DE2" w:rsidP="00481AFB">
      <w:pPr>
        <w:pStyle w:val="ONUMFS"/>
        <w:numPr>
          <w:ilvl w:val="0"/>
          <w:numId w:val="0"/>
        </w:numPr>
        <w:rPr>
          <w:lang w:val="fr-FR"/>
        </w:rPr>
      </w:pPr>
      <w:r w:rsidRPr="000F6A66">
        <w:rPr>
          <w:lang w:val="fr-FR"/>
        </w:rPr>
        <w:lastRenderedPageBreak/>
        <w:t>Les documents de travail devraient, entre autres choses, permettre de déterminer si l’appui proposé répond à un besoin exprimé, si l’OMPI a l’avantage comparatif pour fournir cet appui et si le ou les services requis sont déjà disponibles dans le cadre de ses programmes existants.</w:t>
      </w:r>
    </w:p>
    <w:p w14:paraId="770FDF27" w14:textId="77777777" w:rsidR="00C31DE2" w:rsidRPr="000F6A66" w:rsidRDefault="00C31DE2" w:rsidP="00481AFB">
      <w:pPr>
        <w:pStyle w:val="ONUMFS"/>
        <w:numPr>
          <w:ilvl w:val="0"/>
          <w:numId w:val="0"/>
        </w:numPr>
        <w:rPr>
          <w:b/>
          <w:lang w:val="fr-FR"/>
        </w:rPr>
      </w:pPr>
      <w:r w:rsidRPr="000F6A66">
        <w:rPr>
          <w:b/>
          <w:lang w:val="fr-FR"/>
        </w:rPr>
        <w:t>Recommandation n° 5 (tirée de la conclusion n° 1) au Secrétariat de l’OMPI</w:t>
      </w:r>
    </w:p>
    <w:p w14:paraId="36F0BFF3" w14:textId="77777777" w:rsidR="00C31DE2" w:rsidRPr="000F6A66" w:rsidRDefault="00C31DE2" w:rsidP="00481AFB">
      <w:pPr>
        <w:pStyle w:val="ONUMFS"/>
        <w:numPr>
          <w:ilvl w:val="0"/>
          <w:numId w:val="0"/>
        </w:numPr>
        <w:rPr>
          <w:lang w:val="fr-FR"/>
        </w:rPr>
      </w:pPr>
      <w:r w:rsidRPr="000F6A66">
        <w:rPr>
          <w:lang w:val="fr-FR"/>
        </w:rPr>
        <w:t>Penser à faire réaliser des évaluations ex post pour analyser les avantages socioéconomiques à long terme (résultats) et plus généraux de certains projets du Plan d’action pour le développement et, sur cette base, tirer des leçons globales pour la poursuite des travaux de développement liés à la propriété intellectuelle.</w:t>
      </w:r>
    </w:p>
    <w:p w14:paraId="4D008C97" w14:textId="5D324BB6" w:rsidR="00C31DE2" w:rsidRPr="000F6A66" w:rsidRDefault="00C31DE2" w:rsidP="00C31DE2">
      <w:pPr>
        <w:pStyle w:val="ONUME"/>
        <w:numPr>
          <w:ilvl w:val="0"/>
          <w:numId w:val="0"/>
        </w:numPr>
        <w:tabs>
          <w:tab w:val="left" w:pos="1134"/>
        </w:tabs>
        <w:jc w:val="both"/>
        <w:rPr>
          <w:lang w:val="fr-FR"/>
        </w:rPr>
      </w:pPr>
      <w:r w:rsidRPr="000F6A66">
        <w:rPr>
          <w:lang w:val="fr-FR"/>
        </w:rPr>
        <w:br w:type="page"/>
      </w:r>
      <w:r w:rsidR="00481AFB" w:rsidRPr="000F6A66">
        <w:rPr>
          <w:lang w:val="fr-FR"/>
        </w:rPr>
        <w:lastRenderedPageBreak/>
        <w:t xml:space="preserve">LISTE DES APPENDICES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7735"/>
      </w:tblGrid>
      <w:tr w:rsidR="00C31DE2" w:rsidRPr="000F6A66" w14:paraId="6FF30767" w14:textId="77777777" w:rsidTr="00481AFB">
        <w:tc>
          <w:tcPr>
            <w:tcW w:w="1525" w:type="dxa"/>
          </w:tcPr>
          <w:p w14:paraId="291E695A" w14:textId="38E5F6AF" w:rsidR="00C31DE2" w:rsidRPr="000F6A66" w:rsidRDefault="00481AFB" w:rsidP="00481AFB">
            <w:pPr>
              <w:jc w:val="both"/>
              <w:rPr>
                <w:b/>
                <w:lang w:val="fr-FR"/>
              </w:rPr>
            </w:pPr>
            <w:r w:rsidRPr="000F6A66">
              <w:rPr>
                <w:b/>
                <w:lang w:val="fr-FR"/>
              </w:rPr>
              <w:t>Appendice</w:t>
            </w:r>
            <w:r w:rsidR="00C31DE2" w:rsidRPr="000F6A66">
              <w:rPr>
                <w:b/>
                <w:lang w:val="fr-FR"/>
              </w:rPr>
              <w:t> I</w:t>
            </w:r>
          </w:p>
        </w:tc>
        <w:tc>
          <w:tcPr>
            <w:tcW w:w="7820" w:type="dxa"/>
          </w:tcPr>
          <w:p w14:paraId="0EBC7C23" w14:textId="77777777" w:rsidR="00C31DE2" w:rsidRPr="000F6A66" w:rsidRDefault="00C31DE2" w:rsidP="00481AFB">
            <w:pPr>
              <w:jc w:val="both"/>
              <w:rPr>
                <w:lang w:val="fr-FR"/>
              </w:rPr>
            </w:pPr>
            <w:r w:rsidRPr="000F6A66">
              <w:rPr>
                <w:lang w:val="fr-FR"/>
              </w:rPr>
              <w:t>Descriptif du projet</w:t>
            </w:r>
          </w:p>
        </w:tc>
      </w:tr>
      <w:tr w:rsidR="00C31DE2" w:rsidRPr="000F6A66" w14:paraId="4092E35E" w14:textId="77777777" w:rsidTr="00481AFB">
        <w:tc>
          <w:tcPr>
            <w:tcW w:w="1525" w:type="dxa"/>
          </w:tcPr>
          <w:p w14:paraId="596FFF90" w14:textId="3E072363" w:rsidR="00C31DE2" w:rsidRPr="000F6A66" w:rsidRDefault="00481AFB" w:rsidP="00481AFB">
            <w:pPr>
              <w:jc w:val="both"/>
              <w:rPr>
                <w:b/>
                <w:lang w:val="fr-FR"/>
              </w:rPr>
            </w:pPr>
            <w:r w:rsidRPr="000F6A66">
              <w:rPr>
                <w:b/>
                <w:lang w:val="fr-FR"/>
              </w:rPr>
              <w:t>Appendice</w:t>
            </w:r>
            <w:r w:rsidR="00C31DE2" w:rsidRPr="000F6A66">
              <w:rPr>
                <w:b/>
                <w:lang w:val="fr-FR"/>
              </w:rPr>
              <w:t> II</w:t>
            </w:r>
          </w:p>
        </w:tc>
        <w:tc>
          <w:tcPr>
            <w:tcW w:w="7820" w:type="dxa"/>
          </w:tcPr>
          <w:p w14:paraId="38AC2EF9" w14:textId="77777777" w:rsidR="00C31DE2" w:rsidRPr="000F6A66" w:rsidRDefault="00C31DE2" w:rsidP="00481AFB">
            <w:pPr>
              <w:jc w:val="both"/>
              <w:rPr>
                <w:lang w:val="fr-FR"/>
              </w:rPr>
            </w:pPr>
            <w:r w:rsidRPr="000F6A66">
              <w:rPr>
                <w:lang w:val="fr-FR"/>
              </w:rPr>
              <w:t xml:space="preserve">Mandat </w:t>
            </w:r>
          </w:p>
        </w:tc>
      </w:tr>
      <w:tr w:rsidR="00C31DE2" w:rsidRPr="000F6A66" w14:paraId="4E23D566" w14:textId="77777777" w:rsidTr="00481AFB">
        <w:tc>
          <w:tcPr>
            <w:tcW w:w="1525" w:type="dxa"/>
          </w:tcPr>
          <w:p w14:paraId="5E296FFA" w14:textId="1B73255C" w:rsidR="00C31DE2" w:rsidRPr="000F6A66" w:rsidRDefault="00481AFB" w:rsidP="00481AFB">
            <w:pPr>
              <w:jc w:val="both"/>
              <w:rPr>
                <w:b/>
                <w:bCs/>
                <w:lang w:val="fr-FR"/>
              </w:rPr>
            </w:pPr>
            <w:r w:rsidRPr="000F6A66">
              <w:rPr>
                <w:b/>
                <w:lang w:val="fr-FR"/>
              </w:rPr>
              <w:t>Appendice</w:t>
            </w:r>
            <w:r w:rsidR="00C31DE2" w:rsidRPr="000F6A66">
              <w:rPr>
                <w:b/>
                <w:lang w:val="fr-FR"/>
              </w:rPr>
              <w:t> </w:t>
            </w:r>
            <w:r w:rsidR="00C31DE2" w:rsidRPr="000F6A66">
              <w:rPr>
                <w:b/>
                <w:bCs/>
                <w:lang w:val="fr-FR"/>
              </w:rPr>
              <w:t>III</w:t>
            </w:r>
          </w:p>
        </w:tc>
        <w:tc>
          <w:tcPr>
            <w:tcW w:w="7820" w:type="dxa"/>
          </w:tcPr>
          <w:p w14:paraId="76B9BA0F" w14:textId="77777777" w:rsidR="00C31DE2" w:rsidRPr="000F6A66" w:rsidRDefault="00C31DE2" w:rsidP="00481AFB">
            <w:pPr>
              <w:jc w:val="both"/>
              <w:rPr>
                <w:lang w:val="fr-FR"/>
              </w:rPr>
            </w:pPr>
            <w:r w:rsidRPr="000F6A66">
              <w:rPr>
                <w:lang w:val="fr-FR"/>
              </w:rPr>
              <w:t>Liste des personnes consultées</w:t>
            </w:r>
          </w:p>
        </w:tc>
      </w:tr>
      <w:tr w:rsidR="00C31DE2" w:rsidRPr="000F6A66" w14:paraId="0C7DDFE5" w14:textId="77777777" w:rsidTr="00481AFB">
        <w:tc>
          <w:tcPr>
            <w:tcW w:w="1525" w:type="dxa"/>
          </w:tcPr>
          <w:p w14:paraId="4FBE7EF3" w14:textId="3809E7C0" w:rsidR="00C31DE2" w:rsidRPr="000F6A66" w:rsidRDefault="00481AFB" w:rsidP="00481AFB">
            <w:pPr>
              <w:jc w:val="both"/>
              <w:rPr>
                <w:b/>
                <w:lang w:val="fr-FR"/>
              </w:rPr>
            </w:pPr>
            <w:r w:rsidRPr="000F6A66">
              <w:rPr>
                <w:b/>
                <w:lang w:val="fr-FR"/>
              </w:rPr>
              <w:t>Appendice</w:t>
            </w:r>
            <w:r w:rsidR="00C31DE2" w:rsidRPr="000F6A66">
              <w:rPr>
                <w:b/>
                <w:lang w:val="fr-FR"/>
              </w:rPr>
              <w:t> IV</w:t>
            </w:r>
          </w:p>
        </w:tc>
        <w:tc>
          <w:tcPr>
            <w:tcW w:w="7820" w:type="dxa"/>
          </w:tcPr>
          <w:p w14:paraId="5A190266" w14:textId="77777777" w:rsidR="00C31DE2" w:rsidRPr="000F6A66" w:rsidRDefault="00C31DE2" w:rsidP="00481AFB">
            <w:pPr>
              <w:jc w:val="both"/>
              <w:rPr>
                <w:lang w:val="fr-FR"/>
              </w:rPr>
            </w:pPr>
            <w:r w:rsidRPr="000F6A66">
              <w:rPr>
                <w:lang w:val="fr-FR"/>
              </w:rPr>
              <w:t>Liste des documents</w:t>
            </w:r>
          </w:p>
        </w:tc>
      </w:tr>
    </w:tbl>
    <w:p w14:paraId="540309B0" w14:textId="77777777" w:rsidR="00C31DE2" w:rsidRPr="000F6A66" w:rsidRDefault="00C31DE2" w:rsidP="00481AFB">
      <w:pPr>
        <w:rPr>
          <w:vanish/>
          <w:lang w:val="fr-FR"/>
        </w:rPr>
      </w:pPr>
    </w:p>
    <w:p w14:paraId="1397994E" w14:textId="77777777" w:rsidR="00C31DE2" w:rsidRPr="000F6A66" w:rsidRDefault="00C31DE2" w:rsidP="00481AFB">
      <w:pPr>
        <w:rPr>
          <w:vanish/>
          <w:lang w:val="fr-FR"/>
        </w:rPr>
      </w:pPr>
    </w:p>
    <w:p w14:paraId="39E0FC2F" w14:textId="77777777" w:rsidR="00C31DE2" w:rsidRPr="000F6A66" w:rsidRDefault="00C31DE2" w:rsidP="00481AFB">
      <w:pPr>
        <w:rPr>
          <w:caps/>
          <w:vanish/>
          <w:lang w:val="fr-FR"/>
        </w:rPr>
      </w:pPr>
    </w:p>
    <w:p w14:paraId="07376F6B" w14:textId="6D58D3DE" w:rsidR="00C31DE2" w:rsidRPr="000F6A66" w:rsidRDefault="00C31DE2" w:rsidP="00481AFB">
      <w:pPr>
        <w:pStyle w:val="Endofdocument-Annex"/>
        <w:rPr>
          <w:caps/>
          <w:lang w:val="fr-FR"/>
        </w:rPr>
      </w:pPr>
      <w:r w:rsidRPr="000F6A66">
        <w:rPr>
          <w:caps/>
          <w:lang w:val="fr-FR"/>
        </w:rPr>
        <w:t>[</w:t>
      </w:r>
      <w:r w:rsidRPr="000F6A66">
        <w:rPr>
          <w:lang w:val="fr-FR"/>
        </w:rPr>
        <w:t xml:space="preserve">Les </w:t>
      </w:r>
      <w:r w:rsidR="00481AFB" w:rsidRPr="000F6A66">
        <w:rPr>
          <w:lang w:val="fr-FR"/>
        </w:rPr>
        <w:t>appendices</w:t>
      </w:r>
      <w:r w:rsidRPr="000F6A66">
        <w:rPr>
          <w:lang w:val="fr-FR"/>
        </w:rPr>
        <w:t xml:space="preserve"> suivent</w:t>
      </w:r>
      <w:r w:rsidRPr="000F6A66">
        <w:rPr>
          <w:caps/>
          <w:lang w:val="fr-FR"/>
        </w:rPr>
        <w:t>]</w:t>
      </w:r>
    </w:p>
    <w:p w14:paraId="74BA1543" w14:textId="77777777" w:rsidR="00C31DE2" w:rsidRPr="000F6A66" w:rsidRDefault="00C31DE2" w:rsidP="00C31DE2">
      <w:pPr>
        <w:pStyle w:val="ONUME"/>
        <w:numPr>
          <w:ilvl w:val="0"/>
          <w:numId w:val="0"/>
        </w:numPr>
        <w:jc w:val="both"/>
        <w:rPr>
          <w:caps/>
          <w:lang w:val="fr-FR"/>
        </w:rPr>
      </w:pPr>
    </w:p>
    <w:p w14:paraId="21CEB0CA" w14:textId="77777777" w:rsidR="00C31DE2" w:rsidRPr="000F6A66" w:rsidRDefault="00C31DE2" w:rsidP="00C31DE2">
      <w:pPr>
        <w:pStyle w:val="ONUME"/>
        <w:numPr>
          <w:ilvl w:val="0"/>
          <w:numId w:val="0"/>
        </w:numPr>
        <w:jc w:val="both"/>
        <w:rPr>
          <w:caps/>
          <w:lang w:val="fr-FR"/>
        </w:rPr>
      </w:pPr>
    </w:p>
    <w:p w14:paraId="1160FC31" w14:textId="77777777" w:rsidR="00C31DE2" w:rsidRPr="000F6A66" w:rsidRDefault="00C31DE2" w:rsidP="00C31DE2">
      <w:pPr>
        <w:pStyle w:val="ONUME"/>
        <w:numPr>
          <w:ilvl w:val="0"/>
          <w:numId w:val="0"/>
        </w:numPr>
        <w:jc w:val="both"/>
        <w:rPr>
          <w:caps/>
          <w:lang w:val="fr-FR"/>
        </w:rPr>
        <w:sectPr w:rsidR="00C31DE2" w:rsidRPr="000F6A66" w:rsidSect="0078011B">
          <w:headerReference w:type="even" r:id="rId12"/>
          <w:headerReference w:type="default" r:id="rId13"/>
          <w:headerReference w:type="first" r:id="rId14"/>
          <w:pgSz w:w="11907" w:h="16840" w:code="9"/>
          <w:pgMar w:top="567" w:right="1134" w:bottom="1418" w:left="1418" w:header="510" w:footer="1021" w:gutter="0"/>
          <w:pgNumType w:start="1"/>
          <w:cols w:space="720"/>
          <w:titlePg/>
          <w:docGrid w:linePitch="299"/>
        </w:sectPr>
      </w:pPr>
    </w:p>
    <w:p w14:paraId="31F08567" w14:textId="508AD3EC" w:rsidR="00C31DE2" w:rsidRPr="000F6A66" w:rsidRDefault="00481AFB" w:rsidP="00C31DE2">
      <w:pPr>
        <w:pStyle w:val="ONUME"/>
        <w:numPr>
          <w:ilvl w:val="0"/>
          <w:numId w:val="0"/>
        </w:numPr>
        <w:jc w:val="both"/>
        <w:rPr>
          <w:caps/>
          <w:lang w:val="fr-FR"/>
        </w:rPr>
      </w:pPr>
      <w:r w:rsidRPr="000F6A66">
        <w:rPr>
          <w:caps/>
          <w:lang w:val="fr-FR"/>
        </w:rPr>
        <w:lastRenderedPageBreak/>
        <w:t xml:space="preserve">Appendice I : </w:t>
      </w:r>
      <w:r w:rsidR="00C31DE2" w:rsidRPr="000F6A66">
        <w:rPr>
          <w:caps/>
          <w:lang w:val="fr-FR"/>
        </w:rPr>
        <w:t>DESCRIPTIF DE PROJET</w:t>
      </w:r>
    </w:p>
    <w:p w14:paraId="37AC869D" w14:textId="65A009B2" w:rsidR="00C31DE2" w:rsidRPr="000F6A66" w:rsidRDefault="00C31DE2" w:rsidP="00C31DE2">
      <w:pPr>
        <w:spacing w:after="220"/>
        <w:jc w:val="both"/>
        <w:rPr>
          <w:lang w:val="fr-FR"/>
        </w:rPr>
      </w:pPr>
      <w:r w:rsidRPr="000F6A66">
        <w:rPr>
          <w:lang w:val="fr-FR"/>
        </w:rPr>
        <w:t>Le descriptif de projet, figurant dans le document CDIP/15/7 Rev., est disponible à l’adresse suivante :</w:t>
      </w:r>
      <w:r w:rsidR="00481AFB" w:rsidRPr="000F6A66">
        <w:rPr>
          <w:lang w:val="fr-FR"/>
        </w:rPr>
        <w:t xml:space="preserve"> </w:t>
      </w:r>
      <w:hyperlink r:id="rId15" w:history="1">
        <w:r w:rsidRPr="000F6A66">
          <w:rPr>
            <w:rStyle w:val="Hyperlink"/>
            <w:lang w:val="fr-FR"/>
          </w:rPr>
          <w:t>https://www.wipo.int/meetings/en/doc_details.jsp?doc_id=301656</w:t>
        </w:r>
      </w:hyperlink>
      <w:r w:rsidR="00481AFB" w:rsidRPr="000F6A66">
        <w:rPr>
          <w:lang w:val="fr-FR"/>
        </w:rPr>
        <w:t>.</w:t>
      </w:r>
    </w:p>
    <w:p w14:paraId="5A5C4071" w14:textId="4EA0A990" w:rsidR="00481AFB" w:rsidRPr="000F6A66" w:rsidRDefault="00481AFB" w:rsidP="00481AFB">
      <w:pPr>
        <w:rPr>
          <w:lang w:val="fr-FR"/>
        </w:rPr>
      </w:pPr>
    </w:p>
    <w:p w14:paraId="0495D268" w14:textId="77777777" w:rsidR="00481AFB" w:rsidRPr="000F6A66" w:rsidRDefault="00481AFB" w:rsidP="00481AFB">
      <w:pPr>
        <w:rPr>
          <w:lang w:val="fr-FR"/>
        </w:rPr>
      </w:pPr>
    </w:p>
    <w:p w14:paraId="70B50D73" w14:textId="5BDB83F5" w:rsidR="00C31DE2" w:rsidRPr="000F6A66" w:rsidRDefault="00C31DE2" w:rsidP="00481AFB">
      <w:pPr>
        <w:pStyle w:val="Endofdocument-Annex"/>
        <w:rPr>
          <w:lang w:val="fr-FR"/>
        </w:rPr>
      </w:pPr>
      <w:r w:rsidRPr="000F6A66">
        <w:rPr>
          <w:lang w:val="fr-FR"/>
        </w:rPr>
        <w:t>[L’</w:t>
      </w:r>
      <w:r w:rsidR="00481AFB" w:rsidRPr="000F6A66">
        <w:rPr>
          <w:lang w:val="fr-FR"/>
        </w:rPr>
        <w:t>appendice</w:t>
      </w:r>
      <w:r w:rsidRPr="000F6A66">
        <w:rPr>
          <w:lang w:val="fr-FR"/>
        </w:rPr>
        <w:t> II suit]</w:t>
      </w:r>
    </w:p>
    <w:p w14:paraId="6CD1DB80" w14:textId="77777777" w:rsidR="00C31DE2" w:rsidRPr="000F6A66" w:rsidRDefault="00C31DE2" w:rsidP="00C31DE2">
      <w:pPr>
        <w:pStyle w:val="ONUME"/>
        <w:numPr>
          <w:ilvl w:val="0"/>
          <w:numId w:val="0"/>
        </w:numPr>
        <w:jc w:val="both"/>
        <w:rPr>
          <w:caps/>
          <w:lang w:val="fr-FR"/>
        </w:rPr>
      </w:pPr>
    </w:p>
    <w:p w14:paraId="49DEBEE7" w14:textId="77777777" w:rsidR="00C31DE2" w:rsidRPr="000F6A66" w:rsidRDefault="00C31DE2" w:rsidP="00C31DE2">
      <w:pPr>
        <w:pStyle w:val="ONUME"/>
        <w:numPr>
          <w:ilvl w:val="0"/>
          <w:numId w:val="0"/>
        </w:numPr>
        <w:jc w:val="both"/>
        <w:rPr>
          <w:szCs w:val="22"/>
          <w:lang w:val="fr-FR"/>
        </w:rPr>
        <w:sectPr w:rsidR="00C31DE2" w:rsidRPr="000F6A66" w:rsidSect="0078010A">
          <w:headerReference w:type="even" r:id="rId16"/>
          <w:headerReference w:type="default" r:id="rId17"/>
          <w:footerReference w:type="even" r:id="rId18"/>
          <w:footerReference w:type="default" r:id="rId19"/>
          <w:headerReference w:type="first" r:id="rId20"/>
          <w:footerReference w:type="first" r:id="rId21"/>
          <w:pgSz w:w="11907" w:h="16840" w:code="9"/>
          <w:pgMar w:top="567" w:right="1134" w:bottom="1418" w:left="1418" w:header="510" w:footer="1021" w:gutter="0"/>
          <w:cols w:space="720"/>
          <w:titlePg/>
          <w:docGrid w:linePitch="299"/>
        </w:sectPr>
      </w:pPr>
    </w:p>
    <w:p w14:paraId="014E7213" w14:textId="07EB3169" w:rsidR="00C31DE2" w:rsidRPr="000F6A66" w:rsidRDefault="00B81EFC" w:rsidP="00C31DE2">
      <w:pPr>
        <w:spacing w:after="220"/>
        <w:jc w:val="both"/>
        <w:rPr>
          <w:caps/>
          <w:lang w:val="fr-FR"/>
        </w:rPr>
      </w:pPr>
      <w:r>
        <w:rPr>
          <w:caps/>
          <w:lang w:val="fr-FR"/>
        </w:rPr>
        <w:lastRenderedPageBreak/>
        <w:t>Appendice</w:t>
      </w:r>
      <w:r w:rsidR="00C31DE2" w:rsidRPr="000F6A66">
        <w:rPr>
          <w:caps/>
          <w:lang w:val="fr-FR"/>
        </w:rPr>
        <w:t xml:space="preserve"> II : MANDAT</w:t>
      </w:r>
    </w:p>
    <w:p w14:paraId="397AE153" w14:textId="77777777" w:rsidR="00C31DE2" w:rsidRPr="000F6A66" w:rsidRDefault="00C31DE2" w:rsidP="00C31DE2">
      <w:pPr>
        <w:spacing w:after="220"/>
        <w:jc w:val="both"/>
        <w:rPr>
          <w:caps/>
          <w:lang w:val="fr-FR"/>
        </w:rPr>
      </w:pPr>
    </w:p>
    <w:p w14:paraId="3A22FD41" w14:textId="77777777" w:rsidR="00C31DE2" w:rsidRPr="000F6A66" w:rsidRDefault="00C31DE2" w:rsidP="00C31DE2">
      <w:pPr>
        <w:spacing w:after="120"/>
        <w:jc w:val="center"/>
        <w:rPr>
          <w:rFonts w:eastAsia="Times New Roman"/>
          <w:b/>
          <w:szCs w:val="22"/>
          <w:lang w:val="fr-FR" w:eastAsia="en-US"/>
        </w:rPr>
      </w:pPr>
      <w:r w:rsidRPr="000F6A66">
        <w:rPr>
          <w:rFonts w:eastAsia="Times New Roman"/>
          <w:b/>
          <w:szCs w:val="22"/>
          <w:lang w:val="fr-FR" w:eastAsia="en-US"/>
        </w:rPr>
        <w:t>MANDAT</w:t>
      </w:r>
    </w:p>
    <w:p w14:paraId="6B5A6C38" w14:textId="77777777" w:rsidR="00C31DE2" w:rsidRPr="000F6A66" w:rsidRDefault="00C31DE2" w:rsidP="00C31DE2">
      <w:pPr>
        <w:tabs>
          <w:tab w:val="left" w:pos="851"/>
        </w:tabs>
        <w:spacing w:after="120"/>
        <w:jc w:val="center"/>
        <w:rPr>
          <w:rFonts w:eastAsia="Times New Roman"/>
          <w:b/>
          <w:szCs w:val="22"/>
          <w:lang w:val="fr-FR" w:eastAsia="en-US"/>
        </w:rPr>
      </w:pPr>
    </w:p>
    <w:p w14:paraId="06F696BC" w14:textId="77777777" w:rsidR="00C31DE2" w:rsidRPr="000F6A66" w:rsidRDefault="00C31DE2" w:rsidP="00C31DE2">
      <w:pPr>
        <w:tabs>
          <w:tab w:val="left" w:pos="851"/>
          <w:tab w:val="left" w:pos="4253"/>
        </w:tabs>
        <w:spacing w:after="120"/>
        <w:rPr>
          <w:rFonts w:eastAsia="Times New Roman"/>
          <w:b/>
          <w:szCs w:val="22"/>
          <w:lang w:val="fr-FR" w:eastAsia="en-US"/>
        </w:rPr>
      </w:pPr>
    </w:p>
    <w:p w14:paraId="60B774F0" w14:textId="77777777" w:rsidR="000F6A66" w:rsidRPr="000F6A66" w:rsidRDefault="00C31DE2" w:rsidP="000F6A66">
      <w:pPr>
        <w:spacing w:after="220"/>
        <w:ind w:left="4678" w:hanging="4680"/>
        <w:rPr>
          <w:rFonts w:eastAsia="Times New Roman"/>
          <w:b/>
          <w:bCs/>
          <w:szCs w:val="22"/>
          <w:lang w:val="fr-FR" w:eastAsia="en-US"/>
        </w:rPr>
      </w:pPr>
      <w:r w:rsidRPr="000F6A66">
        <w:rPr>
          <w:rFonts w:eastAsia="Times New Roman"/>
          <w:b/>
          <w:szCs w:val="22"/>
          <w:lang w:val="fr-FR" w:eastAsia="en-US"/>
        </w:rPr>
        <w:t xml:space="preserve">Intitulé de la mission : </w:t>
      </w:r>
      <w:r w:rsidRPr="000F6A66">
        <w:rPr>
          <w:rFonts w:eastAsia="Times New Roman"/>
          <w:b/>
          <w:szCs w:val="22"/>
          <w:lang w:val="fr-FR" w:eastAsia="en-US"/>
        </w:rPr>
        <w:tab/>
        <w:t xml:space="preserve">Évaluation du projet intitulé : </w:t>
      </w:r>
      <w:r w:rsidRPr="000F6A66">
        <w:rPr>
          <w:rFonts w:eastAsia="Times New Roman"/>
          <w:b/>
          <w:bCs/>
          <w:szCs w:val="22"/>
          <w:lang w:val="fr-FR" w:eastAsia="en-US"/>
        </w:rPr>
        <w:t>Propriété intellectuelle, tourisme et culture : contribution aux objectifs de développement et promotion du patrimoine culturel en Égypte et dans d’autres pays en développement</w:t>
      </w:r>
    </w:p>
    <w:p w14:paraId="48953F61" w14:textId="77777777" w:rsidR="000F6A66" w:rsidRPr="000F6A66" w:rsidRDefault="00C31DE2" w:rsidP="000F6A66">
      <w:pPr>
        <w:tabs>
          <w:tab w:val="left" w:pos="851"/>
        </w:tabs>
        <w:spacing w:after="220"/>
        <w:ind w:left="4678" w:hanging="4680"/>
        <w:rPr>
          <w:rFonts w:eastAsia="Times New Roman"/>
          <w:b/>
          <w:szCs w:val="22"/>
          <w:lang w:val="fr-FR" w:eastAsia="en-US"/>
        </w:rPr>
      </w:pPr>
      <w:r w:rsidRPr="000F6A66">
        <w:rPr>
          <w:rFonts w:eastAsia="Times New Roman"/>
          <w:b/>
          <w:szCs w:val="22"/>
          <w:lang w:val="fr-FR" w:eastAsia="en-US"/>
        </w:rPr>
        <w:t xml:space="preserve">Nom du service/secteur : </w:t>
      </w:r>
      <w:r w:rsidRPr="000F6A66">
        <w:rPr>
          <w:rFonts w:eastAsia="Times New Roman"/>
          <w:b/>
          <w:szCs w:val="22"/>
          <w:lang w:val="fr-FR" w:eastAsia="en-US"/>
        </w:rPr>
        <w:tab/>
        <w:t>Division de la coordination du Plan d’action pour le développement, Secteur du développement</w:t>
      </w:r>
    </w:p>
    <w:p w14:paraId="7D798191" w14:textId="77777777" w:rsidR="000F6A66" w:rsidRPr="000F6A66" w:rsidRDefault="00C31DE2" w:rsidP="000F6A66">
      <w:pPr>
        <w:tabs>
          <w:tab w:val="left" w:pos="851"/>
          <w:tab w:val="left" w:pos="1701"/>
        </w:tabs>
        <w:spacing w:after="220"/>
        <w:ind w:left="4678" w:hanging="4680"/>
        <w:rPr>
          <w:rFonts w:eastAsia="Times New Roman"/>
          <w:b/>
          <w:szCs w:val="22"/>
          <w:lang w:val="fr-FR" w:eastAsia="en-US"/>
        </w:rPr>
      </w:pPr>
      <w:r w:rsidRPr="000F6A66">
        <w:rPr>
          <w:rFonts w:eastAsia="Times New Roman"/>
          <w:b/>
          <w:szCs w:val="22"/>
          <w:lang w:val="fr-FR" w:eastAsia="en-US"/>
        </w:rPr>
        <w:t xml:space="preserve">Lieu d’affectation : </w:t>
      </w:r>
      <w:r w:rsidRPr="000F6A66">
        <w:rPr>
          <w:rFonts w:eastAsia="Times New Roman"/>
          <w:b/>
          <w:szCs w:val="22"/>
          <w:lang w:val="fr-FR" w:eastAsia="en-US"/>
        </w:rPr>
        <w:tab/>
        <w:t>Evilard (Leubringen), Suisse</w:t>
      </w:r>
    </w:p>
    <w:p w14:paraId="59F062AA" w14:textId="77777777" w:rsidR="000F6A66" w:rsidRPr="000F6A66" w:rsidRDefault="00C31DE2" w:rsidP="000F6A66">
      <w:pPr>
        <w:tabs>
          <w:tab w:val="left" w:pos="851"/>
          <w:tab w:val="left" w:pos="1701"/>
        </w:tabs>
        <w:spacing w:after="220"/>
        <w:ind w:left="4678" w:hanging="4680"/>
        <w:rPr>
          <w:rFonts w:eastAsia="Times New Roman"/>
          <w:b/>
          <w:szCs w:val="22"/>
          <w:lang w:val="fr-FR" w:eastAsia="en-US"/>
        </w:rPr>
      </w:pPr>
      <w:r w:rsidRPr="000F6A66">
        <w:rPr>
          <w:rFonts w:eastAsia="Times New Roman"/>
          <w:b/>
          <w:szCs w:val="22"/>
          <w:lang w:val="fr-FR" w:eastAsia="en-US"/>
        </w:rPr>
        <w:t xml:space="preserve">Voyages prévus (le cas échéant) : </w:t>
      </w:r>
      <w:r w:rsidRPr="000F6A66">
        <w:rPr>
          <w:rFonts w:eastAsia="Times New Roman"/>
          <w:b/>
          <w:szCs w:val="22"/>
          <w:lang w:val="fr-FR" w:eastAsia="en-US"/>
        </w:rPr>
        <w:tab/>
        <w:t>deux missions auront lieu au siège de l’OMPI à Genève (Suisse) (date à convenir)</w:t>
      </w:r>
    </w:p>
    <w:p w14:paraId="6DCE79A9" w14:textId="7F5E264D" w:rsidR="00C31DE2" w:rsidRPr="000F6A66" w:rsidRDefault="00C31DE2" w:rsidP="000F6A66">
      <w:pPr>
        <w:tabs>
          <w:tab w:val="left" w:pos="851"/>
          <w:tab w:val="left" w:pos="1701"/>
        </w:tabs>
        <w:spacing w:after="220"/>
        <w:ind w:left="4678" w:hanging="4680"/>
        <w:rPr>
          <w:rFonts w:eastAsia="Times New Roman"/>
          <w:b/>
          <w:szCs w:val="22"/>
          <w:lang w:val="fr-FR" w:eastAsia="en-US"/>
        </w:rPr>
      </w:pPr>
      <w:r w:rsidRPr="000F6A66">
        <w:rPr>
          <w:rFonts w:eastAsia="Times New Roman"/>
          <w:b/>
          <w:szCs w:val="22"/>
          <w:lang w:val="fr-FR" w:eastAsia="en-US"/>
        </w:rPr>
        <w:t xml:space="preserve">Durée prévue de la mission : </w:t>
      </w:r>
      <w:r w:rsidRPr="000F6A66">
        <w:rPr>
          <w:rFonts w:eastAsia="Times New Roman"/>
          <w:b/>
          <w:szCs w:val="22"/>
          <w:lang w:val="fr-FR" w:eastAsia="en-US"/>
        </w:rPr>
        <w:tab/>
        <w:t>du 6 juillet au 22 novembre 2019</w:t>
      </w:r>
    </w:p>
    <w:p w14:paraId="1407FC06" w14:textId="77777777" w:rsidR="00C31DE2" w:rsidRPr="000F6A66" w:rsidRDefault="00C31DE2" w:rsidP="00C31DE2">
      <w:pPr>
        <w:keepNext/>
        <w:numPr>
          <w:ilvl w:val="0"/>
          <w:numId w:val="17"/>
        </w:numPr>
        <w:spacing w:before="240" w:after="60"/>
        <w:ind w:left="567" w:hanging="567"/>
        <w:outlineLvl w:val="4"/>
        <w:rPr>
          <w:rFonts w:eastAsia="Times New Roman"/>
          <w:b/>
          <w:bCs/>
          <w:iCs/>
          <w:szCs w:val="22"/>
          <w:lang w:val="fr-FR" w:eastAsia="en-US"/>
        </w:rPr>
      </w:pPr>
      <w:r w:rsidRPr="000F6A66">
        <w:rPr>
          <w:rFonts w:eastAsia="Times New Roman"/>
          <w:b/>
          <w:bCs/>
          <w:iCs/>
          <w:szCs w:val="22"/>
          <w:lang w:val="fr-FR" w:eastAsia="en-US"/>
        </w:rPr>
        <w:t>Objectifs de la mission</w:t>
      </w:r>
    </w:p>
    <w:p w14:paraId="115C335F" w14:textId="77777777" w:rsidR="00C31DE2" w:rsidRPr="000F6A66" w:rsidRDefault="00C31DE2" w:rsidP="00C31DE2">
      <w:pPr>
        <w:keepNext/>
        <w:rPr>
          <w:rFonts w:eastAsia="Times New Roman"/>
          <w:szCs w:val="22"/>
          <w:lang w:val="fr-FR" w:eastAsia="en-US"/>
        </w:rPr>
      </w:pPr>
    </w:p>
    <w:p w14:paraId="192B780A" w14:textId="77777777" w:rsidR="00C31DE2" w:rsidRPr="000F6A66" w:rsidRDefault="00C31DE2" w:rsidP="00C31DE2">
      <w:pPr>
        <w:rPr>
          <w:rFonts w:eastAsia="Times New Roman"/>
          <w:szCs w:val="22"/>
          <w:lang w:val="fr-FR" w:eastAsia="en-US"/>
        </w:rPr>
      </w:pPr>
      <w:r w:rsidRPr="000F6A66">
        <w:rPr>
          <w:rFonts w:eastAsia="Times New Roman"/>
          <w:szCs w:val="22"/>
          <w:lang w:val="fr-FR" w:eastAsia="en-US"/>
        </w:rPr>
        <w:t>Le présent document constitue le mandat pour l’évaluation du projet intitulé Propriété intellectuelle, tourisme et culture : contribution aux objectifs de développement et promotion du patrimoine culturel en Égypte et dans d’autres pays en développement</w:t>
      </w:r>
      <w:r w:rsidRPr="000F6A66">
        <w:rPr>
          <w:rFonts w:eastAsia="Times New Roman"/>
          <w:b/>
          <w:bCs/>
          <w:szCs w:val="22"/>
          <w:lang w:val="fr-FR" w:eastAsia="en-US"/>
        </w:rPr>
        <w:t xml:space="preserve"> </w:t>
      </w:r>
      <w:r w:rsidRPr="000F6A66">
        <w:rPr>
          <w:rFonts w:eastAsia="Times New Roman"/>
          <w:szCs w:val="22"/>
          <w:lang w:val="fr-FR" w:eastAsia="en-US"/>
        </w:rPr>
        <w:t>approuvé à la quinzième session du Comité du développement et de la propriété intellectuelle</w:t>
      </w:r>
      <w:r w:rsidRPr="000F6A66">
        <w:rPr>
          <w:rFonts w:eastAsia="Times New Roman"/>
          <w:b/>
          <w:bCs/>
          <w:i/>
          <w:szCs w:val="22"/>
          <w:lang w:val="fr-FR" w:eastAsia="en-US"/>
        </w:rPr>
        <w:t xml:space="preserve"> </w:t>
      </w:r>
      <w:r w:rsidRPr="000F6A66">
        <w:rPr>
          <w:rFonts w:eastAsia="Times New Roman"/>
          <w:szCs w:val="22"/>
          <w:lang w:val="fr-FR" w:eastAsia="en-US"/>
        </w:rPr>
        <w:t>(CDIP), tenue à Genève, en avril 2015.</w:t>
      </w:r>
    </w:p>
    <w:p w14:paraId="33A8D7C6" w14:textId="77777777" w:rsidR="00C31DE2" w:rsidRPr="000F6A66" w:rsidRDefault="00C31DE2" w:rsidP="00C31DE2">
      <w:pPr>
        <w:rPr>
          <w:rFonts w:eastAsia="Times New Roman"/>
          <w:szCs w:val="22"/>
          <w:lang w:val="fr-FR" w:eastAsia="en-US"/>
        </w:rPr>
      </w:pPr>
    </w:p>
    <w:p w14:paraId="6F6A8CFC" w14:textId="77777777" w:rsidR="00C31DE2" w:rsidRPr="000F6A66" w:rsidRDefault="00C31DE2" w:rsidP="00C31DE2">
      <w:pPr>
        <w:rPr>
          <w:rFonts w:eastAsia="Times New Roman"/>
          <w:szCs w:val="22"/>
          <w:lang w:val="fr-FR" w:eastAsia="en-US"/>
        </w:rPr>
      </w:pPr>
      <w:r w:rsidRPr="000F6A66">
        <w:rPr>
          <w:rFonts w:eastAsia="Times New Roman"/>
          <w:szCs w:val="22"/>
          <w:lang w:val="fr-FR" w:eastAsia="en-US"/>
        </w:rPr>
        <w:t>Le projet visait à analyser, soutenir et promouvoir la sensibilisation au rôle du système de propriété intellectuelle dans l’activité économique liée au tourisme.  L’objectif était de renforcer les capacités des principales parties prenantes au carrefour de la propriété intellectuelle et du tourisme, dans le cadre des politiques de croissance et de développement.  Le projet s’est articulé en trois phases :</w:t>
      </w:r>
    </w:p>
    <w:p w14:paraId="65AF9961" w14:textId="77777777" w:rsidR="00C31DE2" w:rsidRPr="000F6A66" w:rsidRDefault="00C31DE2" w:rsidP="00C31DE2">
      <w:pPr>
        <w:rPr>
          <w:rFonts w:eastAsia="Times New Roman"/>
          <w:szCs w:val="22"/>
          <w:lang w:val="fr-FR" w:eastAsia="en-US"/>
        </w:rPr>
      </w:pPr>
    </w:p>
    <w:p w14:paraId="1C9C0591" w14:textId="63F9CE6B" w:rsidR="00C31DE2" w:rsidRPr="000F6A66" w:rsidRDefault="000F6A66" w:rsidP="000F6A66">
      <w:pPr>
        <w:ind w:left="1134" w:hanging="567"/>
        <w:rPr>
          <w:rFonts w:eastAsia="Times New Roman"/>
          <w:lang w:val="fr-FR" w:eastAsia="en-US"/>
        </w:rPr>
      </w:pPr>
      <w:r w:rsidRPr="000F6A66">
        <w:rPr>
          <w:rFonts w:eastAsia="Times New Roman"/>
          <w:lang w:val="fr-FR" w:eastAsia="en-US"/>
        </w:rPr>
        <w:t>1.</w:t>
      </w:r>
      <w:r w:rsidRPr="000F6A66">
        <w:rPr>
          <w:rFonts w:eastAsia="Times New Roman"/>
          <w:lang w:val="fr-FR" w:eastAsia="en-US"/>
        </w:rPr>
        <w:tab/>
      </w:r>
      <w:r w:rsidR="00C31DE2" w:rsidRPr="000F6A66">
        <w:rPr>
          <w:rFonts w:eastAsia="Times New Roman"/>
          <w:bCs/>
          <w:lang w:val="fr-FR" w:eastAsia="en-US"/>
        </w:rPr>
        <w:t>Activités de recherche et de documentation pour répertorier les outils de propriété intellectuelle existants ou potentiels pour la promotion du tourisme, des connaissances, traditions et cultures nationales ou locales</w:t>
      </w:r>
      <w:r w:rsidR="00C31DE2" w:rsidRPr="000F6A66">
        <w:rPr>
          <w:rFonts w:eastAsia="Times New Roman"/>
          <w:lang w:val="fr-FR" w:eastAsia="en-US"/>
        </w:rPr>
        <w:t>;</w:t>
      </w:r>
    </w:p>
    <w:p w14:paraId="288E51A9" w14:textId="77777777" w:rsidR="00C31DE2" w:rsidRPr="000F6A66" w:rsidRDefault="00C31DE2" w:rsidP="000F6A66">
      <w:pPr>
        <w:ind w:left="1134" w:hanging="567"/>
        <w:rPr>
          <w:rFonts w:eastAsia="Times New Roman"/>
          <w:lang w:val="fr-FR" w:eastAsia="en-US"/>
        </w:rPr>
      </w:pPr>
    </w:p>
    <w:p w14:paraId="76DF8CE5" w14:textId="090E18EF" w:rsidR="00C31DE2" w:rsidRPr="000F6A66" w:rsidRDefault="00C31DE2" w:rsidP="000F6A66">
      <w:pPr>
        <w:ind w:left="1134" w:hanging="567"/>
        <w:rPr>
          <w:rFonts w:eastAsia="Times New Roman"/>
          <w:lang w:val="fr-FR" w:eastAsia="en-US"/>
        </w:rPr>
      </w:pPr>
      <w:r w:rsidRPr="000F6A66">
        <w:rPr>
          <w:rFonts w:eastAsia="Times New Roman"/>
          <w:lang w:val="fr-FR" w:eastAsia="en-US"/>
        </w:rPr>
        <w:t>2.</w:t>
      </w:r>
      <w:r w:rsidR="000F6A66" w:rsidRPr="000F6A66">
        <w:rPr>
          <w:rFonts w:eastAsia="Times New Roman"/>
          <w:lang w:val="fr-FR" w:eastAsia="en-US"/>
        </w:rPr>
        <w:tab/>
      </w:r>
      <w:r w:rsidRPr="000F6A66">
        <w:rPr>
          <w:rFonts w:eastAsia="Times New Roman"/>
          <w:lang w:val="fr-FR" w:eastAsia="en-US"/>
        </w:rPr>
        <w:t>Activités de renforcement des capacités des principales parties prenantes du tourisme et des autorités nationales;  et</w:t>
      </w:r>
    </w:p>
    <w:p w14:paraId="792D187C" w14:textId="77777777" w:rsidR="00C31DE2" w:rsidRPr="000F6A66" w:rsidRDefault="00C31DE2" w:rsidP="000F6A66">
      <w:pPr>
        <w:ind w:left="1134" w:hanging="567"/>
        <w:rPr>
          <w:rFonts w:eastAsia="Times New Roman"/>
          <w:lang w:val="fr-FR" w:eastAsia="en-US"/>
        </w:rPr>
      </w:pPr>
    </w:p>
    <w:p w14:paraId="52115172" w14:textId="0B07231F" w:rsidR="00C31DE2" w:rsidRPr="000F6A66" w:rsidRDefault="00C31DE2" w:rsidP="000F6A66">
      <w:pPr>
        <w:ind w:left="1134" w:hanging="567"/>
        <w:rPr>
          <w:rFonts w:eastAsia="Times New Roman"/>
          <w:szCs w:val="22"/>
          <w:lang w:val="fr-FR" w:eastAsia="en-US"/>
        </w:rPr>
      </w:pPr>
      <w:r w:rsidRPr="000F6A66">
        <w:rPr>
          <w:rFonts w:eastAsia="Times New Roman"/>
          <w:lang w:val="fr-FR" w:eastAsia="en-US"/>
        </w:rPr>
        <w:t>3.</w:t>
      </w:r>
      <w:r w:rsidR="000F6A66" w:rsidRPr="000F6A66">
        <w:rPr>
          <w:rFonts w:eastAsia="Times New Roman"/>
          <w:lang w:val="fr-FR" w:eastAsia="en-US"/>
        </w:rPr>
        <w:tab/>
      </w:r>
      <w:r w:rsidRPr="000F6A66">
        <w:rPr>
          <w:rFonts w:eastAsia="Times New Roman"/>
          <w:lang w:val="fr-FR" w:eastAsia="en-US"/>
        </w:rPr>
        <w:t>De vastes activités de sensibilisation, y compris l’élaboration de supports et de programmes d’enseignement appropriés, à l’intention du milieu universitaire.</w:t>
      </w:r>
    </w:p>
    <w:p w14:paraId="7D6E5AC0" w14:textId="77777777" w:rsidR="00C31DE2" w:rsidRPr="000F6A66" w:rsidRDefault="00C31DE2" w:rsidP="00C31DE2">
      <w:pPr>
        <w:rPr>
          <w:rFonts w:eastAsia="Times New Roman"/>
          <w:szCs w:val="22"/>
          <w:lang w:val="fr-FR" w:eastAsia="en-US"/>
        </w:rPr>
      </w:pPr>
    </w:p>
    <w:p w14:paraId="0D9C7DE0" w14:textId="77777777" w:rsidR="00C31DE2" w:rsidRPr="000F6A66" w:rsidRDefault="00C31DE2" w:rsidP="00C31DE2">
      <w:pPr>
        <w:rPr>
          <w:rFonts w:eastAsia="Times New Roman"/>
          <w:szCs w:val="22"/>
          <w:lang w:val="fr-FR" w:eastAsia="en-US"/>
        </w:rPr>
      </w:pPr>
      <w:r w:rsidRPr="000F6A66">
        <w:rPr>
          <w:rFonts w:eastAsia="Times New Roman"/>
          <w:szCs w:val="22"/>
          <w:lang w:val="fr-FR" w:eastAsia="en-US"/>
        </w:rPr>
        <w:t>Le projet a été exécuté sous la supervision du chef de projet, M</w:t>
      </w:r>
      <w:r w:rsidRPr="000F6A66">
        <w:rPr>
          <w:lang w:val="fr-FR"/>
        </w:rPr>
        <w:t>me</w:t>
      </w:r>
      <w:r w:rsidRPr="000F6A66">
        <w:rPr>
          <w:rFonts w:eastAsia="Times New Roman"/>
          <w:szCs w:val="22"/>
          <w:lang w:val="fr-FR" w:eastAsia="en-US"/>
        </w:rPr>
        <w:t> Francesca Toso, conseillère principale, Bureau du vice-directeur général, Secteur du développement</w:t>
      </w:r>
    </w:p>
    <w:p w14:paraId="550A4C8E" w14:textId="77777777" w:rsidR="00C31DE2" w:rsidRPr="000F6A66" w:rsidRDefault="00C31DE2" w:rsidP="00C31DE2">
      <w:pPr>
        <w:rPr>
          <w:rFonts w:eastAsia="Times New Roman"/>
          <w:szCs w:val="22"/>
          <w:lang w:val="fr-FR" w:eastAsia="en-US"/>
        </w:rPr>
      </w:pPr>
    </w:p>
    <w:p w14:paraId="0727C72B" w14:textId="77777777" w:rsidR="00C31DE2" w:rsidRPr="000F6A66" w:rsidRDefault="00C31DE2" w:rsidP="00C31DE2">
      <w:pPr>
        <w:rPr>
          <w:rFonts w:eastAsia="Times New Roman"/>
          <w:szCs w:val="22"/>
          <w:lang w:val="fr-FR" w:eastAsia="en-US"/>
        </w:rPr>
      </w:pPr>
      <w:r w:rsidRPr="000F6A66">
        <w:rPr>
          <w:rFonts w:eastAsia="Times New Roman"/>
          <w:szCs w:val="22"/>
          <w:lang w:val="fr-FR" w:eastAsia="en-US"/>
        </w:rPr>
        <w:lastRenderedPageBreak/>
        <w:t>Cette évaluation a vocation à être participative.  Elle devrait permettre la participation active de tous ceux pour qui les projets présentent un enjeu, à savoir l’équipe chargée du projet, les partenaires, les bénéficiaires et toute autre partie intéressée.</w:t>
      </w:r>
    </w:p>
    <w:p w14:paraId="1C107F76" w14:textId="77777777" w:rsidR="00C31DE2" w:rsidRPr="000F6A66" w:rsidRDefault="00C31DE2" w:rsidP="00C31DE2">
      <w:pPr>
        <w:rPr>
          <w:rFonts w:eastAsia="Times New Roman"/>
          <w:szCs w:val="22"/>
          <w:lang w:val="fr-FR" w:eastAsia="en-US"/>
        </w:rPr>
      </w:pPr>
    </w:p>
    <w:p w14:paraId="6F88D116" w14:textId="77777777" w:rsidR="00C31DE2" w:rsidRPr="000F6A66" w:rsidRDefault="00C31DE2" w:rsidP="00C31DE2">
      <w:pPr>
        <w:rPr>
          <w:rFonts w:eastAsia="Times New Roman"/>
          <w:szCs w:val="22"/>
          <w:lang w:val="fr-FR" w:eastAsia="en-US"/>
        </w:rPr>
      </w:pPr>
      <w:r w:rsidRPr="000F6A66">
        <w:rPr>
          <w:rFonts w:eastAsia="Times New Roman"/>
          <w:szCs w:val="22"/>
          <w:lang w:val="fr-FR" w:eastAsia="en-US"/>
        </w:rPr>
        <w:t>Cette évaluation vise deux objectifs :</w:t>
      </w:r>
    </w:p>
    <w:p w14:paraId="6ECA2DA7" w14:textId="77777777" w:rsidR="00C31DE2" w:rsidRPr="000F6A66" w:rsidRDefault="00C31DE2" w:rsidP="00C31DE2">
      <w:pPr>
        <w:rPr>
          <w:rFonts w:eastAsia="Times New Roman"/>
          <w:szCs w:val="22"/>
          <w:lang w:val="fr-FR" w:eastAsia="en-US"/>
        </w:rPr>
      </w:pPr>
    </w:p>
    <w:p w14:paraId="5D4658D3" w14:textId="578D7DA8" w:rsidR="00C31DE2" w:rsidRPr="000F6A66" w:rsidRDefault="00C31DE2" w:rsidP="000F6A66">
      <w:pPr>
        <w:pStyle w:val="ListParagraph"/>
        <w:numPr>
          <w:ilvl w:val="0"/>
          <w:numId w:val="43"/>
        </w:numPr>
        <w:ind w:left="1134" w:hanging="567"/>
        <w:jc w:val="both"/>
        <w:rPr>
          <w:rFonts w:eastAsia="Times New Roman"/>
          <w:szCs w:val="22"/>
          <w:lang w:val="fr-FR" w:eastAsia="en-US"/>
        </w:rPr>
      </w:pPr>
      <w:r w:rsidRPr="000F6A66">
        <w:rPr>
          <w:rFonts w:eastAsia="Times New Roman"/>
          <w:szCs w:val="22"/>
          <w:lang w:val="fr-FR" w:eastAsia="en-US"/>
        </w:rPr>
        <w:t>Tirer des enseignements des expériences faites au cours de l’exécution du projet, de ce qui a bien fonctionné et de ce qui n’a pas fonctionné afin de poursuivre les activités dans ce domaine.  Cela inclut l’évaluation du cadre de conception du projet, la gestion de projet, y compris les outils de suivi et d’établissement de rapports, ainsi que la mesure et le compte rendu des résultats obtenus à ce jour et l’évaluation du degré de viabilité des résultats obtenus;  et</w:t>
      </w:r>
    </w:p>
    <w:p w14:paraId="6A1A85BF" w14:textId="77777777" w:rsidR="000F6A66" w:rsidRPr="000F6A66" w:rsidRDefault="000F6A66" w:rsidP="000F6A66">
      <w:pPr>
        <w:pStyle w:val="ListParagraph"/>
        <w:ind w:left="1134"/>
        <w:jc w:val="both"/>
        <w:rPr>
          <w:rFonts w:eastAsia="Times New Roman"/>
          <w:szCs w:val="22"/>
          <w:lang w:val="fr-FR" w:eastAsia="en-US"/>
        </w:rPr>
      </w:pPr>
    </w:p>
    <w:p w14:paraId="6ECA8BEA" w14:textId="77777777" w:rsidR="00C31DE2" w:rsidRPr="000F6A66" w:rsidRDefault="00C31DE2" w:rsidP="000F6A66">
      <w:pPr>
        <w:ind w:left="1134" w:hanging="567"/>
        <w:rPr>
          <w:rFonts w:eastAsia="Times New Roman"/>
          <w:szCs w:val="22"/>
          <w:lang w:val="fr-FR" w:eastAsia="en-US"/>
        </w:rPr>
      </w:pPr>
      <w:r w:rsidRPr="000F6A66">
        <w:rPr>
          <w:rFonts w:eastAsia="Times New Roman"/>
          <w:szCs w:val="22"/>
          <w:lang w:val="fr-FR" w:eastAsia="en-US"/>
        </w:rPr>
        <w:t>2.</w:t>
      </w:r>
      <w:r w:rsidRPr="000F6A66">
        <w:rPr>
          <w:rFonts w:eastAsia="Times New Roman"/>
          <w:szCs w:val="22"/>
          <w:lang w:val="fr-FR" w:eastAsia="en-US"/>
        </w:rPr>
        <w:tab/>
        <w:t>fournir les données d’évaluation factuelles nécessaires au processus décisionnel du CDIP.</w:t>
      </w:r>
    </w:p>
    <w:p w14:paraId="6B66741C" w14:textId="77777777" w:rsidR="00C31DE2" w:rsidRPr="000F6A66" w:rsidRDefault="00C31DE2" w:rsidP="000F6A66">
      <w:pPr>
        <w:ind w:left="1134" w:hanging="567"/>
        <w:rPr>
          <w:rFonts w:eastAsia="Times New Roman"/>
          <w:szCs w:val="22"/>
          <w:lang w:val="fr-FR" w:eastAsia="en-US"/>
        </w:rPr>
      </w:pPr>
    </w:p>
    <w:p w14:paraId="7EF88858" w14:textId="2671557C" w:rsidR="00C31DE2" w:rsidRPr="000F6A66" w:rsidRDefault="00C31DE2" w:rsidP="00C31DE2">
      <w:pPr>
        <w:rPr>
          <w:rFonts w:eastAsia="Times New Roman"/>
          <w:szCs w:val="22"/>
          <w:lang w:val="fr-FR" w:eastAsia="en-US"/>
        </w:rPr>
      </w:pPr>
      <w:r w:rsidRPr="000F6A66">
        <w:rPr>
          <w:rFonts w:eastAsia="Times New Roman"/>
          <w:szCs w:val="22"/>
          <w:lang w:val="fr-FR" w:eastAsia="en-US"/>
        </w:rPr>
        <w:t>En particulier, l’évaluation vise à déterminer la mesure dans laquelle le projet a joué un rôle pour :</w:t>
      </w:r>
    </w:p>
    <w:p w14:paraId="64E94CD0" w14:textId="77777777" w:rsidR="000F6A66" w:rsidRPr="000F6A66" w:rsidRDefault="000F6A66" w:rsidP="00C31DE2">
      <w:pPr>
        <w:rPr>
          <w:rFonts w:eastAsia="Times New Roman"/>
          <w:szCs w:val="22"/>
          <w:lang w:val="fr-FR" w:eastAsia="en-US"/>
        </w:rPr>
      </w:pPr>
    </w:p>
    <w:p w14:paraId="1F93A07E" w14:textId="77777777" w:rsidR="00C31DE2" w:rsidRPr="000F6A66" w:rsidRDefault="00C31DE2" w:rsidP="000F6A66">
      <w:pPr>
        <w:pStyle w:val="ONUMFS"/>
        <w:numPr>
          <w:ilvl w:val="1"/>
          <w:numId w:val="5"/>
        </w:numPr>
        <w:rPr>
          <w:lang w:val="fr-FR" w:eastAsia="en-US"/>
        </w:rPr>
      </w:pPr>
      <w:r w:rsidRPr="000F6A66">
        <w:rPr>
          <w:lang w:val="fr-FR" w:eastAsia="en-US"/>
        </w:rPr>
        <w:t>renforcer les capacités des principales parties prenantes du secteur touristique, ainsi que les autorités nationales, notamment les offices de propriété intellectuelle, en matière d’utilisation des instruments et stratégies de propriété intellectuelle aux fins de la création de valeur ajoutée et de diversification de l’activité touristique, notamment sous l’angle de la promotion des savoirs, des traditions et de la culture à l’échelle nationale ou locale;  et</w:t>
      </w:r>
    </w:p>
    <w:p w14:paraId="4D712D06" w14:textId="77777777" w:rsidR="00C31DE2" w:rsidRPr="000F6A66" w:rsidRDefault="00C31DE2" w:rsidP="000F6A66">
      <w:pPr>
        <w:pStyle w:val="ONUMFS"/>
        <w:numPr>
          <w:ilvl w:val="1"/>
          <w:numId w:val="5"/>
        </w:numPr>
        <w:rPr>
          <w:szCs w:val="22"/>
          <w:lang w:val="fr-FR" w:eastAsia="en-US"/>
        </w:rPr>
      </w:pPr>
      <w:r w:rsidRPr="000F6A66">
        <w:rPr>
          <w:szCs w:val="22"/>
          <w:lang w:val="fr-FR" w:eastAsia="en-US"/>
        </w:rPr>
        <w:t>sensibiliser les milieux universitaires aux croisements entre propriété intellectuelle et tourisme dans le cadre des politiques locales en matière de développement et de croissance, en vue d’élaborer des supports d’enseignement et de promouvoir l’inclusion de programmes d’enseignement spécialisés dans les écoles de tourisme et les académies nationales de propriété intellectuelle.</w:t>
      </w:r>
    </w:p>
    <w:p w14:paraId="64CDAADF" w14:textId="77777777" w:rsidR="00C31DE2" w:rsidRPr="000F6A66" w:rsidRDefault="00C31DE2" w:rsidP="000F6A66">
      <w:pPr>
        <w:rPr>
          <w:lang w:val="fr-FR" w:eastAsia="en-US"/>
        </w:rPr>
      </w:pPr>
    </w:p>
    <w:p w14:paraId="41211BFB" w14:textId="77777777" w:rsidR="00C31DE2" w:rsidRPr="00B81EFC" w:rsidRDefault="00C31DE2" w:rsidP="00B81EFC">
      <w:pPr>
        <w:rPr>
          <w:caps/>
          <w:u w:val="single"/>
          <w:lang w:val="fr-FR" w:eastAsia="en-US"/>
        </w:rPr>
      </w:pPr>
      <w:r w:rsidRPr="00B81EFC">
        <w:rPr>
          <w:u w:val="single"/>
          <w:lang w:val="fr-FR" w:eastAsia="en-US"/>
        </w:rPr>
        <w:t>Concept et gestion du projet</w:t>
      </w:r>
    </w:p>
    <w:p w14:paraId="2E3B4666" w14:textId="77777777" w:rsidR="00C31DE2" w:rsidRPr="000F6A66" w:rsidRDefault="00C31DE2" w:rsidP="00C31DE2">
      <w:pPr>
        <w:jc w:val="both"/>
        <w:rPr>
          <w:rFonts w:eastAsia="Times New Roman"/>
          <w:szCs w:val="22"/>
          <w:lang w:val="fr-FR" w:eastAsia="en-US"/>
        </w:rPr>
      </w:pPr>
    </w:p>
    <w:p w14:paraId="33088535" w14:textId="65FC1620" w:rsidR="00C31DE2" w:rsidRPr="000F6A66" w:rsidRDefault="00C31DE2" w:rsidP="000F6A66">
      <w:pPr>
        <w:pStyle w:val="ListParagraph"/>
        <w:numPr>
          <w:ilvl w:val="0"/>
          <w:numId w:val="12"/>
        </w:numPr>
        <w:spacing w:before="100" w:beforeAutospacing="1" w:after="100" w:afterAutospacing="1"/>
        <w:ind w:left="1134" w:hanging="567"/>
        <w:rPr>
          <w:rFonts w:eastAsia="Times New Roman"/>
          <w:sz w:val="24"/>
          <w:szCs w:val="24"/>
          <w:lang w:val="fr-FR" w:eastAsia="en-US"/>
        </w:rPr>
      </w:pPr>
      <w:r w:rsidRPr="000F6A66">
        <w:rPr>
          <w:rFonts w:eastAsia="Times New Roman"/>
          <w:szCs w:val="22"/>
          <w:lang w:val="fr-FR" w:eastAsia="en-US"/>
        </w:rPr>
        <w:t>La pertinence du descriptif de projet initial à servir de guide à la mise en œuvre du projet et à l’</w:t>
      </w:r>
      <w:r w:rsidR="000F6A66">
        <w:rPr>
          <w:rFonts w:eastAsia="Times New Roman"/>
          <w:szCs w:val="22"/>
          <w:lang w:val="fr-FR" w:eastAsia="en-US"/>
        </w:rPr>
        <w:t>é</w:t>
      </w:r>
      <w:r w:rsidRPr="000F6A66">
        <w:rPr>
          <w:rFonts w:eastAsia="Times New Roman"/>
          <w:szCs w:val="22"/>
          <w:lang w:val="fr-FR" w:eastAsia="en-US"/>
        </w:rPr>
        <w:t>valuation des r</w:t>
      </w:r>
      <w:r w:rsidR="000F6A66">
        <w:rPr>
          <w:rFonts w:eastAsia="Times New Roman"/>
          <w:szCs w:val="22"/>
          <w:lang w:val="fr-FR" w:eastAsia="en-US"/>
        </w:rPr>
        <w:t>é</w:t>
      </w:r>
      <w:r w:rsidRPr="000F6A66">
        <w:rPr>
          <w:rFonts w:eastAsia="Times New Roman"/>
          <w:szCs w:val="22"/>
          <w:lang w:val="fr-FR" w:eastAsia="en-US"/>
        </w:rPr>
        <w:t>sultats obtenus;</w:t>
      </w:r>
    </w:p>
    <w:p w14:paraId="68EB0709" w14:textId="77777777" w:rsidR="00C31DE2" w:rsidRPr="000F6A66" w:rsidRDefault="00C31DE2" w:rsidP="000F6A66">
      <w:pPr>
        <w:pStyle w:val="ListParagraph"/>
        <w:spacing w:before="100" w:beforeAutospacing="1" w:after="100" w:afterAutospacing="1"/>
        <w:ind w:left="1134" w:hanging="567"/>
        <w:rPr>
          <w:rFonts w:eastAsia="Times New Roman"/>
          <w:sz w:val="24"/>
          <w:szCs w:val="24"/>
          <w:lang w:val="fr-FR" w:eastAsia="en-US"/>
        </w:rPr>
      </w:pPr>
    </w:p>
    <w:p w14:paraId="1B79DABC" w14:textId="30C8577B" w:rsidR="00C31DE2" w:rsidRPr="000F6A66" w:rsidRDefault="00C31DE2" w:rsidP="000F6A66">
      <w:pPr>
        <w:pStyle w:val="ListParagraph"/>
        <w:numPr>
          <w:ilvl w:val="0"/>
          <w:numId w:val="12"/>
        </w:numPr>
        <w:spacing w:before="100" w:beforeAutospacing="1" w:after="100" w:afterAutospacing="1"/>
        <w:ind w:left="1134" w:hanging="567"/>
        <w:rPr>
          <w:rFonts w:eastAsia="Times New Roman"/>
          <w:sz w:val="24"/>
          <w:szCs w:val="24"/>
          <w:lang w:val="fr-FR" w:eastAsia="en-US"/>
        </w:rPr>
      </w:pPr>
      <w:r w:rsidRPr="000F6A66">
        <w:rPr>
          <w:rFonts w:eastAsia="Times New Roman"/>
          <w:szCs w:val="22"/>
          <w:lang w:val="fr-FR" w:eastAsia="en-US"/>
        </w:rPr>
        <w:t>L’analyse de l’ad</w:t>
      </w:r>
      <w:r w:rsidR="000F6A66">
        <w:rPr>
          <w:rFonts w:eastAsia="Times New Roman"/>
          <w:szCs w:val="22"/>
          <w:lang w:val="fr-FR" w:eastAsia="en-US"/>
        </w:rPr>
        <w:t>é</w:t>
      </w:r>
      <w:r w:rsidRPr="000F6A66">
        <w:rPr>
          <w:rFonts w:eastAsia="Times New Roman"/>
          <w:szCs w:val="22"/>
          <w:lang w:val="fr-FR" w:eastAsia="en-US"/>
        </w:rPr>
        <w:t>quation et de l’utilit</w:t>
      </w:r>
      <w:r w:rsidR="000F6A66">
        <w:rPr>
          <w:rFonts w:eastAsia="Times New Roman"/>
          <w:szCs w:val="22"/>
          <w:lang w:val="fr-FR" w:eastAsia="en-US"/>
        </w:rPr>
        <w:t>é</w:t>
      </w:r>
      <w:r w:rsidRPr="000F6A66">
        <w:rPr>
          <w:rFonts w:eastAsia="Times New Roman"/>
          <w:szCs w:val="22"/>
          <w:lang w:val="fr-FR" w:eastAsia="en-US"/>
        </w:rPr>
        <w:t xml:space="preserve"> des outils de suivi, d’auto-</w:t>
      </w:r>
      <w:r w:rsidR="000F6A66">
        <w:rPr>
          <w:rFonts w:eastAsia="Times New Roman"/>
          <w:szCs w:val="22"/>
          <w:lang w:val="fr-FR" w:eastAsia="en-US"/>
        </w:rPr>
        <w:t>é</w:t>
      </w:r>
      <w:r w:rsidRPr="000F6A66">
        <w:rPr>
          <w:rFonts w:eastAsia="Times New Roman"/>
          <w:szCs w:val="22"/>
          <w:lang w:val="fr-FR" w:eastAsia="en-US"/>
        </w:rPr>
        <w:t>valuation et d’</w:t>
      </w:r>
      <w:r w:rsidR="000F6A66">
        <w:rPr>
          <w:rFonts w:eastAsia="Times New Roman"/>
          <w:szCs w:val="22"/>
          <w:lang w:val="fr-FR" w:eastAsia="en-US"/>
        </w:rPr>
        <w:t>é</w:t>
      </w:r>
      <w:r w:rsidRPr="000F6A66">
        <w:rPr>
          <w:rFonts w:eastAsia="Times New Roman"/>
          <w:szCs w:val="22"/>
          <w:lang w:val="fr-FR" w:eastAsia="en-US"/>
        </w:rPr>
        <w:t>tablissement de rapports aff</w:t>
      </w:r>
      <w:r w:rsidR="000F6A66">
        <w:rPr>
          <w:rFonts w:eastAsia="Times New Roman"/>
          <w:szCs w:val="22"/>
          <w:lang w:val="fr-FR" w:eastAsia="en-US"/>
        </w:rPr>
        <w:t>é</w:t>
      </w:r>
      <w:r w:rsidRPr="000F6A66">
        <w:rPr>
          <w:rFonts w:eastAsia="Times New Roman"/>
          <w:szCs w:val="22"/>
          <w:lang w:val="fr-FR" w:eastAsia="en-US"/>
        </w:rPr>
        <w:t>rents au projet s’agissant de fournir des informations qui pr</w:t>
      </w:r>
      <w:r w:rsidR="000F6A66">
        <w:rPr>
          <w:rFonts w:eastAsia="Times New Roman"/>
          <w:szCs w:val="22"/>
          <w:lang w:val="fr-FR" w:eastAsia="en-US"/>
        </w:rPr>
        <w:t>é</w:t>
      </w:r>
      <w:r w:rsidRPr="000F6A66">
        <w:rPr>
          <w:rFonts w:eastAsia="Times New Roman"/>
          <w:szCs w:val="22"/>
          <w:lang w:val="fr-FR" w:eastAsia="en-US"/>
        </w:rPr>
        <w:t>sentent un int</w:t>
      </w:r>
      <w:r w:rsidR="000F6A66">
        <w:rPr>
          <w:rFonts w:eastAsia="Times New Roman"/>
          <w:szCs w:val="22"/>
          <w:lang w:val="fr-FR" w:eastAsia="en-US"/>
        </w:rPr>
        <w:t>é</w:t>
      </w:r>
      <w:r w:rsidRPr="000F6A66">
        <w:rPr>
          <w:rFonts w:eastAsia="Times New Roman"/>
          <w:szCs w:val="22"/>
          <w:lang w:val="fr-FR" w:eastAsia="en-US"/>
        </w:rPr>
        <w:t>r</w:t>
      </w:r>
      <w:r w:rsidR="000F6A66">
        <w:rPr>
          <w:rFonts w:eastAsia="Times New Roman"/>
          <w:szCs w:val="22"/>
          <w:lang w:val="fr-FR" w:eastAsia="en-US"/>
        </w:rPr>
        <w:t>ê</w:t>
      </w:r>
      <w:r w:rsidRPr="000F6A66">
        <w:rPr>
          <w:rFonts w:eastAsia="Times New Roman"/>
          <w:szCs w:val="22"/>
          <w:lang w:val="fr-FR" w:eastAsia="en-US"/>
        </w:rPr>
        <w:t>t pour la prise de d</w:t>
      </w:r>
      <w:r w:rsidR="000F6A66">
        <w:rPr>
          <w:rFonts w:eastAsia="Times New Roman"/>
          <w:szCs w:val="22"/>
          <w:lang w:val="fr-FR" w:eastAsia="en-US"/>
        </w:rPr>
        <w:t>é</w:t>
      </w:r>
      <w:r w:rsidRPr="000F6A66">
        <w:rPr>
          <w:rFonts w:eastAsia="Times New Roman"/>
          <w:szCs w:val="22"/>
          <w:lang w:val="fr-FR" w:eastAsia="en-US"/>
        </w:rPr>
        <w:t>cision de l’</w:t>
      </w:r>
      <w:r w:rsidR="000F6A66">
        <w:rPr>
          <w:rFonts w:eastAsia="Times New Roman"/>
          <w:szCs w:val="22"/>
          <w:lang w:val="fr-FR" w:eastAsia="en-US"/>
        </w:rPr>
        <w:t>é</w:t>
      </w:r>
      <w:r w:rsidRPr="000F6A66">
        <w:rPr>
          <w:rFonts w:eastAsia="Times New Roman"/>
          <w:szCs w:val="22"/>
          <w:lang w:val="fr-FR" w:eastAsia="en-US"/>
        </w:rPr>
        <w:t>quipe charg</w:t>
      </w:r>
      <w:r w:rsidR="000F6A66">
        <w:rPr>
          <w:rFonts w:eastAsia="Times New Roman"/>
          <w:szCs w:val="22"/>
          <w:lang w:val="fr-FR" w:eastAsia="en-US"/>
        </w:rPr>
        <w:t>é</w:t>
      </w:r>
      <w:r w:rsidRPr="000F6A66">
        <w:rPr>
          <w:rFonts w:eastAsia="Times New Roman"/>
          <w:szCs w:val="22"/>
          <w:lang w:val="fr-FR" w:eastAsia="en-US"/>
        </w:rPr>
        <w:t>e du projet et des principales parties prenantes;</w:t>
      </w:r>
    </w:p>
    <w:p w14:paraId="2CC91871" w14:textId="77777777" w:rsidR="00C31DE2" w:rsidRPr="000F6A66" w:rsidRDefault="00C31DE2" w:rsidP="000F6A66">
      <w:pPr>
        <w:pStyle w:val="ListParagraph"/>
        <w:ind w:left="1134" w:hanging="567"/>
        <w:rPr>
          <w:rFonts w:eastAsia="Times New Roman"/>
          <w:sz w:val="24"/>
          <w:szCs w:val="24"/>
          <w:lang w:val="fr-FR" w:eastAsia="en-US"/>
        </w:rPr>
      </w:pPr>
    </w:p>
    <w:p w14:paraId="39BB7F18" w14:textId="365F680D" w:rsidR="00C31DE2" w:rsidRPr="000F6A66" w:rsidRDefault="00C31DE2" w:rsidP="000F6A66">
      <w:pPr>
        <w:pStyle w:val="ListParagraph"/>
        <w:numPr>
          <w:ilvl w:val="0"/>
          <w:numId w:val="12"/>
        </w:numPr>
        <w:spacing w:before="100" w:beforeAutospacing="1" w:after="100" w:afterAutospacing="1"/>
        <w:ind w:left="1134" w:hanging="567"/>
        <w:rPr>
          <w:rFonts w:eastAsia="Times New Roman"/>
          <w:sz w:val="24"/>
          <w:szCs w:val="24"/>
          <w:lang w:val="fr-FR" w:eastAsia="en-US"/>
        </w:rPr>
      </w:pPr>
      <w:r w:rsidRPr="000F6A66">
        <w:rPr>
          <w:rFonts w:eastAsia="Times New Roman"/>
          <w:szCs w:val="22"/>
          <w:lang w:val="fr-FR" w:eastAsia="en-US"/>
        </w:rPr>
        <w:t>La mesure dans laquelle d’autres entit</w:t>
      </w:r>
      <w:r w:rsidR="000F6A66">
        <w:rPr>
          <w:rFonts w:eastAsia="Times New Roman"/>
          <w:szCs w:val="22"/>
          <w:lang w:val="fr-FR" w:eastAsia="en-US"/>
        </w:rPr>
        <w:t>é</w:t>
      </w:r>
      <w:r w:rsidRPr="000F6A66">
        <w:rPr>
          <w:rFonts w:eastAsia="Times New Roman"/>
          <w:szCs w:val="22"/>
          <w:lang w:val="fr-FR" w:eastAsia="en-US"/>
        </w:rPr>
        <w:t>s au sein du Secr</w:t>
      </w:r>
      <w:r w:rsidR="000F6A66">
        <w:rPr>
          <w:rFonts w:eastAsia="Times New Roman"/>
          <w:szCs w:val="22"/>
          <w:lang w:val="fr-FR" w:eastAsia="en-US"/>
        </w:rPr>
        <w:t>é</w:t>
      </w:r>
      <w:r w:rsidRPr="000F6A66">
        <w:rPr>
          <w:rFonts w:eastAsia="Times New Roman"/>
          <w:szCs w:val="22"/>
          <w:lang w:val="fr-FR" w:eastAsia="en-US"/>
        </w:rPr>
        <w:t>tariat de l’OMPI ont contribu</w:t>
      </w:r>
      <w:r w:rsidR="000F6A66">
        <w:rPr>
          <w:rFonts w:eastAsia="Times New Roman"/>
          <w:szCs w:val="22"/>
          <w:lang w:val="fr-FR" w:eastAsia="en-US"/>
        </w:rPr>
        <w:t>é</w:t>
      </w:r>
      <w:r w:rsidRPr="000F6A66">
        <w:rPr>
          <w:rFonts w:eastAsia="Times New Roman"/>
          <w:szCs w:val="22"/>
          <w:lang w:val="fr-FR" w:eastAsia="en-US"/>
        </w:rPr>
        <w:t xml:space="preserve"> et permis une mise en œuvre effective et efficace du projet;</w:t>
      </w:r>
    </w:p>
    <w:p w14:paraId="69077F9A" w14:textId="77777777" w:rsidR="00C31DE2" w:rsidRPr="000F6A66" w:rsidRDefault="00C31DE2" w:rsidP="000F6A66">
      <w:pPr>
        <w:pStyle w:val="ListParagraph"/>
        <w:ind w:left="1134" w:hanging="567"/>
        <w:rPr>
          <w:rFonts w:eastAsia="Times New Roman"/>
          <w:sz w:val="24"/>
          <w:szCs w:val="24"/>
          <w:lang w:val="fr-FR" w:eastAsia="en-US"/>
        </w:rPr>
      </w:pPr>
    </w:p>
    <w:p w14:paraId="5FB72683" w14:textId="33527799" w:rsidR="00C31DE2" w:rsidRPr="000F6A66" w:rsidRDefault="00C31DE2" w:rsidP="000F6A66">
      <w:pPr>
        <w:pStyle w:val="ListParagraph"/>
        <w:numPr>
          <w:ilvl w:val="0"/>
          <w:numId w:val="12"/>
        </w:numPr>
        <w:spacing w:before="100" w:beforeAutospacing="1" w:after="100" w:afterAutospacing="1"/>
        <w:ind w:left="1134" w:hanging="567"/>
        <w:rPr>
          <w:rFonts w:eastAsia="Times New Roman"/>
          <w:sz w:val="24"/>
          <w:szCs w:val="24"/>
          <w:lang w:val="fr-FR" w:eastAsia="en-US"/>
        </w:rPr>
      </w:pPr>
      <w:r w:rsidRPr="000F6A66">
        <w:rPr>
          <w:rFonts w:eastAsia="Times New Roman"/>
          <w:szCs w:val="22"/>
          <w:lang w:val="fr-FR" w:eastAsia="en-US"/>
        </w:rPr>
        <w:t>La mesure dans laquelle les risques recens</w:t>
      </w:r>
      <w:r w:rsidR="000F6A66">
        <w:rPr>
          <w:rFonts w:eastAsia="Times New Roman"/>
          <w:szCs w:val="22"/>
          <w:lang w:val="fr-FR" w:eastAsia="en-US"/>
        </w:rPr>
        <w:t>é</w:t>
      </w:r>
      <w:r w:rsidRPr="000F6A66">
        <w:rPr>
          <w:rFonts w:eastAsia="Times New Roman"/>
          <w:szCs w:val="22"/>
          <w:lang w:val="fr-FR" w:eastAsia="en-US"/>
        </w:rPr>
        <w:t>s dans le descriptif de projet initial se sont concr</w:t>
      </w:r>
      <w:r w:rsidR="000F6A66">
        <w:rPr>
          <w:rFonts w:eastAsia="Times New Roman"/>
          <w:szCs w:val="22"/>
          <w:lang w:val="fr-FR" w:eastAsia="en-US"/>
        </w:rPr>
        <w:t>é</w:t>
      </w:r>
      <w:r w:rsidRPr="000F6A66">
        <w:rPr>
          <w:rFonts w:eastAsia="Times New Roman"/>
          <w:szCs w:val="22"/>
          <w:lang w:val="fr-FR" w:eastAsia="en-US"/>
        </w:rPr>
        <w:t>tis</w:t>
      </w:r>
      <w:r w:rsidR="000F6A66">
        <w:rPr>
          <w:rFonts w:eastAsia="Times New Roman"/>
          <w:szCs w:val="22"/>
          <w:lang w:val="fr-FR" w:eastAsia="en-US"/>
        </w:rPr>
        <w:t>é</w:t>
      </w:r>
      <w:r w:rsidRPr="000F6A66">
        <w:rPr>
          <w:rFonts w:eastAsia="Times New Roman"/>
          <w:szCs w:val="22"/>
          <w:lang w:val="fr-FR" w:eastAsia="en-US"/>
        </w:rPr>
        <w:t xml:space="preserve">s ou ont </w:t>
      </w:r>
      <w:r w:rsidR="000F6A66">
        <w:rPr>
          <w:rFonts w:eastAsia="Times New Roman"/>
          <w:szCs w:val="22"/>
          <w:lang w:val="fr-FR" w:eastAsia="en-US"/>
        </w:rPr>
        <w:t>é</w:t>
      </w:r>
      <w:r w:rsidRPr="000F6A66">
        <w:rPr>
          <w:rFonts w:eastAsia="Times New Roman"/>
          <w:szCs w:val="22"/>
          <w:lang w:val="fr-FR" w:eastAsia="en-US"/>
        </w:rPr>
        <w:t>t</w:t>
      </w:r>
      <w:r w:rsidR="000F6A66">
        <w:rPr>
          <w:rFonts w:eastAsia="Times New Roman"/>
          <w:szCs w:val="22"/>
          <w:lang w:val="fr-FR" w:eastAsia="en-US"/>
        </w:rPr>
        <w:t>é</w:t>
      </w:r>
      <w:r w:rsidRPr="000F6A66">
        <w:rPr>
          <w:rFonts w:eastAsia="Times New Roman"/>
          <w:szCs w:val="22"/>
          <w:lang w:val="fr-FR" w:eastAsia="en-US"/>
        </w:rPr>
        <w:t xml:space="preserve"> att</w:t>
      </w:r>
      <w:r w:rsidR="000F6A66">
        <w:rPr>
          <w:rFonts w:eastAsia="Times New Roman"/>
          <w:szCs w:val="22"/>
          <w:lang w:val="fr-FR" w:eastAsia="en-US"/>
        </w:rPr>
        <w:t>é</w:t>
      </w:r>
      <w:r w:rsidRPr="000F6A66">
        <w:rPr>
          <w:rFonts w:eastAsia="Times New Roman"/>
          <w:szCs w:val="22"/>
          <w:lang w:val="fr-FR" w:eastAsia="en-US"/>
        </w:rPr>
        <w:t>nu</w:t>
      </w:r>
      <w:r w:rsidR="000F6A66">
        <w:rPr>
          <w:rFonts w:eastAsia="Times New Roman"/>
          <w:szCs w:val="22"/>
          <w:lang w:val="fr-FR" w:eastAsia="en-US"/>
        </w:rPr>
        <w:t>é</w:t>
      </w:r>
      <w:r w:rsidRPr="000F6A66">
        <w:rPr>
          <w:rFonts w:eastAsia="Times New Roman"/>
          <w:szCs w:val="22"/>
          <w:lang w:val="fr-FR" w:eastAsia="en-US"/>
        </w:rPr>
        <w:t>s;</w:t>
      </w:r>
    </w:p>
    <w:p w14:paraId="104D5B31" w14:textId="77777777" w:rsidR="00C31DE2" w:rsidRPr="000F6A66" w:rsidRDefault="00C31DE2" w:rsidP="000F6A66">
      <w:pPr>
        <w:pStyle w:val="ListParagraph"/>
        <w:ind w:left="1134" w:hanging="567"/>
        <w:rPr>
          <w:rFonts w:eastAsia="Times New Roman"/>
          <w:sz w:val="24"/>
          <w:szCs w:val="24"/>
          <w:lang w:val="fr-FR" w:eastAsia="en-US"/>
        </w:rPr>
      </w:pPr>
    </w:p>
    <w:p w14:paraId="02B013FD" w14:textId="7C882181" w:rsidR="00C31DE2" w:rsidRPr="000F6A66" w:rsidRDefault="00C31DE2" w:rsidP="000F6A66">
      <w:pPr>
        <w:pStyle w:val="ListParagraph"/>
        <w:numPr>
          <w:ilvl w:val="0"/>
          <w:numId w:val="12"/>
        </w:numPr>
        <w:spacing w:before="100" w:beforeAutospacing="1" w:after="100" w:afterAutospacing="1"/>
        <w:ind w:left="1134" w:hanging="567"/>
        <w:rPr>
          <w:rFonts w:eastAsia="Times New Roman"/>
          <w:sz w:val="24"/>
          <w:szCs w:val="24"/>
          <w:lang w:val="fr-FR" w:eastAsia="en-US"/>
        </w:rPr>
      </w:pPr>
      <w:r w:rsidRPr="000F6A66">
        <w:rPr>
          <w:rFonts w:eastAsia="Times New Roman"/>
          <w:szCs w:val="22"/>
          <w:lang w:val="fr-FR" w:eastAsia="en-US"/>
        </w:rPr>
        <w:t>La capacit</w:t>
      </w:r>
      <w:r w:rsidR="000F6A66">
        <w:rPr>
          <w:rFonts w:eastAsia="Times New Roman"/>
          <w:szCs w:val="22"/>
          <w:lang w:val="fr-FR" w:eastAsia="en-US"/>
        </w:rPr>
        <w:t>é</w:t>
      </w:r>
      <w:r w:rsidRPr="000F6A66">
        <w:rPr>
          <w:rFonts w:eastAsia="Times New Roman"/>
          <w:szCs w:val="22"/>
          <w:lang w:val="fr-FR" w:eastAsia="en-US"/>
        </w:rPr>
        <w:t xml:space="preserve"> du projet de r</w:t>
      </w:r>
      <w:r w:rsidR="000F6A66">
        <w:rPr>
          <w:rFonts w:eastAsia="Times New Roman"/>
          <w:szCs w:val="22"/>
          <w:lang w:val="fr-FR" w:eastAsia="en-US"/>
        </w:rPr>
        <w:t>é</w:t>
      </w:r>
      <w:r w:rsidRPr="000F6A66">
        <w:rPr>
          <w:rFonts w:eastAsia="Times New Roman"/>
          <w:szCs w:val="22"/>
          <w:lang w:val="fr-FR" w:eastAsia="en-US"/>
        </w:rPr>
        <w:t>agir aux tendances, technologies et autres forces ext</w:t>
      </w:r>
      <w:r w:rsidR="000F6A66">
        <w:rPr>
          <w:rFonts w:eastAsia="Times New Roman"/>
          <w:szCs w:val="22"/>
          <w:lang w:val="fr-FR" w:eastAsia="en-US"/>
        </w:rPr>
        <w:t>é</w:t>
      </w:r>
      <w:r w:rsidRPr="000F6A66">
        <w:rPr>
          <w:rFonts w:eastAsia="Times New Roman"/>
          <w:szCs w:val="22"/>
          <w:lang w:val="fr-FR" w:eastAsia="en-US"/>
        </w:rPr>
        <w:t xml:space="preserve">rieures </w:t>
      </w:r>
      <w:r w:rsidR="000F6A66">
        <w:rPr>
          <w:rFonts w:eastAsia="Times New Roman"/>
          <w:szCs w:val="22"/>
          <w:lang w:val="fr-FR" w:eastAsia="en-US"/>
        </w:rPr>
        <w:t>é</w:t>
      </w:r>
      <w:r w:rsidRPr="000F6A66">
        <w:rPr>
          <w:rFonts w:eastAsia="Times New Roman"/>
          <w:szCs w:val="22"/>
          <w:lang w:val="fr-FR" w:eastAsia="en-US"/>
        </w:rPr>
        <w:t>mergentes.</w:t>
      </w:r>
    </w:p>
    <w:p w14:paraId="37FB7254" w14:textId="77777777" w:rsidR="00C31DE2" w:rsidRPr="000F6A66" w:rsidRDefault="00C31DE2" w:rsidP="00C31DE2">
      <w:pPr>
        <w:rPr>
          <w:rFonts w:eastAsia="Times New Roman"/>
          <w:szCs w:val="22"/>
          <w:lang w:val="fr-FR" w:eastAsia="en-US"/>
        </w:rPr>
      </w:pPr>
    </w:p>
    <w:p w14:paraId="445DDACE" w14:textId="77777777" w:rsidR="00C31DE2" w:rsidRPr="000F6A66" w:rsidRDefault="00C31DE2" w:rsidP="00C31DE2">
      <w:pPr>
        <w:ind w:left="720"/>
        <w:rPr>
          <w:rFonts w:eastAsia="Times New Roman"/>
          <w:szCs w:val="22"/>
          <w:lang w:val="fr-FR" w:eastAsia="en-US"/>
        </w:rPr>
      </w:pPr>
    </w:p>
    <w:p w14:paraId="5F9FFCF5" w14:textId="77777777" w:rsidR="00C31DE2" w:rsidRPr="00B81EFC" w:rsidRDefault="00C31DE2" w:rsidP="00B81EFC">
      <w:pPr>
        <w:rPr>
          <w:u w:val="single"/>
          <w:lang w:val="fr-FR" w:eastAsia="en-US"/>
        </w:rPr>
      </w:pPr>
      <w:r w:rsidRPr="000F6A66">
        <w:rPr>
          <w:bCs/>
          <w:lang w:val="fr-FR" w:eastAsia="en-US"/>
        </w:rPr>
        <w:br w:type="page"/>
      </w:r>
      <w:r w:rsidRPr="00B81EFC">
        <w:rPr>
          <w:u w:val="single"/>
          <w:lang w:val="fr-FR" w:eastAsia="en-US"/>
        </w:rPr>
        <w:lastRenderedPageBreak/>
        <w:t>Efficacité</w:t>
      </w:r>
    </w:p>
    <w:p w14:paraId="17B820F7" w14:textId="77777777" w:rsidR="00C31DE2" w:rsidRPr="000F6A66" w:rsidRDefault="00C31DE2" w:rsidP="00C31DE2">
      <w:pPr>
        <w:rPr>
          <w:rFonts w:eastAsia="Times New Roman"/>
          <w:szCs w:val="22"/>
          <w:lang w:val="fr-FR" w:eastAsia="en-US"/>
        </w:rPr>
      </w:pPr>
    </w:p>
    <w:p w14:paraId="0DD57508" w14:textId="0AD34381" w:rsidR="00C31DE2" w:rsidRPr="000F6A66" w:rsidRDefault="00C31DE2" w:rsidP="000F6A66">
      <w:pPr>
        <w:spacing w:before="100" w:beforeAutospacing="1" w:after="100" w:afterAutospacing="1"/>
        <w:ind w:left="1134" w:hanging="567"/>
        <w:rPr>
          <w:rFonts w:eastAsia="Times New Roman"/>
          <w:szCs w:val="22"/>
          <w:lang w:val="fr-FR" w:eastAsia="en-US"/>
        </w:rPr>
      </w:pPr>
      <w:r w:rsidRPr="000F6A66">
        <w:rPr>
          <w:rFonts w:eastAsia="Times New Roman"/>
          <w:szCs w:val="22"/>
          <w:lang w:val="fr-FR" w:eastAsia="en-US"/>
        </w:rPr>
        <w:t>1.</w:t>
      </w:r>
      <w:r w:rsidRPr="000F6A66">
        <w:rPr>
          <w:rFonts w:eastAsia="Times New Roman"/>
          <w:szCs w:val="22"/>
          <w:lang w:val="fr-FR" w:eastAsia="en-US"/>
        </w:rPr>
        <w:tab/>
        <w:t>L’utilit</w:t>
      </w:r>
      <w:r w:rsidR="000F6A66">
        <w:rPr>
          <w:rFonts w:eastAsia="Times New Roman"/>
          <w:szCs w:val="22"/>
          <w:lang w:val="fr-FR" w:eastAsia="en-US"/>
        </w:rPr>
        <w:t>é</w:t>
      </w:r>
      <w:r w:rsidRPr="000F6A66">
        <w:rPr>
          <w:rFonts w:eastAsia="Times New Roman"/>
          <w:szCs w:val="22"/>
          <w:lang w:val="fr-FR" w:eastAsia="en-US"/>
        </w:rPr>
        <w:t xml:space="preserve"> et l’efficacit</w:t>
      </w:r>
      <w:r w:rsidR="000F6A66">
        <w:rPr>
          <w:rFonts w:eastAsia="Times New Roman"/>
          <w:szCs w:val="22"/>
          <w:lang w:val="fr-FR" w:eastAsia="en-US"/>
        </w:rPr>
        <w:t>é</w:t>
      </w:r>
      <w:r w:rsidRPr="000F6A66">
        <w:rPr>
          <w:rFonts w:eastAsia="Times New Roman"/>
          <w:szCs w:val="22"/>
          <w:lang w:val="fr-FR" w:eastAsia="en-US"/>
        </w:rPr>
        <w:t xml:space="preserve"> du guide de projet sur la propriété intellectuelle et le tourisme, visant à améliorer l’utilisation du système de la propriété intellectuelle aux fins de promotion du tourisme dans les pays pilotes sélectionnés, notamment grâce à la promotion des savoirs, des traditions et de la culture de chaque pays;</w:t>
      </w:r>
    </w:p>
    <w:p w14:paraId="50F76A74" w14:textId="11DC279C" w:rsidR="00C31DE2" w:rsidRPr="000F6A66" w:rsidRDefault="00C31DE2" w:rsidP="000F6A66">
      <w:pPr>
        <w:spacing w:before="100" w:beforeAutospacing="1" w:after="100" w:afterAutospacing="1"/>
        <w:ind w:left="1134" w:hanging="567"/>
        <w:rPr>
          <w:rFonts w:eastAsia="Times New Roman"/>
          <w:sz w:val="24"/>
          <w:szCs w:val="24"/>
          <w:lang w:val="fr-FR" w:eastAsia="en-US"/>
        </w:rPr>
      </w:pPr>
      <w:r w:rsidRPr="000F6A66">
        <w:rPr>
          <w:rFonts w:eastAsia="Times New Roman"/>
          <w:szCs w:val="22"/>
          <w:lang w:val="fr-FR" w:eastAsia="en-US"/>
        </w:rPr>
        <w:t>2.</w:t>
      </w:r>
      <w:r w:rsidRPr="000F6A66">
        <w:rPr>
          <w:rFonts w:eastAsia="Times New Roman"/>
          <w:szCs w:val="22"/>
          <w:lang w:val="fr-FR" w:eastAsia="en-US"/>
        </w:rPr>
        <w:tab/>
        <w:t>L’utilit</w:t>
      </w:r>
      <w:r w:rsidR="000F6A66">
        <w:rPr>
          <w:rFonts w:eastAsia="Times New Roman"/>
          <w:szCs w:val="22"/>
          <w:lang w:val="fr-FR" w:eastAsia="en-US"/>
        </w:rPr>
        <w:t>é</w:t>
      </w:r>
      <w:r w:rsidRPr="000F6A66">
        <w:rPr>
          <w:rFonts w:eastAsia="Times New Roman"/>
          <w:szCs w:val="22"/>
          <w:lang w:val="fr-FR" w:eastAsia="en-US"/>
        </w:rPr>
        <w:t xml:space="preserve"> et l’efficacit</w:t>
      </w:r>
      <w:r w:rsidR="000F6A66">
        <w:rPr>
          <w:rFonts w:eastAsia="Times New Roman"/>
          <w:szCs w:val="22"/>
          <w:lang w:val="fr-FR" w:eastAsia="en-US"/>
        </w:rPr>
        <w:t>é</w:t>
      </w:r>
      <w:r w:rsidRPr="000F6A66">
        <w:rPr>
          <w:rFonts w:eastAsia="Times New Roman"/>
          <w:szCs w:val="22"/>
          <w:lang w:val="fr-FR" w:eastAsia="en-US"/>
        </w:rPr>
        <w:t xml:space="preserve"> du projet pour améliorer les capacit</w:t>
      </w:r>
      <w:r w:rsidR="000F6A66">
        <w:rPr>
          <w:rFonts w:eastAsia="Times New Roman"/>
          <w:szCs w:val="22"/>
          <w:lang w:val="fr-FR" w:eastAsia="en-US"/>
        </w:rPr>
        <w:t>é</w:t>
      </w:r>
      <w:r w:rsidRPr="000F6A66">
        <w:rPr>
          <w:rFonts w:eastAsia="Times New Roman"/>
          <w:szCs w:val="22"/>
          <w:lang w:val="fr-FR" w:eastAsia="en-US"/>
        </w:rPr>
        <w:t>s des principales parties prenantes du secteur touristique et des autorités nationales en matière d’utilisation des instruments et stratégies de propriété intellectuelle dans les activités économiques liées au tourisme;</w:t>
      </w:r>
    </w:p>
    <w:p w14:paraId="3EBBC6F9" w14:textId="2372C97C" w:rsidR="00C31DE2" w:rsidRPr="000F6A66" w:rsidRDefault="00C31DE2" w:rsidP="000F6A66">
      <w:pPr>
        <w:spacing w:before="100" w:beforeAutospacing="1" w:after="100" w:afterAutospacing="1"/>
        <w:ind w:left="1134" w:hanging="567"/>
        <w:rPr>
          <w:rFonts w:eastAsia="Times New Roman"/>
          <w:sz w:val="24"/>
          <w:szCs w:val="24"/>
          <w:lang w:val="fr-FR" w:eastAsia="en-US"/>
        </w:rPr>
      </w:pPr>
      <w:r w:rsidRPr="000F6A66">
        <w:rPr>
          <w:rFonts w:eastAsia="Times New Roman"/>
          <w:sz w:val="24"/>
          <w:szCs w:val="24"/>
          <w:lang w:val="fr-FR" w:eastAsia="en-US"/>
        </w:rPr>
        <w:t>3.</w:t>
      </w:r>
      <w:r w:rsidRPr="000F6A66">
        <w:rPr>
          <w:rFonts w:eastAsia="Times New Roman"/>
          <w:szCs w:val="22"/>
          <w:lang w:val="fr-FR" w:eastAsia="en-US"/>
        </w:rPr>
        <w:tab/>
        <w:t>L’utilit</w:t>
      </w:r>
      <w:r w:rsidR="000F6A66">
        <w:rPr>
          <w:rFonts w:eastAsia="Times New Roman"/>
          <w:szCs w:val="22"/>
          <w:lang w:val="fr-FR" w:eastAsia="en-US"/>
        </w:rPr>
        <w:t>é</w:t>
      </w:r>
      <w:r w:rsidRPr="000F6A66">
        <w:rPr>
          <w:rFonts w:eastAsia="Times New Roman"/>
          <w:szCs w:val="22"/>
          <w:lang w:val="fr-FR" w:eastAsia="en-US"/>
        </w:rPr>
        <w:t xml:space="preserve"> et l’efficacit</w:t>
      </w:r>
      <w:r w:rsidR="000F6A66">
        <w:rPr>
          <w:rFonts w:eastAsia="Times New Roman"/>
          <w:szCs w:val="22"/>
          <w:lang w:val="fr-FR" w:eastAsia="en-US"/>
        </w:rPr>
        <w:t>é</w:t>
      </w:r>
      <w:r w:rsidRPr="000F6A66">
        <w:rPr>
          <w:rFonts w:eastAsia="Times New Roman"/>
          <w:szCs w:val="22"/>
          <w:lang w:val="fr-FR" w:eastAsia="en-US"/>
        </w:rPr>
        <w:t xml:space="preserve"> du projet pour mieux faire connaître le croisement entre propriété intellectuelle et tourisme dans le milieu universitaire.</w:t>
      </w:r>
    </w:p>
    <w:p w14:paraId="44CD0856" w14:textId="77777777" w:rsidR="00C31DE2" w:rsidRPr="000F6A66" w:rsidRDefault="00C31DE2" w:rsidP="00C31DE2">
      <w:pPr>
        <w:rPr>
          <w:rFonts w:eastAsia="Times New Roman"/>
          <w:szCs w:val="22"/>
          <w:lang w:val="fr-FR" w:eastAsia="en-US"/>
        </w:rPr>
      </w:pPr>
    </w:p>
    <w:p w14:paraId="08C5A8D5" w14:textId="77777777" w:rsidR="00C31DE2" w:rsidRPr="000F6A66" w:rsidRDefault="00C31DE2" w:rsidP="00C31DE2">
      <w:pPr>
        <w:spacing w:after="220"/>
        <w:rPr>
          <w:rFonts w:eastAsia="Times New Roman"/>
          <w:i/>
          <w:iCs/>
          <w:szCs w:val="22"/>
          <w:u w:val="single"/>
          <w:lang w:val="fr-FR" w:eastAsia="en-US"/>
        </w:rPr>
      </w:pPr>
      <w:r w:rsidRPr="000F6A66">
        <w:rPr>
          <w:rFonts w:eastAsia="Times New Roman"/>
          <w:szCs w:val="22"/>
          <w:u w:val="single"/>
          <w:lang w:val="fr-FR" w:eastAsia="en-US"/>
        </w:rPr>
        <w:t>Viabilité</w:t>
      </w:r>
    </w:p>
    <w:p w14:paraId="21EAA1D6" w14:textId="291495D7" w:rsidR="00C31DE2" w:rsidRPr="000F6A66" w:rsidRDefault="00C31DE2" w:rsidP="00C31DE2">
      <w:pPr>
        <w:pStyle w:val="NormalWeb"/>
        <w:rPr>
          <w:rFonts w:ascii="Arial" w:eastAsia="Times New Roman" w:hAnsi="Arial" w:cs="Arial"/>
          <w:lang w:val="fr-FR" w:eastAsia="en-US"/>
        </w:rPr>
      </w:pPr>
      <w:r w:rsidRPr="000F6A66">
        <w:rPr>
          <w:rFonts w:ascii="Arial" w:hAnsi="Arial" w:cs="Arial"/>
          <w:sz w:val="22"/>
          <w:szCs w:val="22"/>
          <w:lang w:val="fr-FR"/>
        </w:rPr>
        <w:t>Le degré de viabilité des travaux effectu</w:t>
      </w:r>
      <w:r w:rsidR="000F6A66">
        <w:rPr>
          <w:rFonts w:ascii="Arial" w:hAnsi="Arial" w:cs="Arial"/>
          <w:sz w:val="22"/>
          <w:szCs w:val="22"/>
          <w:lang w:val="fr-FR"/>
        </w:rPr>
        <w:t>é</w:t>
      </w:r>
      <w:r w:rsidRPr="000F6A66">
        <w:rPr>
          <w:rFonts w:ascii="Arial" w:hAnsi="Arial" w:cs="Arial"/>
          <w:sz w:val="22"/>
          <w:szCs w:val="22"/>
          <w:lang w:val="fr-FR"/>
        </w:rPr>
        <w:t>s en mati</w:t>
      </w:r>
      <w:r w:rsidR="000F6A66">
        <w:rPr>
          <w:rFonts w:ascii="Arial" w:hAnsi="Arial" w:cs="Arial"/>
          <w:sz w:val="22"/>
          <w:szCs w:val="22"/>
          <w:lang w:val="fr-FR"/>
        </w:rPr>
        <w:t>è</w:t>
      </w:r>
      <w:r w:rsidRPr="000F6A66">
        <w:rPr>
          <w:rFonts w:ascii="Arial" w:hAnsi="Arial" w:cs="Arial"/>
          <w:sz w:val="22"/>
          <w:szCs w:val="22"/>
          <w:lang w:val="fr-FR"/>
        </w:rPr>
        <w:t>re d’utilisation du système de la propriété intellectuelle comme instrument efficace pour promouvoir le tourisme.</w:t>
      </w:r>
    </w:p>
    <w:p w14:paraId="414F59E5" w14:textId="77777777" w:rsidR="00C31DE2" w:rsidRPr="000F6A66" w:rsidRDefault="00C31DE2" w:rsidP="00C31DE2">
      <w:pPr>
        <w:rPr>
          <w:rFonts w:eastAsia="Times New Roman"/>
          <w:szCs w:val="22"/>
          <w:lang w:val="fr-FR" w:eastAsia="en-US"/>
        </w:rPr>
      </w:pPr>
    </w:p>
    <w:p w14:paraId="01EDC4DC" w14:textId="77777777" w:rsidR="00B81EFC" w:rsidRDefault="00B81EFC" w:rsidP="00B81EFC">
      <w:pPr>
        <w:rPr>
          <w:u w:val="single"/>
          <w:lang w:val="fr-FR" w:eastAsia="en-US"/>
        </w:rPr>
      </w:pPr>
    </w:p>
    <w:p w14:paraId="1C388727" w14:textId="65AEE756" w:rsidR="00C31DE2" w:rsidRPr="00B81EFC" w:rsidRDefault="00C31DE2" w:rsidP="00B81EFC">
      <w:pPr>
        <w:rPr>
          <w:u w:val="single"/>
          <w:lang w:val="fr-FR" w:eastAsia="en-US"/>
        </w:rPr>
      </w:pPr>
      <w:r w:rsidRPr="00B81EFC">
        <w:rPr>
          <w:u w:val="single"/>
          <w:lang w:val="fr-FR" w:eastAsia="en-US"/>
        </w:rPr>
        <w:t>Mise en œuvre des recommandations du Plan d’action pour le développement</w:t>
      </w:r>
    </w:p>
    <w:p w14:paraId="3FA5984B" w14:textId="77777777" w:rsidR="00C31DE2" w:rsidRPr="000F6A66" w:rsidRDefault="00C31DE2" w:rsidP="00C31DE2">
      <w:pPr>
        <w:jc w:val="both"/>
        <w:rPr>
          <w:rFonts w:eastAsia="Times New Roman"/>
          <w:szCs w:val="22"/>
          <w:lang w:val="fr-FR" w:eastAsia="en-US"/>
        </w:rPr>
      </w:pPr>
    </w:p>
    <w:p w14:paraId="4ED046C4" w14:textId="77777777" w:rsidR="00C31DE2" w:rsidRPr="000F6A66" w:rsidRDefault="00C31DE2" w:rsidP="00C31DE2">
      <w:pPr>
        <w:jc w:val="both"/>
        <w:rPr>
          <w:rFonts w:eastAsia="Times New Roman"/>
          <w:szCs w:val="22"/>
          <w:lang w:val="fr-FR" w:eastAsia="en-US"/>
        </w:rPr>
      </w:pPr>
      <w:r w:rsidRPr="000F6A66">
        <w:rPr>
          <w:rFonts w:eastAsia="Times New Roman"/>
          <w:szCs w:val="22"/>
          <w:lang w:val="fr-FR" w:eastAsia="en-US"/>
        </w:rPr>
        <w:t>La mesure dans laquelle les recommandations n</w:t>
      </w:r>
      <w:r w:rsidRPr="000F6A66">
        <w:rPr>
          <w:rFonts w:eastAsia="Times New Roman"/>
          <w:szCs w:val="22"/>
          <w:vertAlign w:val="superscript"/>
          <w:lang w:val="fr-FR" w:eastAsia="en-US"/>
        </w:rPr>
        <w:t>os</w:t>
      </w:r>
      <w:r w:rsidRPr="000F6A66">
        <w:rPr>
          <w:rFonts w:eastAsia="Times New Roman"/>
          <w:szCs w:val="22"/>
          <w:lang w:val="fr-FR" w:eastAsia="en-US"/>
        </w:rPr>
        <w:t xml:space="preserve"> 1, 10, 12 et 40 du Plan d’action pour le développement ont été mises en œuvre grâce à ce projet.</w:t>
      </w:r>
    </w:p>
    <w:p w14:paraId="2737BF05" w14:textId="77777777" w:rsidR="00C31DE2" w:rsidRPr="000F6A66" w:rsidRDefault="00C31DE2" w:rsidP="00C31DE2">
      <w:pPr>
        <w:jc w:val="both"/>
        <w:rPr>
          <w:rFonts w:eastAsia="Times New Roman"/>
          <w:szCs w:val="22"/>
          <w:lang w:val="fr-FR" w:eastAsia="en-US"/>
        </w:rPr>
      </w:pPr>
    </w:p>
    <w:p w14:paraId="20A7F949" w14:textId="77777777" w:rsidR="00C31DE2" w:rsidRPr="000F6A66" w:rsidRDefault="00C31DE2" w:rsidP="00C31DE2">
      <w:pPr>
        <w:rPr>
          <w:rFonts w:eastAsia="Times New Roman"/>
          <w:szCs w:val="22"/>
          <w:lang w:val="fr-FR" w:eastAsia="en-US"/>
        </w:rPr>
      </w:pPr>
    </w:p>
    <w:p w14:paraId="67133085" w14:textId="5BCD2B5C" w:rsidR="00C31DE2" w:rsidRPr="000F6A66" w:rsidRDefault="00C31DE2" w:rsidP="00C31DE2">
      <w:pPr>
        <w:pStyle w:val="NormalWeb"/>
        <w:rPr>
          <w:rFonts w:ascii="Arial" w:eastAsia="Times New Roman" w:hAnsi="Arial" w:cs="Arial"/>
          <w:sz w:val="22"/>
          <w:szCs w:val="22"/>
          <w:lang w:val="fr-FR" w:eastAsia="en-US"/>
        </w:rPr>
      </w:pPr>
      <w:r w:rsidRPr="000F6A66">
        <w:rPr>
          <w:rFonts w:ascii="Arial" w:eastAsia="Times New Roman" w:hAnsi="Arial" w:cs="Arial"/>
          <w:sz w:val="22"/>
          <w:szCs w:val="22"/>
          <w:lang w:val="fr-FR" w:eastAsia="en-US"/>
        </w:rPr>
        <w:t>La durée prise en considération pour l’évaluation de ce projet est de 40 mois (1</w:t>
      </w:r>
      <w:r w:rsidRPr="000F6A66">
        <w:rPr>
          <w:rFonts w:ascii="Arial" w:eastAsia="Times New Roman" w:hAnsi="Arial" w:cs="Arial"/>
          <w:sz w:val="22"/>
          <w:szCs w:val="22"/>
          <w:vertAlign w:val="superscript"/>
          <w:lang w:val="fr-FR" w:eastAsia="en-US"/>
        </w:rPr>
        <w:t>er</w:t>
      </w:r>
      <w:r w:rsidRPr="000F6A66">
        <w:rPr>
          <w:rFonts w:ascii="Arial" w:eastAsia="Times New Roman" w:hAnsi="Arial" w:cs="Arial"/>
          <w:sz w:val="22"/>
          <w:szCs w:val="22"/>
          <w:lang w:val="fr-FR" w:eastAsia="en-US"/>
        </w:rPr>
        <w:t> janvier 2016 – 30 avril 2019).</w:t>
      </w:r>
      <w:r w:rsidRPr="000F6A66">
        <w:rPr>
          <w:rFonts w:ascii="Arial" w:hAnsi="Arial"/>
          <w:sz w:val="22"/>
          <w:lang w:val="fr-FR"/>
        </w:rPr>
        <w:t xml:space="preserve">  </w:t>
      </w:r>
      <w:r w:rsidRPr="000F6A66">
        <w:rPr>
          <w:rFonts w:ascii="Arial" w:eastAsia="Times New Roman" w:hAnsi="Arial" w:cs="Arial"/>
          <w:sz w:val="22"/>
          <w:szCs w:val="22"/>
          <w:lang w:val="fr-FR" w:eastAsia="en-US"/>
        </w:rPr>
        <w:t>Il ne s’agissait pas d’</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valuer les activit</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s l’une après l’autre, mais plutôt d’</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valuer le projet dans son ensemble ainsi que la contribution du projet à l’</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 xml:space="preserve">valuation des besoins des </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tats membres, et de recenser les ressources ou les moyens permettant de r</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 xml:space="preserve">pondre à ces besoins, et de mesurer son </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volution dans le temps, son ex</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cution, y compris en termes de conception, de gestion, de coordination, de coh</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rence, de mise en œuvre et de r</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sultats obtenus.</w:t>
      </w:r>
    </w:p>
    <w:p w14:paraId="663957B3" w14:textId="77777777" w:rsidR="00C31DE2" w:rsidRPr="000F6A66" w:rsidRDefault="00C31DE2" w:rsidP="00C31DE2">
      <w:pPr>
        <w:rPr>
          <w:rFonts w:eastAsia="Times New Roman"/>
          <w:szCs w:val="22"/>
          <w:lang w:val="fr-FR" w:eastAsia="en-US"/>
        </w:rPr>
      </w:pPr>
    </w:p>
    <w:p w14:paraId="40E651C2" w14:textId="482C4C00" w:rsidR="00C31DE2" w:rsidRPr="000F6A66" w:rsidRDefault="00C31DE2" w:rsidP="00C31DE2">
      <w:pPr>
        <w:spacing w:before="100" w:beforeAutospacing="1" w:after="100" w:afterAutospacing="1"/>
        <w:rPr>
          <w:rFonts w:eastAsia="Times New Roman"/>
          <w:szCs w:val="22"/>
          <w:lang w:val="fr-FR" w:eastAsia="en-US"/>
        </w:rPr>
      </w:pPr>
      <w:r w:rsidRPr="000F6A66">
        <w:rPr>
          <w:rFonts w:eastAsia="Times New Roman"/>
          <w:szCs w:val="22"/>
          <w:lang w:val="fr-FR" w:eastAsia="en-US"/>
        </w:rPr>
        <w:t>La m</w:t>
      </w:r>
      <w:r w:rsidR="000F6A66">
        <w:rPr>
          <w:rFonts w:eastAsia="Times New Roman"/>
          <w:szCs w:val="22"/>
          <w:lang w:val="fr-FR" w:eastAsia="en-US"/>
        </w:rPr>
        <w:t>é</w:t>
      </w:r>
      <w:r w:rsidRPr="000F6A66">
        <w:rPr>
          <w:rFonts w:eastAsia="Times New Roman"/>
          <w:szCs w:val="22"/>
          <w:lang w:val="fr-FR" w:eastAsia="en-US"/>
        </w:rPr>
        <w:t>thode d’</w:t>
      </w:r>
      <w:r w:rsidR="000F6A66">
        <w:rPr>
          <w:rFonts w:eastAsia="Times New Roman"/>
          <w:szCs w:val="22"/>
          <w:lang w:val="fr-FR" w:eastAsia="en-US"/>
        </w:rPr>
        <w:t>é</w:t>
      </w:r>
      <w:r w:rsidRPr="000F6A66">
        <w:rPr>
          <w:rFonts w:eastAsia="Times New Roman"/>
          <w:szCs w:val="22"/>
          <w:lang w:val="fr-FR" w:eastAsia="en-US"/>
        </w:rPr>
        <w:t xml:space="preserve">valuation adoptée vise à </w:t>
      </w:r>
      <w:r w:rsidR="000F6A66">
        <w:rPr>
          <w:rFonts w:eastAsia="Times New Roman"/>
          <w:szCs w:val="22"/>
          <w:lang w:val="fr-FR" w:eastAsia="en-US"/>
        </w:rPr>
        <w:t>é</w:t>
      </w:r>
      <w:r w:rsidRPr="000F6A66">
        <w:rPr>
          <w:rFonts w:eastAsia="Times New Roman"/>
          <w:szCs w:val="22"/>
          <w:lang w:val="fr-FR" w:eastAsia="en-US"/>
        </w:rPr>
        <w:t>quilibrer les besoins en mati</w:t>
      </w:r>
      <w:r w:rsidR="000F6A66">
        <w:rPr>
          <w:rFonts w:eastAsia="Times New Roman"/>
          <w:szCs w:val="22"/>
          <w:lang w:val="fr-FR" w:eastAsia="en-US"/>
        </w:rPr>
        <w:t>è</w:t>
      </w:r>
      <w:r w:rsidRPr="000F6A66">
        <w:rPr>
          <w:rFonts w:eastAsia="Times New Roman"/>
          <w:szCs w:val="22"/>
          <w:lang w:val="fr-FR" w:eastAsia="en-US"/>
        </w:rPr>
        <w:t>re d’apprentissage et de responsabilit</w:t>
      </w:r>
      <w:r w:rsidR="000F6A66">
        <w:rPr>
          <w:rFonts w:eastAsia="Times New Roman"/>
          <w:szCs w:val="22"/>
          <w:lang w:val="fr-FR" w:eastAsia="en-US"/>
        </w:rPr>
        <w:t>é</w:t>
      </w:r>
      <w:r w:rsidRPr="000F6A66">
        <w:rPr>
          <w:rFonts w:eastAsia="Times New Roman"/>
          <w:szCs w:val="22"/>
          <w:lang w:val="fr-FR" w:eastAsia="en-US"/>
        </w:rPr>
        <w:t>.  À cette fin, tous ceux pour qui le projet repr</w:t>
      </w:r>
      <w:r w:rsidR="000F6A66">
        <w:rPr>
          <w:rFonts w:eastAsia="Times New Roman"/>
          <w:szCs w:val="22"/>
          <w:lang w:val="fr-FR" w:eastAsia="en-US"/>
        </w:rPr>
        <w:t>é</w:t>
      </w:r>
      <w:r w:rsidRPr="000F6A66">
        <w:rPr>
          <w:rFonts w:eastAsia="Times New Roman"/>
          <w:szCs w:val="22"/>
          <w:lang w:val="fr-FR" w:eastAsia="en-US"/>
        </w:rPr>
        <w:t>sente un enjeu, à savoir l’</w:t>
      </w:r>
      <w:r w:rsidR="000F6A66">
        <w:rPr>
          <w:rFonts w:eastAsia="Times New Roman"/>
          <w:szCs w:val="22"/>
          <w:lang w:val="fr-FR" w:eastAsia="en-US"/>
        </w:rPr>
        <w:t>é</w:t>
      </w:r>
      <w:r w:rsidRPr="000F6A66">
        <w:rPr>
          <w:rFonts w:eastAsia="Times New Roman"/>
          <w:szCs w:val="22"/>
          <w:lang w:val="fr-FR" w:eastAsia="en-US"/>
        </w:rPr>
        <w:t>quipe charg</w:t>
      </w:r>
      <w:r w:rsidR="000F6A66">
        <w:rPr>
          <w:rFonts w:eastAsia="Times New Roman"/>
          <w:szCs w:val="22"/>
          <w:lang w:val="fr-FR" w:eastAsia="en-US"/>
        </w:rPr>
        <w:t>é</w:t>
      </w:r>
      <w:r w:rsidRPr="000F6A66">
        <w:rPr>
          <w:rFonts w:eastAsia="Times New Roman"/>
          <w:szCs w:val="22"/>
          <w:lang w:val="fr-FR" w:eastAsia="en-US"/>
        </w:rPr>
        <w:t>e du projet, les cadres sup</w:t>
      </w:r>
      <w:r w:rsidR="000F6A66">
        <w:rPr>
          <w:rFonts w:eastAsia="Times New Roman"/>
          <w:szCs w:val="22"/>
          <w:lang w:val="fr-FR" w:eastAsia="en-US"/>
        </w:rPr>
        <w:t>é</w:t>
      </w:r>
      <w:r w:rsidRPr="000F6A66">
        <w:rPr>
          <w:rFonts w:eastAsia="Times New Roman"/>
          <w:szCs w:val="22"/>
          <w:lang w:val="fr-FR" w:eastAsia="en-US"/>
        </w:rPr>
        <w:t xml:space="preserve">rieurs, les </w:t>
      </w:r>
      <w:r w:rsidR="000F6A66">
        <w:rPr>
          <w:rFonts w:eastAsia="Times New Roman"/>
          <w:szCs w:val="22"/>
          <w:lang w:val="fr-FR" w:eastAsia="en-US"/>
        </w:rPr>
        <w:t>É</w:t>
      </w:r>
      <w:r w:rsidRPr="000F6A66">
        <w:rPr>
          <w:rFonts w:eastAsia="Times New Roman"/>
          <w:szCs w:val="22"/>
          <w:lang w:val="fr-FR" w:eastAsia="en-US"/>
        </w:rPr>
        <w:t>tats membres et les offices nationaux de propri</w:t>
      </w:r>
      <w:r w:rsidR="000F6A66">
        <w:rPr>
          <w:rFonts w:eastAsia="Times New Roman"/>
          <w:szCs w:val="22"/>
          <w:lang w:val="fr-FR" w:eastAsia="en-US"/>
        </w:rPr>
        <w:t>é</w:t>
      </w:r>
      <w:r w:rsidRPr="000F6A66">
        <w:rPr>
          <w:rFonts w:eastAsia="Times New Roman"/>
          <w:szCs w:val="22"/>
          <w:lang w:val="fr-FR" w:eastAsia="en-US"/>
        </w:rPr>
        <w:t>t</w:t>
      </w:r>
      <w:r w:rsidR="000F6A66">
        <w:rPr>
          <w:rFonts w:eastAsia="Times New Roman"/>
          <w:szCs w:val="22"/>
          <w:lang w:val="fr-FR" w:eastAsia="en-US"/>
        </w:rPr>
        <w:t>é</w:t>
      </w:r>
      <w:r w:rsidRPr="000F6A66">
        <w:rPr>
          <w:rFonts w:eastAsia="Times New Roman"/>
          <w:szCs w:val="22"/>
          <w:lang w:val="fr-FR" w:eastAsia="en-US"/>
        </w:rPr>
        <w:t xml:space="preserve"> intellectuelle, doivent pouvoir participer activement à l’</w:t>
      </w:r>
      <w:r w:rsidR="000F6A66">
        <w:rPr>
          <w:rFonts w:eastAsia="Times New Roman"/>
          <w:szCs w:val="22"/>
          <w:lang w:val="fr-FR" w:eastAsia="en-US"/>
        </w:rPr>
        <w:t>é</w:t>
      </w:r>
      <w:r w:rsidRPr="000F6A66">
        <w:rPr>
          <w:rFonts w:eastAsia="Times New Roman"/>
          <w:szCs w:val="22"/>
          <w:lang w:val="fr-FR" w:eastAsia="en-US"/>
        </w:rPr>
        <w:t>valuation.</w:t>
      </w:r>
    </w:p>
    <w:p w14:paraId="5EDB503F" w14:textId="77777777" w:rsidR="00C31DE2" w:rsidRPr="000F6A66" w:rsidRDefault="00C31DE2" w:rsidP="00C31DE2">
      <w:pPr>
        <w:rPr>
          <w:rFonts w:eastAsia="Times New Roman"/>
          <w:szCs w:val="22"/>
          <w:lang w:val="fr-FR" w:eastAsia="en-US"/>
        </w:rPr>
      </w:pPr>
    </w:p>
    <w:p w14:paraId="1EA279C0" w14:textId="77777777" w:rsidR="00C31DE2" w:rsidRPr="000F6A66" w:rsidRDefault="00C31DE2" w:rsidP="00C31DE2">
      <w:pPr>
        <w:spacing w:after="220"/>
        <w:rPr>
          <w:rFonts w:eastAsia="Times New Roman"/>
          <w:szCs w:val="22"/>
          <w:lang w:val="fr-FR" w:eastAsia="en-US"/>
        </w:rPr>
      </w:pPr>
      <w:r w:rsidRPr="000F6A66">
        <w:rPr>
          <w:rFonts w:eastAsia="Times New Roman"/>
          <w:szCs w:val="22"/>
          <w:lang w:val="fr-FR" w:eastAsia="en-US"/>
        </w:rPr>
        <w:t>L’évaluateur sera chargé de la réalisation de l’évaluation, en consultation et en collaboration avec l’équipe chargée du projet et la Division de la coordination du Plan d’action pour le développement.  La méthode d’évaluation consistera en :</w:t>
      </w:r>
    </w:p>
    <w:p w14:paraId="5A256DB3" w14:textId="77777777" w:rsidR="00C31DE2" w:rsidRPr="000F6A66" w:rsidRDefault="00C31DE2" w:rsidP="000F6A66">
      <w:pPr>
        <w:numPr>
          <w:ilvl w:val="0"/>
          <w:numId w:val="14"/>
        </w:numPr>
        <w:spacing w:after="220"/>
        <w:ind w:left="1134" w:hanging="567"/>
        <w:rPr>
          <w:rFonts w:eastAsia="Times New Roman"/>
          <w:szCs w:val="22"/>
          <w:lang w:val="fr-FR" w:eastAsia="en-US"/>
        </w:rPr>
      </w:pPr>
      <w:r w:rsidRPr="000F6A66">
        <w:rPr>
          <w:rFonts w:eastAsia="Times New Roman"/>
          <w:szCs w:val="22"/>
          <w:lang w:val="fr-FR" w:eastAsia="en-US"/>
        </w:rPr>
        <w:t>une analyse préliminaire de la documentation afférente au projet, à savoir le cadre du projet (descriptif et étude de projet initial), les rapports sur son état d’avancement, les informations de suivi, les rapports de mission et autres documents pertinents</w:t>
      </w:r>
    </w:p>
    <w:p w14:paraId="68EE59A5" w14:textId="77777777" w:rsidR="00C31DE2" w:rsidRPr="000F6A66" w:rsidRDefault="00C31DE2" w:rsidP="000F6A66">
      <w:pPr>
        <w:numPr>
          <w:ilvl w:val="0"/>
          <w:numId w:val="14"/>
        </w:numPr>
        <w:spacing w:after="220"/>
        <w:ind w:left="1134" w:hanging="567"/>
        <w:rPr>
          <w:rFonts w:eastAsia="Times New Roman"/>
          <w:szCs w:val="22"/>
          <w:lang w:val="fr-FR" w:eastAsia="en-US"/>
        </w:rPr>
      </w:pPr>
      <w:r w:rsidRPr="000F6A66">
        <w:rPr>
          <w:rFonts w:eastAsia="Times New Roman"/>
          <w:szCs w:val="22"/>
          <w:lang w:val="fr-FR" w:eastAsia="en-US"/>
        </w:rPr>
        <w:t>des entretiens au Secrétariat de l’OMPI (équipe chargée du projet, autres entités qui contribuent au projet sur le fonds, etc.);  et</w:t>
      </w:r>
    </w:p>
    <w:p w14:paraId="1AF2052E" w14:textId="77777777" w:rsidR="00C31DE2" w:rsidRPr="000F6A66" w:rsidRDefault="00C31DE2" w:rsidP="000F6A66">
      <w:pPr>
        <w:numPr>
          <w:ilvl w:val="0"/>
          <w:numId w:val="14"/>
        </w:numPr>
        <w:spacing w:after="220"/>
        <w:ind w:left="1134" w:hanging="567"/>
        <w:rPr>
          <w:rFonts w:eastAsia="Times New Roman"/>
          <w:szCs w:val="22"/>
          <w:lang w:val="fr-FR" w:eastAsia="en-US"/>
        </w:rPr>
      </w:pPr>
      <w:r w:rsidRPr="000F6A66">
        <w:rPr>
          <w:rFonts w:eastAsia="Times New Roman"/>
          <w:szCs w:val="22"/>
          <w:lang w:val="fr-FR" w:eastAsia="en-US"/>
        </w:rPr>
        <w:t>des entretiens à l’échelle nationale avec les parties prenantes.</w:t>
      </w:r>
    </w:p>
    <w:p w14:paraId="6E16BE77" w14:textId="77777777" w:rsidR="00C31DE2" w:rsidRPr="000F6A66" w:rsidRDefault="00C31DE2" w:rsidP="00C31DE2">
      <w:pPr>
        <w:keepNext/>
        <w:numPr>
          <w:ilvl w:val="0"/>
          <w:numId w:val="43"/>
        </w:numPr>
        <w:spacing w:before="240" w:after="60"/>
        <w:ind w:left="567" w:hanging="567"/>
        <w:outlineLvl w:val="4"/>
        <w:rPr>
          <w:rFonts w:eastAsia="Times New Roman"/>
          <w:b/>
          <w:bCs/>
          <w:iCs/>
          <w:szCs w:val="22"/>
          <w:lang w:val="fr-FR" w:eastAsia="en-US"/>
        </w:rPr>
      </w:pPr>
      <w:r w:rsidRPr="000F6A66">
        <w:rPr>
          <w:rFonts w:eastAsia="Times New Roman"/>
          <w:b/>
          <w:bCs/>
          <w:iCs/>
          <w:szCs w:val="22"/>
          <w:lang w:val="fr-FR" w:eastAsia="en-US"/>
        </w:rPr>
        <w:lastRenderedPageBreak/>
        <w:t>Tâches à exécuter/services à fournir</w:t>
      </w:r>
    </w:p>
    <w:p w14:paraId="7995C45A" w14:textId="77777777" w:rsidR="00C31DE2" w:rsidRPr="000F6A66" w:rsidRDefault="00C31DE2" w:rsidP="00C31DE2">
      <w:pPr>
        <w:keepNext/>
        <w:rPr>
          <w:rFonts w:eastAsia="Times New Roman"/>
          <w:szCs w:val="22"/>
          <w:lang w:val="fr-FR" w:eastAsia="en-US"/>
        </w:rPr>
      </w:pPr>
    </w:p>
    <w:p w14:paraId="019AAAE8" w14:textId="77777777" w:rsidR="00C31DE2" w:rsidRPr="000F6A66" w:rsidRDefault="00C31DE2" w:rsidP="00C31DE2">
      <w:pPr>
        <w:rPr>
          <w:rFonts w:eastAsia="Times New Roman"/>
          <w:szCs w:val="22"/>
          <w:lang w:val="fr-FR" w:eastAsia="en-US"/>
        </w:rPr>
      </w:pPr>
      <w:r w:rsidRPr="000F6A66">
        <w:rPr>
          <w:rFonts w:eastAsia="Times New Roman"/>
          <w:szCs w:val="22"/>
          <w:lang w:val="fr-FR" w:eastAsia="en-US"/>
        </w:rPr>
        <w:t>L’évaluateur devra remettre le rapport d’évaluation tel que décrit ci-dessus conformément aux autres informations figurant dans le présent document.</w:t>
      </w:r>
    </w:p>
    <w:p w14:paraId="259B43A6" w14:textId="77777777" w:rsidR="00C31DE2" w:rsidRPr="000F6A66" w:rsidRDefault="00C31DE2" w:rsidP="00C31DE2">
      <w:pPr>
        <w:rPr>
          <w:rFonts w:eastAsia="Times New Roman"/>
          <w:szCs w:val="22"/>
          <w:lang w:val="fr-FR" w:eastAsia="en-US"/>
        </w:rPr>
      </w:pPr>
    </w:p>
    <w:p w14:paraId="507F0814" w14:textId="77777777" w:rsidR="00C31DE2" w:rsidRPr="000F6A66" w:rsidRDefault="00C31DE2" w:rsidP="00C31DE2">
      <w:pPr>
        <w:rPr>
          <w:rFonts w:eastAsia="Times New Roman"/>
          <w:szCs w:val="22"/>
          <w:lang w:val="fr-FR" w:eastAsia="en-US"/>
        </w:rPr>
      </w:pPr>
    </w:p>
    <w:p w14:paraId="3465C544" w14:textId="77777777" w:rsidR="00C31DE2" w:rsidRPr="000F6A66" w:rsidRDefault="00C31DE2" w:rsidP="00C31DE2">
      <w:pPr>
        <w:rPr>
          <w:rFonts w:eastAsia="Times New Roman"/>
          <w:szCs w:val="22"/>
          <w:lang w:val="fr-FR" w:eastAsia="en-US"/>
        </w:rPr>
      </w:pPr>
      <w:r w:rsidRPr="000F6A66">
        <w:rPr>
          <w:rFonts w:eastAsia="Times New Roman"/>
          <w:szCs w:val="22"/>
          <w:lang w:val="fr-FR" w:eastAsia="en-US"/>
        </w:rPr>
        <w:t>L’évaluateur fournira :</w:t>
      </w:r>
    </w:p>
    <w:p w14:paraId="3F4D8357" w14:textId="77777777" w:rsidR="00C31DE2" w:rsidRPr="000F6A66" w:rsidRDefault="00C31DE2" w:rsidP="00C31DE2">
      <w:pPr>
        <w:rPr>
          <w:rFonts w:eastAsia="Times New Roman"/>
          <w:szCs w:val="22"/>
          <w:lang w:val="fr-FR" w:eastAsia="en-US"/>
        </w:rPr>
      </w:pPr>
    </w:p>
    <w:p w14:paraId="1BB47EF1" w14:textId="6BAC36DC" w:rsidR="00C31DE2" w:rsidRPr="000F6A66" w:rsidRDefault="00C31DE2" w:rsidP="000F6A66">
      <w:pPr>
        <w:pStyle w:val="ListParagraph"/>
        <w:numPr>
          <w:ilvl w:val="0"/>
          <w:numId w:val="13"/>
        </w:numPr>
        <w:spacing w:before="100" w:beforeAutospacing="1" w:after="100" w:afterAutospacing="1"/>
        <w:ind w:left="1134" w:hanging="567"/>
        <w:rPr>
          <w:rFonts w:eastAsia="Times New Roman"/>
          <w:sz w:val="24"/>
          <w:szCs w:val="24"/>
          <w:lang w:val="fr-FR" w:eastAsia="en-US"/>
        </w:rPr>
      </w:pPr>
      <w:r w:rsidRPr="000F6A66">
        <w:rPr>
          <w:rFonts w:eastAsia="Times New Roman"/>
          <w:szCs w:val="22"/>
          <w:lang w:val="fr-FR" w:eastAsia="en-US"/>
        </w:rPr>
        <w:t>un rapport initial comprenant une description de la m</w:t>
      </w:r>
      <w:r w:rsidR="000F6A66">
        <w:rPr>
          <w:rFonts w:eastAsia="Times New Roman"/>
          <w:szCs w:val="22"/>
          <w:lang w:val="fr-FR" w:eastAsia="en-US"/>
        </w:rPr>
        <w:t>é</w:t>
      </w:r>
      <w:r w:rsidRPr="000F6A66">
        <w:rPr>
          <w:rFonts w:eastAsia="Times New Roman"/>
          <w:szCs w:val="22"/>
          <w:lang w:val="fr-FR" w:eastAsia="en-US"/>
        </w:rPr>
        <w:t>thodologie d’</w:t>
      </w:r>
      <w:r w:rsidR="000F6A66">
        <w:rPr>
          <w:rFonts w:eastAsia="Times New Roman"/>
          <w:szCs w:val="22"/>
          <w:lang w:val="fr-FR" w:eastAsia="en-US"/>
        </w:rPr>
        <w:t>é</w:t>
      </w:r>
      <w:r w:rsidRPr="000F6A66">
        <w:rPr>
          <w:rFonts w:eastAsia="Times New Roman"/>
          <w:szCs w:val="22"/>
          <w:lang w:val="fr-FR" w:eastAsia="en-US"/>
        </w:rPr>
        <w:t>valuation et de l’approche m</w:t>
      </w:r>
      <w:r w:rsidR="000F6A66">
        <w:rPr>
          <w:rFonts w:eastAsia="Times New Roman"/>
          <w:szCs w:val="22"/>
          <w:lang w:val="fr-FR" w:eastAsia="en-US"/>
        </w:rPr>
        <w:t>é</w:t>
      </w:r>
      <w:r w:rsidRPr="000F6A66">
        <w:rPr>
          <w:rFonts w:eastAsia="Times New Roman"/>
          <w:szCs w:val="22"/>
          <w:lang w:val="fr-FR" w:eastAsia="en-US"/>
        </w:rPr>
        <w:t>thodologique;  les outils de collecte de donn</w:t>
      </w:r>
      <w:r w:rsidR="000F6A66">
        <w:rPr>
          <w:rFonts w:eastAsia="Times New Roman"/>
          <w:szCs w:val="22"/>
          <w:lang w:val="fr-FR" w:eastAsia="en-US"/>
        </w:rPr>
        <w:t>é</w:t>
      </w:r>
      <w:r w:rsidRPr="000F6A66">
        <w:rPr>
          <w:rFonts w:eastAsia="Times New Roman"/>
          <w:szCs w:val="22"/>
          <w:lang w:val="fr-FR" w:eastAsia="en-US"/>
        </w:rPr>
        <w:t>es (y compris les enqu</w:t>
      </w:r>
      <w:r w:rsidR="000F6A66">
        <w:rPr>
          <w:rFonts w:eastAsia="Times New Roman"/>
          <w:szCs w:val="22"/>
          <w:lang w:val="fr-FR" w:eastAsia="en-US"/>
        </w:rPr>
        <w:t>ê</w:t>
      </w:r>
      <w:r w:rsidRPr="000F6A66">
        <w:rPr>
          <w:rFonts w:eastAsia="Times New Roman"/>
          <w:szCs w:val="22"/>
          <w:lang w:val="fr-FR" w:eastAsia="en-US"/>
        </w:rPr>
        <w:t xml:space="preserve">tes </w:t>
      </w:r>
      <w:r w:rsidR="000F6A66">
        <w:rPr>
          <w:rFonts w:eastAsia="Times New Roman"/>
          <w:szCs w:val="22"/>
          <w:lang w:val="fr-FR" w:eastAsia="en-US"/>
        </w:rPr>
        <w:t>é</w:t>
      </w:r>
      <w:r w:rsidRPr="000F6A66">
        <w:rPr>
          <w:rFonts w:eastAsia="Times New Roman"/>
          <w:szCs w:val="22"/>
          <w:lang w:val="fr-FR" w:eastAsia="en-US"/>
        </w:rPr>
        <w:t>ventuelles des b</w:t>
      </w:r>
      <w:r w:rsidR="000F6A66">
        <w:rPr>
          <w:rFonts w:eastAsia="Times New Roman"/>
          <w:szCs w:val="22"/>
          <w:lang w:val="fr-FR" w:eastAsia="en-US"/>
        </w:rPr>
        <w:t>é</w:t>
      </w:r>
      <w:r w:rsidRPr="000F6A66">
        <w:rPr>
          <w:rFonts w:eastAsia="Times New Roman"/>
          <w:szCs w:val="22"/>
          <w:lang w:val="fr-FR" w:eastAsia="en-US"/>
        </w:rPr>
        <w:t>n</w:t>
      </w:r>
      <w:r w:rsidR="000F6A66">
        <w:rPr>
          <w:rFonts w:eastAsia="Times New Roman"/>
          <w:szCs w:val="22"/>
          <w:lang w:val="fr-FR" w:eastAsia="en-US"/>
        </w:rPr>
        <w:t>é</w:t>
      </w:r>
      <w:r w:rsidRPr="000F6A66">
        <w:rPr>
          <w:rFonts w:eastAsia="Times New Roman"/>
          <w:szCs w:val="22"/>
          <w:lang w:val="fr-FR" w:eastAsia="en-US"/>
        </w:rPr>
        <w:t>ficiaires et des parties prenantes);  les m</w:t>
      </w:r>
      <w:r w:rsidR="000F6A66">
        <w:rPr>
          <w:rFonts w:eastAsia="Times New Roman"/>
          <w:szCs w:val="22"/>
          <w:lang w:val="fr-FR" w:eastAsia="en-US"/>
        </w:rPr>
        <w:t>é</w:t>
      </w:r>
      <w:r w:rsidRPr="000F6A66">
        <w:rPr>
          <w:rFonts w:eastAsia="Times New Roman"/>
          <w:szCs w:val="22"/>
          <w:lang w:val="fr-FR" w:eastAsia="en-US"/>
        </w:rPr>
        <w:t>thodes d’analyse des donn</w:t>
      </w:r>
      <w:r w:rsidR="000F6A66">
        <w:rPr>
          <w:rFonts w:eastAsia="Times New Roman"/>
          <w:szCs w:val="22"/>
          <w:lang w:val="fr-FR" w:eastAsia="en-US"/>
        </w:rPr>
        <w:t>é</w:t>
      </w:r>
      <w:r w:rsidRPr="000F6A66">
        <w:rPr>
          <w:rFonts w:eastAsia="Times New Roman"/>
          <w:szCs w:val="22"/>
          <w:lang w:val="fr-FR" w:eastAsia="en-US"/>
        </w:rPr>
        <w:t>es;  les principales parties prenantes à interroger;  des questions d’</w:t>
      </w:r>
      <w:r w:rsidR="000F6A66">
        <w:rPr>
          <w:rFonts w:eastAsia="Times New Roman"/>
          <w:szCs w:val="22"/>
          <w:lang w:val="fr-FR" w:eastAsia="en-US"/>
        </w:rPr>
        <w:t>é</w:t>
      </w:r>
      <w:r w:rsidRPr="000F6A66">
        <w:rPr>
          <w:rFonts w:eastAsia="Times New Roman"/>
          <w:szCs w:val="22"/>
          <w:lang w:val="fr-FR" w:eastAsia="en-US"/>
        </w:rPr>
        <w:t>valuation suppl</w:t>
      </w:r>
      <w:r w:rsidR="000F6A66">
        <w:rPr>
          <w:rFonts w:eastAsia="Times New Roman"/>
          <w:szCs w:val="22"/>
          <w:lang w:val="fr-FR" w:eastAsia="en-US"/>
        </w:rPr>
        <w:t>é</w:t>
      </w:r>
      <w:r w:rsidRPr="000F6A66">
        <w:rPr>
          <w:rFonts w:eastAsia="Times New Roman"/>
          <w:szCs w:val="22"/>
          <w:lang w:val="fr-FR" w:eastAsia="en-US"/>
        </w:rPr>
        <w:t>mentaires;  les crit</w:t>
      </w:r>
      <w:r w:rsidR="000F6A66">
        <w:rPr>
          <w:rFonts w:eastAsia="Times New Roman"/>
          <w:szCs w:val="22"/>
          <w:lang w:val="fr-FR" w:eastAsia="en-US"/>
        </w:rPr>
        <w:t>è</w:t>
      </w:r>
      <w:r w:rsidRPr="000F6A66">
        <w:rPr>
          <w:rFonts w:eastAsia="Times New Roman"/>
          <w:szCs w:val="22"/>
          <w:lang w:val="fr-FR" w:eastAsia="en-US"/>
        </w:rPr>
        <w:t>res d’</w:t>
      </w:r>
      <w:r w:rsidR="000F6A66">
        <w:rPr>
          <w:rFonts w:eastAsia="Times New Roman"/>
          <w:szCs w:val="22"/>
          <w:lang w:val="fr-FR" w:eastAsia="en-US"/>
        </w:rPr>
        <w:t>é</w:t>
      </w:r>
      <w:r w:rsidRPr="000F6A66">
        <w:rPr>
          <w:rFonts w:eastAsia="Times New Roman"/>
          <w:szCs w:val="22"/>
          <w:lang w:val="fr-FR" w:eastAsia="en-US"/>
        </w:rPr>
        <w:t>valuation de l’ex</w:t>
      </w:r>
      <w:r w:rsidR="000F6A66">
        <w:rPr>
          <w:rFonts w:eastAsia="Times New Roman"/>
          <w:szCs w:val="22"/>
          <w:lang w:val="fr-FR" w:eastAsia="en-US"/>
        </w:rPr>
        <w:t>é</w:t>
      </w:r>
      <w:r w:rsidRPr="000F6A66">
        <w:rPr>
          <w:rFonts w:eastAsia="Times New Roman"/>
          <w:szCs w:val="22"/>
          <w:lang w:val="fr-FR" w:eastAsia="en-US"/>
        </w:rPr>
        <w:t>cution du projet;  et le plan de travail d’</w:t>
      </w:r>
      <w:r w:rsidR="000F6A66">
        <w:rPr>
          <w:rFonts w:eastAsia="Times New Roman"/>
          <w:szCs w:val="22"/>
          <w:lang w:val="fr-FR" w:eastAsia="en-US"/>
        </w:rPr>
        <w:t>é</w:t>
      </w:r>
      <w:r w:rsidRPr="000F6A66">
        <w:rPr>
          <w:rFonts w:eastAsia="Times New Roman"/>
          <w:szCs w:val="22"/>
          <w:lang w:val="fr-FR" w:eastAsia="en-US"/>
        </w:rPr>
        <w:t>valuation;</w:t>
      </w:r>
    </w:p>
    <w:p w14:paraId="7676B153" w14:textId="77777777" w:rsidR="00C31DE2" w:rsidRPr="000F6A66" w:rsidRDefault="00C31DE2" w:rsidP="000F6A66">
      <w:pPr>
        <w:ind w:left="1134" w:hanging="567"/>
        <w:rPr>
          <w:rFonts w:eastAsia="Times New Roman"/>
          <w:szCs w:val="22"/>
          <w:lang w:val="fr-FR" w:eastAsia="en-US"/>
        </w:rPr>
      </w:pPr>
    </w:p>
    <w:p w14:paraId="427DABD2" w14:textId="77777777" w:rsidR="00C31DE2" w:rsidRPr="000F6A66" w:rsidRDefault="00C31DE2" w:rsidP="000F6A66">
      <w:pPr>
        <w:numPr>
          <w:ilvl w:val="0"/>
          <w:numId w:val="13"/>
        </w:numPr>
        <w:ind w:left="1134" w:hanging="567"/>
        <w:rPr>
          <w:rFonts w:eastAsia="Times New Roman"/>
          <w:szCs w:val="22"/>
          <w:lang w:val="fr-FR" w:eastAsia="en-US"/>
        </w:rPr>
      </w:pPr>
      <w:r w:rsidRPr="000F6A66">
        <w:rPr>
          <w:rFonts w:eastAsia="Times New Roman"/>
          <w:szCs w:val="22"/>
          <w:lang w:val="fr-FR" w:eastAsia="en-US"/>
        </w:rPr>
        <w:t>un projet de rapport d’évaluation comprenant des recommandations concrètes découlant des constatations et des conclusions;</w:t>
      </w:r>
    </w:p>
    <w:p w14:paraId="6A357C11" w14:textId="77777777" w:rsidR="00C31DE2" w:rsidRPr="000F6A66" w:rsidRDefault="00C31DE2" w:rsidP="000F6A66">
      <w:pPr>
        <w:pStyle w:val="ListParagraph"/>
        <w:ind w:left="1134" w:hanging="567"/>
        <w:rPr>
          <w:rFonts w:eastAsia="Times New Roman"/>
          <w:szCs w:val="22"/>
          <w:lang w:val="fr-FR" w:eastAsia="en-US"/>
        </w:rPr>
      </w:pPr>
    </w:p>
    <w:p w14:paraId="20E57DC8" w14:textId="77777777" w:rsidR="00C31DE2" w:rsidRPr="000F6A66" w:rsidRDefault="00C31DE2" w:rsidP="000F6A66">
      <w:pPr>
        <w:pStyle w:val="ListParagraph"/>
        <w:numPr>
          <w:ilvl w:val="0"/>
          <w:numId w:val="13"/>
        </w:numPr>
        <w:ind w:left="1134" w:hanging="567"/>
        <w:rPr>
          <w:rFonts w:eastAsia="Times New Roman"/>
          <w:szCs w:val="22"/>
          <w:lang w:val="fr-FR" w:eastAsia="en-US"/>
        </w:rPr>
      </w:pPr>
      <w:r w:rsidRPr="000F6A66">
        <w:rPr>
          <w:rFonts w:eastAsia="Times New Roman"/>
          <w:szCs w:val="22"/>
          <w:lang w:val="fr-FR" w:eastAsia="en-US"/>
        </w:rPr>
        <w:t>un rapport d’évaluation final;  et</w:t>
      </w:r>
    </w:p>
    <w:p w14:paraId="1F1720D3" w14:textId="77777777" w:rsidR="00C31DE2" w:rsidRPr="000F6A66" w:rsidRDefault="00C31DE2" w:rsidP="000F6A66">
      <w:pPr>
        <w:ind w:left="1134" w:hanging="567"/>
        <w:rPr>
          <w:rFonts w:eastAsia="Times New Roman"/>
          <w:szCs w:val="22"/>
          <w:lang w:val="fr-FR" w:eastAsia="en-US"/>
        </w:rPr>
      </w:pPr>
    </w:p>
    <w:p w14:paraId="6AD4C583" w14:textId="77777777" w:rsidR="00C31DE2" w:rsidRPr="000F6A66" w:rsidRDefault="00C31DE2" w:rsidP="000F6A66">
      <w:pPr>
        <w:numPr>
          <w:ilvl w:val="0"/>
          <w:numId w:val="13"/>
        </w:numPr>
        <w:ind w:left="1134" w:hanging="567"/>
        <w:rPr>
          <w:rFonts w:eastAsia="Times New Roman"/>
          <w:szCs w:val="22"/>
          <w:lang w:val="fr-FR" w:eastAsia="en-US"/>
        </w:rPr>
      </w:pPr>
      <w:r w:rsidRPr="000F6A66">
        <w:rPr>
          <w:rFonts w:eastAsia="Times New Roman"/>
          <w:szCs w:val="22"/>
          <w:lang w:val="fr-FR" w:eastAsia="en-US"/>
        </w:rPr>
        <w:t>un résumé complet du rapport d’évaluation final sera structuré comme suit :</w:t>
      </w:r>
    </w:p>
    <w:p w14:paraId="7FAA14E4" w14:textId="77777777" w:rsidR="00C31DE2" w:rsidRPr="000F6A66" w:rsidRDefault="00C31DE2" w:rsidP="00C31DE2">
      <w:pPr>
        <w:ind w:left="567"/>
        <w:rPr>
          <w:rFonts w:eastAsia="Times New Roman"/>
          <w:szCs w:val="22"/>
          <w:lang w:val="fr-FR" w:eastAsia="en-US"/>
        </w:rPr>
      </w:pPr>
    </w:p>
    <w:p w14:paraId="3AF07B05" w14:textId="77777777" w:rsidR="00C31DE2" w:rsidRPr="000F6A66" w:rsidRDefault="00C31DE2" w:rsidP="000F6A66">
      <w:pPr>
        <w:ind w:left="1701" w:hanging="567"/>
        <w:rPr>
          <w:rFonts w:eastAsia="Times New Roman"/>
          <w:szCs w:val="22"/>
          <w:lang w:val="fr-FR" w:eastAsia="en-US"/>
        </w:rPr>
      </w:pPr>
      <w:r w:rsidRPr="000F6A66">
        <w:rPr>
          <w:rFonts w:eastAsia="Times New Roman"/>
          <w:szCs w:val="22"/>
          <w:lang w:val="fr-FR" w:eastAsia="en-US"/>
        </w:rPr>
        <w:t>i)</w:t>
      </w:r>
      <w:r w:rsidRPr="000F6A66">
        <w:rPr>
          <w:rFonts w:eastAsia="Times New Roman"/>
          <w:szCs w:val="22"/>
          <w:lang w:val="fr-FR" w:eastAsia="en-US"/>
        </w:rPr>
        <w:tab/>
        <w:t>description de la méthode d’évaluation utilisée;</w:t>
      </w:r>
    </w:p>
    <w:p w14:paraId="36AC42F6" w14:textId="77777777" w:rsidR="00C31DE2" w:rsidRPr="000F6A66" w:rsidRDefault="00C31DE2" w:rsidP="000F6A66">
      <w:pPr>
        <w:ind w:left="1701" w:hanging="567"/>
        <w:rPr>
          <w:rFonts w:eastAsia="Times New Roman"/>
          <w:szCs w:val="22"/>
          <w:lang w:val="fr-FR" w:eastAsia="en-US"/>
        </w:rPr>
      </w:pPr>
    </w:p>
    <w:p w14:paraId="0991B089" w14:textId="77777777" w:rsidR="00C31DE2" w:rsidRPr="000F6A66" w:rsidRDefault="00C31DE2" w:rsidP="000F6A66">
      <w:pPr>
        <w:ind w:left="1701" w:hanging="567"/>
        <w:rPr>
          <w:rFonts w:eastAsia="Times New Roman"/>
          <w:szCs w:val="22"/>
          <w:lang w:val="fr-FR" w:eastAsia="en-US"/>
        </w:rPr>
      </w:pPr>
      <w:r w:rsidRPr="000F6A66">
        <w:rPr>
          <w:rFonts w:eastAsia="Times New Roman"/>
          <w:szCs w:val="22"/>
          <w:lang w:val="fr-FR" w:eastAsia="en-US"/>
        </w:rPr>
        <w:t>ii)</w:t>
      </w:r>
      <w:r w:rsidRPr="000F6A66">
        <w:rPr>
          <w:rFonts w:eastAsia="Times New Roman"/>
          <w:szCs w:val="22"/>
          <w:lang w:val="fr-FR" w:eastAsia="en-US"/>
        </w:rPr>
        <w:tab/>
        <w:t>résumé des principales constatations factuelles axées sur les principales questions d’évaluation;</w:t>
      </w:r>
    </w:p>
    <w:p w14:paraId="352E3117" w14:textId="77777777" w:rsidR="00C31DE2" w:rsidRPr="000F6A66" w:rsidRDefault="00C31DE2" w:rsidP="000F6A66">
      <w:pPr>
        <w:ind w:left="1701" w:hanging="567"/>
        <w:rPr>
          <w:rFonts w:eastAsia="Times New Roman"/>
          <w:szCs w:val="22"/>
          <w:lang w:val="fr-FR" w:eastAsia="en-US"/>
        </w:rPr>
      </w:pPr>
    </w:p>
    <w:p w14:paraId="481E1779" w14:textId="77777777" w:rsidR="00C31DE2" w:rsidRPr="000F6A66" w:rsidRDefault="00C31DE2" w:rsidP="000F6A66">
      <w:pPr>
        <w:ind w:left="1701" w:hanging="567"/>
        <w:rPr>
          <w:rFonts w:eastAsia="Times New Roman"/>
          <w:szCs w:val="22"/>
          <w:lang w:val="fr-FR" w:eastAsia="en-US"/>
        </w:rPr>
      </w:pPr>
      <w:r w:rsidRPr="000F6A66">
        <w:rPr>
          <w:rFonts w:eastAsia="Times New Roman"/>
          <w:szCs w:val="22"/>
          <w:lang w:val="fr-FR" w:eastAsia="en-US"/>
        </w:rPr>
        <w:t>iii)</w:t>
      </w:r>
      <w:r w:rsidRPr="000F6A66">
        <w:rPr>
          <w:rFonts w:eastAsia="Times New Roman"/>
          <w:szCs w:val="22"/>
          <w:lang w:val="fr-FR" w:eastAsia="en-US"/>
        </w:rPr>
        <w:tab/>
        <w:t>conclusions tirées des constatations;  et</w:t>
      </w:r>
    </w:p>
    <w:p w14:paraId="457747CF" w14:textId="77777777" w:rsidR="00C31DE2" w:rsidRPr="000F6A66" w:rsidRDefault="00C31DE2" w:rsidP="000F6A66">
      <w:pPr>
        <w:ind w:left="1701" w:hanging="567"/>
        <w:rPr>
          <w:rFonts w:eastAsia="Times New Roman"/>
          <w:szCs w:val="22"/>
          <w:lang w:val="fr-FR" w:eastAsia="en-US"/>
        </w:rPr>
      </w:pPr>
    </w:p>
    <w:p w14:paraId="0C0ABBA6" w14:textId="77777777" w:rsidR="00C31DE2" w:rsidRPr="000F6A66" w:rsidRDefault="00C31DE2" w:rsidP="000F6A66">
      <w:pPr>
        <w:ind w:left="1701" w:hanging="567"/>
        <w:rPr>
          <w:rFonts w:eastAsia="Times New Roman"/>
          <w:szCs w:val="22"/>
          <w:lang w:val="fr-FR" w:eastAsia="en-US"/>
        </w:rPr>
      </w:pPr>
      <w:r w:rsidRPr="000F6A66">
        <w:rPr>
          <w:rFonts w:eastAsia="Times New Roman"/>
          <w:szCs w:val="22"/>
          <w:lang w:val="fr-FR" w:eastAsia="en-US"/>
        </w:rPr>
        <w:t>iv)</w:t>
      </w:r>
      <w:r w:rsidRPr="000F6A66">
        <w:rPr>
          <w:rFonts w:eastAsia="Times New Roman"/>
          <w:szCs w:val="22"/>
          <w:lang w:val="fr-FR" w:eastAsia="en-US"/>
        </w:rPr>
        <w:tab/>
        <w:t>recommandations émanant des conclusions et des enseignements tirés.</w:t>
      </w:r>
    </w:p>
    <w:p w14:paraId="12CD94EB" w14:textId="77777777" w:rsidR="00C31DE2" w:rsidRPr="000F6A66" w:rsidRDefault="00C31DE2" w:rsidP="00C31DE2">
      <w:pPr>
        <w:rPr>
          <w:rFonts w:eastAsia="Times New Roman"/>
          <w:szCs w:val="22"/>
          <w:lang w:val="fr-FR" w:eastAsia="en-US"/>
        </w:rPr>
      </w:pPr>
    </w:p>
    <w:p w14:paraId="73D6A507" w14:textId="7675FCD0" w:rsidR="00C31DE2" w:rsidRPr="000F6A66" w:rsidRDefault="00C31DE2" w:rsidP="00C31DE2">
      <w:pPr>
        <w:spacing w:before="100" w:beforeAutospacing="1" w:after="100" w:afterAutospacing="1"/>
        <w:rPr>
          <w:rFonts w:eastAsia="Times New Roman"/>
          <w:szCs w:val="22"/>
          <w:lang w:val="fr-FR" w:eastAsia="en-US"/>
        </w:rPr>
      </w:pPr>
      <w:r w:rsidRPr="000F6A66">
        <w:rPr>
          <w:rFonts w:eastAsia="Times New Roman"/>
          <w:szCs w:val="22"/>
          <w:lang w:val="fr-FR" w:eastAsia="en-US"/>
        </w:rPr>
        <w:t xml:space="preserve">Cette </w:t>
      </w:r>
      <w:r w:rsidR="000F6A66">
        <w:rPr>
          <w:rFonts w:eastAsia="Times New Roman"/>
          <w:szCs w:val="22"/>
          <w:lang w:val="fr-FR" w:eastAsia="en-US"/>
        </w:rPr>
        <w:t>é</w:t>
      </w:r>
      <w:r w:rsidRPr="000F6A66">
        <w:rPr>
          <w:rFonts w:eastAsia="Times New Roman"/>
          <w:szCs w:val="22"/>
          <w:lang w:val="fr-FR" w:eastAsia="en-US"/>
        </w:rPr>
        <w:t>valuation devrait avoir lieu entre le 6 juillet 2016 et le 18 septembre 2019.  Le rapport d’</w:t>
      </w:r>
      <w:r w:rsidR="000F6A66">
        <w:rPr>
          <w:rFonts w:eastAsia="Times New Roman"/>
          <w:szCs w:val="22"/>
          <w:lang w:val="fr-FR" w:eastAsia="en-US"/>
        </w:rPr>
        <w:t>é</w:t>
      </w:r>
      <w:r w:rsidRPr="000F6A66">
        <w:rPr>
          <w:rFonts w:eastAsia="Times New Roman"/>
          <w:szCs w:val="22"/>
          <w:lang w:val="fr-FR" w:eastAsia="en-US"/>
        </w:rPr>
        <w:t>valuation sera r</w:t>
      </w:r>
      <w:r w:rsidR="000F6A66">
        <w:rPr>
          <w:rFonts w:eastAsia="Times New Roman"/>
          <w:szCs w:val="22"/>
          <w:lang w:val="fr-FR" w:eastAsia="en-US"/>
        </w:rPr>
        <w:t>é</w:t>
      </w:r>
      <w:r w:rsidRPr="000F6A66">
        <w:rPr>
          <w:rFonts w:eastAsia="Times New Roman"/>
          <w:szCs w:val="22"/>
          <w:lang w:val="fr-FR" w:eastAsia="en-US"/>
        </w:rPr>
        <w:t>dig</w:t>
      </w:r>
      <w:r w:rsidR="000F6A66">
        <w:rPr>
          <w:rFonts w:eastAsia="Times New Roman"/>
          <w:szCs w:val="22"/>
          <w:lang w:val="fr-FR" w:eastAsia="en-US"/>
        </w:rPr>
        <w:t>é</w:t>
      </w:r>
      <w:r w:rsidRPr="000F6A66">
        <w:rPr>
          <w:rFonts w:eastAsia="Times New Roman"/>
          <w:szCs w:val="22"/>
          <w:lang w:val="fr-FR" w:eastAsia="en-US"/>
        </w:rPr>
        <w:t xml:space="preserve"> en anglais.  Le rapport final d’évaluation, y compris le résumé analytique, ne doit pas dépasser 3300 mots.</w:t>
      </w:r>
    </w:p>
    <w:p w14:paraId="0C85FD73" w14:textId="77777777" w:rsidR="00C31DE2" w:rsidRPr="000F6A66" w:rsidRDefault="00C31DE2" w:rsidP="00C31DE2">
      <w:pPr>
        <w:rPr>
          <w:rFonts w:eastAsia="Times New Roman"/>
          <w:szCs w:val="22"/>
          <w:lang w:val="fr-FR" w:eastAsia="en-US"/>
        </w:rPr>
      </w:pPr>
    </w:p>
    <w:p w14:paraId="0B58DAA8" w14:textId="77777777" w:rsidR="00C31DE2" w:rsidRPr="000F6A66" w:rsidRDefault="00C31DE2" w:rsidP="00C31DE2">
      <w:pPr>
        <w:keepNext/>
        <w:numPr>
          <w:ilvl w:val="0"/>
          <w:numId w:val="18"/>
        </w:numPr>
        <w:overflowPunct w:val="0"/>
        <w:adjustRightInd w:val="0"/>
        <w:spacing w:after="60"/>
        <w:ind w:left="567" w:hanging="567"/>
        <w:contextualSpacing/>
        <w:rPr>
          <w:rFonts w:eastAsia="Times New Roman"/>
          <w:b/>
          <w:szCs w:val="22"/>
          <w:lang w:val="fr-FR" w:eastAsia="en-US"/>
        </w:rPr>
      </w:pPr>
      <w:r w:rsidRPr="000F6A66">
        <w:rPr>
          <w:rFonts w:eastAsia="Times New Roman"/>
          <w:b/>
          <w:szCs w:val="22"/>
          <w:lang w:val="fr-FR" w:eastAsia="en-US"/>
        </w:rPr>
        <w:t>Établissement de rapports</w:t>
      </w:r>
    </w:p>
    <w:p w14:paraId="6AC90325" w14:textId="77777777" w:rsidR="00C31DE2" w:rsidRPr="000F6A66" w:rsidRDefault="00C31DE2" w:rsidP="00C31DE2">
      <w:pPr>
        <w:keepNext/>
        <w:tabs>
          <w:tab w:val="left" w:pos="851"/>
          <w:tab w:val="left" w:pos="4253"/>
        </w:tabs>
        <w:spacing w:after="60"/>
        <w:ind w:left="450"/>
        <w:rPr>
          <w:rFonts w:eastAsia="Times New Roman"/>
          <w:b/>
          <w:szCs w:val="22"/>
          <w:lang w:val="fr-FR" w:eastAsia="en-US"/>
        </w:rPr>
      </w:pPr>
    </w:p>
    <w:p w14:paraId="3C8A9169" w14:textId="4CF1F737" w:rsidR="00C31DE2" w:rsidRPr="000F6A66" w:rsidRDefault="00C31DE2" w:rsidP="00C31DE2">
      <w:pPr>
        <w:pStyle w:val="NormalWeb"/>
        <w:rPr>
          <w:rFonts w:ascii="Arial" w:hAnsi="Arial" w:cs="Arial"/>
          <w:sz w:val="22"/>
          <w:szCs w:val="22"/>
          <w:lang w:val="fr-FR"/>
        </w:rPr>
      </w:pPr>
      <w:r w:rsidRPr="000F6A66">
        <w:rPr>
          <w:rFonts w:ascii="Arial" w:hAnsi="Arial" w:cs="Arial"/>
          <w:sz w:val="22"/>
          <w:szCs w:val="22"/>
          <w:lang w:val="fr-FR"/>
        </w:rPr>
        <w:t>Le consultant sera plac</w:t>
      </w:r>
      <w:r w:rsidR="000F6A66">
        <w:rPr>
          <w:rFonts w:ascii="Arial" w:hAnsi="Arial" w:cs="Arial"/>
          <w:sz w:val="22"/>
          <w:szCs w:val="22"/>
          <w:lang w:val="fr-FR"/>
        </w:rPr>
        <w:t>é</w:t>
      </w:r>
      <w:r w:rsidRPr="000F6A66">
        <w:rPr>
          <w:rFonts w:ascii="Arial" w:hAnsi="Arial" w:cs="Arial"/>
          <w:sz w:val="22"/>
          <w:szCs w:val="22"/>
          <w:lang w:val="fr-FR"/>
        </w:rPr>
        <w:t xml:space="preserve"> sous la supervision du directeur de la Division de la coordination du Plan d’action pour le d</w:t>
      </w:r>
      <w:r w:rsidR="000F6A66">
        <w:rPr>
          <w:rFonts w:ascii="Arial" w:hAnsi="Arial" w:cs="Arial"/>
          <w:sz w:val="22"/>
          <w:szCs w:val="22"/>
          <w:lang w:val="fr-FR"/>
        </w:rPr>
        <w:t>é</w:t>
      </w:r>
      <w:r w:rsidRPr="000F6A66">
        <w:rPr>
          <w:rFonts w:ascii="Arial" w:hAnsi="Arial" w:cs="Arial"/>
          <w:sz w:val="22"/>
          <w:szCs w:val="22"/>
          <w:lang w:val="fr-FR"/>
        </w:rPr>
        <w:t>veloppement.  En outre, l’</w:t>
      </w:r>
      <w:r w:rsidR="000F6A66">
        <w:rPr>
          <w:rFonts w:ascii="Arial" w:hAnsi="Arial" w:cs="Arial"/>
          <w:sz w:val="22"/>
          <w:szCs w:val="22"/>
          <w:lang w:val="fr-FR"/>
        </w:rPr>
        <w:t>é</w:t>
      </w:r>
      <w:r w:rsidRPr="000F6A66">
        <w:rPr>
          <w:rFonts w:ascii="Arial" w:hAnsi="Arial" w:cs="Arial"/>
          <w:sz w:val="22"/>
          <w:szCs w:val="22"/>
          <w:lang w:val="fr-FR"/>
        </w:rPr>
        <w:t>valuateur :</w:t>
      </w:r>
    </w:p>
    <w:p w14:paraId="2AF9436F" w14:textId="77777777" w:rsidR="00C31DE2" w:rsidRPr="000F6A66" w:rsidRDefault="00C31DE2" w:rsidP="00C31DE2">
      <w:pPr>
        <w:pStyle w:val="NormalWeb"/>
        <w:rPr>
          <w:rFonts w:ascii="Arial" w:eastAsia="Times New Roman" w:hAnsi="Arial" w:cs="Arial"/>
          <w:lang w:val="fr-FR" w:eastAsia="en-US"/>
        </w:rPr>
      </w:pPr>
    </w:p>
    <w:p w14:paraId="379CCE72" w14:textId="68F49444" w:rsidR="00C31DE2" w:rsidRPr="000F6A66" w:rsidRDefault="00C31DE2" w:rsidP="000F6A66">
      <w:pPr>
        <w:pStyle w:val="NormalWeb"/>
        <w:ind w:left="1134" w:hanging="567"/>
        <w:rPr>
          <w:rFonts w:ascii="Arial" w:hAnsi="Arial" w:cs="Arial"/>
          <w:sz w:val="22"/>
          <w:szCs w:val="22"/>
          <w:lang w:val="fr-FR"/>
        </w:rPr>
      </w:pPr>
      <w:r w:rsidRPr="000F6A66">
        <w:rPr>
          <w:rFonts w:ascii="Arial" w:hAnsi="Arial" w:cs="Arial"/>
          <w:sz w:val="22"/>
          <w:szCs w:val="22"/>
          <w:lang w:val="fr-FR"/>
        </w:rPr>
        <w:t xml:space="preserve">a) </w:t>
      </w:r>
      <w:r w:rsidRPr="000F6A66">
        <w:rPr>
          <w:rFonts w:ascii="Arial" w:hAnsi="Arial" w:cs="Arial"/>
          <w:sz w:val="22"/>
          <w:szCs w:val="22"/>
          <w:lang w:val="fr-FR"/>
        </w:rPr>
        <w:tab/>
        <w:t xml:space="preserve">travaillera en </w:t>
      </w:r>
      <w:r w:rsidR="000F6A66">
        <w:rPr>
          <w:rFonts w:ascii="Arial" w:hAnsi="Arial" w:cs="Arial"/>
          <w:sz w:val="22"/>
          <w:szCs w:val="22"/>
          <w:lang w:val="fr-FR"/>
        </w:rPr>
        <w:t>é</w:t>
      </w:r>
      <w:r w:rsidRPr="000F6A66">
        <w:rPr>
          <w:rFonts w:ascii="Arial" w:hAnsi="Arial" w:cs="Arial"/>
          <w:sz w:val="22"/>
          <w:szCs w:val="22"/>
          <w:lang w:val="fr-FR"/>
        </w:rPr>
        <w:t>troite collaboration avec la Division de la coordination du Plan d’action pour le d</w:t>
      </w:r>
      <w:r w:rsidR="000F6A66">
        <w:rPr>
          <w:rFonts w:ascii="Arial" w:hAnsi="Arial" w:cs="Arial"/>
          <w:sz w:val="22"/>
          <w:szCs w:val="22"/>
          <w:lang w:val="fr-FR"/>
        </w:rPr>
        <w:t>é</w:t>
      </w:r>
      <w:r w:rsidRPr="000F6A66">
        <w:rPr>
          <w:rFonts w:ascii="Arial" w:hAnsi="Arial" w:cs="Arial"/>
          <w:sz w:val="22"/>
          <w:szCs w:val="22"/>
          <w:lang w:val="fr-FR"/>
        </w:rPr>
        <w:t>veloppement et assurera la coordination entre les chefs de programme comp</w:t>
      </w:r>
      <w:r w:rsidR="000F6A66">
        <w:rPr>
          <w:rFonts w:ascii="Arial" w:hAnsi="Arial" w:cs="Arial"/>
          <w:sz w:val="22"/>
          <w:szCs w:val="22"/>
          <w:lang w:val="fr-FR"/>
        </w:rPr>
        <w:t>é</w:t>
      </w:r>
      <w:r w:rsidRPr="000F6A66">
        <w:rPr>
          <w:rFonts w:ascii="Arial" w:hAnsi="Arial" w:cs="Arial"/>
          <w:sz w:val="22"/>
          <w:szCs w:val="22"/>
          <w:lang w:val="fr-FR"/>
        </w:rPr>
        <w:t>tents de l’OMPI, selon que de besoin;  et</w:t>
      </w:r>
    </w:p>
    <w:p w14:paraId="15A8AC15" w14:textId="77777777" w:rsidR="00C31DE2" w:rsidRPr="000F6A66" w:rsidRDefault="00C31DE2" w:rsidP="000F6A66">
      <w:pPr>
        <w:ind w:left="1134" w:hanging="567"/>
        <w:rPr>
          <w:rFonts w:eastAsia="Times New Roman"/>
          <w:szCs w:val="22"/>
          <w:lang w:val="fr-FR" w:eastAsia="en-US"/>
        </w:rPr>
      </w:pPr>
    </w:p>
    <w:p w14:paraId="250C6EA6" w14:textId="65D257EF" w:rsidR="00C31DE2" w:rsidRPr="000F6A66" w:rsidRDefault="00C31DE2" w:rsidP="000F6A66">
      <w:pPr>
        <w:pStyle w:val="NormalWeb"/>
        <w:ind w:left="1134" w:hanging="567"/>
        <w:rPr>
          <w:rFonts w:ascii="Arial" w:eastAsia="Times New Roman" w:hAnsi="Arial" w:cs="Arial"/>
          <w:lang w:val="fr-FR" w:eastAsia="en-US"/>
        </w:rPr>
      </w:pPr>
      <w:r w:rsidRPr="000F6A66">
        <w:rPr>
          <w:rFonts w:ascii="Arial" w:eastAsia="Times New Roman" w:hAnsi="Arial" w:cs="Arial"/>
          <w:szCs w:val="22"/>
          <w:lang w:val="fr-FR" w:eastAsia="en-US"/>
        </w:rPr>
        <w:t>b)</w:t>
      </w:r>
      <w:r w:rsidRPr="000F6A66">
        <w:rPr>
          <w:rFonts w:ascii="Arial" w:eastAsia="Times New Roman" w:hAnsi="Arial" w:cs="Arial"/>
          <w:szCs w:val="22"/>
          <w:lang w:val="fr-FR" w:eastAsia="en-US"/>
        </w:rPr>
        <w:tab/>
      </w:r>
      <w:r w:rsidRPr="000F6A66">
        <w:rPr>
          <w:rFonts w:ascii="Arial" w:eastAsia="Times New Roman" w:hAnsi="Arial" w:cs="Arial"/>
          <w:sz w:val="22"/>
          <w:szCs w:val="22"/>
          <w:lang w:val="fr-FR" w:eastAsia="en-US"/>
        </w:rPr>
        <w:t>il assurera la qualit</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 xml:space="preserve"> des donn</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es (validit</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 coh</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rence et pr</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cision) tout au long des phases d’</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tablissement des rapports analytiques (rapport initial et rapport d’</w:t>
      </w:r>
      <w:r w:rsidR="000F6A66">
        <w:rPr>
          <w:rFonts w:ascii="Arial" w:eastAsia="Times New Roman" w:hAnsi="Arial" w:cs="Arial"/>
          <w:sz w:val="22"/>
          <w:szCs w:val="22"/>
          <w:lang w:val="fr-FR" w:eastAsia="en-US"/>
        </w:rPr>
        <w:t>é</w:t>
      </w:r>
      <w:r w:rsidRPr="000F6A66">
        <w:rPr>
          <w:rFonts w:ascii="Arial" w:eastAsia="Times New Roman" w:hAnsi="Arial" w:cs="Arial"/>
          <w:sz w:val="22"/>
          <w:szCs w:val="22"/>
          <w:lang w:val="fr-FR" w:eastAsia="en-US"/>
        </w:rPr>
        <w:t>valuation final)</w:t>
      </w:r>
      <w:r w:rsidRPr="000F6A66">
        <w:rPr>
          <w:rFonts w:ascii="Arial" w:eastAsia="Times New Roman" w:hAnsi="Arial" w:cs="Arial"/>
          <w:szCs w:val="22"/>
          <w:lang w:val="fr-FR" w:eastAsia="en-US"/>
        </w:rPr>
        <w:t>.</w:t>
      </w:r>
    </w:p>
    <w:p w14:paraId="68FD99BE" w14:textId="77777777" w:rsidR="00C31DE2" w:rsidRPr="000F6A66" w:rsidRDefault="00C31DE2" w:rsidP="00C31DE2">
      <w:pPr>
        <w:ind w:left="567"/>
        <w:rPr>
          <w:rFonts w:eastAsia="Times New Roman"/>
          <w:szCs w:val="22"/>
          <w:lang w:val="fr-FR" w:eastAsia="en-US"/>
        </w:rPr>
      </w:pPr>
    </w:p>
    <w:p w14:paraId="63FFEAC8" w14:textId="77777777" w:rsidR="00C31DE2" w:rsidRPr="000F6A66" w:rsidRDefault="00C31DE2" w:rsidP="00C31DE2">
      <w:pPr>
        <w:ind w:left="567"/>
        <w:rPr>
          <w:rFonts w:eastAsia="Times New Roman"/>
          <w:szCs w:val="22"/>
          <w:lang w:val="fr-FR" w:eastAsia="en-US"/>
        </w:rPr>
      </w:pPr>
    </w:p>
    <w:p w14:paraId="6BDEF5E9" w14:textId="77777777" w:rsidR="00C31DE2" w:rsidRPr="000F6A66" w:rsidRDefault="00C31DE2" w:rsidP="00C31DE2">
      <w:pPr>
        <w:keepNext/>
        <w:numPr>
          <w:ilvl w:val="0"/>
          <w:numId w:val="18"/>
        </w:numPr>
        <w:tabs>
          <w:tab w:val="left" w:pos="567"/>
          <w:tab w:val="left" w:pos="851"/>
        </w:tabs>
        <w:overflowPunct w:val="0"/>
        <w:adjustRightInd w:val="0"/>
        <w:ind w:left="450" w:hanging="450"/>
        <w:contextualSpacing/>
        <w:rPr>
          <w:rFonts w:eastAsia="Times New Roman"/>
          <w:b/>
          <w:szCs w:val="22"/>
          <w:lang w:val="fr-FR" w:eastAsia="en-US"/>
        </w:rPr>
      </w:pPr>
      <w:r w:rsidRPr="000F6A66">
        <w:rPr>
          <w:rFonts w:eastAsia="Times New Roman"/>
          <w:b/>
          <w:szCs w:val="22"/>
          <w:lang w:val="fr-FR" w:eastAsia="en-US"/>
        </w:rPr>
        <w:lastRenderedPageBreak/>
        <w:t>Profil du consultant</w:t>
      </w:r>
    </w:p>
    <w:p w14:paraId="638CE421" w14:textId="77777777" w:rsidR="00C31DE2" w:rsidRPr="000F6A66" w:rsidRDefault="00C31DE2" w:rsidP="00C31DE2">
      <w:pPr>
        <w:keepNext/>
        <w:spacing w:before="60" w:after="60"/>
        <w:rPr>
          <w:rFonts w:eastAsia="Times New Roman"/>
          <w:szCs w:val="22"/>
          <w:lang w:val="fr-FR" w:eastAsia="en-US"/>
        </w:rPr>
      </w:pPr>
    </w:p>
    <w:p w14:paraId="2F18A2D3" w14:textId="4F8A0FDB" w:rsidR="00C31DE2" w:rsidRPr="000F6A66" w:rsidRDefault="000F6A66" w:rsidP="00C31DE2">
      <w:pPr>
        <w:pStyle w:val="NormalWeb"/>
        <w:rPr>
          <w:rFonts w:ascii="Arial" w:hAnsi="Arial" w:cs="Arial"/>
          <w:lang w:val="fr-FR"/>
        </w:rPr>
      </w:pPr>
      <w:r w:rsidRPr="000F6A66">
        <w:rPr>
          <w:rFonts w:ascii="Arial" w:hAnsi="Arial" w:cs="Arial"/>
          <w:lang w:val="fr-FR"/>
        </w:rPr>
        <w:t xml:space="preserve">M. </w:t>
      </w:r>
      <w:r>
        <w:rPr>
          <w:rFonts w:ascii="Arial" w:hAnsi="Arial" w:cs="Arial"/>
          <w:lang w:val="fr-FR"/>
        </w:rPr>
        <w:t>Daniel Keller a de vastes compétences en matiè</w:t>
      </w:r>
      <w:r w:rsidRPr="000F6A66">
        <w:rPr>
          <w:rFonts w:ascii="Arial" w:hAnsi="Arial" w:cs="Arial"/>
          <w:lang w:val="fr-FR"/>
        </w:rPr>
        <w:t>re d’</w:t>
      </w:r>
      <w:r>
        <w:rPr>
          <w:rFonts w:ascii="Arial" w:hAnsi="Arial" w:cs="Arial"/>
          <w:lang w:val="fr-FR"/>
        </w:rPr>
        <w:t>é</w:t>
      </w:r>
      <w:r w:rsidRPr="000F6A66">
        <w:rPr>
          <w:rFonts w:ascii="Arial" w:hAnsi="Arial" w:cs="Arial"/>
          <w:lang w:val="fr-FR"/>
        </w:rPr>
        <w:t>laboration, de gestion et d’</w:t>
      </w:r>
      <w:r>
        <w:rPr>
          <w:rFonts w:ascii="Arial" w:hAnsi="Arial" w:cs="Arial"/>
          <w:lang w:val="fr-FR"/>
        </w:rPr>
        <w:t>é</w:t>
      </w:r>
      <w:r w:rsidRPr="000F6A66">
        <w:rPr>
          <w:rFonts w:ascii="Arial" w:hAnsi="Arial" w:cs="Arial"/>
          <w:lang w:val="fr-FR"/>
        </w:rPr>
        <w:t xml:space="preserve">valuation de projets, ainsi que dans le domaine des </w:t>
      </w:r>
      <w:r>
        <w:rPr>
          <w:rFonts w:ascii="Arial" w:hAnsi="Arial" w:cs="Arial"/>
          <w:lang w:val="fr-FR"/>
        </w:rPr>
        <w:t>é</w:t>
      </w:r>
      <w:r w:rsidRPr="000F6A66">
        <w:rPr>
          <w:rFonts w:ascii="Arial" w:hAnsi="Arial" w:cs="Arial"/>
          <w:lang w:val="fr-FR"/>
        </w:rPr>
        <w:t>valuations des m</w:t>
      </w:r>
      <w:r>
        <w:rPr>
          <w:rFonts w:ascii="Arial" w:hAnsi="Arial" w:cs="Arial"/>
          <w:lang w:val="fr-FR"/>
        </w:rPr>
        <w:t>é</w:t>
      </w:r>
      <w:r w:rsidRPr="000F6A66">
        <w:rPr>
          <w:rFonts w:ascii="Arial" w:hAnsi="Arial" w:cs="Arial"/>
          <w:lang w:val="fr-FR"/>
        </w:rPr>
        <w:t>canismes institutionnels, tant dans le secteur public que dans le secteur priv</w:t>
      </w:r>
      <w:r>
        <w:rPr>
          <w:rFonts w:ascii="Arial" w:hAnsi="Arial" w:cs="Arial"/>
          <w:lang w:val="fr-FR"/>
        </w:rPr>
        <w:t>é</w:t>
      </w:r>
      <w:r w:rsidRPr="000F6A66">
        <w:rPr>
          <w:rFonts w:ascii="Arial" w:hAnsi="Arial" w:cs="Arial"/>
          <w:lang w:val="fr-FR"/>
        </w:rPr>
        <w:t xml:space="preserve">.  M. Keller a </w:t>
      </w:r>
      <w:r>
        <w:rPr>
          <w:rFonts w:ascii="Arial" w:hAnsi="Arial" w:cs="Arial"/>
          <w:lang w:val="fr-FR"/>
        </w:rPr>
        <w:t>é</w:t>
      </w:r>
      <w:r w:rsidRPr="000F6A66">
        <w:rPr>
          <w:rFonts w:ascii="Arial" w:hAnsi="Arial" w:cs="Arial"/>
          <w:lang w:val="fr-FR"/>
        </w:rPr>
        <w:t>galement travaill</w:t>
      </w:r>
      <w:r>
        <w:rPr>
          <w:rFonts w:ascii="Arial" w:hAnsi="Arial" w:cs="Arial"/>
          <w:lang w:val="fr-FR"/>
        </w:rPr>
        <w:t>é</w:t>
      </w:r>
      <w:r w:rsidRPr="000F6A66">
        <w:rPr>
          <w:rFonts w:ascii="Arial" w:hAnsi="Arial" w:cs="Arial"/>
          <w:lang w:val="fr-FR"/>
        </w:rPr>
        <w:t xml:space="preserve"> auparavant pour l’OMPI;  il a </w:t>
      </w:r>
      <w:r>
        <w:rPr>
          <w:rFonts w:ascii="Arial" w:hAnsi="Arial" w:cs="Arial"/>
          <w:lang w:val="fr-FR"/>
        </w:rPr>
        <w:t>é</w:t>
      </w:r>
      <w:r w:rsidRPr="000F6A66">
        <w:rPr>
          <w:rFonts w:ascii="Arial" w:hAnsi="Arial" w:cs="Arial"/>
          <w:lang w:val="fr-FR"/>
        </w:rPr>
        <w:t>labor</w:t>
      </w:r>
      <w:r>
        <w:rPr>
          <w:rFonts w:ascii="Arial" w:hAnsi="Arial" w:cs="Arial"/>
          <w:lang w:val="fr-FR"/>
        </w:rPr>
        <w:t>é</w:t>
      </w:r>
      <w:r w:rsidRPr="000F6A66">
        <w:rPr>
          <w:rFonts w:ascii="Arial" w:hAnsi="Arial" w:cs="Arial"/>
          <w:lang w:val="fr-FR"/>
        </w:rPr>
        <w:t xml:space="preserve"> des rapports d’</w:t>
      </w:r>
      <w:r>
        <w:rPr>
          <w:rFonts w:ascii="Arial" w:hAnsi="Arial" w:cs="Arial"/>
          <w:lang w:val="fr-FR"/>
        </w:rPr>
        <w:t>é</w:t>
      </w:r>
      <w:r w:rsidRPr="000F6A66">
        <w:rPr>
          <w:rFonts w:ascii="Arial" w:hAnsi="Arial" w:cs="Arial"/>
          <w:lang w:val="fr-FR"/>
        </w:rPr>
        <w:t>valuation de projets men</w:t>
      </w:r>
      <w:r>
        <w:rPr>
          <w:rFonts w:ascii="Arial" w:hAnsi="Arial" w:cs="Arial"/>
          <w:lang w:val="fr-FR"/>
        </w:rPr>
        <w:t>é</w:t>
      </w:r>
      <w:r w:rsidRPr="000F6A66">
        <w:rPr>
          <w:rFonts w:ascii="Arial" w:hAnsi="Arial" w:cs="Arial"/>
          <w:lang w:val="fr-FR"/>
        </w:rPr>
        <w:t>s à bien dans le cadre du Plan d’action pour le d</w:t>
      </w:r>
      <w:r>
        <w:rPr>
          <w:rFonts w:ascii="Arial" w:hAnsi="Arial" w:cs="Arial"/>
          <w:lang w:val="fr-FR"/>
        </w:rPr>
        <w:t>é</w:t>
      </w:r>
      <w:r w:rsidRPr="000F6A66">
        <w:rPr>
          <w:rFonts w:ascii="Arial" w:hAnsi="Arial" w:cs="Arial"/>
          <w:lang w:val="fr-FR"/>
        </w:rPr>
        <w:t>veloppement, notamment le projet de renforcement de la coop</w:t>
      </w:r>
      <w:r>
        <w:rPr>
          <w:rFonts w:ascii="Arial" w:hAnsi="Arial" w:cs="Arial"/>
          <w:lang w:val="fr-FR"/>
        </w:rPr>
        <w:t>é</w:t>
      </w:r>
      <w:r w:rsidRPr="000F6A66">
        <w:rPr>
          <w:rFonts w:ascii="Arial" w:hAnsi="Arial" w:cs="Arial"/>
          <w:lang w:val="fr-FR"/>
        </w:rPr>
        <w:t>ration Sud-Sud dans le domaine de la propri</w:t>
      </w:r>
      <w:r>
        <w:rPr>
          <w:rFonts w:ascii="Arial" w:hAnsi="Arial" w:cs="Arial"/>
          <w:lang w:val="fr-FR"/>
        </w:rPr>
        <w:t>é</w:t>
      </w:r>
      <w:r w:rsidRPr="000F6A66">
        <w:rPr>
          <w:rFonts w:ascii="Arial" w:hAnsi="Arial" w:cs="Arial"/>
          <w:lang w:val="fr-FR"/>
        </w:rPr>
        <w:t>t</w:t>
      </w:r>
      <w:r>
        <w:rPr>
          <w:rFonts w:ascii="Arial" w:hAnsi="Arial" w:cs="Arial"/>
          <w:lang w:val="fr-FR"/>
        </w:rPr>
        <w:t>é</w:t>
      </w:r>
      <w:r w:rsidRPr="000F6A66">
        <w:rPr>
          <w:rFonts w:ascii="Arial" w:hAnsi="Arial" w:cs="Arial"/>
          <w:lang w:val="fr-FR"/>
        </w:rPr>
        <w:t xml:space="preserve"> intellectuelle au service du d</w:t>
      </w:r>
      <w:r>
        <w:rPr>
          <w:rFonts w:ascii="Arial" w:hAnsi="Arial" w:cs="Arial"/>
          <w:lang w:val="fr-FR"/>
        </w:rPr>
        <w:t>é</w:t>
      </w:r>
      <w:r w:rsidRPr="000F6A66">
        <w:rPr>
          <w:rFonts w:ascii="Arial" w:hAnsi="Arial" w:cs="Arial"/>
          <w:lang w:val="fr-FR"/>
        </w:rPr>
        <w:t>veloppement parmi les pays en d</w:t>
      </w:r>
      <w:r>
        <w:rPr>
          <w:rFonts w:ascii="Arial" w:hAnsi="Arial" w:cs="Arial"/>
          <w:lang w:val="fr-FR"/>
        </w:rPr>
        <w:t>é</w:t>
      </w:r>
      <w:r w:rsidRPr="000F6A66">
        <w:rPr>
          <w:rFonts w:ascii="Arial" w:hAnsi="Arial" w:cs="Arial"/>
          <w:lang w:val="fr-FR"/>
        </w:rPr>
        <w:t>veloppement et les pays les moins avanc</w:t>
      </w:r>
      <w:r>
        <w:rPr>
          <w:rFonts w:ascii="Arial" w:hAnsi="Arial" w:cs="Arial"/>
          <w:lang w:val="fr-FR"/>
        </w:rPr>
        <w:t>é</w:t>
      </w:r>
      <w:r w:rsidRPr="000F6A66">
        <w:rPr>
          <w:rFonts w:ascii="Arial" w:hAnsi="Arial" w:cs="Arial"/>
          <w:lang w:val="fr-FR"/>
        </w:rPr>
        <w:t>s (CDIP/7/6);  le projet sur la propri</w:t>
      </w:r>
      <w:r>
        <w:rPr>
          <w:rFonts w:ascii="Arial" w:hAnsi="Arial" w:cs="Arial"/>
          <w:lang w:val="fr-FR"/>
        </w:rPr>
        <w:t>é</w:t>
      </w:r>
      <w:r w:rsidRPr="000F6A66">
        <w:rPr>
          <w:rFonts w:ascii="Arial" w:hAnsi="Arial" w:cs="Arial"/>
          <w:lang w:val="fr-FR"/>
        </w:rPr>
        <w:t>t</w:t>
      </w:r>
      <w:r>
        <w:rPr>
          <w:rFonts w:ascii="Arial" w:hAnsi="Arial" w:cs="Arial"/>
          <w:lang w:val="fr-FR"/>
        </w:rPr>
        <w:t>é</w:t>
      </w:r>
      <w:r w:rsidRPr="000F6A66">
        <w:rPr>
          <w:rFonts w:ascii="Arial" w:hAnsi="Arial" w:cs="Arial"/>
          <w:lang w:val="fr-FR"/>
        </w:rPr>
        <w:t xml:space="preserve"> intellectuelle et le développement socio</w:t>
      </w:r>
      <w:r>
        <w:rPr>
          <w:rFonts w:ascii="Arial" w:hAnsi="Arial" w:cs="Arial"/>
          <w:lang w:val="fr-FR"/>
        </w:rPr>
        <w:t>é</w:t>
      </w:r>
      <w:r w:rsidRPr="000F6A66">
        <w:rPr>
          <w:rFonts w:ascii="Arial" w:hAnsi="Arial" w:cs="Arial"/>
          <w:lang w:val="fr-FR"/>
        </w:rPr>
        <w:t>conomique (document CDIP/5/7</w:t>
      </w:r>
      <w:r w:rsidR="00B81EFC">
        <w:rPr>
          <w:rFonts w:ascii="Arial" w:hAnsi="Arial" w:cs="Arial"/>
          <w:lang w:val="fr-FR"/>
        </w:rPr>
        <w:t> </w:t>
      </w:r>
      <w:r w:rsidRPr="000F6A66">
        <w:rPr>
          <w:rFonts w:ascii="Arial" w:hAnsi="Arial" w:cs="Arial"/>
          <w:lang w:val="fr-FR"/>
        </w:rPr>
        <w:t>Rev.), le projet relatif aux partenariats ouverts et aux modèles fond</w:t>
      </w:r>
      <w:r>
        <w:rPr>
          <w:rFonts w:ascii="Arial" w:hAnsi="Arial" w:cs="Arial"/>
          <w:lang w:val="fr-FR"/>
        </w:rPr>
        <w:t>é</w:t>
      </w:r>
      <w:r w:rsidRPr="000F6A66">
        <w:rPr>
          <w:rFonts w:ascii="Arial" w:hAnsi="Arial" w:cs="Arial"/>
          <w:lang w:val="fr-FR"/>
        </w:rPr>
        <w:t>s sur la propri</w:t>
      </w:r>
      <w:r>
        <w:rPr>
          <w:rFonts w:ascii="Arial" w:hAnsi="Arial" w:cs="Arial"/>
          <w:lang w:val="fr-FR"/>
        </w:rPr>
        <w:t>é</w:t>
      </w:r>
      <w:r w:rsidRPr="000F6A66">
        <w:rPr>
          <w:rFonts w:ascii="Arial" w:hAnsi="Arial" w:cs="Arial"/>
          <w:lang w:val="fr-FR"/>
        </w:rPr>
        <w:t>t</w:t>
      </w:r>
      <w:r>
        <w:rPr>
          <w:rFonts w:ascii="Arial" w:hAnsi="Arial" w:cs="Arial"/>
          <w:lang w:val="fr-FR"/>
        </w:rPr>
        <w:t>é</w:t>
      </w:r>
      <w:r w:rsidRPr="000F6A66">
        <w:rPr>
          <w:rFonts w:ascii="Arial" w:hAnsi="Arial" w:cs="Arial"/>
          <w:lang w:val="fr-FR"/>
        </w:rPr>
        <w:t xml:space="preserve"> intellectuelle (CDIP6/6</w:t>
      </w:r>
      <w:r>
        <w:rPr>
          <w:rFonts w:ascii="Arial" w:hAnsi="Arial" w:cs="Arial"/>
          <w:lang w:val="fr-FR"/>
        </w:rPr>
        <w:t> </w:t>
      </w:r>
      <w:r w:rsidRPr="000F6A66">
        <w:rPr>
          <w:rFonts w:ascii="Arial" w:hAnsi="Arial" w:cs="Arial"/>
          <w:lang w:val="fr-FR"/>
        </w:rPr>
        <w:t>Rev.), le projet relatif à la propriété intellectuelle et le transfert de technologies : élaborer des solutions face aux défis communs;  et le projet relatif au renforcement et développement du secteur de l’audiovisuel au Burkina Faso et dans certains pays africains – Phase II (CDIP/17/7).</w:t>
      </w:r>
    </w:p>
    <w:p w14:paraId="5F2B5483" w14:textId="77777777" w:rsidR="00C31DE2" w:rsidRPr="000F6A66" w:rsidRDefault="00C31DE2" w:rsidP="00C31DE2">
      <w:pPr>
        <w:widowControl w:val="0"/>
        <w:tabs>
          <w:tab w:val="left" w:pos="567"/>
          <w:tab w:val="left" w:pos="851"/>
        </w:tabs>
        <w:overflowPunct w:val="0"/>
        <w:adjustRightInd w:val="0"/>
        <w:ind w:left="450"/>
        <w:contextualSpacing/>
        <w:rPr>
          <w:rFonts w:eastAsia="Times New Roman"/>
          <w:szCs w:val="22"/>
          <w:lang w:val="fr-FR" w:eastAsia="en-US"/>
        </w:rPr>
      </w:pPr>
    </w:p>
    <w:p w14:paraId="1C5619F5" w14:textId="77777777" w:rsidR="00C31DE2" w:rsidRPr="000F6A66" w:rsidRDefault="00C31DE2" w:rsidP="00C31DE2">
      <w:pPr>
        <w:widowControl w:val="0"/>
        <w:tabs>
          <w:tab w:val="left" w:pos="567"/>
          <w:tab w:val="left" w:pos="851"/>
        </w:tabs>
        <w:overflowPunct w:val="0"/>
        <w:adjustRightInd w:val="0"/>
        <w:ind w:left="450"/>
        <w:contextualSpacing/>
        <w:rPr>
          <w:rFonts w:eastAsia="Times New Roman"/>
          <w:bCs/>
          <w:szCs w:val="22"/>
          <w:lang w:val="fr-FR" w:eastAsia="en-US"/>
        </w:rPr>
      </w:pPr>
    </w:p>
    <w:p w14:paraId="2E2E82DA" w14:textId="77777777" w:rsidR="00C31DE2" w:rsidRPr="000F6A66" w:rsidRDefault="00C31DE2" w:rsidP="00C31DE2">
      <w:pPr>
        <w:keepNext/>
        <w:numPr>
          <w:ilvl w:val="0"/>
          <w:numId w:val="18"/>
        </w:numPr>
        <w:tabs>
          <w:tab w:val="left" w:pos="567"/>
          <w:tab w:val="left" w:pos="851"/>
        </w:tabs>
        <w:overflowPunct w:val="0"/>
        <w:adjustRightInd w:val="0"/>
        <w:ind w:left="446" w:hanging="450"/>
        <w:contextualSpacing/>
        <w:rPr>
          <w:rFonts w:eastAsia="Times New Roman"/>
          <w:b/>
          <w:szCs w:val="22"/>
          <w:lang w:val="fr-FR" w:eastAsia="en-US"/>
        </w:rPr>
      </w:pPr>
      <w:r w:rsidRPr="000F6A66">
        <w:rPr>
          <w:rFonts w:eastAsia="Times New Roman"/>
          <w:b/>
          <w:szCs w:val="22"/>
          <w:lang w:val="fr-FR" w:eastAsia="en-US"/>
        </w:rPr>
        <w:t>Durée de contrat et paiement</w:t>
      </w:r>
    </w:p>
    <w:p w14:paraId="495EBD89" w14:textId="77777777" w:rsidR="00C31DE2" w:rsidRPr="000F6A66" w:rsidRDefault="00C31DE2" w:rsidP="00C31DE2">
      <w:pPr>
        <w:keepNext/>
        <w:tabs>
          <w:tab w:val="left" w:pos="567"/>
          <w:tab w:val="left" w:pos="851"/>
        </w:tabs>
        <w:overflowPunct w:val="0"/>
        <w:adjustRightInd w:val="0"/>
        <w:ind w:left="446"/>
        <w:contextualSpacing/>
        <w:rPr>
          <w:rFonts w:eastAsia="Times New Roman"/>
          <w:b/>
          <w:szCs w:val="22"/>
          <w:lang w:val="fr-FR" w:eastAsia="en-US"/>
        </w:rPr>
      </w:pPr>
    </w:p>
    <w:p w14:paraId="461260B6" w14:textId="7A8A1D0B" w:rsidR="000F6A66" w:rsidRPr="000F6A66" w:rsidRDefault="00C31DE2" w:rsidP="000F6A66">
      <w:pPr>
        <w:pStyle w:val="ONUMFS"/>
        <w:numPr>
          <w:ilvl w:val="0"/>
          <w:numId w:val="0"/>
        </w:numPr>
        <w:rPr>
          <w:lang w:val="fr-FR" w:eastAsia="en-US"/>
        </w:rPr>
      </w:pPr>
      <w:r w:rsidRPr="000F6A66">
        <w:rPr>
          <w:lang w:val="fr-FR" w:eastAsia="en-US"/>
        </w:rPr>
        <w:t>Le contrat commence le 6 juillet 2019 et s’achève le 22 novembre 2019.  Au cours de cette p</w:t>
      </w:r>
      <w:r w:rsidR="000F6A66">
        <w:rPr>
          <w:lang w:val="fr-FR" w:eastAsia="en-US"/>
        </w:rPr>
        <w:t>é</w:t>
      </w:r>
      <w:r w:rsidRPr="000F6A66">
        <w:rPr>
          <w:lang w:val="fr-FR" w:eastAsia="en-US"/>
        </w:rPr>
        <w:t>riode, le programme ci-apr</w:t>
      </w:r>
      <w:r w:rsidR="000F6A66">
        <w:rPr>
          <w:lang w:val="fr-FR" w:eastAsia="en-US"/>
        </w:rPr>
        <w:t>è</w:t>
      </w:r>
      <w:r w:rsidRPr="000F6A66">
        <w:rPr>
          <w:lang w:val="fr-FR" w:eastAsia="en-US"/>
        </w:rPr>
        <w:t>s sera suivi.</w:t>
      </w:r>
    </w:p>
    <w:p w14:paraId="68BABAB8" w14:textId="1E6E5512" w:rsidR="00C31DE2" w:rsidRPr="000F6A66" w:rsidRDefault="00C31DE2" w:rsidP="000F6A66">
      <w:pPr>
        <w:pStyle w:val="ONUMFS"/>
        <w:numPr>
          <w:ilvl w:val="0"/>
          <w:numId w:val="0"/>
        </w:numPr>
        <w:rPr>
          <w:lang w:val="fr-FR" w:eastAsia="en-US"/>
        </w:rPr>
      </w:pPr>
      <w:r w:rsidRPr="000F6A66">
        <w:rPr>
          <w:lang w:val="fr-FR" w:eastAsia="en-US"/>
        </w:rPr>
        <w:t xml:space="preserve">Le rapport initial doit </w:t>
      </w:r>
      <w:r w:rsidR="000F6A66">
        <w:rPr>
          <w:lang w:val="fr-FR" w:eastAsia="en-US"/>
        </w:rPr>
        <w:t>ê</w:t>
      </w:r>
      <w:r w:rsidRPr="000F6A66">
        <w:rPr>
          <w:lang w:val="fr-FR" w:eastAsia="en-US"/>
        </w:rPr>
        <w:t>tre soumis à l’OMPI d’ici le 15 juillet 2019.  Les commentaires de l’OMPI vous seront communiqu</w:t>
      </w:r>
      <w:r w:rsidR="000F6A66">
        <w:rPr>
          <w:lang w:val="fr-FR" w:eastAsia="en-US"/>
        </w:rPr>
        <w:t>é</w:t>
      </w:r>
      <w:r w:rsidRPr="000F6A66">
        <w:rPr>
          <w:lang w:val="fr-FR" w:eastAsia="en-US"/>
        </w:rPr>
        <w:t>s d’ici le 22 juillet 2019.  Le projet de rapport d’</w:t>
      </w:r>
      <w:r w:rsidR="000F6A66">
        <w:rPr>
          <w:lang w:val="fr-FR" w:eastAsia="en-US"/>
        </w:rPr>
        <w:t>é</w:t>
      </w:r>
      <w:r w:rsidRPr="000F6A66">
        <w:rPr>
          <w:lang w:val="fr-FR" w:eastAsia="en-US"/>
        </w:rPr>
        <w:t xml:space="preserve">valuation doit </w:t>
      </w:r>
      <w:r w:rsidR="000F6A66">
        <w:rPr>
          <w:lang w:val="fr-FR" w:eastAsia="en-US"/>
        </w:rPr>
        <w:t>ê</w:t>
      </w:r>
      <w:r w:rsidRPr="000F6A66">
        <w:rPr>
          <w:lang w:val="fr-FR" w:eastAsia="en-US"/>
        </w:rPr>
        <w:t>tre soumis à l’OMPI d’ici le 2 septembre 2019.  Les corrections factuelles apport</w:t>
      </w:r>
      <w:r w:rsidR="000F6A66">
        <w:rPr>
          <w:lang w:val="fr-FR" w:eastAsia="en-US"/>
        </w:rPr>
        <w:t>é</w:t>
      </w:r>
      <w:r w:rsidRPr="000F6A66">
        <w:rPr>
          <w:lang w:val="fr-FR" w:eastAsia="en-US"/>
        </w:rPr>
        <w:t>es au projet de rapport seront transmises à l’</w:t>
      </w:r>
      <w:r w:rsidR="000F6A66">
        <w:rPr>
          <w:lang w:val="fr-FR" w:eastAsia="en-US"/>
        </w:rPr>
        <w:t>é</w:t>
      </w:r>
      <w:r w:rsidRPr="000F6A66">
        <w:rPr>
          <w:lang w:val="fr-FR" w:eastAsia="en-US"/>
        </w:rPr>
        <w:t>valuateur avant le 6 septembre 2019.  Le rapport d’</w:t>
      </w:r>
      <w:r w:rsidR="000F6A66">
        <w:rPr>
          <w:lang w:val="fr-FR" w:eastAsia="en-US"/>
        </w:rPr>
        <w:t>é</w:t>
      </w:r>
      <w:r w:rsidRPr="000F6A66">
        <w:rPr>
          <w:lang w:val="fr-FR" w:eastAsia="en-US"/>
        </w:rPr>
        <w:t xml:space="preserve">valuation final doit </w:t>
      </w:r>
      <w:r w:rsidR="000F6A66">
        <w:rPr>
          <w:lang w:val="fr-FR" w:eastAsia="en-US"/>
        </w:rPr>
        <w:t>ê</w:t>
      </w:r>
      <w:r w:rsidRPr="000F6A66">
        <w:rPr>
          <w:lang w:val="fr-FR" w:eastAsia="en-US"/>
        </w:rPr>
        <w:t>tre soumis d’ici le 13 septembre 2019.</w:t>
      </w:r>
    </w:p>
    <w:p w14:paraId="5E9A10AA" w14:textId="46185EAD" w:rsidR="00C31DE2" w:rsidRPr="000F6A66" w:rsidRDefault="00C31DE2" w:rsidP="000F6A66">
      <w:pPr>
        <w:pStyle w:val="ONUMFS"/>
        <w:numPr>
          <w:ilvl w:val="0"/>
          <w:numId w:val="0"/>
        </w:numPr>
        <w:rPr>
          <w:lang w:val="fr-FR" w:eastAsia="en-US"/>
        </w:rPr>
      </w:pPr>
      <w:r w:rsidRPr="000F6A66">
        <w:rPr>
          <w:lang w:val="fr-FR" w:eastAsia="en-US"/>
        </w:rPr>
        <w:t>La version finale du rapport d’</w:t>
      </w:r>
      <w:r w:rsidR="000F6A66" w:rsidRPr="000F6A66">
        <w:rPr>
          <w:lang w:val="fr-FR" w:eastAsia="en-US"/>
        </w:rPr>
        <w:t>évaluation</w:t>
      </w:r>
      <w:r w:rsidRPr="000F6A66">
        <w:rPr>
          <w:lang w:val="fr-FR" w:eastAsia="en-US"/>
        </w:rPr>
        <w:t xml:space="preserve">, contenant une </w:t>
      </w:r>
      <w:r w:rsidR="000F6A66" w:rsidRPr="000F6A66">
        <w:rPr>
          <w:lang w:val="fr-FR" w:eastAsia="en-US"/>
        </w:rPr>
        <w:t>réponse</w:t>
      </w:r>
      <w:r w:rsidRPr="000F6A66">
        <w:rPr>
          <w:lang w:val="fr-FR" w:eastAsia="en-US"/>
        </w:rPr>
        <w:t xml:space="preserve"> de la direction en annexe, sera </w:t>
      </w:r>
      <w:r w:rsidR="000F6A66" w:rsidRPr="000F6A66">
        <w:rPr>
          <w:lang w:val="fr-FR" w:eastAsia="en-US"/>
        </w:rPr>
        <w:t>présentée</w:t>
      </w:r>
      <w:r w:rsidRPr="000F6A66">
        <w:rPr>
          <w:lang w:val="fr-FR" w:eastAsia="en-US"/>
        </w:rPr>
        <w:t xml:space="preserve"> à la vingt-quatrième session du CDIP, qui se tiendra du 18 au 22 novembre 2019.  L’évaluateur sera tenu de </w:t>
      </w:r>
      <w:r w:rsidR="000F6A66" w:rsidRPr="000F6A66">
        <w:rPr>
          <w:lang w:val="fr-FR" w:eastAsia="en-US"/>
        </w:rPr>
        <w:t>présenter</w:t>
      </w:r>
      <w:r w:rsidRPr="000F6A66">
        <w:rPr>
          <w:lang w:val="fr-FR" w:eastAsia="en-US"/>
        </w:rPr>
        <w:t xml:space="preserve"> le rapport d’</w:t>
      </w:r>
      <w:r w:rsidR="000F6A66">
        <w:rPr>
          <w:lang w:val="fr-FR" w:eastAsia="en-US"/>
        </w:rPr>
        <w:t>é</w:t>
      </w:r>
      <w:r w:rsidRPr="000F6A66">
        <w:rPr>
          <w:lang w:val="fr-FR" w:eastAsia="en-US"/>
        </w:rPr>
        <w:t>valuation au cours de cette session du CDIP.</w:t>
      </w:r>
    </w:p>
    <w:p w14:paraId="577E3235" w14:textId="77777777" w:rsidR="00C31DE2" w:rsidRPr="000F6A66" w:rsidRDefault="00C31DE2" w:rsidP="000F6A66">
      <w:pPr>
        <w:pStyle w:val="ONUMFS"/>
        <w:numPr>
          <w:ilvl w:val="0"/>
          <w:numId w:val="0"/>
        </w:numPr>
        <w:rPr>
          <w:lang w:val="fr-FR" w:eastAsia="en-US"/>
        </w:rPr>
      </w:pPr>
      <w:r w:rsidRPr="000F6A66">
        <w:rPr>
          <w:lang w:val="fr-FR" w:eastAsia="en-US"/>
        </w:rPr>
        <w:t>L’évaluateur recevra une somme forfaitaire de 10 000 francs suisses, payable en deux versements :</w:t>
      </w:r>
    </w:p>
    <w:p w14:paraId="1F58FD0A" w14:textId="36C82555" w:rsidR="00C31DE2" w:rsidRPr="000F6A66" w:rsidRDefault="00C31DE2" w:rsidP="000F6A66">
      <w:pPr>
        <w:numPr>
          <w:ilvl w:val="0"/>
          <w:numId w:val="15"/>
        </w:numPr>
        <w:spacing w:before="120"/>
        <w:ind w:left="1134" w:hanging="567"/>
        <w:rPr>
          <w:rFonts w:eastAsia="Times New Roman"/>
          <w:szCs w:val="22"/>
          <w:lang w:val="fr-FR" w:eastAsia="en-US"/>
        </w:rPr>
      </w:pPr>
      <w:r w:rsidRPr="000F6A66">
        <w:rPr>
          <w:rFonts w:eastAsia="Times New Roman"/>
          <w:szCs w:val="22"/>
          <w:lang w:val="fr-FR" w:eastAsia="en-US"/>
        </w:rPr>
        <w:t>50% après acceptation par l’OMPI d’un rapport initial;</w:t>
      </w:r>
    </w:p>
    <w:p w14:paraId="374D10B6" w14:textId="77777777" w:rsidR="000F6A66" w:rsidRPr="000F6A66" w:rsidRDefault="000F6A66" w:rsidP="000F6A66">
      <w:pPr>
        <w:spacing w:before="120"/>
        <w:rPr>
          <w:rFonts w:eastAsia="Times New Roman"/>
          <w:szCs w:val="22"/>
          <w:lang w:val="fr-FR" w:eastAsia="en-US"/>
        </w:rPr>
      </w:pPr>
    </w:p>
    <w:p w14:paraId="33F01DAF" w14:textId="77777777" w:rsidR="00C31DE2" w:rsidRPr="000F6A66" w:rsidRDefault="00C31DE2" w:rsidP="000F6A66">
      <w:pPr>
        <w:numPr>
          <w:ilvl w:val="0"/>
          <w:numId w:val="15"/>
        </w:numPr>
        <w:ind w:left="1134" w:hanging="567"/>
        <w:rPr>
          <w:rFonts w:eastAsia="Times New Roman"/>
          <w:szCs w:val="22"/>
          <w:lang w:val="fr-FR" w:eastAsia="en-US"/>
        </w:rPr>
      </w:pPr>
      <w:r w:rsidRPr="000F6A66">
        <w:rPr>
          <w:rFonts w:eastAsia="Times New Roman"/>
          <w:szCs w:val="22"/>
          <w:lang w:val="fr-FR" w:eastAsia="en-US"/>
        </w:rPr>
        <w:t>50% après acceptation par l’OMPI d’un rapport d’évaluation final.</w:t>
      </w:r>
    </w:p>
    <w:p w14:paraId="1DAF8D21" w14:textId="77777777" w:rsidR="00C31DE2" w:rsidRPr="000F6A66" w:rsidRDefault="00C31DE2" w:rsidP="00C31DE2">
      <w:pPr>
        <w:ind w:left="720"/>
        <w:rPr>
          <w:rFonts w:eastAsia="Times New Roman"/>
          <w:szCs w:val="22"/>
          <w:lang w:val="fr-FR" w:eastAsia="en-US"/>
        </w:rPr>
      </w:pPr>
    </w:p>
    <w:p w14:paraId="72C5FA8F" w14:textId="77777777" w:rsidR="00C31DE2" w:rsidRPr="000F6A66" w:rsidRDefault="00C31DE2" w:rsidP="00C31DE2">
      <w:pPr>
        <w:tabs>
          <w:tab w:val="left" w:pos="851"/>
        </w:tabs>
        <w:rPr>
          <w:rFonts w:eastAsia="Times New Roman"/>
          <w:szCs w:val="22"/>
          <w:lang w:val="fr-FR" w:eastAsia="en-US"/>
        </w:rPr>
      </w:pPr>
      <w:r w:rsidRPr="000F6A66">
        <w:rPr>
          <w:rFonts w:eastAsia="Times New Roman"/>
          <w:szCs w:val="22"/>
          <w:lang w:val="fr-FR" w:eastAsia="en-US"/>
        </w:rPr>
        <w:t>La rémunération sera subordonnée à la réception des livrables conformément au présent mandat et à la réalisation des tâches qui y sont décrites.</w:t>
      </w:r>
    </w:p>
    <w:p w14:paraId="302A3C68" w14:textId="77777777" w:rsidR="00C31DE2" w:rsidRPr="000F6A66" w:rsidRDefault="00C31DE2" w:rsidP="00C31DE2">
      <w:pPr>
        <w:tabs>
          <w:tab w:val="left" w:pos="851"/>
        </w:tabs>
        <w:rPr>
          <w:rFonts w:eastAsia="Times New Roman"/>
          <w:szCs w:val="22"/>
          <w:lang w:val="fr-FR" w:eastAsia="en-US"/>
        </w:rPr>
      </w:pPr>
    </w:p>
    <w:p w14:paraId="5F5C3061" w14:textId="2E6F9496" w:rsidR="00C31DE2" w:rsidRPr="000F6A66" w:rsidRDefault="00C31DE2" w:rsidP="00C31DE2">
      <w:pPr>
        <w:tabs>
          <w:tab w:val="left" w:pos="851"/>
        </w:tabs>
        <w:rPr>
          <w:rFonts w:eastAsia="Times New Roman"/>
          <w:szCs w:val="22"/>
          <w:lang w:val="fr-FR" w:eastAsia="en-US"/>
        </w:rPr>
      </w:pPr>
    </w:p>
    <w:p w14:paraId="09A416FC" w14:textId="77777777" w:rsidR="000F6A66" w:rsidRPr="000F6A66" w:rsidRDefault="000F6A66" w:rsidP="00C31DE2">
      <w:pPr>
        <w:tabs>
          <w:tab w:val="left" w:pos="851"/>
        </w:tabs>
        <w:rPr>
          <w:rFonts w:eastAsia="Times New Roman"/>
          <w:szCs w:val="22"/>
          <w:lang w:val="fr-FR" w:eastAsia="en-US"/>
        </w:rPr>
      </w:pPr>
    </w:p>
    <w:p w14:paraId="46A2B41D" w14:textId="52E2C38F" w:rsidR="00C31DE2" w:rsidRPr="000F6A66" w:rsidRDefault="00C31DE2" w:rsidP="000F6A66">
      <w:pPr>
        <w:pStyle w:val="Endofdocument-Annex"/>
        <w:rPr>
          <w:lang w:val="fr-FR" w:eastAsia="en-US"/>
        </w:rPr>
      </w:pPr>
      <w:r w:rsidRPr="000F6A66">
        <w:rPr>
          <w:lang w:val="fr-FR" w:eastAsia="en-US"/>
        </w:rPr>
        <w:t>[</w:t>
      </w:r>
      <w:r w:rsidR="000F6A66" w:rsidRPr="000F6A66">
        <w:rPr>
          <w:lang w:val="fr-FR" w:eastAsia="en-US"/>
        </w:rPr>
        <w:t>L’appendice</w:t>
      </w:r>
      <w:r w:rsidRPr="000F6A66">
        <w:rPr>
          <w:lang w:val="fr-FR" w:eastAsia="en-US"/>
        </w:rPr>
        <w:t> III suit]</w:t>
      </w:r>
    </w:p>
    <w:p w14:paraId="6AE49F5D" w14:textId="77777777" w:rsidR="00C31DE2" w:rsidRPr="000F6A66" w:rsidRDefault="00C31DE2" w:rsidP="00C31DE2">
      <w:pPr>
        <w:pStyle w:val="ONUME"/>
        <w:numPr>
          <w:ilvl w:val="0"/>
          <w:numId w:val="0"/>
        </w:numPr>
        <w:jc w:val="both"/>
        <w:rPr>
          <w:rFonts w:eastAsia="Times New Roman"/>
          <w:szCs w:val="22"/>
          <w:lang w:val="fr-FR" w:eastAsia="en-US"/>
        </w:rPr>
      </w:pPr>
    </w:p>
    <w:p w14:paraId="5FC2A307" w14:textId="77777777" w:rsidR="00C31DE2" w:rsidRPr="000F6A66" w:rsidRDefault="00C31DE2" w:rsidP="00C31DE2">
      <w:pPr>
        <w:pStyle w:val="ONUME"/>
        <w:numPr>
          <w:ilvl w:val="0"/>
          <w:numId w:val="0"/>
        </w:numPr>
        <w:jc w:val="both"/>
        <w:rPr>
          <w:caps/>
          <w:lang w:val="fr-FR"/>
        </w:rPr>
        <w:sectPr w:rsidR="00C31DE2" w:rsidRPr="000F6A66" w:rsidSect="00343BD7">
          <w:headerReference w:type="even" r:id="rId22"/>
          <w:headerReference w:type="default" r:id="rId23"/>
          <w:footerReference w:type="even" r:id="rId24"/>
          <w:footerReference w:type="default" r:id="rId25"/>
          <w:headerReference w:type="first" r:id="rId26"/>
          <w:footerReference w:type="first" r:id="rId27"/>
          <w:pgSz w:w="11907" w:h="16840" w:code="9"/>
          <w:pgMar w:top="567" w:right="1134" w:bottom="1418" w:left="1418" w:header="510" w:footer="1021" w:gutter="0"/>
          <w:pgNumType w:start="1"/>
          <w:cols w:space="720"/>
          <w:titlePg/>
          <w:docGrid w:linePitch="299"/>
        </w:sectPr>
      </w:pPr>
    </w:p>
    <w:p w14:paraId="7F0A838C" w14:textId="2D4D8EC0" w:rsidR="00C31DE2" w:rsidRPr="000F6A66" w:rsidRDefault="00B81EFC" w:rsidP="00C31DE2">
      <w:pPr>
        <w:pStyle w:val="ONUME"/>
        <w:numPr>
          <w:ilvl w:val="0"/>
          <w:numId w:val="0"/>
        </w:numPr>
        <w:jc w:val="both"/>
        <w:rPr>
          <w:caps/>
          <w:lang w:val="fr-FR"/>
        </w:rPr>
      </w:pPr>
      <w:r>
        <w:rPr>
          <w:caps/>
          <w:lang w:val="fr-FR"/>
        </w:rPr>
        <w:lastRenderedPageBreak/>
        <w:t xml:space="preserve">Appendice </w:t>
      </w:r>
      <w:r w:rsidR="00C31DE2" w:rsidRPr="000F6A66">
        <w:rPr>
          <w:caps/>
          <w:lang w:val="fr-FR"/>
        </w:rPr>
        <w:t>III : Liste des personnes CONSULTÉES</w:t>
      </w:r>
    </w:p>
    <w:p w14:paraId="51657B22" w14:textId="77777777" w:rsidR="00C31DE2" w:rsidRPr="000F6A66" w:rsidRDefault="00C31DE2" w:rsidP="00C31DE2">
      <w:pPr>
        <w:pStyle w:val="ListParagraph"/>
        <w:spacing w:after="120" w:line="260" w:lineRule="atLeast"/>
        <w:ind w:left="714"/>
        <w:contextualSpacing w:val="0"/>
        <w:rPr>
          <w:caps/>
          <w:lang w:val="fr-FR"/>
        </w:rPr>
      </w:pPr>
    </w:p>
    <w:p w14:paraId="3D31A922" w14:textId="77777777" w:rsidR="00C31DE2" w:rsidRPr="000F6A66" w:rsidRDefault="00C31DE2" w:rsidP="00C31DE2">
      <w:pPr>
        <w:pStyle w:val="ListParagraph"/>
        <w:numPr>
          <w:ilvl w:val="0"/>
          <w:numId w:val="11"/>
        </w:numPr>
        <w:spacing w:after="120" w:line="260" w:lineRule="atLeast"/>
        <w:ind w:left="567" w:hanging="567"/>
        <w:contextualSpacing w:val="0"/>
        <w:rPr>
          <w:lang w:val="fr-FR"/>
        </w:rPr>
      </w:pPr>
      <w:r w:rsidRPr="000F6A66">
        <w:rPr>
          <w:caps/>
          <w:lang w:val="fr-FR"/>
        </w:rPr>
        <w:t>M. </w:t>
      </w:r>
      <w:r w:rsidRPr="000F6A66">
        <w:rPr>
          <w:lang w:val="fr-FR"/>
        </w:rPr>
        <w:t>Amr Abdelaziz, conseiller, Bureau régional pour les pays arabes</w:t>
      </w:r>
    </w:p>
    <w:p w14:paraId="353258C4" w14:textId="77777777" w:rsidR="00C31DE2" w:rsidRPr="000F6A66" w:rsidRDefault="00C31DE2" w:rsidP="00C31DE2">
      <w:pPr>
        <w:pStyle w:val="ListParagraph"/>
        <w:numPr>
          <w:ilvl w:val="0"/>
          <w:numId w:val="11"/>
        </w:numPr>
        <w:spacing w:after="120" w:line="260" w:lineRule="atLeast"/>
        <w:ind w:left="567" w:hanging="567"/>
        <w:contextualSpacing w:val="0"/>
        <w:rPr>
          <w:caps/>
          <w:lang w:val="fr-FR"/>
        </w:rPr>
      </w:pPr>
      <w:r w:rsidRPr="000F6A66">
        <w:rPr>
          <w:lang w:val="fr-FR"/>
        </w:rPr>
        <w:t>M. Walid Abdelnasser, directeur du Bureau régional pour les pays arabes</w:t>
      </w:r>
    </w:p>
    <w:p w14:paraId="678421C1" w14:textId="77777777" w:rsidR="00C31DE2" w:rsidRPr="000F6A66" w:rsidRDefault="00C31DE2" w:rsidP="00C31DE2">
      <w:pPr>
        <w:pStyle w:val="ListParagraph"/>
        <w:numPr>
          <w:ilvl w:val="0"/>
          <w:numId w:val="11"/>
        </w:numPr>
        <w:spacing w:after="120" w:line="260" w:lineRule="atLeast"/>
        <w:ind w:left="567" w:hanging="567"/>
        <w:contextualSpacing w:val="0"/>
        <w:rPr>
          <w:caps/>
          <w:lang w:val="fr-FR"/>
        </w:rPr>
      </w:pPr>
      <w:r w:rsidRPr="000F6A66">
        <w:rPr>
          <w:lang w:val="fr-FR"/>
        </w:rPr>
        <w:t>Mme Loretta Asiedu, conseillère principale, Bureau régional pour l’Afrique</w:t>
      </w:r>
    </w:p>
    <w:p w14:paraId="530FDF0D" w14:textId="77777777" w:rsidR="00C31DE2" w:rsidRPr="000F6A66" w:rsidRDefault="00C31DE2" w:rsidP="00C31DE2">
      <w:pPr>
        <w:pStyle w:val="ListParagraph"/>
        <w:numPr>
          <w:ilvl w:val="0"/>
          <w:numId w:val="11"/>
        </w:numPr>
        <w:spacing w:after="120" w:line="260" w:lineRule="atLeast"/>
        <w:ind w:left="567" w:hanging="567"/>
        <w:contextualSpacing w:val="0"/>
        <w:rPr>
          <w:lang w:val="fr-FR"/>
        </w:rPr>
      </w:pPr>
      <w:r w:rsidRPr="000F6A66">
        <w:rPr>
          <w:caps/>
          <w:lang w:val="fr-FR"/>
        </w:rPr>
        <w:t>M. </w:t>
      </w:r>
      <w:r w:rsidRPr="000F6A66">
        <w:rPr>
          <w:lang w:val="fr-FR"/>
        </w:rPr>
        <w:t>George Ghandour, administrateur principal de programme, Division de la coordination du Plan d’action pour le développement</w:t>
      </w:r>
    </w:p>
    <w:p w14:paraId="22ECCBD1" w14:textId="77777777" w:rsidR="00C31DE2" w:rsidRPr="000F6A66" w:rsidRDefault="00C31DE2" w:rsidP="00C31DE2">
      <w:pPr>
        <w:pStyle w:val="ListParagraph"/>
        <w:numPr>
          <w:ilvl w:val="0"/>
          <w:numId w:val="11"/>
        </w:numPr>
        <w:spacing w:after="120" w:line="260" w:lineRule="atLeast"/>
        <w:ind w:left="567" w:hanging="567"/>
        <w:contextualSpacing w:val="0"/>
        <w:rPr>
          <w:caps/>
          <w:lang w:val="fr-FR"/>
        </w:rPr>
      </w:pPr>
      <w:r w:rsidRPr="000F6A66">
        <w:rPr>
          <w:lang w:val="fr-FR"/>
        </w:rPr>
        <w:t>M. Oswaldo Girones, conseiller principal, Bureau régional pour l’Amérique latine et les Caraïbes (en remplacement de Mme Beatriz Amorim-Borher, directrice)</w:t>
      </w:r>
    </w:p>
    <w:p w14:paraId="7153DF73" w14:textId="77777777" w:rsidR="00C31DE2" w:rsidRPr="000F6A66" w:rsidRDefault="00C31DE2" w:rsidP="00C31DE2">
      <w:pPr>
        <w:pStyle w:val="ListParagraph"/>
        <w:numPr>
          <w:ilvl w:val="0"/>
          <w:numId w:val="11"/>
        </w:numPr>
        <w:spacing w:after="120" w:line="260" w:lineRule="atLeast"/>
        <w:ind w:left="567" w:hanging="567"/>
        <w:contextualSpacing w:val="0"/>
        <w:rPr>
          <w:caps/>
          <w:lang w:val="fr-FR"/>
        </w:rPr>
      </w:pPr>
      <w:r w:rsidRPr="000F6A66">
        <w:rPr>
          <w:lang w:val="fr-FR"/>
        </w:rPr>
        <w:t>Mme May Hassan, consultante en propriété intellectuelle, auteure du rapport national de l’Égypte et coordonnatrice générale du projet national</w:t>
      </w:r>
    </w:p>
    <w:p w14:paraId="39B02667" w14:textId="77777777" w:rsidR="00C31DE2" w:rsidRPr="000F6A66" w:rsidRDefault="00C31DE2" w:rsidP="00C31DE2">
      <w:pPr>
        <w:pStyle w:val="ListParagraph"/>
        <w:numPr>
          <w:ilvl w:val="0"/>
          <w:numId w:val="11"/>
        </w:numPr>
        <w:spacing w:after="120" w:line="260" w:lineRule="atLeast"/>
        <w:ind w:left="567" w:hanging="567"/>
        <w:contextualSpacing w:val="0"/>
        <w:rPr>
          <w:caps/>
          <w:lang w:val="fr-FR"/>
        </w:rPr>
      </w:pPr>
      <w:r w:rsidRPr="000F6A66">
        <w:rPr>
          <w:lang w:val="fr-FR"/>
        </w:rPr>
        <w:t>S. E. l’Ambassadrice Seif alla Kandeel, directrice, Division des institutions spécialisées des Nations Unies, Ministère des affaires étrangères, Égypte</w:t>
      </w:r>
    </w:p>
    <w:p w14:paraId="35BE1F5A" w14:textId="77777777" w:rsidR="00C31DE2" w:rsidRPr="000F6A66" w:rsidRDefault="00C31DE2" w:rsidP="00C31DE2">
      <w:pPr>
        <w:pStyle w:val="ListParagraph"/>
        <w:numPr>
          <w:ilvl w:val="0"/>
          <w:numId w:val="11"/>
        </w:numPr>
        <w:spacing w:after="120" w:line="260" w:lineRule="atLeast"/>
        <w:ind w:left="567" w:hanging="567"/>
        <w:contextualSpacing w:val="0"/>
        <w:rPr>
          <w:caps/>
          <w:lang w:val="fr-FR"/>
        </w:rPr>
      </w:pPr>
      <w:r w:rsidRPr="000F6A66">
        <w:rPr>
          <w:lang w:val="fr-FR"/>
        </w:rPr>
        <w:t>Mme Ainna Kaundu, responsable des relations internationales, Autorité des affaires commerciales et de la propriété intellectuelle, Namibie</w:t>
      </w:r>
    </w:p>
    <w:p w14:paraId="59C582AE" w14:textId="77777777" w:rsidR="00C31DE2" w:rsidRPr="000F6A66" w:rsidRDefault="00C31DE2" w:rsidP="00C31DE2">
      <w:pPr>
        <w:pStyle w:val="ListParagraph"/>
        <w:numPr>
          <w:ilvl w:val="0"/>
          <w:numId w:val="11"/>
        </w:numPr>
        <w:spacing w:after="120" w:line="260" w:lineRule="atLeast"/>
        <w:ind w:left="567" w:hanging="567"/>
        <w:contextualSpacing w:val="0"/>
        <w:rPr>
          <w:caps/>
          <w:lang w:val="fr-FR"/>
        </w:rPr>
      </w:pPr>
      <w:r w:rsidRPr="000F6A66">
        <w:rPr>
          <w:lang w:val="fr-FR"/>
        </w:rPr>
        <w:t>Dr Malan Lindeque, ancien Secrétaire permanent du commerce et de l’industrie de la Namibie et auteur du rapport national de la Namibie</w:t>
      </w:r>
    </w:p>
    <w:p w14:paraId="093335E4" w14:textId="77777777" w:rsidR="00C31DE2" w:rsidRPr="000F6A66" w:rsidRDefault="00C31DE2" w:rsidP="00C31DE2">
      <w:pPr>
        <w:pStyle w:val="ListParagraph"/>
        <w:numPr>
          <w:ilvl w:val="0"/>
          <w:numId w:val="11"/>
        </w:numPr>
        <w:spacing w:after="120" w:line="260" w:lineRule="atLeast"/>
        <w:ind w:left="567" w:hanging="567"/>
        <w:contextualSpacing w:val="0"/>
        <w:rPr>
          <w:caps/>
          <w:lang w:val="fr-FR"/>
        </w:rPr>
      </w:pPr>
      <w:r w:rsidRPr="000F6A66">
        <w:rPr>
          <w:lang w:val="fr-FR"/>
        </w:rPr>
        <w:t>S. E. l’Ambassadrice Sabine Bohlke-Moller, ancienne ambassadrice de la Namibie, Ministère des affaires étrangères (ancienne ambassadrice de la Namibie à Genève)</w:t>
      </w:r>
    </w:p>
    <w:p w14:paraId="0CA715CB" w14:textId="77777777" w:rsidR="00C31DE2" w:rsidRPr="000F6A66" w:rsidRDefault="00C31DE2" w:rsidP="00C31DE2">
      <w:pPr>
        <w:pStyle w:val="ListParagraph"/>
        <w:numPr>
          <w:ilvl w:val="0"/>
          <w:numId w:val="11"/>
        </w:numPr>
        <w:spacing w:after="120" w:line="260" w:lineRule="atLeast"/>
        <w:ind w:left="567" w:hanging="567"/>
        <w:contextualSpacing w:val="0"/>
        <w:rPr>
          <w:lang w:val="fr-FR"/>
        </w:rPr>
      </w:pPr>
      <w:r w:rsidRPr="000F6A66">
        <w:rPr>
          <w:lang w:val="fr-FR"/>
        </w:rPr>
        <w:t>Mme Mariana Pavón, coordonnatrice du nouveau cours sur la propriété intellectuelle et le tourisme en Équateur</w:t>
      </w:r>
    </w:p>
    <w:p w14:paraId="00FBB570" w14:textId="77777777" w:rsidR="00C31DE2" w:rsidRPr="000F6A66" w:rsidRDefault="00C31DE2" w:rsidP="00C31DE2">
      <w:pPr>
        <w:pStyle w:val="ListParagraph"/>
        <w:numPr>
          <w:ilvl w:val="0"/>
          <w:numId w:val="11"/>
        </w:numPr>
        <w:spacing w:after="120" w:line="260" w:lineRule="atLeast"/>
        <w:ind w:left="567" w:hanging="567"/>
        <w:contextualSpacing w:val="0"/>
        <w:rPr>
          <w:caps/>
          <w:lang w:val="fr-FR"/>
        </w:rPr>
      </w:pPr>
      <w:r w:rsidRPr="000F6A66">
        <w:rPr>
          <w:lang w:val="fr-FR"/>
        </w:rPr>
        <w:t>M. Marcelo Di Pietro Peralta, directeur, Bureau du vice-directeur général</w:t>
      </w:r>
    </w:p>
    <w:p w14:paraId="536C2F00" w14:textId="77777777" w:rsidR="00C31DE2" w:rsidRPr="000F6A66" w:rsidRDefault="00C31DE2" w:rsidP="00C31DE2">
      <w:pPr>
        <w:pStyle w:val="ListParagraph"/>
        <w:numPr>
          <w:ilvl w:val="0"/>
          <w:numId w:val="11"/>
        </w:numPr>
        <w:spacing w:after="120" w:line="260" w:lineRule="atLeast"/>
        <w:ind w:left="567" w:hanging="567"/>
        <w:contextualSpacing w:val="0"/>
        <w:rPr>
          <w:caps/>
          <w:lang w:val="fr-FR"/>
        </w:rPr>
      </w:pPr>
      <w:r w:rsidRPr="000F6A66">
        <w:rPr>
          <w:caps/>
          <w:lang w:val="fr-FR"/>
        </w:rPr>
        <w:t>M. </w:t>
      </w:r>
      <w:r w:rsidRPr="000F6A66">
        <w:rPr>
          <w:lang w:val="fr-FR"/>
        </w:rPr>
        <w:t>Sampath Punchihewa, consultant en propriété intellectuelle, auteur du rapport national et des supports d’enseignement, coordonnateur principal du projet national, Sri Lanka</w:t>
      </w:r>
    </w:p>
    <w:p w14:paraId="7853FE5F" w14:textId="77777777" w:rsidR="00C31DE2" w:rsidRPr="000F6A66" w:rsidRDefault="00C31DE2" w:rsidP="00C31DE2">
      <w:pPr>
        <w:pStyle w:val="ListParagraph"/>
        <w:numPr>
          <w:ilvl w:val="0"/>
          <w:numId w:val="11"/>
        </w:numPr>
        <w:spacing w:after="120" w:line="260" w:lineRule="atLeast"/>
        <w:ind w:left="567" w:hanging="567"/>
        <w:contextualSpacing w:val="0"/>
        <w:rPr>
          <w:caps/>
          <w:lang w:val="fr-FR"/>
        </w:rPr>
      </w:pPr>
      <w:r w:rsidRPr="000F6A66">
        <w:rPr>
          <w:caps/>
          <w:lang w:val="fr-FR"/>
        </w:rPr>
        <w:t>M. </w:t>
      </w:r>
      <w:r w:rsidRPr="000F6A66">
        <w:rPr>
          <w:lang w:val="fr-FR"/>
        </w:rPr>
        <w:t>Wilson Usiña Reina, membre principal, Órgano Colegiado de Derechos Intelectuales-OCDI, mimbre du Comité pilote</w:t>
      </w:r>
    </w:p>
    <w:p w14:paraId="495272FB" w14:textId="77777777" w:rsidR="00C31DE2" w:rsidRPr="000F6A66" w:rsidRDefault="00C31DE2" w:rsidP="00C31DE2">
      <w:pPr>
        <w:pStyle w:val="ListParagraph"/>
        <w:numPr>
          <w:ilvl w:val="0"/>
          <w:numId w:val="11"/>
        </w:numPr>
        <w:spacing w:after="120" w:line="260" w:lineRule="atLeast"/>
        <w:ind w:left="567" w:hanging="567"/>
        <w:contextualSpacing w:val="0"/>
        <w:rPr>
          <w:lang w:val="fr-FR"/>
        </w:rPr>
      </w:pPr>
      <w:r w:rsidRPr="000F6A66">
        <w:rPr>
          <w:caps/>
          <w:lang w:val="fr-FR"/>
        </w:rPr>
        <w:t>M. </w:t>
      </w:r>
      <w:r w:rsidRPr="000F6A66">
        <w:rPr>
          <w:lang w:val="fr-FR"/>
        </w:rPr>
        <w:t>Byron Robayo, avocat en propriété intellectuelle et consultant de l’OMPI, auteur des supports d’enseignement sur la propriété intellectuelle et le tourisme, Équateur</w:t>
      </w:r>
    </w:p>
    <w:p w14:paraId="7B11D362" w14:textId="77777777" w:rsidR="00C31DE2" w:rsidRPr="000F6A66" w:rsidRDefault="00C31DE2" w:rsidP="00C31DE2">
      <w:pPr>
        <w:pStyle w:val="ListParagraph"/>
        <w:numPr>
          <w:ilvl w:val="0"/>
          <w:numId w:val="11"/>
        </w:numPr>
        <w:spacing w:after="120" w:line="260" w:lineRule="atLeast"/>
        <w:ind w:left="567" w:hanging="567"/>
        <w:contextualSpacing w:val="0"/>
        <w:rPr>
          <w:caps/>
          <w:lang w:val="fr-FR"/>
        </w:rPr>
      </w:pPr>
      <w:r w:rsidRPr="000F6A66">
        <w:rPr>
          <w:lang w:val="fr-FR"/>
        </w:rPr>
        <w:t>Mme Francesca Toso, conseillère principale, Bureau du vice-directeur général</w:t>
      </w:r>
    </w:p>
    <w:p w14:paraId="75E74C63" w14:textId="77777777" w:rsidR="00C31DE2" w:rsidRPr="000F6A66" w:rsidRDefault="00C31DE2" w:rsidP="00C31DE2">
      <w:pPr>
        <w:pStyle w:val="ListParagraph"/>
        <w:numPr>
          <w:ilvl w:val="0"/>
          <w:numId w:val="11"/>
        </w:numPr>
        <w:spacing w:after="120" w:line="260" w:lineRule="atLeast"/>
        <w:ind w:left="567" w:hanging="567"/>
        <w:contextualSpacing w:val="0"/>
        <w:rPr>
          <w:lang w:val="fr-FR"/>
        </w:rPr>
      </w:pPr>
      <w:r w:rsidRPr="000F6A66">
        <w:rPr>
          <w:caps/>
          <w:lang w:val="fr-FR"/>
        </w:rPr>
        <w:t>M. </w:t>
      </w:r>
      <w:r w:rsidRPr="000F6A66">
        <w:rPr>
          <w:lang w:val="fr-FR"/>
        </w:rPr>
        <w:t>Wend Wendland, directeur du Département des savoirs traditionnels et des défis mondiaux, Division des savoirs traditionnels</w:t>
      </w:r>
    </w:p>
    <w:p w14:paraId="456A607C" w14:textId="42BBB4B0" w:rsidR="00C31DE2" w:rsidRDefault="00C31DE2" w:rsidP="00C31DE2">
      <w:pPr>
        <w:pStyle w:val="ONUME"/>
        <w:numPr>
          <w:ilvl w:val="0"/>
          <w:numId w:val="0"/>
        </w:numPr>
        <w:jc w:val="both"/>
        <w:rPr>
          <w:caps/>
          <w:lang w:val="fr-FR"/>
        </w:rPr>
      </w:pPr>
    </w:p>
    <w:p w14:paraId="360F929D" w14:textId="77777777" w:rsidR="00B81EFC" w:rsidRPr="000F6A66" w:rsidRDefault="00B81EFC" w:rsidP="00C31DE2">
      <w:pPr>
        <w:pStyle w:val="ONUME"/>
        <w:numPr>
          <w:ilvl w:val="0"/>
          <w:numId w:val="0"/>
        </w:numPr>
        <w:jc w:val="both"/>
        <w:rPr>
          <w:caps/>
          <w:lang w:val="fr-FR"/>
        </w:rPr>
      </w:pPr>
    </w:p>
    <w:p w14:paraId="1D044BE4" w14:textId="17C8CB84" w:rsidR="00C31DE2" w:rsidRPr="000F6A66" w:rsidRDefault="00C31DE2" w:rsidP="00C31DE2">
      <w:pPr>
        <w:pStyle w:val="ONUME"/>
        <w:numPr>
          <w:ilvl w:val="0"/>
          <w:numId w:val="0"/>
        </w:numPr>
        <w:ind w:left="6237"/>
        <w:jc w:val="both"/>
        <w:rPr>
          <w:caps/>
          <w:lang w:val="fr-FR"/>
        </w:rPr>
      </w:pPr>
      <w:r w:rsidRPr="000F6A66">
        <w:rPr>
          <w:caps/>
          <w:lang w:val="fr-FR"/>
        </w:rPr>
        <w:t>[L’</w:t>
      </w:r>
      <w:r w:rsidRPr="000F6A66">
        <w:rPr>
          <w:lang w:val="fr-FR"/>
        </w:rPr>
        <w:t>a</w:t>
      </w:r>
      <w:r w:rsidR="00B81EFC">
        <w:rPr>
          <w:lang w:val="fr-FR"/>
        </w:rPr>
        <w:t>ppendic</w:t>
      </w:r>
      <w:r w:rsidRPr="000F6A66">
        <w:rPr>
          <w:lang w:val="fr-FR"/>
        </w:rPr>
        <w:t>e </w:t>
      </w:r>
      <w:r w:rsidRPr="000F6A66">
        <w:rPr>
          <w:caps/>
          <w:lang w:val="fr-FR"/>
        </w:rPr>
        <w:t xml:space="preserve">IV </w:t>
      </w:r>
      <w:r w:rsidRPr="000F6A66">
        <w:rPr>
          <w:lang w:val="fr-FR"/>
        </w:rPr>
        <w:t>suit</w:t>
      </w:r>
      <w:r w:rsidRPr="000F6A66">
        <w:rPr>
          <w:caps/>
          <w:lang w:val="fr-FR"/>
        </w:rPr>
        <w:t>]</w:t>
      </w:r>
    </w:p>
    <w:p w14:paraId="48E0314F" w14:textId="77777777" w:rsidR="00C31DE2" w:rsidRPr="000F6A66" w:rsidRDefault="00C31DE2" w:rsidP="00C31DE2">
      <w:pPr>
        <w:pStyle w:val="ONUME"/>
        <w:numPr>
          <w:ilvl w:val="0"/>
          <w:numId w:val="0"/>
        </w:numPr>
        <w:ind w:left="6237"/>
        <w:jc w:val="both"/>
        <w:rPr>
          <w:caps/>
          <w:lang w:val="fr-FR"/>
        </w:rPr>
        <w:sectPr w:rsidR="00C31DE2" w:rsidRPr="000F6A66" w:rsidSect="00343BD7">
          <w:headerReference w:type="first" r:id="rId28"/>
          <w:pgSz w:w="11907" w:h="16840" w:code="9"/>
          <w:pgMar w:top="567" w:right="1134" w:bottom="1418" w:left="1418" w:header="510" w:footer="1021" w:gutter="0"/>
          <w:pgNumType w:start="1"/>
          <w:cols w:space="720"/>
          <w:titlePg/>
          <w:docGrid w:linePitch="299"/>
        </w:sectPr>
      </w:pPr>
    </w:p>
    <w:p w14:paraId="5BD0887A" w14:textId="29788903" w:rsidR="00C31DE2" w:rsidRPr="000F6A66" w:rsidRDefault="00B81EFC" w:rsidP="00C31DE2">
      <w:pPr>
        <w:pStyle w:val="ONUME"/>
        <w:numPr>
          <w:ilvl w:val="0"/>
          <w:numId w:val="0"/>
        </w:numPr>
        <w:spacing w:line="260" w:lineRule="atLeast"/>
        <w:jc w:val="both"/>
        <w:rPr>
          <w:caps/>
          <w:lang w:val="fr-FR"/>
        </w:rPr>
      </w:pPr>
      <w:r>
        <w:rPr>
          <w:caps/>
          <w:lang w:val="fr-FR"/>
        </w:rPr>
        <w:lastRenderedPageBreak/>
        <w:t>Appendice</w:t>
      </w:r>
      <w:r w:rsidR="00C31DE2" w:rsidRPr="000F6A66">
        <w:rPr>
          <w:caps/>
          <w:lang w:val="fr-FR"/>
        </w:rPr>
        <w:t> IV : Liste des documents</w:t>
      </w:r>
    </w:p>
    <w:p w14:paraId="6A1095EC" w14:textId="77777777" w:rsidR="00C31DE2" w:rsidRPr="000F6A66" w:rsidRDefault="00C31DE2" w:rsidP="00C31DE2">
      <w:pPr>
        <w:pStyle w:val="ListNumber"/>
        <w:numPr>
          <w:ilvl w:val="0"/>
          <w:numId w:val="0"/>
        </w:numPr>
        <w:spacing w:after="120" w:line="260" w:lineRule="atLeast"/>
        <w:rPr>
          <w:b/>
          <w:szCs w:val="22"/>
          <w:lang w:val="fr-FR"/>
        </w:rPr>
      </w:pPr>
      <w:r w:rsidRPr="000F6A66">
        <w:rPr>
          <w:b/>
          <w:szCs w:val="22"/>
          <w:lang w:val="fr-FR"/>
        </w:rPr>
        <w:t>Documents relatifs à l’évaluation</w:t>
      </w:r>
    </w:p>
    <w:p w14:paraId="19546444" w14:textId="77777777" w:rsidR="00C31DE2" w:rsidRPr="000F6A66" w:rsidRDefault="00C31DE2" w:rsidP="00B81EFC">
      <w:pPr>
        <w:pStyle w:val="ListNumber"/>
        <w:numPr>
          <w:ilvl w:val="0"/>
          <w:numId w:val="45"/>
        </w:numPr>
        <w:spacing w:after="120" w:line="260" w:lineRule="atLeast"/>
        <w:ind w:left="567" w:hanging="567"/>
        <w:rPr>
          <w:szCs w:val="22"/>
          <w:lang w:val="fr-FR"/>
        </w:rPr>
      </w:pPr>
      <w:r w:rsidRPr="000F6A66">
        <w:rPr>
          <w:szCs w:val="22"/>
          <w:lang w:val="fr-FR"/>
        </w:rPr>
        <w:t>OMPI, Politique d’évaluation, version révisée (seconde édition 2016/2020), 19 février 2016</w:t>
      </w:r>
    </w:p>
    <w:p w14:paraId="55973CE6" w14:textId="77777777" w:rsidR="00C31DE2" w:rsidRPr="000F6A66" w:rsidRDefault="00C31DE2" w:rsidP="00B81EFC">
      <w:pPr>
        <w:pStyle w:val="ListNumber"/>
        <w:numPr>
          <w:ilvl w:val="0"/>
          <w:numId w:val="45"/>
        </w:numPr>
        <w:spacing w:after="120" w:line="260" w:lineRule="atLeast"/>
        <w:ind w:left="567" w:hanging="567"/>
        <w:rPr>
          <w:szCs w:val="22"/>
          <w:lang w:val="fr-FR"/>
        </w:rPr>
      </w:pPr>
      <w:r w:rsidRPr="000F6A66">
        <w:rPr>
          <w:szCs w:val="22"/>
          <w:lang w:val="fr-FR"/>
        </w:rPr>
        <w:t>Lignes directrices et ouvrages de référence du CAD, Normes de qualité pour l’évaluation du développement, OCDE/CAD, OCDE 2010</w:t>
      </w:r>
    </w:p>
    <w:p w14:paraId="2608263D" w14:textId="77777777" w:rsidR="00C31DE2" w:rsidRPr="000F6A66" w:rsidRDefault="00C31DE2" w:rsidP="00B81EFC">
      <w:pPr>
        <w:pStyle w:val="ListNumber"/>
        <w:numPr>
          <w:ilvl w:val="0"/>
          <w:numId w:val="45"/>
        </w:numPr>
        <w:spacing w:after="120" w:line="260" w:lineRule="atLeast"/>
        <w:ind w:left="567" w:hanging="567"/>
        <w:rPr>
          <w:szCs w:val="22"/>
          <w:lang w:val="fr-FR"/>
        </w:rPr>
      </w:pPr>
      <w:r w:rsidRPr="000F6A66">
        <w:rPr>
          <w:iCs/>
          <w:lang w:val="fr-FR"/>
        </w:rPr>
        <w:t xml:space="preserve">Groupe des Nations Unies pour l’évaluation (UNEG), </w:t>
      </w:r>
      <w:r w:rsidRPr="000F6A66">
        <w:rPr>
          <w:i/>
          <w:lang w:val="fr-FR"/>
        </w:rPr>
        <w:t>Normes et règles d’évaluation</w:t>
      </w:r>
      <w:r w:rsidRPr="000F6A66">
        <w:rPr>
          <w:iCs/>
          <w:lang w:val="fr-FR"/>
        </w:rPr>
        <w:t xml:space="preserve"> (dernière mise à jour : juin 2016)</w:t>
      </w:r>
    </w:p>
    <w:p w14:paraId="21AFAE1B" w14:textId="77777777" w:rsidR="00C31DE2" w:rsidRPr="000F6A66" w:rsidRDefault="00C31DE2" w:rsidP="00C31DE2">
      <w:pPr>
        <w:pStyle w:val="ListNumber"/>
        <w:numPr>
          <w:ilvl w:val="0"/>
          <w:numId w:val="0"/>
        </w:numPr>
        <w:spacing w:after="120" w:line="260" w:lineRule="atLeast"/>
        <w:rPr>
          <w:b/>
          <w:szCs w:val="22"/>
          <w:lang w:val="fr-FR"/>
        </w:rPr>
      </w:pPr>
      <w:r w:rsidRPr="000F6A66">
        <w:rPr>
          <w:b/>
          <w:szCs w:val="22"/>
          <w:lang w:val="fr-FR"/>
        </w:rPr>
        <w:t>Documents de l’OMPI relatifs aux programmes</w:t>
      </w:r>
    </w:p>
    <w:p w14:paraId="6BB70145" w14:textId="4DA9F2F6" w:rsidR="00C31DE2" w:rsidRPr="000F6A66" w:rsidRDefault="00C31DE2" w:rsidP="00B81EFC">
      <w:pPr>
        <w:numPr>
          <w:ilvl w:val="0"/>
          <w:numId w:val="46"/>
        </w:numPr>
        <w:spacing w:before="100" w:beforeAutospacing="1" w:after="100" w:afterAutospacing="1"/>
        <w:ind w:left="567" w:hanging="567"/>
        <w:rPr>
          <w:rFonts w:eastAsia="Times New Roman"/>
          <w:szCs w:val="22"/>
          <w:lang w:val="fr-FR" w:eastAsia="en-US"/>
        </w:rPr>
      </w:pPr>
      <w:r w:rsidRPr="000F6A66">
        <w:rPr>
          <w:rFonts w:eastAsia="Times New Roman"/>
          <w:szCs w:val="22"/>
          <w:lang w:val="fr-FR" w:eastAsia="en-US"/>
        </w:rPr>
        <w:t>Les 45 recommandations adopt</w:t>
      </w:r>
      <w:r w:rsidR="000F6A66">
        <w:rPr>
          <w:rFonts w:eastAsia="Times New Roman"/>
          <w:szCs w:val="22"/>
          <w:lang w:val="fr-FR" w:eastAsia="en-US"/>
        </w:rPr>
        <w:t>é</w:t>
      </w:r>
      <w:r w:rsidRPr="000F6A66">
        <w:rPr>
          <w:rFonts w:eastAsia="Times New Roman"/>
          <w:szCs w:val="22"/>
          <w:lang w:val="fr-FR" w:eastAsia="en-US"/>
        </w:rPr>
        <w:t>es en 2007 par l’Assembl</w:t>
      </w:r>
      <w:r w:rsidR="000F6A66">
        <w:rPr>
          <w:rFonts w:eastAsia="Times New Roman"/>
          <w:szCs w:val="22"/>
          <w:lang w:val="fr-FR" w:eastAsia="en-US"/>
        </w:rPr>
        <w:t>é</w:t>
      </w:r>
      <w:r w:rsidRPr="000F6A66">
        <w:rPr>
          <w:rFonts w:eastAsia="Times New Roman"/>
          <w:szCs w:val="22"/>
          <w:lang w:val="fr-FR" w:eastAsia="en-US"/>
        </w:rPr>
        <w:t>e g</w:t>
      </w:r>
      <w:r w:rsidR="000F6A66">
        <w:rPr>
          <w:rFonts w:eastAsia="Times New Roman"/>
          <w:szCs w:val="22"/>
          <w:lang w:val="fr-FR" w:eastAsia="en-US"/>
        </w:rPr>
        <w:t>é</w:t>
      </w:r>
      <w:r w:rsidRPr="000F6A66">
        <w:rPr>
          <w:rFonts w:eastAsia="Times New Roman"/>
          <w:szCs w:val="22"/>
          <w:lang w:val="fr-FR" w:eastAsia="en-US"/>
        </w:rPr>
        <w:t>n</w:t>
      </w:r>
      <w:r w:rsidR="000F6A66">
        <w:rPr>
          <w:rFonts w:eastAsia="Times New Roman"/>
          <w:szCs w:val="22"/>
          <w:lang w:val="fr-FR" w:eastAsia="en-US"/>
        </w:rPr>
        <w:t>é</w:t>
      </w:r>
      <w:r w:rsidRPr="000F6A66">
        <w:rPr>
          <w:rFonts w:eastAsia="Times New Roman"/>
          <w:szCs w:val="22"/>
          <w:lang w:val="fr-FR" w:eastAsia="en-US"/>
        </w:rPr>
        <w:t xml:space="preserve">rale des </w:t>
      </w:r>
      <w:r w:rsidR="000F6A66">
        <w:rPr>
          <w:rFonts w:eastAsia="Times New Roman"/>
          <w:szCs w:val="22"/>
          <w:lang w:val="fr-FR" w:eastAsia="en-US"/>
        </w:rPr>
        <w:t>É</w:t>
      </w:r>
      <w:r w:rsidRPr="000F6A66">
        <w:rPr>
          <w:rFonts w:eastAsia="Times New Roman"/>
          <w:szCs w:val="22"/>
          <w:lang w:val="fr-FR" w:eastAsia="en-US"/>
        </w:rPr>
        <w:t>tats membres de l’OMPI, dans le cadre du Plan d’action de l’OMPI pour le d</w:t>
      </w:r>
      <w:r w:rsidR="000F6A66">
        <w:rPr>
          <w:rFonts w:eastAsia="Times New Roman"/>
          <w:szCs w:val="22"/>
          <w:lang w:val="fr-FR" w:eastAsia="en-US"/>
        </w:rPr>
        <w:t>é</w:t>
      </w:r>
      <w:r w:rsidRPr="000F6A66">
        <w:rPr>
          <w:rFonts w:eastAsia="Times New Roman"/>
          <w:szCs w:val="22"/>
          <w:lang w:val="fr-FR" w:eastAsia="en-US"/>
        </w:rPr>
        <w:t>veloppement</w:t>
      </w:r>
    </w:p>
    <w:p w14:paraId="66B8AE7F" w14:textId="77777777" w:rsidR="00C31DE2" w:rsidRPr="000F6A66" w:rsidRDefault="00C31DE2" w:rsidP="00B81EFC">
      <w:pPr>
        <w:pStyle w:val="ListNumber"/>
        <w:numPr>
          <w:ilvl w:val="0"/>
          <w:numId w:val="46"/>
        </w:numPr>
        <w:spacing w:after="120" w:line="260" w:lineRule="atLeast"/>
        <w:ind w:left="567" w:hanging="567"/>
        <w:rPr>
          <w:szCs w:val="22"/>
          <w:lang w:val="fr-FR"/>
        </w:rPr>
      </w:pPr>
      <w:r w:rsidRPr="000F6A66">
        <w:rPr>
          <w:szCs w:val="22"/>
          <w:lang w:val="fr-FR"/>
        </w:rPr>
        <w:t>Le programme et budget pour l’exercice biennal 2016/2017, approuvé par l’OMPI</w:t>
      </w:r>
    </w:p>
    <w:p w14:paraId="560B36D8" w14:textId="77777777" w:rsidR="00C31DE2" w:rsidRPr="000F6A66" w:rsidRDefault="00C31DE2" w:rsidP="00C31DE2">
      <w:pPr>
        <w:pStyle w:val="ListNumber"/>
        <w:numPr>
          <w:ilvl w:val="0"/>
          <w:numId w:val="0"/>
        </w:numPr>
        <w:spacing w:after="120" w:line="260" w:lineRule="atLeast"/>
        <w:rPr>
          <w:b/>
          <w:szCs w:val="22"/>
          <w:lang w:val="fr-FR"/>
        </w:rPr>
      </w:pPr>
      <w:r w:rsidRPr="000F6A66">
        <w:rPr>
          <w:b/>
          <w:szCs w:val="22"/>
          <w:lang w:val="fr-FR"/>
        </w:rPr>
        <w:t>Autres documents de l’OMPI</w:t>
      </w:r>
    </w:p>
    <w:p w14:paraId="0743EE37" w14:textId="77777777" w:rsidR="00C31DE2" w:rsidRPr="000F6A66" w:rsidRDefault="00C31DE2" w:rsidP="00B81EFC">
      <w:pPr>
        <w:pStyle w:val="ListNumber"/>
        <w:numPr>
          <w:ilvl w:val="0"/>
          <w:numId w:val="8"/>
        </w:numPr>
        <w:spacing w:after="120" w:line="260" w:lineRule="atLeast"/>
        <w:ind w:left="567" w:hanging="567"/>
        <w:rPr>
          <w:szCs w:val="22"/>
          <w:lang w:val="fr-FR"/>
        </w:rPr>
      </w:pPr>
      <w:r w:rsidRPr="000F6A66">
        <w:rPr>
          <w:szCs w:val="22"/>
          <w:lang w:val="fr-FR"/>
        </w:rPr>
        <w:t>Comment protéger et promouvoir votre culture, Guide pratique de la propriété intellectuelle pour les peuples autochtones et les communautés locales, 2017 (une publication de la Division des savoirs traditionnels de l’OMPI)</w:t>
      </w:r>
    </w:p>
    <w:p w14:paraId="54165D1D" w14:textId="77777777" w:rsidR="00C31DE2" w:rsidRPr="000F6A66" w:rsidRDefault="00C31DE2" w:rsidP="00C31DE2">
      <w:pPr>
        <w:spacing w:after="120"/>
        <w:rPr>
          <w:b/>
          <w:szCs w:val="22"/>
          <w:lang w:val="fr-FR"/>
        </w:rPr>
      </w:pPr>
      <w:r w:rsidRPr="000F6A66">
        <w:rPr>
          <w:b/>
          <w:szCs w:val="22"/>
          <w:lang w:val="fr-FR"/>
        </w:rPr>
        <w:t>Descriptif de projet et rapports sur l’état d’avancement des projets</w:t>
      </w:r>
    </w:p>
    <w:p w14:paraId="78FF1705" w14:textId="77777777" w:rsidR="00C31DE2" w:rsidRPr="000F6A66" w:rsidRDefault="00C31DE2" w:rsidP="00B81EFC">
      <w:pPr>
        <w:pStyle w:val="ListParagraph"/>
        <w:numPr>
          <w:ilvl w:val="0"/>
          <w:numId w:val="47"/>
        </w:numPr>
        <w:spacing w:after="120"/>
        <w:ind w:left="567" w:hanging="567"/>
        <w:contextualSpacing w:val="0"/>
        <w:rPr>
          <w:lang w:val="fr-FR"/>
        </w:rPr>
      </w:pPr>
      <w:r w:rsidRPr="000F6A66">
        <w:rPr>
          <w:lang w:val="fr-FR"/>
        </w:rPr>
        <w:t>Descriptif de projet : CDIP/15/7 Rev., 22 avril 2015, projet “Propriété intellectuelle, tourisme et culture : contribution aux objectifs de développement et promotion du patrimoine culturel en Égypte et dans d’autres pays en développement” (Code du projet 01_10_12_40)</w:t>
      </w:r>
    </w:p>
    <w:p w14:paraId="6D2313D3" w14:textId="77777777" w:rsidR="00C31DE2" w:rsidRPr="000F6A66" w:rsidRDefault="00C31DE2" w:rsidP="00B81EFC">
      <w:pPr>
        <w:pStyle w:val="ListParagraph"/>
        <w:numPr>
          <w:ilvl w:val="0"/>
          <w:numId w:val="47"/>
        </w:numPr>
        <w:spacing w:after="120"/>
        <w:ind w:left="567" w:hanging="567"/>
        <w:contextualSpacing w:val="0"/>
        <w:rPr>
          <w:lang w:val="fr-FR"/>
        </w:rPr>
      </w:pPr>
      <w:r w:rsidRPr="000F6A66">
        <w:rPr>
          <w:lang w:val="fr-FR"/>
        </w:rPr>
        <w:t>Rapport sur l’état d’avancement du projet : CDIP/18/2 Annexe I (15 août 2016)</w:t>
      </w:r>
    </w:p>
    <w:p w14:paraId="75BC6CFA" w14:textId="77777777" w:rsidR="00C31DE2" w:rsidRPr="000F6A66" w:rsidRDefault="00C31DE2" w:rsidP="00B81EFC">
      <w:pPr>
        <w:pStyle w:val="ListParagraph"/>
        <w:numPr>
          <w:ilvl w:val="0"/>
          <w:numId w:val="47"/>
        </w:numPr>
        <w:spacing w:after="120"/>
        <w:ind w:left="567" w:hanging="567"/>
        <w:contextualSpacing w:val="0"/>
        <w:rPr>
          <w:lang w:val="fr-FR"/>
        </w:rPr>
      </w:pPr>
      <w:r w:rsidRPr="000F6A66">
        <w:rPr>
          <w:lang w:val="fr-FR"/>
        </w:rPr>
        <w:t>Rapport sur l’état d’avancement du projet : CDIP/20/2 Annexe I (20 septembre 2017)</w:t>
      </w:r>
    </w:p>
    <w:p w14:paraId="58AD9F3E" w14:textId="77777777" w:rsidR="00C31DE2" w:rsidRPr="000F6A66" w:rsidRDefault="00C31DE2" w:rsidP="00B81EFC">
      <w:pPr>
        <w:pStyle w:val="ListParagraph"/>
        <w:numPr>
          <w:ilvl w:val="0"/>
          <w:numId w:val="47"/>
        </w:numPr>
        <w:spacing w:after="120"/>
        <w:ind w:left="567" w:hanging="567"/>
        <w:contextualSpacing w:val="0"/>
        <w:rPr>
          <w:lang w:val="fr-FR"/>
        </w:rPr>
      </w:pPr>
      <w:r w:rsidRPr="000F6A66">
        <w:rPr>
          <w:lang w:val="fr-FR"/>
        </w:rPr>
        <w:t>Rapport sur l’état d’avancement du projet : CDIP/22/2 Annexe IV (14 septembre 2018)</w:t>
      </w:r>
    </w:p>
    <w:p w14:paraId="17C2E112" w14:textId="77777777" w:rsidR="00C31DE2" w:rsidRPr="000F6A66" w:rsidRDefault="00C31DE2" w:rsidP="00B81EFC">
      <w:pPr>
        <w:pStyle w:val="ListParagraph"/>
        <w:numPr>
          <w:ilvl w:val="0"/>
          <w:numId w:val="47"/>
        </w:numPr>
        <w:spacing w:after="120"/>
        <w:ind w:left="567" w:hanging="567"/>
        <w:contextualSpacing w:val="0"/>
        <w:rPr>
          <w:lang w:val="fr-FR"/>
        </w:rPr>
      </w:pPr>
      <w:r w:rsidRPr="000F6A66">
        <w:rPr>
          <w:lang w:val="fr-FR"/>
        </w:rPr>
        <w:t>Rapport d’achèvement : CDIP 24/4 (1</w:t>
      </w:r>
      <w:r w:rsidRPr="000F6A66">
        <w:rPr>
          <w:vertAlign w:val="superscript"/>
          <w:lang w:val="fr-FR"/>
        </w:rPr>
        <w:t>er</w:t>
      </w:r>
      <w:r w:rsidRPr="000F6A66">
        <w:rPr>
          <w:lang w:val="fr-FR"/>
        </w:rPr>
        <w:t> septembre 2019) : rapport d’achèvement du projet du Plan d’action pour le développement intitulé “Propriété intellectuelle, tourisme et culture : contribution aux objectifs de développement et promotion du patrimoine culturel en Égypte et dans d’autres pays en développement”</w:t>
      </w:r>
    </w:p>
    <w:p w14:paraId="2A413752" w14:textId="77777777" w:rsidR="00C31DE2" w:rsidRPr="000F6A66" w:rsidRDefault="00C31DE2" w:rsidP="00B81EFC">
      <w:pPr>
        <w:pStyle w:val="ListParagraph"/>
        <w:numPr>
          <w:ilvl w:val="0"/>
          <w:numId w:val="10"/>
        </w:numPr>
        <w:spacing w:after="120"/>
        <w:ind w:left="567" w:hanging="567"/>
        <w:contextualSpacing w:val="0"/>
        <w:rPr>
          <w:lang w:val="fr-FR"/>
        </w:rPr>
      </w:pPr>
      <w:r w:rsidRPr="000F6A66">
        <w:rPr>
          <w:lang w:val="fr-FR"/>
        </w:rPr>
        <w:t>Analyse des dépenses au 19 août 2019 établie par le responsable du projet.</w:t>
      </w:r>
    </w:p>
    <w:p w14:paraId="22F41F14" w14:textId="77777777" w:rsidR="00C31DE2" w:rsidRPr="000F6A66" w:rsidRDefault="00C31DE2" w:rsidP="00C31DE2">
      <w:pPr>
        <w:pStyle w:val="ListParagraph"/>
        <w:spacing w:after="120"/>
        <w:ind w:left="0"/>
        <w:contextualSpacing w:val="0"/>
        <w:rPr>
          <w:b/>
          <w:bCs/>
          <w:lang w:val="fr-FR"/>
        </w:rPr>
      </w:pPr>
      <w:r w:rsidRPr="000F6A66">
        <w:rPr>
          <w:b/>
          <w:bCs/>
          <w:lang w:val="fr-FR"/>
        </w:rPr>
        <w:t>Principaux résultats (produits)</w:t>
      </w:r>
    </w:p>
    <w:p w14:paraId="0A591763" w14:textId="77777777" w:rsidR="00C31DE2" w:rsidRPr="000F6A66" w:rsidRDefault="00C31DE2" w:rsidP="00B81EFC">
      <w:pPr>
        <w:pStyle w:val="ListParagraph"/>
        <w:numPr>
          <w:ilvl w:val="0"/>
          <w:numId w:val="10"/>
        </w:numPr>
        <w:spacing w:after="120" w:line="260" w:lineRule="atLeast"/>
        <w:ind w:left="567" w:hanging="567"/>
        <w:contextualSpacing w:val="0"/>
        <w:rPr>
          <w:lang w:val="fr-FR"/>
        </w:rPr>
      </w:pPr>
      <w:r w:rsidRPr="000F6A66">
        <w:rPr>
          <w:lang w:val="fr-FR"/>
        </w:rPr>
        <w:t>Propriété intellectuelle, tourisme et culture : contribution aux objectifs de développement et promotion du patrimoine culturel en Égypte et dans d’autres pays en développement</w:t>
      </w:r>
    </w:p>
    <w:p w14:paraId="16E2F1A1" w14:textId="77777777" w:rsidR="00C31DE2" w:rsidRPr="000F6A66" w:rsidRDefault="00C31DE2" w:rsidP="00B81EFC">
      <w:pPr>
        <w:pStyle w:val="ListParagraph"/>
        <w:numPr>
          <w:ilvl w:val="0"/>
          <w:numId w:val="10"/>
        </w:numPr>
        <w:spacing w:after="120" w:line="260" w:lineRule="atLeast"/>
        <w:ind w:left="567" w:hanging="567"/>
        <w:contextualSpacing w:val="0"/>
        <w:rPr>
          <w:lang w:val="fr-FR"/>
        </w:rPr>
      </w:pPr>
      <w:r w:rsidRPr="000F6A66">
        <w:rPr>
          <w:lang w:val="fr-FR"/>
        </w:rPr>
        <w:t>Document CDIP/21/INF/5, 11 avril 2018 : résumé de l’étude sur la propriété intellectuelle au service du renforcement de l’identité provinciale dans le cadre du projet de géoparc d’Imbabura, effectuée dans le cadre du projet sur la propriété intellectuelle, le tourisme et la culture : contribution aux objectifs de développement et promotion du patrimoine culturel en Égypte et dans d’autres pays en développement, établi par M. Sebastián Barrera, fondateur, directeur créatif, Kompany Latam, Quito.</w:t>
      </w:r>
    </w:p>
    <w:p w14:paraId="1B5C7DF7" w14:textId="77777777" w:rsidR="00C31DE2" w:rsidRPr="000F6A66" w:rsidRDefault="00C31DE2" w:rsidP="00B81EFC">
      <w:pPr>
        <w:pStyle w:val="ListParagraph"/>
        <w:numPr>
          <w:ilvl w:val="0"/>
          <w:numId w:val="10"/>
        </w:numPr>
        <w:spacing w:after="120" w:line="260" w:lineRule="atLeast"/>
        <w:ind w:left="567" w:hanging="567"/>
        <w:contextualSpacing w:val="0"/>
        <w:rPr>
          <w:lang w:val="fr-FR"/>
        </w:rPr>
      </w:pPr>
      <w:r w:rsidRPr="000F6A66">
        <w:rPr>
          <w:lang w:val="fr-FR"/>
        </w:rPr>
        <w:t xml:space="preserve">Document CDIP/22/INF/4, 18 octobre 2018 : résumé de l’étude sur la propriété intellectuelle au service du renforcement de l’identité provinciale dans le cadre du projet de géoparc d’Imbabura, effectuée dans le cadre du projet sur la propriété intellectuelle, le tourisme et la culture : contribution aux objectifs de développement et promotion du patrimoine culturel en Égypte et dans d’autres pays en développement, établi par </w:t>
      </w:r>
      <w:r w:rsidRPr="000F6A66">
        <w:rPr>
          <w:lang w:val="fr-FR"/>
        </w:rPr>
        <w:lastRenderedPageBreak/>
        <w:t>Mme May M. Hassan, fondateur de IP Mentor, avocat en propriété intellectuelle et chercheur sur le terrain, formateur en propriété intellectuelle à l’Académie nationale de la propriété intellectuelle (start-up).</w:t>
      </w:r>
    </w:p>
    <w:p w14:paraId="4659235A" w14:textId="77777777" w:rsidR="00C31DE2" w:rsidRPr="000F6A66" w:rsidRDefault="00C31DE2" w:rsidP="00B81EFC">
      <w:pPr>
        <w:pStyle w:val="ListParagraph"/>
        <w:numPr>
          <w:ilvl w:val="0"/>
          <w:numId w:val="10"/>
        </w:numPr>
        <w:spacing w:after="120" w:line="260" w:lineRule="atLeast"/>
        <w:ind w:left="567" w:hanging="567"/>
        <w:contextualSpacing w:val="0"/>
        <w:rPr>
          <w:lang w:val="fr-FR"/>
        </w:rPr>
      </w:pPr>
      <w:r w:rsidRPr="000F6A66">
        <w:rPr>
          <w:lang w:val="fr-FR"/>
        </w:rPr>
        <w:t>Étude intitulée :</w:t>
      </w:r>
      <w:r w:rsidRPr="000F6A66">
        <w:rPr>
          <w:i/>
          <w:iCs/>
          <w:lang w:val="fr-FR"/>
        </w:rPr>
        <w:t xml:space="preserve"> Intellectual Property in Tourism and Culture in Sri Lanka</w:t>
      </w:r>
      <w:r w:rsidRPr="000F6A66">
        <w:rPr>
          <w:lang w:val="fr-FR"/>
        </w:rPr>
        <w:t>, menée par M. Nishantha Sampath Punchihewa pour l’Organisation Mondiale de la Propriété Intellectuelle (OMPI), 2018</w:t>
      </w:r>
    </w:p>
    <w:p w14:paraId="64AE1D7E" w14:textId="77777777" w:rsidR="00C31DE2" w:rsidRPr="000F6A66" w:rsidRDefault="00C31DE2" w:rsidP="00B81EFC">
      <w:pPr>
        <w:pStyle w:val="ListParagraph"/>
        <w:numPr>
          <w:ilvl w:val="0"/>
          <w:numId w:val="10"/>
        </w:numPr>
        <w:spacing w:after="120" w:line="260" w:lineRule="atLeast"/>
        <w:ind w:left="567" w:hanging="567"/>
        <w:contextualSpacing w:val="0"/>
        <w:rPr>
          <w:lang w:val="fr-FR"/>
        </w:rPr>
      </w:pPr>
      <w:r w:rsidRPr="000F6A66">
        <w:rPr>
          <w:lang w:val="fr-FR"/>
        </w:rPr>
        <w:t>Étude de cas sur la propriété intellectuelle dans le tourisme et la culture à l’échelle nationale 7 novembre 2017, OMPI/Autorité des affaires commerciales et de la propriété intellectuelle</w:t>
      </w:r>
    </w:p>
    <w:p w14:paraId="06AE56E6" w14:textId="77777777" w:rsidR="00C31DE2" w:rsidRPr="000F6A66" w:rsidRDefault="00C31DE2" w:rsidP="00C31DE2">
      <w:pPr>
        <w:spacing w:after="120" w:line="260" w:lineRule="atLeast"/>
        <w:rPr>
          <w:b/>
          <w:lang w:val="fr-FR"/>
        </w:rPr>
      </w:pPr>
      <w:r w:rsidRPr="000F6A66">
        <w:rPr>
          <w:b/>
          <w:lang w:val="fr-FR"/>
        </w:rPr>
        <w:t>Enseignement de la propriété intellectuelle et tourisme</w:t>
      </w:r>
    </w:p>
    <w:p w14:paraId="69486D26" w14:textId="77777777" w:rsidR="00C31DE2" w:rsidRPr="000F6A66" w:rsidRDefault="00C31DE2" w:rsidP="00B81EFC">
      <w:pPr>
        <w:pStyle w:val="ListParagraph"/>
        <w:numPr>
          <w:ilvl w:val="0"/>
          <w:numId w:val="9"/>
        </w:numPr>
        <w:spacing w:after="120" w:line="260" w:lineRule="atLeast"/>
        <w:ind w:left="567" w:hanging="567"/>
        <w:contextualSpacing w:val="0"/>
        <w:rPr>
          <w:lang w:val="fr-FR"/>
        </w:rPr>
      </w:pPr>
      <w:r w:rsidRPr="000F6A66">
        <w:rPr>
          <w:lang w:val="fr-FR"/>
        </w:rPr>
        <w:t>Cursus sur la propriété intellectuelle et le tourisme à Sri Lanka et modules 1 à 8</w:t>
      </w:r>
    </w:p>
    <w:p w14:paraId="1A904278" w14:textId="77777777" w:rsidR="00C31DE2" w:rsidRPr="000F6A66" w:rsidRDefault="00C31DE2" w:rsidP="00B81EFC">
      <w:pPr>
        <w:pStyle w:val="ListParagraph"/>
        <w:numPr>
          <w:ilvl w:val="0"/>
          <w:numId w:val="9"/>
        </w:numPr>
        <w:spacing w:after="120" w:line="260" w:lineRule="atLeast"/>
        <w:ind w:left="567" w:hanging="567"/>
        <w:contextualSpacing w:val="0"/>
        <w:rPr>
          <w:lang w:val="fr-FR"/>
        </w:rPr>
      </w:pPr>
      <w:r w:rsidRPr="000F6A66">
        <w:rPr>
          <w:lang w:val="fr-FR"/>
        </w:rPr>
        <w:t>Projet de module sur la propriété intellectuelle et le tourisme, élaboré par Moses Molatendi et Erling Kavita, OMPI/Autorité des affaires commerciales et de la propriété intellectuelle, projet, septembre 2018</w:t>
      </w:r>
    </w:p>
    <w:p w14:paraId="2B52AC25" w14:textId="77777777" w:rsidR="00C31DE2" w:rsidRPr="000F6A66" w:rsidRDefault="00C31DE2" w:rsidP="00B81EFC">
      <w:pPr>
        <w:pStyle w:val="ListParagraph"/>
        <w:numPr>
          <w:ilvl w:val="0"/>
          <w:numId w:val="9"/>
        </w:numPr>
        <w:spacing w:after="120" w:line="260" w:lineRule="atLeast"/>
        <w:ind w:left="567" w:hanging="567"/>
        <w:contextualSpacing w:val="0"/>
        <w:rPr>
          <w:lang w:val="fr-FR"/>
        </w:rPr>
      </w:pPr>
      <w:r w:rsidRPr="000F6A66">
        <w:rPr>
          <w:lang w:val="fr-FR"/>
        </w:rPr>
        <w:t>Manuel d’enseignement “La propiedad intellectual vinculada al turismo y a la cultura”, SENADI/OMPI, 2019, programme de cours et cursus</w:t>
      </w:r>
    </w:p>
    <w:p w14:paraId="1DA2C3E9" w14:textId="77777777" w:rsidR="00C31DE2" w:rsidRPr="000F6A66" w:rsidRDefault="00C31DE2" w:rsidP="00B81EFC">
      <w:pPr>
        <w:pStyle w:val="ListParagraph"/>
        <w:numPr>
          <w:ilvl w:val="0"/>
          <w:numId w:val="9"/>
        </w:numPr>
        <w:spacing w:after="120" w:line="260" w:lineRule="atLeast"/>
        <w:ind w:left="567" w:hanging="567"/>
        <w:contextualSpacing w:val="0"/>
        <w:rPr>
          <w:lang w:val="fr-FR"/>
        </w:rPr>
      </w:pPr>
      <w:r w:rsidRPr="000F6A66">
        <w:rPr>
          <w:lang w:val="fr-FR"/>
        </w:rPr>
        <w:t>Lettre du doyen de la NUST, adressée au vice-directeur général de l’OMPI, datée du 7 septembre 2017.</w:t>
      </w:r>
    </w:p>
    <w:p w14:paraId="08428B87" w14:textId="77777777" w:rsidR="00C31DE2" w:rsidRPr="000F6A66" w:rsidRDefault="00C31DE2" w:rsidP="00B81EFC">
      <w:pPr>
        <w:pStyle w:val="ListParagraph"/>
        <w:numPr>
          <w:ilvl w:val="0"/>
          <w:numId w:val="9"/>
        </w:numPr>
        <w:spacing w:after="120" w:line="260" w:lineRule="atLeast"/>
        <w:ind w:left="567" w:hanging="567"/>
        <w:contextualSpacing w:val="0"/>
        <w:rPr>
          <w:lang w:val="fr-FR"/>
        </w:rPr>
      </w:pPr>
      <w:r w:rsidRPr="000F6A66">
        <w:rPr>
          <w:lang w:val="fr-FR"/>
        </w:rPr>
        <w:t>Deux études de cas sur le rôle de la propriété intellectuelle dans le développement du tourisme durable en Namibie, M. Lindeque, 21 avril 2019</w:t>
      </w:r>
    </w:p>
    <w:p w14:paraId="7BEF7143" w14:textId="77777777" w:rsidR="00C31DE2" w:rsidRPr="000F6A66" w:rsidRDefault="00C31DE2" w:rsidP="00B81EFC">
      <w:pPr>
        <w:pStyle w:val="ListParagraph"/>
        <w:numPr>
          <w:ilvl w:val="0"/>
          <w:numId w:val="9"/>
        </w:numPr>
        <w:spacing w:after="120" w:line="260" w:lineRule="atLeast"/>
        <w:ind w:left="567" w:hanging="567"/>
        <w:contextualSpacing w:val="0"/>
        <w:rPr>
          <w:lang w:val="fr-FR"/>
        </w:rPr>
      </w:pPr>
      <w:r w:rsidRPr="000F6A66">
        <w:rPr>
          <w:lang w:val="fr-FR"/>
        </w:rPr>
        <w:t>Sélection des supports pour le renforcement des capacités (diapositives) et de documents pour les webinaires (en ligne)</w:t>
      </w:r>
    </w:p>
    <w:p w14:paraId="2BD91286" w14:textId="01296AFF" w:rsidR="00C31DE2" w:rsidRDefault="00C31DE2" w:rsidP="00B81EFC">
      <w:pPr>
        <w:rPr>
          <w:lang w:val="fr-FR"/>
        </w:rPr>
      </w:pPr>
    </w:p>
    <w:p w14:paraId="2CFA5BC8" w14:textId="77777777" w:rsidR="00B81EFC" w:rsidRPr="000F6A66" w:rsidRDefault="00B81EFC" w:rsidP="00B81EFC">
      <w:pPr>
        <w:rPr>
          <w:lang w:val="fr-FR"/>
        </w:rPr>
      </w:pPr>
    </w:p>
    <w:p w14:paraId="41A869D5" w14:textId="6E5B7698" w:rsidR="00C31DE2" w:rsidRPr="000F6A66" w:rsidRDefault="00C31DE2" w:rsidP="00B81EFC">
      <w:pPr>
        <w:pStyle w:val="Endofdocument-Annex"/>
      </w:pPr>
      <w:r w:rsidRPr="000F6A66">
        <w:t>[Fin de l’a</w:t>
      </w:r>
      <w:r w:rsidR="00B81EFC">
        <w:t>ppendice</w:t>
      </w:r>
      <w:r w:rsidRPr="000F6A66">
        <w:t> IV et du document]</w:t>
      </w:r>
    </w:p>
    <w:p w14:paraId="6F33D57F" w14:textId="2AB18BCF" w:rsidR="0091369C" w:rsidRPr="000F6A66" w:rsidRDefault="0091369C">
      <w:pPr>
        <w:rPr>
          <w:lang w:val="fr-FR"/>
        </w:rPr>
      </w:pPr>
    </w:p>
    <w:sectPr w:rsidR="0091369C" w:rsidRPr="000F6A66" w:rsidSect="00675065">
      <w:headerReference w:type="default" r:id="rId29"/>
      <w:headerReference w:type="first" r:id="rId30"/>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1ED06" w14:textId="77777777" w:rsidR="00B81EFC" w:rsidRDefault="00B81EFC">
      <w:r>
        <w:separator/>
      </w:r>
    </w:p>
  </w:endnote>
  <w:endnote w:type="continuationSeparator" w:id="0">
    <w:p w14:paraId="68A7F669" w14:textId="77777777" w:rsidR="00B81EFC" w:rsidRDefault="00B81EFC" w:rsidP="00A326CA">
      <w:r>
        <w:separator/>
      </w:r>
    </w:p>
    <w:p w14:paraId="0EA50260" w14:textId="77777777" w:rsidR="00B81EFC" w:rsidRPr="00A326CA" w:rsidRDefault="00B81EFC" w:rsidP="00A326CA">
      <w:r>
        <w:rPr>
          <w:sz w:val="17"/>
        </w:rPr>
        <w:t>[Endnote continued from previous page]</w:t>
      </w:r>
    </w:p>
  </w:endnote>
  <w:endnote w:type="continuationNotice" w:id="1">
    <w:p w14:paraId="474C94BE" w14:textId="77777777" w:rsidR="00B81EFC" w:rsidRPr="00A326CA" w:rsidRDefault="00B81EFC"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15B8" w14:textId="77777777" w:rsidR="00B81EFC" w:rsidRDefault="00B81EFC" w:rsidP="00146311">
    <w:pPr>
      <w:pStyle w:val="Footer"/>
    </w:pPr>
  </w:p>
  <w:p w14:paraId="43E05385" w14:textId="77777777" w:rsidR="00B81EFC" w:rsidRDefault="00B81EFC" w:rsidP="00146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79DB8" w14:textId="77777777" w:rsidR="00B81EFC" w:rsidRDefault="00B81EFC">
    <w:pPr>
      <w:pStyle w:val="Footer"/>
    </w:pPr>
  </w:p>
  <w:p w14:paraId="71CA78FA" w14:textId="77777777" w:rsidR="00B81EFC" w:rsidRDefault="00B81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8599D" w14:textId="77777777" w:rsidR="00B81EFC" w:rsidRDefault="00B81E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BC19" w14:textId="77777777" w:rsidR="00B81EFC" w:rsidRDefault="00B81E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AF237" w14:textId="77777777" w:rsidR="00B81EFC" w:rsidRDefault="00B81EFC" w:rsidP="00146311">
    <w:pPr>
      <w:pStyle w:val="Footer"/>
    </w:pPr>
  </w:p>
  <w:p w14:paraId="4F7B0FAE" w14:textId="77777777" w:rsidR="00B81EFC" w:rsidRDefault="00B81E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18A88" w14:textId="77777777" w:rsidR="00B81EFC" w:rsidRDefault="00B81E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AC2B" w14:textId="77777777" w:rsidR="00B81EFC" w:rsidRDefault="00B81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4669A" w14:textId="77777777" w:rsidR="00B81EFC" w:rsidRDefault="00B81EFC">
      <w:r>
        <w:separator/>
      </w:r>
    </w:p>
  </w:footnote>
  <w:footnote w:type="continuationSeparator" w:id="0">
    <w:p w14:paraId="413B8658" w14:textId="77777777" w:rsidR="00B81EFC" w:rsidRDefault="00B81EFC" w:rsidP="00A326CA">
      <w:r>
        <w:separator/>
      </w:r>
    </w:p>
    <w:p w14:paraId="239DB543" w14:textId="77777777" w:rsidR="00B81EFC" w:rsidRPr="00A326CA" w:rsidRDefault="00B81EFC"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4674A11E" w14:textId="77777777" w:rsidR="00B81EFC" w:rsidRPr="00A326CA" w:rsidRDefault="00B81EFC" w:rsidP="00A326CA">
      <w:pPr>
        <w:spacing w:before="60"/>
        <w:jc w:val="right"/>
        <w:rPr>
          <w:sz w:val="17"/>
          <w:szCs w:val="17"/>
        </w:rPr>
      </w:pPr>
      <w:r w:rsidRPr="000C7343">
        <w:rPr>
          <w:sz w:val="17"/>
          <w:szCs w:val="17"/>
        </w:rPr>
        <w:t>[F</w:t>
      </w:r>
      <w:r>
        <w:rPr>
          <w:sz w:val="17"/>
          <w:szCs w:val="17"/>
        </w:rPr>
        <w:t>ootnote continued on next page]</w:t>
      </w:r>
    </w:p>
  </w:footnote>
  <w:footnote w:id="2">
    <w:p w14:paraId="0113F32F" w14:textId="5028F490" w:rsidR="00B81EFC" w:rsidRPr="00E84E58" w:rsidRDefault="00B81EFC" w:rsidP="00675065">
      <w:pPr>
        <w:pStyle w:val="FootnoteText"/>
        <w:contextualSpacing/>
        <w:rPr>
          <w:lang w:val="fr-FR"/>
        </w:rPr>
      </w:pPr>
      <w:r w:rsidRPr="00E84E58">
        <w:rPr>
          <w:rStyle w:val="FootnoteReference"/>
          <w:lang w:val="fr-FR"/>
        </w:rPr>
        <w:footnoteRef/>
      </w:r>
      <w:r w:rsidRPr="00E84E58">
        <w:rPr>
          <w:lang w:val="fr-FR"/>
        </w:rPr>
        <w:t xml:space="preserve"> </w:t>
      </w:r>
      <w:r>
        <w:rPr>
          <w:lang w:val="fr-FR"/>
        </w:rPr>
        <w:tab/>
      </w:r>
      <w:r w:rsidRPr="00E84E58">
        <w:rPr>
          <w:lang w:val="fr-FR"/>
        </w:rPr>
        <w:t>Descriptif du projet</w:t>
      </w:r>
      <w:r>
        <w:rPr>
          <w:lang w:val="fr-FR"/>
        </w:rPr>
        <w:t> :</w:t>
      </w:r>
      <w:r w:rsidRPr="00E84E58">
        <w:rPr>
          <w:lang w:val="fr-FR"/>
        </w:rPr>
        <w:t xml:space="preserve"> annexe du document CDIP/15/7, 22 avril 2015, projet intitulé “Propriété intellectuelle, tourisme et culture</w:t>
      </w:r>
      <w:r>
        <w:rPr>
          <w:lang w:val="fr-FR"/>
        </w:rPr>
        <w:t> :</w:t>
      </w:r>
      <w:r w:rsidRPr="00E84E58">
        <w:rPr>
          <w:lang w:val="fr-FR"/>
        </w:rPr>
        <w:t xml:space="preserve"> contribution aux objectifs de développement et promotion du patrimoine culturel en Égypte et dans d</w:t>
      </w:r>
      <w:r>
        <w:rPr>
          <w:lang w:val="fr-FR"/>
        </w:rPr>
        <w:t>’</w:t>
      </w:r>
      <w:r w:rsidRPr="00E84E58">
        <w:rPr>
          <w:lang w:val="fr-FR"/>
        </w:rPr>
        <w:t>autres pays en développement” (cote du projet</w:t>
      </w:r>
      <w:r>
        <w:rPr>
          <w:lang w:val="fr-FR"/>
        </w:rPr>
        <w:t> :</w:t>
      </w:r>
      <w:r w:rsidRPr="00E84E58">
        <w:rPr>
          <w:lang w:val="fr-FR"/>
        </w:rPr>
        <w:t xml:space="preserve"> 01_10_12_40).</w:t>
      </w:r>
    </w:p>
  </w:footnote>
  <w:footnote w:id="3">
    <w:p w14:paraId="7565064C" w14:textId="11531734" w:rsidR="00B81EFC" w:rsidRPr="00E84E58" w:rsidRDefault="00B81EFC" w:rsidP="00675065">
      <w:pPr>
        <w:pStyle w:val="FootnoteText"/>
        <w:contextualSpacing/>
        <w:rPr>
          <w:lang w:val="fr-FR"/>
        </w:rPr>
      </w:pPr>
      <w:r w:rsidRPr="00E84E58">
        <w:rPr>
          <w:rStyle w:val="FootnoteReference"/>
          <w:lang w:val="fr-FR"/>
        </w:rPr>
        <w:footnoteRef/>
      </w:r>
      <w:r w:rsidRPr="00E84E58">
        <w:rPr>
          <w:lang w:val="fr-FR"/>
        </w:rPr>
        <w:t xml:space="preserve"> </w:t>
      </w:r>
      <w:r>
        <w:rPr>
          <w:lang w:val="fr-FR"/>
        </w:rPr>
        <w:tab/>
      </w:r>
      <w:r w:rsidRPr="00E84E58">
        <w:rPr>
          <w:lang w:val="fr-FR"/>
        </w:rPr>
        <w:t>Daniel P. Keller (évaluateur principal, Evilard/Leubringen</w:t>
      </w:r>
      <w:r>
        <w:rPr>
          <w:lang w:val="fr-FR"/>
        </w:rPr>
        <w:t xml:space="preserve"> (</w:t>
      </w:r>
      <w:r w:rsidRPr="00E84E58">
        <w:rPr>
          <w:lang w:val="fr-FR"/>
        </w:rPr>
        <w:t>Suisse</w:t>
      </w:r>
      <w:r>
        <w:rPr>
          <w:lang w:val="fr-FR"/>
        </w:rPr>
        <w:t>))</w:t>
      </w:r>
      <w:r w:rsidRPr="00E84E58">
        <w:rPr>
          <w:lang w:val="fr-FR"/>
        </w:rPr>
        <w:t>.</w:t>
      </w:r>
    </w:p>
  </w:footnote>
  <w:footnote w:id="4">
    <w:p w14:paraId="3FAF829A" w14:textId="1B604903" w:rsidR="00B81EFC" w:rsidRPr="00E84E58" w:rsidRDefault="00B81EFC" w:rsidP="00675065">
      <w:pPr>
        <w:pStyle w:val="FootnoteText"/>
        <w:contextualSpacing/>
        <w:rPr>
          <w:lang w:val="fr-FR"/>
        </w:rPr>
      </w:pPr>
      <w:r w:rsidRPr="00E84E58">
        <w:rPr>
          <w:rStyle w:val="FootnoteReference"/>
          <w:lang w:val="fr-FR"/>
        </w:rPr>
        <w:footnoteRef/>
      </w:r>
      <w:r w:rsidRPr="00E84E58">
        <w:rPr>
          <w:lang w:val="fr-FR"/>
        </w:rPr>
        <w:t xml:space="preserve"> </w:t>
      </w:r>
      <w:r>
        <w:rPr>
          <w:lang w:val="fr-FR"/>
        </w:rPr>
        <w:tab/>
      </w:r>
      <w:r w:rsidRPr="00E84E58">
        <w:rPr>
          <w:lang w:val="fr-FR"/>
        </w:rPr>
        <w:t>Mme Francesca Toso, conseillère principale, Secteur du développement, Bureau du vice</w:t>
      </w:r>
      <w:r>
        <w:rPr>
          <w:lang w:val="fr-FR"/>
        </w:rPr>
        <w:t>-</w:t>
      </w:r>
      <w:r w:rsidRPr="00E84E58">
        <w:rPr>
          <w:lang w:val="fr-FR"/>
        </w:rPr>
        <w:t>directeur général.</w:t>
      </w:r>
    </w:p>
  </w:footnote>
  <w:footnote w:id="5">
    <w:p w14:paraId="4B323007" w14:textId="613D4920" w:rsidR="00B81EFC" w:rsidRPr="00E84E58" w:rsidRDefault="00B81EFC" w:rsidP="00675065">
      <w:pPr>
        <w:pStyle w:val="FootnoteText"/>
        <w:contextualSpacing/>
        <w:rPr>
          <w:lang w:val="fr-FR"/>
        </w:rPr>
      </w:pPr>
      <w:r w:rsidRPr="00E84E58">
        <w:rPr>
          <w:rStyle w:val="FootnoteReference"/>
          <w:lang w:val="fr-FR"/>
        </w:rPr>
        <w:footnoteRef/>
      </w:r>
      <w:r w:rsidRPr="00E84E58">
        <w:rPr>
          <w:lang w:val="fr-FR"/>
        </w:rPr>
        <w:t xml:space="preserve"> </w:t>
      </w:r>
      <w:r>
        <w:rPr>
          <w:lang w:val="fr-FR"/>
        </w:rPr>
        <w:tab/>
      </w:r>
      <w:r w:rsidRPr="00E84E58">
        <w:rPr>
          <w:lang w:val="fr-FR"/>
        </w:rPr>
        <w:t>En cours de finalisation.</w:t>
      </w:r>
    </w:p>
  </w:footnote>
  <w:footnote w:id="6">
    <w:p w14:paraId="5F694D77" w14:textId="65FEAF98" w:rsidR="00B81EFC" w:rsidRPr="00E84E58" w:rsidRDefault="00B81EFC" w:rsidP="00675065">
      <w:pPr>
        <w:pStyle w:val="FootnoteText"/>
        <w:contextualSpacing/>
        <w:rPr>
          <w:lang w:val="fr-FR"/>
        </w:rPr>
      </w:pPr>
      <w:r w:rsidRPr="00E84E58">
        <w:rPr>
          <w:rStyle w:val="FootnoteReference"/>
          <w:lang w:val="fr-FR"/>
        </w:rPr>
        <w:footnoteRef/>
      </w:r>
      <w:r w:rsidRPr="00E84E58">
        <w:rPr>
          <w:lang w:val="fr-FR"/>
        </w:rPr>
        <w:t xml:space="preserve"> </w:t>
      </w:r>
      <w:r>
        <w:rPr>
          <w:lang w:val="fr-FR"/>
        </w:rPr>
        <w:tab/>
      </w:r>
      <w:r w:rsidRPr="00E84E58">
        <w:rPr>
          <w:lang w:val="fr-FR"/>
        </w:rPr>
        <w:t>Voir</w:t>
      </w:r>
      <w:r>
        <w:rPr>
          <w:lang w:val="fr-FR"/>
        </w:rPr>
        <w:t> :</w:t>
      </w:r>
      <w:r w:rsidRPr="00E84E58">
        <w:rPr>
          <w:lang w:val="fr-FR"/>
        </w:rPr>
        <w:t xml:space="preserve"> Rapport sur l</w:t>
      </w:r>
      <w:r>
        <w:rPr>
          <w:lang w:val="fr-FR"/>
        </w:rPr>
        <w:t>’</w:t>
      </w:r>
      <w:r w:rsidRPr="00E84E58">
        <w:rPr>
          <w:lang w:val="fr-FR"/>
        </w:rPr>
        <w:t>état d</w:t>
      </w:r>
      <w:r>
        <w:rPr>
          <w:lang w:val="fr-FR"/>
        </w:rPr>
        <w:t>’</w:t>
      </w:r>
      <w:r w:rsidRPr="00E84E58">
        <w:rPr>
          <w:lang w:val="fr-FR"/>
        </w:rPr>
        <w:t>avancement des projets</w:t>
      </w:r>
      <w:r>
        <w:rPr>
          <w:lang w:val="fr-FR"/>
        </w:rPr>
        <w:t> :</w:t>
      </w:r>
      <w:r w:rsidRPr="00E84E58">
        <w:rPr>
          <w:lang w:val="fr-FR"/>
        </w:rPr>
        <w:t xml:space="preserve"> annexe IV du document CDIP/22/2 (14 septembre 2018).</w:t>
      </w:r>
    </w:p>
  </w:footnote>
  <w:footnote w:id="7">
    <w:p w14:paraId="65CDAEA9" w14:textId="599F717C" w:rsidR="00B81EFC" w:rsidRPr="00E84E58" w:rsidRDefault="00B81EFC" w:rsidP="00675065">
      <w:pPr>
        <w:pStyle w:val="FootnoteText"/>
        <w:rPr>
          <w:lang w:val="fr-FR"/>
        </w:rPr>
      </w:pPr>
      <w:r w:rsidRPr="00E84E58">
        <w:rPr>
          <w:rStyle w:val="FootnoteReference"/>
          <w:lang w:val="fr-FR"/>
        </w:rPr>
        <w:footnoteRef/>
      </w:r>
      <w:r w:rsidRPr="00E84E58">
        <w:rPr>
          <w:lang w:val="fr-FR"/>
        </w:rPr>
        <w:t xml:space="preserve"> </w:t>
      </w:r>
      <w:bookmarkStart w:id="17" w:name="_Hlk18660160"/>
      <w:r>
        <w:rPr>
          <w:lang w:val="fr-FR"/>
        </w:rPr>
        <w:tab/>
      </w:r>
      <w:r w:rsidRPr="00E84E58">
        <w:rPr>
          <w:lang w:val="fr-FR"/>
        </w:rPr>
        <w:t>Document CDIP</w:t>
      </w:r>
      <w:r>
        <w:rPr>
          <w:lang w:val="fr-FR"/>
        </w:rPr>
        <w:t>/</w:t>
      </w:r>
      <w:r w:rsidRPr="00E84E58">
        <w:rPr>
          <w:lang w:val="fr-FR"/>
        </w:rPr>
        <w:t>24/4 daté du</w:t>
      </w:r>
      <w:r>
        <w:rPr>
          <w:lang w:val="fr-FR"/>
        </w:rPr>
        <w:t xml:space="preserve"> 1</w:t>
      </w:r>
      <w:r w:rsidRPr="00105729">
        <w:rPr>
          <w:vertAlign w:val="superscript"/>
          <w:lang w:val="fr-FR"/>
        </w:rPr>
        <w:t>er</w:t>
      </w:r>
      <w:r>
        <w:rPr>
          <w:lang w:val="fr-FR"/>
        </w:rPr>
        <w:t> </w:t>
      </w:r>
      <w:r w:rsidRPr="00E84E58">
        <w:rPr>
          <w:lang w:val="fr-FR"/>
        </w:rPr>
        <w:t>septembre 2019</w:t>
      </w:r>
      <w:r>
        <w:rPr>
          <w:lang w:val="fr-FR"/>
        </w:rPr>
        <w:t> :</w:t>
      </w:r>
      <w:r w:rsidRPr="00E84E58">
        <w:rPr>
          <w:lang w:val="fr-FR"/>
        </w:rPr>
        <w:t xml:space="preserve"> Rapport relatif à l</w:t>
      </w:r>
      <w:r>
        <w:rPr>
          <w:lang w:val="fr-FR"/>
        </w:rPr>
        <w:t>’</w:t>
      </w:r>
      <w:r w:rsidRPr="00E84E58">
        <w:rPr>
          <w:lang w:val="fr-FR"/>
        </w:rPr>
        <w:t>achèvement du projet relatif à la propriété intellectuelle, au tourisme et à la culture</w:t>
      </w:r>
      <w:r>
        <w:rPr>
          <w:lang w:val="fr-FR"/>
        </w:rPr>
        <w:t> :</w:t>
      </w:r>
      <w:r w:rsidRPr="00E84E58">
        <w:rPr>
          <w:lang w:val="fr-FR"/>
        </w:rPr>
        <w:t xml:space="preserve"> contribution aux objectifs de développement et promotion du patrimoine culturel en Égypte et dans d</w:t>
      </w:r>
      <w:r>
        <w:rPr>
          <w:lang w:val="fr-FR"/>
        </w:rPr>
        <w:t>’</w:t>
      </w:r>
      <w:r w:rsidRPr="00E84E58">
        <w:rPr>
          <w:lang w:val="fr-FR"/>
        </w:rPr>
        <w:t xml:space="preserve">autres pays en développement.  </w:t>
      </w:r>
      <w:bookmarkEnd w:id="17"/>
    </w:p>
  </w:footnote>
  <w:footnote w:id="8">
    <w:p w14:paraId="1EB280D5" w14:textId="4CF1423B" w:rsidR="00B81EFC" w:rsidRPr="00E84E58" w:rsidRDefault="00B81EFC" w:rsidP="00675065">
      <w:pPr>
        <w:pStyle w:val="FootnoteText"/>
        <w:rPr>
          <w:lang w:val="fr-FR"/>
        </w:rPr>
      </w:pPr>
      <w:r w:rsidRPr="00E84E58">
        <w:rPr>
          <w:rStyle w:val="FootnoteReference"/>
          <w:lang w:val="fr-FR"/>
        </w:rPr>
        <w:footnoteRef/>
      </w:r>
      <w:r w:rsidRPr="00E84E58">
        <w:rPr>
          <w:lang w:val="fr-FR"/>
        </w:rPr>
        <w:t xml:space="preserve"> </w:t>
      </w:r>
      <w:r>
        <w:rPr>
          <w:lang w:val="fr-FR"/>
        </w:rPr>
        <w:tab/>
      </w:r>
      <w:r w:rsidRPr="00E84E58">
        <w:rPr>
          <w:lang w:val="fr-FR"/>
        </w:rPr>
        <w:t>Structurées conformément aux critères suivants</w:t>
      </w:r>
      <w:r>
        <w:rPr>
          <w:lang w:val="fr-FR"/>
        </w:rPr>
        <w:t> :</w:t>
      </w:r>
      <w:r w:rsidRPr="00E84E58">
        <w:rPr>
          <w:lang w:val="fr-FR"/>
        </w:rPr>
        <w:t xml:space="preserve"> conception et gestion du projet, efficacité, viabilité du projet et mise en œuvre du Plan d</w:t>
      </w:r>
      <w:r>
        <w:rPr>
          <w:lang w:val="fr-FR"/>
        </w:rPr>
        <w:t>’</w:t>
      </w:r>
      <w:r w:rsidRPr="00E84E58">
        <w:rPr>
          <w:lang w:val="fr-FR"/>
        </w:rPr>
        <w:t>action pour le développement et des recommandations du Plan d</w:t>
      </w:r>
      <w:r>
        <w:rPr>
          <w:lang w:val="fr-FR"/>
        </w:rPr>
        <w:t>’</w:t>
      </w:r>
      <w:r w:rsidRPr="00E84E58">
        <w:rPr>
          <w:lang w:val="fr-FR"/>
        </w:rPr>
        <w:t>action pour le développement (voir les pages 2 et 3 du mandat).</w:t>
      </w:r>
    </w:p>
  </w:footnote>
  <w:footnote w:id="9">
    <w:p w14:paraId="41053363" w14:textId="232A78A2" w:rsidR="00B81EFC" w:rsidRPr="00E84E58" w:rsidRDefault="00B81EFC" w:rsidP="00675065">
      <w:pPr>
        <w:pStyle w:val="FootnoteText"/>
        <w:rPr>
          <w:szCs w:val="18"/>
          <w:lang w:val="fr-FR"/>
        </w:rPr>
      </w:pPr>
      <w:r w:rsidRPr="00E84E58">
        <w:rPr>
          <w:rStyle w:val="FootnoteReference"/>
          <w:szCs w:val="18"/>
          <w:lang w:val="fr-FR"/>
        </w:rPr>
        <w:footnoteRef/>
      </w:r>
      <w:r w:rsidRPr="00E84E58">
        <w:rPr>
          <w:szCs w:val="18"/>
          <w:lang w:val="fr-FR"/>
        </w:rPr>
        <w:t xml:space="preserve"> </w:t>
      </w:r>
      <w:bookmarkStart w:id="25" w:name="_Hlk618545"/>
      <w:r>
        <w:rPr>
          <w:szCs w:val="18"/>
          <w:lang w:val="fr-FR"/>
        </w:rPr>
        <w:tab/>
      </w:r>
      <w:r w:rsidRPr="00E84E58">
        <w:rPr>
          <w:szCs w:val="18"/>
          <w:lang w:val="fr-FR"/>
        </w:rPr>
        <w:t>Politique d</w:t>
      </w:r>
      <w:r>
        <w:rPr>
          <w:szCs w:val="18"/>
          <w:lang w:val="fr-FR"/>
        </w:rPr>
        <w:t>’</w:t>
      </w:r>
      <w:r w:rsidRPr="00E84E58">
        <w:rPr>
          <w:szCs w:val="18"/>
          <w:lang w:val="fr-FR"/>
        </w:rPr>
        <w:t>évaluation révisée de l</w:t>
      </w:r>
      <w:r>
        <w:rPr>
          <w:szCs w:val="18"/>
          <w:lang w:val="fr-FR"/>
        </w:rPr>
        <w:t>’</w:t>
      </w:r>
      <w:r w:rsidRPr="00E84E58">
        <w:rPr>
          <w:szCs w:val="18"/>
          <w:lang w:val="fr-FR"/>
        </w:rPr>
        <w:t>OMPI (deuxième édition 2016/2020), 19 février 2016.</w:t>
      </w:r>
      <w:bookmarkEnd w:id="25"/>
    </w:p>
  </w:footnote>
  <w:footnote w:id="10">
    <w:p w14:paraId="7F9125CB" w14:textId="0F8774C5" w:rsidR="00B81EFC" w:rsidRPr="00E84E58" w:rsidRDefault="00B81EFC" w:rsidP="00675065">
      <w:pPr>
        <w:pStyle w:val="FootnoteText"/>
        <w:rPr>
          <w:szCs w:val="18"/>
          <w:lang w:val="fr-FR"/>
        </w:rPr>
      </w:pPr>
      <w:r w:rsidRPr="00E84E58">
        <w:rPr>
          <w:rStyle w:val="FootnoteReference"/>
          <w:szCs w:val="18"/>
          <w:lang w:val="fr-FR"/>
        </w:rPr>
        <w:footnoteRef/>
      </w:r>
      <w:r w:rsidRPr="00E84E58">
        <w:rPr>
          <w:szCs w:val="18"/>
          <w:lang w:val="fr-FR"/>
        </w:rPr>
        <w:t xml:space="preserve"> </w:t>
      </w:r>
      <w:r>
        <w:rPr>
          <w:szCs w:val="18"/>
          <w:lang w:val="fr-FR"/>
        </w:rPr>
        <w:tab/>
      </w:r>
      <w:r w:rsidRPr="00E84E58">
        <w:rPr>
          <w:szCs w:val="18"/>
          <w:lang w:val="fr-FR"/>
        </w:rPr>
        <w:t>Lignes directrices et ouvrages de référence du CAD, Normes de qualité pour l</w:t>
      </w:r>
      <w:r>
        <w:rPr>
          <w:szCs w:val="18"/>
          <w:lang w:val="fr-FR"/>
        </w:rPr>
        <w:t>’</w:t>
      </w:r>
      <w:r w:rsidRPr="00E84E58">
        <w:rPr>
          <w:szCs w:val="18"/>
          <w:lang w:val="fr-FR"/>
        </w:rPr>
        <w:t>évaluation du développement, comité d</w:t>
      </w:r>
      <w:r>
        <w:rPr>
          <w:szCs w:val="18"/>
          <w:lang w:val="fr-FR"/>
        </w:rPr>
        <w:t>’</w:t>
      </w:r>
      <w:r w:rsidRPr="00E84E58">
        <w:rPr>
          <w:szCs w:val="18"/>
          <w:lang w:val="fr-FR"/>
        </w:rPr>
        <w:t>aide au développement (CAD) de l</w:t>
      </w:r>
      <w:r>
        <w:rPr>
          <w:szCs w:val="18"/>
          <w:lang w:val="fr-FR"/>
        </w:rPr>
        <w:t>’</w:t>
      </w:r>
      <w:r w:rsidRPr="00E84E58">
        <w:rPr>
          <w:szCs w:val="18"/>
          <w:lang w:val="fr-FR"/>
        </w:rPr>
        <w:t>OCDE, OCDE 2010.  Les critères d</w:t>
      </w:r>
      <w:r>
        <w:rPr>
          <w:szCs w:val="18"/>
          <w:lang w:val="fr-FR"/>
        </w:rPr>
        <w:t>’</w:t>
      </w:r>
      <w:r w:rsidRPr="00E84E58">
        <w:rPr>
          <w:szCs w:val="18"/>
          <w:lang w:val="fr-FR"/>
        </w:rPr>
        <w:t>évaluation du CAD sont internationalement reconnus comme les meilleures pratiques et amplement appliqués par la plupart des acteurs du développement.</w:t>
      </w:r>
    </w:p>
  </w:footnote>
  <w:footnote w:id="11">
    <w:p w14:paraId="7E63CBDC" w14:textId="7AFBEA9F" w:rsidR="00B81EFC" w:rsidRPr="00E84E58" w:rsidRDefault="00B81EFC" w:rsidP="00675065">
      <w:pPr>
        <w:pStyle w:val="FootnoteText"/>
        <w:rPr>
          <w:lang w:val="fr-FR"/>
        </w:rPr>
      </w:pPr>
      <w:r w:rsidRPr="00E84E58">
        <w:rPr>
          <w:rStyle w:val="FootnoteReference"/>
          <w:lang w:val="fr-FR"/>
        </w:rPr>
        <w:footnoteRef/>
      </w:r>
      <w:r w:rsidRPr="00E84E58">
        <w:rPr>
          <w:lang w:val="fr-FR"/>
        </w:rPr>
        <w:t xml:space="preserve"> </w:t>
      </w:r>
      <w:r>
        <w:rPr>
          <w:lang w:val="fr-FR"/>
        </w:rPr>
        <w:tab/>
      </w:r>
      <w:r w:rsidRPr="00E84E58">
        <w:rPr>
          <w:lang w:val="fr-FR"/>
        </w:rPr>
        <w:t>Dans le mandat, seule une évaluation de l</w:t>
      </w:r>
      <w:r>
        <w:rPr>
          <w:lang w:val="fr-FR"/>
        </w:rPr>
        <w:t>’</w:t>
      </w:r>
      <w:r w:rsidRPr="00E84E58">
        <w:rPr>
          <w:lang w:val="fr-FR"/>
        </w:rPr>
        <w:t>efficacité et de la viabilité était demandée.</w:t>
      </w:r>
    </w:p>
  </w:footnote>
  <w:footnote w:id="12">
    <w:p w14:paraId="5590C582" w14:textId="3AE1CA71" w:rsidR="00B81EFC" w:rsidRPr="00E84E58" w:rsidRDefault="00B81EFC" w:rsidP="00675065">
      <w:pPr>
        <w:pStyle w:val="FootnoteText"/>
        <w:rPr>
          <w:lang w:val="fr-FR"/>
        </w:rPr>
      </w:pPr>
      <w:r w:rsidRPr="00E84E58">
        <w:rPr>
          <w:rStyle w:val="FootnoteReference"/>
          <w:lang w:val="fr-FR"/>
        </w:rPr>
        <w:footnoteRef/>
      </w:r>
      <w:r w:rsidRPr="00E84E58">
        <w:rPr>
          <w:lang w:val="fr-FR"/>
        </w:rPr>
        <w:t xml:space="preserve"> </w:t>
      </w:r>
      <w:r>
        <w:rPr>
          <w:lang w:val="fr-FR"/>
        </w:rPr>
        <w:tab/>
      </w:r>
      <w:r w:rsidRPr="00E84E58">
        <w:rPr>
          <w:lang w:val="fr-FR"/>
        </w:rPr>
        <w:t>Il s</w:t>
      </w:r>
      <w:r>
        <w:rPr>
          <w:lang w:val="fr-FR"/>
        </w:rPr>
        <w:t>’</w:t>
      </w:r>
      <w:r w:rsidRPr="00E84E58">
        <w:rPr>
          <w:lang w:val="fr-FR"/>
        </w:rPr>
        <w:t>agit d</w:t>
      </w:r>
      <w:r>
        <w:rPr>
          <w:lang w:val="fr-FR"/>
        </w:rPr>
        <w:t>’</w:t>
      </w:r>
      <w:r w:rsidRPr="00E84E58">
        <w:rPr>
          <w:lang w:val="fr-FR"/>
        </w:rPr>
        <w:t>un terme économique utilisé pour déterminer dans quelle mesure l</w:t>
      </w:r>
      <w:r>
        <w:rPr>
          <w:lang w:val="fr-FR"/>
        </w:rPr>
        <w:t>’</w:t>
      </w:r>
      <w:r w:rsidRPr="00E84E58">
        <w:rPr>
          <w:lang w:val="fr-FR"/>
        </w:rPr>
        <w:t>aide utilise les ressources les moins coûteuses possible pour obtenir les résultats souhaités.  Cela demande habituellement de comparer plusieurs approches permettant d</w:t>
      </w:r>
      <w:r>
        <w:rPr>
          <w:lang w:val="fr-FR"/>
        </w:rPr>
        <w:t>’</w:t>
      </w:r>
      <w:r w:rsidRPr="00E84E58">
        <w:rPr>
          <w:lang w:val="fr-FR"/>
        </w:rPr>
        <w:t>obtenir les mêmes résultats, afin de déterminer si le processus le plus efficace a été adopté.</w:t>
      </w:r>
    </w:p>
  </w:footnote>
  <w:footnote w:id="13">
    <w:p w14:paraId="2DF5FF8B" w14:textId="2FB68B73" w:rsidR="00B81EFC" w:rsidRPr="00E84E58" w:rsidRDefault="00B81EFC" w:rsidP="00675065">
      <w:pPr>
        <w:pStyle w:val="FootnoteText"/>
        <w:rPr>
          <w:lang w:val="fr-FR"/>
        </w:rPr>
      </w:pPr>
      <w:r w:rsidRPr="00E84E58">
        <w:rPr>
          <w:rStyle w:val="FootnoteReference"/>
          <w:lang w:val="fr-FR"/>
        </w:rPr>
        <w:footnoteRef/>
      </w:r>
      <w:r w:rsidRPr="00E84E58">
        <w:rPr>
          <w:lang w:val="fr-FR"/>
        </w:rPr>
        <w:t xml:space="preserve"> </w:t>
      </w:r>
      <w:r>
        <w:rPr>
          <w:lang w:val="fr-FR"/>
        </w:rPr>
        <w:tab/>
      </w:r>
      <w:r w:rsidRPr="00E84E58">
        <w:rPr>
          <w:lang w:val="fr-FR"/>
        </w:rPr>
        <w:t>Suppositions déduites de facteurs ou de risques pouvant avoir des répercussions sur le progrès ou le succès de l</w:t>
      </w:r>
      <w:r>
        <w:rPr>
          <w:lang w:val="fr-FR"/>
        </w:rPr>
        <w:t>’</w:t>
      </w:r>
      <w:r w:rsidRPr="00E84E58">
        <w:rPr>
          <w:lang w:val="fr-FR"/>
        </w:rPr>
        <w:t>action de développement (OCDE, Glossaire des principaux termes relatifs à l</w:t>
      </w:r>
      <w:r>
        <w:rPr>
          <w:lang w:val="fr-FR"/>
        </w:rPr>
        <w:t>’</w:t>
      </w:r>
      <w:r w:rsidRPr="00E84E58">
        <w:rPr>
          <w:lang w:val="fr-FR"/>
        </w:rPr>
        <w:t>évaluation et la gestion axée sur les résultats, 2010).</w:t>
      </w:r>
    </w:p>
  </w:footnote>
  <w:footnote w:id="14">
    <w:p w14:paraId="51593FE0" w14:textId="59D5B588" w:rsidR="00B81EFC" w:rsidRPr="00E84E58" w:rsidRDefault="00B81EFC" w:rsidP="00675065">
      <w:pPr>
        <w:pStyle w:val="FootnoteText"/>
        <w:rPr>
          <w:lang w:val="fr-FR"/>
        </w:rPr>
      </w:pPr>
      <w:r w:rsidRPr="00E84E58">
        <w:rPr>
          <w:rStyle w:val="FootnoteReference"/>
          <w:lang w:val="fr-FR"/>
        </w:rPr>
        <w:footnoteRef/>
      </w:r>
      <w:r w:rsidRPr="00E84E58">
        <w:rPr>
          <w:lang w:val="fr-FR"/>
        </w:rPr>
        <w:t xml:space="preserve"> </w:t>
      </w:r>
      <w:r>
        <w:rPr>
          <w:lang w:val="fr-FR"/>
        </w:rPr>
        <w:tab/>
      </w:r>
      <w:r w:rsidRPr="00E84E58">
        <w:rPr>
          <w:lang w:val="fr-FR"/>
        </w:rPr>
        <w:t>Idéalement, les enquêtes plus complexes pour mesurer les résultats sont définies en tant qu</w:t>
      </w:r>
      <w:r>
        <w:rPr>
          <w:lang w:val="fr-FR"/>
        </w:rPr>
        <w:t>’</w:t>
      </w:r>
      <w:r w:rsidRPr="00E84E58">
        <w:rPr>
          <w:lang w:val="fr-FR"/>
        </w:rPr>
        <w:t>activités dans le cadre du projet.</w:t>
      </w:r>
    </w:p>
  </w:footnote>
  <w:footnote w:id="15">
    <w:p w14:paraId="67F4600B" w14:textId="1140C53E" w:rsidR="00B81EFC" w:rsidRPr="00E84E58" w:rsidRDefault="00B81EFC" w:rsidP="00675065">
      <w:pPr>
        <w:pStyle w:val="FootnoteText"/>
        <w:rPr>
          <w:lang w:val="fr-FR"/>
        </w:rPr>
      </w:pPr>
      <w:r w:rsidRPr="00E84E58">
        <w:rPr>
          <w:rStyle w:val="FootnoteReference"/>
          <w:lang w:val="fr-FR"/>
        </w:rPr>
        <w:footnoteRef/>
      </w:r>
      <w:r w:rsidRPr="00E84E58">
        <w:rPr>
          <w:lang w:val="fr-FR"/>
        </w:rPr>
        <w:t xml:space="preserve"> </w:t>
      </w:r>
      <w:r>
        <w:rPr>
          <w:lang w:val="fr-FR"/>
        </w:rPr>
        <w:tab/>
      </w:r>
      <w:r w:rsidRPr="00E84E58">
        <w:rPr>
          <w:lang w:val="fr-FR"/>
        </w:rPr>
        <w:t>Le modèle utilisé par le Secrétariat pour approuver les nouvelles publications pourrait servir de point de départ.</w:t>
      </w:r>
    </w:p>
  </w:footnote>
  <w:footnote w:id="16">
    <w:p w14:paraId="251586E0" w14:textId="3EFAD2B3" w:rsidR="00B81EFC" w:rsidRPr="00E84E58" w:rsidRDefault="00B81EFC" w:rsidP="00675065">
      <w:pPr>
        <w:pStyle w:val="FootnoteText"/>
        <w:rPr>
          <w:lang w:val="fr-FR"/>
        </w:rPr>
      </w:pPr>
      <w:r w:rsidRPr="00E84E58">
        <w:rPr>
          <w:rStyle w:val="FootnoteReference"/>
          <w:lang w:val="fr-FR"/>
        </w:rPr>
        <w:footnoteRef/>
      </w:r>
      <w:r w:rsidRPr="00E84E58">
        <w:rPr>
          <w:lang w:val="fr-FR"/>
        </w:rPr>
        <w:t xml:space="preserve"> </w:t>
      </w:r>
      <w:r>
        <w:rPr>
          <w:lang w:val="fr-FR"/>
        </w:rPr>
        <w:tab/>
      </w:r>
      <w:r w:rsidRPr="00E84E58">
        <w:rPr>
          <w:lang w:val="fr-FR"/>
        </w:rPr>
        <w:t>Pour les rapports de toutes les manifestations, voir l</w:t>
      </w:r>
      <w:r>
        <w:rPr>
          <w:lang w:val="fr-FR"/>
        </w:rPr>
        <w:t>’</w:t>
      </w:r>
      <w:r w:rsidRPr="00E84E58">
        <w:rPr>
          <w:lang w:val="fr-FR"/>
        </w:rPr>
        <w:t>appendice 1.</w:t>
      </w:r>
    </w:p>
  </w:footnote>
  <w:footnote w:id="17">
    <w:p w14:paraId="45E40309" w14:textId="0A13D132" w:rsidR="00B81EFC" w:rsidRPr="00E84E58" w:rsidRDefault="00B81EFC" w:rsidP="00675065">
      <w:pPr>
        <w:pStyle w:val="FootnoteText"/>
        <w:rPr>
          <w:lang w:val="fr-FR"/>
        </w:rPr>
      </w:pPr>
      <w:r w:rsidRPr="00E84E58">
        <w:rPr>
          <w:rStyle w:val="FootnoteReference"/>
          <w:lang w:val="fr-FR"/>
        </w:rPr>
        <w:footnoteRef/>
      </w:r>
      <w:r w:rsidRPr="00E84E58">
        <w:rPr>
          <w:lang w:val="fr-FR"/>
        </w:rPr>
        <w:t xml:space="preserve"> </w:t>
      </w:r>
      <w:r>
        <w:rPr>
          <w:lang w:val="fr-FR"/>
        </w:rPr>
        <w:tab/>
      </w:r>
      <w:r w:rsidRPr="00E84E58">
        <w:rPr>
          <w:lang w:val="fr-FR"/>
        </w:rPr>
        <w:t>Servicio Nacional de Derechos Intelectuales</w:t>
      </w:r>
    </w:p>
  </w:footnote>
  <w:footnote w:id="18">
    <w:p w14:paraId="57554AEF" w14:textId="6973F812" w:rsidR="00B81EFC" w:rsidRPr="00E84E58" w:rsidRDefault="00B81EFC" w:rsidP="00675065">
      <w:pPr>
        <w:pStyle w:val="FootnoteText"/>
        <w:rPr>
          <w:lang w:val="fr-FR"/>
        </w:rPr>
      </w:pPr>
      <w:r w:rsidRPr="00E84E58">
        <w:rPr>
          <w:rStyle w:val="FootnoteReference"/>
          <w:lang w:val="fr-FR"/>
        </w:rPr>
        <w:footnoteRef/>
      </w:r>
      <w:r w:rsidRPr="00E84E58">
        <w:rPr>
          <w:lang w:val="fr-FR"/>
        </w:rPr>
        <w:t xml:space="preserve"> </w:t>
      </w:r>
      <w:r>
        <w:rPr>
          <w:lang w:val="fr-FR"/>
        </w:rPr>
        <w:tab/>
      </w:r>
      <w:r w:rsidRPr="00E84E58">
        <w:rPr>
          <w:lang w:val="fr-FR"/>
        </w:rPr>
        <w:t>Seul un résumé est disponible.  Voir le document CDIP/21/INF/5, daté du 11 avril 2018, contenant un résumé de l</w:t>
      </w:r>
      <w:r>
        <w:rPr>
          <w:lang w:val="fr-FR"/>
        </w:rPr>
        <w:t>’</w:t>
      </w:r>
      <w:r w:rsidRPr="00E84E58">
        <w:rPr>
          <w:lang w:val="fr-FR"/>
        </w:rPr>
        <w:t>étude sur la propriété intellectuelle au service du renforcement de l</w:t>
      </w:r>
      <w:r>
        <w:rPr>
          <w:lang w:val="fr-FR"/>
        </w:rPr>
        <w:t>’</w:t>
      </w:r>
      <w:r w:rsidRPr="00E84E58">
        <w:rPr>
          <w:lang w:val="fr-FR"/>
        </w:rPr>
        <w:t>identité provinciale dans le cadre du projet de géoparc d</w:t>
      </w:r>
      <w:r>
        <w:rPr>
          <w:lang w:val="fr-FR"/>
        </w:rPr>
        <w:t>’</w:t>
      </w:r>
      <w:r w:rsidRPr="00E84E58">
        <w:rPr>
          <w:lang w:val="fr-FR"/>
        </w:rPr>
        <w:t>Imbabura, menée par M. Sebastián</w:t>
      </w:r>
      <w:r>
        <w:rPr>
          <w:lang w:val="fr-FR"/>
        </w:rPr>
        <w:t> </w:t>
      </w:r>
      <w:r w:rsidRPr="00E84E58">
        <w:rPr>
          <w:lang w:val="fr-FR"/>
        </w:rPr>
        <w:t>B</w:t>
      </w:r>
      <w:r>
        <w:rPr>
          <w:lang w:val="fr-FR"/>
        </w:rPr>
        <w:t>a</w:t>
      </w:r>
      <w:r w:rsidRPr="00E84E58">
        <w:rPr>
          <w:lang w:val="fr-FR"/>
        </w:rPr>
        <w:t>rrera, fondateur et directeur de création chez Kompany Latam à Quito.</w:t>
      </w:r>
    </w:p>
  </w:footnote>
  <w:footnote w:id="19">
    <w:p w14:paraId="7E28846B" w14:textId="7EADEC41" w:rsidR="00B81EFC" w:rsidRPr="00E84E58" w:rsidRDefault="00B81EFC" w:rsidP="00675065">
      <w:pPr>
        <w:pStyle w:val="FootnoteText"/>
        <w:rPr>
          <w:lang w:val="fr-FR"/>
        </w:rPr>
      </w:pPr>
      <w:r w:rsidRPr="00E84E58">
        <w:rPr>
          <w:rStyle w:val="FootnoteReference"/>
          <w:lang w:val="fr-FR"/>
        </w:rPr>
        <w:footnoteRef/>
      </w:r>
      <w:r w:rsidRPr="00E84E58">
        <w:rPr>
          <w:lang w:val="fr-FR"/>
        </w:rPr>
        <w:t xml:space="preserve"> </w:t>
      </w:r>
      <w:r>
        <w:rPr>
          <w:lang w:val="fr-FR"/>
        </w:rPr>
        <w:tab/>
      </w:r>
      <w:r w:rsidRPr="00E84E58">
        <w:rPr>
          <w:lang w:val="fr-FR"/>
        </w:rPr>
        <w:t>Voir le document CDIP/22/INF/4 daté du 18 octobre 2018 contenant un résumé de l</w:t>
      </w:r>
      <w:r>
        <w:rPr>
          <w:lang w:val="fr-FR"/>
        </w:rPr>
        <w:t>’</w:t>
      </w:r>
      <w:r w:rsidRPr="00E84E58">
        <w:rPr>
          <w:lang w:val="fr-FR"/>
        </w:rPr>
        <w:t>étude sur la propriété intellectuelle, le tourisme et la culture</w:t>
      </w:r>
      <w:r>
        <w:rPr>
          <w:lang w:val="fr-FR"/>
        </w:rPr>
        <w:t> :</w:t>
      </w:r>
      <w:r w:rsidRPr="00E84E58">
        <w:rPr>
          <w:lang w:val="fr-FR"/>
        </w:rPr>
        <w:t xml:space="preserve"> contribution aux objectifs de développement et promotion du patrimoine culturel en Égypte, établie par Mme May M. Hasan, fondatrice d</w:t>
      </w:r>
      <w:r>
        <w:rPr>
          <w:lang w:val="fr-FR"/>
        </w:rPr>
        <w:t>’</w:t>
      </w:r>
      <w:r w:rsidRPr="00E84E58">
        <w:rPr>
          <w:lang w:val="fr-FR"/>
        </w:rPr>
        <w:t>IP Mentor, avocate spécialisée en propriété intellectuelle, enquêtrice terrain et formatrice en propriété intellectuelle auprès de l</w:t>
      </w:r>
      <w:r>
        <w:rPr>
          <w:lang w:val="fr-FR"/>
        </w:rPr>
        <w:t>’</w:t>
      </w:r>
      <w:r w:rsidRPr="00E84E58">
        <w:rPr>
          <w:lang w:val="fr-FR"/>
        </w:rPr>
        <w:t>Académie nationale de la propriété intellectuelle (start</w:t>
      </w:r>
      <w:r>
        <w:rPr>
          <w:lang w:val="fr-FR"/>
        </w:rPr>
        <w:t>-</w:t>
      </w:r>
      <w:r w:rsidRPr="00E84E58">
        <w:rPr>
          <w:lang w:val="fr-FR"/>
        </w:rPr>
        <w:t>up).</w:t>
      </w:r>
    </w:p>
  </w:footnote>
  <w:footnote w:id="20">
    <w:p w14:paraId="74F0F155" w14:textId="77777777" w:rsidR="00B81EFC" w:rsidRPr="00B27C21" w:rsidRDefault="00B81EFC" w:rsidP="00C31DE2">
      <w:pPr>
        <w:pStyle w:val="FootnoteText"/>
        <w:rPr>
          <w:rFonts w:asciiTheme="minorBidi" w:hAnsiTheme="minorBidi"/>
          <w:lang w:val="fr-FR"/>
        </w:rPr>
      </w:pPr>
      <w:r>
        <w:rPr>
          <w:rStyle w:val="FootnoteReference"/>
        </w:rPr>
        <w:footnoteRef/>
      </w:r>
      <w:r w:rsidRPr="001B4B96">
        <w:rPr>
          <w:lang w:val="fr-FR"/>
        </w:rPr>
        <w:t xml:space="preserve"> </w:t>
      </w:r>
      <w:r w:rsidRPr="001B4B96">
        <w:rPr>
          <w:lang w:val="fr-FR"/>
        </w:rPr>
        <w:tab/>
      </w:r>
      <w:r w:rsidRPr="006C4FDB">
        <w:rPr>
          <w:rFonts w:asciiTheme="minorBidi" w:hAnsiTheme="minorBidi" w:cstheme="minorBidi"/>
          <w:szCs w:val="18"/>
          <w:lang w:val="fr-FR"/>
        </w:rPr>
        <w:t>Propriété intellectuelle, tourisme et culture – Guide des pratiques exemplaires concernant l</w:t>
      </w:r>
      <w:r>
        <w:rPr>
          <w:rFonts w:asciiTheme="minorBidi" w:hAnsiTheme="minorBidi" w:cstheme="minorBidi"/>
          <w:szCs w:val="18"/>
          <w:lang w:val="fr-FR"/>
        </w:rPr>
        <w:t>’</w:t>
      </w:r>
      <w:r w:rsidRPr="006C4FDB">
        <w:rPr>
          <w:rFonts w:asciiTheme="minorBidi" w:hAnsiTheme="minorBidi" w:cstheme="minorBidi"/>
          <w:szCs w:val="18"/>
          <w:lang w:val="fr-FR"/>
        </w:rPr>
        <w:t>utilisation de la propriété intellectuelle aux fins de tourisme et de promotion du patrimoine culture</w:t>
      </w:r>
      <w:r>
        <w:rPr>
          <w:rFonts w:asciiTheme="minorBidi" w:hAnsiTheme="minorBidi" w:cstheme="minorBidi"/>
          <w:szCs w:val="18"/>
          <w:lang w:val="fr-FR"/>
        </w:rPr>
        <w:t>l</w:t>
      </w:r>
      <w:r w:rsidRPr="006C4FDB">
        <w:rPr>
          <w:rFonts w:asciiTheme="minorBidi" w:hAnsiTheme="minorBidi" w:cstheme="minorBidi"/>
          <w:szCs w:val="18"/>
          <w:lang w:val="fr-FR"/>
        </w:rPr>
        <w:t xml:space="preserve"> en vue de soutenir la réalisation des objectifs de développement.</w:t>
      </w:r>
    </w:p>
  </w:footnote>
  <w:footnote w:id="21">
    <w:p w14:paraId="5A674BBA" w14:textId="77777777" w:rsidR="00B81EFC" w:rsidRPr="00B27C21" w:rsidRDefault="00B81EFC" w:rsidP="00C31DE2">
      <w:pPr>
        <w:pStyle w:val="FootnoteText"/>
        <w:contextualSpacing/>
        <w:rPr>
          <w:rFonts w:asciiTheme="minorBidi" w:hAnsiTheme="minorBidi"/>
          <w:lang w:val="fr-FR"/>
        </w:rPr>
      </w:pPr>
      <w:r>
        <w:rPr>
          <w:rStyle w:val="FootnoteReference"/>
        </w:rPr>
        <w:footnoteRef/>
      </w:r>
      <w:r w:rsidRPr="001B4B96">
        <w:rPr>
          <w:lang w:val="fr-FR"/>
        </w:rPr>
        <w:t xml:space="preserve"> </w:t>
      </w:r>
      <w:r w:rsidRPr="001B4B96">
        <w:rPr>
          <w:lang w:val="fr-FR"/>
        </w:rPr>
        <w:tab/>
      </w:r>
      <w:r>
        <w:rPr>
          <w:lang w:val="fr-FR"/>
        </w:rPr>
        <w:t>Ils ne sont p</w:t>
      </w:r>
      <w:r w:rsidRPr="006C4FDB">
        <w:rPr>
          <w:rFonts w:asciiTheme="minorBidi" w:hAnsiTheme="minorBidi" w:cstheme="minorBidi"/>
          <w:szCs w:val="18"/>
          <w:lang w:val="fr-FR"/>
        </w:rPr>
        <w:t>as encore disponible</w:t>
      </w:r>
      <w:r>
        <w:rPr>
          <w:rFonts w:asciiTheme="minorBidi" w:hAnsiTheme="minorBidi" w:cstheme="minorBidi"/>
          <w:szCs w:val="18"/>
          <w:lang w:val="fr-FR"/>
        </w:rPr>
        <w:t>s</w:t>
      </w:r>
      <w:r w:rsidRPr="006C4FDB">
        <w:rPr>
          <w:rFonts w:asciiTheme="minorBidi" w:hAnsiTheme="minorBidi" w:cstheme="minorBidi"/>
          <w:szCs w:val="18"/>
          <w:lang w:val="fr-FR"/>
        </w:rPr>
        <w:t xml:space="preserve"> pour examen, mais l</w:t>
      </w:r>
      <w:r>
        <w:rPr>
          <w:rFonts w:asciiTheme="minorBidi" w:hAnsiTheme="minorBidi" w:cstheme="minorBidi"/>
          <w:szCs w:val="18"/>
          <w:lang w:val="fr-FR"/>
        </w:rPr>
        <w:t xml:space="preserve">eur </w:t>
      </w:r>
      <w:r w:rsidRPr="006C4FDB">
        <w:rPr>
          <w:rFonts w:asciiTheme="minorBidi" w:hAnsiTheme="minorBidi" w:cstheme="minorBidi"/>
          <w:szCs w:val="18"/>
          <w:lang w:val="fr-FR"/>
        </w:rPr>
        <w:t xml:space="preserve">existence a été </w:t>
      </w:r>
      <w:r>
        <w:rPr>
          <w:rFonts w:asciiTheme="minorBidi" w:hAnsiTheme="minorBidi" w:cstheme="minorBidi"/>
          <w:szCs w:val="18"/>
          <w:lang w:val="fr-FR"/>
        </w:rPr>
        <w:t>confirmée</w:t>
      </w:r>
      <w:r w:rsidRPr="006C4FDB">
        <w:rPr>
          <w:rFonts w:asciiTheme="minorBidi" w:hAnsiTheme="minorBidi" w:cstheme="minorBidi"/>
          <w:szCs w:val="18"/>
          <w:lang w:val="fr-FR"/>
        </w:rPr>
        <w:t xml:space="preserve"> par des entretiens avec l</w:t>
      </w:r>
      <w:r>
        <w:rPr>
          <w:rFonts w:asciiTheme="minorBidi" w:hAnsiTheme="minorBidi" w:cstheme="minorBidi"/>
          <w:szCs w:val="18"/>
          <w:lang w:val="fr-FR"/>
        </w:rPr>
        <w:t>’</w:t>
      </w:r>
      <w:r w:rsidRPr="006C4FDB">
        <w:rPr>
          <w:rFonts w:asciiTheme="minorBidi" w:hAnsiTheme="minorBidi" w:cstheme="minorBidi"/>
          <w:szCs w:val="18"/>
          <w:lang w:val="fr-FR"/>
        </w:rPr>
        <w:t>équipe du projet, les auteurs d</w:t>
      </w:r>
      <w:r>
        <w:rPr>
          <w:rFonts w:asciiTheme="minorBidi" w:hAnsiTheme="minorBidi" w:cstheme="minorBidi"/>
          <w:szCs w:val="18"/>
          <w:lang w:val="fr-FR"/>
        </w:rPr>
        <w:t xml:space="preserve">es supports </w:t>
      </w:r>
      <w:r w:rsidRPr="006C4FDB">
        <w:rPr>
          <w:rFonts w:asciiTheme="minorBidi" w:hAnsiTheme="minorBidi" w:cstheme="minorBidi"/>
          <w:szCs w:val="18"/>
          <w:lang w:val="fr-FR"/>
        </w:rPr>
        <w:t>et les bénéficiaires</w:t>
      </w:r>
      <w:r>
        <w:rPr>
          <w:rFonts w:asciiTheme="minorBidi" w:hAnsiTheme="minorBidi" w:cstheme="minorBidi"/>
          <w:szCs w:val="18"/>
          <w:lang w:val="fr-FR"/>
        </w:rPr>
        <w:t>.</w:t>
      </w:r>
    </w:p>
  </w:footnote>
  <w:footnote w:id="22">
    <w:p w14:paraId="47D11688" w14:textId="77777777" w:rsidR="00B81EFC" w:rsidRPr="00B27C21" w:rsidRDefault="00B81EFC" w:rsidP="00C31DE2">
      <w:pPr>
        <w:rPr>
          <w:rFonts w:asciiTheme="minorBidi" w:hAnsiTheme="minorBidi"/>
          <w:sz w:val="18"/>
          <w:lang w:val="fr-FR"/>
        </w:rPr>
      </w:pPr>
      <w:r>
        <w:rPr>
          <w:rStyle w:val="FootnoteReference"/>
        </w:rPr>
        <w:footnoteRef/>
      </w:r>
      <w:r w:rsidRPr="001B4B96">
        <w:rPr>
          <w:lang w:val="fr-FR"/>
        </w:rPr>
        <w:t xml:space="preserve"> </w:t>
      </w:r>
      <w:r w:rsidRPr="001B4B96">
        <w:rPr>
          <w:lang w:val="fr-FR"/>
        </w:rPr>
        <w:tab/>
      </w:r>
      <w:r w:rsidRPr="006C4FDB">
        <w:rPr>
          <w:rFonts w:asciiTheme="minorBidi" w:hAnsiTheme="minorBidi" w:cstheme="minorBidi"/>
          <w:sz w:val="18"/>
          <w:szCs w:val="18"/>
          <w:lang w:val="fr-FR"/>
        </w:rPr>
        <w:t>Inclut l</w:t>
      </w:r>
      <w:r>
        <w:rPr>
          <w:rFonts w:asciiTheme="minorBidi" w:hAnsiTheme="minorBidi" w:cstheme="minorBidi"/>
          <w:sz w:val="18"/>
          <w:szCs w:val="18"/>
          <w:lang w:val="fr-FR"/>
        </w:rPr>
        <w:t>’</w:t>
      </w:r>
      <w:r w:rsidRPr="006C4FDB">
        <w:rPr>
          <w:rFonts w:asciiTheme="minorBidi" w:hAnsiTheme="minorBidi" w:cstheme="minorBidi"/>
          <w:sz w:val="18"/>
          <w:szCs w:val="18"/>
          <w:lang w:val="fr-FR"/>
        </w:rPr>
        <w:t>élaboration d</w:t>
      </w:r>
      <w:r>
        <w:rPr>
          <w:rFonts w:asciiTheme="minorBidi" w:hAnsiTheme="minorBidi" w:cstheme="minorBidi"/>
          <w:sz w:val="18"/>
          <w:szCs w:val="18"/>
          <w:lang w:val="fr-FR"/>
        </w:rPr>
        <w:t>’</w:t>
      </w:r>
      <w:r w:rsidRPr="006C4FDB">
        <w:rPr>
          <w:rFonts w:asciiTheme="minorBidi" w:hAnsiTheme="minorBidi" w:cstheme="minorBidi"/>
          <w:sz w:val="18"/>
          <w:szCs w:val="18"/>
          <w:lang w:val="fr-FR"/>
        </w:rPr>
        <w:t xml:space="preserve">un </w:t>
      </w:r>
      <w:r>
        <w:rPr>
          <w:rFonts w:asciiTheme="minorBidi" w:hAnsiTheme="minorBidi"/>
          <w:sz w:val="18"/>
          <w:szCs w:val="18"/>
          <w:lang w:val="fr-FR"/>
        </w:rPr>
        <w:t>cursus</w:t>
      </w:r>
      <w:r w:rsidRPr="006C4FDB">
        <w:rPr>
          <w:rFonts w:asciiTheme="minorBidi" w:hAnsiTheme="minorBidi" w:cstheme="minorBidi"/>
          <w:sz w:val="18"/>
          <w:szCs w:val="18"/>
          <w:lang w:val="fr-FR"/>
        </w:rPr>
        <w:t xml:space="preserve"> et d</w:t>
      </w:r>
      <w:r>
        <w:rPr>
          <w:rFonts w:asciiTheme="minorBidi" w:hAnsiTheme="minorBidi"/>
          <w:sz w:val="18"/>
          <w:szCs w:val="18"/>
          <w:lang w:val="fr-FR"/>
        </w:rPr>
        <w:t>e supports d’enseignement</w:t>
      </w:r>
      <w:r w:rsidRPr="006C4FDB">
        <w:rPr>
          <w:rFonts w:asciiTheme="minorBidi" w:hAnsiTheme="minorBidi" w:cstheme="minorBidi"/>
          <w:sz w:val="18"/>
          <w:szCs w:val="18"/>
          <w:lang w:val="fr-FR"/>
        </w:rPr>
        <w:t>.</w:t>
      </w:r>
      <w:r>
        <w:rPr>
          <w:rFonts w:asciiTheme="minorBidi" w:hAnsiTheme="minorBidi" w:cstheme="minorBidi"/>
          <w:sz w:val="18"/>
          <w:szCs w:val="18"/>
          <w:lang w:val="fr-FR"/>
        </w:rPr>
        <w:t xml:space="preserve"> </w:t>
      </w:r>
      <w:r w:rsidRPr="006C4FDB">
        <w:rPr>
          <w:rFonts w:asciiTheme="minorBidi" w:hAnsiTheme="minorBidi" w:cstheme="minorBidi"/>
          <w:sz w:val="18"/>
          <w:szCs w:val="18"/>
          <w:lang w:val="fr-FR"/>
        </w:rPr>
        <w:t xml:space="preserve"> Ce nouveau cours de niveau Master sur la propriété intellectuelle et le tourisme sera dispensé </w:t>
      </w:r>
      <w:r>
        <w:rPr>
          <w:rFonts w:asciiTheme="minorBidi" w:hAnsiTheme="minorBidi"/>
          <w:sz w:val="18"/>
          <w:szCs w:val="18"/>
          <w:lang w:val="fr-FR"/>
        </w:rPr>
        <w:t>au</w:t>
      </w:r>
      <w:r w:rsidRPr="006C4FDB">
        <w:rPr>
          <w:rFonts w:asciiTheme="minorBidi" w:hAnsiTheme="minorBidi" w:cstheme="minorBidi"/>
          <w:sz w:val="18"/>
          <w:szCs w:val="18"/>
          <w:lang w:val="fr-FR"/>
        </w:rPr>
        <w:t xml:space="preserve"> cinquième semestre du </w:t>
      </w:r>
      <w:r>
        <w:rPr>
          <w:rFonts w:asciiTheme="minorBidi" w:hAnsiTheme="minorBidi"/>
          <w:sz w:val="18"/>
          <w:szCs w:val="18"/>
          <w:lang w:val="fr-FR"/>
        </w:rPr>
        <w:t>Master tourisme</w:t>
      </w:r>
      <w:r w:rsidRPr="006C4FDB">
        <w:rPr>
          <w:rFonts w:asciiTheme="minorBidi" w:hAnsiTheme="minorBidi" w:cstheme="minorBidi"/>
          <w:sz w:val="18"/>
          <w:szCs w:val="18"/>
          <w:lang w:val="fr-FR"/>
        </w:rPr>
        <w:t>.</w:t>
      </w:r>
    </w:p>
  </w:footnote>
  <w:footnote w:id="23">
    <w:p w14:paraId="3B5A31D4" w14:textId="77777777" w:rsidR="00B81EFC" w:rsidRPr="00B27C21" w:rsidRDefault="00B81EFC" w:rsidP="00C31DE2">
      <w:pPr>
        <w:rPr>
          <w:rFonts w:asciiTheme="minorBidi" w:hAnsiTheme="minorBidi"/>
          <w:sz w:val="18"/>
          <w:lang w:val="fr-FR"/>
        </w:rPr>
      </w:pPr>
      <w:r>
        <w:rPr>
          <w:rStyle w:val="FootnoteReference"/>
        </w:rPr>
        <w:footnoteRef/>
      </w:r>
      <w:r w:rsidRPr="001B4B96">
        <w:rPr>
          <w:lang w:val="fr-FR"/>
        </w:rPr>
        <w:t xml:space="preserve"> </w:t>
      </w:r>
      <w:r w:rsidRPr="001B4B96">
        <w:rPr>
          <w:lang w:val="fr-FR"/>
        </w:rPr>
        <w:tab/>
      </w:r>
      <w:r>
        <w:rPr>
          <w:lang w:val="fr-FR"/>
        </w:rPr>
        <w:t>V</w:t>
      </w:r>
      <w:r w:rsidRPr="006C4FDB">
        <w:rPr>
          <w:rFonts w:asciiTheme="minorBidi" w:hAnsiTheme="minorBidi" w:cstheme="minorBidi"/>
          <w:sz w:val="18"/>
          <w:szCs w:val="18"/>
          <w:lang w:val="fr-FR"/>
        </w:rPr>
        <w:t>oir la ventilation financière détaillée au 19</w:t>
      </w:r>
      <w:r>
        <w:rPr>
          <w:rFonts w:asciiTheme="minorBidi" w:hAnsiTheme="minorBidi" w:cstheme="minorBidi"/>
          <w:sz w:val="18"/>
          <w:szCs w:val="18"/>
          <w:lang w:val="fr-FR"/>
        </w:rPr>
        <w:t> </w:t>
      </w:r>
      <w:r w:rsidRPr="006C4FDB">
        <w:rPr>
          <w:rFonts w:asciiTheme="minorBidi" w:hAnsiTheme="minorBidi" w:cstheme="minorBidi"/>
          <w:sz w:val="18"/>
          <w:szCs w:val="18"/>
          <w:lang w:val="fr-FR"/>
        </w:rPr>
        <w:t>août</w:t>
      </w:r>
      <w:r>
        <w:rPr>
          <w:rFonts w:asciiTheme="minorBidi" w:hAnsiTheme="minorBidi" w:cstheme="minorBidi"/>
          <w:sz w:val="18"/>
          <w:szCs w:val="18"/>
          <w:lang w:val="fr-FR"/>
        </w:rPr>
        <w:t> </w:t>
      </w:r>
      <w:r w:rsidRPr="006C4FDB">
        <w:rPr>
          <w:rFonts w:asciiTheme="minorBidi" w:hAnsiTheme="minorBidi" w:cstheme="minorBidi"/>
          <w:sz w:val="18"/>
          <w:szCs w:val="18"/>
          <w:lang w:val="fr-FR"/>
        </w:rPr>
        <w:t>2019 fournie par le directeur de projet (chiffres non officiels).</w:t>
      </w:r>
    </w:p>
  </w:footnote>
  <w:footnote w:id="24">
    <w:p w14:paraId="0E36645D" w14:textId="77777777" w:rsidR="00B81EFC" w:rsidRPr="00B27C21" w:rsidRDefault="00B81EFC" w:rsidP="00C31DE2">
      <w:pPr>
        <w:rPr>
          <w:sz w:val="18"/>
          <w:lang w:val="fr-FR"/>
        </w:rPr>
      </w:pPr>
      <w:r>
        <w:rPr>
          <w:rStyle w:val="FootnoteReference"/>
        </w:rPr>
        <w:footnoteRef/>
      </w:r>
      <w:r w:rsidRPr="00AE15C9">
        <w:rPr>
          <w:lang w:val="fr-FR"/>
        </w:rPr>
        <w:t xml:space="preserve"> </w:t>
      </w:r>
      <w:r w:rsidRPr="00AE15C9">
        <w:rPr>
          <w:lang w:val="fr-FR"/>
        </w:rPr>
        <w:tab/>
      </w:r>
      <w:r w:rsidRPr="007D232A">
        <w:rPr>
          <w:color w:val="3B3B3B"/>
          <w:sz w:val="18"/>
          <w:szCs w:val="18"/>
          <w:shd w:val="clear" w:color="auto" w:fill="FAFAFA"/>
          <w:lang w:val="fr-FR"/>
        </w:rPr>
        <w:t>La Division de l</w:t>
      </w:r>
      <w:r>
        <w:rPr>
          <w:color w:val="3B3B3B"/>
          <w:sz w:val="18"/>
          <w:szCs w:val="18"/>
          <w:shd w:val="clear" w:color="auto" w:fill="FAFAFA"/>
          <w:lang w:val="fr-FR"/>
        </w:rPr>
        <w:t>’</w:t>
      </w:r>
      <w:r w:rsidRPr="007D232A">
        <w:rPr>
          <w:color w:val="3B3B3B"/>
          <w:sz w:val="18"/>
          <w:szCs w:val="18"/>
          <w:shd w:val="clear" w:color="auto" w:fill="FAFAFA"/>
          <w:lang w:val="fr-FR"/>
        </w:rPr>
        <w:t xml:space="preserve">économie et des statistiques est chargée de collecter des données statistiques sur les activités de propriété intellectuelle dans le monde entier et de les mettre à la disposition du public. </w:t>
      </w:r>
      <w:r>
        <w:rPr>
          <w:color w:val="3B3B3B"/>
          <w:sz w:val="18"/>
          <w:szCs w:val="18"/>
          <w:shd w:val="clear" w:color="auto" w:fill="FAFAFA"/>
          <w:lang w:val="fr-FR"/>
        </w:rPr>
        <w:t xml:space="preserve"> </w:t>
      </w:r>
      <w:r w:rsidRPr="007D232A">
        <w:rPr>
          <w:color w:val="3B3B3B"/>
          <w:sz w:val="18"/>
          <w:szCs w:val="18"/>
          <w:shd w:val="clear" w:color="auto" w:fill="FAFAFA"/>
          <w:lang w:val="fr-FR"/>
        </w:rPr>
        <w:t>En outre, la division mène des analyses économiques sur l</w:t>
      </w:r>
      <w:r>
        <w:rPr>
          <w:color w:val="3B3B3B"/>
          <w:sz w:val="18"/>
          <w:szCs w:val="18"/>
          <w:shd w:val="clear" w:color="auto" w:fill="FAFAFA"/>
          <w:lang w:val="fr-FR"/>
        </w:rPr>
        <w:t>’</w:t>
      </w:r>
      <w:r w:rsidRPr="007D232A">
        <w:rPr>
          <w:color w:val="3B3B3B"/>
          <w:sz w:val="18"/>
          <w:szCs w:val="18"/>
          <w:shd w:val="clear" w:color="auto" w:fill="FAFAFA"/>
          <w:lang w:val="fr-FR"/>
        </w:rPr>
        <w:t>incidence que les choix de politiques en matière de propriété intellectuelle et d</w:t>
      </w:r>
      <w:r>
        <w:rPr>
          <w:color w:val="3B3B3B"/>
          <w:sz w:val="18"/>
          <w:szCs w:val="18"/>
          <w:shd w:val="clear" w:color="auto" w:fill="FAFAFA"/>
          <w:lang w:val="fr-FR"/>
        </w:rPr>
        <w:t>’</w:t>
      </w:r>
      <w:r w:rsidRPr="007D232A">
        <w:rPr>
          <w:color w:val="3B3B3B"/>
          <w:sz w:val="18"/>
          <w:szCs w:val="18"/>
          <w:shd w:val="clear" w:color="auto" w:fill="FAFAFA"/>
          <w:lang w:val="fr-FR"/>
        </w:rPr>
        <w:t>innovation ont sur les performances économiques.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76EF" w14:textId="1D952835" w:rsidR="00B81EFC" w:rsidRDefault="00B81EFC">
    <w:pPr>
      <w:pStyle w:val="Header"/>
    </w:pPr>
  </w:p>
  <w:p w14:paraId="7E342F6C" w14:textId="77777777" w:rsidR="00B81EFC" w:rsidRDefault="00B81EF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F8500" w14:textId="77777777" w:rsidR="00B81EFC" w:rsidRDefault="00B81EFC">
    <w:pPr>
      <w:pStyle w:val="Header"/>
      <w:jc w:val="right"/>
    </w:pPr>
    <w:r>
      <w:t>CDIP/24/10</w:t>
    </w:r>
  </w:p>
  <w:p w14:paraId="34AE5998" w14:textId="59C24E24" w:rsidR="00B81EFC" w:rsidRDefault="00B81EFC">
    <w:pPr>
      <w:pStyle w:val="Header"/>
      <w:jc w:val="right"/>
    </w:pPr>
    <w:r>
      <w:t xml:space="preserve">Appendice II, page </w:t>
    </w:r>
    <w:sdt>
      <w:sdtPr>
        <w:id w:val="20559637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B05BA">
          <w:rPr>
            <w:noProof/>
          </w:rPr>
          <w:t>5</w:t>
        </w:r>
        <w:r>
          <w:rPr>
            <w:noProof/>
          </w:rPr>
          <w:fldChar w:fldCharType="end"/>
        </w:r>
      </w:sdtContent>
    </w:sdt>
  </w:p>
  <w:p w14:paraId="1FAFFB28" w14:textId="50ED8E1B" w:rsidR="00B81EFC" w:rsidRDefault="00B81EFC" w:rsidP="00776F81">
    <w:pPr>
      <w:pStyle w:val="Header"/>
      <w:jc w:val="right"/>
    </w:pPr>
  </w:p>
  <w:p w14:paraId="44719067" w14:textId="77777777" w:rsidR="00B81EFC" w:rsidRPr="00CC74DE" w:rsidRDefault="00B81EFC" w:rsidP="00776F81">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5361D" w14:textId="77777777" w:rsidR="00B81EFC" w:rsidRDefault="00B81EFC" w:rsidP="00776F81">
    <w:pPr>
      <w:pStyle w:val="Header"/>
      <w:jc w:val="right"/>
    </w:pPr>
    <w:r>
      <w:t>CDIP/24/10</w:t>
    </w:r>
  </w:p>
  <w:p w14:paraId="1C69B255" w14:textId="6A24A61A" w:rsidR="00B81EFC" w:rsidRDefault="00B81EFC" w:rsidP="00776F81">
    <w:pPr>
      <w:pStyle w:val="Header"/>
      <w:jc w:val="right"/>
    </w:pPr>
    <w:r>
      <w:t>APPENDICE II</w:t>
    </w:r>
  </w:p>
  <w:p w14:paraId="1DEB1869" w14:textId="15C65E9C" w:rsidR="00B81EFC" w:rsidRDefault="00B81EFC" w:rsidP="00776F81">
    <w:pPr>
      <w:pStyle w:val="Header"/>
      <w:jc w:val="right"/>
    </w:pPr>
  </w:p>
  <w:p w14:paraId="76283F3D" w14:textId="77777777" w:rsidR="00B81EFC" w:rsidRDefault="00B81EFC" w:rsidP="00776F81">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526B" w14:textId="77777777" w:rsidR="00B81EFC" w:rsidRDefault="00B81EFC" w:rsidP="00776F81">
    <w:pPr>
      <w:pStyle w:val="Header"/>
      <w:jc w:val="right"/>
    </w:pPr>
    <w:r>
      <w:t>CDIP/24/10</w:t>
    </w:r>
  </w:p>
  <w:p w14:paraId="3C5CC13E" w14:textId="76BCDEB1" w:rsidR="00B81EFC" w:rsidRDefault="00B81EFC" w:rsidP="00776F81">
    <w:pPr>
      <w:pStyle w:val="Header"/>
      <w:jc w:val="right"/>
    </w:pPr>
    <w:r>
      <w:t>APPENDICE III</w:t>
    </w:r>
  </w:p>
  <w:p w14:paraId="4D6E306E" w14:textId="77777777" w:rsidR="00B81EFC" w:rsidRDefault="00B81EFC" w:rsidP="00776F81">
    <w:pPr>
      <w:pStyle w:val="Header"/>
      <w:jc w:val="right"/>
    </w:pPr>
  </w:p>
  <w:p w14:paraId="1744BBB0" w14:textId="77777777" w:rsidR="00B81EFC" w:rsidRDefault="00B81EFC" w:rsidP="00776F81">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0EF1" w14:textId="77777777" w:rsidR="00B81EFC" w:rsidRDefault="00B81EFC">
    <w:pPr>
      <w:pStyle w:val="Header"/>
      <w:jc w:val="right"/>
    </w:pPr>
    <w:r>
      <w:t>CDIP/24/10</w:t>
    </w:r>
  </w:p>
  <w:p w14:paraId="44FB06CC" w14:textId="028C410F" w:rsidR="00B81EFC" w:rsidRDefault="00B81EFC">
    <w:pPr>
      <w:pStyle w:val="Header"/>
      <w:jc w:val="right"/>
    </w:pPr>
    <w:r>
      <w:t xml:space="preserve">Annexe, page </w:t>
    </w:r>
    <w:sdt>
      <w:sdtPr>
        <w:id w:val="12747389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B05BA">
          <w:rPr>
            <w:noProof/>
          </w:rPr>
          <w:t>2</w:t>
        </w:r>
        <w:r>
          <w:rPr>
            <w:noProof/>
          </w:rPr>
          <w:fldChar w:fldCharType="end"/>
        </w:r>
      </w:sdtContent>
    </w:sdt>
  </w:p>
  <w:p w14:paraId="6D409261" w14:textId="493ACF40" w:rsidR="00B81EFC" w:rsidRDefault="00B81EFC" w:rsidP="00776F81">
    <w:pPr>
      <w:pStyle w:val="Header"/>
      <w:jc w:val="right"/>
    </w:pPr>
  </w:p>
  <w:p w14:paraId="702DA968" w14:textId="77777777" w:rsidR="00B81EFC" w:rsidRPr="00CC74DE" w:rsidRDefault="00B81EFC" w:rsidP="00776F81">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226703"/>
      <w:docPartObj>
        <w:docPartGallery w:val="Page Numbers (Top of Page)"/>
        <w:docPartUnique/>
      </w:docPartObj>
    </w:sdtPr>
    <w:sdtEndPr>
      <w:rPr>
        <w:noProof/>
      </w:rPr>
    </w:sdtEndPr>
    <w:sdtContent>
      <w:p w14:paraId="626C8030" w14:textId="77777777" w:rsidR="00B81EFC" w:rsidRDefault="00B81EFC" w:rsidP="00675065">
        <w:pPr>
          <w:pStyle w:val="Header"/>
          <w:jc w:val="right"/>
        </w:pPr>
        <w:r>
          <w:t>CDIP/24/10</w:t>
        </w:r>
      </w:p>
      <w:p w14:paraId="777EAABE" w14:textId="6A04FCE7" w:rsidR="00B81EFC" w:rsidRDefault="00B81EFC" w:rsidP="00675065">
        <w:pPr>
          <w:pStyle w:val="Header"/>
          <w:jc w:val="right"/>
          <w:rPr>
            <w:noProof/>
          </w:rPr>
        </w:pPr>
        <w:r>
          <w:t>ANNEXE</w:t>
        </w:r>
      </w:p>
    </w:sdtContent>
  </w:sdt>
  <w:p w14:paraId="51693E26" w14:textId="77777777" w:rsidR="00B81EFC" w:rsidRDefault="00B81EFC" w:rsidP="00675065">
    <w:pPr>
      <w:pStyle w:val="Header"/>
      <w:jc w:val="right"/>
    </w:pPr>
  </w:p>
  <w:p w14:paraId="7E871846" w14:textId="77777777" w:rsidR="00B81EFC" w:rsidRPr="00675065" w:rsidRDefault="00B81EFC" w:rsidP="0067506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5B3C" w14:textId="58AAF52C" w:rsidR="00B81EFC" w:rsidRDefault="00B81EFC">
    <w:pPr>
      <w:pStyle w:val="Header"/>
      <w:jc w:val="right"/>
    </w:pPr>
  </w:p>
  <w:p w14:paraId="0967854F" w14:textId="77777777" w:rsidR="00B81EFC" w:rsidRDefault="00B81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50F29" w14:textId="77777777" w:rsidR="00B81EFC" w:rsidRDefault="00B81EFC">
    <w:pPr>
      <w:pStyle w:val="Header"/>
      <w:jc w:val="right"/>
    </w:pPr>
    <w:r>
      <w:t>CDIP/24/10</w:t>
    </w:r>
  </w:p>
  <w:p w14:paraId="58138DC1" w14:textId="77777777" w:rsidR="00B81EFC" w:rsidRDefault="00B81EFC">
    <w:pPr>
      <w:pStyle w:val="Header"/>
      <w:jc w:val="right"/>
    </w:pPr>
    <w:r>
      <w:t xml:space="preserve">Annex, page </w:t>
    </w:r>
    <w:sdt>
      <w:sdtPr>
        <w:id w:val="-16970013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1321A9B" w14:textId="77777777" w:rsidR="00B81EFC" w:rsidRDefault="00B81E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A801C" w14:textId="77777777" w:rsidR="00B81EFC" w:rsidRDefault="00B81EFC">
    <w:pPr>
      <w:pStyle w:val="Header"/>
      <w:jc w:val="right"/>
    </w:pPr>
    <w:r>
      <w:t>CDIP/24/10</w:t>
    </w:r>
  </w:p>
  <w:p w14:paraId="3F717CBA" w14:textId="0557EBE8" w:rsidR="00B81EFC" w:rsidRDefault="00B81EFC">
    <w:pPr>
      <w:pStyle w:val="Header"/>
      <w:jc w:val="right"/>
    </w:pPr>
    <w:r>
      <w:t xml:space="preserve">Annexe, page </w:t>
    </w:r>
    <w:sdt>
      <w:sdtPr>
        <w:id w:val="8618590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B05BA">
          <w:rPr>
            <w:noProof/>
          </w:rPr>
          <w:t>28</w:t>
        </w:r>
        <w:r>
          <w:rPr>
            <w:noProof/>
          </w:rPr>
          <w:fldChar w:fldCharType="end"/>
        </w:r>
      </w:sdtContent>
    </w:sdt>
  </w:p>
  <w:p w14:paraId="7FCABB24" w14:textId="77777777" w:rsidR="00B81EFC" w:rsidRDefault="00B81EFC" w:rsidP="0078011B">
    <w:pPr>
      <w:pStyle w:val="Header"/>
      <w:jc w:val="right"/>
    </w:pPr>
  </w:p>
  <w:p w14:paraId="1F7A5089" w14:textId="77777777" w:rsidR="00B81EFC" w:rsidRDefault="00B81EFC" w:rsidP="0078011B">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829752"/>
      <w:docPartObj>
        <w:docPartGallery w:val="Page Numbers (Top of Page)"/>
        <w:docPartUnique/>
      </w:docPartObj>
    </w:sdtPr>
    <w:sdtEndPr>
      <w:rPr>
        <w:noProof/>
      </w:rPr>
    </w:sdtEndPr>
    <w:sdtContent>
      <w:p w14:paraId="1D1412BF" w14:textId="77777777" w:rsidR="00B81EFC" w:rsidRDefault="00B81EFC" w:rsidP="0078011B">
        <w:pPr>
          <w:pStyle w:val="Header"/>
          <w:jc w:val="right"/>
        </w:pPr>
        <w:r>
          <w:t>CDIP/24/10</w:t>
        </w:r>
      </w:p>
      <w:p w14:paraId="261FE0C3" w14:textId="4A92E75C" w:rsidR="00B81EFC" w:rsidRDefault="00B81EFC" w:rsidP="0078011B">
        <w:pPr>
          <w:pStyle w:val="Header"/>
          <w:jc w:val="right"/>
        </w:pPr>
        <w:r>
          <w:t>ANNEXE</w:t>
        </w:r>
      </w:p>
      <w:p w14:paraId="2FFE553C" w14:textId="77777777" w:rsidR="00B81EFC" w:rsidRDefault="00B81EFC" w:rsidP="0078011B">
        <w:pPr>
          <w:pStyle w:val="Header"/>
          <w:jc w:val="right"/>
        </w:pPr>
      </w:p>
      <w:p w14:paraId="4B18A1B5" w14:textId="77777777" w:rsidR="00B81EFC" w:rsidRDefault="000B05BA" w:rsidP="0078011B">
        <w:pPr>
          <w:pStyle w:val="Header"/>
          <w:jc w:val="right"/>
          <w:rPr>
            <w:noProof/>
          </w:rPr>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50BC" w14:textId="77777777" w:rsidR="00B81EFC" w:rsidRDefault="00B81EFC">
    <w:pPr>
      <w:pStyle w:val="Header"/>
      <w:pBdr>
        <w:bottom w:val="single" w:sz="4" w:space="1" w:color="auto"/>
      </w:pBdr>
      <w:jc w:val="right"/>
    </w:pPr>
    <w:r>
      <w:tab/>
    </w:r>
    <w:r>
      <w:tab/>
    </w:r>
    <w:r>
      <w:fldChar w:fldCharType="begin"/>
    </w:r>
    <w:r>
      <w:instrText xml:space="preserve"> PAGE  </w:instrText>
    </w:r>
    <w:r>
      <w:fldChar w:fldCharType="separate"/>
    </w:r>
    <w:r>
      <w:rPr>
        <w:noProof/>
      </w:rPr>
      <w:t>10</w:t>
    </w:r>
    <w:r>
      <w:fldChar w:fldCharType="end"/>
    </w:r>
    <w:r>
      <w:t>.</w:t>
    </w:r>
    <w:r w:rsidRPr="00D342F9">
      <w:tab/>
    </w:r>
  </w:p>
  <w:p w14:paraId="236B31DD" w14:textId="77777777" w:rsidR="00B81EFC" w:rsidRPr="00CC74DE" w:rsidRDefault="00B81EFC">
    <w:pPr>
      <w:pStyle w:val="Header"/>
      <w:jc w:val="right"/>
    </w:pPr>
  </w:p>
  <w:p w14:paraId="62649E9C" w14:textId="77777777" w:rsidR="00B81EFC" w:rsidRDefault="00B81EF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B5733" w14:textId="77777777" w:rsidR="00B81EFC" w:rsidRDefault="00B81EFC" w:rsidP="0078010A">
    <w:pPr>
      <w:pStyle w:val="Header"/>
      <w:pBdr>
        <w:bottom w:val="single" w:sz="4" w:space="1" w:color="auto"/>
      </w:pBdr>
      <w:jc w:val="right"/>
    </w:pPr>
    <w:r>
      <w:tab/>
    </w:r>
    <w:r>
      <w:tab/>
    </w:r>
    <w:r>
      <w:fldChar w:fldCharType="begin"/>
    </w:r>
    <w:r>
      <w:instrText xml:space="preserve"> PAGE  </w:instrText>
    </w:r>
    <w:r>
      <w:fldChar w:fldCharType="separate"/>
    </w:r>
    <w:r>
      <w:rPr>
        <w:noProof/>
      </w:rPr>
      <w:t>9</w:t>
    </w:r>
    <w:r>
      <w:fldChar w:fldCharType="end"/>
    </w:r>
    <w:r>
      <w:t>.</w:t>
    </w:r>
    <w:r w:rsidRPr="00D342F9">
      <w:tab/>
    </w:r>
  </w:p>
  <w:p w14:paraId="564D0D01" w14:textId="77777777" w:rsidR="00B81EFC" w:rsidRPr="00CC74DE" w:rsidRDefault="00B81EFC" w:rsidP="00776F81">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C8374" w14:textId="77777777" w:rsidR="00B81EFC" w:rsidRDefault="00B81EFC" w:rsidP="00776F81">
    <w:pPr>
      <w:pStyle w:val="Header"/>
      <w:jc w:val="right"/>
    </w:pPr>
    <w:r>
      <w:t>CDIP/24/10</w:t>
    </w:r>
  </w:p>
  <w:p w14:paraId="369BF659" w14:textId="4A271E65" w:rsidR="00B81EFC" w:rsidRDefault="00B81EFC" w:rsidP="00776F81">
    <w:pPr>
      <w:pStyle w:val="Header"/>
      <w:jc w:val="right"/>
    </w:pPr>
    <w:r>
      <w:t>APPENDICE I</w:t>
    </w:r>
  </w:p>
  <w:p w14:paraId="18467BE4" w14:textId="704B82C7" w:rsidR="00B81EFC" w:rsidRDefault="00B81EFC" w:rsidP="00776F81">
    <w:pPr>
      <w:pStyle w:val="Header"/>
      <w:jc w:val="right"/>
    </w:pPr>
  </w:p>
  <w:p w14:paraId="1BE4F738" w14:textId="77777777" w:rsidR="00B81EFC" w:rsidRDefault="00B81EFC" w:rsidP="00776F81">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4CE95" w14:textId="77777777" w:rsidR="00B81EFC" w:rsidRDefault="00B81E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4E469D"/>
    <w:multiLevelType w:val="hybridMultilevel"/>
    <w:tmpl w:val="4D66D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04589"/>
    <w:multiLevelType w:val="hybridMultilevel"/>
    <w:tmpl w:val="ADA65B0E"/>
    <w:lvl w:ilvl="0" w:tplc="0409000F">
      <w:start w:val="1"/>
      <w:numFmt w:val="decimal"/>
      <w:lvlText w:val="%1."/>
      <w:lvlJc w:val="left"/>
      <w:pPr>
        <w:ind w:left="-351" w:hanging="360"/>
      </w:pPr>
    </w:lvl>
    <w:lvl w:ilvl="1" w:tplc="04090019" w:tentative="1">
      <w:start w:val="1"/>
      <w:numFmt w:val="lowerLetter"/>
      <w:lvlText w:val="%2."/>
      <w:lvlJc w:val="left"/>
      <w:pPr>
        <w:ind w:left="369" w:hanging="360"/>
      </w:pPr>
    </w:lvl>
    <w:lvl w:ilvl="2" w:tplc="0409001B" w:tentative="1">
      <w:start w:val="1"/>
      <w:numFmt w:val="lowerRoman"/>
      <w:lvlText w:val="%3."/>
      <w:lvlJc w:val="right"/>
      <w:pPr>
        <w:ind w:left="1089" w:hanging="180"/>
      </w:pPr>
    </w:lvl>
    <w:lvl w:ilvl="3" w:tplc="0409000F" w:tentative="1">
      <w:start w:val="1"/>
      <w:numFmt w:val="decimal"/>
      <w:lvlText w:val="%4."/>
      <w:lvlJc w:val="left"/>
      <w:pPr>
        <w:ind w:left="1809" w:hanging="360"/>
      </w:pPr>
    </w:lvl>
    <w:lvl w:ilvl="4" w:tplc="04090019" w:tentative="1">
      <w:start w:val="1"/>
      <w:numFmt w:val="lowerLetter"/>
      <w:lvlText w:val="%5."/>
      <w:lvlJc w:val="left"/>
      <w:pPr>
        <w:ind w:left="2529" w:hanging="360"/>
      </w:pPr>
    </w:lvl>
    <w:lvl w:ilvl="5" w:tplc="0409001B" w:tentative="1">
      <w:start w:val="1"/>
      <w:numFmt w:val="lowerRoman"/>
      <w:lvlText w:val="%6."/>
      <w:lvlJc w:val="right"/>
      <w:pPr>
        <w:ind w:left="3249" w:hanging="180"/>
      </w:pPr>
    </w:lvl>
    <w:lvl w:ilvl="6" w:tplc="0409000F" w:tentative="1">
      <w:start w:val="1"/>
      <w:numFmt w:val="decimal"/>
      <w:lvlText w:val="%7."/>
      <w:lvlJc w:val="left"/>
      <w:pPr>
        <w:ind w:left="3969" w:hanging="360"/>
      </w:pPr>
    </w:lvl>
    <w:lvl w:ilvl="7" w:tplc="04090019" w:tentative="1">
      <w:start w:val="1"/>
      <w:numFmt w:val="lowerLetter"/>
      <w:lvlText w:val="%8."/>
      <w:lvlJc w:val="left"/>
      <w:pPr>
        <w:ind w:left="4689" w:hanging="360"/>
      </w:pPr>
    </w:lvl>
    <w:lvl w:ilvl="8" w:tplc="0409001B" w:tentative="1">
      <w:start w:val="1"/>
      <w:numFmt w:val="lowerRoman"/>
      <w:lvlText w:val="%9."/>
      <w:lvlJc w:val="right"/>
      <w:pPr>
        <w:ind w:left="5409" w:hanging="180"/>
      </w:pPr>
    </w:lvl>
  </w:abstractNum>
  <w:abstractNum w:abstractNumId="4" w15:restartNumberingAfterBreak="0">
    <w:nsid w:val="17B81065"/>
    <w:multiLevelType w:val="hybridMultilevel"/>
    <w:tmpl w:val="E5BE3A14"/>
    <w:lvl w:ilvl="0" w:tplc="BF688A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B05FF"/>
    <w:multiLevelType w:val="hybridMultilevel"/>
    <w:tmpl w:val="C0924272"/>
    <w:lvl w:ilvl="0" w:tplc="9BCC64E0">
      <w:start w:val="1"/>
      <w:numFmt w:val="bullet"/>
      <w:lvlText w:val="–"/>
      <w:lvlJc w:val="left"/>
      <w:pPr>
        <w:ind w:left="360" w:hanging="3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4343FF"/>
    <w:multiLevelType w:val="hybridMultilevel"/>
    <w:tmpl w:val="4D66D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FE75B7"/>
    <w:multiLevelType w:val="hybridMultilevel"/>
    <w:tmpl w:val="860055B8"/>
    <w:lvl w:ilvl="0" w:tplc="9BCC64E0">
      <w:start w:val="1"/>
      <w:numFmt w:val="bullet"/>
      <w:lvlText w:val="–"/>
      <w:lvlJc w:val="left"/>
      <w:pPr>
        <w:ind w:left="360" w:hanging="3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3C2606"/>
    <w:multiLevelType w:val="hybridMultilevel"/>
    <w:tmpl w:val="EB047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338C2"/>
    <w:multiLevelType w:val="hybridMultilevel"/>
    <w:tmpl w:val="A668522E"/>
    <w:lvl w:ilvl="0" w:tplc="0D5003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304E6074"/>
    <w:multiLevelType w:val="hybridMultilevel"/>
    <w:tmpl w:val="0E58AC5C"/>
    <w:lvl w:ilvl="0" w:tplc="FE42C090">
      <w:start w:val="1"/>
      <w:numFmt w:val="decimal"/>
      <w:lvlText w:val="%1."/>
      <w:lvlJc w:val="left"/>
      <w:pPr>
        <w:ind w:left="1704" w:hanging="5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089376B"/>
    <w:multiLevelType w:val="hybridMultilevel"/>
    <w:tmpl w:val="860AB12E"/>
    <w:lvl w:ilvl="0" w:tplc="9BCC64E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38A722F9"/>
    <w:multiLevelType w:val="hybridMultilevel"/>
    <w:tmpl w:val="857A22A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851A30"/>
    <w:multiLevelType w:val="hybridMultilevel"/>
    <w:tmpl w:val="BE72CC12"/>
    <w:lvl w:ilvl="0" w:tplc="9BCC64E0">
      <w:start w:val="1"/>
      <w:numFmt w:val="bullet"/>
      <w:lvlText w:val="–"/>
      <w:lvlJc w:val="left"/>
      <w:pPr>
        <w:ind w:left="360" w:hanging="3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47390C"/>
    <w:multiLevelType w:val="hybridMultilevel"/>
    <w:tmpl w:val="9662C83C"/>
    <w:lvl w:ilvl="0" w:tplc="D9D2F672">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58083E"/>
    <w:multiLevelType w:val="multilevel"/>
    <w:tmpl w:val="A39040C8"/>
    <w:lvl w:ilvl="0">
      <w:start w:val="1"/>
      <w:numFmt w:val="decimal"/>
      <w:lvlRestart w:val="0"/>
      <w:lvlText w:val="%1."/>
      <w:lvlJc w:val="left"/>
      <w:pPr>
        <w:tabs>
          <w:tab w:val="num" w:pos="567"/>
        </w:tabs>
        <w:ind w:left="0" w:firstLine="0"/>
      </w:pPr>
      <w:rPr>
        <w:rFonts w:hint="default"/>
        <w:b/>
        <w:i w:val="0"/>
      </w:rPr>
    </w:lvl>
    <w:lvl w:ilvl="1">
      <w:start w:val="1"/>
      <w:numFmt w:val="upperLetter"/>
      <w:lvlText w:val="(%2)"/>
      <w:lvlJc w:val="left"/>
      <w:pPr>
        <w:tabs>
          <w:tab w:val="num" w:pos="1135"/>
        </w:tabs>
        <w:ind w:left="568" w:firstLine="0"/>
      </w:pPr>
      <w:rPr>
        <w:rFonts w:hint="default"/>
        <w:caps w:val="0"/>
      </w:rPr>
    </w:lvl>
    <w:lvl w:ilvl="2">
      <w:start w:val="1"/>
      <w:numFmt w:val="lowerRoman"/>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3DAE6BDD"/>
    <w:multiLevelType w:val="hybridMultilevel"/>
    <w:tmpl w:val="4A76F1B8"/>
    <w:lvl w:ilvl="0" w:tplc="6D1897A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2" w15:restartNumberingAfterBreak="0">
    <w:nsid w:val="43E576C4"/>
    <w:multiLevelType w:val="hybridMultilevel"/>
    <w:tmpl w:val="48AA029C"/>
    <w:lvl w:ilvl="0" w:tplc="3FC24374">
      <w:start w:val="1"/>
      <w:numFmt w:val="lowerRoman"/>
      <w:lvlText w:val="%1)"/>
      <w:lvlJc w:val="left"/>
      <w:pPr>
        <w:ind w:left="1854" w:hanging="72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67BAE652">
      <w:start w:val="2"/>
      <w:numFmt w:val="decimal"/>
      <w:lvlText w:val="%4."/>
      <w:lvlJc w:val="left"/>
      <w:pPr>
        <w:ind w:left="3654" w:hanging="360"/>
      </w:pPr>
      <w:rPr>
        <w:rFonts w:hint="default"/>
      </w:r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5AC0B15"/>
    <w:multiLevelType w:val="hybridMultilevel"/>
    <w:tmpl w:val="5BDC9192"/>
    <w:lvl w:ilvl="0" w:tplc="D078394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44232"/>
    <w:multiLevelType w:val="multilevel"/>
    <w:tmpl w:val="529A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F00CA6"/>
    <w:multiLevelType w:val="hybridMultilevel"/>
    <w:tmpl w:val="35D0F60C"/>
    <w:lvl w:ilvl="0" w:tplc="A30CAAE2">
      <w:start w:val="1"/>
      <w:numFmt w:val="decimal"/>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E3854"/>
    <w:multiLevelType w:val="hybridMultilevel"/>
    <w:tmpl w:val="A858D038"/>
    <w:lvl w:ilvl="0" w:tplc="BDE6C644">
      <w:start w:val="1"/>
      <w:numFmt w:val="decimal"/>
      <w:lvlText w:val="%1."/>
      <w:lvlJc w:val="left"/>
      <w:pPr>
        <w:ind w:left="1095" w:hanging="73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46FEED2E">
      <w:start w:val="2"/>
      <w:numFmt w:val="decimal"/>
      <w:lvlText w:val="%7."/>
      <w:lvlJc w:val="left"/>
      <w:pPr>
        <w:ind w:left="5040" w:hanging="360"/>
      </w:pPr>
      <w:rPr>
        <w:rFonts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9722CD4"/>
    <w:multiLevelType w:val="hybridMultilevel"/>
    <w:tmpl w:val="35F45BB4"/>
    <w:lvl w:ilvl="0" w:tplc="F5963498">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135FF2"/>
    <w:multiLevelType w:val="hybridMultilevel"/>
    <w:tmpl w:val="13FE6FEC"/>
    <w:lvl w:ilvl="0" w:tplc="D0BC37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680B3F6A"/>
    <w:multiLevelType w:val="hybridMultilevel"/>
    <w:tmpl w:val="2D846BE2"/>
    <w:lvl w:ilvl="0" w:tplc="6896ABCC">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AA4C8C"/>
    <w:multiLevelType w:val="hybridMultilevel"/>
    <w:tmpl w:val="1E7AA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9A0AF1"/>
    <w:multiLevelType w:val="multilevel"/>
    <w:tmpl w:val="65528D5E"/>
    <w:lvl w:ilvl="0">
      <w:start w:val="1"/>
      <w:numFmt w:val="decimal"/>
      <w:pStyle w:val="Heading1"/>
      <w:lvlText w:val="%1."/>
      <w:lvlJc w:val="left"/>
      <w:pPr>
        <w:ind w:left="567" w:hanging="567"/>
      </w:pPr>
      <w:rPr>
        <w:rFonts w:hint="default"/>
      </w:rPr>
    </w:lvl>
    <w:lvl w:ilvl="1">
      <w:start w:val="1"/>
      <w:numFmt w:val="upperLetter"/>
      <w:pStyle w:val="Heading2"/>
      <w:lvlText w:val="%2)"/>
      <w:lvlJc w:val="left"/>
      <w:pPr>
        <w:ind w:left="1134" w:hanging="567"/>
      </w:pPr>
      <w:rPr>
        <w:rFonts w:hint="default"/>
      </w:rPr>
    </w:lvl>
    <w:lvl w:ilvl="2">
      <w:start w:val="1"/>
      <w:numFmt w:val="lowerRoman"/>
      <w:pStyle w:val="Heading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51330B0"/>
    <w:multiLevelType w:val="hybridMultilevel"/>
    <w:tmpl w:val="1E7AA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EE5E42"/>
    <w:multiLevelType w:val="multilevel"/>
    <w:tmpl w:val="B4A6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284FC5"/>
    <w:multiLevelType w:val="hybridMultilevel"/>
    <w:tmpl w:val="1032B1B0"/>
    <w:lvl w:ilvl="0" w:tplc="9BCC64E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EE4C65"/>
    <w:multiLevelType w:val="hybridMultilevel"/>
    <w:tmpl w:val="99049818"/>
    <w:lvl w:ilvl="0" w:tplc="9BCC64E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25"/>
  </w:num>
  <w:num w:numId="4">
    <w:abstractNumId w:val="1"/>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5"/>
  </w:num>
  <w:num w:numId="9">
    <w:abstractNumId w:val="39"/>
  </w:num>
  <w:num w:numId="10">
    <w:abstractNumId w:val="14"/>
  </w:num>
  <w:num w:numId="11">
    <w:abstractNumId w:val="3"/>
  </w:num>
  <w:num w:numId="12">
    <w:abstractNumId w:val="12"/>
  </w:num>
  <w:num w:numId="13">
    <w:abstractNumId w:val="15"/>
  </w:num>
  <w:num w:numId="14">
    <w:abstractNumId w:val="32"/>
    <w:lvlOverride w:ilvl="0">
      <w:startOverride w:val="1"/>
    </w:lvlOverride>
  </w:num>
  <w:num w:numId="15">
    <w:abstractNumId w:val="40"/>
  </w:num>
  <w:num w:numId="16">
    <w:abstractNumId w:val="13"/>
  </w:num>
  <w:num w:numId="17">
    <w:abstractNumId w:val="11"/>
  </w:num>
  <w:num w:numId="18">
    <w:abstractNumId w:va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1"/>
  </w:num>
  <w:num w:numId="23">
    <w:abstractNumId w:val="21"/>
  </w:num>
  <w:num w:numId="24">
    <w:abstractNumId w:val="27"/>
  </w:num>
  <w:num w:numId="25">
    <w:abstractNumId w:val="2"/>
  </w:num>
  <w:num w:numId="26">
    <w:abstractNumId w:val="23"/>
  </w:num>
  <w:num w:numId="27">
    <w:abstractNumId w:val="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8"/>
  </w:num>
  <w:num w:numId="31">
    <w:abstractNumId w:val="4"/>
  </w:num>
  <w:num w:numId="32">
    <w:abstractNumId w:val="10"/>
  </w:num>
  <w:num w:numId="33">
    <w:abstractNumId w:val="16"/>
  </w:num>
  <w:num w:numId="34">
    <w:abstractNumId w:val="36"/>
  </w:num>
  <w:num w:numId="35">
    <w:abstractNumId w:val="34"/>
  </w:num>
  <w:num w:numId="36">
    <w:abstractNumId w:val="32"/>
  </w:num>
  <w:num w:numId="37">
    <w:abstractNumId w:val="29"/>
  </w:num>
  <w:num w:numId="38">
    <w:abstractNumId w:val="20"/>
  </w:num>
  <w:num w:numId="39">
    <w:abstractNumId w:val="0"/>
  </w:num>
  <w:num w:numId="40">
    <w:abstractNumId w:val="28"/>
  </w:num>
  <w:num w:numId="41">
    <w:abstractNumId w:val="22"/>
  </w:num>
  <w:num w:numId="42">
    <w:abstractNumId w:val="26"/>
  </w:num>
  <w:num w:numId="43">
    <w:abstractNumId w:val="30"/>
  </w:num>
  <w:num w:numId="44">
    <w:abstractNumId w:val="37"/>
  </w:num>
  <w:num w:numId="45">
    <w:abstractNumId w:val="9"/>
  </w:num>
  <w:num w:numId="46">
    <w:abstractNumId w:val="17"/>
  </w:num>
  <w:num w:numId="47">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
    <w:docVar w:name="TextBaseURL" w:val="empty"/>
    <w:docVar w:name="UILng" w:val="en"/>
  </w:docVars>
  <w:rsids>
    <w:rsidRoot w:val="00A409C3"/>
    <w:rsid w:val="00000220"/>
    <w:rsid w:val="00000C38"/>
    <w:rsid w:val="000013A2"/>
    <w:rsid w:val="00001562"/>
    <w:rsid w:val="00001DB7"/>
    <w:rsid w:val="000022DD"/>
    <w:rsid w:val="0000302A"/>
    <w:rsid w:val="00003D54"/>
    <w:rsid w:val="00005389"/>
    <w:rsid w:val="0000550E"/>
    <w:rsid w:val="0000574A"/>
    <w:rsid w:val="00006719"/>
    <w:rsid w:val="00006864"/>
    <w:rsid w:val="00007C67"/>
    <w:rsid w:val="00010DA5"/>
    <w:rsid w:val="000114E6"/>
    <w:rsid w:val="0001182D"/>
    <w:rsid w:val="00012469"/>
    <w:rsid w:val="00012EB3"/>
    <w:rsid w:val="000133E8"/>
    <w:rsid w:val="00013E2B"/>
    <w:rsid w:val="00013F3F"/>
    <w:rsid w:val="00013FA1"/>
    <w:rsid w:val="00014E10"/>
    <w:rsid w:val="00015159"/>
    <w:rsid w:val="00015E45"/>
    <w:rsid w:val="00016027"/>
    <w:rsid w:val="000164B5"/>
    <w:rsid w:val="00016B54"/>
    <w:rsid w:val="00016F85"/>
    <w:rsid w:val="0001719A"/>
    <w:rsid w:val="0001739F"/>
    <w:rsid w:val="00017F53"/>
    <w:rsid w:val="0002045F"/>
    <w:rsid w:val="000206C8"/>
    <w:rsid w:val="0002073F"/>
    <w:rsid w:val="00021C2A"/>
    <w:rsid w:val="00021D59"/>
    <w:rsid w:val="00023EC4"/>
    <w:rsid w:val="00024ECF"/>
    <w:rsid w:val="00026082"/>
    <w:rsid w:val="000260CE"/>
    <w:rsid w:val="00026E46"/>
    <w:rsid w:val="0002785F"/>
    <w:rsid w:val="0003126F"/>
    <w:rsid w:val="00031D38"/>
    <w:rsid w:val="000336EE"/>
    <w:rsid w:val="00033BBE"/>
    <w:rsid w:val="00034D4C"/>
    <w:rsid w:val="00034EEA"/>
    <w:rsid w:val="000350E6"/>
    <w:rsid w:val="00036997"/>
    <w:rsid w:val="0003724E"/>
    <w:rsid w:val="00037369"/>
    <w:rsid w:val="00037B74"/>
    <w:rsid w:val="000408AE"/>
    <w:rsid w:val="00040CC3"/>
    <w:rsid w:val="00040EB8"/>
    <w:rsid w:val="00041460"/>
    <w:rsid w:val="00043A2D"/>
    <w:rsid w:val="00044265"/>
    <w:rsid w:val="000445E5"/>
    <w:rsid w:val="00045435"/>
    <w:rsid w:val="0004647F"/>
    <w:rsid w:val="00046D95"/>
    <w:rsid w:val="00051FA6"/>
    <w:rsid w:val="00053F4C"/>
    <w:rsid w:val="00054815"/>
    <w:rsid w:val="00056C00"/>
    <w:rsid w:val="0006010A"/>
    <w:rsid w:val="000602A6"/>
    <w:rsid w:val="00060447"/>
    <w:rsid w:val="0006160C"/>
    <w:rsid w:val="00063BEA"/>
    <w:rsid w:val="00064666"/>
    <w:rsid w:val="00064757"/>
    <w:rsid w:val="000648A3"/>
    <w:rsid w:val="00064EF6"/>
    <w:rsid w:val="00066069"/>
    <w:rsid w:val="000668AF"/>
    <w:rsid w:val="00066F76"/>
    <w:rsid w:val="00070D68"/>
    <w:rsid w:val="00071659"/>
    <w:rsid w:val="0007193E"/>
    <w:rsid w:val="0007529F"/>
    <w:rsid w:val="000755B6"/>
    <w:rsid w:val="00076334"/>
    <w:rsid w:val="00076D54"/>
    <w:rsid w:val="00077F78"/>
    <w:rsid w:val="00080251"/>
    <w:rsid w:val="00081E81"/>
    <w:rsid w:val="00082393"/>
    <w:rsid w:val="00082935"/>
    <w:rsid w:val="000838C0"/>
    <w:rsid w:val="0008428F"/>
    <w:rsid w:val="00084A0D"/>
    <w:rsid w:val="0008728A"/>
    <w:rsid w:val="00087A20"/>
    <w:rsid w:val="00087D7A"/>
    <w:rsid w:val="000909F7"/>
    <w:rsid w:val="0009163F"/>
    <w:rsid w:val="00091CE3"/>
    <w:rsid w:val="00092FBF"/>
    <w:rsid w:val="00093007"/>
    <w:rsid w:val="00093934"/>
    <w:rsid w:val="000944BF"/>
    <w:rsid w:val="0009493E"/>
    <w:rsid w:val="00094DE4"/>
    <w:rsid w:val="00094E23"/>
    <w:rsid w:val="0009620A"/>
    <w:rsid w:val="000968B3"/>
    <w:rsid w:val="00096EA4"/>
    <w:rsid w:val="0009717C"/>
    <w:rsid w:val="00097A78"/>
    <w:rsid w:val="00097FB1"/>
    <w:rsid w:val="000A0217"/>
    <w:rsid w:val="000A04F9"/>
    <w:rsid w:val="000A18AF"/>
    <w:rsid w:val="000A227C"/>
    <w:rsid w:val="000A30A8"/>
    <w:rsid w:val="000A3DEB"/>
    <w:rsid w:val="000A3F75"/>
    <w:rsid w:val="000A4A4F"/>
    <w:rsid w:val="000A4AF0"/>
    <w:rsid w:val="000A4EEB"/>
    <w:rsid w:val="000A5390"/>
    <w:rsid w:val="000A5966"/>
    <w:rsid w:val="000A5AEE"/>
    <w:rsid w:val="000A680C"/>
    <w:rsid w:val="000B05BA"/>
    <w:rsid w:val="000B10AF"/>
    <w:rsid w:val="000B23E2"/>
    <w:rsid w:val="000B60A0"/>
    <w:rsid w:val="000B666F"/>
    <w:rsid w:val="000B6671"/>
    <w:rsid w:val="000B7818"/>
    <w:rsid w:val="000C0188"/>
    <w:rsid w:val="000C06E9"/>
    <w:rsid w:val="000C09B0"/>
    <w:rsid w:val="000C0BE7"/>
    <w:rsid w:val="000C1CF9"/>
    <w:rsid w:val="000C2136"/>
    <w:rsid w:val="000C35CA"/>
    <w:rsid w:val="000C38A6"/>
    <w:rsid w:val="000C3D82"/>
    <w:rsid w:val="000C40D2"/>
    <w:rsid w:val="000C4644"/>
    <w:rsid w:val="000C4EC1"/>
    <w:rsid w:val="000C50FD"/>
    <w:rsid w:val="000C641A"/>
    <w:rsid w:val="000C76A0"/>
    <w:rsid w:val="000C782F"/>
    <w:rsid w:val="000C7A57"/>
    <w:rsid w:val="000C7DE4"/>
    <w:rsid w:val="000D0162"/>
    <w:rsid w:val="000D0CC9"/>
    <w:rsid w:val="000D0EB0"/>
    <w:rsid w:val="000D2019"/>
    <w:rsid w:val="000D48D0"/>
    <w:rsid w:val="000D54B8"/>
    <w:rsid w:val="000D5F8B"/>
    <w:rsid w:val="000D63C5"/>
    <w:rsid w:val="000D6AE9"/>
    <w:rsid w:val="000D7238"/>
    <w:rsid w:val="000E0EBE"/>
    <w:rsid w:val="000E4976"/>
    <w:rsid w:val="000E4A15"/>
    <w:rsid w:val="000E4E78"/>
    <w:rsid w:val="000E5A19"/>
    <w:rsid w:val="000E6177"/>
    <w:rsid w:val="000E6993"/>
    <w:rsid w:val="000E6D2A"/>
    <w:rsid w:val="000E7964"/>
    <w:rsid w:val="000F2EDB"/>
    <w:rsid w:val="000F35F2"/>
    <w:rsid w:val="000F3974"/>
    <w:rsid w:val="000F3FCC"/>
    <w:rsid w:val="000F447A"/>
    <w:rsid w:val="000F5E56"/>
    <w:rsid w:val="000F5F2E"/>
    <w:rsid w:val="000F6A66"/>
    <w:rsid w:val="000F6DB2"/>
    <w:rsid w:val="0010042A"/>
    <w:rsid w:val="001009BF"/>
    <w:rsid w:val="00104443"/>
    <w:rsid w:val="00104527"/>
    <w:rsid w:val="00104FFD"/>
    <w:rsid w:val="00105729"/>
    <w:rsid w:val="00105E64"/>
    <w:rsid w:val="001066BF"/>
    <w:rsid w:val="001103DA"/>
    <w:rsid w:val="001124D5"/>
    <w:rsid w:val="00112DD2"/>
    <w:rsid w:val="0011491F"/>
    <w:rsid w:val="0011521B"/>
    <w:rsid w:val="00116183"/>
    <w:rsid w:val="0011660F"/>
    <w:rsid w:val="0012022B"/>
    <w:rsid w:val="00120364"/>
    <w:rsid w:val="001207F2"/>
    <w:rsid w:val="001212C6"/>
    <w:rsid w:val="00121BD6"/>
    <w:rsid w:val="00122562"/>
    <w:rsid w:val="001228BA"/>
    <w:rsid w:val="00122A75"/>
    <w:rsid w:val="00123231"/>
    <w:rsid w:val="00123666"/>
    <w:rsid w:val="0012494E"/>
    <w:rsid w:val="00124E15"/>
    <w:rsid w:val="00126163"/>
    <w:rsid w:val="00126595"/>
    <w:rsid w:val="00126BA4"/>
    <w:rsid w:val="001272E2"/>
    <w:rsid w:val="00127393"/>
    <w:rsid w:val="00127CB9"/>
    <w:rsid w:val="001311E4"/>
    <w:rsid w:val="00131227"/>
    <w:rsid w:val="00132928"/>
    <w:rsid w:val="00132DFD"/>
    <w:rsid w:val="00133E8F"/>
    <w:rsid w:val="00134EDE"/>
    <w:rsid w:val="001351D6"/>
    <w:rsid w:val="0013616D"/>
    <w:rsid w:val="0013682F"/>
    <w:rsid w:val="001372A9"/>
    <w:rsid w:val="0013789C"/>
    <w:rsid w:val="00137B24"/>
    <w:rsid w:val="00137DB3"/>
    <w:rsid w:val="001420D6"/>
    <w:rsid w:val="001433A5"/>
    <w:rsid w:val="001435A7"/>
    <w:rsid w:val="00143A20"/>
    <w:rsid w:val="00144F96"/>
    <w:rsid w:val="00145B81"/>
    <w:rsid w:val="00146045"/>
    <w:rsid w:val="00146311"/>
    <w:rsid w:val="00146CC7"/>
    <w:rsid w:val="0015007D"/>
    <w:rsid w:val="00150131"/>
    <w:rsid w:val="00150CC0"/>
    <w:rsid w:val="001516C2"/>
    <w:rsid w:val="001525A4"/>
    <w:rsid w:val="00152EAB"/>
    <w:rsid w:val="00155206"/>
    <w:rsid w:val="0015557F"/>
    <w:rsid w:val="00157043"/>
    <w:rsid w:val="00157886"/>
    <w:rsid w:val="00157B01"/>
    <w:rsid w:val="0016019F"/>
    <w:rsid w:val="00160498"/>
    <w:rsid w:val="00160C75"/>
    <w:rsid w:val="00160F2A"/>
    <w:rsid w:val="00161827"/>
    <w:rsid w:val="00163E3E"/>
    <w:rsid w:val="00164CF0"/>
    <w:rsid w:val="00164D63"/>
    <w:rsid w:val="00164F69"/>
    <w:rsid w:val="0016531D"/>
    <w:rsid w:val="0016572A"/>
    <w:rsid w:val="00165CBF"/>
    <w:rsid w:val="00166B1F"/>
    <w:rsid w:val="00166BC6"/>
    <w:rsid w:val="00167E90"/>
    <w:rsid w:val="00167E9C"/>
    <w:rsid w:val="00167FCD"/>
    <w:rsid w:val="001700EA"/>
    <w:rsid w:val="001703C7"/>
    <w:rsid w:val="0017089F"/>
    <w:rsid w:val="00170CDB"/>
    <w:rsid w:val="001710B4"/>
    <w:rsid w:val="00171CB3"/>
    <w:rsid w:val="00171EAF"/>
    <w:rsid w:val="00172E5C"/>
    <w:rsid w:val="0017347A"/>
    <w:rsid w:val="001736C9"/>
    <w:rsid w:val="00173CCE"/>
    <w:rsid w:val="00173D31"/>
    <w:rsid w:val="0017402C"/>
    <w:rsid w:val="001741BE"/>
    <w:rsid w:val="00174B20"/>
    <w:rsid w:val="00174F0D"/>
    <w:rsid w:val="00176F2D"/>
    <w:rsid w:val="00177607"/>
    <w:rsid w:val="001779CE"/>
    <w:rsid w:val="001825A1"/>
    <w:rsid w:val="00184149"/>
    <w:rsid w:val="0018432D"/>
    <w:rsid w:val="00184BCF"/>
    <w:rsid w:val="00184D9B"/>
    <w:rsid w:val="00184F49"/>
    <w:rsid w:val="001857B7"/>
    <w:rsid w:val="00187533"/>
    <w:rsid w:val="00187D48"/>
    <w:rsid w:val="001909CC"/>
    <w:rsid w:val="00190E25"/>
    <w:rsid w:val="00192049"/>
    <w:rsid w:val="0019339C"/>
    <w:rsid w:val="0019396C"/>
    <w:rsid w:val="001953FA"/>
    <w:rsid w:val="001968E2"/>
    <w:rsid w:val="00197E70"/>
    <w:rsid w:val="001A160A"/>
    <w:rsid w:val="001A16F8"/>
    <w:rsid w:val="001A1C3D"/>
    <w:rsid w:val="001A23AF"/>
    <w:rsid w:val="001A2CE1"/>
    <w:rsid w:val="001A2E4E"/>
    <w:rsid w:val="001A4B02"/>
    <w:rsid w:val="001B04F7"/>
    <w:rsid w:val="001B180C"/>
    <w:rsid w:val="001B1932"/>
    <w:rsid w:val="001B1A1A"/>
    <w:rsid w:val="001B2A78"/>
    <w:rsid w:val="001B2AC2"/>
    <w:rsid w:val="001B2D5B"/>
    <w:rsid w:val="001B4B12"/>
    <w:rsid w:val="001B4CEE"/>
    <w:rsid w:val="001B7090"/>
    <w:rsid w:val="001C0302"/>
    <w:rsid w:val="001C0654"/>
    <w:rsid w:val="001C0BC0"/>
    <w:rsid w:val="001C10C3"/>
    <w:rsid w:val="001C1C0F"/>
    <w:rsid w:val="001C1D6B"/>
    <w:rsid w:val="001C37CA"/>
    <w:rsid w:val="001C4564"/>
    <w:rsid w:val="001C5334"/>
    <w:rsid w:val="001C5A6D"/>
    <w:rsid w:val="001C6222"/>
    <w:rsid w:val="001C6C2C"/>
    <w:rsid w:val="001C6DF0"/>
    <w:rsid w:val="001D159D"/>
    <w:rsid w:val="001D2191"/>
    <w:rsid w:val="001D2A21"/>
    <w:rsid w:val="001D312E"/>
    <w:rsid w:val="001D46B8"/>
    <w:rsid w:val="001D4D25"/>
    <w:rsid w:val="001D4DC8"/>
    <w:rsid w:val="001D54CE"/>
    <w:rsid w:val="001D5620"/>
    <w:rsid w:val="001D6F8E"/>
    <w:rsid w:val="001D73D7"/>
    <w:rsid w:val="001D7972"/>
    <w:rsid w:val="001E0004"/>
    <w:rsid w:val="001E05A0"/>
    <w:rsid w:val="001E0EDB"/>
    <w:rsid w:val="001E1FD9"/>
    <w:rsid w:val="001E23FF"/>
    <w:rsid w:val="001E265D"/>
    <w:rsid w:val="001E4B8D"/>
    <w:rsid w:val="001E4FFD"/>
    <w:rsid w:val="001F1108"/>
    <w:rsid w:val="001F1CA9"/>
    <w:rsid w:val="001F3BF5"/>
    <w:rsid w:val="001F4E9F"/>
    <w:rsid w:val="001F5540"/>
    <w:rsid w:val="001F5D5D"/>
    <w:rsid w:val="001F62B0"/>
    <w:rsid w:val="00200DAD"/>
    <w:rsid w:val="002011AB"/>
    <w:rsid w:val="00201563"/>
    <w:rsid w:val="002017B4"/>
    <w:rsid w:val="0020181C"/>
    <w:rsid w:val="00201BFF"/>
    <w:rsid w:val="00203532"/>
    <w:rsid w:val="00206190"/>
    <w:rsid w:val="00206D69"/>
    <w:rsid w:val="00207B23"/>
    <w:rsid w:val="00210673"/>
    <w:rsid w:val="00210A45"/>
    <w:rsid w:val="002112ED"/>
    <w:rsid w:val="002115CF"/>
    <w:rsid w:val="00212150"/>
    <w:rsid w:val="002127CE"/>
    <w:rsid w:val="00213929"/>
    <w:rsid w:val="00215127"/>
    <w:rsid w:val="00215CA7"/>
    <w:rsid w:val="00217D3A"/>
    <w:rsid w:val="00217DC1"/>
    <w:rsid w:val="00220E96"/>
    <w:rsid w:val="00221D46"/>
    <w:rsid w:val="00222119"/>
    <w:rsid w:val="00222CAA"/>
    <w:rsid w:val="00222D57"/>
    <w:rsid w:val="00222EA4"/>
    <w:rsid w:val="00224E34"/>
    <w:rsid w:val="00224E86"/>
    <w:rsid w:val="00225683"/>
    <w:rsid w:val="00225714"/>
    <w:rsid w:val="00226333"/>
    <w:rsid w:val="00227AB4"/>
    <w:rsid w:val="00227D3B"/>
    <w:rsid w:val="0023002A"/>
    <w:rsid w:val="00230A7E"/>
    <w:rsid w:val="00232361"/>
    <w:rsid w:val="00232CEE"/>
    <w:rsid w:val="002334AC"/>
    <w:rsid w:val="0023378D"/>
    <w:rsid w:val="00233A01"/>
    <w:rsid w:val="00233D6E"/>
    <w:rsid w:val="002346DD"/>
    <w:rsid w:val="0023515B"/>
    <w:rsid w:val="00235701"/>
    <w:rsid w:val="0023680D"/>
    <w:rsid w:val="00237DC1"/>
    <w:rsid w:val="00240CF1"/>
    <w:rsid w:val="0024198F"/>
    <w:rsid w:val="00242CB5"/>
    <w:rsid w:val="002434EF"/>
    <w:rsid w:val="00243DD6"/>
    <w:rsid w:val="00244BC5"/>
    <w:rsid w:val="002459B6"/>
    <w:rsid w:val="00245A05"/>
    <w:rsid w:val="00246C1A"/>
    <w:rsid w:val="002470FE"/>
    <w:rsid w:val="002473A6"/>
    <w:rsid w:val="00247C89"/>
    <w:rsid w:val="002500D0"/>
    <w:rsid w:val="0025205B"/>
    <w:rsid w:val="00252A51"/>
    <w:rsid w:val="00253A5B"/>
    <w:rsid w:val="002544A4"/>
    <w:rsid w:val="002546FA"/>
    <w:rsid w:val="00256E3C"/>
    <w:rsid w:val="00256F0B"/>
    <w:rsid w:val="00257FF4"/>
    <w:rsid w:val="0026077F"/>
    <w:rsid w:val="002609F3"/>
    <w:rsid w:val="0026229F"/>
    <w:rsid w:val="00265697"/>
    <w:rsid w:val="00265E68"/>
    <w:rsid w:val="00266593"/>
    <w:rsid w:val="002666CB"/>
    <w:rsid w:val="002669A1"/>
    <w:rsid w:val="00266B1B"/>
    <w:rsid w:val="00267947"/>
    <w:rsid w:val="0027057D"/>
    <w:rsid w:val="00272510"/>
    <w:rsid w:val="00272861"/>
    <w:rsid w:val="00272E2D"/>
    <w:rsid w:val="00273810"/>
    <w:rsid w:val="00273CC2"/>
    <w:rsid w:val="0027490D"/>
    <w:rsid w:val="002750CE"/>
    <w:rsid w:val="00275B40"/>
    <w:rsid w:val="0027677C"/>
    <w:rsid w:val="00276F27"/>
    <w:rsid w:val="00277618"/>
    <w:rsid w:val="0028055E"/>
    <w:rsid w:val="00280FDB"/>
    <w:rsid w:val="0028136B"/>
    <w:rsid w:val="002832F1"/>
    <w:rsid w:val="00283A62"/>
    <w:rsid w:val="00283B56"/>
    <w:rsid w:val="002849BB"/>
    <w:rsid w:val="00284D31"/>
    <w:rsid w:val="0028538D"/>
    <w:rsid w:val="0028595C"/>
    <w:rsid w:val="0028718A"/>
    <w:rsid w:val="00290381"/>
    <w:rsid w:val="002917D9"/>
    <w:rsid w:val="00292485"/>
    <w:rsid w:val="002925EC"/>
    <w:rsid w:val="00293991"/>
    <w:rsid w:val="00294534"/>
    <w:rsid w:val="002961DB"/>
    <w:rsid w:val="00296496"/>
    <w:rsid w:val="00296BA5"/>
    <w:rsid w:val="002A01C1"/>
    <w:rsid w:val="002A0A19"/>
    <w:rsid w:val="002A100B"/>
    <w:rsid w:val="002A16E4"/>
    <w:rsid w:val="002A232A"/>
    <w:rsid w:val="002A253A"/>
    <w:rsid w:val="002A27B8"/>
    <w:rsid w:val="002A3A63"/>
    <w:rsid w:val="002A3CF5"/>
    <w:rsid w:val="002B06F1"/>
    <w:rsid w:val="002B092B"/>
    <w:rsid w:val="002B1287"/>
    <w:rsid w:val="002B1AB9"/>
    <w:rsid w:val="002B20E1"/>
    <w:rsid w:val="002B21B3"/>
    <w:rsid w:val="002B2618"/>
    <w:rsid w:val="002B27F4"/>
    <w:rsid w:val="002B376E"/>
    <w:rsid w:val="002B4488"/>
    <w:rsid w:val="002B44F0"/>
    <w:rsid w:val="002B5949"/>
    <w:rsid w:val="002B78E1"/>
    <w:rsid w:val="002C00A7"/>
    <w:rsid w:val="002C17B3"/>
    <w:rsid w:val="002C20F1"/>
    <w:rsid w:val="002C3527"/>
    <w:rsid w:val="002C4ACF"/>
    <w:rsid w:val="002C4CD4"/>
    <w:rsid w:val="002C4E13"/>
    <w:rsid w:val="002C504F"/>
    <w:rsid w:val="002C5B4D"/>
    <w:rsid w:val="002C5D09"/>
    <w:rsid w:val="002C6368"/>
    <w:rsid w:val="002C6D62"/>
    <w:rsid w:val="002D091D"/>
    <w:rsid w:val="002D1852"/>
    <w:rsid w:val="002D2D38"/>
    <w:rsid w:val="002D4D2E"/>
    <w:rsid w:val="002D4EDE"/>
    <w:rsid w:val="002D4F58"/>
    <w:rsid w:val="002D5D91"/>
    <w:rsid w:val="002D7107"/>
    <w:rsid w:val="002E1583"/>
    <w:rsid w:val="002E2A5C"/>
    <w:rsid w:val="002E3544"/>
    <w:rsid w:val="002E3551"/>
    <w:rsid w:val="002E4EAF"/>
    <w:rsid w:val="002F0441"/>
    <w:rsid w:val="002F11A5"/>
    <w:rsid w:val="002F1217"/>
    <w:rsid w:val="002F3A88"/>
    <w:rsid w:val="002F42C4"/>
    <w:rsid w:val="002F4A79"/>
    <w:rsid w:val="002F5ADD"/>
    <w:rsid w:val="002F5D08"/>
    <w:rsid w:val="002F61CE"/>
    <w:rsid w:val="002F6DEE"/>
    <w:rsid w:val="002F78DE"/>
    <w:rsid w:val="002F7BE7"/>
    <w:rsid w:val="0030038A"/>
    <w:rsid w:val="003008EE"/>
    <w:rsid w:val="00302C73"/>
    <w:rsid w:val="00302CAD"/>
    <w:rsid w:val="00302F14"/>
    <w:rsid w:val="003030D2"/>
    <w:rsid w:val="003038F1"/>
    <w:rsid w:val="00303E65"/>
    <w:rsid w:val="003044FE"/>
    <w:rsid w:val="003050B5"/>
    <w:rsid w:val="00305434"/>
    <w:rsid w:val="003059DE"/>
    <w:rsid w:val="003061B4"/>
    <w:rsid w:val="003104B8"/>
    <w:rsid w:val="00310888"/>
    <w:rsid w:val="00310B9A"/>
    <w:rsid w:val="003116AE"/>
    <w:rsid w:val="00311F96"/>
    <w:rsid w:val="00312232"/>
    <w:rsid w:val="003131BB"/>
    <w:rsid w:val="0031323D"/>
    <w:rsid w:val="0031357C"/>
    <w:rsid w:val="00313A99"/>
    <w:rsid w:val="003141CD"/>
    <w:rsid w:val="003143A5"/>
    <w:rsid w:val="00321245"/>
    <w:rsid w:val="0032189B"/>
    <w:rsid w:val="00321C38"/>
    <w:rsid w:val="00323AFD"/>
    <w:rsid w:val="00323C3D"/>
    <w:rsid w:val="00325586"/>
    <w:rsid w:val="003255E1"/>
    <w:rsid w:val="00325658"/>
    <w:rsid w:val="00325C49"/>
    <w:rsid w:val="00326D87"/>
    <w:rsid w:val="00327B43"/>
    <w:rsid w:val="00330987"/>
    <w:rsid w:val="00331FF7"/>
    <w:rsid w:val="003327B3"/>
    <w:rsid w:val="00332971"/>
    <w:rsid w:val="00333910"/>
    <w:rsid w:val="0033466C"/>
    <w:rsid w:val="00334791"/>
    <w:rsid w:val="003347DE"/>
    <w:rsid w:val="00334889"/>
    <w:rsid w:val="0033516F"/>
    <w:rsid w:val="003352E4"/>
    <w:rsid w:val="003357B9"/>
    <w:rsid w:val="00336171"/>
    <w:rsid w:val="003366BA"/>
    <w:rsid w:val="00336E3A"/>
    <w:rsid w:val="00337BE1"/>
    <w:rsid w:val="00341094"/>
    <w:rsid w:val="00341151"/>
    <w:rsid w:val="00341A47"/>
    <w:rsid w:val="00342942"/>
    <w:rsid w:val="00343A14"/>
    <w:rsid w:val="00343BD7"/>
    <w:rsid w:val="003444CC"/>
    <w:rsid w:val="00344FDB"/>
    <w:rsid w:val="0034654E"/>
    <w:rsid w:val="00346ACB"/>
    <w:rsid w:val="003476A2"/>
    <w:rsid w:val="003511B2"/>
    <w:rsid w:val="00351E2E"/>
    <w:rsid w:val="00354156"/>
    <w:rsid w:val="00354512"/>
    <w:rsid w:val="003578F0"/>
    <w:rsid w:val="00357E2A"/>
    <w:rsid w:val="00360743"/>
    <w:rsid w:val="0036084C"/>
    <w:rsid w:val="00360E55"/>
    <w:rsid w:val="003616F3"/>
    <w:rsid w:val="003626C2"/>
    <w:rsid w:val="00362F5E"/>
    <w:rsid w:val="00363245"/>
    <w:rsid w:val="00363940"/>
    <w:rsid w:val="00363C31"/>
    <w:rsid w:val="00365F8A"/>
    <w:rsid w:val="003674A6"/>
    <w:rsid w:val="00372C5F"/>
    <w:rsid w:val="00372DD5"/>
    <w:rsid w:val="00374148"/>
    <w:rsid w:val="00374210"/>
    <w:rsid w:val="0037434C"/>
    <w:rsid w:val="00374EFB"/>
    <w:rsid w:val="00377E64"/>
    <w:rsid w:val="00380FEE"/>
    <w:rsid w:val="003837BC"/>
    <w:rsid w:val="00384F0D"/>
    <w:rsid w:val="00385260"/>
    <w:rsid w:val="00385A87"/>
    <w:rsid w:val="00386533"/>
    <w:rsid w:val="003872A6"/>
    <w:rsid w:val="003875EC"/>
    <w:rsid w:val="00387B18"/>
    <w:rsid w:val="00390A91"/>
    <w:rsid w:val="003917FE"/>
    <w:rsid w:val="00393603"/>
    <w:rsid w:val="003939A0"/>
    <w:rsid w:val="00393B08"/>
    <w:rsid w:val="00393DB4"/>
    <w:rsid w:val="00395024"/>
    <w:rsid w:val="00395206"/>
    <w:rsid w:val="00396539"/>
    <w:rsid w:val="00396FB3"/>
    <w:rsid w:val="00397592"/>
    <w:rsid w:val="00397DAE"/>
    <w:rsid w:val="003A0058"/>
    <w:rsid w:val="003A0B35"/>
    <w:rsid w:val="003A127F"/>
    <w:rsid w:val="003A1311"/>
    <w:rsid w:val="003A1DEC"/>
    <w:rsid w:val="003A2099"/>
    <w:rsid w:val="003A2179"/>
    <w:rsid w:val="003A21C7"/>
    <w:rsid w:val="003A233C"/>
    <w:rsid w:val="003A4482"/>
    <w:rsid w:val="003B0099"/>
    <w:rsid w:val="003B1377"/>
    <w:rsid w:val="003B1AA8"/>
    <w:rsid w:val="003B1D38"/>
    <w:rsid w:val="003B31E3"/>
    <w:rsid w:val="003B3670"/>
    <w:rsid w:val="003B43D2"/>
    <w:rsid w:val="003B6141"/>
    <w:rsid w:val="003B73F3"/>
    <w:rsid w:val="003B752E"/>
    <w:rsid w:val="003C0B75"/>
    <w:rsid w:val="003C1626"/>
    <w:rsid w:val="003C1B44"/>
    <w:rsid w:val="003C1C91"/>
    <w:rsid w:val="003C1DE9"/>
    <w:rsid w:val="003C25A0"/>
    <w:rsid w:val="003C334B"/>
    <w:rsid w:val="003C3678"/>
    <w:rsid w:val="003C3D35"/>
    <w:rsid w:val="003C444D"/>
    <w:rsid w:val="003C4543"/>
    <w:rsid w:val="003C4B56"/>
    <w:rsid w:val="003C576D"/>
    <w:rsid w:val="003C5E14"/>
    <w:rsid w:val="003D02D9"/>
    <w:rsid w:val="003D0FA8"/>
    <w:rsid w:val="003D19D4"/>
    <w:rsid w:val="003D1EB0"/>
    <w:rsid w:val="003D215E"/>
    <w:rsid w:val="003D252E"/>
    <w:rsid w:val="003D355A"/>
    <w:rsid w:val="003D4F02"/>
    <w:rsid w:val="003D65B7"/>
    <w:rsid w:val="003D66A7"/>
    <w:rsid w:val="003E0F37"/>
    <w:rsid w:val="003E11DF"/>
    <w:rsid w:val="003E1AD8"/>
    <w:rsid w:val="003E1E59"/>
    <w:rsid w:val="003E2732"/>
    <w:rsid w:val="003E3DE5"/>
    <w:rsid w:val="003E49A9"/>
    <w:rsid w:val="003E58F1"/>
    <w:rsid w:val="003E66EF"/>
    <w:rsid w:val="003E6DF8"/>
    <w:rsid w:val="003E7D58"/>
    <w:rsid w:val="003F01F5"/>
    <w:rsid w:val="003F08B3"/>
    <w:rsid w:val="003F11B4"/>
    <w:rsid w:val="003F197E"/>
    <w:rsid w:val="003F2816"/>
    <w:rsid w:val="003F29D5"/>
    <w:rsid w:val="003F3195"/>
    <w:rsid w:val="003F3996"/>
    <w:rsid w:val="003F4ECD"/>
    <w:rsid w:val="003F53A1"/>
    <w:rsid w:val="003F73C5"/>
    <w:rsid w:val="003F75F7"/>
    <w:rsid w:val="00400838"/>
    <w:rsid w:val="00400A14"/>
    <w:rsid w:val="00400CDB"/>
    <w:rsid w:val="00400CEB"/>
    <w:rsid w:val="004024DE"/>
    <w:rsid w:val="00402ADE"/>
    <w:rsid w:val="004032D4"/>
    <w:rsid w:val="00405089"/>
    <w:rsid w:val="004050E5"/>
    <w:rsid w:val="00405AC1"/>
    <w:rsid w:val="004075A6"/>
    <w:rsid w:val="00407B3F"/>
    <w:rsid w:val="00407C03"/>
    <w:rsid w:val="00411FFA"/>
    <w:rsid w:val="0041321D"/>
    <w:rsid w:val="0041338C"/>
    <w:rsid w:val="00414501"/>
    <w:rsid w:val="00414F90"/>
    <w:rsid w:val="00415478"/>
    <w:rsid w:val="004167D5"/>
    <w:rsid w:val="00420141"/>
    <w:rsid w:val="0042325F"/>
    <w:rsid w:val="004239D0"/>
    <w:rsid w:val="00425473"/>
    <w:rsid w:val="004254AA"/>
    <w:rsid w:val="00426886"/>
    <w:rsid w:val="00430FEB"/>
    <w:rsid w:val="0043261C"/>
    <w:rsid w:val="00432898"/>
    <w:rsid w:val="00432D02"/>
    <w:rsid w:val="004338BF"/>
    <w:rsid w:val="00434BAA"/>
    <w:rsid w:val="0043501A"/>
    <w:rsid w:val="0043522E"/>
    <w:rsid w:val="00436915"/>
    <w:rsid w:val="004371AF"/>
    <w:rsid w:val="004371C9"/>
    <w:rsid w:val="00440167"/>
    <w:rsid w:val="004406A0"/>
    <w:rsid w:val="00440C61"/>
    <w:rsid w:val="00442C24"/>
    <w:rsid w:val="004439EF"/>
    <w:rsid w:val="00443C65"/>
    <w:rsid w:val="00443CEE"/>
    <w:rsid w:val="00443E5A"/>
    <w:rsid w:val="004450A0"/>
    <w:rsid w:val="00450199"/>
    <w:rsid w:val="0045208E"/>
    <w:rsid w:val="0045468E"/>
    <w:rsid w:val="00456665"/>
    <w:rsid w:val="00456C85"/>
    <w:rsid w:val="00457667"/>
    <w:rsid w:val="00457D83"/>
    <w:rsid w:val="004607D7"/>
    <w:rsid w:val="00460D69"/>
    <w:rsid w:val="00461217"/>
    <w:rsid w:val="004625EC"/>
    <w:rsid w:val="00462A10"/>
    <w:rsid w:val="0046308E"/>
    <w:rsid w:val="0046326E"/>
    <w:rsid w:val="004634B4"/>
    <w:rsid w:val="004658BB"/>
    <w:rsid w:val="00466B6A"/>
    <w:rsid w:val="004675A6"/>
    <w:rsid w:val="0046793D"/>
    <w:rsid w:val="0047293B"/>
    <w:rsid w:val="00473686"/>
    <w:rsid w:val="00473AD9"/>
    <w:rsid w:val="00474335"/>
    <w:rsid w:val="00475E3A"/>
    <w:rsid w:val="00476B4E"/>
    <w:rsid w:val="00476D6E"/>
    <w:rsid w:val="004803BA"/>
    <w:rsid w:val="004815F6"/>
    <w:rsid w:val="00481AFB"/>
    <w:rsid w:val="00482BA4"/>
    <w:rsid w:val="00483C66"/>
    <w:rsid w:val="004848B9"/>
    <w:rsid w:val="00485878"/>
    <w:rsid w:val="004859CC"/>
    <w:rsid w:val="00485B83"/>
    <w:rsid w:val="00485EB7"/>
    <w:rsid w:val="004864A6"/>
    <w:rsid w:val="004865A8"/>
    <w:rsid w:val="004865FE"/>
    <w:rsid w:val="00491253"/>
    <w:rsid w:val="00492634"/>
    <w:rsid w:val="00492931"/>
    <w:rsid w:val="00493467"/>
    <w:rsid w:val="0049417A"/>
    <w:rsid w:val="00496949"/>
    <w:rsid w:val="00496A94"/>
    <w:rsid w:val="00497874"/>
    <w:rsid w:val="00497B26"/>
    <w:rsid w:val="004A0240"/>
    <w:rsid w:val="004A0325"/>
    <w:rsid w:val="004A05AF"/>
    <w:rsid w:val="004A0D7B"/>
    <w:rsid w:val="004A3143"/>
    <w:rsid w:val="004A3377"/>
    <w:rsid w:val="004A3801"/>
    <w:rsid w:val="004A41A5"/>
    <w:rsid w:val="004A4B71"/>
    <w:rsid w:val="004A5204"/>
    <w:rsid w:val="004A5475"/>
    <w:rsid w:val="004A6AF7"/>
    <w:rsid w:val="004A70DC"/>
    <w:rsid w:val="004A7591"/>
    <w:rsid w:val="004B2863"/>
    <w:rsid w:val="004B2AB7"/>
    <w:rsid w:val="004B2F5A"/>
    <w:rsid w:val="004B3BF0"/>
    <w:rsid w:val="004B4716"/>
    <w:rsid w:val="004B59C3"/>
    <w:rsid w:val="004B617E"/>
    <w:rsid w:val="004B6823"/>
    <w:rsid w:val="004C05D1"/>
    <w:rsid w:val="004C1199"/>
    <w:rsid w:val="004C2853"/>
    <w:rsid w:val="004C5969"/>
    <w:rsid w:val="004C5BAD"/>
    <w:rsid w:val="004C65DF"/>
    <w:rsid w:val="004C7557"/>
    <w:rsid w:val="004C7910"/>
    <w:rsid w:val="004D0C13"/>
    <w:rsid w:val="004D241B"/>
    <w:rsid w:val="004D2746"/>
    <w:rsid w:val="004D278F"/>
    <w:rsid w:val="004D34BD"/>
    <w:rsid w:val="004D37C3"/>
    <w:rsid w:val="004D44E8"/>
    <w:rsid w:val="004D4514"/>
    <w:rsid w:val="004D6E4F"/>
    <w:rsid w:val="004D7649"/>
    <w:rsid w:val="004E0266"/>
    <w:rsid w:val="004E0590"/>
    <w:rsid w:val="004E2A3F"/>
    <w:rsid w:val="004E480E"/>
    <w:rsid w:val="004E4CCC"/>
    <w:rsid w:val="004E4DEC"/>
    <w:rsid w:val="004E4E3D"/>
    <w:rsid w:val="004E4ED3"/>
    <w:rsid w:val="004E5C64"/>
    <w:rsid w:val="004E653E"/>
    <w:rsid w:val="004F1045"/>
    <w:rsid w:val="004F2623"/>
    <w:rsid w:val="004F3335"/>
    <w:rsid w:val="004F6E79"/>
    <w:rsid w:val="004F77B1"/>
    <w:rsid w:val="0050296F"/>
    <w:rsid w:val="005038A6"/>
    <w:rsid w:val="0050419B"/>
    <w:rsid w:val="0050552B"/>
    <w:rsid w:val="00505AF5"/>
    <w:rsid w:val="005066D6"/>
    <w:rsid w:val="0051004B"/>
    <w:rsid w:val="005107AB"/>
    <w:rsid w:val="00510996"/>
    <w:rsid w:val="005136A5"/>
    <w:rsid w:val="00514CFC"/>
    <w:rsid w:val="005152FD"/>
    <w:rsid w:val="00515B01"/>
    <w:rsid w:val="005170F2"/>
    <w:rsid w:val="00517164"/>
    <w:rsid w:val="00517814"/>
    <w:rsid w:val="005203AA"/>
    <w:rsid w:val="005207B5"/>
    <w:rsid w:val="00520E9F"/>
    <w:rsid w:val="00521E11"/>
    <w:rsid w:val="005220D4"/>
    <w:rsid w:val="005237D0"/>
    <w:rsid w:val="005242E7"/>
    <w:rsid w:val="0052595D"/>
    <w:rsid w:val="00526AF9"/>
    <w:rsid w:val="005270B9"/>
    <w:rsid w:val="00527508"/>
    <w:rsid w:val="005307F1"/>
    <w:rsid w:val="005308A7"/>
    <w:rsid w:val="00531A29"/>
    <w:rsid w:val="005322A5"/>
    <w:rsid w:val="005324AA"/>
    <w:rsid w:val="00532D2F"/>
    <w:rsid w:val="00532DD0"/>
    <w:rsid w:val="00532ED1"/>
    <w:rsid w:val="00533791"/>
    <w:rsid w:val="00533D8F"/>
    <w:rsid w:val="00535FEB"/>
    <w:rsid w:val="00536462"/>
    <w:rsid w:val="00536BB3"/>
    <w:rsid w:val="00536D6F"/>
    <w:rsid w:val="005408EA"/>
    <w:rsid w:val="00541F8B"/>
    <w:rsid w:val="00542885"/>
    <w:rsid w:val="005437C0"/>
    <w:rsid w:val="00543C2F"/>
    <w:rsid w:val="00544F70"/>
    <w:rsid w:val="00545DCE"/>
    <w:rsid w:val="00545F69"/>
    <w:rsid w:val="0054621D"/>
    <w:rsid w:val="0054797C"/>
    <w:rsid w:val="005501C7"/>
    <w:rsid w:val="00551651"/>
    <w:rsid w:val="00552199"/>
    <w:rsid w:val="00552256"/>
    <w:rsid w:val="00552FD6"/>
    <w:rsid w:val="00553242"/>
    <w:rsid w:val="0055387E"/>
    <w:rsid w:val="0055396F"/>
    <w:rsid w:val="00553BC6"/>
    <w:rsid w:val="0055467A"/>
    <w:rsid w:val="005547ED"/>
    <w:rsid w:val="00554972"/>
    <w:rsid w:val="00554A1A"/>
    <w:rsid w:val="00554B9D"/>
    <w:rsid w:val="005562B1"/>
    <w:rsid w:val="005567E4"/>
    <w:rsid w:val="00556929"/>
    <w:rsid w:val="005570FE"/>
    <w:rsid w:val="005576B8"/>
    <w:rsid w:val="00557B80"/>
    <w:rsid w:val="00560314"/>
    <w:rsid w:val="0056074C"/>
    <w:rsid w:val="0056153F"/>
    <w:rsid w:val="005619A1"/>
    <w:rsid w:val="00561DE7"/>
    <w:rsid w:val="00561FCA"/>
    <w:rsid w:val="005625AD"/>
    <w:rsid w:val="00564FBD"/>
    <w:rsid w:val="0056525C"/>
    <w:rsid w:val="0056525F"/>
    <w:rsid w:val="0056587F"/>
    <w:rsid w:val="00566FD8"/>
    <w:rsid w:val="00567136"/>
    <w:rsid w:val="0057056C"/>
    <w:rsid w:val="0057110A"/>
    <w:rsid w:val="00573D8C"/>
    <w:rsid w:val="00573DC1"/>
    <w:rsid w:val="005743EE"/>
    <w:rsid w:val="00575624"/>
    <w:rsid w:val="005758CC"/>
    <w:rsid w:val="00576E5A"/>
    <w:rsid w:val="005773FE"/>
    <w:rsid w:val="00580424"/>
    <w:rsid w:val="005813B8"/>
    <w:rsid w:val="005819D0"/>
    <w:rsid w:val="00583FEB"/>
    <w:rsid w:val="00584BA8"/>
    <w:rsid w:val="005868A1"/>
    <w:rsid w:val="005905C0"/>
    <w:rsid w:val="00590AC8"/>
    <w:rsid w:val="00590B2A"/>
    <w:rsid w:val="00590B97"/>
    <w:rsid w:val="00590F7C"/>
    <w:rsid w:val="00591DD3"/>
    <w:rsid w:val="00592678"/>
    <w:rsid w:val="00592A4B"/>
    <w:rsid w:val="00593458"/>
    <w:rsid w:val="00595234"/>
    <w:rsid w:val="0059563C"/>
    <w:rsid w:val="0059583F"/>
    <w:rsid w:val="00595E17"/>
    <w:rsid w:val="00596CA3"/>
    <w:rsid w:val="00596DD9"/>
    <w:rsid w:val="00596E70"/>
    <w:rsid w:val="005A0190"/>
    <w:rsid w:val="005A1200"/>
    <w:rsid w:val="005A2926"/>
    <w:rsid w:val="005A33D1"/>
    <w:rsid w:val="005A71A7"/>
    <w:rsid w:val="005B065F"/>
    <w:rsid w:val="005B0C7E"/>
    <w:rsid w:val="005B0CB4"/>
    <w:rsid w:val="005B3279"/>
    <w:rsid w:val="005B4269"/>
    <w:rsid w:val="005B445B"/>
    <w:rsid w:val="005B4EC8"/>
    <w:rsid w:val="005B6682"/>
    <w:rsid w:val="005B68AD"/>
    <w:rsid w:val="005B6900"/>
    <w:rsid w:val="005C00D8"/>
    <w:rsid w:val="005C06B0"/>
    <w:rsid w:val="005C097E"/>
    <w:rsid w:val="005C2B23"/>
    <w:rsid w:val="005C2B4D"/>
    <w:rsid w:val="005C31B0"/>
    <w:rsid w:val="005C3334"/>
    <w:rsid w:val="005C3463"/>
    <w:rsid w:val="005C4995"/>
    <w:rsid w:val="005C4AEF"/>
    <w:rsid w:val="005C5293"/>
    <w:rsid w:val="005C58F5"/>
    <w:rsid w:val="005C68C2"/>
    <w:rsid w:val="005C6F01"/>
    <w:rsid w:val="005C73B4"/>
    <w:rsid w:val="005C75EC"/>
    <w:rsid w:val="005C7AB4"/>
    <w:rsid w:val="005D0ED0"/>
    <w:rsid w:val="005D2C7A"/>
    <w:rsid w:val="005D3740"/>
    <w:rsid w:val="005D4014"/>
    <w:rsid w:val="005D459D"/>
    <w:rsid w:val="005D4634"/>
    <w:rsid w:val="005D5EA4"/>
    <w:rsid w:val="005D66B3"/>
    <w:rsid w:val="005D6ED5"/>
    <w:rsid w:val="005E3143"/>
    <w:rsid w:val="005E40A1"/>
    <w:rsid w:val="005E4DD1"/>
    <w:rsid w:val="005E538B"/>
    <w:rsid w:val="005E5BD4"/>
    <w:rsid w:val="005E6492"/>
    <w:rsid w:val="005E6E9E"/>
    <w:rsid w:val="005E7A96"/>
    <w:rsid w:val="005F01EB"/>
    <w:rsid w:val="005F0DB2"/>
    <w:rsid w:val="005F1AB3"/>
    <w:rsid w:val="005F1D93"/>
    <w:rsid w:val="005F21CE"/>
    <w:rsid w:val="005F23C0"/>
    <w:rsid w:val="005F2738"/>
    <w:rsid w:val="005F3576"/>
    <w:rsid w:val="005F3B4E"/>
    <w:rsid w:val="005F4239"/>
    <w:rsid w:val="005F44EC"/>
    <w:rsid w:val="005F45CC"/>
    <w:rsid w:val="005F64DF"/>
    <w:rsid w:val="005F6946"/>
    <w:rsid w:val="006001A3"/>
    <w:rsid w:val="00600614"/>
    <w:rsid w:val="006014BD"/>
    <w:rsid w:val="0060240F"/>
    <w:rsid w:val="00603006"/>
    <w:rsid w:val="00604190"/>
    <w:rsid w:val="006043A2"/>
    <w:rsid w:val="006062D3"/>
    <w:rsid w:val="00607478"/>
    <w:rsid w:val="006075D7"/>
    <w:rsid w:val="00610A71"/>
    <w:rsid w:val="00611984"/>
    <w:rsid w:val="00612879"/>
    <w:rsid w:val="00612F81"/>
    <w:rsid w:val="00613096"/>
    <w:rsid w:val="006140ED"/>
    <w:rsid w:val="00614E66"/>
    <w:rsid w:val="00615C49"/>
    <w:rsid w:val="00616025"/>
    <w:rsid w:val="0061615A"/>
    <w:rsid w:val="00616927"/>
    <w:rsid w:val="00616D80"/>
    <w:rsid w:val="00617484"/>
    <w:rsid w:val="00621110"/>
    <w:rsid w:val="00621413"/>
    <w:rsid w:val="00621C9E"/>
    <w:rsid w:val="006224D4"/>
    <w:rsid w:val="00622A52"/>
    <w:rsid w:val="00622F5D"/>
    <w:rsid w:val="006235BA"/>
    <w:rsid w:val="00623993"/>
    <w:rsid w:val="00623A3F"/>
    <w:rsid w:val="00623D3D"/>
    <w:rsid w:val="00624AA2"/>
    <w:rsid w:val="00624ACF"/>
    <w:rsid w:val="00624C04"/>
    <w:rsid w:val="00625DC5"/>
    <w:rsid w:val="00626943"/>
    <w:rsid w:val="00627255"/>
    <w:rsid w:val="00627C27"/>
    <w:rsid w:val="00627DA4"/>
    <w:rsid w:val="00627DA8"/>
    <w:rsid w:val="00630AD4"/>
    <w:rsid w:val="00630DD7"/>
    <w:rsid w:val="00631068"/>
    <w:rsid w:val="00631FE3"/>
    <w:rsid w:val="006324A2"/>
    <w:rsid w:val="0063253C"/>
    <w:rsid w:val="00632A82"/>
    <w:rsid w:val="00633431"/>
    <w:rsid w:val="00633CE9"/>
    <w:rsid w:val="006344FE"/>
    <w:rsid w:val="00635787"/>
    <w:rsid w:val="00637065"/>
    <w:rsid w:val="00640A1C"/>
    <w:rsid w:val="00640EEA"/>
    <w:rsid w:val="00641143"/>
    <w:rsid w:val="00641440"/>
    <w:rsid w:val="00641F36"/>
    <w:rsid w:val="0064321A"/>
    <w:rsid w:val="00643A22"/>
    <w:rsid w:val="00643BB9"/>
    <w:rsid w:val="00644566"/>
    <w:rsid w:val="00646570"/>
    <w:rsid w:val="00647867"/>
    <w:rsid w:val="006500C8"/>
    <w:rsid w:val="00650660"/>
    <w:rsid w:val="00654B4E"/>
    <w:rsid w:val="00655442"/>
    <w:rsid w:val="00655AF1"/>
    <w:rsid w:val="0065676B"/>
    <w:rsid w:val="0065679B"/>
    <w:rsid w:val="006568E5"/>
    <w:rsid w:val="00656E9C"/>
    <w:rsid w:val="00660C3A"/>
    <w:rsid w:val="00661C44"/>
    <w:rsid w:val="0066212A"/>
    <w:rsid w:val="00662DBB"/>
    <w:rsid w:val="006632E3"/>
    <w:rsid w:val="00663F90"/>
    <w:rsid w:val="00664529"/>
    <w:rsid w:val="006645CC"/>
    <w:rsid w:val="0066636A"/>
    <w:rsid w:val="0066707D"/>
    <w:rsid w:val="0066788F"/>
    <w:rsid w:val="006710CD"/>
    <w:rsid w:val="00671A8D"/>
    <w:rsid w:val="00671ADB"/>
    <w:rsid w:val="0067218F"/>
    <w:rsid w:val="00673334"/>
    <w:rsid w:val="0067429D"/>
    <w:rsid w:val="006746F5"/>
    <w:rsid w:val="0067487B"/>
    <w:rsid w:val="006748FA"/>
    <w:rsid w:val="00675065"/>
    <w:rsid w:val="00675941"/>
    <w:rsid w:val="006767C1"/>
    <w:rsid w:val="00680C1D"/>
    <w:rsid w:val="006813C7"/>
    <w:rsid w:val="00681B0E"/>
    <w:rsid w:val="00681D9C"/>
    <w:rsid w:val="006826F0"/>
    <w:rsid w:val="006831B5"/>
    <w:rsid w:val="006838B8"/>
    <w:rsid w:val="006839F6"/>
    <w:rsid w:val="00683D19"/>
    <w:rsid w:val="00684004"/>
    <w:rsid w:val="00684719"/>
    <w:rsid w:val="00684B80"/>
    <w:rsid w:val="0068505C"/>
    <w:rsid w:val="00685485"/>
    <w:rsid w:val="0068588A"/>
    <w:rsid w:val="00685C26"/>
    <w:rsid w:val="00685CBA"/>
    <w:rsid w:val="006867DF"/>
    <w:rsid w:val="0068686B"/>
    <w:rsid w:val="0068748A"/>
    <w:rsid w:val="0069035B"/>
    <w:rsid w:val="00691721"/>
    <w:rsid w:val="006924DC"/>
    <w:rsid w:val="006927A7"/>
    <w:rsid w:val="00693D47"/>
    <w:rsid w:val="00694598"/>
    <w:rsid w:val="006947CC"/>
    <w:rsid w:val="0069567B"/>
    <w:rsid w:val="00695A12"/>
    <w:rsid w:val="00696C22"/>
    <w:rsid w:val="00696E24"/>
    <w:rsid w:val="006A08FE"/>
    <w:rsid w:val="006A1332"/>
    <w:rsid w:val="006A2787"/>
    <w:rsid w:val="006A722F"/>
    <w:rsid w:val="006A7302"/>
    <w:rsid w:val="006B03E8"/>
    <w:rsid w:val="006B0517"/>
    <w:rsid w:val="006B0B20"/>
    <w:rsid w:val="006B0C81"/>
    <w:rsid w:val="006B23E5"/>
    <w:rsid w:val="006B455B"/>
    <w:rsid w:val="006B5454"/>
    <w:rsid w:val="006B546A"/>
    <w:rsid w:val="006B5BC4"/>
    <w:rsid w:val="006B7512"/>
    <w:rsid w:val="006B7B21"/>
    <w:rsid w:val="006C0117"/>
    <w:rsid w:val="006C02EF"/>
    <w:rsid w:val="006C44E9"/>
    <w:rsid w:val="006C5738"/>
    <w:rsid w:val="006C5866"/>
    <w:rsid w:val="006C5C25"/>
    <w:rsid w:val="006C61CC"/>
    <w:rsid w:val="006C7350"/>
    <w:rsid w:val="006D0274"/>
    <w:rsid w:val="006D0736"/>
    <w:rsid w:val="006D0C38"/>
    <w:rsid w:val="006D153C"/>
    <w:rsid w:val="006D23B0"/>
    <w:rsid w:val="006D3506"/>
    <w:rsid w:val="006D385E"/>
    <w:rsid w:val="006D4C97"/>
    <w:rsid w:val="006D5C56"/>
    <w:rsid w:val="006D6792"/>
    <w:rsid w:val="006D6884"/>
    <w:rsid w:val="006D7449"/>
    <w:rsid w:val="006E0351"/>
    <w:rsid w:val="006E07FB"/>
    <w:rsid w:val="006E0AFC"/>
    <w:rsid w:val="006E0B89"/>
    <w:rsid w:val="006E0CAF"/>
    <w:rsid w:val="006E0DDC"/>
    <w:rsid w:val="006E1255"/>
    <w:rsid w:val="006E1A13"/>
    <w:rsid w:val="006E37A7"/>
    <w:rsid w:val="006E3C5F"/>
    <w:rsid w:val="006E4023"/>
    <w:rsid w:val="006E4BD8"/>
    <w:rsid w:val="006E53C1"/>
    <w:rsid w:val="006E65BE"/>
    <w:rsid w:val="006E7BCE"/>
    <w:rsid w:val="006F1B74"/>
    <w:rsid w:val="006F1FFC"/>
    <w:rsid w:val="006F20DD"/>
    <w:rsid w:val="006F266D"/>
    <w:rsid w:val="006F4944"/>
    <w:rsid w:val="006F4E58"/>
    <w:rsid w:val="006F545E"/>
    <w:rsid w:val="006F6209"/>
    <w:rsid w:val="006F67DD"/>
    <w:rsid w:val="00701254"/>
    <w:rsid w:val="00701BA5"/>
    <w:rsid w:val="00702508"/>
    <w:rsid w:val="007039D1"/>
    <w:rsid w:val="00704429"/>
    <w:rsid w:val="0070490F"/>
    <w:rsid w:val="00705207"/>
    <w:rsid w:val="007052E9"/>
    <w:rsid w:val="00705821"/>
    <w:rsid w:val="00705B4C"/>
    <w:rsid w:val="00705B75"/>
    <w:rsid w:val="00707683"/>
    <w:rsid w:val="00707C79"/>
    <w:rsid w:val="00710617"/>
    <w:rsid w:val="00710DB4"/>
    <w:rsid w:val="0071100F"/>
    <w:rsid w:val="007117D0"/>
    <w:rsid w:val="00711F31"/>
    <w:rsid w:val="00711FC2"/>
    <w:rsid w:val="0071381C"/>
    <w:rsid w:val="007140AF"/>
    <w:rsid w:val="0071534B"/>
    <w:rsid w:val="00715742"/>
    <w:rsid w:val="00715933"/>
    <w:rsid w:val="00716CB7"/>
    <w:rsid w:val="00717481"/>
    <w:rsid w:val="00717E90"/>
    <w:rsid w:val="007217F6"/>
    <w:rsid w:val="00722883"/>
    <w:rsid w:val="00724FD9"/>
    <w:rsid w:val="0072526E"/>
    <w:rsid w:val="007267C6"/>
    <w:rsid w:val="0072739D"/>
    <w:rsid w:val="007273A3"/>
    <w:rsid w:val="007274E8"/>
    <w:rsid w:val="00727A8A"/>
    <w:rsid w:val="00727C9B"/>
    <w:rsid w:val="00730515"/>
    <w:rsid w:val="00730A80"/>
    <w:rsid w:val="00730EB6"/>
    <w:rsid w:val="00731300"/>
    <w:rsid w:val="007315E8"/>
    <w:rsid w:val="00733043"/>
    <w:rsid w:val="007333F1"/>
    <w:rsid w:val="0073355D"/>
    <w:rsid w:val="007335A3"/>
    <w:rsid w:val="007404A7"/>
    <w:rsid w:val="007411A6"/>
    <w:rsid w:val="0074158F"/>
    <w:rsid w:val="0074221E"/>
    <w:rsid w:val="00742734"/>
    <w:rsid w:val="007428DD"/>
    <w:rsid w:val="00742A46"/>
    <w:rsid w:val="00743B9C"/>
    <w:rsid w:val="00743C29"/>
    <w:rsid w:val="0074415F"/>
    <w:rsid w:val="00744594"/>
    <w:rsid w:val="00745EC9"/>
    <w:rsid w:val="00745EDD"/>
    <w:rsid w:val="00745F08"/>
    <w:rsid w:val="0074714D"/>
    <w:rsid w:val="0074741A"/>
    <w:rsid w:val="0075134C"/>
    <w:rsid w:val="00751445"/>
    <w:rsid w:val="0075171A"/>
    <w:rsid w:val="00751932"/>
    <w:rsid w:val="0075203E"/>
    <w:rsid w:val="00752C7B"/>
    <w:rsid w:val="00753C3A"/>
    <w:rsid w:val="00753CD0"/>
    <w:rsid w:val="00753F04"/>
    <w:rsid w:val="007540A5"/>
    <w:rsid w:val="00754A46"/>
    <w:rsid w:val="00755BE5"/>
    <w:rsid w:val="0075698D"/>
    <w:rsid w:val="0075795C"/>
    <w:rsid w:val="007612FF"/>
    <w:rsid w:val="00761603"/>
    <w:rsid w:val="0076280F"/>
    <w:rsid w:val="0076296F"/>
    <w:rsid w:val="007645A1"/>
    <w:rsid w:val="00765C16"/>
    <w:rsid w:val="00766A50"/>
    <w:rsid w:val="00766DF8"/>
    <w:rsid w:val="00767562"/>
    <w:rsid w:val="00767B32"/>
    <w:rsid w:val="00770184"/>
    <w:rsid w:val="00770278"/>
    <w:rsid w:val="00772564"/>
    <w:rsid w:val="00772A91"/>
    <w:rsid w:val="00772ECA"/>
    <w:rsid w:val="0077331F"/>
    <w:rsid w:val="00773356"/>
    <w:rsid w:val="00775AAC"/>
    <w:rsid w:val="00775D8B"/>
    <w:rsid w:val="00775F8E"/>
    <w:rsid w:val="00776992"/>
    <w:rsid w:val="00776AD1"/>
    <w:rsid w:val="00776D74"/>
    <w:rsid w:val="00776F81"/>
    <w:rsid w:val="00777427"/>
    <w:rsid w:val="00777A93"/>
    <w:rsid w:val="00777CD9"/>
    <w:rsid w:val="0078010A"/>
    <w:rsid w:val="0078011B"/>
    <w:rsid w:val="00780B21"/>
    <w:rsid w:val="00781475"/>
    <w:rsid w:val="0078266B"/>
    <w:rsid w:val="00782CFB"/>
    <w:rsid w:val="007831EC"/>
    <w:rsid w:val="0078460D"/>
    <w:rsid w:val="0078509C"/>
    <w:rsid w:val="0078526D"/>
    <w:rsid w:val="007859AA"/>
    <w:rsid w:val="00785B02"/>
    <w:rsid w:val="007861F5"/>
    <w:rsid w:val="007920ED"/>
    <w:rsid w:val="007924A8"/>
    <w:rsid w:val="00794E56"/>
    <w:rsid w:val="00795BB7"/>
    <w:rsid w:val="00795C92"/>
    <w:rsid w:val="00796F8C"/>
    <w:rsid w:val="007971CD"/>
    <w:rsid w:val="007A05E5"/>
    <w:rsid w:val="007A0925"/>
    <w:rsid w:val="007A18EA"/>
    <w:rsid w:val="007A1B2F"/>
    <w:rsid w:val="007A1C39"/>
    <w:rsid w:val="007A2CDB"/>
    <w:rsid w:val="007A4F9B"/>
    <w:rsid w:val="007A5BB8"/>
    <w:rsid w:val="007A63B2"/>
    <w:rsid w:val="007A6500"/>
    <w:rsid w:val="007A69B9"/>
    <w:rsid w:val="007A7957"/>
    <w:rsid w:val="007B026B"/>
    <w:rsid w:val="007B030C"/>
    <w:rsid w:val="007B031B"/>
    <w:rsid w:val="007B1650"/>
    <w:rsid w:val="007B2713"/>
    <w:rsid w:val="007B3075"/>
    <w:rsid w:val="007B4E3D"/>
    <w:rsid w:val="007B5AC2"/>
    <w:rsid w:val="007B5CAC"/>
    <w:rsid w:val="007B6C32"/>
    <w:rsid w:val="007B70E7"/>
    <w:rsid w:val="007B7C54"/>
    <w:rsid w:val="007C0212"/>
    <w:rsid w:val="007C2E29"/>
    <w:rsid w:val="007C2FB0"/>
    <w:rsid w:val="007C3BFE"/>
    <w:rsid w:val="007C3D93"/>
    <w:rsid w:val="007C471A"/>
    <w:rsid w:val="007C49E4"/>
    <w:rsid w:val="007C4FE6"/>
    <w:rsid w:val="007C5688"/>
    <w:rsid w:val="007C67A2"/>
    <w:rsid w:val="007C6E65"/>
    <w:rsid w:val="007C6F55"/>
    <w:rsid w:val="007C7313"/>
    <w:rsid w:val="007C733D"/>
    <w:rsid w:val="007C7917"/>
    <w:rsid w:val="007D0A57"/>
    <w:rsid w:val="007D2E71"/>
    <w:rsid w:val="007D3017"/>
    <w:rsid w:val="007D502F"/>
    <w:rsid w:val="007D5579"/>
    <w:rsid w:val="007D680D"/>
    <w:rsid w:val="007D6AC4"/>
    <w:rsid w:val="007D6C06"/>
    <w:rsid w:val="007D709C"/>
    <w:rsid w:val="007E0BC4"/>
    <w:rsid w:val="007E166B"/>
    <w:rsid w:val="007E181E"/>
    <w:rsid w:val="007E2202"/>
    <w:rsid w:val="007E2357"/>
    <w:rsid w:val="007E24CC"/>
    <w:rsid w:val="007E3A28"/>
    <w:rsid w:val="007E4138"/>
    <w:rsid w:val="007E4E3D"/>
    <w:rsid w:val="007E4E59"/>
    <w:rsid w:val="007E505B"/>
    <w:rsid w:val="007E5A74"/>
    <w:rsid w:val="007E62F2"/>
    <w:rsid w:val="007E704C"/>
    <w:rsid w:val="007E77A1"/>
    <w:rsid w:val="007E7B58"/>
    <w:rsid w:val="007F0098"/>
    <w:rsid w:val="007F099A"/>
    <w:rsid w:val="007F116F"/>
    <w:rsid w:val="007F1316"/>
    <w:rsid w:val="007F14BE"/>
    <w:rsid w:val="007F1ACD"/>
    <w:rsid w:val="007F2C7C"/>
    <w:rsid w:val="007F446D"/>
    <w:rsid w:val="007F5A67"/>
    <w:rsid w:val="007F5BAA"/>
    <w:rsid w:val="007F785E"/>
    <w:rsid w:val="007F78B3"/>
    <w:rsid w:val="00801446"/>
    <w:rsid w:val="008017F7"/>
    <w:rsid w:val="00803C4A"/>
    <w:rsid w:val="00804875"/>
    <w:rsid w:val="008051C1"/>
    <w:rsid w:val="00805D03"/>
    <w:rsid w:val="008061EE"/>
    <w:rsid w:val="00807248"/>
    <w:rsid w:val="00807415"/>
    <w:rsid w:val="0081027F"/>
    <w:rsid w:val="00810B83"/>
    <w:rsid w:val="008113A6"/>
    <w:rsid w:val="00811C9B"/>
    <w:rsid w:val="00813ADF"/>
    <w:rsid w:val="00813B6D"/>
    <w:rsid w:val="00813D99"/>
    <w:rsid w:val="00814BB4"/>
    <w:rsid w:val="0081540E"/>
    <w:rsid w:val="008156F5"/>
    <w:rsid w:val="00817127"/>
    <w:rsid w:val="00817D76"/>
    <w:rsid w:val="00821ABB"/>
    <w:rsid w:val="00821D64"/>
    <w:rsid w:val="00822B15"/>
    <w:rsid w:val="0082303A"/>
    <w:rsid w:val="00823707"/>
    <w:rsid w:val="00823F7A"/>
    <w:rsid w:val="008243CD"/>
    <w:rsid w:val="00825F28"/>
    <w:rsid w:val="008269D0"/>
    <w:rsid w:val="00827530"/>
    <w:rsid w:val="00830A43"/>
    <w:rsid w:val="0083141A"/>
    <w:rsid w:val="008328AF"/>
    <w:rsid w:val="008329E8"/>
    <w:rsid w:val="0083318F"/>
    <w:rsid w:val="008337F3"/>
    <w:rsid w:val="00833F28"/>
    <w:rsid w:val="0083656E"/>
    <w:rsid w:val="00840990"/>
    <w:rsid w:val="00840FDC"/>
    <w:rsid w:val="0084207E"/>
    <w:rsid w:val="008421DA"/>
    <w:rsid w:val="00842B48"/>
    <w:rsid w:val="00843B72"/>
    <w:rsid w:val="008456C4"/>
    <w:rsid w:val="00847121"/>
    <w:rsid w:val="00852502"/>
    <w:rsid w:val="00852F61"/>
    <w:rsid w:val="00853017"/>
    <w:rsid w:val="00853CA5"/>
    <w:rsid w:val="00853D2B"/>
    <w:rsid w:val="00861605"/>
    <w:rsid w:val="00861E56"/>
    <w:rsid w:val="008637DC"/>
    <w:rsid w:val="00866136"/>
    <w:rsid w:val="0086645C"/>
    <w:rsid w:val="00871954"/>
    <w:rsid w:val="00871ADA"/>
    <w:rsid w:val="00872923"/>
    <w:rsid w:val="00872B46"/>
    <w:rsid w:val="00873B93"/>
    <w:rsid w:val="00873D2B"/>
    <w:rsid w:val="0087410B"/>
    <w:rsid w:val="0087418C"/>
    <w:rsid w:val="00874272"/>
    <w:rsid w:val="00877796"/>
    <w:rsid w:val="008778C0"/>
    <w:rsid w:val="0088015B"/>
    <w:rsid w:val="0088033C"/>
    <w:rsid w:val="00880B4B"/>
    <w:rsid w:val="0088240D"/>
    <w:rsid w:val="00882896"/>
    <w:rsid w:val="0088391F"/>
    <w:rsid w:val="00883BFB"/>
    <w:rsid w:val="0088437E"/>
    <w:rsid w:val="0088509F"/>
    <w:rsid w:val="00885A97"/>
    <w:rsid w:val="00886FD2"/>
    <w:rsid w:val="00887836"/>
    <w:rsid w:val="00887BB0"/>
    <w:rsid w:val="0089034D"/>
    <w:rsid w:val="0089047D"/>
    <w:rsid w:val="0089051C"/>
    <w:rsid w:val="0089084C"/>
    <w:rsid w:val="0089248C"/>
    <w:rsid w:val="00894712"/>
    <w:rsid w:val="0089497A"/>
    <w:rsid w:val="00894C68"/>
    <w:rsid w:val="00896726"/>
    <w:rsid w:val="008968E7"/>
    <w:rsid w:val="00896917"/>
    <w:rsid w:val="00896A23"/>
    <w:rsid w:val="00896ADA"/>
    <w:rsid w:val="008A14BB"/>
    <w:rsid w:val="008A210F"/>
    <w:rsid w:val="008A3039"/>
    <w:rsid w:val="008A4DA7"/>
    <w:rsid w:val="008A6E15"/>
    <w:rsid w:val="008A74C2"/>
    <w:rsid w:val="008A7BC7"/>
    <w:rsid w:val="008B021A"/>
    <w:rsid w:val="008B11A8"/>
    <w:rsid w:val="008B1565"/>
    <w:rsid w:val="008B16E9"/>
    <w:rsid w:val="008B298B"/>
    <w:rsid w:val="008B3971"/>
    <w:rsid w:val="008B3B0B"/>
    <w:rsid w:val="008B4CE1"/>
    <w:rsid w:val="008B5634"/>
    <w:rsid w:val="008B581C"/>
    <w:rsid w:val="008B655F"/>
    <w:rsid w:val="008B7A3B"/>
    <w:rsid w:val="008B7AE0"/>
    <w:rsid w:val="008B7F82"/>
    <w:rsid w:val="008C07AF"/>
    <w:rsid w:val="008C2040"/>
    <w:rsid w:val="008C3666"/>
    <w:rsid w:val="008C63EA"/>
    <w:rsid w:val="008C6913"/>
    <w:rsid w:val="008C702E"/>
    <w:rsid w:val="008C7805"/>
    <w:rsid w:val="008D10E8"/>
    <w:rsid w:val="008D15B8"/>
    <w:rsid w:val="008D160F"/>
    <w:rsid w:val="008D1690"/>
    <w:rsid w:val="008D2152"/>
    <w:rsid w:val="008D2174"/>
    <w:rsid w:val="008D5014"/>
    <w:rsid w:val="008D63DC"/>
    <w:rsid w:val="008D6765"/>
    <w:rsid w:val="008D6B59"/>
    <w:rsid w:val="008D7050"/>
    <w:rsid w:val="008E091F"/>
    <w:rsid w:val="008E0DB5"/>
    <w:rsid w:val="008E0FD9"/>
    <w:rsid w:val="008E14DD"/>
    <w:rsid w:val="008E2FE3"/>
    <w:rsid w:val="008E341A"/>
    <w:rsid w:val="008E3458"/>
    <w:rsid w:val="008E3BDD"/>
    <w:rsid w:val="008E3BEE"/>
    <w:rsid w:val="008E409A"/>
    <w:rsid w:val="008E4B3E"/>
    <w:rsid w:val="008E5D4A"/>
    <w:rsid w:val="008E70C6"/>
    <w:rsid w:val="008E7746"/>
    <w:rsid w:val="008F019F"/>
    <w:rsid w:val="008F07C8"/>
    <w:rsid w:val="008F22E5"/>
    <w:rsid w:val="008F2737"/>
    <w:rsid w:val="008F3E6F"/>
    <w:rsid w:val="008F40C5"/>
    <w:rsid w:val="008F47BA"/>
    <w:rsid w:val="008F6BE8"/>
    <w:rsid w:val="008F7531"/>
    <w:rsid w:val="00903609"/>
    <w:rsid w:val="00903A65"/>
    <w:rsid w:val="00903DC3"/>
    <w:rsid w:val="009042BB"/>
    <w:rsid w:val="0090469D"/>
    <w:rsid w:val="00904D3B"/>
    <w:rsid w:val="00904D3F"/>
    <w:rsid w:val="00905C1F"/>
    <w:rsid w:val="0090608F"/>
    <w:rsid w:val="009069C9"/>
    <w:rsid w:val="00907427"/>
    <w:rsid w:val="00907A0A"/>
    <w:rsid w:val="00907F68"/>
    <w:rsid w:val="009120EC"/>
    <w:rsid w:val="00912CBA"/>
    <w:rsid w:val="0091369C"/>
    <w:rsid w:val="0091430B"/>
    <w:rsid w:val="00914999"/>
    <w:rsid w:val="0091513F"/>
    <w:rsid w:val="00915901"/>
    <w:rsid w:val="00915ACB"/>
    <w:rsid w:val="009163FB"/>
    <w:rsid w:val="00916415"/>
    <w:rsid w:val="00920248"/>
    <w:rsid w:val="00920D17"/>
    <w:rsid w:val="009227FC"/>
    <w:rsid w:val="00923361"/>
    <w:rsid w:val="00923FFD"/>
    <w:rsid w:val="0092635A"/>
    <w:rsid w:val="0092688A"/>
    <w:rsid w:val="00927488"/>
    <w:rsid w:val="0092749C"/>
    <w:rsid w:val="00930290"/>
    <w:rsid w:val="00930E18"/>
    <w:rsid w:val="00930F9E"/>
    <w:rsid w:val="009312F1"/>
    <w:rsid w:val="00931A6B"/>
    <w:rsid w:val="00935EFB"/>
    <w:rsid w:val="009369C0"/>
    <w:rsid w:val="00936B53"/>
    <w:rsid w:val="0094031B"/>
    <w:rsid w:val="00940D51"/>
    <w:rsid w:val="00941A02"/>
    <w:rsid w:val="00942397"/>
    <w:rsid w:val="009429F7"/>
    <w:rsid w:val="00942F09"/>
    <w:rsid w:val="00942FA1"/>
    <w:rsid w:val="00943932"/>
    <w:rsid w:val="00943F7D"/>
    <w:rsid w:val="00944514"/>
    <w:rsid w:val="009449F2"/>
    <w:rsid w:val="0094648E"/>
    <w:rsid w:val="00947487"/>
    <w:rsid w:val="00950D05"/>
    <w:rsid w:val="00950F53"/>
    <w:rsid w:val="00951696"/>
    <w:rsid w:val="00951D00"/>
    <w:rsid w:val="00952232"/>
    <w:rsid w:val="009529B2"/>
    <w:rsid w:val="00952BE2"/>
    <w:rsid w:val="00953A11"/>
    <w:rsid w:val="009546A8"/>
    <w:rsid w:val="009563FF"/>
    <w:rsid w:val="0095643E"/>
    <w:rsid w:val="0095670B"/>
    <w:rsid w:val="00956EA8"/>
    <w:rsid w:val="00956F69"/>
    <w:rsid w:val="00960A8F"/>
    <w:rsid w:val="009628E3"/>
    <w:rsid w:val="00962D9E"/>
    <w:rsid w:val="009636E6"/>
    <w:rsid w:val="00964B57"/>
    <w:rsid w:val="00965CCA"/>
    <w:rsid w:val="0097029E"/>
    <w:rsid w:val="009710F8"/>
    <w:rsid w:val="00972F28"/>
    <w:rsid w:val="00973962"/>
    <w:rsid w:val="0097459A"/>
    <w:rsid w:val="009748BB"/>
    <w:rsid w:val="0097574B"/>
    <w:rsid w:val="00975AAF"/>
    <w:rsid w:val="00975B3A"/>
    <w:rsid w:val="00976F49"/>
    <w:rsid w:val="00980330"/>
    <w:rsid w:val="009803FE"/>
    <w:rsid w:val="00980E0C"/>
    <w:rsid w:val="00981A06"/>
    <w:rsid w:val="00982C36"/>
    <w:rsid w:val="00983436"/>
    <w:rsid w:val="009850FE"/>
    <w:rsid w:val="00985789"/>
    <w:rsid w:val="00985CE7"/>
    <w:rsid w:val="0098671D"/>
    <w:rsid w:val="0098674F"/>
    <w:rsid w:val="0098738B"/>
    <w:rsid w:val="009874E5"/>
    <w:rsid w:val="00990EB7"/>
    <w:rsid w:val="00995764"/>
    <w:rsid w:val="00996C53"/>
    <w:rsid w:val="009975A3"/>
    <w:rsid w:val="009976F5"/>
    <w:rsid w:val="009A05CE"/>
    <w:rsid w:val="009A0955"/>
    <w:rsid w:val="009A13C5"/>
    <w:rsid w:val="009A1B8D"/>
    <w:rsid w:val="009A36EE"/>
    <w:rsid w:val="009A37C9"/>
    <w:rsid w:val="009A389D"/>
    <w:rsid w:val="009A3B3C"/>
    <w:rsid w:val="009A432E"/>
    <w:rsid w:val="009A477A"/>
    <w:rsid w:val="009A6582"/>
    <w:rsid w:val="009A6784"/>
    <w:rsid w:val="009A67A5"/>
    <w:rsid w:val="009B0206"/>
    <w:rsid w:val="009B0511"/>
    <w:rsid w:val="009B0633"/>
    <w:rsid w:val="009B17CA"/>
    <w:rsid w:val="009B3669"/>
    <w:rsid w:val="009B53C8"/>
    <w:rsid w:val="009B718C"/>
    <w:rsid w:val="009B79E3"/>
    <w:rsid w:val="009C0503"/>
    <w:rsid w:val="009C08E6"/>
    <w:rsid w:val="009C0DDA"/>
    <w:rsid w:val="009C1E12"/>
    <w:rsid w:val="009C216E"/>
    <w:rsid w:val="009C278E"/>
    <w:rsid w:val="009C30AC"/>
    <w:rsid w:val="009C3432"/>
    <w:rsid w:val="009C3B32"/>
    <w:rsid w:val="009C3D9D"/>
    <w:rsid w:val="009C512A"/>
    <w:rsid w:val="009C5AE9"/>
    <w:rsid w:val="009C631C"/>
    <w:rsid w:val="009C66E2"/>
    <w:rsid w:val="009C6C73"/>
    <w:rsid w:val="009C73AA"/>
    <w:rsid w:val="009D0155"/>
    <w:rsid w:val="009D0C86"/>
    <w:rsid w:val="009D1A5D"/>
    <w:rsid w:val="009D1F8F"/>
    <w:rsid w:val="009D218F"/>
    <w:rsid w:val="009D2373"/>
    <w:rsid w:val="009D436C"/>
    <w:rsid w:val="009D4523"/>
    <w:rsid w:val="009D4E9F"/>
    <w:rsid w:val="009D5298"/>
    <w:rsid w:val="009D6114"/>
    <w:rsid w:val="009D68F9"/>
    <w:rsid w:val="009E0BAA"/>
    <w:rsid w:val="009E0E0D"/>
    <w:rsid w:val="009E255A"/>
    <w:rsid w:val="009E278B"/>
    <w:rsid w:val="009E2A99"/>
    <w:rsid w:val="009E36B5"/>
    <w:rsid w:val="009E3788"/>
    <w:rsid w:val="009E3AD5"/>
    <w:rsid w:val="009E3BDC"/>
    <w:rsid w:val="009E53C8"/>
    <w:rsid w:val="009E6560"/>
    <w:rsid w:val="009E6575"/>
    <w:rsid w:val="009F1FF3"/>
    <w:rsid w:val="009F26CE"/>
    <w:rsid w:val="009F2F7A"/>
    <w:rsid w:val="009F54D4"/>
    <w:rsid w:val="009F783B"/>
    <w:rsid w:val="009F7D19"/>
    <w:rsid w:val="009F7F3E"/>
    <w:rsid w:val="00A00172"/>
    <w:rsid w:val="00A0140F"/>
    <w:rsid w:val="00A0159A"/>
    <w:rsid w:val="00A01930"/>
    <w:rsid w:val="00A0212A"/>
    <w:rsid w:val="00A0286C"/>
    <w:rsid w:val="00A029C4"/>
    <w:rsid w:val="00A02AB6"/>
    <w:rsid w:val="00A042B0"/>
    <w:rsid w:val="00A046FC"/>
    <w:rsid w:val="00A04AD9"/>
    <w:rsid w:val="00A068F9"/>
    <w:rsid w:val="00A14E03"/>
    <w:rsid w:val="00A14EA5"/>
    <w:rsid w:val="00A15236"/>
    <w:rsid w:val="00A15536"/>
    <w:rsid w:val="00A16459"/>
    <w:rsid w:val="00A168ED"/>
    <w:rsid w:val="00A21D81"/>
    <w:rsid w:val="00A21E6B"/>
    <w:rsid w:val="00A21EF8"/>
    <w:rsid w:val="00A21F0E"/>
    <w:rsid w:val="00A224DB"/>
    <w:rsid w:val="00A232E5"/>
    <w:rsid w:val="00A23B6D"/>
    <w:rsid w:val="00A24466"/>
    <w:rsid w:val="00A246A8"/>
    <w:rsid w:val="00A24CE6"/>
    <w:rsid w:val="00A24EF0"/>
    <w:rsid w:val="00A2522C"/>
    <w:rsid w:val="00A25666"/>
    <w:rsid w:val="00A26AB8"/>
    <w:rsid w:val="00A26E21"/>
    <w:rsid w:val="00A30090"/>
    <w:rsid w:val="00A326CA"/>
    <w:rsid w:val="00A34C06"/>
    <w:rsid w:val="00A35E86"/>
    <w:rsid w:val="00A365CD"/>
    <w:rsid w:val="00A36D58"/>
    <w:rsid w:val="00A37EBF"/>
    <w:rsid w:val="00A402AC"/>
    <w:rsid w:val="00A40699"/>
    <w:rsid w:val="00A40869"/>
    <w:rsid w:val="00A409C3"/>
    <w:rsid w:val="00A41AF8"/>
    <w:rsid w:val="00A42A8A"/>
    <w:rsid w:val="00A42CC2"/>
    <w:rsid w:val="00A430AD"/>
    <w:rsid w:val="00A4370A"/>
    <w:rsid w:val="00A440AA"/>
    <w:rsid w:val="00A45710"/>
    <w:rsid w:val="00A458DE"/>
    <w:rsid w:val="00A503F0"/>
    <w:rsid w:val="00A50D6F"/>
    <w:rsid w:val="00A50DFB"/>
    <w:rsid w:val="00A52E16"/>
    <w:rsid w:val="00A53532"/>
    <w:rsid w:val="00A53CBC"/>
    <w:rsid w:val="00A5423E"/>
    <w:rsid w:val="00A543A4"/>
    <w:rsid w:val="00A54683"/>
    <w:rsid w:val="00A54798"/>
    <w:rsid w:val="00A55A0B"/>
    <w:rsid w:val="00A60E32"/>
    <w:rsid w:val="00A61970"/>
    <w:rsid w:val="00A61B79"/>
    <w:rsid w:val="00A6273B"/>
    <w:rsid w:val="00A63C90"/>
    <w:rsid w:val="00A64155"/>
    <w:rsid w:val="00A65961"/>
    <w:rsid w:val="00A6688F"/>
    <w:rsid w:val="00A70C73"/>
    <w:rsid w:val="00A70FEA"/>
    <w:rsid w:val="00A710FF"/>
    <w:rsid w:val="00A7130E"/>
    <w:rsid w:val="00A7159C"/>
    <w:rsid w:val="00A718EC"/>
    <w:rsid w:val="00A725B0"/>
    <w:rsid w:val="00A7316B"/>
    <w:rsid w:val="00A7444A"/>
    <w:rsid w:val="00A74DE8"/>
    <w:rsid w:val="00A751B4"/>
    <w:rsid w:val="00A7564C"/>
    <w:rsid w:val="00A75FD2"/>
    <w:rsid w:val="00A77D24"/>
    <w:rsid w:val="00A80AD2"/>
    <w:rsid w:val="00A814DA"/>
    <w:rsid w:val="00A8179B"/>
    <w:rsid w:val="00A83213"/>
    <w:rsid w:val="00A83874"/>
    <w:rsid w:val="00A844F2"/>
    <w:rsid w:val="00A8524D"/>
    <w:rsid w:val="00A854CC"/>
    <w:rsid w:val="00A8568F"/>
    <w:rsid w:val="00A8580C"/>
    <w:rsid w:val="00A8591F"/>
    <w:rsid w:val="00A85A28"/>
    <w:rsid w:val="00A85E48"/>
    <w:rsid w:val="00A86408"/>
    <w:rsid w:val="00A872B1"/>
    <w:rsid w:val="00A87D35"/>
    <w:rsid w:val="00A90AB2"/>
    <w:rsid w:val="00A90E1F"/>
    <w:rsid w:val="00A91CE8"/>
    <w:rsid w:val="00A93995"/>
    <w:rsid w:val="00A953E1"/>
    <w:rsid w:val="00A959BA"/>
    <w:rsid w:val="00A96921"/>
    <w:rsid w:val="00A972AA"/>
    <w:rsid w:val="00A975B5"/>
    <w:rsid w:val="00A97EB2"/>
    <w:rsid w:val="00A97EC8"/>
    <w:rsid w:val="00AA0C8F"/>
    <w:rsid w:val="00AA125B"/>
    <w:rsid w:val="00AA1D80"/>
    <w:rsid w:val="00AA417E"/>
    <w:rsid w:val="00AA4D52"/>
    <w:rsid w:val="00AA4DBB"/>
    <w:rsid w:val="00AA54BA"/>
    <w:rsid w:val="00AA6433"/>
    <w:rsid w:val="00AB3ACE"/>
    <w:rsid w:val="00AB4D91"/>
    <w:rsid w:val="00AB4EF1"/>
    <w:rsid w:val="00AB76DD"/>
    <w:rsid w:val="00AC0045"/>
    <w:rsid w:val="00AC0086"/>
    <w:rsid w:val="00AC1AD6"/>
    <w:rsid w:val="00AC1F34"/>
    <w:rsid w:val="00AC5BCC"/>
    <w:rsid w:val="00AC6440"/>
    <w:rsid w:val="00AC680D"/>
    <w:rsid w:val="00AC6A07"/>
    <w:rsid w:val="00AC6B79"/>
    <w:rsid w:val="00AC6D16"/>
    <w:rsid w:val="00AC7838"/>
    <w:rsid w:val="00AC7EA5"/>
    <w:rsid w:val="00AD05FD"/>
    <w:rsid w:val="00AD2362"/>
    <w:rsid w:val="00AD2D1A"/>
    <w:rsid w:val="00AD3018"/>
    <w:rsid w:val="00AD6039"/>
    <w:rsid w:val="00AD6302"/>
    <w:rsid w:val="00AD6BF0"/>
    <w:rsid w:val="00AD73FD"/>
    <w:rsid w:val="00AD7812"/>
    <w:rsid w:val="00AE0D05"/>
    <w:rsid w:val="00AE0E90"/>
    <w:rsid w:val="00AE1E02"/>
    <w:rsid w:val="00AE27BD"/>
    <w:rsid w:val="00AE4158"/>
    <w:rsid w:val="00AE49FF"/>
    <w:rsid w:val="00AE61A7"/>
    <w:rsid w:val="00AF00BA"/>
    <w:rsid w:val="00AF0E7F"/>
    <w:rsid w:val="00AF14CF"/>
    <w:rsid w:val="00AF28F3"/>
    <w:rsid w:val="00AF3C75"/>
    <w:rsid w:val="00AF4808"/>
    <w:rsid w:val="00AF4998"/>
    <w:rsid w:val="00AF5F06"/>
    <w:rsid w:val="00AF61D7"/>
    <w:rsid w:val="00B00391"/>
    <w:rsid w:val="00B00B4B"/>
    <w:rsid w:val="00B0155A"/>
    <w:rsid w:val="00B0269B"/>
    <w:rsid w:val="00B02E7A"/>
    <w:rsid w:val="00B034CE"/>
    <w:rsid w:val="00B05BE3"/>
    <w:rsid w:val="00B070E2"/>
    <w:rsid w:val="00B0780A"/>
    <w:rsid w:val="00B105E2"/>
    <w:rsid w:val="00B10643"/>
    <w:rsid w:val="00B10A23"/>
    <w:rsid w:val="00B10AD0"/>
    <w:rsid w:val="00B10E10"/>
    <w:rsid w:val="00B10E6D"/>
    <w:rsid w:val="00B10FC5"/>
    <w:rsid w:val="00B11346"/>
    <w:rsid w:val="00B119B7"/>
    <w:rsid w:val="00B11A51"/>
    <w:rsid w:val="00B1273E"/>
    <w:rsid w:val="00B12878"/>
    <w:rsid w:val="00B1367B"/>
    <w:rsid w:val="00B155A6"/>
    <w:rsid w:val="00B15BBF"/>
    <w:rsid w:val="00B15C92"/>
    <w:rsid w:val="00B16B22"/>
    <w:rsid w:val="00B179C6"/>
    <w:rsid w:val="00B17F12"/>
    <w:rsid w:val="00B20248"/>
    <w:rsid w:val="00B20A76"/>
    <w:rsid w:val="00B2214F"/>
    <w:rsid w:val="00B224D7"/>
    <w:rsid w:val="00B234CB"/>
    <w:rsid w:val="00B25945"/>
    <w:rsid w:val="00B262C7"/>
    <w:rsid w:val="00B26EF9"/>
    <w:rsid w:val="00B27A48"/>
    <w:rsid w:val="00B27D70"/>
    <w:rsid w:val="00B30015"/>
    <w:rsid w:val="00B33402"/>
    <w:rsid w:val="00B34880"/>
    <w:rsid w:val="00B349D0"/>
    <w:rsid w:val="00B35134"/>
    <w:rsid w:val="00B35890"/>
    <w:rsid w:val="00B35AEC"/>
    <w:rsid w:val="00B376D4"/>
    <w:rsid w:val="00B3777F"/>
    <w:rsid w:val="00B37984"/>
    <w:rsid w:val="00B40736"/>
    <w:rsid w:val="00B418DD"/>
    <w:rsid w:val="00B41EA4"/>
    <w:rsid w:val="00B42B7D"/>
    <w:rsid w:val="00B43C1D"/>
    <w:rsid w:val="00B43C45"/>
    <w:rsid w:val="00B441E4"/>
    <w:rsid w:val="00B45F54"/>
    <w:rsid w:val="00B46314"/>
    <w:rsid w:val="00B4669E"/>
    <w:rsid w:val="00B4681A"/>
    <w:rsid w:val="00B50B83"/>
    <w:rsid w:val="00B52655"/>
    <w:rsid w:val="00B52BD1"/>
    <w:rsid w:val="00B53B12"/>
    <w:rsid w:val="00B53BE9"/>
    <w:rsid w:val="00B5414E"/>
    <w:rsid w:val="00B54E5F"/>
    <w:rsid w:val="00B54F7E"/>
    <w:rsid w:val="00B55CD3"/>
    <w:rsid w:val="00B5649E"/>
    <w:rsid w:val="00B6001A"/>
    <w:rsid w:val="00B6303C"/>
    <w:rsid w:val="00B64804"/>
    <w:rsid w:val="00B64CCD"/>
    <w:rsid w:val="00B64D97"/>
    <w:rsid w:val="00B660BB"/>
    <w:rsid w:val="00B660D6"/>
    <w:rsid w:val="00B665B6"/>
    <w:rsid w:val="00B67633"/>
    <w:rsid w:val="00B6799F"/>
    <w:rsid w:val="00B67BF3"/>
    <w:rsid w:val="00B72613"/>
    <w:rsid w:val="00B72922"/>
    <w:rsid w:val="00B72ED9"/>
    <w:rsid w:val="00B73CD1"/>
    <w:rsid w:val="00B73D71"/>
    <w:rsid w:val="00B7527D"/>
    <w:rsid w:val="00B77176"/>
    <w:rsid w:val="00B77367"/>
    <w:rsid w:val="00B8040A"/>
    <w:rsid w:val="00B817B3"/>
    <w:rsid w:val="00B8189D"/>
    <w:rsid w:val="00B81E59"/>
    <w:rsid w:val="00B81EFC"/>
    <w:rsid w:val="00B82172"/>
    <w:rsid w:val="00B8301E"/>
    <w:rsid w:val="00B833E4"/>
    <w:rsid w:val="00B833F2"/>
    <w:rsid w:val="00B846BC"/>
    <w:rsid w:val="00B852E7"/>
    <w:rsid w:val="00B858E4"/>
    <w:rsid w:val="00B85C11"/>
    <w:rsid w:val="00B90F54"/>
    <w:rsid w:val="00B9103F"/>
    <w:rsid w:val="00B91E55"/>
    <w:rsid w:val="00B92BD4"/>
    <w:rsid w:val="00B94B86"/>
    <w:rsid w:val="00B94F37"/>
    <w:rsid w:val="00B965EF"/>
    <w:rsid w:val="00BA0AD4"/>
    <w:rsid w:val="00BA110E"/>
    <w:rsid w:val="00BA20AA"/>
    <w:rsid w:val="00BA3967"/>
    <w:rsid w:val="00BA411F"/>
    <w:rsid w:val="00BA4EC3"/>
    <w:rsid w:val="00BA53E4"/>
    <w:rsid w:val="00BA551F"/>
    <w:rsid w:val="00BA629C"/>
    <w:rsid w:val="00BA65C1"/>
    <w:rsid w:val="00BA6793"/>
    <w:rsid w:val="00BA6E32"/>
    <w:rsid w:val="00BA7852"/>
    <w:rsid w:val="00BB0A35"/>
    <w:rsid w:val="00BB12AF"/>
    <w:rsid w:val="00BB159E"/>
    <w:rsid w:val="00BB534E"/>
    <w:rsid w:val="00BB5E7B"/>
    <w:rsid w:val="00BB67CF"/>
    <w:rsid w:val="00BB6D79"/>
    <w:rsid w:val="00BB6D81"/>
    <w:rsid w:val="00BB6ED9"/>
    <w:rsid w:val="00BB79BB"/>
    <w:rsid w:val="00BB7AC4"/>
    <w:rsid w:val="00BC0F95"/>
    <w:rsid w:val="00BC12EA"/>
    <w:rsid w:val="00BC1551"/>
    <w:rsid w:val="00BC158C"/>
    <w:rsid w:val="00BC2AFC"/>
    <w:rsid w:val="00BC385E"/>
    <w:rsid w:val="00BC3896"/>
    <w:rsid w:val="00BC3F27"/>
    <w:rsid w:val="00BC43D0"/>
    <w:rsid w:val="00BC54A0"/>
    <w:rsid w:val="00BC74CB"/>
    <w:rsid w:val="00BD0EC1"/>
    <w:rsid w:val="00BD15E1"/>
    <w:rsid w:val="00BD1A58"/>
    <w:rsid w:val="00BD2196"/>
    <w:rsid w:val="00BD2FE6"/>
    <w:rsid w:val="00BD39F2"/>
    <w:rsid w:val="00BD3C25"/>
    <w:rsid w:val="00BD5349"/>
    <w:rsid w:val="00BD5FB6"/>
    <w:rsid w:val="00BD6265"/>
    <w:rsid w:val="00BD6684"/>
    <w:rsid w:val="00BD7258"/>
    <w:rsid w:val="00BE0BFE"/>
    <w:rsid w:val="00BE1713"/>
    <w:rsid w:val="00BE1F88"/>
    <w:rsid w:val="00BE1F96"/>
    <w:rsid w:val="00BE203F"/>
    <w:rsid w:val="00BE28E4"/>
    <w:rsid w:val="00BE3E24"/>
    <w:rsid w:val="00BE457B"/>
    <w:rsid w:val="00BE4C1C"/>
    <w:rsid w:val="00BE6517"/>
    <w:rsid w:val="00BE6928"/>
    <w:rsid w:val="00BE6C47"/>
    <w:rsid w:val="00BE7B16"/>
    <w:rsid w:val="00BF02BB"/>
    <w:rsid w:val="00BF3004"/>
    <w:rsid w:val="00BF3DA7"/>
    <w:rsid w:val="00BF49A4"/>
    <w:rsid w:val="00BF5648"/>
    <w:rsid w:val="00BF58C8"/>
    <w:rsid w:val="00BF5AEC"/>
    <w:rsid w:val="00BF6518"/>
    <w:rsid w:val="00BF73BB"/>
    <w:rsid w:val="00BF7BB3"/>
    <w:rsid w:val="00C001EB"/>
    <w:rsid w:val="00C00863"/>
    <w:rsid w:val="00C00C20"/>
    <w:rsid w:val="00C01F9E"/>
    <w:rsid w:val="00C02A87"/>
    <w:rsid w:val="00C02F63"/>
    <w:rsid w:val="00C0440B"/>
    <w:rsid w:val="00C049CB"/>
    <w:rsid w:val="00C058B8"/>
    <w:rsid w:val="00C05F8B"/>
    <w:rsid w:val="00C06CE5"/>
    <w:rsid w:val="00C072E4"/>
    <w:rsid w:val="00C079A4"/>
    <w:rsid w:val="00C07C64"/>
    <w:rsid w:val="00C11CF1"/>
    <w:rsid w:val="00C125D4"/>
    <w:rsid w:val="00C126C9"/>
    <w:rsid w:val="00C12DA5"/>
    <w:rsid w:val="00C13337"/>
    <w:rsid w:val="00C13DDF"/>
    <w:rsid w:val="00C15041"/>
    <w:rsid w:val="00C15480"/>
    <w:rsid w:val="00C155C2"/>
    <w:rsid w:val="00C15D27"/>
    <w:rsid w:val="00C16FBF"/>
    <w:rsid w:val="00C1789D"/>
    <w:rsid w:val="00C17B18"/>
    <w:rsid w:val="00C17C16"/>
    <w:rsid w:val="00C17E80"/>
    <w:rsid w:val="00C200E0"/>
    <w:rsid w:val="00C2019E"/>
    <w:rsid w:val="00C2142A"/>
    <w:rsid w:val="00C21BF7"/>
    <w:rsid w:val="00C22F96"/>
    <w:rsid w:val="00C23126"/>
    <w:rsid w:val="00C234C9"/>
    <w:rsid w:val="00C236E6"/>
    <w:rsid w:val="00C2399D"/>
    <w:rsid w:val="00C2407F"/>
    <w:rsid w:val="00C2437B"/>
    <w:rsid w:val="00C24C11"/>
    <w:rsid w:val="00C27BA8"/>
    <w:rsid w:val="00C3063B"/>
    <w:rsid w:val="00C31DE2"/>
    <w:rsid w:val="00C33424"/>
    <w:rsid w:val="00C34E43"/>
    <w:rsid w:val="00C35727"/>
    <w:rsid w:val="00C360C2"/>
    <w:rsid w:val="00C365A1"/>
    <w:rsid w:val="00C36996"/>
    <w:rsid w:val="00C37E05"/>
    <w:rsid w:val="00C4003A"/>
    <w:rsid w:val="00C4005A"/>
    <w:rsid w:val="00C41A14"/>
    <w:rsid w:val="00C41B15"/>
    <w:rsid w:val="00C41D5D"/>
    <w:rsid w:val="00C427C5"/>
    <w:rsid w:val="00C45CF7"/>
    <w:rsid w:val="00C466D1"/>
    <w:rsid w:val="00C46C49"/>
    <w:rsid w:val="00C46C9E"/>
    <w:rsid w:val="00C470DD"/>
    <w:rsid w:val="00C47AA7"/>
    <w:rsid w:val="00C504A1"/>
    <w:rsid w:val="00C51D35"/>
    <w:rsid w:val="00C524EC"/>
    <w:rsid w:val="00C53B0D"/>
    <w:rsid w:val="00C53CD5"/>
    <w:rsid w:val="00C5450B"/>
    <w:rsid w:val="00C548EF"/>
    <w:rsid w:val="00C549BC"/>
    <w:rsid w:val="00C60507"/>
    <w:rsid w:val="00C60DAC"/>
    <w:rsid w:val="00C610D1"/>
    <w:rsid w:val="00C613D3"/>
    <w:rsid w:val="00C618F7"/>
    <w:rsid w:val="00C61B20"/>
    <w:rsid w:val="00C633BE"/>
    <w:rsid w:val="00C64CF8"/>
    <w:rsid w:val="00C64D59"/>
    <w:rsid w:val="00C65E1B"/>
    <w:rsid w:val="00C66A1A"/>
    <w:rsid w:val="00C70181"/>
    <w:rsid w:val="00C715EB"/>
    <w:rsid w:val="00C731BC"/>
    <w:rsid w:val="00C73F70"/>
    <w:rsid w:val="00C752A1"/>
    <w:rsid w:val="00C758BD"/>
    <w:rsid w:val="00C75B92"/>
    <w:rsid w:val="00C76526"/>
    <w:rsid w:val="00C76A74"/>
    <w:rsid w:val="00C76C0E"/>
    <w:rsid w:val="00C8016A"/>
    <w:rsid w:val="00C81A62"/>
    <w:rsid w:val="00C82CEA"/>
    <w:rsid w:val="00C84165"/>
    <w:rsid w:val="00C846D3"/>
    <w:rsid w:val="00C86DCA"/>
    <w:rsid w:val="00C86F88"/>
    <w:rsid w:val="00C87F29"/>
    <w:rsid w:val="00C90726"/>
    <w:rsid w:val="00C916D2"/>
    <w:rsid w:val="00C91DF6"/>
    <w:rsid w:val="00C947AD"/>
    <w:rsid w:val="00C94C19"/>
    <w:rsid w:val="00C94EF1"/>
    <w:rsid w:val="00C9595D"/>
    <w:rsid w:val="00C974B0"/>
    <w:rsid w:val="00C9796D"/>
    <w:rsid w:val="00C97A24"/>
    <w:rsid w:val="00C97C6C"/>
    <w:rsid w:val="00CA1B2F"/>
    <w:rsid w:val="00CA2276"/>
    <w:rsid w:val="00CA2952"/>
    <w:rsid w:val="00CA2D5B"/>
    <w:rsid w:val="00CA3D5E"/>
    <w:rsid w:val="00CA4F2F"/>
    <w:rsid w:val="00CA52B9"/>
    <w:rsid w:val="00CA5407"/>
    <w:rsid w:val="00CA554C"/>
    <w:rsid w:val="00CA5930"/>
    <w:rsid w:val="00CA5979"/>
    <w:rsid w:val="00CA60B8"/>
    <w:rsid w:val="00CA616B"/>
    <w:rsid w:val="00CA661C"/>
    <w:rsid w:val="00CA727D"/>
    <w:rsid w:val="00CA7520"/>
    <w:rsid w:val="00CB0496"/>
    <w:rsid w:val="00CB1451"/>
    <w:rsid w:val="00CB3837"/>
    <w:rsid w:val="00CB3F66"/>
    <w:rsid w:val="00CB4202"/>
    <w:rsid w:val="00CB62DB"/>
    <w:rsid w:val="00CB639D"/>
    <w:rsid w:val="00CB6575"/>
    <w:rsid w:val="00CB6A38"/>
    <w:rsid w:val="00CC18E5"/>
    <w:rsid w:val="00CC292E"/>
    <w:rsid w:val="00CC3EE4"/>
    <w:rsid w:val="00CC5344"/>
    <w:rsid w:val="00CC5445"/>
    <w:rsid w:val="00CC5ED3"/>
    <w:rsid w:val="00CC670D"/>
    <w:rsid w:val="00CD05A9"/>
    <w:rsid w:val="00CD06CD"/>
    <w:rsid w:val="00CD2C08"/>
    <w:rsid w:val="00CD3418"/>
    <w:rsid w:val="00CD4E48"/>
    <w:rsid w:val="00CE042E"/>
    <w:rsid w:val="00CE0F9D"/>
    <w:rsid w:val="00CE2C86"/>
    <w:rsid w:val="00CE4B1D"/>
    <w:rsid w:val="00CE4BCB"/>
    <w:rsid w:val="00CE4C2B"/>
    <w:rsid w:val="00CE5008"/>
    <w:rsid w:val="00CE56C1"/>
    <w:rsid w:val="00CE7A13"/>
    <w:rsid w:val="00CF06DC"/>
    <w:rsid w:val="00CF0D98"/>
    <w:rsid w:val="00CF0EEB"/>
    <w:rsid w:val="00CF21B1"/>
    <w:rsid w:val="00CF463A"/>
    <w:rsid w:val="00CF46E5"/>
    <w:rsid w:val="00CF5C62"/>
    <w:rsid w:val="00CF6F60"/>
    <w:rsid w:val="00CF79D1"/>
    <w:rsid w:val="00D00158"/>
    <w:rsid w:val="00D003D6"/>
    <w:rsid w:val="00D0273B"/>
    <w:rsid w:val="00D02D22"/>
    <w:rsid w:val="00D034C5"/>
    <w:rsid w:val="00D0358A"/>
    <w:rsid w:val="00D04702"/>
    <w:rsid w:val="00D05A45"/>
    <w:rsid w:val="00D07E3F"/>
    <w:rsid w:val="00D104B3"/>
    <w:rsid w:val="00D113CF"/>
    <w:rsid w:val="00D130F5"/>
    <w:rsid w:val="00D13566"/>
    <w:rsid w:val="00D1419E"/>
    <w:rsid w:val="00D1475A"/>
    <w:rsid w:val="00D1590B"/>
    <w:rsid w:val="00D17517"/>
    <w:rsid w:val="00D177AF"/>
    <w:rsid w:val="00D17DAB"/>
    <w:rsid w:val="00D17F15"/>
    <w:rsid w:val="00D20137"/>
    <w:rsid w:val="00D204AB"/>
    <w:rsid w:val="00D205FE"/>
    <w:rsid w:val="00D2061F"/>
    <w:rsid w:val="00D2179D"/>
    <w:rsid w:val="00D21F40"/>
    <w:rsid w:val="00D22D90"/>
    <w:rsid w:val="00D22ECE"/>
    <w:rsid w:val="00D243B8"/>
    <w:rsid w:val="00D251F8"/>
    <w:rsid w:val="00D272B3"/>
    <w:rsid w:val="00D300AD"/>
    <w:rsid w:val="00D315F2"/>
    <w:rsid w:val="00D31FEC"/>
    <w:rsid w:val="00D32102"/>
    <w:rsid w:val="00D33112"/>
    <w:rsid w:val="00D33A12"/>
    <w:rsid w:val="00D3423A"/>
    <w:rsid w:val="00D349B1"/>
    <w:rsid w:val="00D34C57"/>
    <w:rsid w:val="00D368F5"/>
    <w:rsid w:val="00D41542"/>
    <w:rsid w:val="00D41B94"/>
    <w:rsid w:val="00D4328C"/>
    <w:rsid w:val="00D438AA"/>
    <w:rsid w:val="00D443CF"/>
    <w:rsid w:val="00D4496A"/>
    <w:rsid w:val="00D44C2E"/>
    <w:rsid w:val="00D44D07"/>
    <w:rsid w:val="00D44D0C"/>
    <w:rsid w:val="00D46A71"/>
    <w:rsid w:val="00D472B9"/>
    <w:rsid w:val="00D478FD"/>
    <w:rsid w:val="00D50BD8"/>
    <w:rsid w:val="00D50F5E"/>
    <w:rsid w:val="00D516AE"/>
    <w:rsid w:val="00D54411"/>
    <w:rsid w:val="00D55445"/>
    <w:rsid w:val="00D5562A"/>
    <w:rsid w:val="00D55940"/>
    <w:rsid w:val="00D56182"/>
    <w:rsid w:val="00D564E6"/>
    <w:rsid w:val="00D567D7"/>
    <w:rsid w:val="00D56894"/>
    <w:rsid w:val="00D5752F"/>
    <w:rsid w:val="00D57988"/>
    <w:rsid w:val="00D60F44"/>
    <w:rsid w:val="00D61673"/>
    <w:rsid w:val="00D622F0"/>
    <w:rsid w:val="00D625C1"/>
    <w:rsid w:val="00D62F6C"/>
    <w:rsid w:val="00D6411C"/>
    <w:rsid w:val="00D6552A"/>
    <w:rsid w:val="00D658BF"/>
    <w:rsid w:val="00D661D4"/>
    <w:rsid w:val="00D66A10"/>
    <w:rsid w:val="00D67159"/>
    <w:rsid w:val="00D67398"/>
    <w:rsid w:val="00D67B37"/>
    <w:rsid w:val="00D67E9B"/>
    <w:rsid w:val="00D70F82"/>
    <w:rsid w:val="00D71D1B"/>
    <w:rsid w:val="00D72328"/>
    <w:rsid w:val="00D7246C"/>
    <w:rsid w:val="00D725A7"/>
    <w:rsid w:val="00D72D2F"/>
    <w:rsid w:val="00D72E1C"/>
    <w:rsid w:val="00D73EFD"/>
    <w:rsid w:val="00D741E0"/>
    <w:rsid w:val="00D7750D"/>
    <w:rsid w:val="00D80A10"/>
    <w:rsid w:val="00D80C81"/>
    <w:rsid w:val="00D81411"/>
    <w:rsid w:val="00D81558"/>
    <w:rsid w:val="00D8196A"/>
    <w:rsid w:val="00D81A99"/>
    <w:rsid w:val="00D81B42"/>
    <w:rsid w:val="00D8266F"/>
    <w:rsid w:val="00D8292B"/>
    <w:rsid w:val="00D82DED"/>
    <w:rsid w:val="00D848FE"/>
    <w:rsid w:val="00D84B52"/>
    <w:rsid w:val="00D85B2D"/>
    <w:rsid w:val="00D86B3F"/>
    <w:rsid w:val="00D87288"/>
    <w:rsid w:val="00D872E7"/>
    <w:rsid w:val="00D90FA5"/>
    <w:rsid w:val="00D9133C"/>
    <w:rsid w:val="00D91461"/>
    <w:rsid w:val="00D921E0"/>
    <w:rsid w:val="00D934C5"/>
    <w:rsid w:val="00D93DF7"/>
    <w:rsid w:val="00D9400D"/>
    <w:rsid w:val="00D94E33"/>
    <w:rsid w:val="00D95133"/>
    <w:rsid w:val="00D95E18"/>
    <w:rsid w:val="00D96278"/>
    <w:rsid w:val="00D96B2C"/>
    <w:rsid w:val="00D96B8D"/>
    <w:rsid w:val="00D96C21"/>
    <w:rsid w:val="00D97439"/>
    <w:rsid w:val="00D97A6C"/>
    <w:rsid w:val="00DA3453"/>
    <w:rsid w:val="00DA3EA3"/>
    <w:rsid w:val="00DA4475"/>
    <w:rsid w:val="00DA4B87"/>
    <w:rsid w:val="00DA4ED6"/>
    <w:rsid w:val="00DA58F1"/>
    <w:rsid w:val="00DA6C75"/>
    <w:rsid w:val="00DA7595"/>
    <w:rsid w:val="00DB1B12"/>
    <w:rsid w:val="00DB3557"/>
    <w:rsid w:val="00DB37EA"/>
    <w:rsid w:val="00DB3C3C"/>
    <w:rsid w:val="00DB44C2"/>
    <w:rsid w:val="00DB56EC"/>
    <w:rsid w:val="00DB60CA"/>
    <w:rsid w:val="00DB6D9E"/>
    <w:rsid w:val="00DC0450"/>
    <w:rsid w:val="00DC177F"/>
    <w:rsid w:val="00DC206A"/>
    <w:rsid w:val="00DC262E"/>
    <w:rsid w:val="00DC30CC"/>
    <w:rsid w:val="00DC3519"/>
    <w:rsid w:val="00DC3AAF"/>
    <w:rsid w:val="00DC4052"/>
    <w:rsid w:val="00DC406E"/>
    <w:rsid w:val="00DC4A9B"/>
    <w:rsid w:val="00DC5079"/>
    <w:rsid w:val="00DC5A0C"/>
    <w:rsid w:val="00DC5D74"/>
    <w:rsid w:val="00DC6D89"/>
    <w:rsid w:val="00DD08BF"/>
    <w:rsid w:val="00DD0D7F"/>
    <w:rsid w:val="00DD1D96"/>
    <w:rsid w:val="00DD2690"/>
    <w:rsid w:val="00DD26CA"/>
    <w:rsid w:val="00DD30BA"/>
    <w:rsid w:val="00DD4099"/>
    <w:rsid w:val="00DD42F4"/>
    <w:rsid w:val="00DD46E7"/>
    <w:rsid w:val="00DD4C78"/>
    <w:rsid w:val="00DD5C6E"/>
    <w:rsid w:val="00DD7C41"/>
    <w:rsid w:val="00DE0B4F"/>
    <w:rsid w:val="00DE1909"/>
    <w:rsid w:val="00DE1E7B"/>
    <w:rsid w:val="00DE3275"/>
    <w:rsid w:val="00DE39E6"/>
    <w:rsid w:val="00DE438E"/>
    <w:rsid w:val="00DE49A3"/>
    <w:rsid w:val="00DE5113"/>
    <w:rsid w:val="00DE59E7"/>
    <w:rsid w:val="00DE6474"/>
    <w:rsid w:val="00DE6E67"/>
    <w:rsid w:val="00DF0126"/>
    <w:rsid w:val="00DF1AD7"/>
    <w:rsid w:val="00DF1FCA"/>
    <w:rsid w:val="00DF1FE4"/>
    <w:rsid w:val="00DF227C"/>
    <w:rsid w:val="00DF227F"/>
    <w:rsid w:val="00DF2E8D"/>
    <w:rsid w:val="00DF34A9"/>
    <w:rsid w:val="00DF4FD7"/>
    <w:rsid w:val="00DF578F"/>
    <w:rsid w:val="00DF72CA"/>
    <w:rsid w:val="00DF7A84"/>
    <w:rsid w:val="00E006D8"/>
    <w:rsid w:val="00E00AE4"/>
    <w:rsid w:val="00E015EF"/>
    <w:rsid w:val="00E01C4A"/>
    <w:rsid w:val="00E0603D"/>
    <w:rsid w:val="00E060FA"/>
    <w:rsid w:val="00E06274"/>
    <w:rsid w:val="00E065DF"/>
    <w:rsid w:val="00E0662F"/>
    <w:rsid w:val="00E06CD0"/>
    <w:rsid w:val="00E07384"/>
    <w:rsid w:val="00E07F39"/>
    <w:rsid w:val="00E1064D"/>
    <w:rsid w:val="00E10BA0"/>
    <w:rsid w:val="00E11A2A"/>
    <w:rsid w:val="00E12BE5"/>
    <w:rsid w:val="00E1364F"/>
    <w:rsid w:val="00E13881"/>
    <w:rsid w:val="00E14F49"/>
    <w:rsid w:val="00E156B8"/>
    <w:rsid w:val="00E15D99"/>
    <w:rsid w:val="00E169AA"/>
    <w:rsid w:val="00E170CA"/>
    <w:rsid w:val="00E17347"/>
    <w:rsid w:val="00E174C3"/>
    <w:rsid w:val="00E17638"/>
    <w:rsid w:val="00E17666"/>
    <w:rsid w:val="00E17EFD"/>
    <w:rsid w:val="00E201ED"/>
    <w:rsid w:val="00E2020C"/>
    <w:rsid w:val="00E22009"/>
    <w:rsid w:val="00E228BB"/>
    <w:rsid w:val="00E228EB"/>
    <w:rsid w:val="00E23853"/>
    <w:rsid w:val="00E239F3"/>
    <w:rsid w:val="00E25392"/>
    <w:rsid w:val="00E260C5"/>
    <w:rsid w:val="00E262D5"/>
    <w:rsid w:val="00E26F5D"/>
    <w:rsid w:val="00E30EF3"/>
    <w:rsid w:val="00E32AB3"/>
    <w:rsid w:val="00E33382"/>
    <w:rsid w:val="00E348EC"/>
    <w:rsid w:val="00E363AE"/>
    <w:rsid w:val="00E36CB5"/>
    <w:rsid w:val="00E40868"/>
    <w:rsid w:val="00E40BC4"/>
    <w:rsid w:val="00E40C20"/>
    <w:rsid w:val="00E422CE"/>
    <w:rsid w:val="00E432E0"/>
    <w:rsid w:val="00E43EB6"/>
    <w:rsid w:val="00E44EFD"/>
    <w:rsid w:val="00E4690E"/>
    <w:rsid w:val="00E50AF3"/>
    <w:rsid w:val="00E5199B"/>
    <w:rsid w:val="00E51CBE"/>
    <w:rsid w:val="00E52D38"/>
    <w:rsid w:val="00E52E67"/>
    <w:rsid w:val="00E540F5"/>
    <w:rsid w:val="00E5607C"/>
    <w:rsid w:val="00E60556"/>
    <w:rsid w:val="00E63410"/>
    <w:rsid w:val="00E635C0"/>
    <w:rsid w:val="00E6390C"/>
    <w:rsid w:val="00E63CFD"/>
    <w:rsid w:val="00E643EE"/>
    <w:rsid w:val="00E65A2D"/>
    <w:rsid w:val="00E66855"/>
    <w:rsid w:val="00E66919"/>
    <w:rsid w:val="00E6727E"/>
    <w:rsid w:val="00E67C84"/>
    <w:rsid w:val="00E70048"/>
    <w:rsid w:val="00E70109"/>
    <w:rsid w:val="00E7139D"/>
    <w:rsid w:val="00E71DA3"/>
    <w:rsid w:val="00E725D6"/>
    <w:rsid w:val="00E72E80"/>
    <w:rsid w:val="00E7300B"/>
    <w:rsid w:val="00E73A91"/>
    <w:rsid w:val="00E73FAD"/>
    <w:rsid w:val="00E750E3"/>
    <w:rsid w:val="00E75AB6"/>
    <w:rsid w:val="00E77AFC"/>
    <w:rsid w:val="00E80972"/>
    <w:rsid w:val="00E80DA7"/>
    <w:rsid w:val="00E8209F"/>
    <w:rsid w:val="00E82A1F"/>
    <w:rsid w:val="00E82CBF"/>
    <w:rsid w:val="00E84EEE"/>
    <w:rsid w:val="00E85E82"/>
    <w:rsid w:val="00E86F89"/>
    <w:rsid w:val="00E87C3B"/>
    <w:rsid w:val="00E91916"/>
    <w:rsid w:val="00E94817"/>
    <w:rsid w:val="00E954B4"/>
    <w:rsid w:val="00E96608"/>
    <w:rsid w:val="00E967BB"/>
    <w:rsid w:val="00EA1258"/>
    <w:rsid w:val="00EA1ED8"/>
    <w:rsid w:val="00EA3576"/>
    <w:rsid w:val="00EA3A37"/>
    <w:rsid w:val="00EA4349"/>
    <w:rsid w:val="00EA4682"/>
    <w:rsid w:val="00EA4D5C"/>
    <w:rsid w:val="00EA5944"/>
    <w:rsid w:val="00EA6353"/>
    <w:rsid w:val="00EA75A0"/>
    <w:rsid w:val="00EB0849"/>
    <w:rsid w:val="00EB0FDC"/>
    <w:rsid w:val="00EB1303"/>
    <w:rsid w:val="00EB2355"/>
    <w:rsid w:val="00EB2E89"/>
    <w:rsid w:val="00EB3953"/>
    <w:rsid w:val="00EC0FCD"/>
    <w:rsid w:val="00EC168A"/>
    <w:rsid w:val="00EC1B28"/>
    <w:rsid w:val="00EC2E73"/>
    <w:rsid w:val="00EC4BB5"/>
    <w:rsid w:val="00EC4D3D"/>
    <w:rsid w:val="00EC53DC"/>
    <w:rsid w:val="00EC566D"/>
    <w:rsid w:val="00EC6B0E"/>
    <w:rsid w:val="00EC7AA8"/>
    <w:rsid w:val="00EC7D03"/>
    <w:rsid w:val="00ED066D"/>
    <w:rsid w:val="00ED0F14"/>
    <w:rsid w:val="00ED12CF"/>
    <w:rsid w:val="00ED1A22"/>
    <w:rsid w:val="00ED1A2D"/>
    <w:rsid w:val="00ED1A7A"/>
    <w:rsid w:val="00ED1F75"/>
    <w:rsid w:val="00ED262C"/>
    <w:rsid w:val="00ED2F0A"/>
    <w:rsid w:val="00ED32D7"/>
    <w:rsid w:val="00ED36BA"/>
    <w:rsid w:val="00ED4004"/>
    <w:rsid w:val="00ED76B2"/>
    <w:rsid w:val="00EE0F64"/>
    <w:rsid w:val="00EE10F8"/>
    <w:rsid w:val="00EE153D"/>
    <w:rsid w:val="00EE251A"/>
    <w:rsid w:val="00EE2741"/>
    <w:rsid w:val="00EE2BCB"/>
    <w:rsid w:val="00EE2FF1"/>
    <w:rsid w:val="00EE45D5"/>
    <w:rsid w:val="00EE4DC6"/>
    <w:rsid w:val="00EE5158"/>
    <w:rsid w:val="00EE7294"/>
    <w:rsid w:val="00EF0FC6"/>
    <w:rsid w:val="00EF16FA"/>
    <w:rsid w:val="00EF1B7F"/>
    <w:rsid w:val="00EF28A0"/>
    <w:rsid w:val="00EF36D5"/>
    <w:rsid w:val="00EF434D"/>
    <w:rsid w:val="00EF542C"/>
    <w:rsid w:val="00EF6334"/>
    <w:rsid w:val="00EF6A2B"/>
    <w:rsid w:val="00EF6D46"/>
    <w:rsid w:val="00EF73B9"/>
    <w:rsid w:val="00F0205C"/>
    <w:rsid w:val="00F034E0"/>
    <w:rsid w:val="00F03917"/>
    <w:rsid w:val="00F05313"/>
    <w:rsid w:val="00F06623"/>
    <w:rsid w:val="00F10452"/>
    <w:rsid w:val="00F116CD"/>
    <w:rsid w:val="00F1514B"/>
    <w:rsid w:val="00F15683"/>
    <w:rsid w:val="00F16B22"/>
    <w:rsid w:val="00F20550"/>
    <w:rsid w:val="00F208F0"/>
    <w:rsid w:val="00F20AD5"/>
    <w:rsid w:val="00F2120F"/>
    <w:rsid w:val="00F23972"/>
    <w:rsid w:val="00F23DE1"/>
    <w:rsid w:val="00F243A7"/>
    <w:rsid w:val="00F24525"/>
    <w:rsid w:val="00F24C78"/>
    <w:rsid w:val="00F2559B"/>
    <w:rsid w:val="00F27119"/>
    <w:rsid w:val="00F271DB"/>
    <w:rsid w:val="00F3060D"/>
    <w:rsid w:val="00F3098D"/>
    <w:rsid w:val="00F316B1"/>
    <w:rsid w:val="00F321DD"/>
    <w:rsid w:val="00F32E18"/>
    <w:rsid w:val="00F334A8"/>
    <w:rsid w:val="00F3374A"/>
    <w:rsid w:val="00F34A3B"/>
    <w:rsid w:val="00F34DF8"/>
    <w:rsid w:val="00F360B2"/>
    <w:rsid w:val="00F37344"/>
    <w:rsid w:val="00F37BAC"/>
    <w:rsid w:val="00F37E78"/>
    <w:rsid w:val="00F4086B"/>
    <w:rsid w:val="00F40D00"/>
    <w:rsid w:val="00F4172B"/>
    <w:rsid w:val="00F418A7"/>
    <w:rsid w:val="00F42813"/>
    <w:rsid w:val="00F44A17"/>
    <w:rsid w:val="00F44CF7"/>
    <w:rsid w:val="00F44F2E"/>
    <w:rsid w:val="00F45AC8"/>
    <w:rsid w:val="00F4604D"/>
    <w:rsid w:val="00F46A95"/>
    <w:rsid w:val="00F46BC1"/>
    <w:rsid w:val="00F476A8"/>
    <w:rsid w:val="00F478FD"/>
    <w:rsid w:val="00F50133"/>
    <w:rsid w:val="00F5129E"/>
    <w:rsid w:val="00F51AFD"/>
    <w:rsid w:val="00F54529"/>
    <w:rsid w:val="00F546D2"/>
    <w:rsid w:val="00F60F1F"/>
    <w:rsid w:val="00F6204A"/>
    <w:rsid w:val="00F630F6"/>
    <w:rsid w:val="00F633BF"/>
    <w:rsid w:val="00F6380E"/>
    <w:rsid w:val="00F63972"/>
    <w:rsid w:val="00F63C42"/>
    <w:rsid w:val="00F70877"/>
    <w:rsid w:val="00F7341E"/>
    <w:rsid w:val="00F734F3"/>
    <w:rsid w:val="00F735B7"/>
    <w:rsid w:val="00F74A38"/>
    <w:rsid w:val="00F74F0B"/>
    <w:rsid w:val="00F750F1"/>
    <w:rsid w:val="00F75503"/>
    <w:rsid w:val="00F75787"/>
    <w:rsid w:val="00F76A75"/>
    <w:rsid w:val="00F76A9D"/>
    <w:rsid w:val="00F802DB"/>
    <w:rsid w:val="00F8044C"/>
    <w:rsid w:val="00F80C07"/>
    <w:rsid w:val="00F81CFB"/>
    <w:rsid w:val="00F848D5"/>
    <w:rsid w:val="00F84BD9"/>
    <w:rsid w:val="00F85EA4"/>
    <w:rsid w:val="00F86004"/>
    <w:rsid w:val="00F87311"/>
    <w:rsid w:val="00F87642"/>
    <w:rsid w:val="00F87F78"/>
    <w:rsid w:val="00F90B3F"/>
    <w:rsid w:val="00F90D78"/>
    <w:rsid w:val="00F915A6"/>
    <w:rsid w:val="00F92374"/>
    <w:rsid w:val="00F92BB8"/>
    <w:rsid w:val="00F93993"/>
    <w:rsid w:val="00F9555D"/>
    <w:rsid w:val="00F95C36"/>
    <w:rsid w:val="00F967C1"/>
    <w:rsid w:val="00F973D7"/>
    <w:rsid w:val="00F979EC"/>
    <w:rsid w:val="00FA0842"/>
    <w:rsid w:val="00FA0BB9"/>
    <w:rsid w:val="00FA1C18"/>
    <w:rsid w:val="00FA2EFD"/>
    <w:rsid w:val="00FA2F67"/>
    <w:rsid w:val="00FA39E9"/>
    <w:rsid w:val="00FA42A0"/>
    <w:rsid w:val="00FA524E"/>
    <w:rsid w:val="00FA72A1"/>
    <w:rsid w:val="00FA7723"/>
    <w:rsid w:val="00FB02CE"/>
    <w:rsid w:val="00FB0473"/>
    <w:rsid w:val="00FB0C00"/>
    <w:rsid w:val="00FB1086"/>
    <w:rsid w:val="00FB1094"/>
    <w:rsid w:val="00FB1582"/>
    <w:rsid w:val="00FB1628"/>
    <w:rsid w:val="00FB1E31"/>
    <w:rsid w:val="00FB21A1"/>
    <w:rsid w:val="00FB3E36"/>
    <w:rsid w:val="00FB46B3"/>
    <w:rsid w:val="00FB4D92"/>
    <w:rsid w:val="00FB5267"/>
    <w:rsid w:val="00FB592E"/>
    <w:rsid w:val="00FB593A"/>
    <w:rsid w:val="00FB7890"/>
    <w:rsid w:val="00FC05BB"/>
    <w:rsid w:val="00FC07CE"/>
    <w:rsid w:val="00FC08E4"/>
    <w:rsid w:val="00FC1AD1"/>
    <w:rsid w:val="00FC2A62"/>
    <w:rsid w:val="00FC2C26"/>
    <w:rsid w:val="00FC33B2"/>
    <w:rsid w:val="00FC4962"/>
    <w:rsid w:val="00FC4A94"/>
    <w:rsid w:val="00FC52DE"/>
    <w:rsid w:val="00FC5790"/>
    <w:rsid w:val="00FC5F43"/>
    <w:rsid w:val="00FC710B"/>
    <w:rsid w:val="00FC7488"/>
    <w:rsid w:val="00FC7F25"/>
    <w:rsid w:val="00FD096B"/>
    <w:rsid w:val="00FD0E81"/>
    <w:rsid w:val="00FD1395"/>
    <w:rsid w:val="00FD3ECF"/>
    <w:rsid w:val="00FD46DC"/>
    <w:rsid w:val="00FD47F9"/>
    <w:rsid w:val="00FD51D6"/>
    <w:rsid w:val="00FD6022"/>
    <w:rsid w:val="00FD61A9"/>
    <w:rsid w:val="00FD696F"/>
    <w:rsid w:val="00FE1863"/>
    <w:rsid w:val="00FE1945"/>
    <w:rsid w:val="00FE1FEF"/>
    <w:rsid w:val="00FE30BE"/>
    <w:rsid w:val="00FE3443"/>
    <w:rsid w:val="00FE358D"/>
    <w:rsid w:val="00FE3B2F"/>
    <w:rsid w:val="00FE3DDD"/>
    <w:rsid w:val="00FE4909"/>
    <w:rsid w:val="00FE5B8C"/>
    <w:rsid w:val="00FE6EE0"/>
    <w:rsid w:val="00FE712E"/>
    <w:rsid w:val="00FE762E"/>
    <w:rsid w:val="00FE7FA3"/>
    <w:rsid w:val="00FF2BD8"/>
    <w:rsid w:val="00FF39ED"/>
    <w:rsid w:val="00FF50AB"/>
    <w:rsid w:val="00FF571C"/>
    <w:rsid w:val="00FF5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4411F86"/>
  <w15:docId w15:val="{D922427F-D2CA-43CD-AB9C-A828FA5C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065"/>
    <w:rPr>
      <w:rFonts w:ascii="Arial" w:eastAsia="SimSun" w:hAnsi="Arial" w:cs="Arial"/>
      <w:sz w:val="22"/>
      <w:lang w:val="fr-CH" w:eastAsia="zh-CN"/>
    </w:rPr>
  </w:style>
  <w:style w:type="paragraph" w:styleId="Heading1">
    <w:name w:val="heading 1"/>
    <w:basedOn w:val="Normal"/>
    <w:next w:val="Normal"/>
    <w:link w:val="Heading1Char"/>
    <w:qFormat/>
    <w:rsid w:val="00675065"/>
    <w:pPr>
      <w:keepNext/>
      <w:numPr>
        <w:numId w:val="7"/>
      </w:numPr>
      <w:spacing w:before="240" w:after="60"/>
      <w:outlineLvl w:val="0"/>
    </w:pPr>
    <w:rPr>
      <w:b/>
      <w:bCs/>
      <w:caps/>
      <w:kern w:val="32"/>
      <w:szCs w:val="32"/>
    </w:rPr>
  </w:style>
  <w:style w:type="paragraph" w:styleId="Heading2">
    <w:name w:val="heading 2"/>
    <w:basedOn w:val="Normal"/>
    <w:next w:val="Normal"/>
    <w:link w:val="Heading2Char"/>
    <w:qFormat/>
    <w:rsid w:val="00675065"/>
    <w:pPr>
      <w:keepNext/>
      <w:numPr>
        <w:ilvl w:val="1"/>
        <w:numId w:val="7"/>
      </w:numPr>
      <w:spacing w:before="240" w:after="60"/>
      <w:outlineLvl w:val="1"/>
    </w:pPr>
    <w:rPr>
      <w:bCs/>
      <w:iCs/>
      <w:caps/>
      <w:szCs w:val="28"/>
    </w:rPr>
  </w:style>
  <w:style w:type="paragraph" w:styleId="Heading3">
    <w:name w:val="heading 3"/>
    <w:basedOn w:val="Normal"/>
    <w:next w:val="Normal"/>
    <w:link w:val="Heading3Char"/>
    <w:qFormat/>
    <w:rsid w:val="00675065"/>
    <w:pPr>
      <w:keepNext/>
      <w:numPr>
        <w:ilvl w:val="2"/>
        <w:numId w:val="7"/>
      </w:numPr>
      <w:spacing w:before="240" w:after="60"/>
      <w:outlineLvl w:val="2"/>
    </w:pPr>
    <w:rPr>
      <w:bCs/>
      <w:szCs w:val="26"/>
      <w:u w:val="single"/>
    </w:rPr>
  </w:style>
  <w:style w:type="paragraph" w:styleId="Heading4">
    <w:name w:val="heading 4"/>
    <w:basedOn w:val="Normal"/>
    <w:next w:val="Normal"/>
    <w:link w:val="Heading4Char"/>
    <w:qFormat/>
    <w:rsid w:val="00675065"/>
    <w:pPr>
      <w:keepNext/>
      <w:spacing w:before="240" w:after="60"/>
      <w:outlineLvl w:val="3"/>
    </w:pPr>
    <w:rPr>
      <w:bCs/>
      <w:i/>
      <w:szCs w:val="28"/>
    </w:rPr>
  </w:style>
  <w:style w:type="paragraph" w:styleId="Heading5">
    <w:name w:val="heading 5"/>
    <w:basedOn w:val="Normal"/>
    <w:next w:val="Normal"/>
    <w:link w:val="Heading5Char"/>
    <w:semiHidden/>
    <w:unhideWhenUsed/>
    <w:qFormat/>
    <w:rsid w:val="007049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4E3D"/>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776F81"/>
    <w:rPr>
      <w:rFonts w:ascii="Arial" w:eastAsia="SimSun" w:hAnsi="Arial" w:cs="Arial"/>
      <w:bCs/>
      <w:iCs/>
      <w:caps/>
      <w:sz w:val="22"/>
      <w:szCs w:val="28"/>
      <w:lang w:val="fr-CH" w:eastAsia="zh-CN"/>
    </w:rPr>
  </w:style>
  <w:style w:type="character" w:customStyle="1" w:styleId="Heading3Char">
    <w:name w:val="Heading 3 Char"/>
    <w:link w:val="Heading3"/>
    <w:rsid w:val="007E4E3D"/>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776F81"/>
    <w:rPr>
      <w:rFonts w:ascii="Arial" w:eastAsia="SimSun" w:hAnsi="Arial" w:cs="Arial"/>
      <w:bCs/>
      <w:i/>
      <w:sz w:val="22"/>
      <w:szCs w:val="28"/>
      <w:lang w:val="fr-CH" w:eastAsia="zh-CN"/>
    </w:rPr>
  </w:style>
  <w:style w:type="character" w:customStyle="1" w:styleId="Heading5Char">
    <w:name w:val="Heading 5 Char"/>
    <w:basedOn w:val="DefaultParagraphFont"/>
    <w:link w:val="Heading5"/>
    <w:semiHidden/>
    <w:rsid w:val="0070490F"/>
    <w:rPr>
      <w:rFonts w:asciiTheme="majorHAnsi" w:eastAsiaTheme="majorEastAsia" w:hAnsiTheme="majorHAnsi" w:cstheme="majorBidi"/>
      <w:color w:val="365F91" w:themeColor="accent1" w:themeShade="BF"/>
      <w:sz w:val="22"/>
      <w:lang w:eastAsia="zh-CN"/>
    </w:rPr>
  </w:style>
  <w:style w:type="paragraph" w:styleId="Caption">
    <w:name w:val="caption"/>
    <w:basedOn w:val="Normal"/>
    <w:next w:val="Normal"/>
    <w:qFormat/>
    <w:rsid w:val="00675065"/>
    <w:rPr>
      <w:b/>
      <w:bCs/>
      <w:sz w:val="18"/>
    </w:rPr>
  </w:style>
  <w:style w:type="paragraph" w:styleId="CommentText">
    <w:name w:val="annotation text"/>
    <w:basedOn w:val="Normal"/>
    <w:link w:val="CommentTextChar"/>
    <w:semiHidden/>
    <w:rsid w:val="00675065"/>
    <w:rPr>
      <w:sz w:val="18"/>
    </w:rPr>
  </w:style>
  <w:style w:type="character" w:customStyle="1" w:styleId="CommentTextChar">
    <w:name w:val="Comment Text Char"/>
    <w:link w:val="CommentText"/>
    <w:semiHidden/>
    <w:rsid w:val="0078460D"/>
    <w:rPr>
      <w:rFonts w:ascii="Arial" w:eastAsia="SimSun" w:hAnsi="Arial" w:cs="Arial"/>
      <w:sz w:val="18"/>
      <w:lang w:val="fr-CH" w:eastAsia="zh-CN"/>
    </w:rPr>
  </w:style>
  <w:style w:type="paragraph" w:styleId="EndnoteText">
    <w:name w:val="endnote text"/>
    <w:basedOn w:val="Normal"/>
    <w:link w:val="EndnoteTextChar"/>
    <w:semiHidden/>
    <w:rsid w:val="00675065"/>
    <w:rPr>
      <w:sz w:val="18"/>
    </w:rPr>
  </w:style>
  <w:style w:type="character" w:customStyle="1" w:styleId="EndnoteTextChar">
    <w:name w:val="Endnote Text Char"/>
    <w:basedOn w:val="DefaultParagraphFont"/>
    <w:link w:val="EndnoteText"/>
    <w:semiHidden/>
    <w:rsid w:val="00776F81"/>
    <w:rPr>
      <w:rFonts w:ascii="Arial" w:eastAsia="SimSun" w:hAnsi="Arial" w:cs="Arial"/>
      <w:sz w:val="18"/>
      <w:lang w:val="fr-CH" w:eastAsia="zh-CN"/>
    </w:rPr>
  </w:style>
  <w:style w:type="paragraph" w:styleId="Footer">
    <w:name w:val="footer"/>
    <w:basedOn w:val="Normal"/>
    <w:link w:val="FooterChar"/>
    <w:uiPriority w:val="99"/>
    <w:rsid w:val="00675065"/>
    <w:pPr>
      <w:tabs>
        <w:tab w:val="center" w:pos="4320"/>
        <w:tab w:val="right" w:pos="8640"/>
      </w:tabs>
    </w:pPr>
  </w:style>
  <w:style w:type="character" w:customStyle="1" w:styleId="FooterChar">
    <w:name w:val="Footer Char"/>
    <w:basedOn w:val="DefaultParagraphFont"/>
    <w:link w:val="Footer"/>
    <w:uiPriority w:val="99"/>
    <w:rsid w:val="00776F81"/>
    <w:rPr>
      <w:rFonts w:ascii="Arial" w:eastAsia="SimSun" w:hAnsi="Arial" w:cs="Arial"/>
      <w:sz w:val="22"/>
      <w:lang w:val="fr-CH" w:eastAsia="zh-CN"/>
    </w:rPr>
  </w:style>
  <w:style w:type="paragraph" w:styleId="FootnoteText">
    <w:name w:val="footnote text"/>
    <w:aliases w:val="Footnote"/>
    <w:basedOn w:val="Normal"/>
    <w:link w:val="FootnoteTextChar"/>
    <w:semiHidden/>
    <w:rsid w:val="00675065"/>
    <w:rPr>
      <w:sz w:val="18"/>
    </w:rPr>
  </w:style>
  <w:style w:type="character" w:customStyle="1" w:styleId="FootnoteTextChar">
    <w:name w:val="Footnote Text Char"/>
    <w:aliases w:val="Footnote Char"/>
    <w:link w:val="FootnoteText"/>
    <w:semiHidden/>
    <w:locked/>
    <w:rsid w:val="00321245"/>
    <w:rPr>
      <w:rFonts w:ascii="Arial" w:eastAsia="SimSun" w:hAnsi="Arial" w:cs="Arial"/>
      <w:sz w:val="18"/>
      <w:lang w:val="fr-CH" w:eastAsia="zh-CN"/>
    </w:rPr>
  </w:style>
  <w:style w:type="paragraph" w:styleId="Header">
    <w:name w:val="header"/>
    <w:basedOn w:val="Normal"/>
    <w:link w:val="HeaderChar"/>
    <w:uiPriority w:val="99"/>
    <w:rsid w:val="00675065"/>
    <w:pPr>
      <w:tabs>
        <w:tab w:val="center" w:pos="4536"/>
        <w:tab w:val="right" w:pos="9072"/>
      </w:tabs>
    </w:pPr>
  </w:style>
  <w:style w:type="character" w:customStyle="1" w:styleId="HeaderChar">
    <w:name w:val="Header Char"/>
    <w:link w:val="Header"/>
    <w:uiPriority w:val="99"/>
    <w:locked/>
    <w:rsid w:val="00C34E43"/>
    <w:rPr>
      <w:rFonts w:ascii="Arial" w:eastAsia="SimSun" w:hAnsi="Arial" w:cs="Arial"/>
      <w:sz w:val="22"/>
      <w:lang w:val="fr-CH" w:eastAsia="zh-CN"/>
    </w:rPr>
  </w:style>
  <w:style w:type="paragraph" w:styleId="ListNumber">
    <w:name w:val="List Number"/>
    <w:basedOn w:val="Normal"/>
    <w:semiHidden/>
    <w:rsid w:val="00675065"/>
    <w:pPr>
      <w:numPr>
        <w:numId w:val="3"/>
      </w:numPr>
    </w:pPr>
  </w:style>
  <w:style w:type="paragraph" w:customStyle="1" w:styleId="ONUME">
    <w:name w:val="ONUM E"/>
    <w:basedOn w:val="BodyText"/>
    <w:link w:val="ONUMEChar"/>
    <w:uiPriority w:val="99"/>
    <w:rsid w:val="00675065"/>
    <w:pPr>
      <w:numPr>
        <w:numId w:val="4"/>
      </w:numPr>
    </w:pPr>
  </w:style>
  <w:style w:type="character" w:customStyle="1" w:styleId="ONUMEChar">
    <w:name w:val="ONUM E Char"/>
    <w:link w:val="ONUME"/>
    <w:uiPriority w:val="99"/>
    <w:rsid w:val="006F20DD"/>
    <w:rPr>
      <w:rFonts w:ascii="Arial" w:eastAsia="SimSun" w:hAnsi="Arial" w:cs="Arial"/>
      <w:sz w:val="22"/>
      <w:lang w:val="fr-CH" w:eastAsia="zh-CN"/>
    </w:rPr>
  </w:style>
  <w:style w:type="paragraph" w:styleId="Salutation">
    <w:name w:val="Salutation"/>
    <w:basedOn w:val="Normal"/>
    <w:next w:val="Normal"/>
    <w:link w:val="SalutationChar"/>
    <w:semiHidden/>
    <w:rsid w:val="00675065"/>
  </w:style>
  <w:style w:type="character" w:customStyle="1" w:styleId="SalutationChar">
    <w:name w:val="Salutation Char"/>
    <w:basedOn w:val="DefaultParagraphFont"/>
    <w:link w:val="Salutation"/>
    <w:semiHidden/>
    <w:rsid w:val="00776F81"/>
    <w:rPr>
      <w:rFonts w:ascii="Arial" w:eastAsia="SimSun" w:hAnsi="Arial" w:cs="Arial"/>
      <w:sz w:val="22"/>
      <w:lang w:val="fr-CH" w:eastAsia="zh-CN"/>
    </w:rPr>
  </w:style>
  <w:style w:type="paragraph" w:styleId="Signature">
    <w:name w:val="Signature"/>
    <w:basedOn w:val="Normal"/>
    <w:link w:val="SignatureChar"/>
    <w:semiHidden/>
    <w:rsid w:val="00675065"/>
    <w:pPr>
      <w:ind w:left="5250"/>
    </w:pPr>
  </w:style>
  <w:style w:type="character" w:customStyle="1" w:styleId="SignatureChar">
    <w:name w:val="Signature Char"/>
    <w:basedOn w:val="DefaultParagraphFont"/>
    <w:link w:val="Signature"/>
    <w:semiHidden/>
    <w:rsid w:val="00776F81"/>
    <w:rPr>
      <w:rFonts w:ascii="Arial" w:eastAsia="SimSun" w:hAnsi="Arial" w:cs="Arial"/>
      <w:sz w:val="22"/>
      <w:lang w:val="fr-CH" w:eastAsia="zh-CN"/>
    </w:r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ED1A22"/>
    <w:pPr>
      <w:spacing w:before="120" w:after="120"/>
    </w:pPr>
    <w:rPr>
      <w:rFonts w:ascii="arial bold" w:hAnsi="arial bold"/>
      <w:b/>
      <w:caps/>
    </w:rPr>
  </w:style>
  <w:style w:type="paragraph" w:styleId="TOC2">
    <w:name w:val="toc 2"/>
    <w:basedOn w:val="Normal"/>
    <w:next w:val="Normal"/>
    <w:autoRedefine/>
    <w:uiPriority w:val="39"/>
    <w:rsid w:val="00ED1A22"/>
    <w:pPr>
      <w:spacing w:before="120" w:after="120"/>
      <w:ind w:left="221"/>
    </w:pPr>
    <w:rPr>
      <w:caps/>
    </w:rPr>
  </w:style>
  <w:style w:type="character" w:styleId="FootnoteReference">
    <w:name w:val="footnote reference"/>
    <w:rsid w:val="00321245"/>
    <w:rPr>
      <w:rFonts w:cs="Times New Roman"/>
      <w:vertAlign w:val="superscript"/>
    </w:rPr>
  </w:style>
  <w:style w:type="paragraph" w:styleId="BalloonText">
    <w:name w:val="Balloon Text"/>
    <w:basedOn w:val="Normal"/>
    <w:link w:val="BalloonTextChar"/>
    <w:uiPriority w:val="99"/>
    <w:rsid w:val="00321245"/>
    <w:rPr>
      <w:rFonts w:ascii="Tahoma" w:hAnsi="Tahoma" w:cs="Tahoma"/>
      <w:sz w:val="16"/>
      <w:szCs w:val="16"/>
    </w:rPr>
  </w:style>
  <w:style w:type="character" w:customStyle="1" w:styleId="BalloonTextChar">
    <w:name w:val="Balloon Text Char"/>
    <w:basedOn w:val="DefaultParagraphFont"/>
    <w:link w:val="BalloonText"/>
    <w:uiPriority w:val="99"/>
    <w:rsid w:val="00776F81"/>
    <w:rPr>
      <w:rFonts w:ascii="Tahoma" w:eastAsia="SimSun" w:hAnsi="Tahoma" w:cs="Tahoma"/>
      <w:sz w:val="16"/>
      <w:szCs w:val="16"/>
      <w:lang w:eastAsia="zh-CN"/>
    </w:rPr>
  </w:style>
  <w:style w:type="character" w:styleId="Hyperlink">
    <w:name w:val="Hyperlink"/>
    <w:uiPriority w:val="99"/>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78460D"/>
    <w:rPr>
      <w:sz w:val="18"/>
      <w:szCs w:val="18"/>
    </w:rPr>
  </w:style>
  <w:style w:type="paragraph" w:styleId="CommentSubject">
    <w:name w:val="annotation subject"/>
    <w:basedOn w:val="CommentText"/>
    <w:next w:val="CommentText"/>
    <w:link w:val="CommentSubjectChar"/>
    <w:uiPriority w:val="99"/>
    <w:rsid w:val="0078460D"/>
    <w:rPr>
      <w:b/>
      <w:bCs/>
    </w:rPr>
  </w:style>
  <w:style w:type="character" w:customStyle="1" w:styleId="CommentSubjectChar">
    <w:name w:val="Comment Subject Char"/>
    <w:link w:val="CommentSubject"/>
    <w:uiPriority w:val="99"/>
    <w:rsid w:val="0078460D"/>
    <w:rPr>
      <w:rFonts w:ascii="Arial" w:eastAsia="SimSun" w:hAnsi="Arial" w:cs="Arial"/>
      <w:b/>
      <w:bCs/>
      <w:sz w:val="18"/>
      <w:lang w:eastAsia="zh-CN"/>
    </w:rPr>
  </w:style>
  <w:style w:type="table" w:styleId="TableGrid">
    <w:name w:val="Table Grid"/>
    <w:basedOn w:val="TableNormal"/>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60BB"/>
    <w:rPr>
      <w:rFonts w:ascii="Arial" w:eastAsia="SimSun" w:hAnsi="Arial" w:cs="Arial"/>
      <w:sz w:val="22"/>
      <w:lang w:eastAsia="zh-CN"/>
    </w:rPr>
  </w:style>
  <w:style w:type="paragraph" w:styleId="NormalWeb">
    <w:name w:val="Normal (Web)"/>
    <w:basedOn w:val="Normal"/>
    <w:uiPriority w:val="99"/>
    <w:rsid w:val="00B94F37"/>
    <w:rPr>
      <w:rFonts w:ascii="Times New Roman" w:hAnsi="Times New Roman" w:cs="Times New Roman"/>
      <w:sz w:val="24"/>
      <w:szCs w:val="24"/>
    </w:rPr>
  </w:style>
  <w:style w:type="paragraph" w:styleId="ListParagraph">
    <w:name w:val="List Paragraph"/>
    <w:basedOn w:val="Normal"/>
    <w:uiPriority w:val="34"/>
    <w:qFormat/>
    <w:rsid w:val="00675065"/>
    <w:pPr>
      <w:ind w:left="720"/>
      <w:contextualSpacing/>
    </w:pPr>
  </w:style>
  <w:style w:type="character" w:customStyle="1" w:styleId="Mentionnonrsolue1">
    <w:name w:val="Mention non résolue1"/>
    <w:basedOn w:val="DefaultParagraphFont"/>
    <w:uiPriority w:val="99"/>
    <w:semiHidden/>
    <w:unhideWhenUsed/>
    <w:rsid w:val="00374210"/>
    <w:rPr>
      <w:color w:val="605E5C"/>
      <w:shd w:val="clear" w:color="auto" w:fill="E1DFDD"/>
    </w:rPr>
  </w:style>
  <w:style w:type="paragraph" w:styleId="BodyTextIndent">
    <w:name w:val="Body Text Indent"/>
    <w:basedOn w:val="Normal"/>
    <w:link w:val="BodyTextIndentChar"/>
    <w:semiHidden/>
    <w:unhideWhenUsed/>
    <w:rsid w:val="0070490F"/>
    <w:pPr>
      <w:spacing w:after="120"/>
      <w:ind w:left="360"/>
    </w:pPr>
  </w:style>
  <w:style w:type="character" w:customStyle="1" w:styleId="BodyTextIndentChar">
    <w:name w:val="Body Text Indent Char"/>
    <w:basedOn w:val="DefaultParagraphFont"/>
    <w:link w:val="BodyTextIndent"/>
    <w:semiHidden/>
    <w:rsid w:val="0070490F"/>
    <w:rPr>
      <w:rFonts w:ascii="Arial" w:eastAsia="SimSun" w:hAnsi="Arial" w:cs="Arial"/>
      <w:sz w:val="22"/>
      <w:lang w:eastAsia="zh-CN"/>
    </w:rPr>
  </w:style>
  <w:style w:type="paragraph" w:customStyle="1" w:styleId="Endofdocument-Annex">
    <w:name w:val="[End of document - Annex]"/>
    <w:basedOn w:val="Normal"/>
    <w:rsid w:val="00675065"/>
    <w:pPr>
      <w:ind w:left="5534"/>
    </w:pPr>
    <w:rPr>
      <w:lang w:val="en-US"/>
    </w:rPr>
  </w:style>
  <w:style w:type="paragraph" w:styleId="BodyText">
    <w:name w:val="Body Text"/>
    <w:basedOn w:val="Normal"/>
    <w:link w:val="BodyTextChar"/>
    <w:rsid w:val="00675065"/>
    <w:pPr>
      <w:spacing w:after="220"/>
    </w:pPr>
  </w:style>
  <w:style w:type="character" w:customStyle="1" w:styleId="BodyTextChar">
    <w:name w:val="Body Text Char"/>
    <w:basedOn w:val="DefaultParagraphFont"/>
    <w:link w:val="BodyText"/>
    <w:rsid w:val="00675065"/>
    <w:rPr>
      <w:rFonts w:ascii="Arial" w:eastAsia="SimSun" w:hAnsi="Arial" w:cs="Arial"/>
      <w:sz w:val="22"/>
      <w:lang w:val="fr-CH" w:eastAsia="zh-CN"/>
    </w:rPr>
  </w:style>
  <w:style w:type="paragraph" w:customStyle="1" w:styleId="ONUMFS">
    <w:name w:val="ONUM FS"/>
    <w:basedOn w:val="BodyText"/>
    <w:rsid w:val="00675065"/>
    <w:pPr>
      <w:numPr>
        <w:numId w:val="5"/>
      </w:numPr>
    </w:pPr>
  </w:style>
  <w:style w:type="character" w:styleId="PageNumber">
    <w:name w:val="page number"/>
    <w:basedOn w:val="DefaultParagraphFont"/>
    <w:rsid w:val="00776F81"/>
  </w:style>
  <w:style w:type="paragraph" w:customStyle="1" w:styleId="CarCar">
    <w:name w:val="Car Car"/>
    <w:basedOn w:val="Normal"/>
    <w:rsid w:val="00776F81"/>
    <w:pPr>
      <w:spacing w:after="160" w:line="240" w:lineRule="exact"/>
    </w:pPr>
    <w:rPr>
      <w:rFonts w:ascii="Verdana" w:eastAsia="Times New Roman" w:hAnsi="Verdana" w:cs="Times New Roman"/>
      <w:sz w:val="20"/>
      <w:lang w:val="en-GB" w:eastAsia="en-US"/>
    </w:rPr>
  </w:style>
  <w:style w:type="paragraph" w:customStyle="1" w:styleId="Default">
    <w:name w:val="Default"/>
    <w:rsid w:val="00776F8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776F81"/>
    <w:rPr>
      <w:color w:val="800080" w:themeColor="followedHyperlink"/>
      <w:u w:val="single"/>
    </w:rPr>
  </w:style>
  <w:style w:type="paragraph" w:customStyle="1" w:styleId="Meetingplacedate">
    <w:name w:val="Meeting place &amp; date"/>
    <w:basedOn w:val="Normal"/>
    <w:next w:val="Normal"/>
    <w:rsid w:val="0067506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75065"/>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02148">
      <w:bodyDiv w:val="1"/>
      <w:marLeft w:val="0"/>
      <w:marRight w:val="0"/>
      <w:marTop w:val="0"/>
      <w:marBottom w:val="0"/>
      <w:divBdr>
        <w:top w:val="none" w:sz="0" w:space="0" w:color="auto"/>
        <w:left w:val="none" w:sz="0" w:space="0" w:color="auto"/>
        <w:bottom w:val="none" w:sz="0" w:space="0" w:color="auto"/>
        <w:right w:val="none" w:sz="0" w:space="0" w:color="auto"/>
      </w:divBdr>
    </w:div>
    <w:div w:id="175728081">
      <w:bodyDiv w:val="1"/>
      <w:marLeft w:val="0"/>
      <w:marRight w:val="0"/>
      <w:marTop w:val="0"/>
      <w:marBottom w:val="0"/>
      <w:divBdr>
        <w:top w:val="none" w:sz="0" w:space="0" w:color="auto"/>
        <w:left w:val="none" w:sz="0" w:space="0" w:color="auto"/>
        <w:bottom w:val="none" w:sz="0" w:space="0" w:color="auto"/>
        <w:right w:val="none" w:sz="0" w:space="0" w:color="auto"/>
      </w:divBdr>
    </w:div>
    <w:div w:id="234517058">
      <w:bodyDiv w:val="1"/>
      <w:marLeft w:val="0"/>
      <w:marRight w:val="0"/>
      <w:marTop w:val="0"/>
      <w:marBottom w:val="0"/>
      <w:divBdr>
        <w:top w:val="none" w:sz="0" w:space="0" w:color="auto"/>
        <w:left w:val="none" w:sz="0" w:space="0" w:color="auto"/>
        <w:bottom w:val="none" w:sz="0" w:space="0" w:color="auto"/>
        <w:right w:val="none" w:sz="0" w:space="0" w:color="auto"/>
      </w:divBdr>
    </w:div>
    <w:div w:id="394813909">
      <w:bodyDiv w:val="1"/>
      <w:marLeft w:val="0"/>
      <w:marRight w:val="0"/>
      <w:marTop w:val="0"/>
      <w:marBottom w:val="0"/>
      <w:divBdr>
        <w:top w:val="none" w:sz="0" w:space="0" w:color="auto"/>
        <w:left w:val="none" w:sz="0" w:space="0" w:color="auto"/>
        <w:bottom w:val="none" w:sz="0" w:space="0" w:color="auto"/>
        <w:right w:val="none" w:sz="0" w:space="0" w:color="auto"/>
      </w:divBdr>
    </w:div>
    <w:div w:id="475418829">
      <w:bodyDiv w:val="1"/>
      <w:marLeft w:val="0"/>
      <w:marRight w:val="0"/>
      <w:marTop w:val="0"/>
      <w:marBottom w:val="0"/>
      <w:divBdr>
        <w:top w:val="none" w:sz="0" w:space="0" w:color="auto"/>
        <w:left w:val="none" w:sz="0" w:space="0" w:color="auto"/>
        <w:bottom w:val="none" w:sz="0" w:space="0" w:color="auto"/>
        <w:right w:val="none" w:sz="0" w:space="0" w:color="auto"/>
      </w:divBdr>
    </w:div>
    <w:div w:id="504976620">
      <w:bodyDiv w:val="1"/>
      <w:marLeft w:val="0"/>
      <w:marRight w:val="0"/>
      <w:marTop w:val="0"/>
      <w:marBottom w:val="0"/>
      <w:divBdr>
        <w:top w:val="none" w:sz="0" w:space="0" w:color="auto"/>
        <w:left w:val="none" w:sz="0" w:space="0" w:color="auto"/>
        <w:bottom w:val="none" w:sz="0" w:space="0" w:color="auto"/>
        <w:right w:val="none" w:sz="0" w:space="0" w:color="auto"/>
      </w:divBdr>
    </w:div>
    <w:div w:id="526715461">
      <w:bodyDiv w:val="1"/>
      <w:marLeft w:val="0"/>
      <w:marRight w:val="0"/>
      <w:marTop w:val="0"/>
      <w:marBottom w:val="0"/>
      <w:divBdr>
        <w:top w:val="none" w:sz="0" w:space="0" w:color="auto"/>
        <w:left w:val="none" w:sz="0" w:space="0" w:color="auto"/>
        <w:bottom w:val="none" w:sz="0" w:space="0" w:color="auto"/>
        <w:right w:val="none" w:sz="0" w:space="0" w:color="auto"/>
      </w:divBdr>
    </w:div>
    <w:div w:id="871920283">
      <w:bodyDiv w:val="1"/>
      <w:marLeft w:val="0"/>
      <w:marRight w:val="0"/>
      <w:marTop w:val="0"/>
      <w:marBottom w:val="0"/>
      <w:divBdr>
        <w:top w:val="none" w:sz="0" w:space="0" w:color="auto"/>
        <w:left w:val="none" w:sz="0" w:space="0" w:color="auto"/>
        <w:bottom w:val="none" w:sz="0" w:space="0" w:color="auto"/>
        <w:right w:val="none" w:sz="0" w:space="0" w:color="auto"/>
      </w:divBdr>
    </w:div>
    <w:div w:id="930967122">
      <w:bodyDiv w:val="1"/>
      <w:marLeft w:val="0"/>
      <w:marRight w:val="0"/>
      <w:marTop w:val="0"/>
      <w:marBottom w:val="0"/>
      <w:divBdr>
        <w:top w:val="none" w:sz="0" w:space="0" w:color="auto"/>
        <w:left w:val="none" w:sz="0" w:space="0" w:color="auto"/>
        <w:bottom w:val="none" w:sz="0" w:space="0" w:color="auto"/>
        <w:right w:val="none" w:sz="0" w:space="0" w:color="auto"/>
      </w:divBdr>
      <w:divsChild>
        <w:div w:id="1477605826">
          <w:marLeft w:val="0"/>
          <w:marRight w:val="0"/>
          <w:marTop w:val="0"/>
          <w:marBottom w:val="0"/>
          <w:divBdr>
            <w:top w:val="none" w:sz="0" w:space="0" w:color="auto"/>
            <w:left w:val="none" w:sz="0" w:space="0" w:color="auto"/>
            <w:bottom w:val="none" w:sz="0" w:space="0" w:color="auto"/>
            <w:right w:val="none" w:sz="0" w:space="0" w:color="auto"/>
          </w:divBdr>
        </w:div>
      </w:divsChild>
    </w:div>
    <w:div w:id="1244874418">
      <w:bodyDiv w:val="1"/>
      <w:marLeft w:val="0"/>
      <w:marRight w:val="0"/>
      <w:marTop w:val="0"/>
      <w:marBottom w:val="0"/>
      <w:divBdr>
        <w:top w:val="none" w:sz="0" w:space="0" w:color="auto"/>
        <w:left w:val="none" w:sz="0" w:space="0" w:color="auto"/>
        <w:bottom w:val="none" w:sz="0" w:space="0" w:color="auto"/>
        <w:right w:val="none" w:sz="0" w:space="0" w:color="auto"/>
      </w:divBdr>
    </w:div>
    <w:div w:id="1429078258">
      <w:bodyDiv w:val="1"/>
      <w:marLeft w:val="0"/>
      <w:marRight w:val="0"/>
      <w:marTop w:val="0"/>
      <w:marBottom w:val="0"/>
      <w:divBdr>
        <w:top w:val="none" w:sz="0" w:space="0" w:color="auto"/>
        <w:left w:val="none" w:sz="0" w:space="0" w:color="auto"/>
        <w:bottom w:val="none" w:sz="0" w:space="0" w:color="auto"/>
        <w:right w:val="none" w:sz="0" w:space="0" w:color="auto"/>
      </w:divBdr>
    </w:div>
    <w:div w:id="1616135068">
      <w:bodyDiv w:val="1"/>
      <w:marLeft w:val="0"/>
      <w:marRight w:val="0"/>
      <w:marTop w:val="0"/>
      <w:marBottom w:val="0"/>
      <w:divBdr>
        <w:top w:val="none" w:sz="0" w:space="0" w:color="auto"/>
        <w:left w:val="none" w:sz="0" w:space="0" w:color="auto"/>
        <w:bottom w:val="none" w:sz="0" w:space="0" w:color="auto"/>
        <w:right w:val="none" w:sz="0" w:space="0" w:color="auto"/>
      </w:divBdr>
    </w:div>
    <w:div w:id="1671636020">
      <w:bodyDiv w:val="1"/>
      <w:marLeft w:val="0"/>
      <w:marRight w:val="0"/>
      <w:marTop w:val="0"/>
      <w:marBottom w:val="0"/>
      <w:divBdr>
        <w:top w:val="none" w:sz="0" w:space="0" w:color="auto"/>
        <w:left w:val="none" w:sz="0" w:space="0" w:color="auto"/>
        <w:bottom w:val="none" w:sz="0" w:space="0" w:color="auto"/>
        <w:right w:val="none" w:sz="0" w:space="0" w:color="auto"/>
      </w:divBdr>
    </w:div>
    <w:div w:id="1735354808">
      <w:bodyDiv w:val="1"/>
      <w:marLeft w:val="0"/>
      <w:marRight w:val="0"/>
      <w:marTop w:val="0"/>
      <w:marBottom w:val="0"/>
      <w:divBdr>
        <w:top w:val="none" w:sz="0" w:space="0" w:color="auto"/>
        <w:left w:val="none" w:sz="0" w:space="0" w:color="auto"/>
        <w:bottom w:val="none" w:sz="0" w:space="0" w:color="auto"/>
        <w:right w:val="none" w:sz="0" w:space="0" w:color="auto"/>
      </w:divBdr>
    </w:div>
    <w:div w:id="1809131375">
      <w:bodyDiv w:val="1"/>
      <w:marLeft w:val="0"/>
      <w:marRight w:val="0"/>
      <w:marTop w:val="0"/>
      <w:marBottom w:val="0"/>
      <w:divBdr>
        <w:top w:val="none" w:sz="0" w:space="0" w:color="auto"/>
        <w:left w:val="none" w:sz="0" w:space="0" w:color="auto"/>
        <w:bottom w:val="none" w:sz="0" w:space="0" w:color="auto"/>
        <w:right w:val="none" w:sz="0" w:space="0" w:color="auto"/>
      </w:divBdr>
    </w:div>
    <w:div w:id="1992830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2.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en/doc_details.jsp?doc_id=301656" TargetMode="External"/><Relationship Id="rId23" Type="http://schemas.openxmlformats.org/officeDocument/2006/relationships/header" Target="header10.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FCDAD-C03E-4069-AEC8-4C9985C8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15329</Words>
  <Characters>86777</Characters>
  <Application>Microsoft Office Word</Application>
  <DocSecurity>0</DocSecurity>
  <Lines>1501</Lines>
  <Paragraphs>469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101912</CharactersWithSpaces>
  <SharedDoc>false</SharedDoc>
  <HLinks>
    <vt:vector size="192" baseType="variant">
      <vt:variant>
        <vt:i4>1966135</vt:i4>
      </vt:variant>
      <vt:variant>
        <vt:i4>188</vt:i4>
      </vt:variant>
      <vt:variant>
        <vt:i4>0</vt:i4>
      </vt:variant>
      <vt:variant>
        <vt:i4>5</vt:i4>
      </vt:variant>
      <vt:variant>
        <vt:lpwstr/>
      </vt:variant>
      <vt:variant>
        <vt:lpwstr>_Toc411232183</vt:lpwstr>
      </vt:variant>
      <vt:variant>
        <vt:i4>1966135</vt:i4>
      </vt:variant>
      <vt:variant>
        <vt:i4>182</vt:i4>
      </vt:variant>
      <vt:variant>
        <vt:i4>0</vt:i4>
      </vt:variant>
      <vt:variant>
        <vt:i4>5</vt:i4>
      </vt:variant>
      <vt:variant>
        <vt:lpwstr/>
      </vt:variant>
      <vt:variant>
        <vt:lpwstr>_Toc411232182</vt:lpwstr>
      </vt:variant>
      <vt:variant>
        <vt:i4>1966135</vt:i4>
      </vt:variant>
      <vt:variant>
        <vt:i4>176</vt:i4>
      </vt:variant>
      <vt:variant>
        <vt:i4>0</vt:i4>
      </vt:variant>
      <vt:variant>
        <vt:i4>5</vt:i4>
      </vt:variant>
      <vt:variant>
        <vt:lpwstr/>
      </vt:variant>
      <vt:variant>
        <vt:lpwstr>_Toc411232181</vt:lpwstr>
      </vt:variant>
      <vt:variant>
        <vt:i4>1966135</vt:i4>
      </vt:variant>
      <vt:variant>
        <vt:i4>170</vt:i4>
      </vt:variant>
      <vt:variant>
        <vt:i4>0</vt:i4>
      </vt:variant>
      <vt:variant>
        <vt:i4>5</vt:i4>
      </vt:variant>
      <vt:variant>
        <vt:lpwstr/>
      </vt:variant>
      <vt:variant>
        <vt:lpwstr>_Toc411232180</vt:lpwstr>
      </vt:variant>
      <vt:variant>
        <vt:i4>1114167</vt:i4>
      </vt:variant>
      <vt:variant>
        <vt:i4>164</vt:i4>
      </vt:variant>
      <vt:variant>
        <vt:i4>0</vt:i4>
      </vt:variant>
      <vt:variant>
        <vt:i4>5</vt:i4>
      </vt:variant>
      <vt:variant>
        <vt:lpwstr/>
      </vt:variant>
      <vt:variant>
        <vt:lpwstr>_Toc411232179</vt:lpwstr>
      </vt:variant>
      <vt:variant>
        <vt:i4>1114167</vt:i4>
      </vt:variant>
      <vt:variant>
        <vt:i4>158</vt:i4>
      </vt:variant>
      <vt:variant>
        <vt:i4>0</vt:i4>
      </vt:variant>
      <vt:variant>
        <vt:i4>5</vt:i4>
      </vt:variant>
      <vt:variant>
        <vt:lpwstr/>
      </vt:variant>
      <vt:variant>
        <vt:lpwstr>_Toc411232178</vt:lpwstr>
      </vt:variant>
      <vt:variant>
        <vt:i4>1114167</vt:i4>
      </vt:variant>
      <vt:variant>
        <vt:i4>152</vt:i4>
      </vt:variant>
      <vt:variant>
        <vt:i4>0</vt:i4>
      </vt:variant>
      <vt:variant>
        <vt:i4>5</vt:i4>
      </vt:variant>
      <vt:variant>
        <vt:lpwstr/>
      </vt:variant>
      <vt:variant>
        <vt:lpwstr>_Toc411232177</vt:lpwstr>
      </vt:variant>
      <vt:variant>
        <vt:i4>1114167</vt:i4>
      </vt:variant>
      <vt:variant>
        <vt:i4>146</vt:i4>
      </vt:variant>
      <vt:variant>
        <vt:i4>0</vt:i4>
      </vt:variant>
      <vt:variant>
        <vt:i4>5</vt:i4>
      </vt:variant>
      <vt:variant>
        <vt:lpwstr/>
      </vt:variant>
      <vt:variant>
        <vt:lpwstr>_Toc411232176</vt:lpwstr>
      </vt:variant>
      <vt:variant>
        <vt:i4>1114167</vt:i4>
      </vt:variant>
      <vt:variant>
        <vt:i4>140</vt:i4>
      </vt:variant>
      <vt:variant>
        <vt:i4>0</vt:i4>
      </vt:variant>
      <vt:variant>
        <vt:i4>5</vt:i4>
      </vt:variant>
      <vt:variant>
        <vt:lpwstr/>
      </vt:variant>
      <vt:variant>
        <vt:lpwstr>_Toc411232175</vt:lpwstr>
      </vt:variant>
      <vt:variant>
        <vt:i4>1114167</vt:i4>
      </vt:variant>
      <vt:variant>
        <vt:i4>134</vt:i4>
      </vt:variant>
      <vt:variant>
        <vt:i4>0</vt:i4>
      </vt:variant>
      <vt:variant>
        <vt:i4>5</vt:i4>
      </vt:variant>
      <vt:variant>
        <vt:lpwstr/>
      </vt:variant>
      <vt:variant>
        <vt:lpwstr>_Toc411232174</vt:lpwstr>
      </vt:variant>
      <vt:variant>
        <vt:i4>1114167</vt:i4>
      </vt:variant>
      <vt:variant>
        <vt:i4>128</vt:i4>
      </vt:variant>
      <vt:variant>
        <vt:i4>0</vt:i4>
      </vt:variant>
      <vt:variant>
        <vt:i4>5</vt:i4>
      </vt:variant>
      <vt:variant>
        <vt:lpwstr/>
      </vt:variant>
      <vt:variant>
        <vt:lpwstr>_Toc411232173</vt:lpwstr>
      </vt:variant>
      <vt:variant>
        <vt:i4>1114167</vt:i4>
      </vt:variant>
      <vt:variant>
        <vt:i4>122</vt:i4>
      </vt:variant>
      <vt:variant>
        <vt:i4>0</vt:i4>
      </vt:variant>
      <vt:variant>
        <vt:i4>5</vt:i4>
      </vt:variant>
      <vt:variant>
        <vt:lpwstr/>
      </vt:variant>
      <vt:variant>
        <vt:lpwstr>_Toc411232172</vt:lpwstr>
      </vt:variant>
      <vt:variant>
        <vt:i4>1114167</vt:i4>
      </vt:variant>
      <vt:variant>
        <vt:i4>116</vt:i4>
      </vt:variant>
      <vt:variant>
        <vt:i4>0</vt:i4>
      </vt:variant>
      <vt:variant>
        <vt:i4>5</vt:i4>
      </vt:variant>
      <vt:variant>
        <vt:lpwstr/>
      </vt:variant>
      <vt:variant>
        <vt:lpwstr>_Toc411232171</vt:lpwstr>
      </vt:variant>
      <vt:variant>
        <vt:i4>1114167</vt:i4>
      </vt:variant>
      <vt:variant>
        <vt:i4>110</vt:i4>
      </vt:variant>
      <vt:variant>
        <vt:i4>0</vt:i4>
      </vt:variant>
      <vt:variant>
        <vt:i4>5</vt:i4>
      </vt:variant>
      <vt:variant>
        <vt:lpwstr/>
      </vt:variant>
      <vt:variant>
        <vt:lpwstr>_Toc411232170</vt:lpwstr>
      </vt:variant>
      <vt:variant>
        <vt:i4>1048631</vt:i4>
      </vt:variant>
      <vt:variant>
        <vt:i4>104</vt:i4>
      </vt:variant>
      <vt:variant>
        <vt:i4>0</vt:i4>
      </vt:variant>
      <vt:variant>
        <vt:i4>5</vt:i4>
      </vt:variant>
      <vt:variant>
        <vt:lpwstr/>
      </vt:variant>
      <vt:variant>
        <vt:lpwstr>_Toc411232169</vt:lpwstr>
      </vt:variant>
      <vt:variant>
        <vt:i4>1048631</vt:i4>
      </vt:variant>
      <vt:variant>
        <vt:i4>98</vt:i4>
      </vt:variant>
      <vt:variant>
        <vt:i4>0</vt:i4>
      </vt:variant>
      <vt:variant>
        <vt:i4>5</vt:i4>
      </vt:variant>
      <vt:variant>
        <vt:lpwstr/>
      </vt:variant>
      <vt:variant>
        <vt:lpwstr>_Toc411232168</vt:lpwstr>
      </vt:variant>
      <vt:variant>
        <vt:i4>1048631</vt:i4>
      </vt:variant>
      <vt:variant>
        <vt:i4>92</vt:i4>
      </vt:variant>
      <vt:variant>
        <vt:i4>0</vt:i4>
      </vt:variant>
      <vt:variant>
        <vt:i4>5</vt:i4>
      </vt:variant>
      <vt:variant>
        <vt:lpwstr/>
      </vt:variant>
      <vt:variant>
        <vt:lpwstr>_Toc411232167</vt:lpwstr>
      </vt:variant>
      <vt:variant>
        <vt:i4>1048631</vt:i4>
      </vt:variant>
      <vt:variant>
        <vt:i4>86</vt:i4>
      </vt:variant>
      <vt:variant>
        <vt:i4>0</vt:i4>
      </vt:variant>
      <vt:variant>
        <vt:i4>5</vt:i4>
      </vt:variant>
      <vt:variant>
        <vt:lpwstr/>
      </vt:variant>
      <vt:variant>
        <vt:lpwstr>_Toc411232166</vt:lpwstr>
      </vt:variant>
      <vt:variant>
        <vt:i4>1048631</vt:i4>
      </vt:variant>
      <vt:variant>
        <vt:i4>80</vt:i4>
      </vt:variant>
      <vt:variant>
        <vt:i4>0</vt:i4>
      </vt:variant>
      <vt:variant>
        <vt:i4>5</vt:i4>
      </vt:variant>
      <vt:variant>
        <vt:lpwstr/>
      </vt:variant>
      <vt:variant>
        <vt:lpwstr>_Toc411232165</vt:lpwstr>
      </vt:variant>
      <vt:variant>
        <vt:i4>1048631</vt:i4>
      </vt:variant>
      <vt:variant>
        <vt:i4>74</vt:i4>
      </vt:variant>
      <vt:variant>
        <vt:i4>0</vt:i4>
      </vt:variant>
      <vt:variant>
        <vt:i4>5</vt:i4>
      </vt:variant>
      <vt:variant>
        <vt:lpwstr/>
      </vt:variant>
      <vt:variant>
        <vt:lpwstr>_Toc411232164</vt:lpwstr>
      </vt:variant>
      <vt:variant>
        <vt:i4>1048631</vt:i4>
      </vt:variant>
      <vt:variant>
        <vt:i4>68</vt:i4>
      </vt:variant>
      <vt:variant>
        <vt:i4>0</vt:i4>
      </vt:variant>
      <vt:variant>
        <vt:i4>5</vt:i4>
      </vt:variant>
      <vt:variant>
        <vt:lpwstr/>
      </vt:variant>
      <vt:variant>
        <vt:lpwstr>_Toc411232163</vt:lpwstr>
      </vt:variant>
      <vt:variant>
        <vt:i4>1048631</vt:i4>
      </vt:variant>
      <vt:variant>
        <vt:i4>62</vt:i4>
      </vt:variant>
      <vt:variant>
        <vt:i4>0</vt:i4>
      </vt:variant>
      <vt:variant>
        <vt:i4>5</vt:i4>
      </vt:variant>
      <vt:variant>
        <vt:lpwstr/>
      </vt:variant>
      <vt:variant>
        <vt:lpwstr>_Toc411232162</vt:lpwstr>
      </vt:variant>
      <vt:variant>
        <vt:i4>1048631</vt:i4>
      </vt:variant>
      <vt:variant>
        <vt:i4>56</vt:i4>
      </vt:variant>
      <vt:variant>
        <vt:i4>0</vt:i4>
      </vt:variant>
      <vt:variant>
        <vt:i4>5</vt:i4>
      </vt:variant>
      <vt:variant>
        <vt:lpwstr/>
      </vt:variant>
      <vt:variant>
        <vt:lpwstr>_Toc411232161</vt:lpwstr>
      </vt:variant>
      <vt:variant>
        <vt:i4>1048631</vt:i4>
      </vt:variant>
      <vt:variant>
        <vt:i4>50</vt:i4>
      </vt:variant>
      <vt:variant>
        <vt:i4>0</vt:i4>
      </vt:variant>
      <vt:variant>
        <vt:i4>5</vt:i4>
      </vt:variant>
      <vt:variant>
        <vt:lpwstr/>
      </vt:variant>
      <vt:variant>
        <vt:lpwstr>_Toc411232160</vt:lpwstr>
      </vt:variant>
      <vt:variant>
        <vt:i4>1245239</vt:i4>
      </vt:variant>
      <vt:variant>
        <vt:i4>44</vt:i4>
      </vt:variant>
      <vt:variant>
        <vt:i4>0</vt:i4>
      </vt:variant>
      <vt:variant>
        <vt:i4>5</vt:i4>
      </vt:variant>
      <vt:variant>
        <vt:lpwstr/>
      </vt:variant>
      <vt:variant>
        <vt:lpwstr>_Toc411232159</vt:lpwstr>
      </vt:variant>
      <vt:variant>
        <vt:i4>1245239</vt:i4>
      </vt:variant>
      <vt:variant>
        <vt:i4>38</vt:i4>
      </vt:variant>
      <vt:variant>
        <vt:i4>0</vt:i4>
      </vt:variant>
      <vt:variant>
        <vt:i4>5</vt:i4>
      </vt:variant>
      <vt:variant>
        <vt:lpwstr/>
      </vt:variant>
      <vt:variant>
        <vt:lpwstr>_Toc411232158</vt:lpwstr>
      </vt:variant>
      <vt:variant>
        <vt:i4>1245239</vt:i4>
      </vt:variant>
      <vt:variant>
        <vt:i4>32</vt:i4>
      </vt:variant>
      <vt:variant>
        <vt:i4>0</vt:i4>
      </vt:variant>
      <vt:variant>
        <vt:i4>5</vt:i4>
      </vt:variant>
      <vt:variant>
        <vt:lpwstr/>
      </vt:variant>
      <vt:variant>
        <vt:lpwstr>_Toc411232157</vt:lpwstr>
      </vt:variant>
      <vt:variant>
        <vt:i4>1245239</vt:i4>
      </vt:variant>
      <vt:variant>
        <vt:i4>26</vt:i4>
      </vt:variant>
      <vt:variant>
        <vt:i4>0</vt:i4>
      </vt:variant>
      <vt:variant>
        <vt:i4>5</vt:i4>
      </vt:variant>
      <vt:variant>
        <vt:lpwstr/>
      </vt:variant>
      <vt:variant>
        <vt:lpwstr>_Toc411232156</vt:lpwstr>
      </vt:variant>
      <vt:variant>
        <vt:i4>1245239</vt:i4>
      </vt:variant>
      <vt:variant>
        <vt:i4>20</vt:i4>
      </vt:variant>
      <vt:variant>
        <vt:i4>0</vt:i4>
      </vt:variant>
      <vt:variant>
        <vt:i4>5</vt:i4>
      </vt:variant>
      <vt:variant>
        <vt:lpwstr/>
      </vt:variant>
      <vt:variant>
        <vt:lpwstr>_Toc411232155</vt:lpwstr>
      </vt:variant>
      <vt:variant>
        <vt:i4>1245239</vt:i4>
      </vt:variant>
      <vt:variant>
        <vt:i4>14</vt:i4>
      </vt:variant>
      <vt:variant>
        <vt:i4>0</vt:i4>
      </vt:variant>
      <vt:variant>
        <vt:i4>5</vt:i4>
      </vt:variant>
      <vt:variant>
        <vt:lpwstr/>
      </vt:variant>
      <vt:variant>
        <vt:lpwstr>_Toc411232154</vt:lpwstr>
      </vt:variant>
      <vt:variant>
        <vt:i4>1245239</vt:i4>
      </vt:variant>
      <vt:variant>
        <vt:i4>8</vt:i4>
      </vt:variant>
      <vt:variant>
        <vt:i4>0</vt:i4>
      </vt:variant>
      <vt:variant>
        <vt:i4>5</vt:i4>
      </vt:variant>
      <vt:variant>
        <vt:lpwstr/>
      </vt:variant>
      <vt:variant>
        <vt:lpwstr>_Toc411232153</vt:lpwstr>
      </vt:variant>
      <vt:variant>
        <vt:i4>1245239</vt:i4>
      </vt:variant>
      <vt:variant>
        <vt:i4>2</vt:i4>
      </vt:variant>
      <vt:variant>
        <vt:i4>0</vt:i4>
      </vt:variant>
      <vt:variant>
        <vt:i4>5</vt:i4>
      </vt:variant>
      <vt:variant>
        <vt:lpwstr/>
      </vt:variant>
      <vt:variant>
        <vt:lpwstr>_Toc411232152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EvalCo Sàrl Daniel Keller</dc:creator>
  <cp:keywords>FOR OFFICIAL USE ONLY</cp:keywords>
  <dc:description/>
  <cp:lastModifiedBy>ESTEVES DOS SANTOS Anabela</cp:lastModifiedBy>
  <cp:revision>3</cp:revision>
  <cp:lastPrinted>2019-09-20T08:28:00Z</cp:lastPrinted>
  <dcterms:created xsi:type="dcterms:W3CDTF">2019-10-03T16:03:00Z</dcterms:created>
  <dcterms:modified xsi:type="dcterms:W3CDTF">2019-10-04T13:01:00Z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532e8d5b-84c8-42e9-aabd-cff65f73f862</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