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B35232" w:rsidRPr="008B2CC1" w14:paraId="48CF8533" w14:textId="77777777" w:rsidTr="000227DD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21D02E85" w14:textId="77777777" w:rsidR="00B35232" w:rsidRPr="008B2CC1" w:rsidRDefault="00B35232" w:rsidP="000227DD">
            <w:bookmarkStart w:id="0" w:name="TitleOfDoc"/>
            <w:bookmarkStart w:id="1" w:name="_GoBack"/>
            <w:bookmarkEnd w:id="0"/>
            <w:bookmarkEnd w:id="1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A957AC9" w14:textId="77777777" w:rsidR="00B35232" w:rsidRPr="008B2CC1" w:rsidRDefault="00B35232" w:rsidP="000227DD">
            <w:r>
              <w:rPr>
                <w:noProof/>
                <w:lang w:val="en-US" w:eastAsia="en-US"/>
              </w:rPr>
              <w:drawing>
                <wp:inline distT="0" distB="0" distL="0" distR="0" wp14:anchorId="5F595E0F" wp14:editId="027A5360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3943C05" w14:textId="77777777" w:rsidR="00B35232" w:rsidRPr="008B2CC1" w:rsidRDefault="00B35232" w:rsidP="000227DD">
            <w:pPr>
              <w:jc w:val="right"/>
            </w:pPr>
            <w:r>
              <w:rPr>
                <w:b/>
                <w:sz w:val="40"/>
                <w:szCs w:val="40"/>
              </w:rPr>
              <w:t>F</w:t>
            </w:r>
          </w:p>
        </w:tc>
      </w:tr>
      <w:tr w:rsidR="00B35232" w:rsidRPr="001832A6" w14:paraId="18DC89C1" w14:textId="77777777" w:rsidTr="000227DD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5C35D941" w14:textId="77777777" w:rsidR="00B35232" w:rsidRPr="0090731E" w:rsidRDefault="00B35232" w:rsidP="000227D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CDIP/23/</w:t>
            </w:r>
            <w:bookmarkStart w:id="2" w:name="Code"/>
            <w:bookmarkEnd w:id="2"/>
            <w:r>
              <w:rPr>
                <w:rFonts w:ascii="Arial Black" w:hAnsi="Arial Black"/>
                <w:caps/>
                <w:sz w:val="15"/>
              </w:rPr>
              <w:t>INF/2</w:t>
            </w:r>
          </w:p>
        </w:tc>
      </w:tr>
      <w:tr w:rsidR="00B35232" w:rsidRPr="001832A6" w14:paraId="330F1334" w14:textId="77777777" w:rsidTr="000227D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5F9D5D3F" w14:textId="7E3E2330" w:rsidR="00B35232" w:rsidRPr="0090731E" w:rsidRDefault="00B35232" w:rsidP="000227D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</w:t>
            </w:r>
            <w:r w:rsidR="002A7364">
              <w:rPr>
                <w:rFonts w:ascii="Arial Black" w:hAnsi="Arial Black"/>
                <w:caps/>
                <w:sz w:val="15"/>
              </w:rPr>
              <w:t> 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Original"/>
            <w:bookmarkEnd w:id="3"/>
            <w:r>
              <w:rPr>
                <w:rFonts w:ascii="Arial Black" w:hAnsi="Arial Black"/>
                <w:caps/>
                <w:sz w:val="15"/>
              </w:rPr>
              <w:t>anglais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B35232" w:rsidRPr="001832A6" w14:paraId="641476AD" w14:textId="77777777" w:rsidTr="000227D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64607925" w14:textId="3DE0FD42" w:rsidR="00B35232" w:rsidRPr="0090731E" w:rsidRDefault="00B35232" w:rsidP="000227D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</w:t>
            </w:r>
            <w:r w:rsidR="002A7364">
              <w:rPr>
                <w:rFonts w:ascii="Arial Black" w:hAnsi="Arial Black"/>
                <w:caps/>
                <w:sz w:val="15"/>
              </w:rPr>
              <w:t> 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4" w:name="Date"/>
            <w:bookmarkEnd w:id="4"/>
            <w:r>
              <w:rPr>
                <w:rFonts w:ascii="Arial Black" w:hAnsi="Arial Black"/>
                <w:caps/>
                <w:sz w:val="15"/>
              </w:rPr>
              <w:t>2</w:t>
            </w:r>
            <w:r w:rsidR="002A7364">
              <w:rPr>
                <w:rFonts w:ascii="Arial Black" w:hAnsi="Arial Black"/>
                <w:caps/>
                <w:sz w:val="15"/>
              </w:rPr>
              <w:t>4 avril 20</w:t>
            </w:r>
            <w:r>
              <w:rPr>
                <w:rFonts w:ascii="Arial Black" w:hAnsi="Arial Black"/>
                <w:caps/>
                <w:sz w:val="15"/>
              </w:rPr>
              <w:t>19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14:paraId="0019BCD1" w14:textId="77777777" w:rsidR="00B35232" w:rsidRPr="008B2CC1" w:rsidRDefault="00B35232" w:rsidP="00B35232"/>
    <w:p w14:paraId="766D5BF7" w14:textId="77777777" w:rsidR="00B35232" w:rsidRPr="008B2CC1" w:rsidRDefault="00B35232" w:rsidP="00B35232"/>
    <w:p w14:paraId="5C6DFBDB" w14:textId="77777777" w:rsidR="00B35232" w:rsidRPr="008B2CC1" w:rsidRDefault="00B35232" w:rsidP="00B35232"/>
    <w:p w14:paraId="0263E20B" w14:textId="77777777" w:rsidR="00B35232" w:rsidRPr="008B2CC1" w:rsidRDefault="00B35232" w:rsidP="00B35232"/>
    <w:p w14:paraId="4CE37F89" w14:textId="77777777" w:rsidR="00B35232" w:rsidRPr="008B2CC1" w:rsidRDefault="00B35232" w:rsidP="00B35232"/>
    <w:p w14:paraId="4EA085CF" w14:textId="77777777" w:rsidR="00B35232" w:rsidRPr="003845C1" w:rsidRDefault="00B35232" w:rsidP="00B35232">
      <w:pPr>
        <w:rPr>
          <w:b/>
          <w:sz w:val="28"/>
          <w:szCs w:val="28"/>
        </w:rPr>
      </w:pPr>
      <w:r w:rsidRPr="00B31DEE">
        <w:rPr>
          <w:b/>
          <w:sz w:val="28"/>
          <w:szCs w:val="28"/>
          <w:lang w:val="fr-FR"/>
        </w:rPr>
        <w:t>Comité du développement et de la propriété intellectuelle (CDIP)</w:t>
      </w:r>
    </w:p>
    <w:p w14:paraId="7F3A3B46" w14:textId="77777777" w:rsidR="00B35232" w:rsidRDefault="00B35232" w:rsidP="00B35232"/>
    <w:p w14:paraId="7800EDE7" w14:textId="77777777" w:rsidR="00B35232" w:rsidRDefault="00B35232" w:rsidP="00B35232"/>
    <w:p w14:paraId="56B3B253" w14:textId="19A85DA1" w:rsidR="00B35232" w:rsidRPr="003845C1" w:rsidRDefault="00B35232" w:rsidP="00B35232">
      <w:pPr>
        <w:rPr>
          <w:b/>
          <w:sz w:val="24"/>
          <w:szCs w:val="24"/>
        </w:rPr>
      </w:pPr>
      <w:r>
        <w:rPr>
          <w:b/>
          <w:sz w:val="24"/>
          <w:szCs w:val="24"/>
          <w:lang w:val="fr-FR"/>
        </w:rPr>
        <w:t>Vingt</w:t>
      </w:r>
      <w:r w:rsidR="002A7364">
        <w:rPr>
          <w:b/>
          <w:sz w:val="24"/>
          <w:szCs w:val="24"/>
          <w:lang w:val="fr-FR"/>
        </w:rPr>
        <w:t>-</w:t>
      </w:r>
      <w:r>
        <w:rPr>
          <w:b/>
          <w:sz w:val="24"/>
          <w:szCs w:val="24"/>
          <w:lang w:val="fr-FR"/>
        </w:rPr>
        <w:t>trois</w:t>
      </w:r>
      <w:r w:rsidR="002A7364">
        <w:rPr>
          <w:b/>
          <w:sz w:val="24"/>
          <w:szCs w:val="24"/>
          <w:lang w:val="fr-FR"/>
        </w:rPr>
        <w:t>ième session</w:t>
      </w:r>
    </w:p>
    <w:p w14:paraId="46CCFA49" w14:textId="77777777" w:rsidR="00B35232" w:rsidRPr="003845C1" w:rsidRDefault="00B35232" w:rsidP="00B35232">
      <w:pPr>
        <w:rPr>
          <w:b/>
          <w:sz w:val="24"/>
          <w:szCs w:val="24"/>
        </w:rPr>
      </w:pPr>
      <w:r>
        <w:rPr>
          <w:b/>
          <w:sz w:val="24"/>
          <w:szCs w:val="24"/>
          <w:lang w:val="fr-FR"/>
        </w:rPr>
        <w:t>Genève, 20</w:t>
      </w:r>
      <w:r w:rsidRPr="00B31DEE">
        <w:rPr>
          <w:b/>
          <w:sz w:val="24"/>
          <w:szCs w:val="24"/>
          <w:lang w:val="fr-FR"/>
        </w:rPr>
        <w:t xml:space="preserve"> – </w:t>
      </w:r>
      <w:r>
        <w:rPr>
          <w:b/>
          <w:sz w:val="24"/>
          <w:szCs w:val="24"/>
          <w:lang w:val="fr-FR"/>
        </w:rPr>
        <w:t>24</w:t>
      </w:r>
      <w:r w:rsidRPr="00B31DEE">
        <w:rPr>
          <w:b/>
          <w:sz w:val="24"/>
          <w:szCs w:val="24"/>
          <w:lang w:val="fr-FR"/>
        </w:rPr>
        <w:t> </w:t>
      </w:r>
      <w:r>
        <w:rPr>
          <w:b/>
          <w:sz w:val="24"/>
          <w:szCs w:val="24"/>
          <w:lang w:val="fr-FR"/>
        </w:rPr>
        <w:t>mai 2019</w:t>
      </w:r>
    </w:p>
    <w:p w14:paraId="40AA9E15" w14:textId="77777777" w:rsidR="00B35232" w:rsidRPr="008B2CC1" w:rsidRDefault="00B35232" w:rsidP="00B35232"/>
    <w:p w14:paraId="6C7F641E" w14:textId="77777777" w:rsidR="00B35232" w:rsidRPr="008B2CC1" w:rsidRDefault="00B35232" w:rsidP="00B35232"/>
    <w:p w14:paraId="6E30C097" w14:textId="77777777" w:rsidR="00B35232" w:rsidRPr="008B2CC1" w:rsidRDefault="00B35232" w:rsidP="00B35232"/>
    <w:p w14:paraId="1B5D4832" w14:textId="4E1AA207" w:rsidR="00A835DE" w:rsidRPr="00B35232" w:rsidRDefault="00B35232" w:rsidP="0052767C">
      <w:pPr>
        <w:rPr>
          <w:caps/>
          <w:sz w:val="24"/>
        </w:rPr>
      </w:pPr>
      <w:r w:rsidRPr="00B35232">
        <w:rPr>
          <w:caps/>
          <w:sz w:val="24"/>
        </w:rPr>
        <w:t>Résumé de l</w:t>
      </w:r>
      <w:r w:rsidR="002A7364">
        <w:rPr>
          <w:caps/>
          <w:sz w:val="24"/>
        </w:rPr>
        <w:t>’</w:t>
      </w:r>
      <w:r w:rsidRPr="00B35232">
        <w:rPr>
          <w:caps/>
          <w:sz w:val="24"/>
        </w:rPr>
        <w:t>étude sur l</w:t>
      </w:r>
      <w:r w:rsidR="002A7364">
        <w:rPr>
          <w:caps/>
          <w:sz w:val="24"/>
        </w:rPr>
        <w:t>’</w:t>
      </w:r>
      <w:r w:rsidRPr="00B35232">
        <w:rPr>
          <w:caps/>
          <w:sz w:val="24"/>
        </w:rPr>
        <w:t>utilisation du système de la propriété intellectuelle dans le secteur minier au Brésil et au Chili</w:t>
      </w:r>
    </w:p>
    <w:p w14:paraId="64A76E2C" w14:textId="77777777" w:rsidR="00A835DE" w:rsidRPr="00F21303" w:rsidRDefault="00A835DE" w:rsidP="00C46C5B"/>
    <w:p w14:paraId="0A93D0FB" w14:textId="07ED5C57" w:rsidR="00A835DE" w:rsidRPr="00F21303" w:rsidRDefault="0052767C" w:rsidP="0052767C">
      <w:pPr>
        <w:rPr>
          <w:i/>
        </w:rPr>
      </w:pPr>
      <w:bookmarkStart w:id="5" w:name="Prepared"/>
      <w:bookmarkEnd w:id="5"/>
      <w:r w:rsidRPr="00F21303">
        <w:rPr>
          <w:i/>
        </w:rPr>
        <w:t xml:space="preserve">établi par le </w:t>
      </w:r>
      <w:r w:rsidR="00977578">
        <w:rPr>
          <w:i/>
        </w:rPr>
        <w:t>Secrétariat</w:t>
      </w:r>
    </w:p>
    <w:p w14:paraId="63C4EFCB" w14:textId="77777777" w:rsidR="00A835DE" w:rsidRPr="00F21303" w:rsidRDefault="00A835DE" w:rsidP="00C46C5B"/>
    <w:p w14:paraId="15302AF2" w14:textId="77777777" w:rsidR="00A835DE" w:rsidRPr="00F21303" w:rsidRDefault="00A835DE" w:rsidP="00C46C5B"/>
    <w:p w14:paraId="73EC447A" w14:textId="77777777" w:rsidR="00A835DE" w:rsidRPr="00F21303" w:rsidRDefault="00A835DE" w:rsidP="00C46C5B"/>
    <w:p w14:paraId="4A0BEFDC" w14:textId="77777777" w:rsidR="00A835DE" w:rsidRPr="00F21303" w:rsidRDefault="00A835DE" w:rsidP="00C46C5B"/>
    <w:p w14:paraId="46FDA85B" w14:textId="77777777" w:rsidR="00A835DE" w:rsidRPr="00F21303" w:rsidRDefault="00A835DE" w:rsidP="00C46C5B"/>
    <w:p w14:paraId="3F4FBBBB" w14:textId="5685F49D" w:rsidR="00A835DE" w:rsidRPr="00F21303" w:rsidRDefault="00D24EA1" w:rsidP="00B35232">
      <w:pPr>
        <w:pStyle w:val="ONUMFS"/>
      </w:pPr>
      <w:r w:rsidRPr="00F21303">
        <w:t>L</w:t>
      </w:r>
      <w:r w:rsidR="002A7364">
        <w:t>’</w:t>
      </w:r>
      <w:r w:rsidRPr="00F21303">
        <w:t>annexe du présent document contient un résumé de l</w:t>
      </w:r>
      <w:r w:rsidR="002A7364">
        <w:t>’</w:t>
      </w:r>
      <w:r w:rsidRPr="00F21303">
        <w:t>étude sur l</w:t>
      </w:r>
      <w:r w:rsidR="002A7364">
        <w:t>’</w:t>
      </w:r>
      <w:r w:rsidRPr="00F21303">
        <w:t xml:space="preserve">utilisation du système de la propriété intellectuelle dans le secteur minier au Brésil et au Chili dans le cadre du Projet relatif à la propriété intellectuelle et au développement socioéconomique </w:t>
      </w:r>
      <w:r w:rsidR="00977578">
        <w:t>–</w:t>
      </w:r>
      <w:r w:rsidRPr="00F21303">
        <w:t xml:space="preserve"> Phase</w:t>
      </w:r>
      <w:r w:rsidR="00977578">
        <w:t> </w:t>
      </w:r>
      <w:r w:rsidRPr="00F21303">
        <w:t>II (CDIP/14/7).</w:t>
      </w:r>
      <w:r w:rsidR="00136225" w:rsidRPr="00F21303">
        <w:t xml:space="preserve"> </w:t>
      </w:r>
      <w:r w:rsidR="00BB4085" w:rsidRPr="00F21303">
        <w:t xml:space="preserve"> </w:t>
      </w:r>
      <w:r w:rsidRPr="00F21303">
        <w:t>Cette étude a été réalisée en coordinatio</w:t>
      </w:r>
      <w:r w:rsidR="00EC2323">
        <w:t>n avec le Secrétariat de l</w:t>
      </w:r>
      <w:r w:rsidR="002A7364">
        <w:t>’</w:t>
      </w:r>
      <w:r w:rsidR="00EC2323">
        <w:t>OMPI et</w:t>
      </w:r>
      <w:r w:rsidRPr="00F21303">
        <w:t xml:space="preserve"> </w:t>
      </w:r>
      <w:r w:rsidR="009C2914">
        <w:t xml:space="preserve">avec la collaboration de </w:t>
      </w:r>
      <w:r w:rsidRPr="00F21303">
        <w:t>l</w:t>
      </w:r>
      <w:r w:rsidR="002A7364">
        <w:t>’</w:t>
      </w:r>
      <w:r w:rsidRPr="00F21303">
        <w:t xml:space="preserve">Office des brevets du Brésil (INPI) et </w:t>
      </w:r>
      <w:r w:rsidR="009C2914">
        <w:t xml:space="preserve">de </w:t>
      </w:r>
      <w:r w:rsidRPr="00F21303">
        <w:t>l</w:t>
      </w:r>
      <w:r w:rsidR="002A7364">
        <w:t>’</w:t>
      </w:r>
      <w:r w:rsidRPr="00F21303">
        <w:t>Office des brevets du Chili (INAPI).</w:t>
      </w:r>
    </w:p>
    <w:p w14:paraId="6DE33D1D" w14:textId="4131B1CD" w:rsidR="00A835DE" w:rsidRPr="00B35232" w:rsidRDefault="00D24EA1" w:rsidP="00B35232">
      <w:pPr>
        <w:pStyle w:val="ONUMFS"/>
        <w:ind w:left="5533"/>
        <w:rPr>
          <w:i/>
        </w:rPr>
      </w:pPr>
      <w:r w:rsidRPr="00B35232">
        <w:rPr>
          <w:i/>
        </w:rPr>
        <w:t xml:space="preserve">Le CDIP est invité à prendre note des informations </w:t>
      </w:r>
      <w:r w:rsidR="009C2914" w:rsidRPr="00B35232">
        <w:rPr>
          <w:i/>
        </w:rPr>
        <w:t>contenues</w:t>
      </w:r>
      <w:r w:rsidRPr="00B35232">
        <w:rPr>
          <w:i/>
        </w:rPr>
        <w:t xml:space="preserve"> dans l</w:t>
      </w:r>
      <w:r w:rsidR="002A7364">
        <w:rPr>
          <w:i/>
        </w:rPr>
        <w:t>’</w:t>
      </w:r>
      <w:r w:rsidRPr="00B35232">
        <w:rPr>
          <w:i/>
        </w:rPr>
        <w:t>annexe du présent document.</w:t>
      </w:r>
    </w:p>
    <w:p w14:paraId="41AC7693" w14:textId="77777777" w:rsidR="00A835DE" w:rsidRPr="00F21303" w:rsidRDefault="00A835DE" w:rsidP="00C46C5B">
      <w:pPr>
        <w:ind w:left="5534"/>
      </w:pPr>
    </w:p>
    <w:p w14:paraId="101C114E" w14:textId="77777777" w:rsidR="00A835DE" w:rsidRPr="00F21303" w:rsidRDefault="00A835DE" w:rsidP="00C46C5B">
      <w:pPr>
        <w:ind w:left="5534"/>
      </w:pPr>
    </w:p>
    <w:p w14:paraId="34785962" w14:textId="609A4E1D" w:rsidR="00C46C5B" w:rsidRDefault="00D24EA1" w:rsidP="00D24EA1">
      <w:pPr>
        <w:ind w:left="5580"/>
      </w:pPr>
      <w:r w:rsidRPr="00F21303">
        <w:t>[L</w:t>
      </w:r>
      <w:r w:rsidR="002A7364">
        <w:t>’</w:t>
      </w:r>
      <w:r w:rsidRPr="00F21303">
        <w:t>annexe suit]</w:t>
      </w:r>
    </w:p>
    <w:p w14:paraId="6BCF9487" w14:textId="3AFD1D38" w:rsidR="00B35232" w:rsidRDefault="00B35232" w:rsidP="00B35232"/>
    <w:p w14:paraId="1B56C5D6" w14:textId="77777777" w:rsidR="00B35232" w:rsidRPr="00F21303" w:rsidRDefault="00B35232" w:rsidP="00D24EA1">
      <w:pPr>
        <w:ind w:left="5580"/>
        <w:sectPr w:rsidR="00B35232" w:rsidRPr="00F21303" w:rsidSect="00B3523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6" w:h="16840" w:code="9"/>
          <w:pgMar w:top="567" w:right="1134" w:bottom="1417" w:left="1417" w:header="510" w:footer="1020" w:gutter="0"/>
          <w:cols w:space="720"/>
          <w:titlePg/>
          <w:docGrid w:linePitch="299"/>
        </w:sectPr>
      </w:pPr>
    </w:p>
    <w:p w14:paraId="6E899AA7" w14:textId="6AA5B203" w:rsidR="00A835DE" w:rsidRPr="00F21303" w:rsidRDefault="00B35232" w:rsidP="00B35232">
      <w:pPr>
        <w:pStyle w:val="Heading1"/>
      </w:pPr>
      <w:r w:rsidRPr="00F21303">
        <w:lastRenderedPageBreak/>
        <w:t>Utilisation du système de la propriété intellectuelle dans le secteur minier au Brésil et au Chi</w:t>
      </w:r>
      <w:r>
        <w:t>li</w:t>
      </w:r>
    </w:p>
    <w:p w14:paraId="2FFEF281" w14:textId="77777777" w:rsidR="00A835DE" w:rsidRPr="00F21303" w:rsidRDefault="00A835DE" w:rsidP="00B35232"/>
    <w:p w14:paraId="4C13858D" w14:textId="7EB55984" w:rsidR="002A7364" w:rsidRDefault="002A7364" w:rsidP="00B35232">
      <w:pPr>
        <w:pStyle w:val="ONUMFS"/>
        <w:numPr>
          <w:ilvl w:val="0"/>
          <w:numId w:val="0"/>
        </w:numPr>
      </w:pPr>
      <w:r w:rsidRPr="00F21303">
        <w:t>En</w:t>
      </w:r>
      <w:r>
        <w:t> </w:t>
      </w:r>
      <w:r w:rsidRPr="00F21303">
        <w:t>2017</w:t>
      </w:r>
      <w:r w:rsidR="00D24EA1" w:rsidRPr="00F21303">
        <w:t>, les gouvernement</w:t>
      </w:r>
      <w:r w:rsidR="000A34C2">
        <w:t>s</w:t>
      </w:r>
      <w:r w:rsidR="00D24EA1" w:rsidRPr="00F21303">
        <w:t xml:space="preserve"> brésilien et chilien ont fait part à l</w:t>
      </w:r>
      <w:r>
        <w:t>’</w:t>
      </w:r>
      <w:r w:rsidR="00D24EA1" w:rsidRPr="00F21303">
        <w:t xml:space="preserve">Organisation Mondiale de la Propriété Intellectuelle (OMPI) de leur volonté de participer au </w:t>
      </w:r>
      <w:r w:rsidR="000A34C2" w:rsidRPr="00F21303">
        <w:t>P</w:t>
      </w:r>
      <w:r w:rsidR="00D24EA1" w:rsidRPr="00F21303">
        <w:t>rojet relatif à la propriété intellectuelle et au développement – Phase</w:t>
      </w:r>
      <w:r w:rsidR="00977578">
        <w:t> </w:t>
      </w:r>
      <w:r w:rsidR="00D24EA1" w:rsidRPr="00F21303">
        <w:t xml:space="preserve">II (voir le </w:t>
      </w:r>
      <w:r w:rsidRPr="00F21303">
        <w:t>document</w:t>
      </w:r>
      <w:r>
        <w:t xml:space="preserve"> </w:t>
      </w:r>
      <w:r w:rsidRPr="00F21303">
        <w:t>CD</w:t>
      </w:r>
      <w:r w:rsidR="00D24EA1" w:rsidRPr="00F21303">
        <w:t>IP/14/7) mis en œuvre par le Comité du développement et de la propriété intellectuelle (CDIP).</w:t>
      </w:r>
      <w:r w:rsidR="00C46C5B" w:rsidRPr="00F21303">
        <w:t xml:space="preserve"> </w:t>
      </w:r>
      <w:r w:rsidR="00D41D38" w:rsidRPr="00F21303">
        <w:t xml:space="preserve"> </w:t>
      </w:r>
      <w:r w:rsidR="000A34C2">
        <w:t xml:space="preserve">Ils ont </w:t>
      </w:r>
      <w:r w:rsidR="00EC2323">
        <w:t>effectué</w:t>
      </w:r>
      <w:r w:rsidR="000A34C2">
        <w:t xml:space="preserve"> </w:t>
      </w:r>
      <w:r w:rsidR="00A97E04" w:rsidRPr="00F21303">
        <w:t xml:space="preserve">un suivi des études menées </w:t>
      </w:r>
      <w:r w:rsidR="008016EA">
        <w:t xml:space="preserve">dans leurs pays lors </w:t>
      </w:r>
      <w:r w:rsidR="00A97E04" w:rsidRPr="00F21303">
        <w:t xml:space="preserve">de la </w:t>
      </w:r>
      <w:r w:rsidR="00EC2323">
        <w:t>première p</w:t>
      </w:r>
      <w:r w:rsidR="00A97E04" w:rsidRPr="00F21303">
        <w:t>hase (CDIP/5/7).</w:t>
      </w:r>
      <w:r w:rsidR="002B32DD" w:rsidRPr="00F21303">
        <w:t xml:space="preserve"> </w:t>
      </w:r>
      <w:r w:rsidR="00C46C5B" w:rsidRPr="00F21303">
        <w:t xml:space="preserve"> </w:t>
      </w:r>
      <w:r w:rsidR="005B4A2B" w:rsidRPr="00F21303">
        <w:t>Compte tenu de l</w:t>
      </w:r>
      <w:r>
        <w:t>’</w:t>
      </w:r>
      <w:r w:rsidR="005B4A2B" w:rsidRPr="00F21303">
        <w:t xml:space="preserve">importance du secteur minier </w:t>
      </w:r>
      <w:r w:rsidR="008016EA">
        <w:t>au Brésil et au Chili</w:t>
      </w:r>
      <w:r w:rsidR="005B4A2B" w:rsidRPr="00F21303">
        <w:t>, il a été convenu d</w:t>
      </w:r>
      <w:r>
        <w:t>’</w:t>
      </w:r>
      <w:r w:rsidR="005B4A2B" w:rsidRPr="00F21303">
        <w:t>inclure les études de suivi dans l</w:t>
      </w:r>
      <w:r>
        <w:t>’</w:t>
      </w:r>
      <w:r w:rsidR="005B4A2B" w:rsidRPr="00F21303">
        <w:t xml:space="preserve">étude économique en cours sur les </w:t>
      </w:r>
      <w:r w:rsidR="000A34C2">
        <w:t>tendances mondiales en matière</w:t>
      </w:r>
      <w:r w:rsidR="005B4A2B" w:rsidRPr="00F21303">
        <w:t xml:space="preserve"> d</w:t>
      </w:r>
      <w:r>
        <w:t>’</w:t>
      </w:r>
      <w:r w:rsidR="005B4A2B" w:rsidRPr="00F21303">
        <w:t>innovation dans l</w:t>
      </w:r>
      <w:r>
        <w:t>’</w:t>
      </w:r>
      <w:r w:rsidR="005B4A2B" w:rsidRPr="00F21303">
        <w:t>industrie minière et le rôle de la propriété intellectuelle.</w:t>
      </w:r>
    </w:p>
    <w:p w14:paraId="70BDD92A" w14:textId="4E335E63" w:rsidR="00B35232" w:rsidRDefault="004105BF" w:rsidP="00B35232">
      <w:pPr>
        <w:pStyle w:val="ONUMFS"/>
        <w:numPr>
          <w:ilvl w:val="0"/>
          <w:numId w:val="0"/>
        </w:numPr>
      </w:pPr>
      <w:r w:rsidRPr="00F21303">
        <w:t xml:space="preserve">La </w:t>
      </w:r>
      <w:r w:rsidR="00EC2323">
        <w:t>conception</w:t>
      </w:r>
      <w:r w:rsidRPr="00F21303">
        <w:t xml:space="preserve"> de cette étude mondiale </w:t>
      </w:r>
      <w:r w:rsidR="008016EA">
        <w:t xml:space="preserve">repose </w:t>
      </w:r>
      <w:r w:rsidRPr="00F21303">
        <w:t>directe</w:t>
      </w:r>
      <w:r w:rsidR="000A34C2">
        <w:t>ment</w:t>
      </w:r>
      <w:r w:rsidRPr="00F21303">
        <w:t xml:space="preserve"> </w:t>
      </w:r>
      <w:r w:rsidR="008016EA">
        <w:t xml:space="preserve">sur les </w:t>
      </w:r>
      <w:r w:rsidRPr="00F21303">
        <w:t xml:space="preserve">travaux menés au Chili et au Brésil </w:t>
      </w:r>
      <w:r w:rsidR="000A34C2">
        <w:t xml:space="preserve">durant </w:t>
      </w:r>
      <w:r w:rsidRPr="00F21303">
        <w:t>la première phase de l</w:t>
      </w:r>
      <w:r w:rsidR="002A7364">
        <w:t>’</w:t>
      </w:r>
      <w:r w:rsidRPr="00F21303">
        <w:t xml:space="preserve">étude, qui ont </w:t>
      </w:r>
      <w:r w:rsidR="000A34C2">
        <w:t xml:space="preserve">montré que les parties prenantes </w:t>
      </w:r>
      <w:r w:rsidRPr="00F21303">
        <w:t>de l</w:t>
      </w:r>
      <w:r w:rsidR="002A7364">
        <w:t>’</w:t>
      </w:r>
      <w:r w:rsidRPr="00F21303">
        <w:t xml:space="preserve">industrie minière </w:t>
      </w:r>
      <w:r w:rsidR="00EC2323">
        <w:t xml:space="preserve">de chaque pays </w:t>
      </w:r>
      <w:r w:rsidR="000A34C2">
        <w:t xml:space="preserve">utilisaient le système des </w:t>
      </w:r>
      <w:r w:rsidRPr="00F21303">
        <w:t xml:space="preserve">brevets pour </w:t>
      </w:r>
      <w:r w:rsidR="000A34C2">
        <w:t xml:space="preserve">tirer avantage </w:t>
      </w:r>
      <w:r w:rsidRPr="00F21303">
        <w:t xml:space="preserve">de leurs efforts </w:t>
      </w:r>
      <w:r w:rsidR="008016EA">
        <w:t>en matière</w:t>
      </w:r>
      <w:r w:rsidR="000A34C2">
        <w:t xml:space="preserve"> d</w:t>
      </w:r>
      <w:r w:rsidR="002A7364">
        <w:t>’</w:t>
      </w:r>
      <w:r w:rsidR="000A34C2">
        <w:t>innovati</w:t>
      </w:r>
      <w:r w:rsidR="00DA65E5">
        <w:t xml:space="preserve">on.  </w:t>
      </w:r>
      <w:r w:rsidR="00DA65E5" w:rsidRPr="00F21303">
        <w:t>De</w:t>
      </w:r>
      <w:r w:rsidR="007D161A" w:rsidRPr="00F21303">
        <w:t xml:space="preserve">s consultations informelles </w:t>
      </w:r>
      <w:r w:rsidR="008837F1">
        <w:t>avec des économistes d</w:t>
      </w:r>
      <w:r w:rsidR="002A7364">
        <w:t>’</w:t>
      </w:r>
      <w:r w:rsidR="007D161A" w:rsidRPr="00F21303">
        <w:t xml:space="preserve">offices de propriété intellectuelle, </w:t>
      </w:r>
      <w:r w:rsidR="008837F1">
        <w:t>comme</w:t>
      </w:r>
      <w:r w:rsidR="007D161A" w:rsidRPr="00F21303">
        <w:t xml:space="preserve"> IP</w:t>
      </w:r>
      <w:r w:rsidR="003A422A">
        <w:t> </w:t>
      </w:r>
      <w:r w:rsidR="007D161A" w:rsidRPr="00F21303">
        <w:t>Australia, l</w:t>
      </w:r>
      <w:r w:rsidR="002A7364">
        <w:t>’</w:t>
      </w:r>
      <w:r w:rsidR="007D161A" w:rsidRPr="00F21303">
        <w:t>Office de la propriété intellectuelle du Canada (OPIC) et l</w:t>
      </w:r>
      <w:r w:rsidR="002A7364">
        <w:t>’</w:t>
      </w:r>
      <w:r w:rsidR="007D161A" w:rsidRPr="00F21303">
        <w:t>Office des brevets et des marques des États</w:t>
      </w:r>
      <w:r w:rsidR="002A7364">
        <w:t>-</w:t>
      </w:r>
      <w:r w:rsidR="007D161A" w:rsidRPr="00F21303">
        <w:t>Unis d</w:t>
      </w:r>
      <w:r w:rsidR="002A7364">
        <w:t>’</w:t>
      </w:r>
      <w:r w:rsidR="007D161A" w:rsidRPr="00F21303">
        <w:t>Amérique (USPTO), et des experts du secteur ont confirmé la pertinence et l</w:t>
      </w:r>
      <w:r w:rsidR="002A7364">
        <w:t>’</w:t>
      </w:r>
      <w:r w:rsidR="007D161A" w:rsidRPr="00F21303">
        <w:t>intérêt du suj</w:t>
      </w:r>
      <w:r w:rsidR="00DA65E5" w:rsidRPr="00F21303">
        <w:t>et</w:t>
      </w:r>
      <w:r w:rsidR="00DA65E5">
        <w:t xml:space="preserve">.  </w:t>
      </w:r>
      <w:r w:rsidR="00DA65E5" w:rsidRPr="00F21303">
        <w:t>L</w:t>
      </w:r>
      <w:r w:rsidR="00DA65E5">
        <w:t>’</w:t>
      </w:r>
      <w:r w:rsidR="00DA65E5" w:rsidRPr="00F21303">
        <w:t>é</w:t>
      </w:r>
      <w:r w:rsidR="008370EA" w:rsidRPr="00F21303">
        <w:t xml:space="preserve">tude analyse les principales tendances mondiales en </w:t>
      </w:r>
      <w:r w:rsidR="008837F1">
        <w:t>matière</w:t>
      </w:r>
      <w:r w:rsidR="008370EA" w:rsidRPr="00F21303">
        <w:t xml:space="preserve"> d</w:t>
      </w:r>
      <w:r w:rsidR="002A7364">
        <w:t>’</w:t>
      </w:r>
      <w:r w:rsidR="008370EA" w:rsidRPr="00F21303">
        <w:t>innovation et d</w:t>
      </w:r>
      <w:r w:rsidR="002A7364">
        <w:t>’</w:t>
      </w:r>
      <w:r w:rsidR="008370EA" w:rsidRPr="00F21303">
        <w:t>utilisation de la propriété intellectuelle</w:t>
      </w:r>
      <w:r w:rsidR="00EC2323" w:rsidRPr="00EC2323">
        <w:t xml:space="preserve"> </w:t>
      </w:r>
      <w:r w:rsidR="00EC2323" w:rsidRPr="00F21303">
        <w:t>dans le secteur mini</w:t>
      </w:r>
      <w:r w:rsidR="00DA65E5" w:rsidRPr="00F21303">
        <w:t>er</w:t>
      </w:r>
      <w:r w:rsidR="00DA65E5">
        <w:t xml:space="preserve">.  </w:t>
      </w:r>
      <w:r w:rsidR="00DA65E5" w:rsidRPr="00F21303">
        <w:t>El</w:t>
      </w:r>
      <w:r w:rsidR="008370EA" w:rsidRPr="00F21303">
        <w:t xml:space="preserve">le porte notamment sur les </w:t>
      </w:r>
      <w:r w:rsidR="008837F1">
        <w:t xml:space="preserve">tendances nationales </w:t>
      </w:r>
      <w:r w:rsidR="00EC2323">
        <w:t xml:space="preserve">concernant la </w:t>
      </w:r>
      <w:r w:rsidR="008837F1">
        <w:t>spécialisation techn</w:t>
      </w:r>
      <w:r w:rsidR="008370EA" w:rsidRPr="00F21303">
        <w:t>ique, l</w:t>
      </w:r>
      <w:r w:rsidR="002A7364">
        <w:t>’</w:t>
      </w:r>
      <w:r w:rsidR="008370EA" w:rsidRPr="00F21303">
        <w:t xml:space="preserve">évolution dans le domaine technique et le rôle </w:t>
      </w:r>
      <w:r w:rsidR="00EC2323">
        <w:t>joué par</w:t>
      </w:r>
      <w:r w:rsidR="008370EA" w:rsidRPr="00F21303">
        <w:t xml:space="preserve"> la propriété intellectuelle dans la protection et le transfert des innovations liées à l</w:t>
      </w:r>
      <w:r w:rsidR="002A7364">
        <w:t>’</w:t>
      </w:r>
      <w:r w:rsidR="008370EA" w:rsidRPr="00F21303">
        <w:t>exploitation minière.</w:t>
      </w:r>
    </w:p>
    <w:p w14:paraId="6DEB1595" w14:textId="251966F2" w:rsidR="002A7364" w:rsidRDefault="008746C0" w:rsidP="00B35232">
      <w:pPr>
        <w:pStyle w:val="ONUMFS"/>
        <w:numPr>
          <w:ilvl w:val="0"/>
          <w:numId w:val="0"/>
        </w:numPr>
      </w:pPr>
      <w:r w:rsidRPr="00F21303">
        <w:t>L</w:t>
      </w:r>
      <w:r w:rsidR="00EC2323">
        <w:t xml:space="preserve">es études menées au </w:t>
      </w:r>
      <w:r w:rsidRPr="00F21303">
        <w:t xml:space="preserve">Brésil et </w:t>
      </w:r>
      <w:r w:rsidR="00EC2323">
        <w:t>a</w:t>
      </w:r>
      <w:r w:rsidRPr="00F21303">
        <w:t xml:space="preserve">u Chili </w:t>
      </w:r>
      <w:r w:rsidR="00EC2323">
        <w:t xml:space="preserve">durant </w:t>
      </w:r>
      <w:r w:rsidRPr="00F21303">
        <w:t xml:space="preserve">la deuxième phase </w:t>
      </w:r>
      <w:r w:rsidR="00EC2323">
        <w:t>ont</w:t>
      </w:r>
      <w:r w:rsidR="008837F1">
        <w:t xml:space="preserve"> </w:t>
      </w:r>
      <w:r w:rsidR="008016EA">
        <w:t>enrichi</w:t>
      </w:r>
      <w:r w:rsidRPr="00F21303">
        <w:t xml:space="preserve"> l</w:t>
      </w:r>
      <w:r w:rsidR="002A7364">
        <w:t>’</w:t>
      </w:r>
      <w:r w:rsidRPr="00F21303">
        <w:t xml:space="preserve">étude mondiale </w:t>
      </w:r>
      <w:r w:rsidR="008837F1">
        <w:t xml:space="preserve">principalement </w:t>
      </w:r>
      <w:r w:rsidRPr="00F21303">
        <w:t>de deux</w:t>
      </w:r>
      <w:r w:rsidR="003A422A">
        <w:t> </w:t>
      </w:r>
      <w:r w:rsidR="008837F1">
        <w:t>manièr</w:t>
      </w:r>
      <w:r w:rsidR="00DA65E5">
        <w:t xml:space="preserve">es.  </w:t>
      </w:r>
      <w:r w:rsidR="00DA65E5" w:rsidRPr="00F21303">
        <w:t>Pr</w:t>
      </w:r>
      <w:r w:rsidRPr="00F21303">
        <w:t xml:space="preserve">emièrement, les informations </w:t>
      </w:r>
      <w:r w:rsidR="008837F1">
        <w:t>fournies</w:t>
      </w:r>
      <w:r w:rsidRPr="00F21303">
        <w:t xml:space="preserve"> ont </w:t>
      </w:r>
      <w:r w:rsidR="008837F1">
        <w:t xml:space="preserve">servi à brosser un premier tableau mondial </w:t>
      </w:r>
      <w:r w:rsidRPr="00F21303">
        <w:t>du secteur en termes d</w:t>
      </w:r>
      <w:r w:rsidR="002A7364">
        <w:t>’</w:t>
      </w:r>
      <w:r w:rsidRPr="00F21303">
        <w:t>innovation et d</w:t>
      </w:r>
      <w:r w:rsidR="002A7364">
        <w:t>’</w:t>
      </w:r>
      <w:r w:rsidRPr="00F21303">
        <w:t>utilisation de la propriété intellectuel</w:t>
      </w:r>
      <w:r w:rsidR="00DA65E5" w:rsidRPr="00F21303">
        <w:t>le</w:t>
      </w:r>
      <w:r w:rsidR="00DA65E5">
        <w:t>.  D</w:t>
      </w:r>
      <w:r w:rsidR="00DA65E5" w:rsidRPr="00F21303">
        <w:t>e</w:t>
      </w:r>
      <w:r w:rsidRPr="00F21303">
        <w:t xml:space="preserve">uxièmement, des experts brésiliens et chiliens </w:t>
      </w:r>
      <w:r w:rsidR="00EC2323">
        <w:t>issus des</w:t>
      </w:r>
      <w:r w:rsidR="008837F1">
        <w:t xml:space="preserve"> milieu</w:t>
      </w:r>
      <w:r w:rsidR="00EC2323">
        <w:t>x</w:t>
      </w:r>
      <w:r w:rsidRPr="00F21303">
        <w:t xml:space="preserve"> universitaire</w:t>
      </w:r>
      <w:r w:rsidR="00EC2323">
        <w:t>s</w:t>
      </w:r>
      <w:r w:rsidRPr="00F21303">
        <w:t xml:space="preserve"> et de</w:t>
      </w:r>
      <w:r w:rsidR="002B43FB">
        <w:t xml:space="preserve">s entreprises </w:t>
      </w:r>
      <w:r w:rsidRPr="00F21303">
        <w:t xml:space="preserve">ont été invités à collaborer avec les </w:t>
      </w:r>
      <w:r w:rsidR="00EC2323">
        <w:t>offices nationaux de la propriété intellectuelle</w:t>
      </w:r>
      <w:r w:rsidR="008837F1">
        <w:t xml:space="preserve"> en vue de </w:t>
      </w:r>
      <w:r w:rsidRPr="00F21303">
        <w:t>la réalisation d</w:t>
      </w:r>
      <w:r w:rsidR="002A7364">
        <w:t>’</w:t>
      </w:r>
      <w:r w:rsidRPr="00F21303">
        <w:t xml:space="preserve">une étude empirique visant à mieux comprendre le secteur sous </w:t>
      </w:r>
      <w:r w:rsidR="008016EA">
        <w:t>divers</w:t>
      </w:r>
      <w:r w:rsidR="00EC2323">
        <w:t xml:space="preserve"> </w:t>
      </w:r>
      <w:r w:rsidRPr="00F21303">
        <w:t>angles.</w:t>
      </w:r>
    </w:p>
    <w:p w14:paraId="63ABF6C6" w14:textId="295D2D3D" w:rsidR="002A7364" w:rsidRDefault="00E86185" w:rsidP="00B35232">
      <w:pPr>
        <w:pStyle w:val="ONUMFS"/>
        <w:numPr>
          <w:ilvl w:val="0"/>
          <w:numId w:val="0"/>
        </w:numPr>
      </w:pPr>
      <w:r w:rsidRPr="00F21303">
        <w:t>Le présent do</w:t>
      </w:r>
      <w:r w:rsidR="006A6D1E" w:rsidRPr="00F21303">
        <w:t xml:space="preserve">cument résume la mise en œuvre </w:t>
      </w:r>
      <w:r w:rsidRPr="00F21303">
        <w:t xml:space="preserve">et les principaux résultats de la participation du Brésil et du Chili à cette étude mondiale </w:t>
      </w:r>
      <w:r w:rsidR="008016EA">
        <w:t>lors</w:t>
      </w:r>
      <w:r w:rsidRPr="00F21303">
        <w:t xml:space="preserve"> de la deuxième phase</w:t>
      </w:r>
      <w:r w:rsidR="002A7364" w:rsidRPr="00F21303">
        <w:t xml:space="preserve"> du</w:t>
      </w:r>
      <w:r w:rsidR="002A7364">
        <w:t> </w:t>
      </w:r>
      <w:r w:rsidR="002A7364" w:rsidRPr="00F21303">
        <w:t>CDI</w:t>
      </w:r>
      <w:r w:rsidRPr="00F21303">
        <w:t xml:space="preserve">P qui </w:t>
      </w:r>
      <w:r w:rsidR="008016EA">
        <w:t>s</w:t>
      </w:r>
      <w:r w:rsidR="002A7364">
        <w:t>’</w:t>
      </w:r>
      <w:r w:rsidR="008016EA">
        <w:t>est déroulée</w:t>
      </w:r>
      <w:r w:rsidRPr="00F21303">
        <w:t xml:space="preserve"> de février</w:t>
      </w:r>
      <w:r w:rsidR="00977578">
        <w:t> </w:t>
      </w:r>
      <w:r w:rsidRPr="00F21303">
        <w:t>2017 à février</w:t>
      </w:r>
      <w:r w:rsidR="00977578">
        <w:t> </w:t>
      </w:r>
      <w:r w:rsidRPr="00F21303">
        <w:t>2019.</w:t>
      </w:r>
    </w:p>
    <w:p w14:paraId="4362B1D9" w14:textId="23F75CB3" w:rsidR="00A835DE" w:rsidRPr="00F21303" w:rsidRDefault="00B35232" w:rsidP="00B35232">
      <w:pPr>
        <w:pStyle w:val="Heading2"/>
      </w:pPr>
      <w:r>
        <w:t>Objectifs</w:t>
      </w:r>
    </w:p>
    <w:p w14:paraId="3C4DB33D" w14:textId="77777777" w:rsidR="00A835DE" w:rsidRPr="00F21303" w:rsidRDefault="00A835DE" w:rsidP="00B35232"/>
    <w:p w14:paraId="79AA19E0" w14:textId="6DA090E4" w:rsidR="00A835DE" w:rsidRPr="00F21303" w:rsidRDefault="006A6D1E" w:rsidP="00B35232">
      <w:pPr>
        <w:pStyle w:val="ONUMFS"/>
        <w:numPr>
          <w:ilvl w:val="0"/>
          <w:numId w:val="0"/>
        </w:numPr>
      </w:pPr>
      <w:r w:rsidRPr="00F21303">
        <w:t>Ces deux</w:t>
      </w:r>
      <w:r w:rsidR="003A422A">
        <w:t> </w:t>
      </w:r>
      <w:r w:rsidRPr="00F21303">
        <w:t xml:space="preserve">études nationales avaient pour principal </w:t>
      </w:r>
      <w:r w:rsidR="008016EA" w:rsidRPr="00F21303">
        <w:t xml:space="preserve">objectif </w:t>
      </w:r>
      <w:r w:rsidRPr="00F21303">
        <w:t xml:space="preserve">de compiler les résultats de recherches empiriques sur les </w:t>
      </w:r>
      <w:r w:rsidR="008837F1">
        <w:t xml:space="preserve">dernières </w:t>
      </w:r>
      <w:r w:rsidRPr="00F21303">
        <w:t xml:space="preserve">tendances </w:t>
      </w:r>
      <w:r w:rsidR="008837F1">
        <w:t>en matière d</w:t>
      </w:r>
      <w:r w:rsidR="002A7364">
        <w:t>’</w:t>
      </w:r>
      <w:r w:rsidRPr="00F21303">
        <w:t>innovation dans le secteur minier nation</w:t>
      </w:r>
      <w:r w:rsidR="00DA65E5" w:rsidRPr="00F21303">
        <w:t>al</w:t>
      </w:r>
      <w:r w:rsidR="00DA65E5">
        <w:t xml:space="preserve">.  </w:t>
      </w:r>
      <w:r w:rsidR="00DA65E5" w:rsidRPr="00F21303">
        <w:t>El</w:t>
      </w:r>
      <w:r w:rsidRPr="00F21303">
        <w:t>les vis</w:t>
      </w:r>
      <w:r w:rsidR="00EC2323">
        <w:t>ai</w:t>
      </w:r>
      <w:r w:rsidRPr="00F21303">
        <w:t xml:space="preserve">ent à fournir une nouvelle </w:t>
      </w:r>
      <w:r w:rsidR="008837F1" w:rsidRPr="00F21303">
        <w:t xml:space="preserve">description </w:t>
      </w:r>
      <w:r w:rsidRPr="00F21303">
        <w:t>détaillée de l</w:t>
      </w:r>
      <w:r w:rsidR="002A7364">
        <w:t>’</w:t>
      </w:r>
      <w:r w:rsidRPr="00F21303">
        <w:t>écosystème national de l</w:t>
      </w:r>
      <w:r w:rsidR="002A7364">
        <w:t>’</w:t>
      </w:r>
      <w:r w:rsidRPr="00F21303">
        <w:t>innovation dans le secteur minier</w:t>
      </w:r>
      <w:r w:rsidR="008837F1">
        <w:t xml:space="preserve"> en vue de promouvoir </w:t>
      </w:r>
      <w:r w:rsidRPr="00F21303">
        <w:t>l</w:t>
      </w:r>
      <w:r w:rsidR="002A7364">
        <w:t>’</w:t>
      </w:r>
      <w:r w:rsidRPr="00F21303">
        <w:t xml:space="preserve">innovation et </w:t>
      </w:r>
      <w:r w:rsidR="008837F1">
        <w:t>d</w:t>
      </w:r>
      <w:r w:rsidR="00EC2323">
        <w:t xml:space="preserve">e faciliter </w:t>
      </w:r>
      <w:r w:rsidRPr="00F21303">
        <w:t>l</w:t>
      </w:r>
      <w:r w:rsidR="002A7364">
        <w:t>’</w:t>
      </w:r>
      <w:r w:rsidRPr="00F21303">
        <w:t>élaboration de politiques de propriété intellectuelle dans ce secteur stratégiq</w:t>
      </w:r>
      <w:r w:rsidR="00DA65E5" w:rsidRPr="00F21303">
        <w:t>ue</w:t>
      </w:r>
      <w:r w:rsidR="00DA65E5">
        <w:t xml:space="preserve">.  </w:t>
      </w:r>
      <w:r w:rsidR="00DA65E5" w:rsidRPr="00F21303">
        <w:t>Le</w:t>
      </w:r>
      <w:r w:rsidRPr="00F21303">
        <w:t xml:space="preserve">s études </w:t>
      </w:r>
      <w:r w:rsidR="00EC2323">
        <w:t>avaie</w:t>
      </w:r>
      <w:r w:rsidR="008837F1">
        <w:t>nt pour objectif</w:t>
      </w:r>
      <w:r w:rsidRPr="00F21303">
        <w:t xml:space="preserve"> </w:t>
      </w:r>
      <w:r w:rsidR="008837F1">
        <w:t>d</w:t>
      </w:r>
      <w:r w:rsidR="002A7364">
        <w:t>’</w:t>
      </w:r>
      <w:r w:rsidRPr="00F21303">
        <w:t>apporter des réponses aux questions d</w:t>
      </w:r>
      <w:r w:rsidR="002A7364">
        <w:t>’</w:t>
      </w:r>
      <w:r w:rsidRPr="00F21303">
        <w:t>ordre général suivantes</w:t>
      </w:r>
      <w:r w:rsidR="002A7364">
        <w:t> :</w:t>
      </w:r>
    </w:p>
    <w:p w14:paraId="5D23ECA5" w14:textId="74D0C40D" w:rsidR="00B35232" w:rsidRPr="00B35232" w:rsidRDefault="006A6D1E" w:rsidP="00B35232">
      <w:pPr>
        <w:pStyle w:val="ONUMFS"/>
        <w:numPr>
          <w:ilvl w:val="0"/>
          <w:numId w:val="36"/>
        </w:numPr>
        <w:ind w:left="1134" w:hanging="567"/>
      </w:pPr>
      <w:r w:rsidRPr="00B35232">
        <w:t>Qui sont les principales parties prenantes jouant un rôle dans le processus d</w:t>
      </w:r>
      <w:r w:rsidR="002A7364">
        <w:t>’</w:t>
      </w:r>
      <w:r w:rsidRPr="00B35232">
        <w:t>innovation minière?</w:t>
      </w:r>
    </w:p>
    <w:p w14:paraId="0ACBC4EE" w14:textId="2C1ED71F" w:rsidR="002A7364" w:rsidRDefault="006A6D1E" w:rsidP="00B35232">
      <w:pPr>
        <w:pStyle w:val="ONUMFS"/>
        <w:numPr>
          <w:ilvl w:val="0"/>
          <w:numId w:val="36"/>
        </w:numPr>
        <w:ind w:left="1134" w:hanging="567"/>
      </w:pPr>
      <w:r w:rsidRPr="00B35232">
        <w:t>Quel</w:t>
      </w:r>
      <w:r w:rsidR="00F0760D">
        <w:t>les</w:t>
      </w:r>
      <w:r w:rsidRPr="00B35232">
        <w:t xml:space="preserve"> sont les différent</w:t>
      </w:r>
      <w:r w:rsidR="008837F1" w:rsidRPr="00B35232">
        <w:t>e</w:t>
      </w:r>
      <w:r w:rsidRPr="00B35232">
        <w:t xml:space="preserve">s </w:t>
      </w:r>
      <w:r w:rsidR="008837F1" w:rsidRPr="00B35232">
        <w:t>tendances en matière de spécialisation techn</w:t>
      </w:r>
      <w:r w:rsidRPr="00B35232">
        <w:t>ique dans ces pays?</w:t>
      </w:r>
    </w:p>
    <w:p w14:paraId="50B7250C" w14:textId="3A8476BA" w:rsidR="002A7364" w:rsidRDefault="006A6D1E" w:rsidP="00B35232">
      <w:pPr>
        <w:pStyle w:val="ONUMFS"/>
        <w:numPr>
          <w:ilvl w:val="0"/>
          <w:numId w:val="36"/>
        </w:numPr>
        <w:ind w:left="1134" w:hanging="567"/>
      </w:pPr>
      <w:r w:rsidRPr="00B35232">
        <w:lastRenderedPageBreak/>
        <w:t>Quels sont les rôles des principales parties prenantes?</w:t>
      </w:r>
      <w:r w:rsidR="00372CBE" w:rsidRPr="00B35232">
        <w:t xml:space="preserve"> </w:t>
      </w:r>
      <w:r w:rsidR="00977578" w:rsidRPr="00B35232">
        <w:t xml:space="preserve"> E</w:t>
      </w:r>
      <w:r w:rsidRPr="00B35232">
        <w:t>n particulier, quel est le rôle des sociétés minières et des sociétés d</w:t>
      </w:r>
      <w:r w:rsidR="002A7364">
        <w:t>’</w:t>
      </w:r>
      <w:r w:rsidRPr="00B35232">
        <w:t xml:space="preserve">équipement, de </w:t>
      </w:r>
      <w:r w:rsidR="00924B23" w:rsidRPr="00B35232">
        <w:t>technologie</w:t>
      </w:r>
      <w:r w:rsidRPr="00B35232">
        <w:t xml:space="preserve"> et de services miniers?</w:t>
      </w:r>
    </w:p>
    <w:p w14:paraId="4C0425A9" w14:textId="464E9BAD" w:rsidR="00A835DE" w:rsidRPr="00F21303" w:rsidRDefault="00B35232" w:rsidP="00B35232">
      <w:pPr>
        <w:pStyle w:val="Heading2"/>
      </w:pPr>
      <w:r w:rsidRPr="00F21303">
        <w:t>Coordination et exécution</w:t>
      </w:r>
    </w:p>
    <w:p w14:paraId="5625A2E1" w14:textId="77777777" w:rsidR="00A835DE" w:rsidRPr="00F21303" w:rsidRDefault="00A835DE" w:rsidP="00B35232"/>
    <w:p w14:paraId="3BCC3797" w14:textId="7CF877E1" w:rsidR="002A7364" w:rsidRDefault="00EC2323" w:rsidP="00B35232">
      <w:pPr>
        <w:pStyle w:val="ONUMFS"/>
        <w:numPr>
          <w:ilvl w:val="0"/>
          <w:numId w:val="0"/>
        </w:numPr>
      </w:pPr>
      <w:r>
        <w:t xml:space="preserve">Une </w:t>
      </w:r>
      <w:r w:rsidR="00FA6AE9" w:rsidRPr="00F21303">
        <w:t xml:space="preserve">coordination </w:t>
      </w:r>
      <w:r>
        <w:t xml:space="preserve">a été nécessaire </w:t>
      </w:r>
      <w:r w:rsidR="00FA6AE9" w:rsidRPr="00F21303">
        <w:t>dans les deux</w:t>
      </w:r>
      <w:r w:rsidR="003A422A">
        <w:t> </w:t>
      </w:r>
      <w:r w:rsidR="00FA6AE9" w:rsidRPr="00F21303">
        <w:t xml:space="preserve">pays entre les </w:t>
      </w:r>
      <w:r>
        <w:t>offices nationaux de la propriété intellectuelle</w:t>
      </w:r>
      <w:r w:rsidR="00FA6AE9" w:rsidRPr="00F21303">
        <w:t>, les experts locaux et l</w:t>
      </w:r>
      <w:r w:rsidR="002A7364">
        <w:t>’</w:t>
      </w:r>
      <w:r w:rsidR="00FA6AE9" w:rsidRPr="00F21303">
        <w:t>OMPI.  À l</w:t>
      </w:r>
      <w:r w:rsidR="002A7364">
        <w:t>’</w:t>
      </w:r>
      <w:r w:rsidR="00FA6AE9" w:rsidRPr="00F21303">
        <w:t>OMPI, la Section de l</w:t>
      </w:r>
      <w:r w:rsidR="002A7364">
        <w:t>’</w:t>
      </w:r>
      <w:r w:rsidR="00FA6AE9" w:rsidRPr="00F21303">
        <w:t>économie de l</w:t>
      </w:r>
      <w:r w:rsidR="002A7364">
        <w:t>’</w:t>
      </w:r>
      <w:r w:rsidR="00FA6AE9" w:rsidRPr="00F21303">
        <w:t>innovation a joué le rôle de coordonnateur technique chargé de l</w:t>
      </w:r>
      <w:r w:rsidR="002A7364">
        <w:t>’</w:t>
      </w:r>
      <w:r w:rsidR="00FA6AE9" w:rsidRPr="00F21303">
        <w:t xml:space="preserve">exécution et </w:t>
      </w:r>
      <w:r w:rsidR="00677276">
        <w:t xml:space="preserve">du </w:t>
      </w:r>
      <w:r w:rsidR="00FA6AE9" w:rsidRPr="00F21303">
        <w:t>déroulement des travaux.</w:t>
      </w:r>
    </w:p>
    <w:p w14:paraId="7B8F058A" w14:textId="05BED1AB" w:rsidR="002A7364" w:rsidRDefault="00FA6AE9" w:rsidP="00B35232">
      <w:pPr>
        <w:pStyle w:val="ONUMFS"/>
        <w:numPr>
          <w:ilvl w:val="0"/>
          <w:numId w:val="0"/>
        </w:numPr>
      </w:pPr>
      <w:r w:rsidRPr="00F21303">
        <w:t>L</w:t>
      </w:r>
      <w:r w:rsidR="00EC2323">
        <w:t>es travaux ont été divisés</w:t>
      </w:r>
      <w:r w:rsidRPr="00F21303">
        <w:t xml:space="preserve"> en deux</w:t>
      </w:r>
      <w:r w:rsidR="003A422A">
        <w:t> </w:t>
      </w:r>
      <w:r w:rsidR="00DA598B" w:rsidRPr="00F21303">
        <w:t>volets</w:t>
      </w:r>
      <w:r w:rsidRPr="00F21303">
        <w:t xml:space="preserve"> principaux</w:t>
      </w:r>
      <w:r w:rsidR="002A7364">
        <w:t> :</w:t>
      </w:r>
      <w:r w:rsidRPr="00F21303">
        <w:t xml:space="preserve"> i)</w:t>
      </w:r>
      <w:r w:rsidR="003A422A">
        <w:t> </w:t>
      </w:r>
      <w:r w:rsidRPr="00F21303">
        <w:t>la création d</w:t>
      </w:r>
      <w:r w:rsidR="002A7364">
        <w:t>’</w:t>
      </w:r>
      <w:r w:rsidRPr="00F21303">
        <w:t>une base de données complète sur la propriété intellectuelle et le secteur minier à des fins statistiques;  et ii)</w:t>
      </w:r>
      <w:r w:rsidR="003A422A">
        <w:t> </w:t>
      </w:r>
      <w:r w:rsidRPr="00F21303">
        <w:t>l</w:t>
      </w:r>
      <w:r w:rsidR="002A7364">
        <w:t>’</w:t>
      </w:r>
      <w:r w:rsidRPr="00F21303">
        <w:t>analyse empirique de l</w:t>
      </w:r>
      <w:r w:rsidR="002A7364">
        <w:t>’</w:t>
      </w:r>
      <w:r w:rsidRPr="00F21303">
        <w:t xml:space="preserve">utilisation de la propriété intellectuelle dans le secteur minier </w:t>
      </w:r>
      <w:r w:rsidR="008016EA">
        <w:t>à l</w:t>
      </w:r>
      <w:r w:rsidR="002A7364">
        <w:t>’</w:t>
      </w:r>
      <w:r w:rsidR="008016EA">
        <w:t>échelle nationa</w:t>
      </w:r>
      <w:r w:rsidR="00DA65E5">
        <w:t xml:space="preserve">le.  </w:t>
      </w:r>
      <w:r w:rsidR="00DA65E5" w:rsidRPr="00F21303">
        <w:t>La</w:t>
      </w:r>
      <w:r w:rsidR="00155385" w:rsidRPr="00F21303">
        <w:t xml:space="preserve"> Section de l</w:t>
      </w:r>
      <w:r w:rsidR="002A7364">
        <w:t>’</w:t>
      </w:r>
      <w:r w:rsidR="00155385" w:rsidRPr="00F21303">
        <w:t>économie de l</w:t>
      </w:r>
      <w:r w:rsidR="002A7364">
        <w:t>’</w:t>
      </w:r>
      <w:r w:rsidR="00155385" w:rsidRPr="00F21303">
        <w:t>innovation de l</w:t>
      </w:r>
      <w:r w:rsidR="002A7364">
        <w:t>’</w:t>
      </w:r>
      <w:r w:rsidR="00155385" w:rsidRPr="00F21303">
        <w:t xml:space="preserve">OMPI a </w:t>
      </w:r>
      <w:r w:rsidR="00677276">
        <w:t>dirigé le</w:t>
      </w:r>
      <w:r w:rsidR="00155385" w:rsidRPr="00F21303">
        <w:t xml:space="preserve"> premier volet</w:t>
      </w:r>
      <w:r w:rsidR="008016EA">
        <w:t xml:space="preserve"> avec la</w:t>
      </w:r>
      <w:r w:rsidR="00155385" w:rsidRPr="00F21303">
        <w:t xml:space="preserve"> collaboration avec les offices nationaux de </w:t>
      </w:r>
      <w:r w:rsidR="00EC2323">
        <w:t xml:space="preserve">la </w:t>
      </w:r>
      <w:r w:rsidR="00155385" w:rsidRPr="00F21303">
        <w:t>propriété intellectuelle de l</w:t>
      </w:r>
      <w:r w:rsidR="002A7364">
        <w:t>’</w:t>
      </w:r>
      <w:r w:rsidR="00155385" w:rsidRPr="00F21303">
        <w:t>Australie, du Brésil, du Canada, du Chili et des États</w:t>
      </w:r>
      <w:r w:rsidR="002A7364">
        <w:t>-</w:t>
      </w:r>
      <w:r w:rsidR="00155385" w:rsidRPr="00F21303">
        <w:t>Unis d</w:t>
      </w:r>
      <w:r w:rsidR="002A7364">
        <w:t>’</w:t>
      </w:r>
      <w:r w:rsidR="00155385" w:rsidRPr="00F21303">
        <w:t>Amériq</w:t>
      </w:r>
      <w:r w:rsidR="00DA65E5" w:rsidRPr="00F21303">
        <w:t>ue</w:t>
      </w:r>
      <w:r w:rsidR="00DA65E5">
        <w:t xml:space="preserve">.  </w:t>
      </w:r>
      <w:r w:rsidR="00DA65E5" w:rsidRPr="00F21303">
        <w:t>De</w:t>
      </w:r>
      <w:r w:rsidR="00155385" w:rsidRPr="00F21303">
        <w:t>s consultants locaux</w:t>
      </w:r>
      <w:r w:rsidR="00677276">
        <w:t xml:space="preserve"> </w:t>
      </w:r>
      <w:r w:rsidR="00677276" w:rsidRPr="00F21303">
        <w:t>ont mis en œuvre le deuxième volet</w:t>
      </w:r>
      <w:r w:rsidR="00155385" w:rsidRPr="00F21303">
        <w:t xml:space="preserve"> avec la collaboration et les conseils des </w:t>
      </w:r>
      <w:r w:rsidR="00EC2323">
        <w:t>offices nationaux de la propriété intellectuelle</w:t>
      </w:r>
      <w:r w:rsidR="00155385" w:rsidRPr="00F21303">
        <w:t xml:space="preserve"> et de la Section de l</w:t>
      </w:r>
      <w:r w:rsidR="002A7364">
        <w:t>’</w:t>
      </w:r>
      <w:r w:rsidR="00155385" w:rsidRPr="00F21303">
        <w:t>économie de l</w:t>
      </w:r>
      <w:r w:rsidR="002A7364">
        <w:t>’</w:t>
      </w:r>
      <w:r w:rsidR="00155385" w:rsidRPr="00F21303">
        <w:t>innovation de l</w:t>
      </w:r>
      <w:r w:rsidR="002A7364">
        <w:t>’</w:t>
      </w:r>
      <w:r w:rsidR="00677276">
        <w:t>OMPI</w:t>
      </w:r>
      <w:r w:rsidR="00155385" w:rsidRPr="00F21303">
        <w:t>.</w:t>
      </w:r>
    </w:p>
    <w:p w14:paraId="4BFA8E6B" w14:textId="767A3D54" w:rsidR="002A7364" w:rsidRDefault="00155385" w:rsidP="00B35232">
      <w:pPr>
        <w:pStyle w:val="ONUMFS"/>
        <w:numPr>
          <w:ilvl w:val="0"/>
          <w:numId w:val="0"/>
        </w:numPr>
      </w:pPr>
      <w:r w:rsidRPr="00F21303">
        <w:t>Les résultats des deux</w:t>
      </w:r>
      <w:r w:rsidR="003A422A">
        <w:t> </w:t>
      </w:r>
      <w:r w:rsidRPr="00F21303">
        <w:t xml:space="preserve">études ont été examinés </w:t>
      </w:r>
      <w:r w:rsidR="00677276">
        <w:t>à</w:t>
      </w:r>
      <w:r w:rsidRPr="00F21303">
        <w:t xml:space="preserve"> différentes phas</w:t>
      </w:r>
      <w:r w:rsidR="00DA65E5" w:rsidRPr="00F21303">
        <w:t>es</w:t>
      </w:r>
      <w:r w:rsidR="00DA65E5">
        <w:t xml:space="preserve">.  </w:t>
      </w:r>
      <w:r w:rsidR="00DA65E5" w:rsidRPr="00F21303">
        <w:t>La</w:t>
      </w:r>
      <w:r w:rsidR="007E70D8" w:rsidRPr="00F21303">
        <w:t xml:space="preserve"> Section de l</w:t>
      </w:r>
      <w:r w:rsidR="002A7364">
        <w:t>’</w:t>
      </w:r>
      <w:r w:rsidR="007E70D8" w:rsidRPr="00F21303">
        <w:t>économie de l</w:t>
      </w:r>
      <w:r w:rsidR="002A7364">
        <w:t>’</w:t>
      </w:r>
      <w:r w:rsidR="007E70D8" w:rsidRPr="00F21303">
        <w:t>innovation de l</w:t>
      </w:r>
      <w:r w:rsidR="002A7364">
        <w:t>’</w:t>
      </w:r>
      <w:r w:rsidR="007E70D8" w:rsidRPr="00F21303">
        <w:t>OMPI a fourni des conseils et procédé à un</w:t>
      </w:r>
      <w:r w:rsidR="00677276">
        <w:t xml:space="preserve">e analyse </w:t>
      </w:r>
      <w:r w:rsidR="007E70D8" w:rsidRPr="00F21303">
        <w:t>interne des premiers projets tandis qu</w:t>
      </w:r>
      <w:r w:rsidR="002A7364">
        <w:t>’</w:t>
      </w:r>
      <w:r w:rsidR="007E70D8" w:rsidRPr="00F21303">
        <w:t xml:space="preserve">un examinateur </w:t>
      </w:r>
      <w:r w:rsidR="00677276">
        <w:t xml:space="preserve">extérieur </w:t>
      </w:r>
      <w:r w:rsidR="007E70D8" w:rsidRPr="00F21303">
        <w:t>spécialisé dans l</w:t>
      </w:r>
      <w:r w:rsidR="002A7364">
        <w:t>’</w:t>
      </w:r>
      <w:r w:rsidR="007E70D8" w:rsidRPr="00F21303">
        <w:t xml:space="preserve">économie </w:t>
      </w:r>
      <w:r w:rsidR="00677276">
        <w:t xml:space="preserve">du secteur </w:t>
      </w:r>
      <w:r w:rsidR="007E70D8" w:rsidRPr="00F21303">
        <w:t>mini</w:t>
      </w:r>
      <w:r w:rsidR="00677276">
        <w:t>er</w:t>
      </w:r>
      <w:r w:rsidR="007E70D8" w:rsidRPr="00F21303">
        <w:t xml:space="preserve"> </w:t>
      </w:r>
      <w:r w:rsidR="00EC2323">
        <w:t>s</w:t>
      </w:r>
      <w:r w:rsidR="002A7364">
        <w:t>’</w:t>
      </w:r>
      <w:r w:rsidR="00EC2323">
        <w:t xml:space="preserve">est penché sur </w:t>
      </w:r>
      <w:r w:rsidR="007E70D8" w:rsidRPr="00F21303">
        <w:t>les projets définiti</w:t>
      </w:r>
      <w:r w:rsidR="00DA65E5" w:rsidRPr="00F21303">
        <w:t>fs</w:t>
      </w:r>
      <w:r w:rsidR="00DA65E5">
        <w:t xml:space="preserve">.  </w:t>
      </w:r>
      <w:r w:rsidR="00DA65E5" w:rsidRPr="00F21303">
        <w:t>Le</w:t>
      </w:r>
      <w:r w:rsidR="00CA7364" w:rsidRPr="00F21303">
        <w:t>s auteurs des études ont présenté un projet à mi</w:t>
      </w:r>
      <w:r w:rsidR="002A7364">
        <w:t>-</w:t>
      </w:r>
      <w:r w:rsidR="00CA7364" w:rsidRPr="00F21303">
        <w:t>parcours à des spécialistes de l</w:t>
      </w:r>
      <w:r w:rsidR="002A7364">
        <w:t>’</w:t>
      </w:r>
      <w:r w:rsidR="00CA7364" w:rsidRPr="00F21303">
        <w:t>économie internationale d</w:t>
      </w:r>
      <w:r w:rsidR="00677276">
        <w:t>e l</w:t>
      </w:r>
      <w:r w:rsidR="002A7364">
        <w:t>’</w:t>
      </w:r>
      <w:r w:rsidR="00CA7364" w:rsidRPr="00F21303">
        <w:t>innovation participant à la dixième Conférence sur les observations fondées sur un modèle en matière d</w:t>
      </w:r>
      <w:r w:rsidR="002A7364">
        <w:t>’</w:t>
      </w:r>
      <w:r w:rsidR="00CA7364" w:rsidRPr="00F21303">
        <w:t>innovation et de développement (MEIDE)</w:t>
      </w:r>
      <w:r w:rsidR="00677276">
        <w:t>,</w:t>
      </w:r>
      <w:r w:rsidR="00CA7364" w:rsidRPr="00F21303">
        <w:t xml:space="preserve"> tenue en novembre</w:t>
      </w:r>
      <w:r w:rsidR="00977578">
        <w:t> </w:t>
      </w:r>
      <w:r w:rsidR="00CA7364" w:rsidRPr="00F21303">
        <w:t>2017 à Montevideo (Uruguay)</w:t>
      </w:r>
      <w:r w:rsidR="00CA7364" w:rsidRPr="00F21303">
        <w:rPr>
          <w:rStyle w:val="FootnoteReference"/>
        </w:rPr>
        <w:footnoteReference w:id="2"/>
      </w:r>
      <w:r w:rsidR="00CA7364" w:rsidRPr="00F21303">
        <w:t>.</w:t>
      </w:r>
      <w:r w:rsidR="00D22CDB" w:rsidRPr="00F21303">
        <w:t xml:space="preserve">  </w:t>
      </w:r>
      <w:r w:rsidR="00CA7364" w:rsidRPr="00F21303">
        <w:t>Cette confé</w:t>
      </w:r>
      <w:r w:rsidR="00677276">
        <w:t>rence a permis de recueillir de</w:t>
      </w:r>
      <w:r w:rsidR="00CA7364" w:rsidRPr="00F21303">
        <w:t xml:space="preserve"> précieuses </w:t>
      </w:r>
      <w:r w:rsidR="00677276" w:rsidRPr="00F21303">
        <w:t xml:space="preserve">informations </w:t>
      </w:r>
      <w:r w:rsidR="00CA7364" w:rsidRPr="00F21303">
        <w:t xml:space="preserve">sur les travaux de recherche et </w:t>
      </w:r>
      <w:r w:rsidR="00677276">
        <w:t>d</w:t>
      </w:r>
      <w:r w:rsidR="002A7364">
        <w:t>’</w:t>
      </w:r>
      <w:r w:rsidR="00CA7364" w:rsidRPr="00F21303">
        <w:t>améliorer l</w:t>
      </w:r>
      <w:r w:rsidR="002A7364">
        <w:t>’</w:t>
      </w:r>
      <w:r w:rsidR="00CA7364" w:rsidRPr="00F21303">
        <w:t>analyse statistique et économique.</w:t>
      </w:r>
    </w:p>
    <w:p w14:paraId="7F951187" w14:textId="4BD78483" w:rsidR="00B35232" w:rsidRPr="00B35232" w:rsidRDefault="00CA7364" w:rsidP="00B35232">
      <w:pPr>
        <w:pStyle w:val="ONUMFS"/>
        <w:numPr>
          <w:ilvl w:val="0"/>
          <w:numId w:val="0"/>
        </w:numPr>
        <w:rPr>
          <w:bCs/>
          <w:caps/>
        </w:rPr>
      </w:pPr>
      <w:r w:rsidRPr="00F21303">
        <w:t>Les versions</w:t>
      </w:r>
      <w:r w:rsidR="00677276">
        <w:t xml:space="preserve"> complètes et</w:t>
      </w:r>
      <w:r w:rsidRPr="00F21303">
        <w:t xml:space="preserve"> définitives des études sont publiées dans la série de documents de recherche économique de l</w:t>
      </w:r>
      <w:r w:rsidR="002A7364">
        <w:t>’</w:t>
      </w:r>
      <w:r w:rsidRPr="00F21303">
        <w:t>OMPI</w:t>
      </w:r>
      <w:r w:rsidRPr="00F21303">
        <w:rPr>
          <w:rStyle w:val="FootnoteReference"/>
        </w:rPr>
        <w:footnoteReference w:id="3"/>
      </w:r>
      <w:r w:rsidRPr="00F21303">
        <w:t>.</w:t>
      </w:r>
      <w:r w:rsidR="00C75A71" w:rsidRPr="00F21303">
        <w:t xml:space="preserve">  </w:t>
      </w:r>
      <w:r w:rsidR="007E419B" w:rsidRPr="00F21303">
        <w:t xml:space="preserve">Une version schématique des études devrait être publiée </w:t>
      </w:r>
      <w:r w:rsidR="002A7364" w:rsidRPr="00F21303">
        <w:t>en</w:t>
      </w:r>
      <w:r w:rsidR="002A7364">
        <w:t> </w:t>
      </w:r>
      <w:r w:rsidR="002A7364" w:rsidRPr="00F21303">
        <w:t>2019</w:t>
      </w:r>
      <w:r w:rsidR="007E419B" w:rsidRPr="00F21303">
        <w:t xml:space="preserve"> sous la forme de deux</w:t>
      </w:r>
      <w:r w:rsidR="003A422A">
        <w:t> </w:t>
      </w:r>
      <w:r w:rsidR="007E419B" w:rsidRPr="00F21303">
        <w:t xml:space="preserve">chapitres </w:t>
      </w:r>
      <w:r w:rsidR="00677276">
        <w:t>distincts</w:t>
      </w:r>
      <w:r w:rsidR="007E419B" w:rsidRPr="00F21303">
        <w:t xml:space="preserve"> du livre </w:t>
      </w:r>
      <w:r w:rsidR="00977578">
        <w:t>“</w:t>
      </w:r>
      <w:r w:rsidR="007E419B" w:rsidRPr="00F21303">
        <w:rPr>
          <w:i/>
        </w:rPr>
        <w:t>Global Challenges for Innovation in the Mining Industries</w:t>
      </w:r>
      <w:r w:rsidR="00977578">
        <w:t>”</w:t>
      </w:r>
      <w:r w:rsidR="007E419B" w:rsidRPr="00F21303">
        <w:t>, dans le cadre de la série de publications conjointes OMPI</w:t>
      </w:r>
      <w:r w:rsidR="002A7364">
        <w:t>-</w:t>
      </w:r>
      <w:r w:rsidR="007E419B" w:rsidRPr="00F21303">
        <w:t>Cambridge</w:t>
      </w:r>
      <w:r w:rsidR="00977578">
        <w:t> </w:t>
      </w:r>
      <w:r w:rsidR="007E419B" w:rsidRPr="00F21303">
        <w:t>University Pre</w:t>
      </w:r>
      <w:r w:rsidR="00DA65E5" w:rsidRPr="00F21303">
        <w:t>ss</w:t>
      </w:r>
      <w:r w:rsidR="00DA65E5">
        <w:t xml:space="preserve">.  </w:t>
      </w:r>
      <w:r w:rsidR="00DA65E5" w:rsidRPr="00F21303">
        <w:t>Un</w:t>
      </w:r>
      <w:r w:rsidR="007E419B" w:rsidRPr="00F21303">
        <w:t xml:space="preserve"> résumé des principales conclusions de chaque étude figure à la fin du </w:t>
      </w:r>
      <w:r w:rsidR="008016EA">
        <w:t xml:space="preserve">présent </w:t>
      </w:r>
      <w:r w:rsidR="007E419B" w:rsidRPr="00F21303">
        <w:t>document.</w:t>
      </w:r>
    </w:p>
    <w:p w14:paraId="4D4A4FA6" w14:textId="77777777" w:rsidR="002A7364" w:rsidRDefault="00B35232" w:rsidP="00B35232">
      <w:pPr>
        <w:pStyle w:val="Heading2"/>
      </w:pPr>
      <w:r w:rsidRPr="00B35232">
        <w:t>Conception méthodologique et réalisation</w:t>
      </w:r>
    </w:p>
    <w:p w14:paraId="4A748AB5" w14:textId="1D15181A" w:rsidR="00A835DE" w:rsidRPr="00F21303" w:rsidRDefault="00A835DE" w:rsidP="00C46C5B"/>
    <w:p w14:paraId="0C534A08" w14:textId="3600EA7C" w:rsidR="002A7364" w:rsidRDefault="00DA598B" w:rsidP="00B35232">
      <w:pPr>
        <w:pStyle w:val="ONUMFS"/>
        <w:numPr>
          <w:ilvl w:val="0"/>
          <w:numId w:val="0"/>
        </w:numPr>
      </w:pPr>
      <w:r w:rsidRPr="00F21303">
        <w:t>L</w:t>
      </w:r>
      <w:r w:rsidR="00EC2323">
        <w:t>es travaux ont été divisés</w:t>
      </w:r>
      <w:r w:rsidRPr="00F21303">
        <w:t xml:space="preserve"> en deux</w:t>
      </w:r>
      <w:r w:rsidR="003A422A">
        <w:t> </w:t>
      </w:r>
      <w:r w:rsidRPr="00F21303">
        <w:t>volets principaux</w:t>
      </w:r>
      <w:r w:rsidR="002A7364">
        <w:t> :</w:t>
      </w:r>
      <w:r w:rsidRPr="00F21303">
        <w:t xml:space="preserve"> i)</w:t>
      </w:r>
      <w:r w:rsidR="003A422A">
        <w:t> </w:t>
      </w:r>
      <w:r w:rsidRPr="00F21303">
        <w:t>la création d</w:t>
      </w:r>
      <w:r w:rsidR="002A7364">
        <w:t>’</w:t>
      </w:r>
      <w:r w:rsidRPr="00F21303">
        <w:t>une base de données complète sur la propriété intellectuelle et le secteur minier à des fins statistiques;  et ii)</w:t>
      </w:r>
      <w:r w:rsidR="003A422A">
        <w:t> </w:t>
      </w:r>
      <w:r w:rsidRPr="00F21303">
        <w:t>l</w:t>
      </w:r>
      <w:r w:rsidR="002A7364">
        <w:t>’</w:t>
      </w:r>
      <w:r w:rsidRPr="00F21303">
        <w:t>analyse empirique de l</w:t>
      </w:r>
      <w:r w:rsidR="002A7364">
        <w:t>’</w:t>
      </w:r>
      <w:r w:rsidRPr="00F21303">
        <w:t xml:space="preserve">utilisation de la propriété intellectuelle dans le secteur minier </w:t>
      </w:r>
      <w:r w:rsidR="008016EA">
        <w:t>à l</w:t>
      </w:r>
      <w:r w:rsidR="002A7364">
        <w:t>’</w:t>
      </w:r>
      <w:r w:rsidR="008016EA">
        <w:t>échelle nationale</w:t>
      </w:r>
      <w:r w:rsidRPr="00F21303">
        <w:t>.</w:t>
      </w:r>
    </w:p>
    <w:p w14:paraId="63610618" w14:textId="2C3DABB9" w:rsidR="002A7364" w:rsidRDefault="00B35232" w:rsidP="00B35232">
      <w:pPr>
        <w:pStyle w:val="Heading4"/>
      </w:pPr>
      <w:r>
        <w:lastRenderedPageBreak/>
        <w:t>i.</w:t>
      </w:r>
      <w:r>
        <w:tab/>
      </w:r>
      <w:r w:rsidR="00DA598B" w:rsidRPr="00F21303">
        <w:t>Création d</w:t>
      </w:r>
      <w:r w:rsidR="002A7364">
        <w:t>’</w:t>
      </w:r>
      <w:r w:rsidR="00DA598B" w:rsidRPr="00F21303">
        <w:t>une base de données mondiale</w:t>
      </w:r>
      <w:r w:rsidR="00483DF1" w:rsidRPr="00F21303">
        <w:t xml:space="preserve"> sur </w:t>
      </w:r>
      <w:r w:rsidR="00483DF1" w:rsidRPr="00677276">
        <w:t>l</w:t>
      </w:r>
      <w:r w:rsidR="002A7364">
        <w:t>’</w:t>
      </w:r>
      <w:r w:rsidR="00483DF1" w:rsidRPr="00677276">
        <w:t>enregistrement</w:t>
      </w:r>
      <w:r w:rsidR="00DA598B" w:rsidRPr="00677276">
        <w:t xml:space="preserve"> </w:t>
      </w:r>
      <w:r w:rsidR="00483DF1" w:rsidRPr="00677276">
        <w:t xml:space="preserve">des actifs de </w:t>
      </w:r>
      <w:r w:rsidR="00DA598B" w:rsidRPr="00677276">
        <w:t>propriété intellectuelle dans le secteur minier</w:t>
      </w:r>
    </w:p>
    <w:p w14:paraId="77D2B984" w14:textId="724BDCC2" w:rsidR="00A835DE" w:rsidRPr="00F21303" w:rsidRDefault="00A835DE" w:rsidP="00B35232">
      <w:pPr>
        <w:keepNext/>
      </w:pPr>
    </w:p>
    <w:p w14:paraId="664129C5" w14:textId="23C797E8" w:rsidR="00B35232" w:rsidRDefault="00DA598B" w:rsidP="00B35232">
      <w:pPr>
        <w:pStyle w:val="ONUMFS"/>
        <w:numPr>
          <w:ilvl w:val="0"/>
          <w:numId w:val="0"/>
        </w:numPr>
      </w:pPr>
      <w:r w:rsidRPr="00F21303">
        <w:t>La Section de l</w:t>
      </w:r>
      <w:r w:rsidR="002A7364">
        <w:t>’</w:t>
      </w:r>
      <w:r w:rsidRPr="00F21303">
        <w:t>économie de l</w:t>
      </w:r>
      <w:r w:rsidR="002A7364">
        <w:t>’</w:t>
      </w:r>
      <w:r w:rsidRPr="00F21303">
        <w:t>innovation de l</w:t>
      </w:r>
      <w:r w:rsidR="002A7364">
        <w:t>’</w:t>
      </w:r>
      <w:r w:rsidRPr="00F21303">
        <w:t xml:space="preserve">OMPI a, </w:t>
      </w:r>
      <w:r w:rsidR="008016EA">
        <w:t>avec la</w:t>
      </w:r>
      <w:r w:rsidRPr="00F21303">
        <w:t xml:space="preserve"> collaboration avec les </w:t>
      </w:r>
      <w:r w:rsidR="00EC2323">
        <w:t xml:space="preserve">offices nationaux de la propriété intellectuelle </w:t>
      </w:r>
      <w:r w:rsidRPr="00F21303">
        <w:t>de l</w:t>
      </w:r>
      <w:r w:rsidR="002A7364">
        <w:t>’</w:t>
      </w:r>
      <w:r w:rsidRPr="00F21303">
        <w:t>Australie, du Brésil, du Canada, du Chili et des États</w:t>
      </w:r>
      <w:r w:rsidR="002A7364">
        <w:t>-</w:t>
      </w:r>
      <w:r w:rsidRPr="00F21303">
        <w:t>Unis d</w:t>
      </w:r>
      <w:r w:rsidR="002A7364">
        <w:t>’</w:t>
      </w:r>
      <w:r w:rsidRPr="00F21303">
        <w:t xml:space="preserve">Amérique, mis au point la première base de données mondiale sur la propriété </w:t>
      </w:r>
      <w:r w:rsidRPr="00677276">
        <w:t>intellectuelle relative aux technologies dans le secteur mini</w:t>
      </w:r>
      <w:r w:rsidR="00DA65E5" w:rsidRPr="00677276">
        <w:t>er</w:t>
      </w:r>
      <w:r w:rsidR="00DA65E5">
        <w:t>.  Ce</w:t>
      </w:r>
      <w:r w:rsidR="00677276">
        <w:t>tte</w:t>
      </w:r>
      <w:r w:rsidR="00FE09AC" w:rsidRPr="00677276">
        <w:t xml:space="preserve"> nouvelle base de données statistiques est une compilation d</w:t>
      </w:r>
      <w:r w:rsidR="002A7364">
        <w:t>’</w:t>
      </w:r>
      <w:r w:rsidR="00FE09AC" w:rsidRPr="00677276">
        <w:t xml:space="preserve">informations bibliographiques sur </w:t>
      </w:r>
      <w:r w:rsidR="00677276">
        <w:t>l</w:t>
      </w:r>
      <w:r w:rsidR="002A7364">
        <w:t>’</w:t>
      </w:r>
      <w:r w:rsidR="00677276">
        <w:t xml:space="preserve">enregistrement des </w:t>
      </w:r>
      <w:r w:rsidR="00FE09AC" w:rsidRPr="00677276">
        <w:t xml:space="preserve">brevets et </w:t>
      </w:r>
      <w:r w:rsidR="00677276">
        <w:t xml:space="preserve">des </w:t>
      </w:r>
      <w:r w:rsidR="00FE09AC" w:rsidRPr="00677276">
        <w:t>modèles d</w:t>
      </w:r>
      <w:r w:rsidR="002A7364">
        <w:t>’</w:t>
      </w:r>
      <w:r w:rsidR="00FE09AC" w:rsidRPr="00677276">
        <w:t xml:space="preserve">utilité </w:t>
      </w:r>
      <w:r w:rsidR="00677276">
        <w:t>au niveau mondi</w:t>
      </w:r>
      <w:r w:rsidR="00DA65E5">
        <w:t xml:space="preserve">al.  </w:t>
      </w:r>
      <w:r w:rsidR="00DA65E5" w:rsidRPr="00677276">
        <w:t>El</w:t>
      </w:r>
      <w:r w:rsidR="00FE09AC" w:rsidRPr="00677276">
        <w:t>le permet une analyse approfondie de l</w:t>
      </w:r>
      <w:r w:rsidR="002A7364">
        <w:t>’</w:t>
      </w:r>
      <w:r w:rsidR="00FE09AC" w:rsidRPr="00677276">
        <w:t>innovation et de l</w:t>
      </w:r>
      <w:r w:rsidR="002A7364">
        <w:t>’</w:t>
      </w:r>
      <w:r w:rsidR="00FE09AC" w:rsidRPr="00677276">
        <w:t>utilisation de la propriété intellectuelle dans le secteur minier à l</w:t>
      </w:r>
      <w:r w:rsidR="002A7364">
        <w:t>’</w:t>
      </w:r>
      <w:r w:rsidR="00FE09AC" w:rsidRPr="00677276">
        <w:t>échelle mondiale.</w:t>
      </w:r>
    </w:p>
    <w:p w14:paraId="5406812D" w14:textId="15E922DA" w:rsidR="002A7364" w:rsidRDefault="00E22C1B" w:rsidP="00B35232">
      <w:pPr>
        <w:pStyle w:val="ONUMFS"/>
        <w:numPr>
          <w:ilvl w:val="0"/>
          <w:numId w:val="0"/>
        </w:numPr>
      </w:pPr>
      <w:r w:rsidRPr="00677276">
        <w:t>La création de la base de données nécessitait l</w:t>
      </w:r>
      <w:r w:rsidR="002A7364">
        <w:t>’</w:t>
      </w:r>
      <w:r w:rsidRPr="00677276">
        <w:t>établissement d</w:t>
      </w:r>
      <w:r w:rsidR="002A7364">
        <w:t>’</w:t>
      </w:r>
      <w:r w:rsidRPr="00677276">
        <w:t xml:space="preserve">une liste mondiale des sociétés minières et des sociétés </w:t>
      </w:r>
      <w:r w:rsidR="00924B23">
        <w:t>d</w:t>
      </w:r>
      <w:r w:rsidR="002A7364">
        <w:t>’</w:t>
      </w:r>
      <w:r w:rsidR="00924B23">
        <w:t>équipement, de technologie et</w:t>
      </w:r>
      <w:r w:rsidRPr="00677276">
        <w:t xml:space="preserve"> de services miniers, notamment des entreprises innovant</w:t>
      </w:r>
      <w:r w:rsidR="00DA65E5" w:rsidRPr="00677276">
        <w:t>es</w:t>
      </w:r>
      <w:r w:rsidR="00DA65E5">
        <w:t xml:space="preserve">.  </w:t>
      </w:r>
      <w:r w:rsidR="00DA65E5" w:rsidRPr="00677276">
        <w:t>Le</w:t>
      </w:r>
      <w:r w:rsidR="00441EC6" w:rsidRPr="00677276">
        <w:t xml:space="preserve">s offices nationaux de </w:t>
      </w:r>
      <w:r w:rsidR="008016EA">
        <w:t xml:space="preserve">la </w:t>
      </w:r>
      <w:r w:rsidR="00441EC6" w:rsidRPr="00677276">
        <w:t xml:space="preserve">propriété intellectuelle participants ont </w:t>
      </w:r>
      <w:r w:rsidR="00EC2323">
        <w:t xml:space="preserve">joué un rôle essentiel </w:t>
      </w:r>
      <w:r w:rsidR="008016EA">
        <w:t>à cet éga</w:t>
      </w:r>
      <w:r w:rsidR="00DA65E5">
        <w:t xml:space="preserve">rd.  </w:t>
      </w:r>
      <w:r w:rsidR="00DA65E5" w:rsidRPr="00677276">
        <w:t>D</w:t>
      </w:r>
      <w:r w:rsidR="00DA65E5">
        <w:t>’</w:t>
      </w:r>
      <w:r w:rsidR="00DA65E5" w:rsidRPr="00677276">
        <w:t>a</w:t>
      </w:r>
      <w:r w:rsidR="00441EC6" w:rsidRPr="00677276">
        <w:t xml:space="preserve">utres sources, </w:t>
      </w:r>
      <w:r w:rsidR="00677276">
        <w:t>comme</w:t>
      </w:r>
      <w:r w:rsidR="00441EC6" w:rsidRPr="00677276">
        <w:t xml:space="preserve"> la base de données Orbis du Bureau Van Dijk, ont complété ces sources nationales.</w:t>
      </w:r>
    </w:p>
    <w:p w14:paraId="0815AC69" w14:textId="1AE246E0" w:rsidR="002A7364" w:rsidRDefault="00441EC6" w:rsidP="00B35232">
      <w:pPr>
        <w:pStyle w:val="ONUMFS"/>
        <w:numPr>
          <w:ilvl w:val="0"/>
          <w:numId w:val="0"/>
        </w:numPr>
      </w:pPr>
      <w:r w:rsidRPr="00677276">
        <w:t>La participation du Brésil et du Chili à la première phase</w:t>
      </w:r>
      <w:r w:rsidR="002A7364" w:rsidRPr="00677276">
        <w:t xml:space="preserve"> du</w:t>
      </w:r>
      <w:r w:rsidR="002A7364">
        <w:t> </w:t>
      </w:r>
      <w:r w:rsidR="002A7364" w:rsidRPr="00677276">
        <w:t>CDI</w:t>
      </w:r>
      <w:r w:rsidRPr="00677276">
        <w:t xml:space="preserve">P a </w:t>
      </w:r>
      <w:r w:rsidR="00EC2323">
        <w:t xml:space="preserve">été </w:t>
      </w:r>
      <w:r w:rsidRPr="00677276">
        <w:t>déterminant</w:t>
      </w:r>
      <w:r w:rsidR="00EC2323">
        <w:t>e</w:t>
      </w:r>
      <w:r w:rsidRPr="00677276">
        <w:t xml:space="preserve"> </w:t>
      </w:r>
      <w:r w:rsidR="00EC2323">
        <w:t xml:space="preserve">pour </w:t>
      </w:r>
      <w:r w:rsidRPr="00677276">
        <w:t>leur contribution à ce volet de l</w:t>
      </w:r>
      <w:r w:rsidR="002A7364">
        <w:t>’</w:t>
      </w:r>
      <w:r w:rsidRPr="00677276">
        <w:t>étu</w:t>
      </w:r>
      <w:r w:rsidR="00DA65E5" w:rsidRPr="00677276">
        <w:t>de</w:t>
      </w:r>
      <w:r w:rsidR="00DA65E5">
        <w:t>.  Lo</w:t>
      </w:r>
      <w:r w:rsidR="008016EA">
        <w:t>rs de</w:t>
      </w:r>
      <w:r w:rsidR="00677276">
        <w:t xml:space="preserve"> </w:t>
      </w:r>
      <w:r w:rsidR="00EC2323">
        <w:t>la première phase, l</w:t>
      </w:r>
      <w:r w:rsidR="0004329F" w:rsidRPr="00677276">
        <w:t xml:space="preserve">es offices nationaux </w:t>
      </w:r>
      <w:r w:rsidR="00EC2323">
        <w:t>de ces deux</w:t>
      </w:r>
      <w:r w:rsidR="003A422A">
        <w:t> </w:t>
      </w:r>
      <w:r w:rsidR="00EC2323">
        <w:t xml:space="preserve">pays </w:t>
      </w:r>
      <w:r w:rsidR="0004329F" w:rsidRPr="00677276">
        <w:t xml:space="preserve">ont établi et normalisé leurs données </w:t>
      </w:r>
      <w:r w:rsidR="00483DF1" w:rsidRPr="00677276">
        <w:t>sur l</w:t>
      </w:r>
      <w:r w:rsidR="002A7364">
        <w:t>’</w:t>
      </w:r>
      <w:r w:rsidR="00483DF1" w:rsidRPr="00677276">
        <w:t>enregistrement</w:t>
      </w:r>
      <w:r w:rsidR="0004329F" w:rsidRPr="00677276">
        <w:t xml:space="preserve"> </w:t>
      </w:r>
      <w:r w:rsidR="00483DF1" w:rsidRPr="00677276">
        <w:t xml:space="preserve">des actifs de </w:t>
      </w:r>
      <w:r w:rsidR="0004329F" w:rsidRPr="00677276">
        <w:t>propriété intellectuelle à des fins statistiques, renforcé leurs capacités internes d</w:t>
      </w:r>
      <w:r w:rsidR="002A7364">
        <w:t>’</w:t>
      </w:r>
      <w:r w:rsidR="0004329F" w:rsidRPr="00677276">
        <w:t>analyse de</w:t>
      </w:r>
      <w:r w:rsidR="0004329F" w:rsidRPr="00F21303">
        <w:t xml:space="preserve"> ces données et </w:t>
      </w:r>
      <w:r w:rsidR="008016EA">
        <w:t xml:space="preserve">créé </w:t>
      </w:r>
      <w:r w:rsidR="0004329F" w:rsidRPr="00F21303">
        <w:t xml:space="preserve">des </w:t>
      </w:r>
      <w:r w:rsidR="008016EA">
        <w:t>liens</w:t>
      </w:r>
      <w:r w:rsidR="0004329F" w:rsidRPr="00F21303">
        <w:t xml:space="preserve"> durables avec les bureaux nationaux de statistiques</w:t>
      </w:r>
      <w:r w:rsidR="008016EA">
        <w:t xml:space="preserve"> leur permettant d</w:t>
      </w:r>
      <w:r w:rsidR="002A7364">
        <w:t>’</w:t>
      </w:r>
      <w:r w:rsidR="008016EA">
        <w:t xml:space="preserve">accéder </w:t>
      </w:r>
      <w:r w:rsidR="0004329F" w:rsidRPr="00F21303">
        <w:t>à des données économiques complémentair</w:t>
      </w:r>
      <w:r w:rsidR="00DA65E5" w:rsidRPr="00F21303">
        <w:t>es</w:t>
      </w:r>
      <w:r w:rsidR="00DA65E5">
        <w:t>.  Ay</w:t>
      </w:r>
      <w:r w:rsidR="00677276">
        <w:t>ant</w:t>
      </w:r>
      <w:r w:rsidR="000166E9" w:rsidRPr="00F21303">
        <w:t xml:space="preserve"> continué de mettre à jour leurs données et de renforcer leurs capacités après la première phase, le Brésil et le Chili </w:t>
      </w:r>
      <w:r w:rsidR="00EC2323">
        <w:t xml:space="preserve">pouvaient </w:t>
      </w:r>
      <w:r w:rsidR="000166E9" w:rsidRPr="00F21303">
        <w:t xml:space="preserve">mener des travaux de recherche </w:t>
      </w:r>
      <w:r w:rsidR="00677276">
        <w:t>en s</w:t>
      </w:r>
      <w:r w:rsidR="002A7364">
        <w:t>’</w:t>
      </w:r>
      <w:r w:rsidR="00677276">
        <w:t xml:space="preserve">inspirant </w:t>
      </w:r>
      <w:r w:rsidR="000166E9" w:rsidRPr="00F21303">
        <w:t>de ceux réalisés dans les autres pays participant à l</w:t>
      </w:r>
      <w:r w:rsidR="002A7364">
        <w:t>’</w:t>
      </w:r>
      <w:r w:rsidR="000166E9" w:rsidRPr="00F21303">
        <w:t>étude mondiale.</w:t>
      </w:r>
    </w:p>
    <w:p w14:paraId="63379D1A" w14:textId="42A571C1" w:rsidR="00B35232" w:rsidRDefault="004F6263" w:rsidP="00B35232">
      <w:pPr>
        <w:pStyle w:val="ONUMFS"/>
        <w:numPr>
          <w:ilvl w:val="0"/>
          <w:numId w:val="0"/>
        </w:numPr>
        <w:rPr>
          <w:bCs/>
          <w:iCs/>
          <w:caps/>
        </w:rPr>
      </w:pPr>
      <w:r w:rsidRPr="00F21303">
        <w:t xml:space="preserve">La base de données finale est un </w:t>
      </w:r>
      <w:r w:rsidR="00677276">
        <w:t xml:space="preserve">produit indépendant </w:t>
      </w:r>
      <w:r w:rsidR="00EC2323">
        <w:t>qui a été mis</w:t>
      </w:r>
      <w:r w:rsidRPr="00F21303">
        <w:t xml:space="preserve"> à la disposition des universitaires et des experts internationaux pour </w:t>
      </w:r>
      <w:r w:rsidR="00677276">
        <w:t xml:space="preserve">la </w:t>
      </w:r>
      <w:r w:rsidRPr="00F21303">
        <w:t>réalis</w:t>
      </w:r>
      <w:r w:rsidR="00677276">
        <w:t>ation</w:t>
      </w:r>
      <w:r w:rsidRPr="00F21303">
        <w:t xml:space="preserve"> d</w:t>
      </w:r>
      <w:r w:rsidR="002A7364">
        <w:t>’</w:t>
      </w:r>
      <w:r w:rsidRPr="00F21303">
        <w:t>autres études sur l</w:t>
      </w:r>
      <w:r w:rsidR="002A7364">
        <w:t>’</w:t>
      </w:r>
      <w:r w:rsidRPr="00F21303">
        <w:t>innovation dans le secteur mini</w:t>
      </w:r>
      <w:r w:rsidR="00DA65E5" w:rsidRPr="00F21303">
        <w:t>er</w:t>
      </w:r>
      <w:r w:rsidR="00DA65E5">
        <w:t>.  El</w:t>
      </w:r>
      <w:r w:rsidR="00677276">
        <w:t>le a</w:t>
      </w:r>
      <w:r w:rsidRPr="00F21303">
        <w:t xml:space="preserve"> également </w:t>
      </w:r>
      <w:r w:rsidR="00677276">
        <w:t>été</w:t>
      </w:r>
      <w:r w:rsidRPr="00F21303">
        <w:t xml:space="preserve"> partag</w:t>
      </w:r>
      <w:r w:rsidR="00677276">
        <w:t>é</w:t>
      </w:r>
      <w:r w:rsidRPr="00F21303">
        <w:t xml:space="preserve">e avec les experts locaux </w:t>
      </w:r>
      <w:r w:rsidR="00EC2323">
        <w:t>réalisa</w:t>
      </w:r>
      <w:r w:rsidRPr="00F21303">
        <w:t>nt les études au Brésil et au Chili.</w:t>
      </w:r>
    </w:p>
    <w:p w14:paraId="5AD5B49A" w14:textId="27E8F1BB" w:rsidR="00A835DE" w:rsidRPr="00F21303" w:rsidRDefault="00B35232" w:rsidP="00B35232">
      <w:pPr>
        <w:pStyle w:val="Heading4"/>
      </w:pPr>
      <w:r>
        <w:t>ii.</w:t>
      </w:r>
      <w:r>
        <w:tab/>
      </w:r>
      <w:r w:rsidR="004F6263" w:rsidRPr="00F21303">
        <w:t>Analyse empirique de l</w:t>
      </w:r>
      <w:r w:rsidR="002A7364">
        <w:t>’</w:t>
      </w:r>
      <w:r w:rsidR="004F6263" w:rsidRPr="00F21303">
        <w:t>utilisation de la propriété intellectuelle dans le secteur minier</w:t>
      </w:r>
    </w:p>
    <w:p w14:paraId="537E5DD9" w14:textId="77777777" w:rsidR="00A835DE" w:rsidRPr="00F21303" w:rsidRDefault="00A835DE" w:rsidP="00C46C5B"/>
    <w:p w14:paraId="5C8826B0" w14:textId="74CE8C9E" w:rsidR="002A7364" w:rsidRDefault="00B37A35" w:rsidP="00B35232">
      <w:pPr>
        <w:pStyle w:val="ONUMFS"/>
        <w:numPr>
          <w:ilvl w:val="0"/>
          <w:numId w:val="0"/>
        </w:numPr>
      </w:pPr>
      <w:r w:rsidRPr="00B35232">
        <w:t>Ayant trait à l</w:t>
      </w:r>
      <w:r w:rsidR="002A7364">
        <w:t>’</w:t>
      </w:r>
      <w:r w:rsidRPr="00B35232">
        <w:t>extraction</w:t>
      </w:r>
      <w:r w:rsidR="004F6263" w:rsidRPr="00B35232">
        <w:t>, le secteur minier est souvent considéré comme moins innovant que d</w:t>
      </w:r>
      <w:r w:rsidR="002A7364">
        <w:t>’</w:t>
      </w:r>
      <w:r w:rsidR="004F6263" w:rsidRPr="00B35232">
        <w:t xml:space="preserve">autres, </w:t>
      </w:r>
      <w:r w:rsidR="00EC2323" w:rsidRPr="00B35232">
        <w:t>comme</w:t>
      </w:r>
      <w:r w:rsidR="004F6263" w:rsidRPr="00B35232">
        <w:t xml:space="preserve"> le secteur manufacturi</w:t>
      </w:r>
      <w:r w:rsidR="00DA65E5" w:rsidRPr="00B35232">
        <w:t>er</w:t>
      </w:r>
      <w:r w:rsidR="00DA65E5">
        <w:t xml:space="preserve">.  </w:t>
      </w:r>
      <w:r w:rsidR="00DA65E5" w:rsidRPr="00B35232">
        <w:t>En</w:t>
      </w:r>
      <w:r w:rsidRPr="00B35232">
        <w:t xml:space="preserve"> outre</w:t>
      </w:r>
      <w:r w:rsidR="00840978" w:rsidRPr="00B35232">
        <w:t>, les responsables politiques sont</w:t>
      </w:r>
      <w:r w:rsidRPr="00B35232">
        <w:t xml:space="preserve"> constamment</w:t>
      </w:r>
      <w:r w:rsidR="00840978" w:rsidRPr="00B35232">
        <w:t xml:space="preserve"> confrontés au défi </w:t>
      </w:r>
      <w:r w:rsidRPr="00B35232">
        <w:t xml:space="preserve">que </w:t>
      </w:r>
      <w:r w:rsidR="008016EA" w:rsidRPr="00B35232">
        <w:t>constitue</w:t>
      </w:r>
      <w:r w:rsidRPr="00B35232">
        <w:t xml:space="preserve"> la promotion de </w:t>
      </w:r>
      <w:r w:rsidR="00840978" w:rsidRPr="00B35232">
        <w:t>l</w:t>
      </w:r>
      <w:r w:rsidR="002A7364">
        <w:t>’</w:t>
      </w:r>
      <w:r w:rsidR="00840978" w:rsidRPr="00B35232">
        <w:t>innovation dans un secteur qui représente une part importante d</w:t>
      </w:r>
      <w:r w:rsidR="00EC2323" w:rsidRPr="00B35232">
        <w:t>u</w:t>
      </w:r>
      <w:r w:rsidR="00840978" w:rsidRPr="00B35232">
        <w:t xml:space="preserve"> produit intérieur brut (PIB).</w:t>
      </w:r>
      <w:r w:rsidR="0063715A" w:rsidRPr="00B35232">
        <w:t xml:space="preserve">  </w:t>
      </w:r>
      <w:r w:rsidR="00840978" w:rsidRPr="00B35232">
        <w:t xml:space="preserve">Dans cette optique, des experts brésiliens et chiliens </w:t>
      </w:r>
      <w:r w:rsidRPr="00B35232">
        <w:t xml:space="preserve">issus </w:t>
      </w:r>
      <w:r w:rsidR="00EC2323" w:rsidRPr="00B35232">
        <w:t>des</w:t>
      </w:r>
      <w:r w:rsidR="00840978" w:rsidRPr="00B35232">
        <w:t xml:space="preserve"> </w:t>
      </w:r>
      <w:r w:rsidRPr="00B35232">
        <w:t>milieu</w:t>
      </w:r>
      <w:r w:rsidR="00EC2323" w:rsidRPr="00B35232">
        <w:t>x</w:t>
      </w:r>
      <w:r w:rsidR="00840978" w:rsidRPr="00B35232">
        <w:t xml:space="preserve"> universitaire</w:t>
      </w:r>
      <w:r w:rsidR="00EC2323" w:rsidRPr="00B35232">
        <w:t>s</w:t>
      </w:r>
      <w:r w:rsidR="00840978" w:rsidRPr="00B35232">
        <w:t xml:space="preserve"> et de</w:t>
      </w:r>
      <w:r w:rsidR="002B43FB" w:rsidRPr="00B35232">
        <w:t>s entreprises</w:t>
      </w:r>
      <w:r w:rsidR="00840978" w:rsidRPr="00B35232">
        <w:t xml:space="preserve"> ont été invités à collaborer avec les </w:t>
      </w:r>
      <w:r w:rsidR="00EC2323" w:rsidRPr="00B35232">
        <w:t>offices nationaux de la propriété intellectuelle</w:t>
      </w:r>
      <w:r w:rsidR="00840978" w:rsidRPr="00B35232">
        <w:t xml:space="preserve"> </w:t>
      </w:r>
      <w:r w:rsidR="002B43FB" w:rsidRPr="00B35232">
        <w:t>pour</w:t>
      </w:r>
      <w:r w:rsidR="00840978" w:rsidRPr="00B35232">
        <w:t xml:space="preserve"> la réalisation d</w:t>
      </w:r>
      <w:r w:rsidR="002A7364">
        <w:t>’</w:t>
      </w:r>
      <w:r w:rsidR="00840978" w:rsidRPr="00B35232">
        <w:t>une étude empirique visant à faire mieux comprendre le secteur minier sous l</w:t>
      </w:r>
      <w:r w:rsidR="002A7364">
        <w:t>’</w:t>
      </w:r>
      <w:r w:rsidR="00840978" w:rsidRPr="00B35232">
        <w:t>angle économique.</w:t>
      </w:r>
    </w:p>
    <w:p w14:paraId="51721C57" w14:textId="6EB5EDA9" w:rsidR="002A7364" w:rsidRDefault="003B13DD" w:rsidP="00B35232">
      <w:pPr>
        <w:pStyle w:val="ONUMFS"/>
        <w:numPr>
          <w:ilvl w:val="0"/>
          <w:numId w:val="0"/>
        </w:numPr>
      </w:pPr>
      <w:r w:rsidRPr="00B35232">
        <w:t>Chaque gouvernement national a défini l</w:t>
      </w:r>
      <w:r w:rsidR="002A7364">
        <w:t>’</w:t>
      </w:r>
      <w:r w:rsidRPr="00B35232">
        <w:t>orientation principale de son étude avec l</w:t>
      </w:r>
      <w:r w:rsidR="002A7364">
        <w:t>’</w:t>
      </w:r>
      <w:r w:rsidRPr="00B35232">
        <w:t>appui technique de l</w:t>
      </w:r>
      <w:r w:rsidR="002A7364">
        <w:t>’</w:t>
      </w:r>
      <w:r w:rsidRPr="00B35232">
        <w:t>O</w:t>
      </w:r>
      <w:r w:rsidR="00DA65E5" w:rsidRPr="00B35232">
        <w:t>MPI</w:t>
      </w:r>
      <w:r w:rsidR="00DA65E5">
        <w:t xml:space="preserve">.  </w:t>
      </w:r>
      <w:r w:rsidR="00DA65E5" w:rsidRPr="00B35232">
        <w:t>En</w:t>
      </w:r>
      <w:r w:rsidR="002B43FB" w:rsidRPr="00B35232">
        <w:t xml:space="preserve">suite, </w:t>
      </w:r>
      <w:r w:rsidRPr="00B35232">
        <w:t>la Section de l</w:t>
      </w:r>
      <w:r w:rsidR="002A7364">
        <w:t>’</w:t>
      </w:r>
      <w:r w:rsidRPr="00B35232">
        <w:t>économie de l</w:t>
      </w:r>
      <w:r w:rsidR="002A7364">
        <w:t>’</w:t>
      </w:r>
      <w:r w:rsidRPr="00B35232">
        <w:t>innovation de l</w:t>
      </w:r>
      <w:r w:rsidR="002A7364">
        <w:t>’</w:t>
      </w:r>
      <w:r w:rsidRPr="00B35232">
        <w:t xml:space="preserve">OMPI et les </w:t>
      </w:r>
      <w:r w:rsidR="00EC2323" w:rsidRPr="00B35232">
        <w:t>offices nationaux de la propriété intellectuelle</w:t>
      </w:r>
      <w:r w:rsidRPr="00B35232">
        <w:t xml:space="preserve"> ont choisi les experts les plus qualifiés pour </w:t>
      </w:r>
      <w:r w:rsidR="009E2E74" w:rsidRPr="00B35232">
        <w:t xml:space="preserve">la </w:t>
      </w:r>
      <w:r w:rsidRPr="00B35232">
        <w:t>réalis</w:t>
      </w:r>
      <w:r w:rsidR="00DA65E5" w:rsidRPr="00B35232">
        <w:t>er</w:t>
      </w:r>
      <w:r w:rsidR="00DA65E5">
        <w:t xml:space="preserve">.  </w:t>
      </w:r>
      <w:r w:rsidR="00DA65E5" w:rsidRPr="00B35232">
        <w:t>Ce</w:t>
      </w:r>
      <w:r w:rsidRPr="00B35232">
        <w:t xml:space="preserve">s </w:t>
      </w:r>
      <w:r w:rsidR="002B43FB" w:rsidRPr="00B35232">
        <w:t xml:space="preserve">derniers </w:t>
      </w:r>
      <w:r w:rsidRPr="00B35232">
        <w:t xml:space="preserve">ont </w:t>
      </w:r>
      <w:r w:rsidR="009E2E74" w:rsidRPr="00B35232">
        <w:t>suivi</w:t>
      </w:r>
      <w:r w:rsidRPr="00B35232">
        <w:t xml:space="preserve"> les conseils des </w:t>
      </w:r>
      <w:r w:rsidR="00EC2323" w:rsidRPr="00B35232">
        <w:t>offices nationaux de la propriété intellectuelle</w:t>
      </w:r>
      <w:r w:rsidRPr="00B35232">
        <w:t xml:space="preserve"> et de la Section de l</w:t>
      </w:r>
      <w:r w:rsidR="002A7364">
        <w:t>’</w:t>
      </w:r>
      <w:r w:rsidRPr="00B35232">
        <w:t>économie de l</w:t>
      </w:r>
      <w:r w:rsidR="002A7364">
        <w:t>’</w:t>
      </w:r>
      <w:r w:rsidRPr="00B35232">
        <w:t>innovation de l</w:t>
      </w:r>
      <w:r w:rsidR="002A7364">
        <w:t>’</w:t>
      </w:r>
      <w:r w:rsidRPr="00B35232">
        <w:t>O</w:t>
      </w:r>
      <w:r w:rsidR="00DA65E5" w:rsidRPr="00B35232">
        <w:t>MPI</w:t>
      </w:r>
      <w:r w:rsidR="00DA65E5">
        <w:t xml:space="preserve">.  </w:t>
      </w:r>
      <w:r w:rsidR="00DA65E5" w:rsidRPr="00B35232">
        <w:t>Au</w:t>
      </w:r>
      <w:r w:rsidRPr="00B35232">
        <w:t xml:space="preserve"> Brésil, les </w:t>
      </w:r>
      <w:r w:rsidR="002B43FB" w:rsidRPr="00B35232">
        <w:t xml:space="preserve">chercheurs </w:t>
      </w:r>
      <w:r w:rsidRPr="00B35232">
        <w:t>de l</w:t>
      </w:r>
      <w:r w:rsidR="002A7364">
        <w:t>’</w:t>
      </w:r>
      <w:r w:rsidRPr="00B35232">
        <w:t xml:space="preserve">office national de </w:t>
      </w:r>
      <w:r w:rsidR="002B43FB" w:rsidRPr="00B35232">
        <w:t xml:space="preserve">la </w:t>
      </w:r>
      <w:r w:rsidRPr="00B35232">
        <w:t xml:space="preserve">propriété intellectuelle ont également </w:t>
      </w:r>
      <w:r w:rsidR="002B43FB" w:rsidRPr="00B35232">
        <w:t>participé</w:t>
      </w:r>
      <w:r w:rsidRPr="00B35232">
        <w:t xml:space="preserve"> à l</w:t>
      </w:r>
      <w:r w:rsidR="002A7364">
        <w:t>’</w:t>
      </w:r>
      <w:r w:rsidRPr="00B35232">
        <w:t>étude en tant que coauteurs.</w:t>
      </w:r>
    </w:p>
    <w:p w14:paraId="5E3D2E11" w14:textId="0D416C23" w:rsidR="002A7364" w:rsidRDefault="002B43FB" w:rsidP="00B35232">
      <w:pPr>
        <w:pStyle w:val="ONUMFS"/>
        <w:numPr>
          <w:ilvl w:val="0"/>
          <w:numId w:val="0"/>
        </w:numPr>
      </w:pPr>
      <w:r w:rsidRPr="00B35232">
        <w:t>Dans les deux</w:t>
      </w:r>
      <w:r w:rsidR="003A422A">
        <w:t> </w:t>
      </w:r>
      <w:r w:rsidRPr="00B35232">
        <w:t>études, l</w:t>
      </w:r>
      <w:r w:rsidR="002A7364">
        <w:t>’</w:t>
      </w:r>
      <w:r w:rsidR="00241128" w:rsidRPr="00B35232">
        <w:t xml:space="preserve">analyse empirique </w:t>
      </w:r>
      <w:r w:rsidRPr="00B35232">
        <w:t>repos</w:t>
      </w:r>
      <w:r w:rsidR="009E2E74" w:rsidRPr="00B35232">
        <w:t>ait</w:t>
      </w:r>
      <w:r w:rsidRPr="00B35232">
        <w:t xml:space="preserve"> sur les informations figurant dans la </w:t>
      </w:r>
      <w:r w:rsidR="00241128" w:rsidRPr="00B35232">
        <w:t>base de données mondiale déc</w:t>
      </w:r>
      <w:r w:rsidR="008016EA" w:rsidRPr="00B35232">
        <w:t>rite dans la section précédente et</w:t>
      </w:r>
      <w:r w:rsidR="00241128" w:rsidRPr="00B35232">
        <w:t xml:space="preserve"> complétée</w:t>
      </w:r>
      <w:r w:rsidRPr="00B35232">
        <w:t>s</w:t>
      </w:r>
      <w:r w:rsidR="00241128" w:rsidRPr="00B35232">
        <w:t xml:space="preserve"> par des observations supplémentaires pour </w:t>
      </w:r>
      <w:r w:rsidR="009E2E74" w:rsidRPr="00B35232">
        <w:t>étoffer</w:t>
      </w:r>
      <w:r w:rsidR="00241128" w:rsidRPr="00B35232">
        <w:t xml:space="preserve"> la description de l</w:t>
      </w:r>
      <w:r w:rsidR="002A7364">
        <w:t>’</w:t>
      </w:r>
      <w:r w:rsidR="00241128" w:rsidRPr="00B35232">
        <w:t>industrie minière nationa</w:t>
      </w:r>
      <w:r w:rsidR="00DA65E5" w:rsidRPr="00B35232">
        <w:t>le</w:t>
      </w:r>
      <w:r w:rsidR="00DA65E5">
        <w:t xml:space="preserve">.  </w:t>
      </w:r>
      <w:r w:rsidR="00DA65E5" w:rsidRPr="00B35232">
        <w:t>Co</w:t>
      </w:r>
      <w:r w:rsidR="00B1737B" w:rsidRPr="00B35232">
        <w:t>mpte tenu des différences structurelles entre les secteurs miniers des deux</w:t>
      </w:r>
      <w:r w:rsidR="003A422A">
        <w:t> </w:t>
      </w:r>
      <w:r w:rsidR="00B1737B" w:rsidRPr="00B35232">
        <w:t xml:space="preserve">pays, les offices nationaux ont </w:t>
      </w:r>
      <w:r w:rsidRPr="00B35232">
        <w:t xml:space="preserve">eu </w:t>
      </w:r>
      <w:r w:rsidR="00B1737B" w:rsidRPr="00B35232">
        <w:t xml:space="preserve">la possibilité </w:t>
      </w:r>
      <w:r w:rsidRPr="00B35232">
        <w:t>de compléter les données quantitatives</w:t>
      </w:r>
      <w:r w:rsidR="00B1737B" w:rsidRPr="00B35232">
        <w:t xml:space="preserve"> de la façon qui leur semblait la plus </w:t>
      </w:r>
      <w:r w:rsidR="00B1737B" w:rsidRPr="00B35232">
        <w:lastRenderedPageBreak/>
        <w:t>appropri</w:t>
      </w:r>
      <w:r w:rsidR="00DA65E5" w:rsidRPr="00B35232">
        <w:t>ée</w:t>
      </w:r>
      <w:r w:rsidR="00DA65E5">
        <w:t xml:space="preserve">.  </w:t>
      </w:r>
      <w:r w:rsidR="00DA65E5" w:rsidRPr="00B35232">
        <w:t>L</w:t>
      </w:r>
      <w:r w:rsidR="00DA65E5">
        <w:t>’</w:t>
      </w:r>
      <w:r w:rsidR="00DA65E5" w:rsidRPr="00B35232">
        <w:t>é</w:t>
      </w:r>
      <w:r w:rsidR="00BD4F78" w:rsidRPr="00B35232">
        <w:t xml:space="preserve">tude </w:t>
      </w:r>
      <w:r w:rsidRPr="00B35232">
        <w:t xml:space="preserve">menée au </w:t>
      </w:r>
      <w:r w:rsidR="00BD4F78" w:rsidRPr="00B35232">
        <w:t xml:space="preserve">Brésil a </w:t>
      </w:r>
      <w:r w:rsidR="009E2E74" w:rsidRPr="00B35232">
        <w:t>inclus</w:t>
      </w:r>
      <w:r w:rsidRPr="00B35232">
        <w:t xml:space="preserve"> </w:t>
      </w:r>
      <w:r w:rsidR="00BD4F78" w:rsidRPr="00B35232">
        <w:t>des données plus précises fournies par l</w:t>
      </w:r>
      <w:r w:rsidR="002A7364">
        <w:t>’</w:t>
      </w:r>
      <w:r w:rsidR="00BD4F78" w:rsidRPr="00B35232">
        <w:t>office national de la propriété intellectuelle et une étude de cas approfondie de la principale société minière brésilien</w:t>
      </w:r>
      <w:r w:rsidR="00DA65E5" w:rsidRPr="00B35232">
        <w:t>ne</w:t>
      </w:r>
      <w:r w:rsidR="00DA65E5">
        <w:t xml:space="preserve">.  </w:t>
      </w:r>
      <w:r w:rsidR="00DA65E5" w:rsidRPr="00B35232">
        <w:t>L</w:t>
      </w:r>
      <w:r w:rsidR="00DA65E5">
        <w:t>’</w:t>
      </w:r>
      <w:r w:rsidR="00DA65E5" w:rsidRPr="00B35232">
        <w:t>é</w:t>
      </w:r>
      <w:r w:rsidR="00BD4F78" w:rsidRPr="00B35232">
        <w:t xml:space="preserve">tude menée au Chili a été complétée par une enquête </w:t>
      </w:r>
      <w:r w:rsidRPr="00B35232">
        <w:t>auprès des</w:t>
      </w:r>
      <w:r w:rsidR="00BD4F78" w:rsidRPr="00B35232">
        <w:t xml:space="preserve"> sociétés </w:t>
      </w:r>
      <w:r w:rsidR="00924B23" w:rsidRPr="00B35232">
        <w:t>d</w:t>
      </w:r>
      <w:r w:rsidR="002A7364">
        <w:t>’</w:t>
      </w:r>
      <w:r w:rsidR="00924B23" w:rsidRPr="00B35232">
        <w:t>équipement, de technologie et</w:t>
      </w:r>
      <w:r w:rsidR="00BD4F78" w:rsidRPr="00B35232">
        <w:t xml:space="preserve"> de services miniers établies </w:t>
      </w:r>
      <w:r w:rsidR="009E2E74" w:rsidRPr="00B35232">
        <w:t xml:space="preserve">dans le pays </w:t>
      </w:r>
      <w:r w:rsidR="00BD4F78" w:rsidRPr="00B35232">
        <w:t>et des entretiens semi</w:t>
      </w:r>
      <w:r w:rsidR="002A7364">
        <w:t>-</w:t>
      </w:r>
      <w:r w:rsidR="00BD4F78" w:rsidRPr="00B35232">
        <w:t xml:space="preserve">structurés avec des cadres supérieurs des parties prenantes du secteur minier </w:t>
      </w:r>
      <w:r w:rsidR="009E2E74" w:rsidRPr="00B35232">
        <w:t>national</w:t>
      </w:r>
      <w:r w:rsidR="00BD4F78" w:rsidRPr="00B35232">
        <w:t>.</w:t>
      </w:r>
    </w:p>
    <w:p w14:paraId="637DB76D" w14:textId="7FE866D2" w:rsidR="002A7364" w:rsidRDefault="00E404BF" w:rsidP="00B35232">
      <w:pPr>
        <w:pStyle w:val="ONUMFS"/>
        <w:numPr>
          <w:ilvl w:val="0"/>
          <w:numId w:val="0"/>
        </w:numPr>
      </w:pPr>
      <w:r w:rsidRPr="00B35232">
        <w:t>C</w:t>
      </w:r>
      <w:r w:rsidR="009E185B" w:rsidRPr="00B35232">
        <w:t xml:space="preserve">es études fournissent </w:t>
      </w:r>
      <w:r w:rsidRPr="00B35232">
        <w:t xml:space="preserve">ainsi </w:t>
      </w:r>
      <w:r w:rsidR="009E185B" w:rsidRPr="00B35232">
        <w:t>une description statistique inédite de l</w:t>
      </w:r>
      <w:r w:rsidR="002A7364">
        <w:t>’</w:t>
      </w:r>
      <w:r w:rsidR="009E185B" w:rsidRPr="00B35232">
        <w:t>innovation et de l</w:t>
      </w:r>
      <w:r w:rsidR="002A7364">
        <w:t>’</w:t>
      </w:r>
      <w:r w:rsidR="009E185B" w:rsidRPr="00B35232">
        <w:t>utilisation de la propriété intellectuelle dans l</w:t>
      </w:r>
      <w:r w:rsidR="002A7364">
        <w:t>’</w:t>
      </w:r>
      <w:r w:rsidR="009E185B" w:rsidRPr="00B35232">
        <w:t>industrie minière de chacun des pays, qui associe des informations quantitatives et qualitatives.</w:t>
      </w:r>
    </w:p>
    <w:p w14:paraId="79DFB53D" w14:textId="21B62387" w:rsidR="00A835DE" w:rsidRPr="00F21303" w:rsidRDefault="00B35232" w:rsidP="00B35232">
      <w:pPr>
        <w:pStyle w:val="Heading2"/>
      </w:pPr>
      <w:r w:rsidRPr="00F21303">
        <w:t>Enseignements tirés</w:t>
      </w:r>
    </w:p>
    <w:p w14:paraId="1638D255" w14:textId="77777777" w:rsidR="00A835DE" w:rsidRPr="00F21303" w:rsidRDefault="00A835DE" w:rsidP="00C46C5B"/>
    <w:p w14:paraId="7970B145" w14:textId="79B92217" w:rsidR="00B35232" w:rsidRDefault="00E404BF" w:rsidP="00B35232">
      <w:pPr>
        <w:pStyle w:val="ONUMFS"/>
        <w:numPr>
          <w:ilvl w:val="0"/>
          <w:numId w:val="0"/>
        </w:numPr>
      </w:pPr>
      <w:r>
        <w:t>D</w:t>
      </w:r>
      <w:r w:rsidR="002A7364">
        <w:t>’</w:t>
      </w:r>
      <w:r>
        <w:t>une façon générale, l</w:t>
      </w:r>
      <w:r w:rsidR="001F2FE4" w:rsidRPr="00F21303">
        <w:t xml:space="preserve">es études nationales ont </w:t>
      </w:r>
      <w:r w:rsidR="00483DF1" w:rsidRPr="00F21303">
        <w:t xml:space="preserve">été </w:t>
      </w:r>
      <w:r>
        <w:t xml:space="preserve">réalisées </w:t>
      </w:r>
      <w:r w:rsidR="001F2FE4" w:rsidRPr="00F21303">
        <w:t xml:space="preserve">conformément au cadre et au calendrier définis </w:t>
      </w:r>
      <w:r>
        <w:t>lors de</w:t>
      </w:r>
      <w:r w:rsidR="001F2FE4" w:rsidRPr="00F21303">
        <w:t xml:space="preserve"> leur concepti</w:t>
      </w:r>
      <w:r w:rsidR="00DA65E5" w:rsidRPr="00F21303">
        <w:t>on</w:t>
      </w:r>
      <w:r w:rsidR="00DA65E5">
        <w:t xml:space="preserve">.  </w:t>
      </w:r>
      <w:r w:rsidR="00DA65E5" w:rsidRPr="00F21303">
        <w:t>To</w:t>
      </w:r>
      <w:r w:rsidR="001F2FE4" w:rsidRPr="00F21303">
        <w:t xml:space="preserve">utefois, il a fallu relever certains défis </w:t>
      </w:r>
      <w:r w:rsidR="009E2E74">
        <w:t xml:space="preserve">dont il est possible </w:t>
      </w:r>
      <w:r w:rsidR="001F2FE4" w:rsidRPr="00F21303">
        <w:t xml:space="preserve">de tirer des enseignements </w:t>
      </w:r>
      <w:r>
        <w:t xml:space="preserve">pour des </w:t>
      </w:r>
      <w:r w:rsidR="001F2FE4" w:rsidRPr="00F21303">
        <w:t>futures</w:t>
      </w:r>
      <w:r>
        <w:t xml:space="preserve"> </w:t>
      </w:r>
      <w:r w:rsidRPr="00F21303">
        <w:t>études</w:t>
      </w:r>
      <w:r w:rsidR="001F2FE4" w:rsidRPr="00F21303">
        <w:t>.</w:t>
      </w:r>
    </w:p>
    <w:p w14:paraId="41A68F2B" w14:textId="671E78CF" w:rsidR="002A7364" w:rsidRDefault="00FB0E27" w:rsidP="00B35232">
      <w:pPr>
        <w:pStyle w:val="ONUMFS"/>
        <w:numPr>
          <w:ilvl w:val="0"/>
          <w:numId w:val="0"/>
        </w:numPr>
      </w:pPr>
      <w:r w:rsidRPr="00F21303">
        <w:t xml:space="preserve">La principale difficulté rencontrée lors de la création de la base de données sur la propriété intellectuelle dans le secteur minier concerne la qualité générale et la normalisation des </w:t>
      </w:r>
      <w:r w:rsidRPr="001D6831">
        <w:t>données sur l</w:t>
      </w:r>
      <w:r w:rsidR="002A7364">
        <w:t>’</w:t>
      </w:r>
      <w:r w:rsidRPr="001D6831">
        <w:t>enregistrement des actifs</w:t>
      </w:r>
      <w:r w:rsidRPr="00F21303">
        <w:t xml:space="preserve"> de propriété intellectuel</w:t>
      </w:r>
      <w:r w:rsidR="00DA65E5" w:rsidRPr="00F21303">
        <w:t>le</w:t>
      </w:r>
      <w:r w:rsidR="00DA65E5">
        <w:t>.  Si</w:t>
      </w:r>
      <w:r w:rsidR="008016EA">
        <w:t xml:space="preserve"> l</w:t>
      </w:r>
      <w:r w:rsidR="002A7364">
        <w:t>’</w:t>
      </w:r>
      <w:r w:rsidR="008016EA">
        <w:t>existence de</w:t>
      </w:r>
      <w:r w:rsidR="004E44DA" w:rsidRPr="00F21303">
        <w:t xml:space="preserve"> différences dans la structure des données </w:t>
      </w:r>
      <w:r w:rsidR="008016EA">
        <w:t>a</w:t>
      </w:r>
      <w:r w:rsidR="004E44DA" w:rsidRPr="00F21303">
        <w:t xml:space="preserve"> ralenti le</w:t>
      </w:r>
      <w:r w:rsidR="00E404BF">
        <w:t>ur</w:t>
      </w:r>
      <w:r w:rsidR="004E44DA" w:rsidRPr="00F21303">
        <w:t xml:space="preserve"> traitement et l</w:t>
      </w:r>
      <w:r w:rsidR="00E404BF">
        <w:t xml:space="preserve">eur </w:t>
      </w:r>
      <w:r w:rsidR="004E44DA" w:rsidRPr="00F21303">
        <w:t>harmonisation, la plupart des obstacles d</w:t>
      </w:r>
      <w:r w:rsidR="002A7364">
        <w:t>’</w:t>
      </w:r>
      <w:r w:rsidR="004E44DA" w:rsidRPr="00F21303">
        <w:t>ordre technique ont finalement pu être surmont</w:t>
      </w:r>
      <w:r w:rsidR="00DA65E5" w:rsidRPr="00F21303">
        <w:t>és</w:t>
      </w:r>
      <w:r w:rsidR="00DA65E5">
        <w:t xml:space="preserve">.  </w:t>
      </w:r>
      <w:r w:rsidR="00DA65E5" w:rsidRPr="00F21303">
        <w:t>Le</w:t>
      </w:r>
      <w:r w:rsidR="004E44DA" w:rsidRPr="00F21303">
        <w:t xml:space="preserve">s </w:t>
      </w:r>
      <w:r w:rsidR="00EC2323">
        <w:t>offices nationaux de la propriété intellectuelle</w:t>
      </w:r>
      <w:r w:rsidR="004E44DA" w:rsidRPr="00F21303">
        <w:t xml:space="preserve">, </w:t>
      </w:r>
      <w:r w:rsidR="002A7364">
        <w:t>y compris</w:t>
      </w:r>
      <w:r w:rsidR="004E44DA" w:rsidRPr="00F21303">
        <w:t xml:space="preserve"> ceux du Brésil et du Chili, ont </w:t>
      </w:r>
      <w:r w:rsidR="00E404BF">
        <w:t>beaucoup amélioré</w:t>
      </w:r>
      <w:r w:rsidR="004E44DA" w:rsidRPr="00F21303">
        <w:t xml:space="preserve"> leurs données sur l</w:t>
      </w:r>
      <w:r w:rsidR="002A7364">
        <w:t>’</w:t>
      </w:r>
      <w:r w:rsidR="00E404BF">
        <w:t>enregistrement</w:t>
      </w:r>
      <w:r w:rsidR="004E44DA" w:rsidRPr="00F21303">
        <w:t xml:space="preserve"> </w:t>
      </w:r>
      <w:r w:rsidR="008016EA">
        <w:t>même si</w:t>
      </w:r>
      <w:r w:rsidR="004E44DA" w:rsidRPr="00F21303">
        <w:t xml:space="preserve"> des progrès </w:t>
      </w:r>
      <w:r w:rsidR="009E2E74">
        <w:t xml:space="preserve">restent </w:t>
      </w:r>
      <w:r w:rsidR="004E44DA" w:rsidRPr="00F21303">
        <w:t>à faire.</w:t>
      </w:r>
    </w:p>
    <w:p w14:paraId="02CA0479" w14:textId="612DAB14" w:rsidR="002A7364" w:rsidRDefault="004F0C75" w:rsidP="00B35232">
      <w:pPr>
        <w:pStyle w:val="ONUMFS"/>
        <w:numPr>
          <w:ilvl w:val="0"/>
          <w:numId w:val="0"/>
        </w:numPr>
      </w:pPr>
      <w:r w:rsidRPr="00F21303">
        <w:t>La principale difficulté rencontrée lors de l</w:t>
      </w:r>
      <w:r w:rsidR="002A7364">
        <w:t>’</w:t>
      </w:r>
      <w:r w:rsidR="009E2E74">
        <w:t xml:space="preserve">analyse empirique </w:t>
      </w:r>
      <w:r w:rsidR="008016EA">
        <w:t>a trait au</w:t>
      </w:r>
      <w:r w:rsidR="009E2E74">
        <w:t xml:space="preserve"> caractère novateur </w:t>
      </w:r>
      <w:r w:rsidRPr="00F21303">
        <w:t>du sujet de l</w:t>
      </w:r>
      <w:r w:rsidR="002A7364">
        <w:t>’</w:t>
      </w:r>
      <w:r w:rsidRPr="00F21303">
        <w:t>étude qui associe l</w:t>
      </w:r>
      <w:r w:rsidR="002A7364">
        <w:t>’</w:t>
      </w:r>
      <w:r w:rsidRPr="00F21303">
        <w:t>économie de l</w:t>
      </w:r>
      <w:r w:rsidR="002A7364">
        <w:t>’</w:t>
      </w:r>
      <w:r w:rsidRPr="00F21303">
        <w:t>innovation, l</w:t>
      </w:r>
      <w:r w:rsidR="002A7364">
        <w:t>’</w:t>
      </w:r>
      <w:r w:rsidRPr="00F21303">
        <w:t xml:space="preserve">utilisation de </w:t>
      </w:r>
      <w:r w:rsidR="00E404BF">
        <w:t>la propriété intellectuelle et d</w:t>
      </w:r>
      <w:r w:rsidRPr="00F21303">
        <w:t>es considérations propres à l</w:t>
      </w:r>
      <w:r w:rsidR="002A7364">
        <w:t>’</w:t>
      </w:r>
      <w:r w:rsidRPr="00F21303">
        <w:t>industrie miniè</w:t>
      </w:r>
      <w:r w:rsidR="00DA65E5" w:rsidRPr="00F21303">
        <w:t>re</w:t>
      </w:r>
      <w:r w:rsidR="00DA65E5">
        <w:t>.  I</w:t>
      </w:r>
      <w:r w:rsidR="00DA65E5" w:rsidRPr="00F21303">
        <w:t>l</w:t>
      </w:r>
      <w:r w:rsidRPr="00F21303">
        <w:t xml:space="preserve"> est difficile de trouver suffisamment d</w:t>
      </w:r>
      <w:r w:rsidR="002A7364">
        <w:t>’</w:t>
      </w:r>
      <w:r w:rsidRPr="00F21303">
        <w:t>universitaires spécialisés et de documents antérieurs, ou un consultant possédant toutes les compétences requis</w:t>
      </w:r>
      <w:r w:rsidR="00DA65E5" w:rsidRPr="00F21303">
        <w:t>es</w:t>
      </w:r>
      <w:r w:rsidR="00DA65E5">
        <w:t xml:space="preserve">.  </w:t>
      </w:r>
      <w:r w:rsidR="00DA65E5" w:rsidRPr="00F21303">
        <w:t>Ce</w:t>
      </w:r>
      <w:r w:rsidRPr="00F21303">
        <w:t xml:space="preserve">la nécessite de collaborer avec de multiples parties prenantes dans </w:t>
      </w:r>
      <w:r w:rsidR="00E404BF">
        <w:t>divers</w:t>
      </w:r>
      <w:r w:rsidRPr="00F21303">
        <w:t xml:space="preserve"> cadres institutionnels, ce qui accroît les efforts de coordination </w:t>
      </w:r>
      <w:r w:rsidR="009E2E74">
        <w:t xml:space="preserve">à déployer </w:t>
      </w:r>
      <w:r w:rsidRPr="00F21303">
        <w:t xml:space="preserve">et </w:t>
      </w:r>
      <w:r w:rsidR="009E2E74">
        <w:t xml:space="preserve">renforce </w:t>
      </w:r>
      <w:r w:rsidRPr="00F21303">
        <w:t>la nécessité de concilier différents types de contributions.</w:t>
      </w:r>
      <w:r w:rsidR="00DF7477" w:rsidRPr="00F21303">
        <w:t xml:space="preserve"> </w:t>
      </w:r>
      <w:r w:rsidR="00C478FD" w:rsidRPr="00F21303">
        <w:t xml:space="preserve"> </w:t>
      </w:r>
    </w:p>
    <w:p w14:paraId="5C0CA726" w14:textId="77777777" w:rsidR="002A7364" w:rsidRDefault="00B35232" w:rsidP="00B35232">
      <w:pPr>
        <w:pStyle w:val="Heading2"/>
      </w:pPr>
      <w:r w:rsidRPr="00F21303">
        <w:t>Résumé des études économiques</w:t>
      </w:r>
    </w:p>
    <w:p w14:paraId="55077E9F" w14:textId="1B1A53C7" w:rsidR="00A835DE" w:rsidRPr="00F21303" w:rsidRDefault="00A835DE" w:rsidP="00C46C5B"/>
    <w:p w14:paraId="36296B53" w14:textId="61EB0AF9" w:rsidR="00A835DE" w:rsidRPr="00F21303" w:rsidRDefault="00DD67BA" w:rsidP="00B35232">
      <w:pPr>
        <w:pStyle w:val="ONUMFS"/>
        <w:numPr>
          <w:ilvl w:val="0"/>
          <w:numId w:val="0"/>
        </w:numPr>
      </w:pPr>
      <w:r w:rsidRPr="00F21303">
        <w:t>La présente section résume les conclusions économiques et statistiques des études menées au Brésil et au Chi</w:t>
      </w:r>
      <w:r w:rsidR="00DA65E5" w:rsidRPr="00F21303">
        <w:t>li</w:t>
      </w:r>
      <w:r w:rsidR="00DA65E5">
        <w:t>.  Ce</w:t>
      </w:r>
      <w:r w:rsidR="00E404BF">
        <w:t xml:space="preserve">s informations </w:t>
      </w:r>
      <w:r w:rsidR="00941B26" w:rsidRPr="00F21303">
        <w:t>complètent les autres résultats de l</w:t>
      </w:r>
      <w:r w:rsidR="002A7364">
        <w:t>’</w:t>
      </w:r>
      <w:r w:rsidR="00941B26" w:rsidRPr="00F21303">
        <w:t>étude mondiale visant à mieux comprendre comment l</w:t>
      </w:r>
      <w:r w:rsidR="002A7364">
        <w:t>’</w:t>
      </w:r>
      <w:r w:rsidR="00941B26" w:rsidRPr="00F21303">
        <w:t xml:space="preserve">innovation fonctionne dans différentes parties du monde et où </w:t>
      </w:r>
      <w:r w:rsidR="00E404BF">
        <w:t xml:space="preserve">il convient de </w:t>
      </w:r>
      <w:r w:rsidR="008016EA">
        <w:t>porter</w:t>
      </w:r>
      <w:r w:rsidR="00E404BF">
        <w:t xml:space="preserve"> notre </w:t>
      </w:r>
      <w:r w:rsidR="00941B26" w:rsidRPr="00F21303">
        <w:t>attention pour répondre aux besoins dans l</w:t>
      </w:r>
      <w:r w:rsidR="002A7364">
        <w:t>’</w:t>
      </w:r>
      <w:r w:rsidR="00941B26" w:rsidRPr="00F21303">
        <w:t>avenir.</w:t>
      </w:r>
    </w:p>
    <w:p w14:paraId="34996F62" w14:textId="0A1A68D5" w:rsidR="00A835DE" w:rsidRPr="00F21303" w:rsidRDefault="00B35232" w:rsidP="00B35232">
      <w:pPr>
        <w:pStyle w:val="Heading4"/>
      </w:pPr>
      <w:r>
        <w:t>1.</w:t>
      </w:r>
      <w:r>
        <w:tab/>
      </w:r>
      <w:r w:rsidR="00941B26" w:rsidRPr="00F21303">
        <w:t>Étude du Brésil</w:t>
      </w:r>
      <w:r w:rsidR="002A7364">
        <w:t> :</w:t>
      </w:r>
      <w:r w:rsidR="00941B26" w:rsidRPr="00F21303">
        <w:t xml:space="preserve"> </w:t>
      </w:r>
      <w:r w:rsidR="00E404BF">
        <w:t>appropriation</w:t>
      </w:r>
      <w:r w:rsidR="00941B26" w:rsidRPr="00F21303">
        <w:t xml:space="preserve"> et transfert de technologie dans le secteur minier brésilien</w:t>
      </w:r>
    </w:p>
    <w:p w14:paraId="7D52C79B" w14:textId="77777777" w:rsidR="00A835DE" w:rsidRPr="00F21303" w:rsidRDefault="00A835DE" w:rsidP="00F47B2A"/>
    <w:p w14:paraId="2E967285" w14:textId="77777777" w:rsidR="002A7364" w:rsidRDefault="00260A09" w:rsidP="00B35232">
      <w:pPr>
        <w:pStyle w:val="ONUMFS"/>
        <w:numPr>
          <w:ilvl w:val="0"/>
          <w:numId w:val="0"/>
        </w:numPr>
      </w:pPr>
      <w:r w:rsidRPr="00F21303">
        <w:t>Le Brésil est au cœur du débat de politique générale sur les économies émergentes à forte intensité de ressources naturelles et exportatrices de produits de base et sur la question de savoir s</w:t>
      </w:r>
      <w:r w:rsidR="00E404BF">
        <w:t>i les économies qui exploitent d</w:t>
      </w:r>
      <w:r w:rsidRPr="00F21303">
        <w:t>es ressources naturelles peuvent générer des innovations.</w:t>
      </w:r>
    </w:p>
    <w:p w14:paraId="040CA736" w14:textId="55FA4FFF" w:rsidR="002A7364" w:rsidRDefault="00260A09" w:rsidP="00B35232">
      <w:pPr>
        <w:pStyle w:val="ONUMFS"/>
        <w:numPr>
          <w:ilvl w:val="0"/>
          <w:numId w:val="0"/>
        </w:numPr>
      </w:pPr>
      <w:r w:rsidRPr="00F21303">
        <w:t>L</w:t>
      </w:r>
      <w:r w:rsidR="002A7364">
        <w:t>’</w:t>
      </w:r>
      <w:r w:rsidRPr="00F21303">
        <w:t>importance du rôle du secteur minier dans l</w:t>
      </w:r>
      <w:r w:rsidR="002A7364">
        <w:t>’</w:t>
      </w:r>
      <w:r w:rsidRPr="00F21303">
        <w:t>économie brésilienne ne fait aucun dou</w:t>
      </w:r>
      <w:r w:rsidR="00DA65E5" w:rsidRPr="00F21303">
        <w:t>te</w:t>
      </w:r>
      <w:r w:rsidR="00DA65E5">
        <w:t>.  C</w:t>
      </w:r>
      <w:r w:rsidR="00DA65E5" w:rsidRPr="00F21303">
        <w:t>e</w:t>
      </w:r>
      <w:r w:rsidR="00396EB6" w:rsidRPr="00F21303">
        <w:t xml:space="preserve"> secteur représentait à lui seul 21% des exportations totales du Brésil au premier trimestre </w:t>
      </w:r>
      <w:r w:rsidR="002A7364" w:rsidRPr="00F21303">
        <w:t>de</w:t>
      </w:r>
      <w:r w:rsidR="002A7364">
        <w:t> </w:t>
      </w:r>
      <w:r w:rsidR="002A7364" w:rsidRPr="00F21303">
        <w:t>2017</w:t>
      </w:r>
      <w:r w:rsidR="00396EB6" w:rsidRPr="00F21303">
        <w:t>.</w:t>
      </w:r>
      <w:r w:rsidR="00F47B2A" w:rsidRPr="00F21303">
        <w:t xml:space="preserve"> </w:t>
      </w:r>
      <w:r w:rsidR="009F5287" w:rsidRPr="00F21303">
        <w:t xml:space="preserve"> </w:t>
      </w:r>
      <w:r w:rsidR="00396EB6" w:rsidRPr="00F21303">
        <w:t>Malgré la taille et la diversité géologique du pays, la production minière est concen</w:t>
      </w:r>
      <w:r w:rsidR="00E404BF">
        <w:t xml:space="preserve">trée </w:t>
      </w:r>
      <w:r w:rsidR="00E404BF" w:rsidRPr="00F21303">
        <w:t>entre les mains de quelques producteurs</w:t>
      </w:r>
      <w:r w:rsidR="008016EA">
        <w:t xml:space="preserve"> mais également </w:t>
      </w:r>
      <w:r w:rsidR="00E404BF">
        <w:t>sur le plan géographique</w:t>
      </w:r>
      <w:r w:rsidR="00396EB6" w:rsidRPr="00F21303">
        <w:t>.</w:t>
      </w:r>
    </w:p>
    <w:p w14:paraId="499290F0" w14:textId="0D536D94" w:rsidR="00B35232" w:rsidRDefault="008016EA" w:rsidP="00B35232">
      <w:pPr>
        <w:pStyle w:val="ONUMFS"/>
        <w:numPr>
          <w:ilvl w:val="0"/>
          <w:numId w:val="0"/>
        </w:numPr>
      </w:pPr>
      <w:r>
        <w:lastRenderedPageBreak/>
        <w:t>L</w:t>
      </w:r>
      <w:r w:rsidR="00C41B6E" w:rsidRPr="00F21303">
        <w:t xml:space="preserve">e document vise à décrire les </w:t>
      </w:r>
      <w:r w:rsidR="00E404BF">
        <w:t>tendances</w:t>
      </w:r>
      <w:r w:rsidR="00C41B6E" w:rsidRPr="00F21303">
        <w:t xml:space="preserve"> et les caractéristiques distinctives des tendances technologiques du secteur minier brésili</w:t>
      </w:r>
      <w:r w:rsidR="00DA65E5" w:rsidRPr="00F21303">
        <w:t>en</w:t>
      </w:r>
      <w:r w:rsidR="00DA65E5">
        <w:t xml:space="preserve">.  </w:t>
      </w:r>
      <w:r w:rsidR="00DA65E5" w:rsidRPr="00F21303">
        <w:t>Po</w:t>
      </w:r>
      <w:r w:rsidR="00C41B6E" w:rsidRPr="00F21303">
        <w:t>ur ce</w:t>
      </w:r>
      <w:r w:rsidR="00E404BF">
        <w:t>la</w:t>
      </w:r>
      <w:r w:rsidR="00C41B6E" w:rsidRPr="00F21303">
        <w:t>, l</w:t>
      </w:r>
      <w:r w:rsidR="002A7364">
        <w:t>’</w:t>
      </w:r>
      <w:r w:rsidR="00C41B6E" w:rsidRPr="00F21303">
        <w:t>étude vise à répondre aux questions suivantes</w:t>
      </w:r>
      <w:r w:rsidR="002A7364">
        <w:t> :</w:t>
      </w:r>
    </w:p>
    <w:p w14:paraId="5FECDD7E" w14:textId="6B86FA67" w:rsidR="00A835DE" w:rsidRPr="00F21303" w:rsidRDefault="00C41B6E" w:rsidP="00B35232">
      <w:pPr>
        <w:pStyle w:val="ONUMFS"/>
        <w:numPr>
          <w:ilvl w:val="0"/>
          <w:numId w:val="37"/>
        </w:numPr>
        <w:ind w:left="1134" w:hanging="567"/>
      </w:pPr>
      <w:r w:rsidRPr="00F21303">
        <w:t>Dans quels domaines techniques le système des brevets est</w:t>
      </w:r>
      <w:r w:rsidR="002A7364">
        <w:t>-</w:t>
      </w:r>
      <w:r w:rsidRPr="00F21303">
        <w:t>il utilisé par le secteur minier brésilien?</w:t>
      </w:r>
    </w:p>
    <w:p w14:paraId="6C22170B" w14:textId="160F2DC7" w:rsidR="002A7364" w:rsidRDefault="0048507E" w:rsidP="00B35232">
      <w:pPr>
        <w:pStyle w:val="ONUMFS"/>
        <w:numPr>
          <w:ilvl w:val="0"/>
          <w:numId w:val="37"/>
        </w:numPr>
        <w:ind w:left="1134" w:hanging="567"/>
      </w:pPr>
      <w:r w:rsidRPr="00F21303">
        <w:t xml:space="preserve">Dans quelle mesure les sociétés </w:t>
      </w:r>
      <w:r w:rsidR="00924B23">
        <w:t>d</w:t>
      </w:r>
      <w:r w:rsidR="002A7364">
        <w:t>’</w:t>
      </w:r>
      <w:r w:rsidR="00924B23">
        <w:t>équipement, de technologie et</w:t>
      </w:r>
      <w:r w:rsidRPr="00F21303">
        <w:t xml:space="preserve"> de services miniers utilisent</w:t>
      </w:r>
      <w:r w:rsidR="002A7364">
        <w:t>-</w:t>
      </w:r>
      <w:r w:rsidRPr="00F21303">
        <w:t>elles le système des brevets?</w:t>
      </w:r>
    </w:p>
    <w:p w14:paraId="1F182CFE" w14:textId="6186C85C" w:rsidR="00A835DE" w:rsidRPr="00F21303" w:rsidRDefault="0048507E" w:rsidP="00B35232">
      <w:pPr>
        <w:pStyle w:val="ONUMFS"/>
        <w:numPr>
          <w:ilvl w:val="0"/>
          <w:numId w:val="37"/>
        </w:numPr>
        <w:ind w:left="1134" w:hanging="567"/>
      </w:pPr>
      <w:r w:rsidRPr="00F21303">
        <w:t>Comment le secteur minier brésilien importe</w:t>
      </w:r>
      <w:r w:rsidR="002A7364">
        <w:t>-</w:t>
      </w:r>
      <w:r w:rsidRPr="00F21303">
        <w:t>t</w:t>
      </w:r>
      <w:r w:rsidR="002A7364">
        <w:t>-</w:t>
      </w:r>
      <w:r w:rsidRPr="00F21303">
        <w:t>il la technologie?</w:t>
      </w:r>
      <w:r w:rsidR="00F47B2A" w:rsidRPr="00F21303">
        <w:t xml:space="preserve">  </w:t>
      </w:r>
      <w:r w:rsidRPr="00F21303">
        <w:t xml:space="preserve">Quel rôle les sociétés minières et les sociétés </w:t>
      </w:r>
      <w:r w:rsidR="00924B23">
        <w:t>d</w:t>
      </w:r>
      <w:r w:rsidR="002A7364">
        <w:t>’</w:t>
      </w:r>
      <w:r w:rsidR="00924B23">
        <w:t>équipement, de technologie et</w:t>
      </w:r>
      <w:r w:rsidRPr="00F21303">
        <w:t xml:space="preserve"> de services miniers jouent</w:t>
      </w:r>
      <w:r w:rsidR="002A7364">
        <w:t>-</w:t>
      </w:r>
      <w:r w:rsidRPr="00F21303">
        <w:t>elles dans ce processus?</w:t>
      </w:r>
    </w:p>
    <w:p w14:paraId="281C6FD2" w14:textId="0089849F" w:rsidR="002A7364" w:rsidRDefault="0048507E" w:rsidP="00B35232">
      <w:pPr>
        <w:pStyle w:val="ONUMFS"/>
        <w:numPr>
          <w:ilvl w:val="0"/>
          <w:numId w:val="0"/>
        </w:numPr>
      </w:pPr>
      <w:r w:rsidRPr="00F21303">
        <w:t>Sur le plan de la méthode, deux</w:t>
      </w:r>
      <w:r w:rsidR="003A422A">
        <w:t> </w:t>
      </w:r>
      <w:r w:rsidRPr="00F21303">
        <w:t>approches ont été adoptées pour examiner l</w:t>
      </w:r>
      <w:r w:rsidR="002A7364">
        <w:t>’</w:t>
      </w:r>
      <w:r w:rsidRPr="00F21303">
        <w:t>innovation dans le secteur minier brésili</w:t>
      </w:r>
      <w:r w:rsidR="00DA65E5" w:rsidRPr="00F21303">
        <w:t>en</w:t>
      </w:r>
      <w:r w:rsidR="00DA65E5">
        <w:t xml:space="preserve">.  </w:t>
      </w:r>
      <w:r w:rsidR="00DA65E5" w:rsidRPr="00F21303">
        <w:t>Pr</w:t>
      </w:r>
      <w:r w:rsidRPr="00F21303">
        <w:t>emièrement, les brevets et les contrats d</w:t>
      </w:r>
      <w:r w:rsidR="002A7364">
        <w:t>’</w:t>
      </w:r>
      <w:r w:rsidRPr="00F21303">
        <w:t xml:space="preserve">importation de technologie </w:t>
      </w:r>
      <w:r w:rsidR="00E404BF">
        <w:t>impliquant</w:t>
      </w:r>
      <w:r w:rsidRPr="00F21303">
        <w:t xml:space="preserve"> des sociétés minières et des sociétés </w:t>
      </w:r>
      <w:r w:rsidR="00924B23">
        <w:t>d</w:t>
      </w:r>
      <w:r w:rsidR="002A7364">
        <w:t>’</w:t>
      </w:r>
      <w:r w:rsidR="00924B23">
        <w:t>équipement, de technologie et</w:t>
      </w:r>
      <w:r w:rsidRPr="00F21303">
        <w:t xml:space="preserve"> de services miniers au Brésil ont été analys</w:t>
      </w:r>
      <w:r w:rsidR="00DA65E5" w:rsidRPr="00F21303">
        <w:t>és</w:t>
      </w:r>
      <w:r w:rsidR="00DA65E5">
        <w:t xml:space="preserve">.  </w:t>
      </w:r>
      <w:r w:rsidR="00DA65E5" w:rsidRPr="00F21303">
        <w:t>De</w:t>
      </w:r>
      <w:r w:rsidR="004D0F42" w:rsidRPr="00F21303">
        <w:t xml:space="preserve">uxièmement, une étude de cas a été </w:t>
      </w:r>
      <w:r w:rsidR="00E404BF">
        <w:t>menée</w:t>
      </w:r>
      <w:r w:rsidR="004D0F42" w:rsidRPr="00F21303">
        <w:t xml:space="preserve"> sur les stratégies d</w:t>
      </w:r>
      <w:r w:rsidR="002A7364">
        <w:t>’</w:t>
      </w:r>
      <w:r w:rsidR="004D0F42" w:rsidRPr="00F21303">
        <w:t xml:space="preserve">innovation des plus grandes sociétés minières </w:t>
      </w:r>
      <w:r w:rsidR="008016EA">
        <w:t>brésiliennes</w:t>
      </w:r>
      <w:r w:rsidR="004D0F42" w:rsidRPr="00F21303">
        <w:t>.</w:t>
      </w:r>
    </w:p>
    <w:p w14:paraId="4305165A" w14:textId="74778454" w:rsidR="00A835DE" w:rsidRPr="00F21303" w:rsidRDefault="004D0F42" w:rsidP="00B35232">
      <w:pPr>
        <w:pStyle w:val="Heading4"/>
      </w:pPr>
      <w:r w:rsidRPr="00F21303">
        <w:t>Utilisation du système des brevets et transfert de technologie dans le secteur minier brésilien</w:t>
      </w:r>
    </w:p>
    <w:p w14:paraId="35375EBA" w14:textId="77777777" w:rsidR="00A835DE" w:rsidRPr="00F21303" w:rsidRDefault="00A835DE" w:rsidP="00F47B2A"/>
    <w:p w14:paraId="5930D098" w14:textId="349926BB" w:rsidR="002A7364" w:rsidRDefault="004D0F42" w:rsidP="00B35232">
      <w:pPr>
        <w:pStyle w:val="ONUMFS"/>
        <w:numPr>
          <w:ilvl w:val="0"/>
          <w:numId w:val="0"/>
        </w:numPr>
      </w:pPr>
      <w:r w:rsidRPr="00F21303">
        <w:t xml:space="preserve">Au Brésil, les sociétés minières et les sociétés </w:t>
      </w:r>
      <w:r w:rsidR="00924B23">
        <w:t>d</w:t>
      </w:r>
      <w:r w:rsidR="002A7364">
        <w:t>’</w:t>
      </w:r>
      <w:r w:rsidR="00924B23">
        <w:t>équipement, de technologie et</w:t>
      </w:r>
      <w:r w:rsidRPr="00F21303">
        <w:t xml:space="preserve"> de services miniers utilisent deux</w:t>
      </w:r>
      <w:r w:rsidR="003A422A">
        <w:t> </w:t>
      </w:r>
      <w:r w:rsidRPr="00F21303">
        <w:t xml:space="preserve">mécanismes principaux pour renforcer leurs capacités technologiques, </w:t>
      </w:r>
      <w:r w:rsidR="002A7364">
        <w:t>à savoir</w:t>
      </w:r>
      <w:r w:rsidRPr="00F21303">
        <w:t xml:space="preserve"> la mise au point de technologies et l</w:t>
      </w:r>
      <w:r w:rsidR="002A7364">
        <w:t>’</w:t>
      </w:r>
      <w:r w:rsidRPr="00F21303">
        <w:t>acquisition de technologies à l</w:t>
      </w:r>
      <w:r w:rsidR="002A7364">
        <w:t>’</w:t>
      </w:r>
      <w:r w:rsidRPr="00F21303">
        <w:t>étranger.</w:t>
      </w:r>
    </w:p>
    <w:p w14:paraId="70291105" w14:textId="5BE1144F" w:rsidR="00B35232" w:rsidRDefault="00CD5A2F" w:rsidP="00B35232">
      <w:pPr>
        <w:pStyle w:val="ONUMFS"/>
        <w:numPr>
          <w:ilvl w:val="0"/>
          <w:numId w:val="0"/>
        </w:numPr>
      </w:pPr>
      <w:r w:rsidRPr="00F21303">
        <w:t xml:space="preserve">Les sociétés </w:t>
      </w:r>
      <w:r w:rsidR="00E404BF" w:rsidRPr="00F21303">
        <w:t xml:space="preserve">étrangères </w:t>
      </w:r>
      <w:r w:rsidR="00924B23">
        <w:t>d</w:t>
      </w:r>
      <w:r w:rsidR="002A7364">
        <w:t>’</w:t>
      </w:r>
      <w:r w:rsidR="00924B23">
        <w:t>équipement, de technologie et</w:t>
      </w:r>
      <w:r w:rsidRPr="00F21303">
        <w:t xml:space="preserve"> de services miniers sont à l</w:t>
      </w:r>
      <w:r w:rsidR="002A7364">
        <w:t>’</w:t>
      </w:r>
      <w:r w:rsidRPr="00F21303">
        <w:t>origine de la quasi</w:t>
      </w:r>
      <w:r w:rsidR="002A7364">
        <w:t>-</w:t>
      </w:r>
      <w:r w:rsidRPr="00F21303">
        <w:t>totalité des</w:t>
      </w:r>
      <w:r w:rsidR="00E404BF">
        <w:t xml:space="preserve"> demandes de brevet</w:t>
      </w:r>
      <w:r w:rsidRPr="00F21303">
        <w:t xml:space="preserve"> déposé</w:t>
      </w:r>
      <w:r w:rsidR="00E404BF">
        <w:t>e</w:t>
      </w:r>
      <w:r w:rsidRPr="00F21303">
        <w:t>s au Brésil dans le domaine mini</w:t>
      </w:r>
      <w:r w:rsidR="00DA65E5" w:rsidRPr="00F21303">
        <w:t>er</w:t>
      </w:r>
      <w:r w:rsidR="00DA65E5">
        <w:t xml:space="preserve">.  </w:t>
      </w:r>
      <w:r w:rsidR="00DA65E5" w:rsidRPr="00F21303">
        <w:t>Le</w:t>
      </w:r>
      <w:r w:rsidRPr="00F21303">
        <w:t>s sociétés japonaises représentaient 36% de l</w:t>
      </w:r>
      <w:r w:rsidR="002A7364">
        <w:t>’</w:t>
      </w:r>
      <w:r w:rsidRPr="00F21303">
        <w:t xml:space="preserve">ensemble des </w:t>
      </w:r>
      <w:r w:rsidR="00E404BF">
        <w:t>demandes</w:t>
      </w:r>
      <w:r w:rsidRPr="00F21303">
        <w:t xml:space="preserve"> déposé</w:t>
      </w:r>
      <w:r w:rsidR="00E404BF">
        <w:t>e</w:t>
      </w:r>
      <w:r w:rsidRPr="00F21303">
        <w:t xml:space="preserve">s par </w:t>
      </w:r>
      <w:r w:rsidR="00E404BF">
        <w:t>d</w:t>
      </w:r>
      <w:r w:rsidRPr="00F21303">
        <w:t xml:space="preserve">es sociétés non résidentes, suivies des sociétés </w:t>
      </w:r>
      <w:r w:rsidR="00F318B9" w:rsidRPr="00F21303">
        <w:t>venant d</w:t>
      </w:r>
      <w:r w:rsidR="002A7364">
        <w:t>’</w:t>
      </w:r>
      <w:r w:rsidR="00F318B9" w:rsidRPr="00F21303">
        <w:t>Amérique du Nord et d</w:t>
      </w:r>
      <w:r w:rsidR="002A7364">
        <w:t>’</w:t>
      </w:r>
      <w:r w:rsidR="00F318B9" w:rsidRPr="00F21303">
        <w:t>Allemag</w:t>
      </w:r>
      <w:r w:rsidR="00DA65E5" w:rsidRPr="00F21303">
        <w:t>ne</w:t>
      </w:r>
      <w:r w:rsidR="00DA65E5">
        <w:t xml:space="preserve">.  </w:t>
      </w:r>
      <w:r w:rsidR="00DA65E5" w:rsidRPr="00F21303">
        <w:t>Le</w:t>
      </w:r>
      <w:r w:rsidRPr="00F21303">
        <w:t xml:space="preserve">s sociétés </w:t>
      </w:r>
      <w:r w:rsidR="00924B23">
        <w:t>d</w:t>
      </w:r>
      <w:r w:rsidR="002A7364">
        <w:t>’</w:t>
      </w:r>
      <w:r w:rsidR="00924B23">
        <w:t>équipement, de technologie et</w:t>
      </w:r>
      <w:r w:rsidRPr="00F21303">
        <w:t xml:space="preserve"> de services miniers sont susceptibles de déposer </w:t>
      </w:r>
      <w:r w:rsidR="008016EA" w:rsidRPr="00F21303">
        <w:t xml:space="preserve">davantage </w:t>
      </w:r>
      <w:r w:rsidRPr="00F21303">
        <w:t xml:space="preserve">de </w:t>
      </w:r>
      <w:r w:rsidR="00E404BF">
        <w:t>demandes de brevet</w:t>
      </w:r>
      <w:r w:rsidRPr="00F21303">
        <w:t xml:space="preserve"> pour des technologies </w:t>
      </w:r>
      <w:r w:rsidR="00F318B9" w:rsidRPr="00F21303">
        <w:t xml:space="preserve">dans le </w:t>
      </w:r>
      <w:r w:rsidR="00E404BF">
        <w:t>secteur</w:t>
      </w:r>
      <w:r w:rsidR="00F318B9" w:rsidRPr="00F21303">
        <w:t xml:space="preserve"> minier et </w:t>
      </w:r>
      <w:r w:rsidR="009E2E74">
        <w:t xml:space="preserve">le domaine de la </w:t>
      </w:r>
      <w:r w:rsidR="00F318B9" w:rsidRPr="00F21303">
        <w:t>métallurgie</w:t>
      </w:r>
      <w:r w:rsidRPr="00F21303">
        <w:t xml:space="preserve"> tandis que les sociétés minières se concentrent sur les technologies de raffinage et de transpo</w:t>
      </w:r>
      <w:r w:rsidR="00DA65E5" w:rsidRPr="00F21303">
        <w:t>rt</w:t>
      </w:r>
      <w:r w:rsidR="00DA65E5">
        <w:t xml:space="preserve">.  </w:t>
      </w:r>
      <w:r w:rsidR="00DA65E5" w:rsidRPr="00F21303">
        <w:t>Pa</w:t>
      </w:r>
      <w:r w:rsidRPr="00F21303">
        <w:t xml:space="preserve">rmi les </w:t>
      </w:r>
      <w:r w:rsidR="005A1AC7" w:rsidRPr="00F21303">
        <w:t>sociétés</w:t>
      </w:r>
      <w:r w:rsidRPr="00F21303">
        <w:t xml:space="preserve"> minières, il existe un </w:t>
      </w:r>
      <w:r w:rsidR="005A1AC7" w:rsidRPr="00F21303">
        <w:t xml:space="preserve">grand </w:t>
      </w:r>
      <w:r w:rsidRPr="00F21303">
        <w:t>écart entre Vale S.A. et les autr</w:t>
      </w:r>
      <w:r w:rsidR="00DA65E5" w:rsidRPr="00F21303">
        <w:t>es</w:t>
      </w:r>
      <w:r w:rsidR="00DA65E5">
        <w:t>.  La</w:t>
      </w:r>
      <w:r w:rsidR="009E2E74">
        <w:t xml:space="preserve"> première</w:t>
      </w:r>
      <w:r w:rsidR="005A1AC7" w:rsidRPr="00F21303">
        <w:t xml:space="preserve"> a déposé </w:t>
      </w:r>
      <w:r w:rsidR="009E2E74" w:rsidRPr="00F21303">
        <w:t xml:space="preserve">à elle seule </w:t>
      </w:r>
      <w:r w:rsidR="005A1AC7" w:rsidRPr="00F21303">
        <w:t>46,8</w:t>
      </w:r>
      <w:r w:rsidRPr="00F21303">
        <w:t xml:space="preserve">% de </w:t>
      </w:r>
      <w:r w:rsidR="005A1AC7" w:rsidRPr="00F21303">
        <w:t>l</w:t>
      </w:r>
      <w:r w:rsidR="002A7364">
        <w:t>’</w:t>
      </w:r>
      <w:r w:rsidR="005A1AC7" w:rsidRPr="00F21303">
        <w:t xml:space="preserve">ensemble des </w:t>
      </w:r>
      <w:r w:rsidR="00E404BF">
        <w:t>demandes de brevet</w:t>
      </w:r>
      <w:r w:rsidRPr="00F21303">
        <w:t xml:space="preserve"> déposé</w:t>
      </w:r>
      <w:r w:rsidR="00E404BF">
        <w:t>e</w:t>
      </w:r>
      <w:r w:rsidRPr="00F21303">
        <w:t>s entre 2000 et 2015 par des sociétés minières résidentes et non résident</w:t>
      </w:r>
      <w:r w:rsidR="00DA65E5" w:rsidRPr="00F21303">
        <w:t>es</w:t>
      </w:r>
      <w:r w:rsidR="00DA65E5">
        <w:t xml:space="preserve">.  </w:t>
      </w:r>
      <w:r w:rsidR="00DA65E5" w:rsidRPr="00F21303">
        <w:t>Le</w:t>
      </w:r>
      <w:r w:rsidR="005A1AC7" w:rsidRPr="00F21303">
        <w:t xml:space="preserve">s demandes de brevet déposées par la société </w:t>
      </w:r>
      <w:r w:rsidRPr="00F21303">
        <w:t xml:space="preserve">Vale </w:t>
      </w:r>
      <w:r w:rsidR="005A1AC7" w:rsidRPr="00F21303">
        <w:t xml:space="preserve">concernaient </w:t>
      </w:r>
      <w:r w:rsidRPr="00F21303">
        <w:t xml:space="preserve">principalement </w:t>
      </w:r>
      <w:r w:rsidR="005A1AC7" w:rsidRPr="00F21303">
        <w:t>d</w:t>
      </w:r>
      <w:r w:rsidRPr="00F21303">
        <w:t>es technologies de transport et de raffina</w:t>
      </w:r>
      <w:r w:rsidR="00DA65E5" w:rsidRPr="00F21303">
        <w:t>ge</w:t>
      </w:r>
      <w:r w:rsidR="00DA65E5">
        <w:t xml:space="preserve">.  </w:t>
      </w:r>
      <w:r w:rsidR="00DA65E5" w:rsidRPr="00F21303">
        <w:t>Tr</w:t>
      </w:r>
      <w:r w:rsidRPr="00F21303">
        <w:t xml:space="preserve">ès peu de </w:t>
      </w:r>
      <w:r w:rsidR="005A1AC7" w:rsidRPr="00F21303">
        <w:t>déposants</w:t>
      </w:r>
      <w:r w:rsidRPr="00F21303">
        <w:t xml:space="preserve"> brésiliens dans le secteur minier </w:t>
      </w:r>
      <w:r w:rsidR="005A1AC7" w:rsidRPr="00F21303">
        <w:t>se lancent</w:t>
      </w:r>
      <w:r w:rsidRPr="00F21303">
        <w:t xml:space="preserve"> dans </w:t>
      </w:r>
      <w:r w:rsidR="005A1AC7" w:rsidRPr="00F21303">
        <w:t xml:space="preserve">le dépôt de demandes </w:t>
      </w:r>
      <w:r w:rsidR="00E404BF">
        <w:t xml:space="preserve">conjointes </w:t>
      </w:r>
      <w:r w:rsidR="005A1AC7" w:rsidRPr="00F21303">
        <w:t xml:space="preserve">de brevet </w:t>
      </w:r>
      <w:r w:rsidRPr="00F21303">
        <w:t xml:space="preserve">avec des institutions académiques ou </w:t>
      </w:r>
      <w:r w:rsidR="005A1AC7" w:rsidRPr="00F21303">
        <w:t xml:space="preserve">dans la copaternité </w:t>
      </w:r>
      <w:r w:rsidRPr="00F21303">
        <w:t>internationale.</w:t>
      </w:r>
    </w:p>
    <w:p w14:paraId="423B4226" w14:textId="00943D31" w:rsidR="00B35232" w:rsidRDefault="00E94E82" w:rsidP="00B35232">
      <w:pPr>
        <w:pStyle w:val="ONUMFS"/>
        <w:numPr>
          <w:ilvl w:val="0"/>
          <w:numId w:val="0"/>
        </w:numPr>
      </w:pPr>
      <w:r w:rsidRPr="00F21303">
        <w:t xml:space="preserve">Les sociétés minières résidentes ont également acquis des technologies auprès de sociétés </w:t>
      </w:r>
      <w:r w:rsidR="00924B23">
        <w:t>d</w:t>
      </w:r>
      <w:r w:rsidR="002A7364">
        <w:t>’</w:t>
      </w:r>
      <w:r w:rsidR="00924B23">
        <w:t>équipement, de technologie et</w:t>
      </w:r>
      <w:r w:rsidRPr="00F21303">
        <w:t xml:space="preserve"> de services miniers non résidentes </w:t>
      </w:r>
      <w:r w:rsidR="005D6988" w:rsidRPr="00F21303">
        <w:t xml:space="preserve">grâce à </w:t>
      </w:r>
      <w:r w:rsidRPr="00F21303">
        <w:t xml:space="preserve">une assistance technique, </w:t>
      </w:r>
      <w:r w:rsidR="009E2E74">
        <w:t xml:space="preserve">à </w:t>
      </w:r>
      <w:r w:rsidRPr="00F21303">
        <w:t>d</w:t>
      </w:r>
      <w:r w:rsidR="005D6988" w:rsidRPr="00F21303">
        <w:t xml:space="preserve">es </w:t>
      </w:r>
      <w:r w:rsidRPr="00F21303">
        <w:t>accords de savoir</w:t>
      </w:r>
      <w:r w:rsidR="002A7364">
        <w:t>-</w:t>
      </w:r>
      <w:r w:rsidRPr="00F21303">
        <w:t xml:space="preserve">faire et </w:t>
      </w:r>
      <w:r w:rsidR="009E2E74">
        <w:t xml:space="preserve">à </w:t>
      </w:r>
      <w:r w:rsidRPr="00F21303">
        <w:t>de</w:t>
      </w:r>
      <w:r w:rsidR="005D6988" w:rsidRPr="00F21303">
        <w:t>s</w:t>
      </w:r>
      <w:r w:rsidRPr="00F21303">
        <w:t xml:space="preserve"> licences </w:t>
      </w:r>
      <w:r w:rsidR="009E2E74">
        <w:t>de technolog</w:t>
      </w:r>
      <w:r w:rsidR="00DA65E5">
        <w:t>i</w:t>
      </w:r>
      <w:r w:rsidR="00DA65E5" w:rsidRPr="00F21303">
        <w:t>e</w:t>
      </w:r>
      <w:r w:rsidR="00DA65E5">
        <w:t xml:space="preserve">.  </w:t>
      </w:r>
      <w:r w:rsidR="00DA65E5" w:rsidRPr="00F21303">
        <w:t>Da</w:t>
      </w:r>
      <w:r w:rsidRPr="00F21303">
        <w:t>ns le registre national des contrats d</w:t>
      </w:r>
      <w:r w:rsidR="002A7364">
        <w:t>’</w:t>
      </w:r>
      <w:r w:rsidRPr="00F21303">
        <w:t>importation de technologie</w:t>
      </w:r>
      <w:r w:rsidR="005D6988" w:rsidRPr="00F21303">
        <w:t>s</w:t>
      </w:r>
      <w:r w:rsidRPr="00F21303">
        <w:t xml:space="preserve"> de l</w:t>
      </w:r>
      <w:r w:rsidR="002A7364">
        <w:t>’</w:t>
      </w:r>
      <w:r w:rsidR="00E404BF" w:rsidRPr="00F21303">
        <w:t>o</w:t>
      </w:r>
      <w:r w:rsidRPr="00F21303">
        <w:t xml:space="preserve">ffice national de </w:t>
      </w:r>
      <w:r w:rsidR="005D6988" w:rsidRPr="00F21303">
        <w:t>la propriété intellectuelle, 40 </w:t>
      </w:r>
      <w:r w:rsidRPr="00F21303">
        <w:t xml:space="preserve">sociétés minières et </w:t>
      </w:r>
      <w:r w:rsidR="005D6988" w:rsidRPr="00F21303">
        <w:t xml:space="preserve">sociétés </w:t>
      </w:r>
      <w:r w:rsidR="00924B23">
        <w:t>d</w:t>
      </w:r>
      <w:r w:rsidR="002A7364">
        <w:t>’</w:t>
      </w:r>
      <w:r w:rsidR="00924B23">
        <w:t>équipement, de technologie et</w:t>
      </w:r>
      <w:r w:rsidR="005D6988" w:rsidRPr="00F21303">
        <w:t xml:space="preserve"> de services miniers </w:t>
      </w:r>
      <w:r w:rsidRPr="00F21303">
        <w:t xml:space="preserve">résidentes </w:t>
      </w:r>
      <w:r w:rsidR="009E2E74">
        <w:t>sont répertoriées</w:t>
      </w:r>
      <w:r w:rsidRPr="00F21303">
        <w:t xml:space="preserve"> </w:t>
      </w:r>
      <w:r w:rsidR="00E404BF">
        <w:t>en tant que</w:t>
      </w:r>
      <w:r w:rsidRPr="00F21303">
        <w:t xml:space="preserve"> </w:t>
      </w:r>
      <w:r w:rsidR="00A34F69" w:rsidRPr="00F21303">
        <w:t>fournisseurs de technologi</w:t>
      </w:r>
      <w:r w:rsidRPr="00F21303">
        <w:t>es pour près de 300</w:t>
      </w:r>
      <w:r w:rsidR="00977578">
        <w:t> </w:t>
      </w:r>
      <w:r w:rsidRPr="00F21303">
        <w:t>contra</w:t>
      </w:r>
      <w:r w:rsidR="00DA65E5" w:rsidRPr="00F21303">
        <w:t>ts</w:t>
      </w:r>
      <w:r w:rsidR="00DA65E5">
        <w:t xml:space="preserve">.  </w:t>
      </w:r>
      <w:r w:rsidR="00DA65E5" w:rsidRPr="00F21303">
        <w:t>Va</w:t>
      </w:r>
      <w:r w:rsidRPr="00F21303">
        <w:t xml:space="preserve">le S.A. est le principal </w:t>
      </w:r>
      <w:r w:rsidR="00A34F69" w:rsidRPr="00F21303">
        <w:t>fournisseur</w:t>
      </w:r>
      <w:r w:rsidR="009E2E74">
        <w:t xml:space="preserve"> avec </w:t>
      </w:r>
      <w:r w:rsidRPr="00F21303">
        <w:t>plus de la moitié des contra</w:t>
      </w:r>
      <w:r w:rsidR="00DA65E5" w:rsidRPr="00F21303">
        <w:t>ts</w:t>
      </w:r>
      <w:r w:rsidR="00DA65E5">
        <w:t xml:space="preserve">.  </w:t>
      </w:r>
      <w:r w:rsidR="00DA65E5" w:rsidRPr="00F21303">
        <w:t>La</w:t>
      </w:r>
      <w:r w:rsidRPr="00F21303">
        <w:t xml:space="preserve"> plupart des contrats </w:t>
      </w:r>
      <w:r w:rsidR="00A34F69" w:rsidRPr="00F21303">
        <w:t>de</w:t>
      </w:r>
      <w:r w:rsidR="00101B45">
        <w:t xml:space="preserve">s </w:t>
      </w:r>
      <w:r w:rsidR="00A34F69" w:rsidRPr="00F21303">
        <w:t xml:space="preserve">sociétés </w:t>
      </w:r>
      <w:r w:rsidR="00924B23">
        <w:t>d</w:t>
      </w:r>
      <w:r w:rsidR="002A7364">
        <w:t>’</w:t>
      </w:r>
      <w:r w:rsidR="00924B23">
        <w:t>équipement, de technologie et</w:t>
      </w:r>
      <w:r w:rsidR="00A34F69" w:rsidRPr="00F21303">
        <w:t xml:space="preserve"> de services miniers </w:t>
      </w:r>
      <w:r w:rsidRPr="00F21303">
        <w:t>concernaient une société mère étrangère et sa filiale résiden</w:t>
      </w:r>
      <w:r w:rsidR="00DA65E5" w:rsidRPr="00F21303">
        <w:t>te</w:t>
      </w:r>
      <w:r w:rsidR="00DA65E5">
        <w:t xml:space="preserve">.  </w:t>
      </w:r>
      <w:r w:rsidR="00DA65E5" w:rsidRPr="00F21303">
        <w:t>Le</w:t>
      </w:r>
      <w:r w:rsidRPr="00F21303">
        <w:t xml:space="preserve">s filiales résidentes </w:t>
      </w:r>
      <w:r w:rsidR="00A34F69" w:rsidRPr="00F21303">
        <w:t xml:space="preserve">de sociétés </w:t>
      </w:r>
      <w:r w:rsidR="00924B23">
        <w:t>d</w:t>
      </w:r>
      <w:r w:rsidR="002A7364">
        <w:t>’</w:t>
      </w:r>
      <w:r w:rsidR="00924B23">
        <w:t>équipement, de technologie et</w:t>
      </w:r>
      <w:r w:rsidR="00A34F69" w:rsidRPr="00F21303">
        <w:t xml:space="preserve"> de services miniers</w:t>
      </w:r>
      <w:r w:rsidRPr="00F21303">
        <w:t xml:space="preserve"> ont probablement servi d</w:t>
      </w:r>
      <w:r w:rsidR="002A7364">
        <w:t>’</w:t>
      </w:r>
      <w:r w:rsidRPr="00F21303">
        <w:t xml:space="preserve">intermédiaires entre les </w:t>
      </w:r>
      <w:r w:rsidR="00A34F69" w:rsidRPr="00F21303">
        <w:t xml:space="preserve">sociétés </w:t>
      </w:r>
      <w:r w:rsidR="00924B23">
        <w:t>d</w:t>
      </w:r>
      <w:r w:rsidR="002A7364">
        <w:t>’</w:t>
      </w:r>
      <w:r w:rsidR="00924B23">
        <w:t>équipement, de technologie et</w:t>
      </w:r>
      <w:r w:rsidR="00A34F69" w:rsidRPr="00F21303">
        <w:t xml:space="preserve"> de services miniers </w:t>
      </w:r>
      <w:r w:rsidRPr="00F21303">
        <w:t>non</w:t>
      </w:r>
      <w:r w:rsidR="00A34F69" w:rsidRPr="00F21303">
        <w:t xml:space="preserve"> </w:t>
      </w:r>
      <w:r w:rsidRPr="00F21303">
        <w:t>résident</w:t>
      </w:r>
      <w:r w:rsidR="00A34F69" w:rsidRPr="00F21303">
        <w:t>e</w:t>
      </w:r>
      <w:r w:rsidRPr="00F21303">
        <w:t xml:space="preserve">s et les sociétés minières résidentes afin de </w:t>
      </w:r>
      <w:r w:rsidR="00A34F69" w:rsidRPr="00F21303">
        <w:t>concrétiser</w:t>
      </w:r>
      <w:r w:rsidR="00E404BF">
        <w:t xml:space="preserve"> d</w:t>
      </w:r>
      <w:r w:rsidRPr="00F21303">
        <w:t>es transferts de technolog</w:t>
      </w:r>
      <w:r w:rsidR="00DA65E5" w:rsidRPr="00F21303">
        <w:t>ie</w:t>
      </w:r>
      <w:r w:rsidR="00DA65E5">
        <w:t xml:space="preserve">.  </w:t>
      </w:r>
      <w:r w:rsidR="00DA65E5" w:rsidRPr="00F21303">
        <w:lastRenderedPageBreak/>
        <w:t>La</w:t>
      </w:r>
      <w:r w:rsidRPr="00F21303">
        <w:t xml:space="preserve"> plupart des fournisseurs de technologies viennent </w:t>
      </w:r>
      <w:r w:rsidR="00E404BF" w:rsidRPr="00F21303">
        <w:t>d</w:t>
      </w:r>
      <w:r w:rsidR="002A7364">
        <w:t>’</w:t>
      </w:r>
      <w:r w:rsidR="00E404BF">
        <w:t xml:space="preserve">Allemagne, </w:t>
      </w:r>
      <w:r w:rsidR="00E404BF" w:rsidRPr="00F21303">
        <w:t>d</w:t>
      </w:r>
      <w:r w:rsidR="002A7364">
        <w:t>’</w:t>
      </w:r>
      <w:r w:rsidR="00E404BF" w:rsidRPr="00F21303">
        <w:t>Australie</w:t>
      </w:r>
      <w:r w:rsidRPr="00F21303">
        <w:t>, du Canada, du Chili et</w:t>
      </w:r>
      <w:r w:rsidR="00E404BF">
        <w:t xml:space="preserve"> </w:t>
      </w:r>
      <w:r w:rsidR="00E404BF" w:rsidRPr="00F21303">
        <w:t>des États</w:t>
      </w:r>
      <w:r w:rsidR="002A7364">
        <w:t>-</w:t>
      </w:r>
      <w:r w:rsidR="00E404BF" w:rsidRPr="00F21303">
        <w:t>Unis</w:t>
      </w:r>
      <w:r w:rsidR="003A422A">
        <w:t xml:space="preserve"> d’Amérique</w:t>
      </w:r>
      <w:r w:rsidRPr="00F21303">
        <w:t>.</w:t>
      </w:r>
    </w:p>
    <w:p w14:paraId="56B8940D" w14:textId="77777777" w:rsidR="002A7364" w:rsidRDefault="00A835DE" w:rsidP="00B35232">
      <w:pPr>
        <w:pStyle w:val="Heading4"/>
      </w:pPr>
      <w:r w:rsidRPr="00F21303">
        <w:t xml:space="preserve">Étude de cas </w:t>
      </w:r>
      <w:r w:rsidR="008016EA">
        <w:t>sur</w:t>
      </w:r>
      <w:r w:rsidRPr="00F21303">
        <w:t xml:space="preserve"> Vale S.A.</w:t>
      </w:r>
    </w:p>
    <w:p w14:paraId="444A292E" w14:textId="72DB00BF" w:rsidR="00A835DE" w:rsidRPr="00F21303" w:rsidRDefault="00A835DE" w:rsidP="00F47B2A"/>
    <w:p w14:paraId="02E39174" w14:textId="5AA0B247" w:rsidR="002A7364" w:rsidRDefault="00A835DE" w:rsidP="00B35232">
      <w:pPr>
        <w:pStyle w:val="ONUMFS"/>
        <w:numPr>
          <w:ilvl w:val="0"/>
          <w:numId w:val="0"/>
        </w:numPr>
      </w:pPr>
      <w:r w:rsidRPr="00F21303">
        <w:t>Vale S.A. est aujourd</w:t>
      </w:r>
      <w:r w:rsidR="002A7364">
        <w:t>’</w:t>
      </w:r>
      <w:r w:rsidRPr="00F21303">
        <w:t>hui une société multinationale présente sur six</w:t>
      </w:r>
      <w:r w:rsidR="003A422A">
        <w:t> </w:t>
      </w:r>
      <w:r w:rsidRPr="00F21303">
        <w:t>continents et l</w:t>
      </w:r>
      <w:r w:rsidR="002A7364">
        <w:t>’</w:t>
      </w:r>
      <w:r w:rsidRPr="00F21303">
        <w:t>une des plus grandes sociétés productrices de minerai de fer dans le mon</w:t>
      </w:r>
      <w:r w:rsidR="00DA65E5" w:rsidRPr="00F21303">
        <w:t>de</w:t>
      </w:r>
      <w:r w:rsidR="00DA65E5">
        <w:t xml:space="preserve">.  </w:t>
      </w:r>
      <w:r w:rsidR="00DA65E5" w:rsidRPr="00F21303">
        <w:t>El</w:t>
      </w:r>
      <w:r w:rsidRPr="00F21303">
        <w:t>le produit du charbon, du cuivre, des engrais, du manganèse et des ferro</w:t>
      </w:r>
      <w:r w:rsidR="002A7364">
        <w:t>-</w:t>
      </w:r>
      <w:r w:rsidRPr="00F21303">
        <w:t>alliages.</w:t>
      </w:r>
    </w:p>
    <w:p w14:paraId="68EC8224" w14:textId="3B0B8F64" w:rsidR="002A7364" w:rsidRDefault="00A835DE" w:rsidP="00B35232">
      <w:pPr>
        <w:pStyle w:val="ONUMFS"/>
        <w:numPr>
          <w:ilvl w:val="0"/>
          <w:numId w:val="0"/>
        </w:numPr>
      </w:pPr>
      <w:r w:rsidRPr="00F21303">
        <w:t>Comme toute grande société minière, Vale est confrontée à des défis majeurs en termes de technologie et d</w:t>
      </w:r>
      <w:r w:rsidR="002A7364">
        <w:t>’</w:t>
      </w:r>
      <w:r w:rsidRPr="00F21303">
        <w:t>innovati</w:t>
      </w:r>
      <w:r w:rsidR="00DA65E5" w:rsidRPr="00F21303">
        <w:t>on</w:t>
      </w:r>
      <w:r w:rsidR="00DA65E5">
        <w:t>.  S</w:t>
      </w:r>
      <w:r w:rsidR="00DA65E5" w:rsidRPr="00F21303">
        <w:t>e</w:t>
      </w:r>
      <w:r w:rsidRPr="00F21303">
        <w:t xml:space="preserve">s activités </w:t>
      </w:r>
      <w:r w:rsidR="00F6397C">
        <w:t xml:space="preserve">impliquent </w:t>
      </w:r>
      <w:r w:rsidRPr="00F21303">
        <w:t xml:space="preserve">une logistique complexe et des technologies </w:t>
      </w:r>
      <w:r w:rsidR="00977578">
        <w:t xml:space="preserve">de plus en plus avancées et énergivores </w:t>
      </w:r>
      <w:r w:rsidR="00D5747D">
        <w:t xml:space="preserve">dans le domaine de la </w:t>
      </w:r>
      <w:r w:rsidRPr="00F21303">
        <w:t>prospection, d</w:t>
      </w:r>
      <w:r w:rsidR="00D5747D">
        <w:t>e l</w:t>
      </w:r>
      <w:r w:rsidR="002A7364">
        <w:t>’</w:t>
      </w:r>
      <w:r w:rsidRPr="00F21303">
        <w:t>exploration et d</w:t>
      </w:r>
      <w:r w:rsidR="00D5747D">
        <w:t>u</w:t>
      </w:r>
      <w:r w:rsidRPr="00F21303">
        <w:t xml:space="preserve"> traitement des minéra</w:t>
      </w:r>
      <w:r w:rsidR="00DA65E5" w:rsidRPr="00F21303">
        <w:t>ux</w:t>
      </w:r>
      <w:r w:rsidR="00DA65E5">
        <w:t xml:space="preserve">.  </w:t>
      </w:r>
      <w:r w:rsidR="00DA65E5" w:rsidRPr="00F21303">
        <w:t>Po</w:t>
      </w:r>
      <w:r w:rsidRPr="00F21303">
        <w:t>ur relever ces défis technologiques, la société a créé plusieurs centres internes de R</w:t>
      </w:r>
      <w:r w:rsidR="002A7364">
        <w:t>-</w:t>
      </w:r>
      <w:r w:rsidRPr="00F21303">
        <w:t>D.</w:t>
      </w:r>
      <w:r w:rsidR="00F47B2A" w:rsidRPr="00F21303">
        <w:t xml:space="preserve"> </w:t>
      </w:r>
      <w:r w:rsidR="000259CE" w:rsidRPr="00F21303">
        <w:t xml:space="preserve"> </w:t>
      </w:r>
      <w:r w:rsidR="002A7364" w:rsidRPr="00F21303">
        <w:t>En</w:t>
      </w:r>
      <w:r w:rsidR="002A7364">
        <w:t> </w:t>
      </w:r>
      <w:r w:rsidR="002A7364" w:rsidRPr="00F21303">
        <w:t>2009</w:t>
      </w:r>
      <w:r w:rsidR="00DA69EE" w:rsidRPr="00F21303">
        <w:t>, elle a lancé une stratégie plus large en matière de science, de technologie et d</w:t>
      </w:r>
      <w:r w:rsidR="002A7364">
        <w:t>’</w:t>
      </w:r>
      <w:r w:rsidR="008016EA">
        <w:t>innovation pour relever d</w:t>
      </w:r>
      <w:r w:rsidR="00DA69EE" w:rsidRPr="00F21303">
        <w:t>es défis technologiques sur le long ter</w:t>
      </w:r>
      <w:r w:rsidR="00DA65E5" w:rsidRPr="00F21303">
        <w:t>me</w:t>
      </w:r>
      <w:r w:rsidR="00DA65E5">
        <w:t xml:space="preserve">.  </w:t>
      </w:r>
      <w:r w:rsidR="00DA65E5" w:rsidRPr="00F21303">
        <w:t>De</w:t>
      </w:r>
      <w:r w:rsidR="00C539F8" w:rsidRPr="00F21303">
        <w:t xml:space="preserve">puis, </w:t>
      </w:r>
      <w:r w:rsidR="008016EA">
        <w:t>elle</w:t>
      </w:r>
      <w:r w:rsidR="00C539F8" w:rsidRPr="00F21303">
        <w:t xml:space="preserve"> a </w:t>
      </w:r>
      <w:r w:rsidR="00D5747D">
        <w:t xml:space="preserve">établi des </w:t>
      </w:r>
      <w:r w:rsidR="00C539F8" w:rsidRPr="00F21303">
        <w:t>contact</w:t>
      </w:r>
      <w:r w:rsidR="00D5747D">
        <w:t>s</w:t>
      </w:r>
      <w:r w:rsidR="00C539F8" w:rsidRPr="00F21303">
        <w:t xml:space="preserve"> plus étroit</w:t>
      </w:r>
      <w:r w:rsidR="00D5747D">
        <w:t>s</w:t>
      </w:r>
      <w:r w:rsidR="00C539F8" w:rsidRPr="00F21303">
        <w:t xml:space="preserve"> avec des partenaires extérieurs, </w:t>
      </w:r>
      <w:r w:rsidR="00F6397C">
        <w:t>comme des universités et des organismes de financement</w:t>
      </w:r>
      <w:r w:rsidR="00D5747D">
        <w:t>,</w:t>
      </w:r>
      <w:r w:rsidR="00C539F8" w:rsidRPr="00F21303">
        <w:t xml:space="preserve"> afin de mettre en place une approche axée sur l</w:t>
      </w:r>
      <w:r w:rsidR="002A7364">
        <w:t>’</w:t>
      </w:r>
      <w:r w:rsidR="00C539F8" w:rsidRPr="00F21303">
        <w:t>innovation ouverte.</w:t>
      </w:r>
    </w:p>
    <w:p w14:paraId="257F2077" w14:textId="7A377C7E" w:rsidR="00B35232" w:rsidRDefault="00C539F8" w:rsidP="00B35232">
      <w:pPr>
        <w:pStyle w:val="ONUMFS"/>
        <w:numPr>
          <w:ilvl w:val="0"/>
          <w:numId w:val="0"/>
        </w:numPr>
      </w:pPr>
      <w:r w:rsidRPr="00F21303">
        <w:t>Les deux</w:t>
      </w:r>
      <w:r w:rsidR="003A422A">
        <w:t> </w:t>
      </w:r>
      <w:r w:rsidRPr="00F21303">
        <w:t xml:space="preserve">modèles, </w:t>
      </w:r>
      <w:r w:rsidR="002A7364">
        <w:t>à savoir</w:t>
      </w:r>
      <w:r w:rsidRPr="00F21303">
        <w:t xml:space="preserve"> l</w:t>
      </w:r>
      <w:r w:rsidR="002A7364">
        <w:t>’</w:t>
      </w:r>
      <w:r w:rsidRPr="00F21303">
        <w:t>innovation fermée et l</w:t>
      </w:r>
      <w:r w:rsidR="002A7364">
        <w:t>’</w:t>
      </w:r>
      <w:r w:rsidRPr="00F21303">
        <w:t>innovation ouverte, sont complémentaires et coexistent au sein de l</w:t>
      </w:r>
      <w:r w:rsidR="002A7364">
        <w:t>’</w:t>
      </w:r>
      <w:r w:rsidRPr="00F21303">
        <w:t>entrepri</w:t>
      </w:r>
      <w:r w:rsidR="00DA65E5" w:rsidRPr="00F21303">
        <w:t>se</w:t>
      </w:r>
      <w:r w:rsidR="00DA65E5">
        <w:t>.  Tr</w:t>
      </w:r>
      <w:r w:rsidR="00F6397C">
        <w:t>aditionnellement</w:t>
      </w:r>
      <w:r w:rsidRPr="00F21303">
        <w:t xml:space="preserve">, Vale </w:t>
      </w:r>
      <w:r w:rsidR="00F6397C">
        <w:t>utilisait</w:t>
      </w:r>
      <w:r w:rsidRPr="00F21303">
        <w:t xml:space="preserve"> les centres internes de R</w:t>
      </w:r>
      <w:r w:rsidR="002A7364">
        <w:t>-</w:t>
      </w:r>
      <w:r w:rsidRPr="00F21303">
        <w:t xml:space="preserve">D pour trouver des solutions progressives, en se concentrant sur les résultats à court terme liés aux exigences opérationnelles et en cherchant à obtenir une plus grande efficacité et des coûts </w:t>
      </w:r>
      <w:r w:rsidR="00F6397C">
        <w:t>rédui</w:t>
      </w:r>
      <w:r w:rsidR="00DA65E5">
        <w:t>ts.  L’</w:t>
      </w:r>
      <w:r w:rsidR="00DA65E5" w:rsidRPr="00F21303">
        <w:t>i</w:t>
      </w:r>
      <w:r w:rsidR="003E32F8" w:rsidRPr="00F21303">
        <w:t>ntention d</w:t>
      </w:r>
      <w:r w:rsidR="002A7364">
        <w:t>’</w:t>
      </w:r>
      <w:r w:rsidR="003E32F8" w:rsidRPr="00F21303">
        <w:t>élargir le portefeuille de R</w:t>
      </w:r>
      <w:r w:rsidR="002A7364">
        <w:t>-</w:t>
      </w:r>
      <w:r w:rsidR="003E32F8" w:rsidRPr="00F21303">
        <w:t>D en établissant des partenariats pour faire face aux problèmes à long terme est l</w:t>
      </w:r>
      <w:r w:rsidR="002A7364">
        <w:t>’</w:t>
      </w:r>
      <w:r w:rsidR="00F6397C">
        <w:t>une des raisons qui ont</w:t>
      </w:r>
      <w:r w:rsidR="003E32F8" w:rsidRPr="00F21303">
        <w:t xml:space="preserve"> motivé l</w:t>
      </w:r>
      <w:r w:rsidR="002A7364">
        <w:t>’</w:t>
      </w:r>
      <w:r w:rsidR="003E32F8" w:rsidRPr="00F21303">
        <w:t>adoption d</w:t>
      </w:r>
      <w:r w:rsidR="002A7364">
        <w:t>’</w:t>
      </w:r>
      <w:r w:rsidR="003E32F8" w:rsidRPr="00F21303">
        <w:t>une approche ouverte en matière d</w:t>
      </w:r>
      <w:r w:rsidR="002A7364">
        <w:t>’</w:t>
      </w:r>
      <w:r w:rsidR="003E32F8" w:rsidRPr="00F21303">
        <w:t>innovation.</w:t>
      </w:r>
    </w:p>
    <w:p w14:paraId="5ED09CC4" w14:textId="6109152F" w:rsidR="002A7364" w:rsidRDefault="003E32F8" w:rsidP="00B35232">
      <w:pPr>
        <w:pStyle w:val="ONUMFS"/>
        <w:numPr>
          <w:ilvl w:val="0"/>
          <w:numId w:val="0"/>
        </w:numPr>
      </w:pPr>
      <w:r w:rsidRPr="00F21303">
        <w:t>La stratégie de propriété intellectuelle d</w:t>
      </w:r>
      <w:r w:rsidR="00F6397C">
        <w:t>e</w:t>
      </w:r>
      <w:r w:rsidRPr="00F21303">
        <w:t xml:space="preserve"> Vale est récen</w:t>
      </w:r>
      <w:r w:rsidR="00DA65E5" w:rsidRPr="00F21303">
        <w:t>te</w:t>
      </w:r>
      <w:r w:rsidR="00DA65E5">
        <w:t xml:space="preserve">.  </w:t>
      </w:r>
      <w:r w:rsidR="00DA65E5" w:rsidRPr="00F21303">
        <w:t>Av</w:t>
      </w:r>
      <w:r w:rsidRPr="00F21303">
        <w:t xml:space="preserve">ant 2009, </w:t>
      </w:r>
      <w:r w:rsidR="00D5747D">
        <w:t>la société</w:t>
      </w:r>
      <w:r w:rsidRPr="00F21303">
        <w:t xml:space="preserve"> n</w:t>
      </w:r>
      <w:r w:rsidR="002A7364">
        <w:t>’</w:t>
      </w:r>
      <w:r w:rsidRPr="00F21303">
        <w:t>avait pas de processus structuré et coordonné</w:t>
      </w:r>
      <w:r w:rsidR="00D5747D" w:rsidRPr="00D5747D">
        <w:t xml:space="preserve"> </w:t>
      </w:r>
      <w:r w:rsidR="00D5747D">
        <w:t xml:space="preserve">en matière </w:t>
      </w:r>
      <w:r w:rsidR="00D5747D" w:rsidRPr="00F21303">
        <w:t>de propriété intellectuel</w:t>
      </w:r>
      <w:r w:rsidR="00DA65E5" w:rsidRPr="00F21303">
        <w:t>le</w:t>
      </w:r>
      <w:r w:rsidR="00DA65E5">
        <w:t xml:space="preserve">.  À </w:t>
      </w:r>
      <w:r w:rsidR="00F6397C">
        <w:t>l</w:t>
      </w:r>
      <w:r w:rsidR="002A7364">
        <w:t>’</w:t>
      </w:r>
      <w:r w:rsidR="00F6397C">
        <w:t>époque</w:t>
      </w:r>
      <w:r w:rsidRPr="00F21303">
        <w:t xml:space="preserve">, </w:t>
      </w:r>
      <w:r w:rsidR="00D5747D">
        <w:t>s</w:t>
      </w:r>
      <w:r w:rsidRPr="00F21303">
        <w:t xml:space="preserve">a pratique </w:t>
      </w:r>
      <w:r w:rsidR="00F6397C">
        <w:t xml:space="preserve">dans le domaine des brevets </w:t>
      </w:r>
      <w:r w:rsidR="00D5747D">
        <w:t xml:space="preserve">concernait </w:t>
      </w:r>
      <w:r w:rsidRPr="00F21303">
        <w:t>principalement des améliorations opérationnelles mineures sans stratégie en matière de licenc</w:t>
      </w:r>
      <w:r w:rsidR="00DA65E5" w:rsidRPr="00F21303">
        <w:t>es</w:t>
      </w:r>
      <w:r w:rsidR="00DA65E5">
        <w:t xml:space="preserve">.  </w:t>
      </w:r>
      <w:r w:rsidR="00DA65E5" w:rsidRPr="00F21303">
        <w:t>En</w:t>
      </w:r>
      <w:r w:rsidR="002A7364">
        <w:t> </w:t>
      </w:r>
      <w:r w:rsidR="002A7364" w:rsidRPr="00F21303">
        <w:t>2006</w:t>
      </w:r>
      <w:r w:rsidRPr="00F21303">
        <w:t xml:space="preserve">, </w:t>
      </w:r>
      <w:r w:rsidR="008016EA">
        <w:t>la société</w:t>
      </w:r>
      <w:r w:rsidRPr="00F21303">
        <w:t xml:space="preserve"> a acquis un important portefeuille de brevets dans le domaine de l</w:t>
      </w:r>
      <w:r w:rsidR="002A7364">
        <w:t>’</w:t>
      </w:r>
      <w:r w:rsidRPr="00F21303">
        <w:t>extraction minière grâce à l</w:t>
      </w:r>
      <w:r w:rsidR="002A7364">
        <w:t>’</w:t>
      </w:r>
      <w:r w:rsidRPr="00F21303">
        <w:t>acquisition d</w:t>
      </w:r>
      <w:r w:rsidR="002A7364">
        <w:t>’</w:t>
      </w:r>
      <w:r w:rsidRPr="00F21303">
        <w:t>I</w:t>
      </w:r>
      <w:r w:rsidR="00DA65E5" w:rsidRPr="00F21303">
        <w:t>NCO</w:t>
      </w:r>
      <w:r w:rsidR="00DA65E5">
        <w:t>.  Le</w:t>
      </w:r>
      <w:r w:rsidR="00F6397C">
        <w:t xml:space="preserve">s </w:t>
      </w:r>
      <w:r w:rsidR="00080B28" w:rsidRPr="00F21303">
        <w:t xml:space="preserve">activités de propriété intellectuelle ont </w:t>
      </w:r>
      <w:r w:rsidR="00F6397C">
        <w:t xml:space="preserve">alors </w:t>
      </w:r>
      <w:r w:rsidR="00080B28" w:rsidRPr="00F21303">
        <w:t>commencé à être mieux structurées au sein de l</w:t>
      </w:r>
      <w:r w:rsidR="002A7364">
        <w:t>’</w:t>
      </w:r>
      <w:r w:rsidR="00080B28" w:rsidRPr="00F21303">
        <w:t xml:space="preserve">entreprise, </w:t>
      </w:r>
      <w:r w:rsidR="00F6397C">
        <w:t>conformément</w:t>
      </w:r>
      <w:r w:rsidR="00080B28" w:rsidRPr="00F21303">
        <w:t xml:space="preserve"> à la nouvelle stratégie en matière de science, de technologie et d</w:t>
      </w:r>
      <w:r w:rsidR="002A7364">
        <w:t>’</w:t>
      </w:r>
      <w:r w:rsidR="00080B28" w:rsidRPr="00F21303">
        <w:t>innovati</w:t>
      </w:r>
      <w:r w:rsidR="00DA65E5" w:rsidRPr="00F21303">
        <w:t>on</w:t>
      </w:r>
      <w:r w:rsidR="00DA65E5">
        <w:t xml:space="preserve">.  </w:t>
      </w:r>
      <w:r w:rsidR="00DA65E5" w:rsidRPr="00F21303">
        <w:t>La</w:t>
      </w:r>
      <w:r w:rsidR="00080B28" w:rsidRPr="00F21303">
        <w:t xml:space="preserve"> création du département de gestion de la propriété intellectuelle et de l</w:t>
      </w:r>
      <w:r w:rsidR="002A7364">
        <w:t>’</w:t>
      </w:r>
      <w:r w:rsidR="00D5747D">
        <w:t xml:space="preserve">intelligence technologique et le recrutement </w:t>
      </w:r>
      <w:r w:rsidR="00080B28" w:rsidRPr="00F21303">
        <w:t xml:space="preserve">de spécialistes </w:t>
      </w:r>
      <w:r w:rsidR="00D5747D">
        <w:t xml:space="preserve">qualifiés dans le domaine </w:t>
      </w:r>
      <w:r w:rsidR="00080B28" w:rsidRPr="00F21303">
        <w:t>de la propriété intellectuelle ont joué un rôle fondamental dans l</w:t>
      </w:r>
      <w:r w:rsidR="002A7364">
        <w:t>’</w:t>
      </w:r>
      <w:r w:rsidR="00080B28" w:rsidRPr="00F21303">
        <w:t>exploitation et la consolidation du portefeuille d</w:t>
      </w:r>
      <w:r w:rsidR="002A7364">
        <w:t>’</w:t>
      </w:r>
      <w:r w:rsidR="00080B28" w:rsidRPr="00F21303">
        <w:t xml:space="preserve">actifs de propriété intellectuelle de </w:t>
      </w:r>
      <w:r w:rsidR="00D5747D">
        <w:t>la société</w:t>
      </w:r>
      <w:r w:rsidR="00080B28" w:rsidRPr="00F21303">
        <w:t>.</w:t>
      </w:r>
    </w:p>
    <w:p w14:paraId="222F325C" w14:textId="7E51BDB2" w:rsidR="002A7364" w:rsidRDefault="00B35232" w:rsidP="00B35232">
      <w:pPr>
        <w:pStyle w:val="Heading4"/>
      </w:pPr>
      <w:r>
        <w:t>2.</w:t>
      </w:r>
      <w:r>
        <w:tab/>
      </w:r>
      <w:r w:rsidR="000B247F" w:rsidRPr="00F21303">
        <w:t>Étude du Chili</w:t>
      </w:r>
      <w:r w:rsidR="002A7364">
        <w:t> :</w:t>
      </w:r>
      <w:r w:rsidR="000B247F" w:rsidRPr="00F21303">
        <w:t xml:space="preserve"> innovation et droits de propriété intellectuelle dans le secteur minier </w:t>
      </w:r>
      <w:r w:rsidR="00F6397C">
        <w:t>du cuivre</w:t>
      </w:r>
      <w:r w:rsidR="00D043C4">
        <w:t xml:space="preserve"> au Chili</w:t>
      </w:r>
      <w:r w:rsidR="002A7364">
        <w:t> :</w:t>
      </w:r>
      <w:r w:rsidR="000B247F" w:rsidRPr="00F21303">
        <w:t xml:space="preserve"> le rôle des sociétés </w:t>
      </w:r>
      <w:r w:rsidR="00924B23">
        <w:t>d</w:t>
      </w:r>
      <w:r w:rsidR="002A7364">
        <w:t>’</w:t>
      </w:r>
      <w:r w:rsidR="00924B23">
        <w:t>équipement, de technologie et</w:t>
      </w:r>
      <w:r w:rsidR="000B247F" w:rsidRPr="00F21303">
        <w:t xml:space="preserve"> de services miniers</w:t>
      </w:r>
    </w:p>
    <w:p w14:paraId="2B5162A1" w14:textId="54497C37" w:rsidR="00A835DE" w:rsidRPr="00F21303" w:rsidRDefault="00A835DE" w:rsidP="00BB4085">
      <w:pPr>
        <w:keepNext/>
      </w:pPr>
    </w:p>
    <w:p w14:paraId="3F9D05EB" w14:textId="3C37F6E5" w:rsidR="00B35232" w:rsidRDefault="00C06A18" w:rsidP="00B35232">
      <w:pPr>
        <w:pStyle w:val="ONUMFS"/>
        <w:numPr>
          <w:ilvl w:val="0"/>
          <w:numId w:val="0"/>
        </w:numPr>
      </w:pPr>
      <w:r w:rsidRPr="00F21303">
        <w:t>L</w:t>
      </w:r>
      <w:r w:rsidR="002A7364">
        <w:t>’</w:t>
      </w:r>
      <w:r w:rsidRPr="00F21303">
        <w:t>importance du secteur minier du cuivre au Chili n</w:t>
      </w:r>
      <w:r w:rsidR="002A7364">
        <w:t>’</w:t>
      </w:r>
      <w:r w:rsidRPr="00F21303">
        <w:t>est pas remise en questi</w:t>
      </w:r>
      <w:r w:rsidR="00DA65E5" w:rsidRPr="00F21303">
        <w:t>on</w:t>
      </w:r>
      <w:r w:rsidR="00DA65E5">
        <w:t xml:space="preserve">.  </w:t>
      </w:r>
      <w:r w:rsidR="00DA65E5" w:rsidRPr="00F21303">
        <w:t>Ce</w:t>
      </w:r>
      <w:r w:rsidRPr="00F21303">
        <w:t xml:space="preserve"> secteur est toutefois confronté à d</w:t>
      </w:r>
      <w:r w:rsidR="002A7364">
        <w:t>’</w:t>
      </w:r>
      <w:r w:rsidRPr="00F21303">
        <w:t>importants défis</w:t>
      </w:r>
      <w:r w:rsidR="002A7364">
        <w:t> :</w:t>
      </w:r>
      <w:r w:rsidRPr="00F21303">
        <w:t xml:space="preserve"> mines plus profondes, pénurie de ressources essentielles, teneur plus faible en minerai et préoccupation</w:t>
      </w:r>
      <w:r w:rsidR="008016EA">
        <w:t>s liées aux</w:t>
      </w:r>
      <w:r w:rsidRPr="00F21303">
        <w:t xml:space="preserve"> communautés voisines et </w:t>
      </w:r>
      <w:r w:rsidR="008016EA">
        <w:t xml:space="preserve">au </w:t>
      </w:r>
      <w:r w:rsidRPr="00F21303">
        <w:t xml:space="preserve">respect </w:t>
      </w:r>
      <w:r w:rsidR="008016EA">
        <w:t xml:space="preserve">de </w:t>
      </w:r>
      <w:r w:rsidRPr="00F21303">
        <w:t>l</w:t>
      </w:r>
      <w:r w:rsidR="002A7364">
        <w:t>’</w:t>
      </w:r>
      <w:r w:rsidRPr="00F21303">
        <w:t>environneme</w:t>
      </w:r>
      <w:r w:rsidR="00DA65E5" w:rsidRPr="00F21303">
        <w:t>nt</w:t>
      </w:r>
      <w:r w:rsidR="00DA65E5">
        <w:t xml:space="preserve">.  </w:t>
      </w:r>
      <w:r w:rsidR="00DA65E5" w:rsidRPr="00F21303">
        <w:t>L</w:t>
      </w:r>
      <w:r w:rsidR="00DA65E5">
        <w:t>’i</w:t>
      </w:r>
      <w:r w:rsidRPr="00F21303">
        <w:t>nnovation semble être la clé pour s</w:t>
      </w:r>
      <w:r w:rsidR="002A7364">
        <w:t>’</w:t>
      </w:r>
      <w:r w:rsidRPr="00F21303">
        <w:t>attaquer à ces problèmes.</w:t>
      </w:r>
    </w:p>
    <w:p w14:paraId="183058E5" w14:textId="550E216E" w:rsidR="002A7364" w:rsidRDefault="00B36109" w:rsidP="00B35232">
      <w:pPr>
        <w:pStyle w:val="ONUMFS"/>
        <w:numPr>
          <w:ilvl w:val="0"/>
          <w:numId w:val="0"/>
        </w:numPr>
      </w:pPr>
      <w:r w:rsidRPr="00F21303">
        <w:t>Cette étude présente les résultats d</w:t>
      </w:r>
      <w:r w:rsidR="002A7364">
        <w:t>’</w:t>
      </w:r>
      <w:r w:rsidRPr="00F21303">
        <w:t xml:space="preserve">un questionnaire en ligne </w:t>
      </w:r>
      <w:r w:rsidR="00F6397C">
        <w:t>adressé</w:t>
      </w:r>
      <w:r w:rsidRPr="00F21303">
        <w:t xml:space="preserve"> aux sociétés </w:t>
      </w:r>
      <w:r w:rsidR="00924B23">
        <w:t>d</w:t>
      </w:r>
      <w:r w:rsidR="002A7364">
        <w:t>’</w:t>
      </w:r>
      <w:r w:rsidR="00924B23">
        <w:t>équipement, de technologie et</w:t>
      </w:r>
      <w:r w:rsidRPr="00F21303">
        <w:t xml:space="preserve"> de services miniers résidentes qui font partie d</w:t>
      </w:r>
      <w:r w:rsidR="002A7364">
        <w:t>’</w:t>
      </w:r>
      <w:r w:rsidRPr="00F21303">
        <w:t>un programme public</w:t>
      </w:r>
      <w:r w:rsidR="002A7364">
        <w:t>-</w:t>
      </w:r>
      <w:r w:rsidRPr="00F21303">
        <w:t>privé d</w:t>
      </w:r>
      <w:r w:rsidR="002A7364">
        <w:t>’</w:t>
      </w:r>
      <w:r w:rsidRPr="00F21303">
        <w:t>innovation ouverte dans le secteur mini</w:t>
      </w:r>
      <w:r w:rsidR="00DA65E5" w:rsidRPr="00F21303">
        <w:t>er</w:t>
      </w:r>
      <w:r w:rsidR="00DA65E5">
        <w:t xml:space="preserve">.  </w:t>
      </w:r>
      <w:r w:rsidR="00DA65E5" w:rsidRPr="00F21303">
        <w:t>L</w:t>
      </w:r>
      <w:r w:rsidR="00DA65E5">
        <w:t>’</w:t>
      </w:r>
      <w:r w:rsidR="00DA65E5" w:rsidRPr="00F21303">
        <w:t>e</w:t>
      </w:r>
      <w:r w:rsidRPr="00F21303">
        <w:t xml:space="preserve">nquête </w:t>
      </w:r>
      <w:r w:rsidR="00D043C4">
        <w:t>avait pour objet de</w:t>
      </w:r>
      <w:r w:rsidRPr="00F21303">
        <w:t xml:space="preserve"> recueillir des informations sur les facteurs expliquant les décisions relatives à la protection de la propriété intellectuel</w:t>
      </w:r>
      <w:r w:rsidR="00DA65E5" w:rsidRPr="00F21303">
        <w:t>le</w:t>
      </w:r>
      <w:r w:rsidR="00DA65E5">
        <w:t xml:space="preserve">.  </w:t>
      </w:r>
      <w:r w:rsidR="00DA65E5" w:rsidRPr="00F21303">
        <w:t>Un</w:t>
      </w:r>
      <w:r w:rsidRPr="00F21303">
        <w:t>e série d</w:t>
      </w:r>
      <w:r w:rsidR="002A7364">
        <w:t>’</w:t>
      </w:r>
      <w:r w:rsidRPr="00F21303">
        <w:t>entretiens semi</w:t>
      </w:r>
      <w:r w:rsidR="002A7364">
        <w:t>-</w:t>
      </w:r>
      <w:r w:rsidRPr="00F21303">
        <w:t>structurés avec des cadres supérieurs d</w:t>
      </w:r>
      <w:r w:rsidR="002A7364">
        <w:t>’</w:t>
      </w:r>
      <w:r w:rsidRPr="00F21303">
        <w:t xml:space="preserve">un </w:t>
      </w:r>
      <w:r w:rsidRPr="00F21303">
        <w:lastRenderedPageBreak/>
        <w:t>échantillon de 13</w:t>
      </w:r>
      <w:r w:rsidR="00977578">
        <w:t> </w:t>
      </w:r>
      <w:r w:rsidRPr="00F21303">
        <w:t xml:space="preserve">entités, </w:t>
      </w:r>
      <w:r w:rsidR="002A7364">
        <w:t>à savoir</w:t>
      </w:r>
      <w:r w:rsidRPr="00F21303">
        <w:t xml:space="preserve"> quatre</w:t>
      </w:r>
      <w:r w:rsidR="003A422A">
        <w:t> </w:t>
      </w:r>
      <w:r w:rsidRPr="00F21303">
        <w:t>sociétés minières, sept</w:t>
      </w:r>
      <w:r w:rsidR="003A422A">
        <w:t> </w:t>
      </w:r>
      <w:r w:rsidRPr="00F21303">
        <w:t xml:space="preserve">sociétés </w:t>
      </w:r>
      <w:r w:rsidR="00924B23">
        <w:t>d</w:t>
      </w:r>
      <w:r w:rsidR="002A7364">
        <w:t>’</w:t>
      </w:r>
      <w:r w:rsidR="00924B23">
        <w:t>équipement, de technologie et</w:t>
      </w:r>
      <w:r w:rsidRPr="00F21303">
        <w:t xml:space="preserve"> de services minier</w:t>
      </w:r>
      <w:r w:rsidR="00D043C4">
        <w:t>s et deux</w:t>
      </w:r>
      <w:r w:rsidR="003A422A">
        <w:t> </w:t>
      </w:r>
      <w:r w:rsidR="00D043C4">
        <w:t>universités, complète</w:t>
      </w:r>
      <w:r w:rsidRPr="00F21303">
        <w:t xml:space="preserve"> cette enquête.</w:t>
      </w:r>
    </w:p>
    <w:p w14:paraId="5F53F58B" w14:textId="2B253D1F" w:rsidR="002A7364" w:rsidRDefault="00CC4828" w:rsidP="00B35232">
      <w:pPr>
        <w:pStyle w:val="ONUMFS"/>
        <w:numPr>
          <w:ilvl w:val="0"/>
          <w:numId w:val="0"/>
        </w:numPr>
      </w:pPr>
      <w:r w:rsidRPr="00F21303">
        <w:t>Au Chili, le secteur minier est l</w:t>
      </w:r>
      <w:r w:rsidR="002A7364">
        <w:t>’</w:t>
      </w:r>
      <w:r w:rsidRPr="00F21303">
        <w:t>un</w:t>
      </w:r>
      <w:r w:rsidR="00D043C4">
        <w:t>e</w:t>
      </w:r>
      <w:r w:rsidRPr="00F21303">
        <w:t xml:space="preserve"> des principa</w:t>
      </w:r>
      <w:r w:rsidR="00D043C4">
        <w:t xml:space="preserve">les sources </w:t>
      </w:r>
      <w:r w:rsidRPr="00F21303">
        <w:t>de brevets, avec le secteur des produits chimiques et pharmaceutiqu</w:t>
      </w:r>
      <w:r w:rsidR="00DA65E5" w:rsidRPr="00F21303">
        <w:t>es</w:t>
      </w:r>
      <w:r w:rsidR="00DA65E5">
        <w:t xml:space="preserve">.  </w:t>
      </w:r>
      <w:r w:rsidR="00DA65E5" w:rsidRPr="00F21303">
        <w:t>Co</w:t>
      </w:r>
      <w:r w:rsidRPr="00F21303">
        <w:t>delco et sa division technologique connexe (Codelco TECH) représentent l</w:t>
      </w:r>
      <w:r w:rsidR="002A7364">
        <w:t>’</w:t>
      </w:r>
      <w:r w:rsidRPr="00F21303">
        <w:t>essentiel de l</w:t>
      </w:r>
      <w:r w:rsidR="002A7364">
        <w:t>’</w:t>
      </w:r>
      <w:r w:rsidRPr="00F21303">
        <w:t>activité nationale en matière de breve</w:t>
      </w:r>
      <w:r w:rsidR="00DA65E5" w:rsidRPr="00F21303">
        <w:t>ts</w:t>
      </w:r>
      <w:r w:rsidR="00DA65E5">
        <w:t xml:space="preserve">.  </w:t>
      </w:r>
      <w:r w:rsidR="00DA65E5" w:rsidRPr="00F21303">
        <w:t>En</w:t>
      </w:r>
      <w:r w:rsidRPr="00F21303">
        <w:t>tre 2009 et 2017, l</w:t>
      </w:r>
      <w:r w:rsidR="002A7364">
        <w:t>’</w:t>
      </w:r>
      <w:r w:rsidRPr="00F21303">
        <w:t>activité en matière de brevets liée à l</w:t>
      </w:r>
      <w:r w:rsidR="002A7364">
        <w:t>’</w:t>
      </w:r>
      <w:r w:rsidRPr="00F21303">
        <w:t>exploitation minière a augmenté de 58%.</w:t>
      </w:r>
    </w:p>
    <w:p w14:paraId="7A169101" w14:textId="27BA6FAB" w:rsidR="00A835DE" w:rsidRPr="00F21303" w:rsidRDefault="00CC4828" w:rsidP="00B35232">
      <w:pPr>
        <w:pStyle w:val="Heading4"/>
      </w:pPr>
      <w:r w:rsidRPr="00F21303">
        <w:t>Analyse de l</w:t>
      </w:r>
      <w:r w:rsidR="002A7364">
        <w:t>’</w:t>
      </w:r>
      <w:r w:rsidRPr="00F21303">
        <w:t>enquête et des entretiens semi</w:t>
      </w:r>
      <w:r w:rsidR="002A7364">
        <w:t>-</w:t>
      </w:r>
      <w:r w:rsidRPr="00F21303">
        <w:t>structurés</w:t>
      </w:r>
    </w:p>
    <w:p w14:paraId="4EC5D98F" w14:textId="77777777" w:rsidR="00A835DE" w:rsidRPr="00F21303" w:rsidRDefault="00A835DE" w:rsidP="00BB4085"/>
    <w:p w14:paraId="195D40BB" w14:textId="18B473E9" w:rsidR="002A7364" w:rsidRDefault="00CC4828" w:rsidP="00B35232">
      <w:pPr>
        <w:pStyle w:val="ONUMFS"/>
        <w:numPr>
          <w:ilvl w:val="0"/>
          <w:numId w:val="0"/>
        </w:numPr>
      </w:pPr>
      <w:r w:rsidRPr="00F21303">
        <w:t>Les résultats de l</w:t>
      </w:r>
      <w:r w:rsidR="002A7364">
        <w:t>’</w:t>
      </w:r>
      <w:r w:rsidRPr="00F21303">
        <w:t>enquête confirment dans une large mesure les capacités d</w:t>
      </w:r>
      <w:r w:rsidR="002A7364">
        <w:t>’</w:t>
      </w:r>
      <w:r w:rsidRPr="00F21303">
        <w:t xml:space="preserve">innovation des sociétés </w:t>
      </w:r>
      <w:r w:rsidR="00D043C4" w:rsidRPr="00F21303">
        <w:t xml:space="preserve">chiliennes </w:t>
      </w:r>
      <w:r w:rsidR="00924B23">
        <w:t>d</w:t>
      </w:r>
      <w:r w:rsidR="002A7364">
        <w:t>’</w:t>
      </w:r>
      <w:r w:rsidR="00924B23">
        <w:t>équipement, de technologie et</w:t>
      </w:r>
      <w:r w:rsidRPr="00F21303">
        <w:t xml:space="preserve"> de services minie</w:t>
      </w:r>
      <w:r w:rsidR="00DA65E5" w:rsidRPr="00F21303">
        <w:t>rs</w:t>
      </w:r>
      <w:r w:rsidR="00DA65E5">
        <w:t xml:space="preserve">.  </w:t>
      </w:r>
      <w:r w:rsidR="00DA65E5" w:rsidRPr="00F21303">
        <w:t>To</w:t>
      </w:r>
      <w:r w:rsidRPr="00F21303">
        <w:t>utefois, l</w:t>
      </w:r>
      <w:r w:rsidR="002A7364">
        <w:t>’</w:t>
      </w:r>
      <w:r w:rsidRPr="00F21303">
        <w:t>enquête révèle également que seule une minorité d</w:t>
      </w:r>
      <w:r w:rsidR="002A7364">
        <w:t>’</w:t>
      </w:r>
      <w:r w:rsidR="00F6397C">
        <w:t>entre elles</w:t>
      </w:r>
      <w:r w:rsidRPr="00F21303">
        <w:t xml:space="preserve"> utilisent les droits de propriété intellectuelle pour protéger leurs innovatio</w:t>
      </w:r>
      <w:r w:rsidR="00DA65E5" w:rsidRPr="00F21303">
        <w:t>ns</w:t>
      </w:r>
      <w:r w:rsidR="00DA65E5">
        <w:t xml:space="preserve">.  </w:t>
      </w:r>
      <w:r w:rsidR="00DA65E5" w:rsidRPr="00F21303">
        <w:t>La</w:t>
      </w:r>
      <w:r w:rsidRPr="00F21303">
        <w:t xml:space="preserve"> majorité n</w:t>
      </w:r>
      <w:r w:rsidR="002A7364">
        <w:t>’</w:t>
      </w:r>
      <w:r w:rsidRPr="00F21303">
        <w:t>a pas déposé de demandes de titres de propriété intellectuelle, ni au niveau national ni au niveau internation</w:t>
      </w:r>
      <w:r w:rsidR="00DA65E5" w:rsidRPr="00F21303">
        <w:t>al</w:t>
      </w:r>
      <w:r w:rsidR="00DA65E5">
        <w:t xml:space="preserve">.  </w:t>
      </w:r>
      <w:r w:rsidR="00DA65E5" w:rsidRPr="00F21303">
        <w:t>Ce</w:t>
      </w:r>
      <w:r w:rsidR="00112DF6" w:rsidRPr="00F21303">
        <w:t xml:space="preserve">pendant, près de 90% des sociétés </w:t>
      </w:r>
      <w:r w:rsidR="00924B23">
        <w:t>d</w:t>
      </w:r>
      <w:r w:rsidR="002A7364">
        <w:t>’</w:t>
      </w:r>
      <w:r w:rsidR="00924B23">
        <w:t>équipement, de technologie et</w:t>
      </w:r>
      <w:r w:rsidR="00112DF6" w:rsidRPr="00F21303">
        <w:t xml:space="preserve"> de services miniers ont indiqué tenir compte de la propriété intellectuelle lors de l</w:t>
      </w:r>
      <w:r w:rsidR="002A7364">
        <w:t>’</w:t>
      </w:r>
      <w:r w:rsidR="00112DF6" w:rsidRPr="00F21303">
        <w:t>analyse de nouvelles possibilités commerciales.</w:t>
      </w:r>
    </w:p>
    <w:p w14:paraId="0B595944" w14:textId="20C80F5A" w:rsidR="00B35232" w:rsidRDefault="00112DF6" w:rsidP="00B35232">
      <w:pPr>
        <w:pStyle w:val="ONUMFS"/>
        <w:numPr>
          <w:ilvl w:val="0"/>
          <w:numId w:val="0"/>
        </w:numPr>
      </w:pPr>
      <w:r w:rsidRPr="00F21303">
        <w:t>Bien que connaissant le système des brevets, les innovateurs ont mentionné le coût relativement élevé de la protection par brevet et la complexité</w:t>
      </w:r>
      <w:r w:rsidR="008016EA">
        <w:t>,</w:t>
      </w:r>
      <w:r w:rsidRPr="00F21303">
        <w:t xml:space="preserve"> </w:t>
      </w:r>
      <w:r w:rsidR="00F6397C">
        <w:t>pour eux</w:t>
      </w:r>
      <w:r w:rsidR="008016EA">
        <w:t>, de</w:t>
      </w:r>
      <w:r w:rsidRPr="00F21303">
        <w:t xml:space="preserve"> </w:t>
      </w:r>
      <w:r w:rsidR="00F6397C">
        <w:t xml:space="preserve">la procédure </w:t>
      </w:r>
      <w:r w:rsidRPr="00F21303">
        <w:t>d</w:t>
      </w:r>
      <w:r w:rsidR="002A7364">
        <w:t>’</w:t>
      </w:r>
      <w:r w:rsidRPr="00F21303">
        <w:t>enregistrement</w:t>
      </w:r>
      <w:r w:rsidR="00F6397C">
        <w:t>,</w:t>
      </w:r>
      <w:r w:rsidRPr="00F21303">
        <w:t xml:space="preserve"> comme autant d</w:t>
      </w:r>
      <w:r w:rsidR="002A7364">
        <w:t>’</w:t>
      </w:r>
      <w:r w:rsidRPr="00F21303">
        <w:t>obstacles au dépôt de demandes de brev</w:t>
      </w:r>
      <w:r w:rsidR="00DA65E5" w:rsidRPr="00F21303">
        <w:t>et</w:t>
      </w:r>
      <w:r w:rsidR="00DA65E5">
        <w:t xml:space="preserve">.  </w:t>
      </w:r>
      <w:r w:rsidR="00DA65E5" w:rsidRPr="00F21303">
        <w:t>Ce</w:t>
      </w:r>
      <w:r w:rsidRPr="00F21303">
        <w:t xml:space="preserve">rtaines sociétés </w:t>
      </w:r>
      <w:r w:rsidR="00924B23">
        <w:t>d</w:t>
      </w:r>
      <w:r w:rsidR="002A7364">
        <w:t>’</w:t>
      </w:r>
      <w:r w:rsidR="00924B23">
        <w:t>équipement, de technologie et</w:t>
      </w:r>
      <w:r w:rsidRPr="00F21303">
        <w:t xml:space="preserve"> de services miniers choisissent d</w:t>
      </w:r>
      <w:r w:rsidR="002A7364">
        <w:t>’</w:t>
      </w:r>
      <w:r w:rsidRPr="00F21303">
        <w:t>autres formes de protection, comme les secrets d</w:t>
      </w:r>
      <w:r w:rsidR="002A7364">
        <w:t>’</w:t>
      </w:r>
      <w:r w:rsidRPr="00F21303">
        <w:t xml:space="preserve">affaires </w:t>
      </w:r>
      <w:r w:rsidR="00F6397C">
        <w:t>ou</w:t>
      </w:r>
      <w:r w:rsidRPr="00F21303">
        <w:t xml:space="preserve"> les marqu</w:t>
      </w:r>
      <w:r w:rsidR="00DA65E5" w:rsidRPr="00F21303">
        <w:t>es</w:t>
      </w:r>
      <w:r w:rsidR="00DA65E5">
        <w:t xml:space="preserve">.  </w:t>
      </w:r>
      <w:r w:rsidR="00DA65E5" w:rsidRPr="00F21303">
        <w:t>Le</w:t>
      </w:r>
      <w:r w:rsidRPr="00F21303">
        <w:t xml:space="preserve"> fait que </w:t>
      </w:r>
      <w:r w:rsidR="00F6397C">
        <w:t>cel</w:t>
      </w:r>
      <w:r w:rsidR="00D043C4">
        <w:t>l</w:t>
      </w:r>
      <w:r w:rsidR="00F6397C">
        <w:t>es qui résident</w:t>
      </w:r>
      <w:r w:rsidRPr="00F21303">
        <w:t xml:space="preserve"> au Chili so</w:t>
      </w:r>
      <w:r w:rsidR="00F6397C">
        <w:t>ie</w:t>
      </w:r>
      <w:r w:rsidRPr="00F21303">
        <w:t>nt généralement des petites et moyennes entreprises (PME) pourrait expliquer ces résulta</w:t>
      </w:r>
      <w:r w:rsidR="00DA65E5" w:rsidRPr="00F21303">
        <w:t>ts</w:t>
      </w:r>
      <w:r w:rsidR="00DA65E5">
        <w:t xml:space="preserve">.  </w:t>
      </w:r>
      <w:r w:rsidR="00DA65E5" w:rsidRPr="00F21303">
        <w:t>En</w:t>
      </w:r>
      <w:r w:rsidRPr="00F21303">
        <w:t xml:space="preserve"> revanche, la protection par brevet est la pratique courante </w:t>
      </w:r>
      <w:r w:rsidR="00F6397C">
        <w:t>dans</w:t>
      </w:r>
      <w:r w:rsidRPr="00F21303">
        <w:t xml:space="preserve"> les grandes sociétés minières, </w:t>
      </w:r>
      <w:r w:rsidR="008016EA">
        <w:t>ce qu</w:t>
      </w:r>
      <w:r w:rsidR="002A7364">
        <w:t>’</w:t>
      </w:r>
      <w:r w:rsidRPr="00F21303">
        <w:t>ont confirmé les entretiens.</w:t>
      </w:r>
    </w:p>
    <w:p w14:paraId="4E99EA88" w14:textId="101C7DA0" w:rsidR="00B35232" w:rsidRDefault="0014160C" w:rsidP="00B35232">
      <w:pPr>
        <w:pStyle w:val="ONUMFS"/>
        <w:numPr>
          <w:ilvl w:val="0"/>
          <w:numId w:val="0"/>
        </w:numPr>
      </w:pPr>
      <w:r w:rsidRPr="00F21303">
        <w:t>L</w:t>
      </w:r>
      <w:r w:rsidR="002A7364">
        <w:t>’</w:t>
      </w:r>
      <w:r w:rsidRPr="00F21303">
        <w:t>intérêt pour la protection de la propriété intellectuelle peut également varier d</w:t>
      </w:r>
      <w:r w:rsidR="002A7364">
        <w:t>’</w:t>
      </w:r>
      <w:r w:rsidRPr="00F21303">
        <w:t>une entreprise à l</w:t>
      </w:r>
      <w:r w:rsidR="002A7364">
        <w:t>’</w:t>
      </w:r>
      <w:r w:rsidRPr="00F21303">
        <w:t>autre selon qu</w:t>
      </w:r>
      <w:r w:rsidR="002A7364">
        <w:t>’</w:t>
      </w:r>
      <w:r w:rsidRPr="00F21303">
        <w:t>elle est exportatrice ou n</w:t>
      </w:r>
      <w:r w:rsidR="00DA65E5" w:rsidRPr="00F21303">
        <w:t>on</w:t>
      </w:r>
      <w:r w:rsidR="00DA65E5">
        <w:t xml:space="preserve">.  </w:t>
      </w:r>
      <w:r w:rsidR="00DA65E5" w:rsidRPr="00F21303">
        <w:t>La</w:t>
      </w:r>
      <w:r w:rsidR="0072340A" w:rsidRPr="00F21303">
        <w:t xml:space="preserve"> majorité des sociétés </w:t>
      </w:r>
      <w:r w:rsidR="00924B23">
        <w:t>d</w:t>
      </w:r>
      <w:r w:rsidR="002A7364">
        <w:t>’</w:t>
      </w:r>
      <w:r w:rsidR="00924B23">
        <w:t>équipement, de technologie et</w:t>
      </w:r>
      <w:r w:rsidR="0072340A" w:rsidRPr="00F21303">
        <w:t xml:space="preserve"> de services miniers ayant l</w:t>
      </w:r>
      <w:r w:rsidR="002A7364">
        <w:t>’</w:t>
      </w:r>
      <w:r w:rsidR="0072340A" w:rsidRPr="00F21303">
        <w:t>intention d</w:t>
      </w:r>
      <w:r w:rsidR="002A7364">
        <w:t>’</w:t>
      </w:r>
      <w:r w:rsidR="0072340A" w:rsidRPr="00F21303">
        <w:t>exporter sont intéressées par le dépôt d</w:t>
      </w:r>
      <w:r w:rsidR="002A7364">
        <w:t>’</w:t>
      </w:r>
      <w:r w:rsidR="0072340A" w:rsidRPr="00F21303">
        <w:t>une demande de brevet au niveau internation</w:t>
      </w:r>
      <w:r w:rsidR="00DA65E5" w:rsidRPr="00F21303">
        <w:t>al</w:t>
      </w:r>
      <w:r w:rsidR="00DA65E5">
        <w:t xml:space="preserve">.  </w:t>
      </w:r>
      <w:r w:rsidR="00DA65E5" w:rsidRPr="00F21303">
        <w:t>Le</w:t>
      </w:r>
      <w:r w:rsidR="0072340A" w:rsidRPr="00F21303">
        <w:t>s mêmes sociétés s</w:t>
      </w:r>
      <w:r w:rsidR="002A7364">
        <w:t>’</w:t>
      </w:r>
      <w:r w:rsidR="0072340A" w:rsidRPr="00F21303">
        <w:t>intéressent également à d</w:t>
      </w:r>
      <w:r w:rsidR="002A7364">
        <w:t>’</w:t>
      </w:r>
      <w:r w:rsidR="0072340A" w:rsidRPr="00F21303">
        <w:t>autres mécanismes de protection de la propriété intellectuelle tels que les marques (58%) et les dessins et modèles industriels (33%).</w:t>
      </w:r>
      <w:r w:rsidR="009F5287" w:rsidRPr="00F21303">
        <w:t xml:space="preserve"> </w:t>
      </w:r>
      <w:r w:rsidR="00CD4015" w:rsidRPr="00F21303">
        <w:t xml:space="preserve"> </w:t>
      </w:r>
      <w:r w:rsidR="0072340A" w:rsidRPr="00F21303">
        <w:t>L</w:t>
      </w:r>
      <w:r w:rsidR="002A7364">
        <w:t>’</w:t>
      </w:r>
      <w:r w:rsidR="0072340A" w:rsidRPr="00F21303">
        <w:t xml:space="preserve">importance des marques est également </w:t>
      </w:r>
      <w:r w:rsidR="00F6397C">
        <w:t xml:space="preserve">logique puisque </w:t>
      </w:r>
      <w:r w:rsidR="0072340A" w:rsidRPr="00F21303">
        <w:t xml:space="preserve">la majorité des sociétés </w:t>
      </w:r>
      <w:r w:rsidR="00924B23">
        <w:t>d</w:t>
      </w:r>
      <w:r w:rsidR="002A7364">
        <w:t>’</w:t>
      </w:r>
      <w:r w:rsidR="00924B23">
        <w:t>équipement, de technologie et</w:t>
      </w:r>
      <w:r w:rsidR="0072340A" w:rsidRPr="00F21303">
        <w:t xml:space="preserve"> de services miniers interrogées investissent dans l</w:t>
      </w:r>
      <w:r w:rsidR="002A7364">
        <w:t>’</w:t>
      </w:r>
      <w:r w:rsidR="0072340A" w:rsidRPr="00F21303">
        <w:t>innovation de produits.</w:t>
      </w:r>
    </w:p>
    <w:p w14:paraId="095BC5B9" w14:textId="4ADA78C2" w:rsidR="002A7364" w:rsidRDefault="0072340A" w:rsidP="00B35232">
      <w:pPr>
        <w:pStyle w:val="ONUMFS"/>
        <w:numPr>
          <w:ilvl w:val="0"/>
          <w:numId w:val="0"/>
        </w:numPr>
      </w:pPr>
      <w:r w:rsidRPr="00F21303">
        <w:t>Les personnes interrogées ont indiqué que le Chili comptait suffisamment de personnes compétentes pour donner des conseils juridiques et techniques appropriés en matière de propriété intellectuel</w:t>
      </w:r>
      <w:r w:rsidR="00DA65E5" w:rsidRPr="00F21303">
        <w:t>le</w:t>
      </w:r>
      <w:r w:rsidR="00DA65E5">
        <w:t xml:space="preserve">.  </w:t>
      </w:r>
      <w:r w:rsidR="00DA65E5" w:rsidRPr="00F21303">
        <w:t>To</w:t>
      </w:r>
      <w:r w:rsidR="00CF2A25" w:rsidRPr="00F21303">
        <w:t xml:space="preserve">utefois, certaines personnes interrogées ont déclaré que le pays ne disposait pas des capacités requises pour </w:t>
      </w:r>
      <w:r w:rsidR="00F6397C">
        <w:t>la mise</w:t>
      </w:r>
      <w:r w:rsidR="00CF2A25" w:rsidRPr="00F21303">
        <w:t xml:space="preserve"> au point de modèles commerciaux tirant pleinement parti du potentiel économique des actifs de propriété intellectuelle.</w:t>
      </w:r>
    </w:p>
    <w:p w14:paraId="7D498C20" w14:textId="244529FD" w:rsidR="00B35232" w:rsidRDefault="00375460" w:rsidP="00B35232">
      <w:pPr>
        <w:pStyle w:val="ONUMFS"/>
        <w:numPr>
          <w:ilvl w:val="0"/>
          <w:numId w:val="0"/>
        </w:numPr>
      </w:pPr>
      <w:r w:rsidRPr="00F21303">
        <w:t>L</w:t>
      </w:r>
      <w:r w:rsidR="002A7364">
        <w:t>’</w:t>
      </w:r>
      <w:r w:rsidRPr="00F21303">
        <w:t>étude présente également quatre</w:t>
      </w:r>
      <w:r w:rsidR="003A422A">
        <w:t> </w:t>
      </w:r>
      <w:r w:rsidRPr="00F21303">
        <w:t xml:space="preserve">études de cas décrivant les efforts </w:t>
      </w:r>
      <w:r w:rsidR="00D043C4">
        <w:t>déployés</w:t>
      </w:r>
      <w:r w:rsidR="00D043C4" w:rsidRPr="00F21303">
        <w:t xml:space="preserve"> </w:t>
      </w:r>
      <w:r w:rsidRPr="00F21303">
        <w:t>en matière d</w:t>
      </w:r>
      <w:r w:rsidR="002A7364">
        <w:t>’</w:t>
      </w:r>
      <w:r w:rsidRPr="00F21303">
        <w:t>innovation de produits et de procédés par quatre</w:t>
      </w:r>
      <w:r w:rsidR="003A422A">
        <w:t> </w:t>
      </w:r>
      <w:r w:rsidRPr="00F21303">
        <w:t xml:space="preserve">fournisseurs miniers (dont une université), </w:t>
      </w:r>
      <w:r w:rsidR="008016EA">
        <w:t xml:space="preserve">ainsi que </w:t>
      </w:r>
      <w:r w:rsidRPr="00F21303">
        <w:t>le</w:t>
      </w:r>
      <w:r w:rsidR="00D043C4">
        <w:t>ur</w:t>
      </w:r>
      <w:r w:rsidRPr="00F21303">
        <w:t xml:space="preserve">s partenaires, les difficultés rencontrées et les stratégies de protection de la propriété intellectuelle </w:t>
      </w:r>
      <w:r w:rsidR="00F6397C">
        <w:t>suivies par</w:t>
      </w:r>
      <w:r w:rsidRPr="00F21303">
        <w:t xml:space="preserve"> chacun d</w:t>
      </w:r>
      <w:r w:rsidR="002A7364">
        <w:t>’</w:t>
      </w:r>
      <w:r w:rsidRPr="00F21303">
        <w:t>entre e</w:t>
      </w:r>
      <w:r w:rsidR="00DA65E5" w:rsidRPr="00F21303">
        <w:t>ux</w:t>
      </w:r>
      <w:r w:rsidR="00DA65E5">
        <w:t xml:space="preserve">.  </w:t>
      </w:r>
      <w:r w:rsidR="00DA65E5" w:rsidRPr="00F21303">
        <w:t>Ce</w:t>
      </w:r>
      <w:r w:rsidR="00705B08" w:rsidRPr="00F21303">
        <w:t xml:space="preserve">rtaines de ces entreprises ont conclu des accords de coopération avec des chercheurs rattachés à des universités ou </w:t>
      </w:r>
      <w:r w:rsidR="00F6397C">
        <w:t xml:space="preserve">à </w:t>
      </w:r>
      <w:r w:rsidR="00705B08" w:rsidRPr="00F21303">
        <w:t>des centres de recherche et l</w:t>
      </w:r>
      <w:r w:rsidR="002A7364">
        <w:t>’</w:t>
      </w:r>
      <w:r w:rsidR="00705B08" w:rsidRPr="00F21303">
        <w:t>une d</w:t>
      </w:r>
      <w:r w:rsidR="002A7364">
        <w:t>’</w:t>
      </w:r>
      <w:r w:rsidR="00705B08" w:rsidRPr="00F21303">
        <w:t>entre elle</w:t>
      </w:r>
      <w:r w:rsidR="00F6397C">
        <w:t>s</w:t>
      </w:r>
      <w:r w:rsidR="00705B08" w:rsidRPr="00F21303">
        <w:t xml:space="preserve"> a </w:t>
      </w:r>
      <w:r w:rsidR="00D043C4">
        <w:t>pour l</w:t>
      </w:r>
      <w:r w:rsidR="002A7364">
        <w:t>’</w:t>
      </w:r>
      <w:r w:rsidR="00D043C4">
        <w:t>essentiel</w:t>
      </w:r>
      <w:r w:rsidR="00705B08" w:rsidRPr="00F21303">
        <w:t xml:space="preserve"> utilisé ses propres compétences en matière de recherc</w:t>
      </w:r>
      <w:r w:rsidR="00DA65E5" w:rsidRPr="00F21303">
        <w:t>he</w:t>
      </w:r>
      <w:r w:rsidR="00DA65E5">
        <w:t xml:space="preserve">.  </w:t>
      </w:r>
      <w:r w:rsidR="00DA65E5" w:rsidRPr="00F21303">
        <w:t>La</w:t>
      </w:r>
      <w:r w:rsidR="00705B08" w:rsidRPr="00F21303">
        <w:t xml:space="preserve"> forme de protection de la propriété intellectuelle choisie et l</w:t>
      </w:r>
      <w:r w:rsidR="002A7364">
        <w:t>’</w:t>
      </w:r>
      <w:r w:rsidR="00705B08" w:rsidRPr="00F21303">
        <w:t xml:space="preserve">intention de vendre ou de concéder des licences sont en grande partie liées à des </w:t>
      </w:r>
      <w:r w:rsidR="00F6397C">
        <w:t>facteurs tels que</w:t>
      </w:r>
      <w:r w:rsidR="00705B08" w:rsidRPr="00F21303">
        <w:t xml:space="preserve"> le type d</w:t>
      </w:r>
      <w:r w:rsidR="002A7364">
        <w:t>’</w:t>
      </w:r>
      <w:r w:rsidR="00705B08" w:rsidRPr="00F21303">
        <w:t>innovation et le marché concerné.</w:t>
      </w:r>
    </w:p>
    <w:p w14:paraId="0D2B3FAB" w14:textId="0E9B8E67" w:rsidR="00B35232" w:rsidRDefault="00705B08" w:rsidP="00B35232">
      <w:pPr>
        <w:pStyle w:val="ONUMFS"/>
        <w:numPr>
          <w:ilvl w:val="0"/>
          <w:numId w:val="0"/>
        </w:numPr>
      </w:pPr>
      <w:r w:rsidRPr="00F21303">
        <w:t>Cette étude constitue une première tentative d</w:t>
      </w:r>
      <w:r w:rsidR="002A7364">
        <w:t>’</w:t>
      </w:r>
      <w:r w:rsidRPr="00F21303">
        <w:t>analyse empirique de ces questions dans un pays moins avan</w:t>
      </w:r>
      <w:r w:rsidR="00DA65E5" w:rsidRPr="00F21303">
        <w:t>cé</w:t>
      </w:r>
      <w:r w:rsidR="00DA65E5">
        <w:t xml:space="preserve">.  </w:t>
      </w:r>
      <w:r w:rsidR="00DA65E5" w:rsidRPr="00F21303">
        <w:t>D</w:t>
      </w:r>
      <w:r w:rsidR="00DA65E5">
        <w:t>’a</w:t>
      </w:r>
      <w:r w:rsidR="00F6397C">
        <w:t xml:space="preserve">utres </w:t>
      </w:r>
      <w:r w:rsidRPr="00F21303">
        <w:t xml:space="preserve">efforts de recherche devraient </w:t>
      </w:r>
      <w:r w:rsidR="00F6397C">
        <w:t>permettre d</w:t>
      </w:r>
      <w:r w:rsidR="002A7364">
        <w:t>’</w:t>
      </w:r>
      <w:r w:rsidRPr="00F21303">
        <w:t xml:space="preserve">élargir la portée de </w:t>
      </w:r>
      <w:r w:rsidRPr="00F21303">
        <w:lastRenderedPageBreak/>
        <w:t>l</w:t>
      </w:r>
      <w:r w:rsidR="002A7364">
        <w:t>’</w:t>
      </w:r>
      <w:r w:rsidRPr="00F21303">
        <w:t xml:space="preserve">analyse en se </w:t>
      </w:r>
      <w:r w:rsidR="00F6397C">
        <w:t>fondant</w:t>
      </w:r>
      <w:r w:rsidRPr="00F21303">
        <w:t xml:space="preserve"> sur des données plus précises.</w:t>
      </w:r>
      <w:r w:rsidR="009F5287" w:rsidRPr="00F21303">
        <w:t xml:space="preserve"> </w:t>
      </w:r>
      <w:r w:rsidR="007A1559" w:rsidRPr="00F21303">
        <w:t xml:space="preserve"> </w:t>
      </w:r>
      <w:r w:rsidRPr="00F21303">
        <w:t>L</w:t>
      </w:r>
      <w:r w:rsidR="002A7364">
        <w:t>’</w:t>
      </w:r>
      <w:r w:rsidRPr="00F21303">
        <w:t>INAPI a créé une riche base de données qui permettra d</w:t>
      </w:r>
      <w:r w:rsidR="002A7364">
        <w:t>’</w:t>
      </w:r>
      <w:r w:rsidRPr="00F21303">
        <w:t>étendre prochainement l</w:t>
      </w:r>
      <w:r w:rsidR="002A7364">
        <w:t>’</w:t>
      </w:r>
      <w:r w:rsidRPr="00F21303">
        <w:t>analyse à toutes les formes de droits de propriété intellectuelle.</w:t>
      </w:r>
    </w:p>
    <w:p w14:paraId="11598481" w14:textId="10C95FE3" w:rsidR="00B35232" w:rsidRDefault="00B35232" w:rsidP="00B35232"/>
    <w:p w14:paraId="18703D1E" w14:textId="77777777" w:rsidR="00B35232" w:rsidRDefault="00B35232" w:rsidP="00B35232"/>
    <w:p w14:paraId="3F0FA955" w14:textId="503E7F2F" w:rsidR="00A835DE" w:rsidRPr="0095079D" w:rsidRDefault="00705B08" w:rsidP="00B35232">
      <w:pPr>
        <w:pStyle w:val="Endofdocument-Annex"/>
        <w:rPr>
          <w:lang w:val="fr-CH"/>
        </w:rPr>
      </w:pPr>
      <w:r w:rsidRPr="0095079D">
        <w:rPr>
          <w:lang w:val="fr-CH"/>
        </w:rPr>
        <w:t>[Fin de l</w:t>
      </w:r>
      <w:r w:rsidR="002A7364" w:rsidRPr="0095079D">
        <w:rPr>
          <w:lang w:val="fr-CH"/>
        </w:rPr>
        <w:t>’</w:t>
      </w:r>
      <w:r w:rsidRPr="0095079D">
        <w:rPr>
          <w:lang w:val="fr-CH"/>
        </w:rPr>
        <w:t>annexe et du document]</w:t>
      </w:r>
    </w:p>
    <w:sectPr w:rsidR="00A835DE" w:rsidRPr="0095079D" w:rsidSect="00B35232">
      <w:headerReference w:type="default" r:id="rId15"/>
      <w:headerReference w:type="first" r:id="rId16"/>
      <w:pgSz w:w="11906" w:h="16840" w:code="9"/>
      <w:pgMar w:top="567" w:right="1134" w:bottom="1417" w:left="1417" w:header="510" w:footer="10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C0C4D" w14:textId="77777777" w:rsidR="00040B47" w:rsidRDefault="00040B47">
      <w:r>
        <w:separator/>
      </w:r>
    </w:p>
  </w:endnote>
  <w:endnote w:type="continuationSeparator" w:id="0">
    <w:p w14:paraId="4B825AF3" w14:textId="77777777" w:rsidR="00040B47" w:rsidRDefault="00040B47">
      <w:r>
        <w:continuationSeparator/>
      </w:r>
    </w:p>
  </w:endnote>
  <w:endnote w:type="continuationNotice" w:id="1">
    <w:p w14:paraId="69AF4CCC" w14:textId="77777777" w:rsidR="00DA65E5" w:rsidRDefault="00DA65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????¡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E9433" w14:textId="77777777" w:rsidR="00F0760D" w:rsidRDefault="00F076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BC677" w14:textId="77777777" w:rsidR="00040B47" w:rsidRDefault="00040B47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76FF4" w14:textId="77777777" w:rsidR="00F0760D" w:rsidRDefault="00F076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EC651" w14:textId="77777777" w:rsidR="00040B47" w:rsidRDefault="00040B47">
      <w:r>
        <w:separator/>
      </w:r>
    </w:p>
  </w:footnote>
  <w:footnote w:type="continuationSeparator" w:id="0">
    <w:p w14:paraId="150F7D6D" w14:textId="77777777" w:rsidR="00040B47" w:rsidRDefault="00040B47">
      <w:r>
        <w:continuationSeparator/>
      </w:r>
    </w:p>
  </w:footnote>
  <w:footnote w:type="continuationNotice" w:id="1">
    <w:p w14:paraId="4CCCE640" w14:textId="77777777" w:rsidR="00DA65E5" w:rsidRDefault="00DA65E5"/>
  </w:footnote>
  <w:footnote w:id="2">
    <w:p w14:paraId="7F972235" w14:textId="31B5242D" w:rsidR="00CA7364" w:rsidRPr="00977578" w:rsidRDefault="00CA7364" w:rsidP="00CA7364">
      <w:pPr>
        <w:pStyle w:val="FootnoteText"/>
      </w:pPr>
      <w:r w:rsidRPr="00977578">
        <w:rPr>
          <w:rStyle w:val="FootnoteReference"/>
        </w:rPr>
        <w:footnoteRef/>
      </w:r>
      <w:r w:rsidRPr="00977578">
        <w:t xml:space="preserve"> </w:t>
      </w:r>
      <w:r w:rsidR="00B35232">
        <w:tab/>
      </w:r>
      <w:r w:rsidRPr="00977578">
        <w:t>Le Bureau régional pour l</w:t>
      </w:r>
      <w:r w:rsidR="00662168">
        <w:t>’</w:t>
      </w:r>
      <w:r w:rsidRPr="00977578">
        <w:t>Amérique latine et les Caraïbes a fourni un appui pour la participation à cette conférence.</w:t>
      </w:r>
    </w:p>
  </w:footnote>
  <w:footnote w:id="3">
    <w:p w14:paraId="43DEA418" w14:textId="3DC69586" w:rsidR="00CA7364" w:rsidRPr="00977578" w:rsidRDefault="00CA7364" w:rsidP="007E419B">
      <w:pPr>
        <w:pStyle w:val="FootnoteText"/>
      </w:pPr>
      <w:r w:rsidRPr="00977578">
        <w:rPr>
          <w:rStyle w:val="FootnoteReference"/>
        </w:rPr>
        <w:footnoteRef/>
      </w:r>
      <w:r w:rsidRPr="00977578">
        <w:t xml:space="preserve"> </w:t>
      </w:r>
      <w:r w:rsidR="00B35232">
        <w:tab/>
      </w:r>
      <w:r w:rsidR="007E419B" w:rsidRPr="00977578">
        <w:t xml:space="preserve">Voir </w:t>
      </w:r>
      <w:hyperlink r:id="rId1" w:history="1">
        <w:r w:rsidR="007E419B" w:rsidRPr="00B35232">
          <w:rPr>
            <w:rStyle w:val="Hyperlink"/>
          </w:rPr>
          <w:t>https://www.wipo.int/publications/fr/series/index.jsp?id=138&amp;sort=code</w:t>
        </w:r>
      </w:hyperlink>
      <w:r w:rsidR="007E419B" w:rsidRPr="00977578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55A23" w14:textId="77777777" w:rsidR="00F0760D" w:rsidRDefault="00F076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46018" w14:textId="77777777" w:rsidR="00B35232" w:rsidRPr="00262966" w:rsidRDefault="00B35232" w:rsidP="00B35232">
    <w:pPr>
      <w:tabs>
        <w:tab w:val="center" w:pos="4536"/>
        <w:tab w:val="right" w:pos="9072"/>
      </w:tabs>
      <w:jc w:val="right"/>
    </w:pPr>
    <w:r w:rsidRPr="00262966">
      <w:t>CDIP/2</w:t>
    </w:r>
    <w:r>
      <w:t>3</w:t>
    </w:r>
    <w:r w:rsidRPr="00262966">
      <w:t>/</w:t>
    </w:r>
    <w:r>
      <w:t>INF/2</w:t>
    </w:r>
  </w:p>
  <w:p w14:paraId="6A177E2A" w14:textId="7F2D5B93" w:rsidR="00B35232" w:rsidRDefault="00B35232" w:rsidP="00B35232">
    <w:pPr>
      <w:tabs>
        <w:tab w:val="center" w:pos="4536"/>
        <w:tab w:val="right" w:pos="9072"/>
      </w:tabs>
      <w:jc w:val="right"/>
      <w:rPr>
        <w:noProof/>
      </w:rPr>
    </w:pPr>
    <w:r w:rsidRPr="00262966">
      <w:t xml:space="preserve">page </w:t>
    </w:r>
    <w:r w:rsidRPr="00262966">
      <w:fldChar w:fldCharType="begin"/>
    </w:r>
    <w:r w:rsidRPr="00262966">
      <w:instrText xml:space="preserve"> PAGE   \* MERGEFORMAT </w:instrText>
    </w:r>
    <w:r w:rsidRPr="00262966">
      <w:fldChar w:fldCharType="separate"/>
    </w:r>
    <w:r>
      <w:rPr>
        <w:noProof/>
      </w:rPr>
      <w:t>2</w:t>
    </w:r>
    <w:r w:rsidRPr="00262966">
      <w:rPr>
        <w:noProof/>
      </w:rPr>
      <w:fldChar w:fldCharType="end"/>
    </w:r>
  </w:p>
  <w:p w14:paraId="224FFE6E" w14:textId="77777777" w:rsidR="00B35232" w:rsidRDefault="00B35232" w:rsidP="00B35232">
    <w:pPr>
      <w:tabs>
        <w:tab w:val="center" w:pos="4536"/>
        <w:tab w:val="right" w:pos="9072"/>
      </w:tabs>
      <w:jc w:val="right"/>
      <w:rPr>
        <w:noProof/>
      </w:rPr>
    </w:pPr>
  </w:p>
  <w:p w14:paraId="71E08E63" w14:textId="77777777" w:rsidR="00B35232" w:rsidRDefault="00B35232" w:rsidP="00B35232">
    <w:pPr>
      <w:tabs>
        <w:tab w:val="center" w:pos="4536"/>
        <w:tab w:val="right" w:pos="9072"/>
      </w:tabs>
      <w:jc w:val="right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BBD9D" w14:textId="77777777" w:rsidR="00F0760D" w:rsidRDefault="00F0760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20260" w14:textId="77777777" w:rsidR="00B35232" w:rsidRPr="00262966" w:rsidRDefault="00B35232" w:rsidP="00B35232">
    <w:pPr>
      <w:tabs>
        <w:tab w:val="center" w:pos="4536"/>
        <w:tab w:val="right" w:pos="9072"/>
      </w:tabs>
      <w:jc w:val="right"/>
    </w:pPr>
    <w:r w:rsidRPr="00262966">
      <w:t>CDIP/2</w:t>
    </w:r>
    <w:r>
      <w:t>3</w:t>
    </w:r>
    <w:r w:rsidRPr="00262966">
      <w:t>/</w:t>
    </w:r>
    <w:r>
      <w:t>INF/2</w:t>
    </w:r>
  </w:p>
  <w:p w14:paraId="58D1FF1B" w14:textId="7727904B" w:rsidR="00B35232" w:rsidRDefault="00B35232" w:rsidP="00B35232">
    <w:pPr>
      <w:tabs>
        <w:tab w:val="center" w:pos="4536"/>
        <w:tab w:val="right" w:pos="9072"/>
      </w:tabs>
      <w:jc w:val="right"/>
      <w:rPr>
        <w:noProof/>
      </w:rPr>
    </w:pPr>
    <w:r>
      <w:t>Annexe</w:t>
    </w:r>
    <w:r w:rsidRPr="00262966">
      <w:t xml:space="preserve">, page </w:t>
    </w:r>
    <w:r w:rsidRPr="00262966">
      <w:fldChar w:fldCharType="begin"/>
    </w:r>
    <w:r w:rsidRPr="00262966">
      <w:instrText xml:space="preserve"> PAGE   \* MERGEFORMAT </w:instrText>
    </w:r>
    <w:r w:rsidRPr="00262966">
      <w:fldChar w:fldCharType="separate"/>
    </w:r>
    <w:r w:rsidR="0095079D">
      <w:rPr>
        <w:noProof/>
      </w:rPr>
      <w:t>8</w:t>
    </w:r>
    <w:r w:rsidRPr="00262966">
      <w:rPr>
        <w:noProof/>
      </w:rPr>
      <w:fldChar w:fldCharType="end"/>
    </w:r>
  </w:p>
  <w:p w14:paraId="0B348DAC" w14:textId="77777777" w:rsidR="00B35232" w:rsidRDefault="00B35232" w:rsidP="00B35232">
    <w:pPr>
      <w:tabs>
        <w:tab w:val="center" w:pos="4536"/>
        <w:tab w:val="right" w:pos="9072"/>
      </w:tabs>
      <w:jc w:val="right"/>
      <w:rPr>
        <w:noProof/>
      </w:rPr>
    </w:pPr>
  </w:p>
  <w:p w14:paraId="7A2BB14F" w14:textId="77777777" w:rsidR="00B35232" w:rsidRDefault="00B35232" w:rsidP="00B35232">
    <w:pPr>
      <w:tabs>
        <w:tab w:val="center" w:pos="4536"/>
        <w:tab w:val="right" w:pos="9072"/>
      </w:tabs>
      <w:jc w:val="right"/>
      <w:rPr>
        <w:noProof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B2EA4" w14:textId="27A99D04" w:rsidR="00040B47" w:rsidRPr="00262966" w:rsidRDefault="00040B47" w:rsidP="00262966">
    <w:pPr>
      <w:tabs>
        <w:tab w:val="center" w:pos="4536"/>
        <w:tab w:val="right" w:pos="9072"/>
      </w:tabs>
      <w:jc w:val="right"/>
    </w:pPr>
    <w:r w:rsidRPr="00262966">
      <w:t>CDIP/2</w:t>
    </w:r>
    <w:r w:rsidR="00BB4085">
      <w:t>3</w:t>
    </w:r>
    <w:r w:rsidRPr="00262966">
      <w:t>/</w:t>
    </w:r>
    <w:r w:rsidRPr="006E7A3C">
      <w:t>INF/</w:t>
    </w:r>
    <w:r w:rsidR="00BB4085">
      <w:t>2</w:t>
    </w:r>
  </w:p>
  <w:p w14:paraId="4A241F74" w14:textId="329EDC11" w:rsidR="00040B47" w:rsidRDefault="00040B47" w:rsidP="00BB4085">
    <w:pPr>
      <w:tabs>
        <w:tab w:val="center" w:pos="4536"/>
        <w:tab w:val="right" w:pos="9072"/>
      </w:tabs>
      <w:jc w:val="right"/>
    </w:pPr>
    <w:r>
      <w:t>ANNEX</w:t>
    </w:r>
    <w:r w:rsidR="00EC2323">
      <w:t>E</w:t>
    </w:r>
  </w:p>
  <w:p w14:paraId="66D783B3" w14:textId="52D67A03" w:rsidR="00040B47" w:rsidRDefault="00040B47" w:rsidP="00262966">
    <w:pPr>
      <w:tabs>
        <w:tab w:val="center" w:pos="4536"/>
        <w:tab w:val="right" w:pos="9072"/>
      </w:tabs>
      <w:jc w:val="right"/>
    </w:pPr>
  </w:p>
  <w:p w14:paraId="09139471" w14:textId="77777777" w:rsidR="00B35232" w:rsidRDefault="00B35232" w:rsidP="00262966">
    <w:pPr>
      <w:tabs>
        <w:tab w:val="center" w:pos="4536"/>
        <w:tab w:val="right" w:pos="907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022B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2480EA4"/>
    <w:multiLevelType w:val="hybridMultilevel"/>
    <w:tmpl w:val="15A263DC"/>
    <w:lvl w:ilvl="0" w:tplc="3CAC020E">
      <w:start w:val="1"/>
      <w:numFmt w:val="decimal"/>
      <w:lvlText w:val="(%1)"/>
      <w:lvlJc w:val="left"/>
      <w:pPr>
        <w:ind w:left="420" w:hanging="360"/>
      </w:p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95C60D9"/>
    <w:multiLevelType w:val="hybridMultilevel"/>
    <w:tmpl w:val="4212F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217D6"/>
    <w:multiLevelType w:val="hybridMultilevel"/>
    <w:tmpl w:val="41745E0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37921EF4"/>
    <w:multiLevelType w:val="hybridMultilevel"/>
    <w:tmpl w:val="74ECE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028A5"/>
    <w:multiLevelType w:val="hybridMultilevel"/>
    <w:tmpl w:val="57EA0C4E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12860"/>
    <w:multiLevelType w:val="hybridMultilevel"/>
    <w:tmpl w:val="8752EC3C"/>
    <w:lvl w:ilvl="0" w:tplc="5688F460">
      <w:start w:val="1"/>
      <w:numFmt w:val="lowerRoman"/>
      <w:lvlText w:val="%1."/>
      <w:lvlJc w:val="left"/>
      <w:pPr>
        <w:ind w:left="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3B7A7BCB"/>
    <w:multiLevelType w:val="hybridMultilevel"/>
    <w:tmpl w:val="00A88F7A"/>
    <w:lvl w:ilvl="0" w:tplc="18090017">
      <w:start w:val="1"/>
      <w:numFmt w:val="lowerLetter"/>
      <w:lvlText w:val="%1)"/>
      <w:lvlJc w:val="left"/>
      <w:pPr>
        <w:ind w:left="360" w:hanging="360"/>
      </w:p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>
      <w:start w:val="1"/>
      <w:numFmt w:val="lowerRoman"/>
      <w:lvlText w:val="%3."/>
      <w:lvlJc w:val="right"/>
      <w:pPr>
        <w:ind w:left="1800" w:hanging="180"/>
      </w:pPr>
    </w:lvl>
    <w:lvl w:ilvl="3" w:tplc="1809000F">
      <w:start w:val="1"/>
      <w:numFmt w:val="decimal"/>
      <w:lvlText w:val="%4."/>
      <w:lvlJc w:val="left"/>
      <w:pPr>
        <w:ind w:left="2520" w:hanging="360"/>
      </w:pPr>
    </w:lvl>
    <w:lvl w:ilvl="4" w:tplc="18090019">
      <w:start w:val="1"/>
      <w:numFmt w:val="lowerLetter"/>
      <w:lvlText w:val="%5."/>
      <w:lvlJc w:val="left"/>
      <w:pPr>
        <w:ind w:left="3240" w:hanging="360"/>
      </w:pPr>
    </w:lvl>
    <w:lvl w:ilvl="5" w:tplc="1809001B">
      <w:start w:val="1"/>
      <w:numFmt w:val="lowerRoman"/>
      <w:lvlText w:val="%6."/>
      <w:lvlJc w:val="right"/>
      <w:pPr>
        <w:ind w:left="3960" w:hanging="180"/>
      </w:pPr>
    </w:lvl>
    <w:lvl w:ilvl="6" w:tplc="1809000F">
      <w:start w:val="1"/>
      <w:numFmt w:val="decimal"/>
      <w:lvlText w:val="%7."/>
      <w:lvlJc w:val="left"/>
      <w:pPr>
        <w:ind w:left="4680" w:hanging="360"/>
      </w:pPr>
    </w:lvl>
    <w:lvl w:ilvl="7" w:tplc="18090019">
      <w:start w:val="1"/>
      <w:numFmt w:val="lowerLetter"/>
      <w:lvlText w:val="%8."/>
      <w:lvlJc w:val="left"/>
      <w:pPr>
        <w:ind w:left="5400" w:hanging="360"/>
      </w:pPr>
    </w:lvl>
    <w:lvl w:ilvl="8" w:tplc="18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DB5038"/>
    <w:multiLevelType w:val="hybridMultilevel"/>
    <w:tmpl w:val="459CF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D0969"/>
    <w:multiLevelType w:val="hybridMultilevel"/>
    <w:tmpl w:val="5F026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66304F"/>
    <w:multiLevelType w:val="hybridMultilevel"/>
    <w:tmpl w:val="F10A967A"/>
    <w:lvl w:ilvl="0" w:tplc="7346C5D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5010C"/>
    <w:multiLevelType w:val="hybridMultilevel"/>
    <w:tmpl w:val="B80E6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E463F8"/>
    <w:multiLevelType w:val="hybridMultilevel"/>
    <w:tmpl w:val="CB1EC6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6546CC"/>
    <w:multiLevelType w:val="hybridMultilevel"/>
    <w:tmpl w:val="70F2762C"/>
    <w:lvl w:ilvl="0" w:tplc="F1C847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210F3D"/>
    <w:multiLevelType w:val="hybridMultilevel"/>
    <w:tmpl w:val="0EBC8112"/>
    <w:lvl w:ilvl="0" w:tplc="7346C5D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061A2"/>
    <w:multiLevelType w:val="hybridMultilevel"/>
    <w:tmpl w:val="97725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CC03E7"/>
    <w:multiLevelType w:val="hybridMultilevel"/>
    <w:tmpl w:val="D42C56DC"/>
    <w:lvl w:ilvl="0" w:tplc="7346C5D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7F57D3"/>
    <w:multiLevelType w:val="hybridMultilevel"/>
    <w:tmpl w:val="29B8E1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4F05B2C"/>
    <w:multiLevelType w:val="hybridMultilevel"/>
    <w:tmpl w:val="AD506A62"/>
    <w:lvl w:ilvl="0" w:tplc="F4E48578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4A65DC"/>
    <w:multiLevelType w:val="hybridMultilevel"/>
    <w:tmpl w:val="F20E922C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3" w15:restartNumberingAfterBreak="0">
    <w:nsid w:val="7EE45220"/>
    <w:multiLevelType w:val="hybridMultilevel"/>
    <w:tmpl w:val="A3E04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6"/>
  </w:num>
  <w:num w:numId="5">
    <w:abstractNumId w:val="13"/>
  </w:num>
  <w:num w:numId="6">
    <w:abstractNumId w:val="19"/>
  </w:num>
  <w:num w:numId="7">
    <w:abstractNumId w:val="17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</w:num>
  <w:num w:numId="12">
    <w:abstractNumId w:val="4"/>
  </w:num>
  <w:num w:numId="13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0"/>
  </w:num>
  <w:num w:numId="25">
    <w:abstractNumId w:val="22"/>
  </w:num>
  <w:num w:numId="26">
    <w:abstractNumId w:val="5"/>
  </w:num>
  <w:num w:numId="27">
    <w:abstractNumId w:val="8"/>
  </w:num>
  <w:num w:numId="28">
    <w:abstractNumId w:val="15"/>
  </w:num>
  <w:num w:numId="29">
    <w:abstractNumId w:val="23"/>
  </w:num>
  <w:num w:numId="30">
    <w:abstractNumId w:val="21"/>
  </w:num>
  <w:num w:numId="31">
    <w:abstractNumId w:val="8"/>
  </w:num>
  <w:num w:numId="32">
    <w:abstractNumId w:val="0"/>
  </w:num>
  <w:num w:numId="33">
    <w:abstractNumId w:val="12"/>
  </w:num>
  <w:num w:numId="34">
    <w:abstractNumId w:val="1"/>
  </w:num>
  <w:num w:numId="35">
    <w:abstractNumId w:val="3"/>
  </w:num>
  <w:num w:numId="36">
    <w:abstractNumId w:val="14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567"/>
  <w:hyphenationZone w:val="283"/>
  <w:characterSpacingControl w:val="doNotCompress"/>
  <w:hdrShapeDefaults>
    <o:shapedefaults v:ext="edit" spidmax="419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|FR_TermBase|Licence"/>
    <w:docVar w:name="TermBaseURL" w:val="empty"/>
    <w:docVar w:name="TextBases" w:val="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147BE7"/>
    <w:rsid w:val="000009A0"/>
    <w:rsid w:val="00016306"/>
    <w:rsid w:val="000166E9"/>
    <w:rsid w:val="0002030D"/>
    <w:rsid w:val="000242FE"/>
    <w:rsid w:val="000259CE"/>
    <w:rsid w:val="00040B47"/>
    <w:rsid w:val="0004329F"/>
    <w:rsid w:val="00051642"/>
    <w:rsid w:val="00057135"/>
    <w:rsid w:val="00060879"/>
    <w:rsid w:val="00065AF3"/>
    <w:rsid w:val="00070779"/>
    <w:rsid w:val="00074A27"/>
    <w:rsid w:val="00075CDB"/>
    <w:rsid w:val="00080B28"/>
    <w:rsid w:val="000931D7"/>
    <w:rsid w:val="000960A9"/>
    <w:rsid w:val="000A34C2"/>
    <w:rsid w:val="000B1407"/>
    <w:rsid w:val="000B247F"/>
    <w:rsid w:val="000C5737"/>
    <w:rsid w:val="000D0AC9"/>
    <w:rsid w:val="000D158D"/>
    <w:rsid w:val="000E0669"/>
    <w:rsid w:val="000E1D2C"/>
    <w:rsid w:val="000E30B3"/>
    <w:rsid w:val="000E451C"/>
    <w:rsid w:val="000E716D"/>
    <w:rsid w:val="00101B45"/>
    <w:rsid w:val="00104ECC"/>
    <w:rsid w:val="0011015F"/>
    <w:rsid w:val="001115F0"/>
    <w:rsid w:val="00112DF6"/>
    <w:rsid w:val="0012296F"/>
    <w:rsid w:val="0012383D"/>
    <w:rsid w:val="00132A79"/>
    <w:rsid w:val="0013329A"/>
    <w:rsid w:val="00136225"/>
    <w:rsid w:val="0014160C"/>
    <w:rsid w:val="0014727B"/>
    <w:rsid w:val="00147B38"/>
    <w:rsid w:val="00147BE7"/>
    <w:rsid w:val="0015428A"/>
    <w:rsid w:val="00155385"/>
    <w:rsid w:val="001566C9"/>
    <w:rsid w:val="00156994"/>
    <w:rsid w:val="00172E16"/>
    <w:rsid w:val="00183FD8"/>
    <w:rsid w:val="00186CAE"/>
    <w:rsid w:val="001A0084"/>
    <w:rsid w:val="001A7633"/>
    <w:rsid w:val="001B5740"/>
    <w:rsid w:val="001C0C75"/>
    <w:rsid w:val="001C6CCD"/>
    <w:rsid w:val="001D2A65"/>
    <w:rsid w:val="001D6831"/>
    <w:rsid w:val="001E510C"/>
    <w:rsid w:val="001F2FE4"/>
    <w:rsid w:val="001F68D3"/>
    <w:rsid w:val="001F723F"/>
    <w:rsid w:val="002044EB"/>
    <w:rsid w:val="0023106B"/>
    <w:rsid w:val="00240A5E"/>
    <w:rsid w:val="00241128"/>
    <w:rsid w:val="00242545"/>
    <w:rsid w:val="00253932"/>
    <w:rsid w:val="00260A09"/>
    <w:rsid w:val="00262966"/>
    <w:rsid w:val="00265C2E"/>
    <w:rsid w:val="00266D19"/>
    <w:rsid w:val="00284576"/>
    <w:rsid w:val="00286054"/>
    <w:rsid w:val="0029219C"/>
    <w:rsid w:val="002A4AA2"/>
    <w:rsid w:val="002A7364"/>
    <w:rsid w:val="002B2794"/>
    <w:rsid w:val="002B32DD"/>
    <w:rsid w:val="002B43FB"/>
    <w:rsid w:val="002C4EAD"/>
    <w:rsid w:val="002D5696"/>
    <w:rsid w:val="002E4BAD"/>
    <w:rsid w:val="002F0416"/>
    <w:rsid w:val="002F7A38"/>
    <w:rsid w:val="00300443"/>
    <w:rsid w:val="0030213C"/>
    <w:rsid w:val="003043BF"/>
    <w:rsid w:val="00305C81"/>
    <w:rsid w:val="00312516"/>
    <w:rsid w:val="003132CD"/>
    <w:rsid w:val="00320791"/>
    <w:rsid w:val="0032189E"/>
    <w:rsid w:val="003236E8"/>
    <w:rsid w:val="00325954"/>
    <w:rsid w:val="00330B5C"/>
    <w:rsid w:val="0034578B"/>
    <w:rsid w:val="00354881"/>
    <w:rsid w:val="00371DB6"/>
    <w:rsid w:val="00372CBE"/>
    <w:rsid w:val="003732F1"/>
    <w:rsid w:val="003738D2"/>
    <w:rsid w:val="00375460"/>
    <w:rsid w:val="003758A6"/>
    <w:rsid w:val="00384197"/>
    <w:rsid w:val="00396B8C"/>
    <w:rsid w:val="00396EB6"/>
    <w:rsid w:val="003A422A"/>
    <w:rsid w:val="003B13DD"/>
    <w:rsid w:val="003B1A5E"/>
    <w:rsid w:val="003B2C76"/>
    <w:rsid w:val="003B79D8"/>
    <w:rsid w:val="003C2782"/>
    <w:rsid w:val="003D0CCD"/>
    <w:rsid w:val="003D7162"/>
    <w:rsid w:val="003E1901"/>
    <w:rsid w:val="003E32F8"/>
    <w:rsid w:val="00401815"/>
    <w:rsid w:val="00405733"/>
    <w:rsid w:val="004105BF"/>
    <w:rsid w:val="00411E69"/>
    <w:rsid w:val="004139ED"/>
    <w:rsid w:val="00414DEF"/>
    <w:rsid w:val="00421289"/>
    <w:rsid w:val="0042740B"/>
    <w:rsid w:val="00431CBC"/>
    <w:rsid w:val="00441EC6"/>
    <w:rsid w:val="00450AA4"/>
    <w:rsid w:val="00454F48"/>
    <w:rsid w:val="00456256"/>
    <w:rsid w:val="00462954"/>
    <w:rsid w:val="004756A4"/>
    <w:rsid w:val="0047623E"/>
    <w:rsid w:val="00480368"/>
    <w:rsid w:val="00482262"/>
    <w:rsid w:val="00483DF1"/>
    <w:rsid w:val="0048507E"/>
    <w:rsid w:val="0049394D"/>
    <w:rsid w:val="00493F15"/>
    <w:rsid w:val="004A1262"/>
    <w:rsid w:val="004A23FF"/>
    <w:rsid w:val="004C34D3"/>
    <w:rsid w:val="004D0F42"/>
    <w:rsid w:val="004D489C"/>
    <w:rsid w:val="004D7636"/>
    <w:rsid w:val="004E44DA"/>
    <w:rsid w:val="004E4BC4"/>
    <w:rsid w:val="004E592F"/>
    <w:rsid w:val="004E7E66"/>
    <w:rsid w:val="004F0C75"/>
    <w:rsid w:val="004F440D"/>
    <w:rsid w:val="004F6263"/>
    <w:rsid w:val="0050324D"/>
    <w:rsid w:val="00527197"/>
    <w:rsid w:val="0052767C"/>
    <w:rsid w:val="005324F7"/>
    <w:rsid w:val="005345B6"/>
    <w:rsid w:val="00542CF5"/>
    <w:rsid w:val="0054523B"/>
    <w:rsid w:val="00550AE2"/>
    <w:rsid w:val="00551A56"/>
    <w:rsid w:val="005627E0"/>
    <w:rsid w:val="00575CB6"/>
    <w:rsid w:val="00593BED"/>
    <w:rsid w:val="005A1AC7"/>
    <w:rsid w:val="005A1D90"/>
    <w:rsid w:val="005B24AD"/>
    <w:rsid w:val="005B4A2B"/>
    <w:rsid w:val="005C26E7"/>
    <w:rsid w:val="005D6988"/>
    <w:rsid w:val="005D76BB"/>
    <w:rsid w:val="005E49BD"/>
    <w:rsid w:val="005F0F80"/>
    <w:rsid w:val="00606DE8"/>
    <w:rsid w:val="00610BAE"/>
    <w:rsid w:val="00612115"/>
    <w:rsid w:val="006245C1"/>
    <w:rsid w:val="00635E49"/>
    <w:rsid w:val="0063715A"/>
    <w:rsid w:val="00643D59"/>
    <w:rsid w:val="0065635C"/>
    <w:rsid w:val="00662168"/>
    <w:rsid w:val="00672728"/>
    <w:rsid w:val="00677276"/>
    <w:rsid w:val="006810D2"/>
    <w:rsid w:val="00686648"/>
    <w:rsid w:val="00687806"/>
    <w:rsid w:val="00691C43"/>
    <w:rsid w:val="00697D19"/>
    <w:rsid w:val="006A6D1E"/>
    <w:rsid w:val="006E7A3C"/>
    <w:rsid w:val="006F246A"/>
    <w:rsid w:val="006F77F3"/>
    <w:rsid w:val="00700490"/>
    <w:rsid w:val="00705240"/>
    <w:rsid w:val="00705B08"/>
    <w:rsid w:val="007070E3"/>
    <w:rsid w:val="00710166"/>
    <w:rsid w:val="0071023C"/>
    <w:rsid w:val="007137F0"/>
    <w:rsid w:val="00714150"/>
    <w:rsid w:val="0072340A"/>
    <w:rsid w:val="00745F6E"/>
    <w:rsid w:val="00746D13"/>
    <w:rsid w:val="00755266"/>
    <w:rsid w:val="007615F5"/>
    <w:rsid w:val="00767613"/>
    <w:rsid w:val="00787120"/>
    <w:rsid w:val="00790B44"/>
    <w:rsid w:val="007A1559"/>
    <w:rsid w:val="007A4507"/>
    <w:rsid w:val="007A6BCC"/>
    <w:rsid w:val="007A71ED"/>
    <w:rsid w:val="007C273E"/>
    <w:rsid w:val="007C767E"/>
    <w:rsid w:val="007D161A"/>
    <w:rsid w:val="007D22B1"/>
    <w:rsid w:val="007D3741"/>
    <w:rsid w:val="007D7ACE"/>
    <w:rsid w:val="007E419B"/>
    <w:rsid w:val="007E70D8"/>
    <w:rsid w:val="007F1DC2"/>
    <w:rsid w:val="008016EA"/>
    <w:rsid w:val="00813798"/>
    <w:rsid w:val="008222F8"/>
    <w:rsid w:val="00824155"/>
    <w:rsid w:val="0083273A"/>
    <w:rsid w:val="00832EBB"/>
    <w:rsid w:val="008370EA"/>
    <w:rsid w:val="00840978"/>
    <w:rsid w:val="00847F16"/>
    <w:rsid w:val="00853F2D"/>
    <w:rsid w:val="00860F47"/>
    <w:rsid w:val="0087277A"/>
    <w:rsid w:val="008746C0"/>
    <w:rsid w:val="008770D6"/>
    <w:rsid w:val="008837F1"/>
    <w:rsid w:val="008866BA"/>
    <w:rsid w:val="00887D5C"/>
    <w:rsid w:val="008930B8"/>
    <w:rsid w:val="008A021C"/>
    <w:rsid w:val="008A52CA"/>
    <w:rsid w:val="008A59B8"/>
    <w:rsid w:val="008A7EC3"/>
    <w:rsid w:val="008B4935"/>
    <w:rsid w:val="008B4FD7"/>
    <w:rsid w:val="008C171E"/>
    <w:rsid w:val="008D3642"/>
    <w:rsid w:val="008D5A48"/>
    <w:rsid w:val="008E3333"/>
    <w:rsid w:val="00924B23"/>
    <w:rsid w:val="00925FCB"/>
    <w:rsid w:val="00937F3E"/>
    <w:rsid w:val="00941B26"/>
    <w:rsid w:val="00945C93"/>
    <w:rsid w:val="0095079D"/>
    <w:rsid w:val="00960B3F"/>
    <w:rsid w:val="00977578"/>
    <w:rsid w:val="00980955"/>
    <w:rsid w:val="0098459E"/>
    <w:rsid w:val="00990B15"/>
    <w:rsid w:val="009A0BA9"/>
    <w:rsid w:val="009A2E96"/>
    <w:rsid w:val="009B579B"/>
    <w:rsid w:val="009C2914"/>
    <w:rsid w:val="009C335C"/>
    <w:rsid w:val="009C38AD"/>
    <w:rsid w:val="009C5858"/>
    <w:rsid w:val="009D1E47"/>
    <w:rsid w:val="009D2FCB"/>
    <w:rsid w:val="009D6310"/>
    <w:rsid w:val="009E185B"/>
    <w:rsid w:val="009E2E74"/>
    <w:rsid w:val="009E38A6"/>
    <w:rsid w:val="009E4D0F"/>
    <w:rsid w:val="009E5DB4"/>
    <w:rsid w:val="009F5287"/>
    <w:rsid w:val="009F7E28"/>
    <w:rsid w:val="00A1278D"/>
    <w:rsid w:val="00A15494"/>
    <w:rsid w:val="00A34F69"/>
    <w:rsid w:val="00A413AC"/>
    <w:rsid w:val="00A43819"/>
    <w:rsid w:val="00A62B8C"/>
    <w:rsid w:val="00A65ADF"/>
    <w:rsid w:val="00A72F46"/>
    <w:rsid w:val="00A73EBA"/>
    <w:rsid w:val="00A75380"/>
    <w:rsid w:val="00A80F43"/>
    <w:rsid w:val="00A835DE"/>
    <w:rsid w:val="00A86D3B"/>
    <w:rsid w:val="00A87040"/>
    <w:rsid w:val="00A92C8E"/>
    <w:rsid w:val="00A955A1"/>
    <w:rsid w:val="00A97E04"/>
    <w:rsid w:val="00AA1EE7"/>
    <w:rsid w:val="00AA5186"/>
    <w:rsid w:val="00AB5DFD"/>
    <w:rsid w:val="00AB7DA8"/>
    <w:rsid w:val="00AC4FA9"/>
    <w:rsid w:val="00AD0723"/>
    <w:rsid w:val="00AD1BAA"/>
    <w:rsid w:val="00AD584F"/>
    <w:rsid w:val="00AF1AD4"/>
    <w:rsid w:val="00AF3176"/>
    <w:rsid w:val="00AF4229"/>
    <w:rsid w:val="00AF57DB"/>
    <w:rsid w:val="00B03024"/>
    <w:rsid w:val="00B1737B"/>
    <w:rsid w:val="00B26FC6"/>
    <w:rsid w:val="00B33127"/>
    <w:rsid w:val="00B35232"/>
    <w:rsid w:val="00B36109"/>
    <w:rsid w:val="00B37A35"/>
    <w:rsid w:val="00B46CD7"/>
    <w:rsid w:val="00B72E32"/>
    <w:rsid w:val="00B75F70"/>
    <w:rsid w:val="00B7679D"/>
    <w:rsid w:val="00B83A44"/>
    <w:rsid w:val="00B920E4"/>
    <w:rsid w:val="00BB14DB"/>
    <w:rsid w:val="00BB312C"/>
    <w:rsid w:val="00BB36FF"/>
    <w:rsid w:val="00BB3909"/>
    <w:rsid w:val="00BB4085"/>
    <w:rsid w:val="00BB4408"/>
    <w:rsid w:val="00BC18EB"/>
    <w:rsid w:val="00BC3CAD"/>
    <w:rsid w:val="00BC42BF"/>
    <w:rsid w:val="00BC6E6A"/>
    <w:rsid w:val="00BC7C79"/>
    <w:rsid w:val="00BD4F78"/>
    <w:rsid w:val="00BE3433"/>
    <w:rsid w:val="00BE3F1C"/>
    <w:rsid w:val="00BF2868"/>
    <w:rsid w:val="00BF46C6"/>
    <w:rsid w:val="00BF7EBB"/>
    <w:rsid w:val="00C03F5E"/>
    <w:rsid w:val="00C047AB"/>
    <w:rsid w:val="00C064C0"/>
    <w:rsid w:val="00C06A18"/>
    <w:rsid w:val="00C24098"/>
    <w:rsid w:val="00C31FE1"/>
    <w:rsid w:val="00C41B6E"/>
    <w:rsid w:val="00C41F61"/>
    <w:rsid w:val="00C43A4D"/>
    <w:rsid w:val="00C46C5B"/>
    <w:rsid w:val="00C478FD"/>
    <w:rsid w:val="00C5187D"/>
    <w:rsid w:val="00C539F8"/>
    <w:rsid w:val="00C55652"/>
    <w:rsid w:val="00C6515F"/>
    <w:rsid w:val="00C73AE9"/>
    <w:rsid w:val="00C75A71"/>
    <w:rsid w:val="00C92D85"/>
    <w:rsid w:val="00C932B9"/>
    <w:rsid w:val="00C93E03"/>
    <w:rsid w:val="00CA1DA5"/>
    <w:rsid w:val="00CA7364"/>
    <w:rsid w:val="00CB4F45"/>
    <w:rsid w:val="00CB5434"/>
    <w:rsid w:val="00CC4828"/>
    <w:rsid w:val="00CD154F"/>
    <w:rsid w:val="00CD4015"/>
    <w:rsid w:val="00CD5A2F"/>
    <w:rsid w:val="00CD6985"/>
    <w:rsid w:val="00CF2617"/>
    <w:rsid w:val="00CF2A25"/>
    <w:rsid w:val="00D01819"/>
    <w:rsid w:val="00D02E73"/>
    <w:rsid w:val="00D043C4"/>
    <w:rsid w:val="00D04E6D"/>
    <w:rsid w:val="00D135E6"/>
    <w:rsid w:val="00D16CC3"/>
    <w:rsid w:val="00D22CDB"/>
    <w:rsid w:val="00D24B58"/>
    <w:rsid w:val="00D24EA1"/>
    <w:rsid w:val="00D27239"/>
    <w:rsid w:val="00D31FD2"/>
    <w:rsid w:val="00D331E7"/>
    <w:rsid w:val="00D406BD"/>
    <w:rsid w:val="00D41D38"/>
    <w:rsid w:val="00D53039"/>
    <w:rsid w:val="00D5747D"/>
    <w:rsid w:val="00D6362F"/>
    <w:rsid w:val="00D67626"/>
    <w:rsid w:val="00D703A4"/>
    <w:rsid w:val="00D7507A"/>
    <w:rsid w:val="00D81C24"/>
    <w:rsid w:val="00D82F16"/>
    <w:rsid w:val="00D8508E"/>
    <w:rsid w:val="00D92616"/>
    <w:rsid w:val="00D93233"/>
    <w:rsid w:val="00D9707D"/>
    <w:rsid w:val="00DA0410"/>
    <w:rsid w:val="00DA412F"/>
    <w:rsid w:val="00DA598B"/>
    <w:rsid w:val="00DA65E5"/>
    <w:rsid w:val="00DA69EE"/>
    <w:rsid w:val="00DB3DFF"/>
    <w:rsid w:val="00DC6C24"/>
    <w:rsid w:val="00DD1F10"/>
    <w:rsid w:val="00DD3346"/>
    <w:rsid w:val="00DD4F32"/>
    <w:rsid w:val="00DD67BA"/>
    <w:rsid w:val="00DD7051"/>
    <w:rsid w:val="00DF0541"/>
    <w:rsid w:val="00DF7477"/>
    <w:rsid w:val="00E065CF"/>
    <w:rsid w:val="00E22C1B"/>
    <w:rsid w:val="00E350FB"/>
    <w:rsid w:val="00E404BF"/>
    <w:rsid w:val="00E422F7"/>
    <w:rsid w:val="00E4389C"/>
    <w:rsid w:val="00E46D6D"/>
    <w:rsid w:val="00E644D6"/>
    <w:rsid w:val="00E67D48"/>
    <w:rsid w:val="00E70575"/>
    <w:rsid w:val="00E73B00"/>
    <w:rsid w:val="00E8350E"/>
    <w:rsid w:val="00E86185"/>
    <w:rsid w:val="00E92655"/>
    <w:rsid w:val="00E94E82"/>
    <w:rsid w:val="00E974B6"/>
    <w:rsid w:val="00EA2F5B"/>
    <w:rsid w:val="00EA679B"/>
    <w:rsid w:val="00EB03C8"/>
    <w:rsid w:val="00EC2323"/>
    <w:rsid w:val="00EC3641"/>
    <w:rsid w:val="00EC556E"/>
    <w:rsid w:val="00EC7247"/>
    <w:rsid w:val="00ED73AD"/>
    <w:rsid w:val="00EF45E5"/>
    <w:rsid w:val="00F0760D"/>
    <w:rsid w:val="00F1482F"/>
    <w:rsid w:val="00F15658"/>
    <w:rsid w:val="00F21303"/>
    <w:rsid w:val="00F22375"/>
    <w:rsid w:val="00F26D2D"/>
    <w:rsid w:val="00F318B9"/>
    <w:rsid w:val="00F320B4"/>
    <w:rsid w:val="00F3511C"/>
    <w:rsid w:val="00F47B2A"/>
    <w:rsid w:val="00F52A48"/>
    <w:rsid w:val="00F543BD"/>
    <w:rsid w:val="00F543C8"/>
    <w:rsid w:val="00F553F9"/>
    <w:rsid w:val="00F5707C"/>
    <w:rsid w:val="00F6397C"/>
    <w:rsid w:val="00F66915"/>
    <w:rsid w:val="00F71A92"/>
    <w:rsid w:val="00F745CF"/>
    <w:rsid w:val="00F82D52"/>
    <w:rsid w:val="00F835DB"/>
    <w:rsid w:val="00F966FD"/>
    <w:rsid w:val="00FA6AE9"/>
    <w:rsid w:val="00FB0E27"/>
    <w:rsid w:val="00FB4146"/>
    <w:rsid w:val="00FE09AC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985"/>
    <o:shapelayout v:ext="edit">
      <o:idmap v:ext="edit" data="1"/>
    </o:shapelayout>
  </w:shapeDefaults>
  <w:decimalSymbol w:val="."/>
  <w:listSeparator w:val=","/>
  <w14:docId w14:val="116DB4DF"/>
  <w15:docId w15:val="{7AC39CAA-E908-40DD-8DD9-146B20FF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232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eastAsia="SimSun"/>
      <w:color w:val="auto"/>
      <w:szCs w:val="20"/>
      <w:lang w:val="fr-CH" w:eastAsia="zh-CN"/>
    </w:rPr>
  </w:style>
  <w:style w:type="paragraph" w:styleId="Heading1">
    <w:name w:val="heading 1"/>
    <w:basedOn w:val="Normal"/>
    <w:next w:val="Normal"/>
    <w:qFormat/>
    <w:rsid w:val="00B35232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35232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35232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35232"/>
    <w:pPr>
      <w:keepNext/>
      <w:spacing w:before="240" w:after="60"/>
      <w:ind w:left="567" w:hanging="567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pPr>
      <w:ind w:left="1008" w:hanging="1008"/>
      <w:outlineLvl w:val="4"/>
    </w:pPr>
  </w:style>
  <w:style w:type="paragraph" w:styleId="Heading6">
    <w:name w:val="heading 6"/>
    <w:basedOn w:val="Normal"/>
    <w:next w:val="Normal"/>
    <w:pPr>
      <w:keepNext/>
      <w:keepLines/>
      <w:spacing w:before="200"/>
      <w:ind w:left="1152" w:hanging="1152"/>
      <w:outlineLvl w:val="5"/>
    </w:pPr>
    <w:rPr>
      <w:rFonts w:ascii="Cambria" w:eastAsia="Cambria" w:hAnsi="Cambria" w:cs="Cambria"/>
      <w:i/>
      <w:color w:val="243F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ind w:left="432" w:hanging="432"/>
    </w:pPr>
    <w:rPr>
      <w:b/>
      <w:sz w:val="28"/>
      <w:szCs w:val="28"/>
    </w:rPr>
  </w:style>
  <w:style w:type="paragraph" w:styleId="Subtitle">
    <w:name w:val="Subtitle"/>
    <w:basedOn w:val="Normal"/>
    <w:next w:val="Normal"/>
    <w:pPr>
      <w:ind w:left="432" w:hanging="432"/>
    </w:pPr>
    <w:rPr>
      <w:i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9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9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3523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62966"/>
    <w:rPr>
      <w:rFonts w:eastAsia="SimSun"/>
      <w:color w:val="auto"/>
      <w:szCs w:val="20"/>
      <w:lang w:val="fr-CH" w:eastAsia="zh-CN"/>
    </w:rPr>
  </w:style>
  <w:style w:type="paragraph" w:styleId="Footer">
    <w:name w:val="footer"/>
    <w:basedOn w:val="Normal"/>
    <w:link w:val="FooterChar"/>
    <w:rsid w:val="00B352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62966"/>
    <w:rPr>
      <w:rFonts w:eastAsia="SimSun"/>
      <w:color w:val="auto"/>
      <w:szCs w:val="20"/>
      <w:lang w:val="fr-CH" w:eastAsia="zh-CN"/>
    </w:rPr>
  </w:style>
  <w:style w:type="paragraph" w:styleId="FootnoteText">
    <w:name w:val="footnote text"/>
    <w:basedOn w:val="Normal"/>
    <w:link w:val="FootnoteTextChar"/>
    <w:semiHidden/>
    <w:rsid w:val="00B35232"/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A413AC"/>
    <w:rPr>
      <w:rFonts w:eastAsia="SimSun"/>
      <w:color w:val="auto"/>
      <w:sz w:val="18"/>
      <w:szCs w:val="20"/>
      <w:lang w:val="fr-CH" w:eastAsia="zh-CN"/>
    </w:rPr>
  </w:style>
  <w:style w:type="character" w:styleId="FootnoteReference">
    <w:name w:val="footnote reference"/>
    <w:basedOn w:val="DefaultParagraphFont"/>
    <w:uiPriority w:val="99"/>
    <w:unhideWhenUsed/>
    <w:rsid w:val="00A413AC"/>
    <w:rPr>
      <w:vertAlign w:val="superscript"/>
    </w:rPr>
  </w:style>
  <w:style w:type="paragraph" w:styleId="ListParagraph">
    <w:name w:val="List Paragraph"/>
    <w:basedOn w:val="Normal"/>
    <w:uiPriority w:val="34"/>
    <w:qFormat/>
    <w:rsid w:val="00B3523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6D13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rsid w:val="00B35232"/>
    <w:rPr>
      <w:sz w:val="18"/>
    </w:rPr>
  </w:style>
  <w:style w:type="character" w:customStyle="1" w:styleId="CommentTextChar">
    <w:name w:val="Comment Text Char"/>
    <w:basedOn w:val="DefaultParagraphFont"/>
    <w:link w:val="CommentText"/>
    <w:semiHidden/>
    <w:rsid w:val="00746D13"/>
    <w:rPr>
      <w:rFonts w:eastAsia="SimSun"/>
      <w:color w:val="auto"/>
      <w:sz w:val="18"/>
      <w:szCs w:val="20"/>
      <w:lang w:val="fr-CH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D13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D13"/>
    <w:rPr>
      <w:rFonts w:eastAsia="SimSun"/>
      <w:b/>
      <w:bCs/>
      <w:color w:val="auto"/>
      <w:sz w:val="20"/>
      <w:szCs w:val="20"/>
      <w:lang w:val="fr-CH" w:eastAsia="zh-CN"/>
    </w:rPr>
  </w:style>
  <w:style w:type="character" w:styleId="Hyperlink">
    <w:name w:val="Hyperlink"/>
    <w:basedOn w:val="DefaultParagraphFont"/>
    <w:uiPriority w:val="99"/>
    <w:unhideWhenUsed/>
    <w:rsid w:val="00635E4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7364"/>
    <w:rPr>
      <w:color w:val="800080" w:themeColor="followedHyperlink"/>
      <w:u w:val="single"/>
    </w:rPr>
  </w:style>
  <w:style w:type="paragraph" w:customStyle="1" w:styleId="Endofdocument-Annex">
    <w:name w:val="[End of document - Annex]"/>
    <w:basedOn w:val="Normal"/>
    <w:rsid w:val="00B35232"/>
    <w:pPr>
      <w:ind w:left="5534"/>
    </w:pPr>
    <w:rPr>
      <w:lang w:val="en-US"/>
    </w:rPr>
  </w:style>
  <w:style w:type="paragraph" w:styleId="BodyText">
    <w:name w:val="Body Text"/>
    <w:basedOn w:val="Normal"/>
    <w:link w:val="BodyTextChar"/>
    <w:rsid w:val="00B35232"/>
    <w:pPr>
      <w:spacing w:after="220"/>
    </w:pPr>
  </w:style>
  <w:style w:type="character" w:customStyle="1" w:styleId="BodyTextChar">
    <w:name w:val="Body Text Char"/>
    <w:basedOn w:val="DefaultParagraphFont"/>
    <w:link w:val="BodyText"/>
    <w:rsid w:val="00B35232"/>
    <w:rPr>
      <w:rFonts w:eastAsia="SimSun"/>
      <w:color w:val="auto"/>
      <w:szCs w:val="20"/>
      <w:lang w:val="fr-CH" w:eastAsia="zh-CN"/>
    </w:rPr>
  </w:style>
  <w:style w:type="paragraph" w:styleId="Caption">
    <w:name w:val="caption"/>
    <w:basedOn w:val="Normal"/>
    <w:next w:val="Normal"/>
    <w:qFormat/>
    <w:rsid w:val="00B35232"/>
    <w:rPr>
      <w:b/>
      <w:bCs/>
      <w:sz w:val="18"/>
    </w:rPr>
  </w:style>
  <w:style w:type="paragraph" w:styleId="EndnoteText">
    <w:name w:val="endnote text"/>
    <w:basedOn w:val="Normal"/>
    <w:link w:val="EndnoteTextChar"/>
    <w:semiHidden/>
    <w:rsid w:val="00B35232"/>
    <w:rPr>
      <w:sz w:val="18"/>
    </w:rPr>
  </w:style>
  <w:style w:type="character" w:customStyle="1" w:styleId="EndnoteTextChar">
    <w:name w:val="Endnote Text Char"/>
    <w:basedOn w:val="DefaultParagraphFont"/>
    <w:link w:val="EndnoteText"/>
    <w:semiHidden/>
    <w:rsid w:val="00B35232"/>
    <w:rPr>
      <w:rFonts w:eastAsia="SimSun"/>
      <w:color w:val="auto"/>
      <w:sz w:val="18"/>
      <w:szCs w:val="20"/>
      <w:lang w:val="fr-CH" w:eastAsia="zh-CN"/>
    </w:rPr>
  </w:style>
  <w:style w:type="paragraph" w:styleId="ListNumber">
    <w:name w:val="List Number"/>
    <w:basedOn w:val="Normal"/>
    <w:semiHidden/>
    <w:rsid w:val="00B35232"/>
    <w:pPr>
      <w:numPr>
        <w:numId w:val="33"/>
      </w:numPr>
    </w:pPr>
  </w:style>
  <w:style w:type="paragraph" w:customStyle="1" w:styleId="Meetingplacedate">
    <w:name w:val="Meeting place &amp; date"/>
    <w:basedOn w:val="Normal"/>
    <w:next w:val="Normal"/>
    <w:rsid w:val="00B35232"/>
    <w:pPr>
      <w:spacing w:line="336" w:lineRule="exact"/>
      <w:ind w:left="1021"/>
    </w:pPr>
    <w:rPr>
      <w:rFonts w:eastAsia="Times New Roman" w:cs="Times New Roman"/>
      <w:b/>
      <w:sz w:val="24"/>
      <w:lang w:val="fr-FR" w:eastAsia="en-US"/>
    </w:rPr>
  </w:style>
  <w:style w:type="paragraph" w:customStyle="1" w:styleId="Meetingtitle">
    <w:name w:val="Meeting title"/>
    <w:basedOn w:val="Normal"/>
    <w:next w:val="Normal"/>
    <w:rsid w:val="00B35232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paragraph" w:customStyle="1" w:styleId="ONUME">
    <w:name w:val="ONUM E"/>
    <w:basedOn w:val="BodyText"/>
    <w:rsid w:val="00B35232"/>
    <w:pPr>
      <w:numPr>
        <w:numId w:val="34"/>
      </w:numPr>
    </w:pPr>
  </w:style>
  <w:style w:type="paragraph" w:customStyle="1" w:styleId="ONUMFS">
    <w:name w:val="ONUM FS"/>
    <w:basedOn w:val="BodyText"/>
    <w:rsid w:val="00B35232"/>
    <w:pPr>
      <w:numPr>
        <w:numId w:val="35"/>
      </w:numPr>
    </w:pPr>
  </w:style>
  <w:style w:type="paragraph" w:styleId="Salutation">
    <w:name w:val="Salutation"/>
    <w:basedOn w:val="Normal"/>
    <w:next w:val="Normal"/>
    <w:link w:val="SalutationChar"/>
    <w:semiHidden/>
    <w:rsid w:val="00B35232"/>
  </w:style>
  <w:style w:type="character" w:customStyle="1" w:styleId="SalutationChar">
    <w:name w:val="Salutation Char"/>
    <w:basedOn w:val="DefaultParagraphFont"/>
    <w:link w:val="Salutation"/>
    <w:semiHidden/>
    <w:rsid w:val="00B35232"/>
    <w:rPr>
      <w:rFonts w:eastAsia="SimSun"/>
      <w:color w:val="auto"/>
      <w:szCs w:val="20"/>
      <w:lang w:val="fr-CH" w:eastAsia="zh-CN"/>
    </w:rPr>
  </w:style>
  <w:style w:type="paragraph" w:styleId="Signature">
    <w:name w:val="Signature"/>
    <w:basedOn w:val="Normal"/>
    <w:link w:val="SignatureChar"/>
    <w:semiHidden/>
    <w:rsid w:val="00B35232"/>
    <w:pPr>
      <w:ind w:left="5250"/>
    </w:pPr>
  </w:style>
  <w:style w:type="character" w:customStyle="1" w:styleId="SignatureChar">
    <w:name w:val="Signature Char"/>
    <w:basedOn w:val="DefaultParagraphFont"/>
    <w:link w:val="Signature"/>
    <w:semiHidden/>
    <w:rsid w:val="00B35232"/>
    <w:rPr>
      <w:rFonts w:eastAsia="SimSun"/>
      <w:color w:val="auto"/>
      <w:szCs w:val="20"/>
      <w:lang w:val="fr-CH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ipo.int/publications/fr/series/index.jsp?id=138&amp;sort=co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FDC17-070C-4257-80D9-EEA923BD1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3962</Words>
  <Characters>22590</Characters>
  <Application>Microsoft Office Word</Application>
  <DocSecurity>4</DocSecurity>
  <Lines>188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World Intellectual Property Organization</Company>
  <LinksUpToDate>false</LinksUpToDate>
  <CharactersWithSpaces>26500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RAFFO Julio</dc:creator>
  <cp:keywords/>
  <dc:description/>
  <cp:lastModifiedBy>SARKISSOVA Anna</cp:lastModifiedBy>
  <cp:revision>2</cp:revision>
  <cp:lastPrinted>2019-05-03T08:31:00Z</cp:lastPrinted>
  <dcterms:created xsi:type="dcterms:W3CDTF">2019-05-13T14:28:00Z</dcterms:created>
  <dcterms:modified xsi:type="dcterms:W3CDTF">2019-05-13T14:28:00Z</dcterms:modified>
</cp:coreProperties>
</file>