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A5FEE" w:rsidRPr="00A1244F" w:rsidTr="009C7BC8">
        <w:tc>
          <w:tcPr>
            <w:tcW w:w="4513" w:type="dxa"/>
            <w:tcBorders>
              <w:bottom w:val="single" w:sz="4" w:space="0" w:color="auto"/>
            </w:tcBorders>
            <w:tcMar>
              <w:bottom w:w="170" w:type="dxa"/>
            </w:tcMar>
          </w:tcPr>
          <w:p w:rsidR="004C71C9" w:rsidRPr="00A1244F" w:rsidRDefault="004C71C9" w:rsidP="009C7BC8">
            <w:bookmarkStart w:id="0" w:name="TitleOfDoc"/>
            <w:bookmarkStart w:id="1" w:name="_GoBack"/>
            <w:bookmarkEnd w:id="0"/>
            <w:bookmarkEnd w:id="1"/>
          </w:p>
        </w:tc>
        <w:tc>
          <w:tcPr>
            <w:tcW w:w="4337" w:type="dxa"/>
            <w:tcBorders>
              <w:bottom w:val="single" w:sz="4" w:space="0" w:color="auto"/>
            </w:tcBorders>
            <w:tcMar>
              <w:left w:w="0" w:type="dxa"/>
              <w:right w:w="0" w:type="dxa"/>
            </w:tcMar>
          </w:tcPr>
          <w:p w:rsidR="004C71C9" w:rsidRPr="00A1244F" w:rsidRDefault="004C71C9" w:rsidP="009C7BC8">
            <w:r w:rsidRPr="00A1244F">
              <w:rPr>
                <w:noProof/>
                <w:lang w:val="en-US" w:eastAsia="en-US"/>
              </w:rPr>
              <w:drawing>
                <wp:inline distT="0" distB="0" distL="0" distR="0" wp14:anchorId="3AA9DED3" wp14:editId="21D61B9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C71C9" w:rsidRPr="00A1244F" w:rsidRDefault="004C71C9" w:rsidP="009C7BC8">
            <w:pPr>
              <w:jc w:val="right"/>
            </w:pPr>
            <w:r w:rsidRPr="00A1244F">
              <w:rPr>
                <w:b/>
                <w:sz w:val="40"/>
                <w:szCs w:val="40"/>
              </w:rPr>
              <w:t>F</w:t>
            </w:r>
          </w:p>
        </w:tc>
      </w:tr>
      <w:tr w:rsidR="005A5FEE" w:rsidRPr="00A1244F" w:rsidTr="009C7BC8">
        <w:trPr>
          <w:trHeight w:hRule="exact" w:val="357"/>
        </w:trPr>
        <w:tc>
          <w:tcPr>
            <w:tcW w:w="9356" w:type="dxa"/>
            <w:gridSpan w:val="3"/>
            <w:tcBorders>
              <w:top w:val="single" w:sz="4" w:space="0" w:color="auto"/>
            </w:tcBorders>
            <w:tcMar>
              <w:top w:w="170" w:type="dxa"/>
              <w:left w:w="0" w:type="dxa"/>
              <w:right w:w="0" w:type="dxa"/>
            </w:tcMar>
            <w:vAlign w:val="bottom"/>
          </w:tcPr>
          <w:p w:rsidR="004C71C9" w:rsidRPr="00A1244F" w:rsidRDefault="004C71C9" w:rsidP="009C7BC8">
            <w:pPr>
              <w:jc w:val="right"/>
              <w:rPr>
                <w:rFonts w:ascii="Arial Black" w:hAnsi="Arial Black"/>
                <w:caps/>
                <w:sz w:val="15"/>
              </w:rPr>
            </w:pPr>
            <w:r w:rsidRPr="00A1244F">
              <w:rPr>
                <w:rFonts w:ascii="Arial Black" w:hAnsi="Arial Black"/>
                <w:caps/>
                <w:sz w:val="15"/>
              </w:rPr>
              <w:t>CDIP/23/</w:t>
            </w:r>
            <w:bookmarkStart w:id="2" w:name="Code"/>
            <w:bookmarkEnd w:id="2"/>
            <w:r w:rsidRPr="00A1244F">
              <w:rPr>
                <w:rFonts w:ascii="Arial Black" w:hAnsi="Arial Black"/>
                <w:caps/>
                <w:sz w:val="15"/>
              </w:rPr>
              <w:t>6</w:t>
            </w:r>
          </w:p>
        </w:tc>
      </w:tr>
      <w:tr w:rsidR="005A5FEE" w:rsidRPr="00A1244F" w:rsidTr="009C7BC8">
        <w:trPr>
          <w:trHeight w:hRule="exact" w:val="170"/>
        </w:trPr>
        <w:tc>
          <w:tcPr>
            <w:tcW w:w="9356" w:type="dxa"/>
            <w:gridSpan w:val="3"/>
            <w:noWrap/>
            <w:tcMar>
              <w:left w:w="0" w:type="dxa"/>
              <w:right w:w="0" w:type="dxa"/>
            </w:tcMar>
            <w:vAlign w:val="bottom"/>
          </w:tcPr>
          <w:p w:rsidR="004C71C9" w:rsidRPr="00A1244F" w:rsidRDefault="004C71C9" w:rsidP="009C7BC8">
            <w:pPr>
              <w:jc w:val="right"/>
              <w:rPr>
                <w:rFonts w:ascii="Arial Black" w:hAnsi="Arial Black"/>
                <w:caps/>
                <w:sz w:val="15"/>
              </w:rPr>
            </w:pPr>
            <w:r w:rsidRPr="00A1244F">
              <w:rPr>
                <w:rFonts w:ascii="Arial Black" w:hAnsi="Arial Black"/>
                <w:caps/>
                <w:sz w:val="15"/>
              </w:rPr>
              <w:t>ORIGINAL</w:t>
            </w:r>
            <w:r w:rsidR="006408BB">
              <w:rPr>
                <w:rFonts w:ascii="Arial Black" w:hAnsi="Arial Black"/>
                <w:caps/>
                <w:sz w:val="15"/>
              </w:rPr>
              <w:t> :</w:t>
            </w:r>
            <w:r w:rsidRPr="00A1244F">
              <w:rPr>
                <w:rFonts w:ascii="Arial Black" w:hAnsi="Arial Black"/>
                <w:caps/>
                <w:sz w:val="15"/>
              </w:rPr>
              <w:t xml:space="preserve"> </w:t>
            </w:r>
            <w:bookmarkStart w:id="3" w:name="Original"/>
            <w:bookmarkEnd w:id="3"/>
            <w:r w:rsidRPr="00A1244F">
              <w:rPr>
                <w:rFonts w:ascii="Arial Black" w:hAnsi="Arial Black"/>
                <w:caps/>
                <w:sz w:val="15"/>
              </w:rPr>
              <w:t xml:space="preserve">anglais </w:t>
            </w:r>
          </w:p>
        </w:tc>
      </w:tr>
      <w:tr w:rsidR="004C71C9" w:rsidRPr="00A1244F" w:rsidTr="009C7BC8">
        <w:trPr>
          <w:trHeight w:hRule="exact" w:val="198"/>
        </w:trPr>
        <w:tc>
          <w:tcPr>
            <w:tcW w:w="9356" w:type="dxa"/>
            <w:gridSpan w:val="3"/>
            <w:tcMar>
              <w:left w:w="0" w:type="dxa"/>
              <w:right w:w="0" w:type="dxa"/>
            </w:tcMar>
            <w:vAlign w:val="bottom"/>
          </w:tcPr>
          <w:p w:rsidR="004C71C9" w:rsidRPr="00A1244F" w:rsidRDefault="004C71C9" w:rsidP="009C7BC8">
            <w:pPr>
              <w:jc w:val="right"/>
              <w:rPr>
                <w:rFonts w:ascii="Arial Black" w:hAnsi="Arial Black"/>
                <w:caps/>
                <w:sz w:val="15"/>
              </w:rPr>
            </w:pPr>
            <w:r w:rsidRPr="00A1244F">
              <w:rPr>
                <w:rFonts w:ascii="Arial Black" w:hAnsi="Arial Black"/>
                <w:caps/>
                <w:sz w:val="15"/>
              </w:rPr>
              <w:t>DATE</w:t>
            </w:r>
            <w:r w:rsidR="006408BB">
              <w:rPr>
                <w:rFonts w:ascii="Arial Black" w:hAnsi="Arial Black"/>
                <w:caps/>
                <w:sz w:val="15"/>
              </w:rPr>
              <w:t> :</w:t>
            </w:r>
            <w:r w:rsidRPr="00A1244F">
              <w:rPr>
                <w:rFonts w:ascii="Arial Black" w:hAnsi="Arial Black"/>
                <w:caps/>
                <w:sz w:val="15"/>
              </w:rPr>
              <w:t xml:space="preserve"> </w:t>
            </w:r>
            <w:bookmarkStart w:id="4" w:name="Date"/>
            <w:bookmarkEnd w:id="4"/>
            <w:r w:rsidR="006408BB" w:rsidRPr="00A1244F">
              <w:rPr>
                <w:rFonts w:ascii="Arial Black" w:hAnsi="Arial Black"/>
                <w:caps/>
                <w:sz w:val="15"/>
              </w:rPr>
              <w:t>7</w:t>
            </w:r>
            <w:r w:rsidR="006408BB">
              <w:rPr>
                <w:rFonts w:ascii="Arial Black" w:hAnsi="Arial Black"/>
                <w:caps/>
                <w:sz w:val="15"/>
              </w:rPr>
              <w:t> </w:t>
            </w:r>
            <w:r w:rsidR="006408BB" w:rsidRPr="00A1244F">
              <w:rPr>
                <w:rFonts w:ascii="Arial Black" w:hAnsi="Arial Black"/>
                <w:caps/>
                <w:sz w:val="15"/>
              </w:rPr>
              <w:t>mars</w:t>
            </w:r>
            <w:r w:rsidR="006408BB">
              <w:rPr>
                <w:rFonts w:ascii="Arial Black" w:hAnsi="Arial Black"/>
                <w:caps/>
                <w:sz w:val="15"/>
              </w:rPr>
              <w:t> </w:t>
            </w:r>
            <w:r w:rsidR="006408BB" w:rsidRPr="00A1244F">
              <w:rPr>
                <w:rFonts w:ascii="Arial Black" w:hAnsi="Arial Black"/>
                <w:caps/>
                <w:sz w:val="15"/>
              </w:rPr>
              <w:t>20</w:t>
            </w:r>
            <w:r w:rsidRPr="00A1244F">
              <w:rPr>
                <w:rFonts w:ascii="Arial Black" w:hAnsi="Arial Black"/>
                <w:caps/>
                <w:sz w:val="15"/>
              </w:rPr>
              <w:t xml:space="preserve">19 </w:t>
            </w:r>
          </w:p>
        </w:tc>
      </w:tr>
    </w:tbl>
    <w:p w:rsidR="004C71C9" w:rsidRPr="00A1244F" w:rsidRDefault="004C71C9" w:rsidP="004C71C9"/>
    <w:p w:rsidR="004C71C9" w:rsidRPr="00A1244F" w:rsidRDefault="004C71C9" w:rsidP="004C71C9"/>
    <w:p w:rsidR="004C71C9" w:rsidRPr="00A1244F" w:rsidRDefault="004C71C9" w:rsidP="004C71C9"/>
    <w:p w:rsidR="004C71C9" w:rsidRPr="00A1244F" w:rsidRDefault="004C71C9" w:rsidP="004C71C9"/>
    <w:p w:rsidR="004C71C9" w:rsidRPr="00A1244F" w:rsidRDefault="004C71C9" w:rsidP="004C71C9"/>
    <w:p w:rsidR="004C71C9" w:rsidRPr="00A1244F" w:rsidRDefault="004C71C9" w:rsidP="004C71C9">
      <w:pPr>
        <w:rPr>
          <w:b/>
          <w:sz w:val="28"/>
          <w:szCs w:val="28"/>
        </w:rPr>
      </w:pPr>
      <w:r w:rsidRPr="00A1244F">
        <w:rPr>
          <w:b/>
          <w:sz w:val="28"/>
          <w:szCs w:val="28"/>
        </w:rPr>
        <w:t>Comité du développement et de la propriété intellectuelle (CDIP)</w:t>
      </w:r>
    </w:p>
    <w:p w:rsidR="004C71C9" w:rsidRPr="00A1244F" w:rsidRDefault="004C71C9" w:rsidP="004C71C9"/>
    <w:p w:rsidR="004C71C9" w:rsidRPr="00A1244F" w:rsidRDefault="004C71C9" w:rsidP="004C71C9"/>
    <w:p w:rsidR="004C71C9" w:rsidRPr="00A1244F" w:rsidRDefault="004C71C9" w:rsidP="004C71C9">
      <w:pPr>
        <w:rPr>
          <w:b/>
          <w:sz w:val="24"/>
          <w:szCs w:val="24"/>
        </w:rPr>
      </w:pPr>
      <w:r w:rsidRPr="00A1244F">
        <w:rPr>
          <w:b/>
          <w:sz w:val="24"/>
          <w:szCs w:val="24"/>
        </w:rPr>
        <w:t>Vingt</w:t>
      </w:r>
      <w:r w:rsidR="006408BB">
        <w:rPr>
          <w:b/>
          <w:sz w:val="24"/>
          <w:szCs w:val="24"/>
        </w:rPr>
        <w:t>-</w:t>
      </w:r>
      <w:r w:rsidRPr="00A1244F">
        <w:rPr>
          <w:b/>
          <w:sz w:val="24"/>
          <w:szCs w:val="24"/>
        </w:rPr>
        <w:t>trois</w:t>
      </w:r>
      <w:r w:rsidR="006408BB">
        <w:rPr>
          <w:b/>
          <w:sz w:val="24"/>
          <w:szCs w:val="24"/>
        </w:rPr>
        <w:t>ième session</w:t>
      </w:r>
    </w:p>
    <w:p w:rsidR="004C71C9" w:rsidRPr="00A1244F" w:rsidRDefault="004C71C9" w:rsidP="004C71C9">
      <w:pPr>
        <w:rPr>
          <w:b/>
          <w:sz w:val="24"/>
          <w:szCs w:val="24"/>
        </w:rPr>
      </w:pPr>
      <w:r w:rsidRPr="00A1244F">
        <w:rPr>
          <w:b/>
          <w:sz w:val="24"/>
          <w:szCs w:val="24"/>
        </w:rPr>
        <w:t>Genève, 20 – 24 mai 2019</w:t>
      </w:r>
    </w:p>
    <w:p w:rsidR="004C71C9" w:rsidRPr="00A1244F" w:rsidRDefault="004C71C9" w:rsidP="004C71C9"/>
    <w:p w:rsidR="004C71C9" w:rsidRPr="00A1244F" w:rsidRDefault="004C71C9" w:rsidP="004C71C9"/>
    <w:p w:rsidR="004C71C9" w:rsidRPr="00A1244F" w:rsidRDefault="004C71C9" w:rsidP="004C71C9"/>
    <w:p w:rsidR="004C71C9" w:rsidRPr="00A1244F" w:rsidRDefault="004C71C9" w:rsidP="004C71C9">
      <w:pPr>
        <w:rPr>
          <w:caps/>
          <w:sz w:val="24"/>
        </w:rPr>
      </w:pPr>
      <w:r w:rsidRPr="00A1244F">
        <w:rPr>
          <w:caps/>
          <w:sz w:val="24"/>
        </w:rPr>
        <w:t>Rapport d</w:t>
      </w:r>
      <w:r w:rsidR="006408BB">
        <w:rPr>
          <w:caps/>
          <w:sz w:val="24"/>
        </w:rPr>
        <w:t>’</w:t>
      </w:r>
      <w:r w:rsidRPr="00A1244F">
        <w:rPr>
          <w:caps/>
          <w:sz w:val="24"/>
        </w:rPr>
        <w:t>évaluation du projet relatif au renforcement et</w:t>
      </w:r>
      <w:r w:rsidR="0088350E">
        <w:rPr>
          <w:caps/>
          <w:sz w:val="24"/>
        </w:rPr>
        <w:t> </w:t>
      </w:r>
      <w:r w:rsidRPr="00A1244F">
        <w:rPr>
          <w:caps/>
          <w:sz w:val="24"/>
        </w:rPr>
        <w:t>au</w:t>
      </w:r>
      <w:r w:rsidR="0088350E">
        <w:rPr>
          <w:caps/>
          <w:sz w:val="24"/>
        </w:rPr>
        <w:t> </w:t>
      </w:r>
      <w:r w:rsidRPr="00A1244F">
        <w:rPr>
          <w:caps/>
          <w:sz w:val="24"/>
        </w:rPr>
        <w:t>développement du secteur de l</w:t>
      </w:r>
      <w:r w:rsidR="006408BB">
        <w:rPr>
          <w:caps/>
          <w:sz w:val="24"/>
        </w:rPr>
        <w:t>’</w:t>
      </w:r>
      <w:r w:rsidRPr="00A1244F">
        <w:rPr>
          <w:caps/>
          <w:sz w:val="24"/>
        </w:rPr>
        <w:t>audiovisuel au Burkina Faso et dans certains pays africains – phase</w:t>
      </w:r>
      <w:r w:rsidR="0088350E">
        <w:rPr>
          <w:caps/>
          <w:sz w:val="24"/>
        </w:rPr>
        <w:t> </w:t>
      </w:r>
      <w:r w:rsidRPr="00A1244F">
        <w:rPr>
          <w:caps/>
          <w:sz w:val="24"/>
        </w:rPr>
        <w:t>II</w:t>
      </w:r>
    </w:p>
    <w:p w:rsidR="004C71C9" w:rsidRPr="00A1244F" w:rsidRDefault="004C71C9" w:rsidP="004C71C9"/>
    <w:p w:rsidR="004C71C9" w:rsidRPr="00A1244F" w:rsidRDefault="004C71C9" w:rsidP="004C71C9">
      <w:pPr>
        <w:rPr>
          <w:i/>
        </w:rPr>
      </w:pPr>
      <w:bookmarkStart w:id="5" w:name="Prepared"/>
      <w:bookmarkEnd w:id="5"/>
      <w:r w:rsidRPr="00A1244F">
        <w:rPr>
          <w:i/>
        </w:rPr>
        <w:t>établi par M.</w:t>
      </w:r>
      <w:r w:rsidR="005839C0">
        <w:rPr>
          <w:i/>
        </w:rPr>
        <w:t> </w:t>
      </w:r>
      <w:r w:rsidRPr="00A1244F">
        <w:rPr>
          <w:i/>
        </w:rPr>
        <w:t>Daniel</w:t>
      </w:r>
      <w:r w:rsidR="0088350E">
        <w:t> </w:t>
      </w:r>
      <w:r w:rsidRPr="00A1244F">
        <w:rPr>
          <w:i/>
        </w:rPr>
        <w:t xml:space="preserve">Keller, consultant, </w:t>
      </w:r>
      <w:r w:rsidR="00D37935" w:rsidRPr="00A1244F">
        <w:rPr>
          <w:i/>
        </w:rPr>
        <w:t>Evilard</w:t>
      </w:r>
      <w:r w:rsidRPr="00A1244F">
        <w:rPr>
          <w:i/>
        </w:rPr>
        <w:t xml:space="preserve"> (Suisse)</w:t>
      </w:r>
    </w:p>
    <w:p w:rsidR="004C71C9" w:rsidRDefault="004C71C9" w:rsidP="004C71C9"/>
    <w:p w:rsidR="00423BE0" w:rsidRDefault="00423BE0" w:rsidP="004C71C9"/>
    <w:p w:rsidR="00423BE0" w:rsidRPr="00A1244F" w:rsidRDefault="00423BE0" w:rsidP="004C71C9"/>
    <w:p w:rsidR="00610DAF" w:rsidRPr="00A1244F" w:rsidRDefault="00610DAF"/>
    <w:p w:rsidR="00610DAF" w:rsidRPr="00A1244F" w:rsidRDefault="00B31189" w:rsidP="00FB4AA9">
      <w:pPr>
        <w:pStyle w:val="ONUMFS"/>
      </w:pPr>
      <w:r w:rsidRPr="00A1244F">
        <w:t>L</w:t>
      </w:r>
      <w:r w:rsidR="006408BB">
        <w:t>’</w:t>
      </w:r>
      <w:r w:rsidRPr="00A1244F">
        <w:t>annexe du présent document contient un rapport d</w:t>
      </w:r>
      <w:r w:rsidR="006408BB">
        <w:t>’</w:t>
      </w:r>
      <w:r w:rsidRPr="00A1244F">
        <w:t>évaluation indépendant du projet relatif au renforcement et au développement du secteur de l</w:t>
      </w:r>
      <w:r w:rsidR="006408BB">
        <w:t>’</w:t>
      </w:r>
      <w:r w:rsidRPr="00A1244F">
        <w:t>audiovisuel au Burkina Faso et dans certains pays africains</w:t>
      </w:r>
      <w:r w:rsidR="00F0221A" w:rsidRPr="00A1244F">
        <w:t xml:space="preserve"> – </w:t>
      </w:r>
      <w:r w:rsidRPr="00A1244F">
        <w:t>Phase</w:t>
      </w:r>
      <w:r w:rsidR="0088350E">
        <w:t> </w:t>
      </w:r>
      <w:r w:rsidRPr="00A1244F">
        <w:t>II</w:t>
      </w:r>
      <w:r w:rsidR="00F0221A" w:rsidRPr="00A1244F">
        <w:t>, réalisé</w:t>
      </w:r>
      <w:r w:rsidRPr="00A1244F">
        <w:t xml:space="preserve"> par M</w:t>
      </w:r>
      <w:r w:rsidR="004C71C9" w:rsidRPr="00A1244F">
        <w:t>.</w:t>
      </w:r>
      <w:r w:rsidR="005839C0">
        <w:t> </w:t>
      </w:r>
      <w:r w:rsidR="00F0221A" w:rsidRPr="00A1244F">
        <w:t>Daniel</w:t>
      </w:r>
      <w:r w:rsidR="0088350E">
        <w:t> </w:t>
      </w:r>
      <w:r w:rsidR="00F0221A" w:rsidRPr="00A1244F">
        <w:t>Keller, c</w:t>
      </w:r>
      <w:r w:rsidRPr="00A1244F">
        <w:t xml:space="preserve">onsultant pour EvalCo Sàrl à </w:t>
      </w:r>
      <w:r w:rsidR="00D37935" w:rsidRPr="00A1244F">
        <w:t>Evilard</w:t>
      </w:r>
      <w:r w:rsidR="00F0221A" w:rsidRPr="00A1244F">
        <w:t xml:space="preserve"> </w:t>
      </w:r>
      <w:r w:rsidRPr="00A1244F">
        <w:t>(Suisse).</w:t>
      </w:r>
    </w:p>
    <w:p w:rsidR="00610DAF" w:rsidRPr="00FB4AA9" w:rsidRDefault="00B31189" w:rsidP="00FB4AA9">
      <w:pPr>
        <w:pStyle w:val="ONUMFS"/>
        <w:ind w:left="5533"/>
        <w:rPr>
          <w:i/>
        </w:rPr>
      </w:pPr>
      <w:r w:rsidRPr="00FB4AA9">
        <w:rPr>
          <w:i/>
        </w:rPr>
        <w:t>Le CDIP est invité à prendr</w:t>
      </w:r>
      <w:r w:rsidR="006E18DD" w:rsidRPr="00FB4AA9">
        <w:rPr>
          <w:i/>
        </w:rPr>
        <w:t>e note des informations figurant</w:t>
      </w:r>
      <w:r w:rsidRPr="00FB4AA9">
        <w:rPr>
          <w:i/>
        </w:rPr>
        <w:t xml:space="preserve"> dans l</w:t>
      </w:r>
      <w:r w:rsidR="006408BB">
        <w:rPr>
          <w:i/>
        </w:rPr>
        <w:t>’</w:t>
      </w:r>
      <w:r w:rsidRPr="00FB4AA9">
        <w:rPr>
          <w:i/>
        </w:rPr>
        <w:t>annexe du présent document.</w:t>
      </w:r>
    </w:p>
    <w:p w:rsidR="00610DAF" w:rsidRPr="00A1244F" w:rsidRDefault="00610DAF" w:rsidP="0053057A"/>
    <w:p w:rsidR="00610DAF" w:rsidRPr="00A1244F" w:rsidRDefault="00610DAF" w:rsidP="0053057A"/>
    <w:p w:rsidR="00610DAF" w:rsidRPr="00A1244F" w:rsidRDefault="00B31189" w:rsidP="00FB4AA9">
      <w:pPr>
        <w:pStyle w:val="Endofdocument-Annex"/>
        <w:rPr>
          <w:lang w:val="fr-CH"/>
        </w:rPr>
      </w:pPr>
      <w:r w:rsidRPr="00A1244F">
        <w:rPr>
          <w:lang w:val="fr-CH"/>
        </w:rPr>
        <w:t>[L</w:t>
      </w:r>
      <w:r w:rsidR="006408BB">
        <w:rPr>
          <w:lang w:val="fr-CH"/>
        </w:rPr>
        <w:t>’</w:t>
      </w:r>
      <w:r w:rsidRPr="00A1244F">
        <w:rPr>
          <w:lang w:val="fr-CH"/>
        </w:rPr>
        <w:t>annexe suit]</w:t>
      </w:r>
    </w:p>
    <w:p w:rsidR="00610DAF" w:rsidRPr="00A1244F" w:rsidRDefault="00610DAF"/>
    <w:p w:rsidR="00610DAF" w:rsidRPr="00A1244F" w:rsidRDefault="00610DAF"/>
    <w:p w:rsidR="00610DAF" w:rsidRPr="00A1244F" w:rsidRDefault="00610DAF"/>
    <w:p w:rsidR="003071A3" w:rsidRPr="00A1244F" w:rsidRDefault="003071A3">
      <w:pPr>
        <w:sectPr w:rsidR="003071A3" w:rsidRPr="00A1244F" w:rsidSect="00423BE0">
          <w:headerReference w:type="default" r:id="rId9"/>
          <w:endnotePr>
            <w:numFmt w:val="decimal"/>
          </w:endnotePr>
          <w:pgSz w:w="11907" w:h="16840" w:code="9"/>
          <w:pgMar w:top="567" w:right="1134" w:bottom="1417" w:left="1417" w:header="510" w:footer="1020" w:gutter="0"/>
          <w:cols w:space="720"/>
          <w:titlePg/>
          <w:docGrid w:linePitch="299"/>
        </w:sectPr>
      </w:pPr>
    </w:p>
    <w:p w:rsidR="00610DAF" w:rsidRPr="00A1244F" w:rsidRDefault="00610DAF"/>
    <w:p w:rsidR="00610DAF" w:rsidRPr="00A1244F" w:rsidRDefault="00B31189" w:rsidP="00B31189">
      <w:pPr>
        <w:jc w:val="center"/>
        <w:rPr>
          <w:b/>
          <w:bCs/>
        </w:rPr>
      </w:pPr>
      <w:r w:rsidRPr="00A1244F">
        <w:rPr>
          <w:b/>
          <w:bCs/>
        </w:rPr>
        <w:t>TABLE DES MATIÈRES</w:t>
      </w:r>
    </w:p>
    <w:p w:rsidR="00610DAF" w:rsidRPr="00A1244F" w:rsidRDefault="00610DAF" w:rsidP="003071A3">
      <w:pPr>
        <w:jc w:val="center"/>
        <w:rPr>
          <w:b/>
          <w:bCs/>
        </w:rPr>
      </w:pPr>
    </w:p>
    <w:p w:rsidR="0042254C" w:rsidRDefault="003071A3">
      <w:pPr>
        <w:pStyle w:val="TOC1"/>
        <w:tabs>
          <w:tab w:val="right" w:leader="dot" w:pos="9346"/>
        </w:tabs>
        <w:rPr>
          <w:rFonts w:asciiTheme="minorHAnsi" w:eastAsiaTheme="minorEastAsia" w:hAnsiTheme="minorHAnsi" w:cstheme="minorBidi"/>
          <w:b w:val="0"/>
          <w:caps w:val="0"/>
          <w:noProof/>
          <w:szCs w:val="22"/>
          <w:lang w:val="fr-FR" w:eastAsia="fr-FR"/>
        </w:rPr>
      </w:pPr>
      <w:r w:rsidRPr="00A1244F">
        <w:rPr>
          <w:bCs/>
          <w:caps w:val="0"/>
        </w:rPr>
        <w:fldChar w:fldCharType="begin"/>
      </w:r>
      <w:r w:rsidRPr="00A1244F">
        <w:rPr>
          <w:bCs/>
          <w:caps w:val="0"/>
        </w:rPr>
        <w:instrText xml:space="preserve"> TOC \o "1-3" \h \z \u </w:instrText>
      </w:r>
      <w:r w:rsidRPr="00A1244F">
        <w:rPr>
          <w:bCs/>
          <w:caps w:val="0"/>
        </w:rPr>
        <w:fldChar w:fldCharType="separate"/>
      </w:r>
      <w:hyperlink w:anchor="_Toc3880366" w:history="1">
        <w:r w:rsidR="0042254C" w:rsidRPr="008D1959">
          <w:rPr>
            <w:rStyle w:val="Hyperlink"/>
            <w:noProof/>
          </w:rPr>
          <w:t>Liste des sigles</w:t>
        </w:r>
        <w:r w:rsidR="0042254C">
          <w:rPr>
            <w:noProof/>
            <w:webHidden/>
          </w:rPr>
          <w:tab/>
        </w:r>
        <w:r w:rsidR="0042254C">
          <w:rPr>
            <w:noProof/>
            <w:webHidden/>
          </w:rPr>
          <w:fldChar w:fldCharType="begin"/>
        </w:r>
        <w:r w:rsidR="0042254C">
          <w:rPr>
            <w:noProof/>
            <w:webHidden/>
          </w:rPr>
          <w:instrText xml:space="preserve"> PAGEREF _Toc3880366 \h </w:instrText>
        </w:r>
        <w:r w:rsidR="0042254C">
          <w:rPr>
            <w:noProof/>
            <w:webHidden/>
          </w:rPr>
        </w:r>
        <w:r w:rsidR="0042254C">
          <w:rPr>
            <w:noProof/>
            <w:webHidden/>
          </w:rPr>
          <w:fldChar w:fldCharType="separate"/>
        </w:r>
        <w:r w:rsidR="0042254C">
          <w:rPr>
            <w:noProof/>
            <w:webHidden/>
          </w:rPr>
          <w:t>2</w:t>
        </w:r>
        <w:r w:rsidR="0042254C">
          <w:rPr>
            <w:noProof/>
            <w:webHidden/>
          </w:rPr>
          <w:fldChar w:fldCharType="end"/>
        </w:r>
      </w:hyperlink>
    </w:p>
    <w:p w:rsidR="0042254C" w:rsidRDefault="00EF05D8">
      <w:pPr>
        <w:pStyle w:val="TOC1"/>
        <w:tabs>
          <w:tab w:val="right" w:leader="dot" w:pos="9346"/>
        </w:tabs>
        <w:rPr>
          <w:rFonts w:asciiTheme="minorHAnsi" w:eastAsiaTheme="minorEastAsia" w:hAnsiTheme="minorHAnsi" w:cstheme="minorBidi"/>
          <w:b w:val="0"/>
          <w:caps w:val="0"/>
          <w:noProof/>
          <w:szCs w:val="22"/>
          <w:lang w:val="fr-FR" w:eastAsia="fr-FR"/>
        </w:rPr>
      </w:pPr>
      <w:hyperlink w:anchor="_Toc3880367" w:history="1">
        <w:r w:rsidR="0042254C" w:rsidRPr="008D1959">
          <w:rPr>
            <w:rStyle w:val="Hyperlink"/>
            <w:noProof/>
          </w:rPr>
          <w:t>Résumé</w:t>
        </w:r>
        <w:r w:rsidR="0042254C">
          <w:rPr>
            <w:noProof/>
            <w:webHidden/>
          </w:rPr>
          <w:tab/>
        </w:r>
        <w:r w:rsidR="0042254C">
          <w:rPr>
            <w:noProof/>
            <w:webHidden/>
          </w:rPr>
          <w:fldChar w:fldCharType="begin"/>
        </w:r>
        <w:r w:rsidR="0042254C">
          <w:rPr>
            <w:noProof/>
            <w:webHidden/>
          </w:rPr>
          <w:instrText xml:space="preserve"> PAGEREF _Toc3880367 \h </w:instrText>
        </w:r>
        <w:r w:rsidR="0042254C">
          <w:rPr>
            <w:noProof/>
            <w:webHidden/>
          </w:rPr>
        </w:r>
        <w:r w:rsidR="0042254C">
          <w:rPr>
            <w:noProof/>
            <w:webHidden/>
          </w:rPr>
          <w:fldChar w:fldCharType="separate"/>
        </w:r>
        <w:r w:rsidR="0042254C">
          <w:rPr>
            <w:noProof/>
            <w:webHidden/>
          </w:rPr>
          <w:t>3</w:t>
        </w:r>
        <w:r w:rsidR="0042254C">
          <w:rPr>
            <w:noProof/>
            <w:webHidden/>
          </w:rPr>
          <w:fldChar w:fldCharType="end"/>
        </w:r>
      </w:hyperlink>
    </w:p>
    <w:p w:rsidR="0042254C" w:rsidRDefault="00EF05D8">
      <w:pPr>
        <w:pStyle w:val="TOC1"/>
        <w:tabs>
          <w:tab w:val="right" w:leader="dot" w:pos="9346"/>
        </w:tabs>
        <w:rPr>
          <w:rFonts w:asciiTheme="minorHAnsi" w:eastAsiaTheme="minorEastAsia" w:hAnsiTheme="minorHAnsi" w:cstheme="minorBidi"/>
          <w:b w:val="0"/>
          <w:caps w:val="0"/>
          <w:noProof/>
          <w:szCs w:val="22"/>
          <w:lang w:val="fr-FR" w:eastAsia="fr-FR"/>
        </w:rPr>
      </w:pPr>
      <w:hyperlink w:anchor="_Toc3880368" w:history="1">
        <w:r w:rsidR="0042254C" w:rsidRPr="008D1959">
          <w:rPr>
            <w:rStyle w:val="Hyperlink"/>
            <w:noProof/>
          </w:rPr>
          <w:t>Recommandations</w:t>
        </w:r>
        <w:r w:rsidR="0042254C">
          <w:rPr>
            <w:noProof/>
            <w:webHidden/>
          </w:rPr>
          <w:tab/>
        </w:r>
        <w:r w:rsidR="0042254C">
          <w:rPr>
            <w:noProof/>
            <w:webHidden/>
          </w:rPr>
          <w:fldChar w:fldCharType="begin"/>
        </w:r>
        <w:r w:rsidR="0042254C">
          <w:rPr>
            <w:noProof/>
            <w:webHidden/>
          </w:rPr>
          <w:instrText xml:space="preserve"> PAGEREF _Toc3880368 \h </w:instrText>
        </w:r>
        <w:r w:rsidR="0042254C">
          <w:rPr>
            <w:noProof/>
            <w:webHidden/>
          </w:rPr>
        </w:r>
        <w:r w:rsidR="0042254C">
          <w:rPr>
            <w:noProof/>
            <w:webHidden/>
          </w:rPr>
          <w:fldChar w:fldCharType="separate"/>
        </w:r>
        <w:r w:rsidR="0042254C">
          <w:rPr>
            <w:noProof/>
            <w:webHidden/>
          </w:rPr>
          <w:t>6</w:t>
        </w:r>
        <w:r w:rsidR="0042254C">
          <w:rPr>
            <w:noProof/>
            <w:webHidden/>
          </w:rPr>
          <w:fldChar w:fldCharType="end"/>
        </w:r>
      </w:hyperlink>
    </w:p>
    <w:p w:rsidR="0042254C" w:rsidRDefault="00EF05D8">
      <w:pPr>
        <w:pStyle w:val="TOC1"/>
        <w:tabs>
          <w:tab w:val="left" w:pos="440"/>
          <w:tab w:val="right" w:leader="dot" w:pos="9346"/>
        </w:tabs>
        <w:rPr>
          <w:rFonts w:asciiTheme="minorHAnsi" w:eastAsiaTheme="minorEastAsia" w:hAnsiTheme="minorHAnsi" w:cstheme="minorBidi"/>
          <w:b w:val="0"/>
          <w:caps w:val="0"/>
          <w:noProof/>
          <w:szCs w:val="22"/>
          <w:lang w:val="fr-FR" w:eastAsia="fr-FR"/>
        </w:rPr>
      </w:pPr>
      <w:hyperlink w:anchor="_Toc3880369" w:history="1">
        <w:r w:rsidR="0042254C" w:rsidRPr="008D1959">
          <w:rPr>
            <w:rStyle w:val="Hyperlink"/>
            <w:noProof/>
          </w:rPr>
          <w:t>1.</w:t>
        </w:r>
        <w:r w:rsidR="0042254C">
          <w:rPr>
            <w:rFonts w:asciiTheme="minorHAnsi" w:eastAsiaTheme="minorEastAsia" w:hAnsiTheme="minorHAnsi" w:cstheme="minorBidi"/>
            <w:b w:val="0"/>
            <w:caps w:val="0"/>
            <w:noProof/>
            <w:szCs w:val="22"/>
            <w:lang w:val="fr-FR" w:eastAsia="fr-FR"/>
          </w:rPr>
          <w:tab/>
        </w:r>
        <w:r w:rsidR="0042254C" w:rsidRPr="008D1959">
          <w:rPr>
            <w:rStyle w:val="Hyperlink"/>
            <w:noProof/>
          </w:rPr>
          <w:t>Introduction</w:t>
        </w:r>
        <w:r w:rsidR="0042254C">
          <w:rPr>
            <w:noProof/>
            <w:webHidden/>
          </w:rPr>
          <w:tab/>
        </w:r>
        <w:r w:rsidR="0042254C">
          <w:rPr>
            <w:noProof/>
            <w:webHidden/>
          </w:rPr>
          <w:fldChar w:fldCharType="begin"/>
        </w:r>
        <w:r w:rsidR="0042254C">
          <w:rPr>
            <w:noProof/>
            <w:webHidden/>
          </w:rPr>
          <w:instrText xml:space="preserve"> PAGEREF _Toc3880369 \h </w:instrText>
        </w:r>
        <w:r w:rsidR="0042254C">
          <w:rPr>
            <w:noProof/>
            <w:webHidden/>
          </w:rPr>
        </w:r>
        <w:r w:rsidR="0042254C">
          <w:rPr>
            <w:noProof/>
            <w:webHidden/>
          </w:rPr>
          <w:fldChar w:fldCharType="separate"/>
        </w:r>
        <w:r w:rsidR="0042254C">
          <w:rPr>
            <w:noProof/>
            <w:webHidden/>
          </w:rPr>
          <w:t>7</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70" w:history="1">
        <w:r w:rsidR="0042254C" w:rsidRPr="008D1959">
          <w:rPr>
            <w:rStyle w:val="Hyperlink"/>
            <w:noProof/>
          </w:rPr>
          <w:t>A)</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Contexte et description du projet</w:t>
        </w:r>
        <w:r w:rsidR="0042254C">
          <w:rPr>
            <w:noProof/>
            <w:webHidden/>
          </w:rPr>
          <w:tab/>
        </w:r>
        <w:r w:rsidR="0042254C">
          <w:rPr>
            <w:noProof/>
            <w:webHidden/>
          </w:rPr>
          <w:fldChar w:fldCharType="begin"/>
        </w:r>
        <w:r w:rsidR="0042254C">
          <w:rPr>
            <w:noProof/>
            <w:webHidden/>
          </w:rPr>
          <w:instrText xml:space="preserve"> PAGEREF _Toc3880370 \h </w:instrText>
        </w:r>
        <w:r w:rsidR="0042254C">
          <w:rPr>
            <w:noProof/>
            <w:webHidden/>
          </w:rPr>
        </w:r>
        <w:r w:rsidR="0042254C">
          <w:rPr>
            <w:noProof/>
            <w:webHidden/>
          </w:rPr>
          <w:fldChar w:fldCharType="separate"/>
        </w:r>
        <w:r w:rsidR="0042254C">
          <w:rPr>
            <w:noProof/>
            <w:webHidden/>
          </w:rPr>
          <w:t>7</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71" w:history="1">
        <w:r w:rsidR="0042254C" w:rsidRPr="008D1959">
          <w:rPr>
            <w:rStyle w:val="Hyperlink"/>
            <w:noProof/>
          </w:rPr>
          <w:t>B)</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Champ d’observation, objet, méthode et limites de la présente évaluation</w:t>
        </w:r>
        <w:r w:rsidR="0042254C">
          <w:rPr>
            <w:noProof/>
            <w:webHidden/>
          </w:rPr>
          <w:tab/>
        </w:r>
        <w:r w:rsidR="0042254C">
          <w:rPr>
            <w:noProof/>
            <w:webHidden/>
          </w:rPr>
          <w:fldChar w:fldCharType="begin"/>
        </w:r>
        <w:r w:rsidR="0042254C">
          <w:rPr>
            <w:noProof/>
            <w:webHidden/>
          </w:rPr>
          <w:instrText xml:space="preserve"> PAGEREF _Toc3880371 \h </w:instrText>
        </w:r>
        <w:r w:rsidR="0042254C">
          <w:rPr>
            <w:noProof/>
            <w:webHidden/>
          </w:rPr>
        </w:r>
        <w:r w:rsidR="0042254C">
          <w:rPr>
            <w:noProof/>
            <w:webHidden/>
          </w:rPr>
          <w:fldChar w:fldCharType="separate"/>
        </w:r>
        <w:r w:rsidR="0042254C">
          <w:rPr>
            <w:noProof/>
            <w:webHidden/>
          </w:rPr>
          <w:t>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2" w:history="1">
        <w:r w:rsidR="0042254C" w:rsidRPr="008D1959">
          <w:rPr>
            <w:rStyle w:val="Hyperlink"/>
            <w:noProof/>
          </w:rPr>
          <w:t>i)</w:t>
        </w:r>
        <w:r w:rsidR="0042254C">
          <w:rPr>
            <w:rFonts w:asciiTheme="minorHAnsi" w:eastAsiaTheme="minorEastAsia" w:hAnsiTheme="minorHAnsi" w:cstheme="minorBidi"/>
            <w:noProof/>
            <w:szCs w:val="22"/>
            <w:lang w:val="fr-FR" w:eastAsia="fr-FR"/>
          </w:rPr>
          <w:tab/>
        </w:r>
        <w:r w:rsidR="0042254C" w:rsidRPr="008D1959">
          <w:rPr>
            <w:rStyle w:val="Hyperlink"/>
            <w:noProof/>
          </w:rPr>
          <w:t>Champ d’observation</w:t>
        </w:r>
        <w:r w:rsidR="0042254C">
          <w:rPr>
            <w:noProof/>
            <w:webHidden/>
          </w:rPr>
          <w:tab/>
        </w:r>
        <w:r w:rsidR="0042254C">
          <w:rPr>
            <w:noProof/>
            <w:webHidden/>
          </w:rPr>
          <w:fldChar w:fldCharType="begin"/>
        </w:r>
        <w:r w:rsidR="0042254C">
          <w:rPr>
            <w:noProof/>
            <w:webHidden/>
          </w:rPr>
          <w:instrText xml:space="preserve"> PAGEREF _Toc3880372 \h </w:instrText>
        </w:r>
        <w:r w:rsidR="0042254C">
          <w:rPr>
            <w:noProof/>
            <w:webHidden/>
          </w:rPr>
        </w:r>
        <w:r w:rsidR="0042254C">
          <w:rPr>
            <w:noProof/>
            <w:webHidden/>
          </w:rPr>
          <w:fldChar w:fldCharType="separate"/>
        </w:r>
        <w:r w:rsidR="0042254C">
          <w:rPr>
            <w:noProof/>
            <w:webHidden/>
          </w:rPr>
          <w:t>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3" w:history="1">
        <w:r w:rsidR="0042254C" w:rsidRPr="008D1959">
          <w:rPr>
            <w:rStyle w:val="Hyperlink"/>
            <w:noProof/>
          </w:rPr>
          <w:t>ii)</w:t>
        </w:r>
        <w:r w:rsidR="0042254C">
          <w:rPr>
            <w:rFonts w:asciiTheme="minorHAnsi" w:eastAsiaTheme="minorEastAsia" w:hAnsiTheme="minorHAnsi" w:cstheme="minorBidi"/>
            <w:noProof/>
            <w:szCs w:val="22"/>
            <w:lang w:val="fr-FR" w:eastAsia="fr-FR"/>
          </w:rPr>
          <w:tab/>
        </w:r>
        <w:r w:rsidR="0042254C" w:rsidRPr="008D1959">
          <w:rPr>
            <w:rStyle w:val="Hyperlink"/>
            <w:noProof/>
          </w:rPr>
          <w:t>Objet principal</w:t>
        </w:r>
        <w:r w:rsidR="0042254C">
          <w:rPr>
            <w:noProof/>
            <w:webHidden/>
          </w:rPr>
          <w:tab/>
        </w:r>
        <w:r w:rsidR="0042254C">
          <w:rPr>
            <w:noProof/>
            <w:webHidden/>
          </w:rPr>
          <w:fldChar w:fldCharType="begin"/>
        </w:r>
        <w:r w:rsidR="0042254C">
          <w:rPr>
            <w:noProof/>
            <w:webHidden/>
          </w:rPr>
          <w:instrText xml:space="preserve"> PAGEREF _Toc3880373 \h </w:instrText>
        </w:r>
        <w:r w:rsidR="0042254C">
          <w:rPr>
            <w:noProof/>
            <w:webHidden/>
          </w:rPr>
        </w:r>
        <w:r w:rsidR="0042254C">
          <w:rPr>
            <w:noProof/>
            <w:webHidden/>
          </w:rPr>
          <w:fldChar w:fldCharType="separate"/>
        </w:r>
        <w:r w:rsidR="0042254C">
          <w:rPr>
            <w:noProof/>
            <w:webHidden/>
          </w:rPr>
          <w:t>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4" w:history="1">
        <w:r w:rsidR="0042254C" w:rsidRPr="008D1959">
          <w:rPr>
            <w:rStyle w:val="Hyperlink"/>
            <w:noProof/>
          </w:rPr>
          <w:t>iii)</w:t>
        </w:r>
        <w:r w:rsidR="0042254C">
          <w:rPr>
            <w:rFonts w:asciiTheme="minorHAnsi" w:eastAsiaTheme="minorEastAsia" w:hAnsiTheme="minorHAnsi" w:cstheme="minorBidi"/>
            <w:noProof/>
            <w:szCs w:val="22"/>
            <w:lang w:val="fr-FR" w:eastAsia="fr-FR"/>
          </w:rPr>
          <w:tab/>
        </w:r>
        <w:r w:rsidR="0042254C" w:rsidRPr="008D1959">
          <w:rPr>
            <w:rStyle w:val="Hyperlink"/>
            <w:noProof/>
          </w:rPr>
          <w:t>Méthode</w:t>
        </w:r>
        <w:r w:rsidR="0042254C">
          <w:rPr>
            <w:noProof/>
            <w:webHidden/>
          </w:rPr>
          <w:tab/>
        </w:r>
        <w:r w:rsidR="0042254C">
          <w:rPr>
            <w:noProof/>
            <w:webHidden/>
          </w:rPr>
          <w:fldChar w:fldCharType="begin"/>
        </w:r>
        <w:r w:rsidR="0042254C">
          <w:rPr>
            <w:noProof/>
            <w:webHidden/>
          </w:rPr>
          <w:instrText xml:space="preserve"> PAGEREF _Toc3880374 \h </w:instrText>
        </w:r>
        <w:r w:rsidR="0042254C">
          <w:rPr>
            <w:noProof/>
            <w:webHidden/>
          </w:rPr>
        </w:r>
        <w:r w:rsidR="0042254C">
          <w:rPr>
            <w:noProof/>
            <w:webHidden/>
          </w:rPr>
          <w:fldChar w:fldCharType="separate"/>
        </w:r>
        <w:r w:rsidR="0042254C">
          <w:rPr>
            <w:noProof/>
            <w:webHidden/>
          </w:rPr>
          <w:t>9</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5" w:history="1">
        <w:r w:rsidR="0042254C" w:rsidRPr="008D1959">
          <w:rPr>
            <w:rStyle w:val="Hyperlink"/>
            <w:noProof/>
          </w:rPr>
          <w:t>iv)</w:t>
        </w:r>
        <w:r w:rsidR="0042254C">
          <w:rPr>
            <w:rFonts w:asciiTheme="minorHAnsi" w:eastAsiaTheme="minorEastAsia" w:hAnsiTheme="minorHAnsi" w:cstheme="minorBidi"/>
            <w:noProof/>
            <w:szCs w:val="22"/>
            <w:lang w:val="fr-FR" w:eastAsia="fr-FR"/>
          </w:rPr>
          <w:tab/>
        </w:r>
        <w:r w:rsidR="0042254C" w:rsidRPr="008D1959">
          <w:rPr>
            <w:rStyle w:val="Hyperlink"/>
            <w:noProof/>
          </w:rPr>
          <w:t>Principales étapes d’évaluation</w:t>
        </w:r>
        <w:r w:rsidR="0042254C">
          <w:rPr>
            <w:noProof/>
            <w:webHidden/>
          </w:rPr>
          <w:tab/>
        </w:r>
        <w:r w:rsidR="0042254C">
          <w:rPr>
            <w:noProof/>
            <w:webHidden/>
          </w:rPr>
          <w:fldChar w:fldCharType="begin"/>
        </w:r>
        <w:r w:rsidR="0042254C">
          <w:rPr>
            <w:noProof/>
            <w:webHidden/>
          </w:rPr>
          <w:instrText xml:space="preserve"> PAGEREF _Toc3880375 \h </w:instrText>
        </w:r>
        <w:r w:rsidR="0042254C">
          <w:rPr>
            <w:noProof/>
            <w:webHidden/>
          </w:rPr>
        </w:r>
        <w:r w:rsidR="0042254C">
          <w:rPr>
            <w:noProof/>
            <w:webHidden/>
          </w:rPr>
          <w:fldChar w:fldCharType="separate"/>
        </w:r>
        <w:r w:rsidR="0042254C">
          <w:rPr>
            <w:noProof/>
            <w:webHidden/>
          </w:rPr>
          <w:t>11</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6" w:history="1">
        <w:r w:rsidR="0042254C" w:rsidRPr="008D1959">
          <w:rPr>
            <w:rStyle w:val="Hyperlink"/>
            <w:noProof/>
          </w:rPr>
          <w:t>v)</w:t>
        </w:r>
        <w:r w:rsidR="0042254C">
          <w:rPr>
            <w:rFonts w:asciiTheme="minorHAnsi" w:eastAsiaTheme="minorEastAsia" w:hAnsiTheme="minorHAnsi" w:cstheme="minorBidi"/>
            <w:noProof/>
            <w:szCs w:val="22"/>
            <w:lang w:val="fr-FR" w:eastAsia="fr-FR"/>
          </w:rPr>
          <w:tab/>
        </w:r>
        <w:r w:rsidR="0042254C" w:rsidRPr="008D1959">
          <w:rPr>
            <w:rStyle w:val="Hyperlink"/>
            <w:noProof/>
          </w:rPr>
          <w:t>Principales limites de la présente évaluation</w:t>
        </w:r>
        <w:r w:rsidR="0042254C">
          <w:rPr>
            <w:noProof/>
            <w:webHidden/>
          </w:rPr>
          <w:tab/>
        </w:r>
        <w:r w:rsidR="0042254C">
          <w:rPr>
            <w:noProof/>
            <w:webHidden/>
          </w:rPr>
          <w:fldChar w:fldCharType="begin"/>
        </w:r>
        <w:r w:rsidR="0042254C">
          <w:rPr>
            <w:noProof/>
            <w:webHidden/>
          </w:rPr>
          <w:instrText xml:space="preserve"> PAGEREF _Toc3880376 \h </w:instrText>
        </w:r>
        <w:r w:rsidR="0042254C">
          <w:rPr>
            <w:noProof/>
            <w:webHidden/>
          </w:rPr>
        </w:r>
        <w:r w:rsidR="0042254C">
          <w:rPr>
            <w:noProof/>
            <w:webHidden/>
          </w:rPr>
          <w:fldChar w:fldCharType="separate"/>
        </w:r>
        <w:r w:rsidR="0042254C">
          <w:rPr>
            <w:noProof/>
            <w:webHidden/>
          </w:rPr>
          <w:t>11</w:t>
        </w:r>
        <w:r w:rsidR="0042254C">
          <w:rPr>
            <w:noProof/>
            <w:webHidden/>
          </w:rPr>
          <w:fldChar w:fldCharType="end"/>
        </w:r>
      </w:hyperlink>
    </w:p>
    <w:p w:rsidR="0042254C" w:rsidRDefault="00EF05D8">
      <w:pPr>
        <w:pStyle w:val="TOC1"/>
        <w:tabs>
          <w:tab w:val="left" w:pos="440"/>
          <w:tab w:val="right" w:leader="dot" w:pos="9346"/>
        </w:tabs>
        <w:rPr>
          <w:rFonts w:asciiTheme="minorHAnsi" w:eastAsiaTheme="minorEastAsia" w:hAnsiTheme="minorHAnsi" w:cstheme="minorBidi"/>
          <w:b w:val="0"/>
          <w:caps w:val="0"/>
          <w:noProof/>
          <w:szCs w:val="22"/>
          <w:lang w:val="fr-FR" w:eastAsia="fr-FR"/>
        </w:rPr>
      </w:pPr>
      <w:hyperlink w:anchor="_Toc3880377" w:history="1">
        <w:r w:rsidR="0042254C" w:rsidRPr="008D1959">
          <w:rPr>
            <w:rStyle w:val="Hyperlink"/>
            <w:noProof/>
          </w:rPr>
          <w:t>2.</w:t>
        </w:r>
        <w:r w:rsidR="0042254C">
          <w:rPr>
            <w:rFonts w:asciiTheme="minorHAnsi" w:eastAsiaTheme="minorEastAsia" w:hAnsiTheme="minorHAnsi" w:cstheme="minorBidi"/>
            <w:b w:val="0"/>
            <w:caps w:val="0"/>
            <w:noProof/>
            <w:szCs w:val="22"/>
            <w:lang w:val="fr-FR" w:eastAsia="fr-FR"/>
          </w:rPr>
          <w:tab/>
        </w:r>
        <w:r w:rsidR="0042254C" w:rsidRPr="008D1959">
          <w:rPr>
            <w:rStyle w:val="Hyperlink"/>
            <w:noProof/>
          </w:rPr>
          <w:t>Constatations et évaluation</w:t>
        </w:r>
        <w:r w:rsidR="0042254C">
          <w:rPr>
            <w:noProof/>
            <w:webHidden/>
          </w:rPr>
          <w:tab/>
        </w:r>
        <w:r w:rsidR="0042254C">
          <w:rPr>
            <w:noProof/>
            <w:webHidden/>
          </w:rPr>
          <w:fldChar w:fldCharType="begin"/>
        </w:r>
        <w:r w:rsidR="0042254C">
          <w:rPr>
            <w:noProof/>
            <w:webHidden/>
          </w:rPr>
          <w:instrText xml:space="preserve"> PAGEREF _Toc3880377 \h </w:instrText>
        </w:r>
        <w:r w:rsidR="0042254C">
          <w:rPr>
            <w:noProof/>
            <w:webHidden/>
          </w:rPr>
        </w:r>
        <w:r w:rsidR="0042254C">
          <w:rPr>
            <w:noProof/>
            <w:webHidden/>
          </w:rPr>
          <w:fldChar w:fldCharType="separate"/>
        </w:r>
        <w:r w:rsidR="0042254C">
          <w:rPr>
            <w:noProof/>
            <w:webHidden/>
          </w:rPr>
          <w:t>11</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78" w:history="1">
        <w:r w:rsidR="0042254C" w:rsidRPr="008D1959">
          <w:rPr>
            <w:rStyle w:val="Hyperlink"/>
            <w:noProof/>
          </w:rPr>
          <w:t>A)</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Préparation et gestion du projet</w:t>
        </w:r>
        <w:r w:rsidR="0042254C">
          <w:rPr>
            <w:noProof/>
            <w:webHidden/>
          </w:rPr>
          <w:tab/>
        </w:r>
        <w:r w:rsidR="0042254C">
          <w:rPr>
            <w:noProof/>
            <w:webHidden/>
          </w:rPr>
          <w:fldChar w:fldCharType="begin"/>
        </w:r>
        <w:r w:rsidR="0042254C">
          <w:rPr>
            <w:noProof/>
            <w:webHidden/>
          </w:rPr>
          <w:instrText xml:space="preserve"> PAGEREF _Toc3880378 \h </w:instrText>
        </w:r>
        <w:r w:rsidR="0042254C">
          <w:rPr>
            <w:noProof/>
            <w:webHidden/>
          </w:rPr>
        </w:r>
        <w:r w:rsidR="0042254C">
          <w:rPr>
            <w:noProof/>
            <w:webHidden/>
          </w:rPr>
          <w:fldChar w:fldCharType="separate"/>
        </w:r>
        <w:r w:rsidR="0042254C">
          <w:rPr>
            <w:noProof/>
            <w:webHidden/>
          </w:rPr>
          <w:t>11</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79" w:history="1">
        <w:r w:rsidR="0042254C" w:rsidRPr="008D1959">
          <w:rPr>
            <w:rStyle w:val="Hyperlink"/>
            <w:noProof/>
          </w:rPr>
          <w:t>i)</w:t>
        </w:r>
        <w:r w:rsidR="0042254C">
          <w:rPr>
            <w:rFonts w:asciiTheme="minorHAnsi" w:eastAsiaTheme="minorEastAsia" w:hAnsiTheme="minorHAnsi" w:cstheme="minorBidi"/>
            <w:noProof/>
            <w:szCs w:val="22"/>
            <w:lang w:val="fr-FR" w:eastAsia="fr-FR"/>
          </w:rPr>
          <w:tab/>
        </w:r>
        <w:r w:rsidR="0042254C" w:rsidRPr="008D1959">
          <w:rPr>
            <w:rStyle w:val="Hyperlink"/>
            <w:noProof/>
          </w:rPr>
          <w:t>Préparation du projet</w:t>
        </w:r>
        <w:r w:rsidR="0042254C">
          <w:rPr>
            <w:noProof/>
            <w:webHidden/>
          </w:rPr>
          <w:tab/>
        </w:r>
        <w:r w:rsidR="0042254C">
          <w:rPr>
            <w:noProof/>
            <w:webHidden/>
          </w:rPr>
          <w:fldChar w:fldCharType="begin"/>
        </w:r>
        <w:r w:rsidR="0042254C">
          <w:rPr>
            <w:noProof/>
            <w:webHidden/>
          </w:rPr>
          <w:instrText xml:space="preserve"> PAGEREF _Toc3880379 \h </w:instrText>
        </w:r>
        <w:r w:rsidR="0042254C">
          <w:rPr>
            <w:noProof/>
            <w:webHidden/>
          </w:rPr>
        </w:r>
        <w:r w:rsidR="0042254C">
          <w:rPr>
            <w:noProof/>
            <w:webHidden/>
          </w:rPr>
          <w:fldChar w:fldCharType="separate"/>
        </w:r>
        <w:r w:rsidR="0042254C">
          <w:rPr>
            <w:noProof/>
            <w:webHidden/>
          </w:rPr>
          <w:t>11</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0" w:history="1">
        <w:r w:rsidR="0042254C" w:rsidRPr="008D1959">
          <w:rPr>
            <w:rStyle w:val="Hyperlink"/>
            <w:noProof/>
          </w:rPr>
          <w:t>ii)</w:t>
        </w:r>
        <w:r w:rsidR="0042254C">
          <w:rPr>
            <w:rFonts w:asciiTheme="minorHAnsi" w:eastAsiaTheme="minorEastAsia" w:hAnsiTheme="minorHAnsi" w:cstheme="minorBidi"/>
            <w:noProof/>
            <w:szCs w:val="22"/>
            <w:lang w:val="fr-FR" w:eastAsia="fr-FR"/>
          </w:rPr>
          <w:tab/>
        </w:r>
        <w:r w:rsidR="0042254C" w:rsidRPr="008D1959">
          <w:rPr>
            <w:rStyle w:val="Hyperlink"/>
            <w:noProof/>
          </w:rPr>
          <w:t>Utilisation d’outils de planification du projet (au stade de la planification)</w:t>
        </w:r>
        <w:r w:rsidR="0042254C">
          <w:rPr>
            <w:noProof/>
            <w:webHidden/>
          </w:rPr>
          <w:tab/>
        </w:r>
        <w:r w:rsidR="0042254C">
          <w:rPr>
            <w:noProof/>
            <w:webHidden/>
          </w:rPr>
          <w:fldChar w:fldCharType="begin"/>
        </w:r>
        <w:r w:rsidR="0042254C">
          <w:rPr>
            <w:noProof/>
            <w:webHidden/>
          </w:rPr>
          <w:instrText xml:space="preserve"> PAGEREF _Toc3880380 \h </w:instrText>
        </w:r>
        <w:r w:rsidR="0042254C">
          <w:rPr>
            <w:noProof/>
            <w:webHidden/>
          </w:rPr>
        </w:r>
        <w:r w:rsidR="0042254C">
          <w:rPr>
            <w:noProof/>
            <w:webHidden/>
          </w:rPr>
          <w:fldChar w:fldCharType="separate"/>
        </w:r>
        <w:r w:rsidR="0042254C">
          <w:rPr>
            <w:noProof/>
            <w:webHidden/>
          </w:rPr>
          <w:t>12</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1" w:history="1">
        <w:r w:rsidR="0042254C" w:rsidRPr="008D1959">
          <w:rPr>
            <w:rStyle w:val="Hyperlink"/>
            <w:noProof/>
          </w:rPr>
          <w:t>iii)</w:t>
        </w:r>
        <w:r w:rsidR="0042254C">
          <w:rPr>
            <w:rFonts w:asciiTheme="minorHAnsi" w:eastAsiaTheme="minorEastAsia" w:hAnsiTheme="minorHAnsi" w:cstheme="minorBidi"/>
            <w:noProof/>
            <w:szCs w:val="22"/>
            <w:lang w:val="fr-FR" w:eastAsia="fr-FR"/>
          </w:rPr>
          <w:tab/>
        </w:r>
        <w:r w:rsidR="0042254C" w:rsidRPr="008D1959">
          <w:rPr>
            <w:rStyle w:val="Hyperlink"/>
            <w:noProof/>
          </w:rPr>
          <w:t>Gestion du projet</w:t>
        </w:r>
        <w:r w:rsidR="0042254C">
          <w:rPr>
            <w:noProof/>
            <w:webHidden/>
          </w:rPr>
          <w:tab/>
        </w:r>
        <w:r w:rsidR="0042254C">
          <w:rPr>
            <w:noProof/>
            <w:webHidden/>
          </w:rPr>
          <w:fldChar w:fldCharType="begin"/>
        </w:r>
        <w:r w:rsidR="0042254C">
          <w:rPr>
            <w:noProof/>
            <w:webHidden/>
          </w:rPr>
          <w:instrText xml:space="preserve"> PAGEREF _Toc3880381 \h </w:instrText>
        </w:r>
        <w:r w:rsidR="0042254C">
          <w:rPr>
            <w:noProof/>
            <w:webHidden/>
          </w:rPr>
        </w:r>
        <w:r w:rsidR="0042254C">
          <w:rPr>
            <w:noProof/>
            <w:webHidden/>
          </w:rPr>
          <w:fldChar w:fldCharType="separate"/>
        </w:r>
        <w:r w:rsidR="0042254C">
          <w:rPr>
            <w:noProof/>
            <w:webHidden/>
          </w:rPr>
          <w:t>13</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82" w:history="1">
        <w:r w:rsidR="0042254C" w:rsidRPr="008D1959">
          <w:rPr>
            <w:rStyle w:val="Hyperlink"/>
            <w:noProof/>
          </w:rPr>
          <w:t>B)</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Pertinence</w:t>
        </w:r>
        <w:r w:rsidR="0042254C">
          <w:rPr>
            <w:noProof/>
            <w:webHidden/>
          </w:rPr>
          <w:tab/>
        </w:r>
        <w:r w:rsidR="0042254C">
          <w:rPr>
            <w:noProof/>
            <w:webHidden/>
          </w:rPr>
          <w:fldChar w:fldCharType="begin"/>
        </w:r>
        <w:r w:rsidR="0042254C">
          <w:rPr>
            <w:noProof/>
            <w:webHidden/>
          </w:rPr>
          <w:instrText xml:space="preserve"> PAGEREF _Toc3880382 \h </w:instrText>
        </w:r>
        <w:r w:rsidR="0042254C">
          <w:rPr>
            <w:noProof/>
            <w:webHidden/>
          </w:rPr>
        </w:r>
        <w:r w:rsidR="0042254C">
          <w:rPr>
            <w:noProof/>
            <w:webHidden/>
          </w:rPr>
          <w:fldChar w:fldCharType="separate"/>
        </w:r>
        <w:r w:rsidR="0042254C">
          <w:rPr>
            <w:noProof/>
            <w:webHidden/>
          </w:rPr>
          <w:t>13</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3" w:history="1">
        <w:r w:rsidR="0042254C" w:rsidRPr="008D1959">
          <w:rPr>
            <w:rStyle w:val="Hyperlink"/>
            <w:noProof/>
          </w:rPr>
          <w:t>i)</w:t>
        </w:r>
        <w:r w:rsidR="0042254C">
          <w:rPr>
            <w:rFonts w:asciiTheme="minorHAnsi" w:eastAsiaTheme="minorEastAsia" w:hAnsiTheme="minorHAnsi" w:cstheme="minorBidi"/>
            <w:noProof/>
            <w:szCs w:val="22"/>
            <w:lang w:val="fr-FR" w:eastAsia="fr-FR"/>
          </w:rPr>
          <w:tab/>
        </w:r>
        <w:r w:rsidR="0042254C" w:rsidRPr="008D1959">
          <w:rPr>
            <w:rStyle w:val="Hyperlink"/>
            <w:noProof/>
          </w:rPr>
          <w:t>Pertinence générale</w:t>
        </w:r>
        <w:r w:rsidR="0042254C">
          <w:rPr>
            <w:noProof/>
            <w:webHidden/>
          </w:rPr>
          <w:tab/>
        </w:r>
        <w:r w:rsidR="0042254C">
          <w:rPr>
            <w:noProof/>
            <w:webHidden/>
          </w:rPr>
          <w:fldChar w:fldCharType="begin"/>
        </w:r>
        <w:r w:rsidR="0042254C">
          <w:rPr>
            <w:noProof/>
            <w:webHidden/>
          </w:rPr>
          <w:instrText xml:space="preserve"> PAGEREF _Toc3880383 \h </w:instrText>
        </w:r>
        <w:r w:rsidR="0042254C">
          <w:rPr>
            <w:noProof/>
            <w:webHidden/>
          </w:rPr>
        </w:r>
        <w:r w:rsidR="0042254C">
          <w:rPr>
            <w:noProof/>
            <w:webHidden/>
          </w:rPr>
          <w:fldChar w:fldCharType="separate"/>
        </w:r>
        <w:r w:rsidR="0042254C">
          <w:rPr>
            <w:noProof/>
            <w:webHidden/>
          </w:rPr>
          <w:t>13</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4" w:history="1">
        <w:r w:rsidR="0042254C" w:rsidRPr="008D1959">
          <w:rPr>
            <w:rStyle w:val="Hyperlink"/>
            <w:noProof/>
          </w:rPr>
          <w:t>ii)</w:t>
        </w:r>
        <w:r w:rsidR="0042254C">
          <w:rPr>
            <w:rFonts w:asciiTheme="minorHAnsi" w:eastAsiaTheme="minorEastAsia" w:hAnsiTheme="minorHAnsi" w:cstheme="minorBidi"/>
            <w:noProof/>
            <w:szCs w:val="22"/>
            <w:lang w:val="fr-FR" w:eastAsia="fr-FR"/>
          </w:rPr>
          <w:tab/>
        </w:r>
        <w:r w:rsidR="0042254C" w:rsidRPr="008D1959">
          <w:rPr>
            <w:rStyle w:val="Hyperlink"/>
            <w:noProof/>
          </w:rPr>
          <w:t>Pertinence pour les bénéficiaires</w:t>
        </w:r>
        <w:r w:rsidR="0042254C">
          <w:rPr>
            <w:noProof/>
            <w:webHidden/>
          </w:rPr>
          <w:tab/>
        </w:r>
        <w:r w:rsidR="0042254C">
          <w:rPr>
            <w:noProof/>
            <w:webHidden/>
          </w:rPr>
          <w:fldChar w:fldCharType="begin"/>
        </w:r>
        <w:r w:rsidR="0042254C">
          <w:rPr>
            <w:noProof/>
            <w:webHidden/>
          </w:rPr>
          <w:instrText xml:space="preserve"> PAGEREF _Toc3880384 \h </w:instrText>
        </w:r>
        <w:r w:rsidR="0042254C">
          <w:rPr>
            <w:noProof/>
            <w:webHidden/>
          </w:rPr>
        </w:r>
        <w:r w:rsidR="0042254C">
          <w:rPr>
            <w:noProof/>
            <w:webHidden/>
          </w:rPr>
          <w:fldChar w:fldCharType="separate"/>
        </w:r>
        <w:r w:rsidR="0042254C">
          <w:rPr>
            <w:noProof/>
            <w:webHidden/>
          </w:rPr>
          <w:t>15</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85" w:history="1">
        <w:r w:rsidR="0042254C" w:rsidRPr="008D1959">
          <w:rPr>
            <w:rStyle w:val="Hyperlink"/>
            <w:noProof/>
          </w:rPr>
          <w:t>C)</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Efficacité</w:t>
        </w:r>
        <w:r w:rsidR="0042254C">
          <w:rPr>
            <w:noProof/>
            <w:webHidden/>
          </w:rPr>
          <w:tab/>
        </w:r>
        <w:r w:rsidR="0042254C">
          <w:rPr>
            <w:noProof/>
            <w:webHidden/>
          </w:rPr>
          <w:fldChar w:fldCharType="begin"/>
        </w:r>
        <w:r w:rsidR="0042254C">
          <w:rPr>
            <w:noProof/>
            <w:webHidden/>
          </w:rPr>
          <w:instrText xml:space="preserve"> PAGEREF _Toc3880385 \h </w:instrText>
        </w:r>
        <w:r w:rsidR="0042254C">
          <w:rPr>
            <w:noProof/>
            <w:webHidden/>
          </w:rPr>
        </w:r>
        <w:r w:rsidR="0042254C">
          <w:rPr>
            <w:noProof/>
            <w:webHidden/>
          </w:rPr>
          <w:fldChar w:fldCharType="separate"/>
        </w:r>
        <w:r w:rsidR="0042254C">
          <w:rPr>
            <w:noProof/>
            <w:webHidden/>
          </w:rPr>
          <w:t>16</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6" w:history="1">
        <w:r w:rsidR="0042254C" w:rsidRPr="008D1959">
          <w:rPr>
            <w:rStyle w:val="Hyperlink"/>
            <w:noProof/>
          </w:rPr>
          <w:t>i)</w:t>
        </w:r>
        <w:r w:rsidR="0042254C">
          <w:rPr>
            <w:rFonts w:asciiTheme="minorHAnsi" w:eastAsiaTheme="minorEastAsia" w:hAnsiTheme="minorHAnsi" w:cstheme="minorBidi"/>
            <w:noProof/>
            <w:szCs w:val="22"/>
            <w:lang w:val="fr-FR" w:eastAsia="fr-FR"/>
          </w:rPr>
          <w:tab/>
        </w:r>
        <w:r w:rsidR="0042254C" w:rsidRPr="008D1959">
          <w:rPr>
            <w:rStyle w:val="Hyperlink"/>
            <w:noProof/>
          </w:rPr>
          <w:t>Séminaires, ateliers, formations et voyages d’étude</w:t>
        </w:r>
        <w:r w:rsidR="0042254C">
          <w:rPr>
            <w:noProof/>
            <w:webHidden/>
          </w:rPr>
          <w:tab/>
        </w:r>
        <w:r w:rsidR="0042254C">
          <w:rPr>
            <w:noProof/>
            <w:webHidden/>
          </w:rPr>
          <w:fldChar w:fldCharType="begin"/>
        </w:r>
        <w:r w:rsidR="0042254C">
          <w:rPr>
            <w:noProof/>
            <w:webHidden/>
          </w:rPr>
          <w:instrText xml:space="preserve"> PAGEREF _Toc3880386 \h </w:instrText>
        </w:r>
        <w:r w:rsidR="0042254C">
          <w:rPr>
            <w:noProof/>
            <w:webHidden/>
          </w:rPr>
        </w:r>
        <w:r w:rsidR="0042254C">
          <w:rPr>
            <w:noProof/>
            <w:webHidden/>
          </w:rPr>
          <w:fldChar w:fldCharType="separate"/>
        </w:r>
        <w:r w:rsidR="0042254C">
          <w:rPr>
            <w:noProof/>
            <w:webHidden/>
          </w:rPr>
          <w:t>16</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7" w:history="1">
        <w:r w:rsidR="0042254C" w:rsidRPr="008D1959">
          <w:rPr>
            <w:rStyle w:val="Hyperlink"/>
            <w:noProof/>
          </w:rPr>
          <w:t>ii)</w:t>
        </w:r>
        <w:r w:rsidR="0042254C">
          <w:rPr>
            <w:rFonts w:asciiTheme="minorHAnsi" w:eastAsiaTheme="minorEastAsia" w:hAnsiTheme="minorHAnsi" w:cstheme="minorBidi"/>
            <w:noProof/>
            <w:szCs w:val="22"/>
            <w:lang w:val="fr-FR" w:eastAsia="fr-FR"/>
          </w:rPr>
          <w:tab/>
        </w:r>
        <w:r w:rsidR="0042254C" w:rsidRPr="008D1959">
          <w:rPr>
            <w:rStyle w:val="Hyperlink"/>
            <w:noProof/>
          </w:rPr>
          <w:t>Étude de faisabilité</w:t>
        </w:r>
        <w:r w:rsidR="0042254C">
          <w:rPr>
            <w:noProof/>
            <w:webHidden/>
          </w:rPr>
          <w:tab/>
        </w:r>
        <w:r w:rsidR="0042254C">
          <w:rPr>
            <w:noProof/>
            <w:webHidden/>
          </w:rPr>
          <w:fldChar w:fldCharType="begin"/>
        </w:r>
        <w:r w:rsidR="0042254C">
          <w:rPr>
            <w:noProof/>
            <w:webHidden/>
          </w:rPr>
          <w:instrText xml:space="preserve"> PAGEREF _Toc3880387 \h </w:instrText>
        </w:r>
        <w:r w:rsidR="0042254C">
          <w:rPr>
            <w:noProof/>
            <w:webHidden/>
          </w:rPr>
        </w:r>
        <w:r w:rsidR="0042254C">
          <w:rPr>
            <w:noProof/>
            <w:webHidden/>
          </w:rPr>
          <w:fldChar w:fldCharType="separate"/>
        </w:r>
        <w:r w:rsidR="0042254C">
          <w:rPr>
            <w:noProof/>
            <w:webHidden/>
          </w:rPr>
          <w:t>17</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8" w:history="1">
        <w:r w:rsidR="0042254C" w:rsidRPr="008D1959">
          <w:rPr>
            <w:rStyle w:val="Hyperlink"/>
            <w:noProof/>
          </w:rPr>
          <w:t>iii)</w:t>
        </w:r>
        <w:r w:rsidR="0042254C">
          <w:rPr>
            <w:rFonts w:asciiTheme="minorHAnsi" w:eastAsiaTheme="minorEastAsia" w:hAnsiTheme="minorHAnsi" w:cstheme="minorBidi"/>
            <w:noProof/>
            <w:szCs w:val="22"/>
            <w:lang w:val="fr-FR" w:eastAsia="fr-FR"/>
          </w:rPr>
          <w:tab/>
        </w:r>
        <w:r w:rsidR="0042254C" w:rsidRPr="008D1959">
          <w:rPr>
            <w:rStyle w:val="Hyperlink"/>
            <w:noProof/>
          </w:rPr>
          <w:t>Supports de formation</w:t>
        </w:r>
        <w:r w:rsidR="0042254C">
          <w:rPr>
            <w:noProof/>
            <w:webHidden/>
          </w:rPr>
          <w:tab/>
        </w:r>
        <w:r w:rsidR="0042254C">
          <w:rPr>
            <w:noProof/>
            <w:webHidden/>
          </w:rPr>
          <w:fldChar w:fldCharType="begin"/>
        </w:r>
        <w:r w:rsidR="0042254C">
          <w:rPr>
            <w:noProof/>
            <w:webHidden/>
          </w:rPr>
          <w:instrText xml:space="preserve"> PAGEREF _Toc3880388 \h </w:instrText>
        </w:r>
        <w:r w:rsidR="0042254C">
          <w:rPr>
            <w:noProof/>
            <w:webHidden/>
          </w:rPr>
        </w:r>
        <w:r w:rsidR="0042254C">
          <w:rPr>
            <w:noProof/>
            <w:webHidden/>
          </w:rPr>
          <w:fldChar w:fldCharType="separate"/>
        </w:r>
        <w:r w:rsidR="0042254C">
          <w:rPr>
            <w:noProof/>
            <w:webHidden/>
          </w:rPr>
          <w:t>18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89" w:history="1">
        <w:r w:rsidR="0042254C" w:rsidRPr="008D1959">
          <w:rPr>
            <w:rStyle w:val="Hyperlink"/>
            <w:noProof/>
          </w:rPr>
          <w:t>iv)</w:t>
        </w:r>
        <w:r w:rsidR="0042254C">
          <w:rPr>
            <w:rFonts w:asciiTheme="minorHAnsi" w:eastAsiaTheme="minorEastAsia" w:hAnsiTheme="minorHAnsi" w:cstheme="minorBidi"/>
            <w:noProof/>
            <w:szCs w:val="22"/>
            <w:lang w:val="fr-FR" w:eastAsia="fr-FR"/>
          </w:rPr>
          <w:tab/>
        </w:r>
        <w:r w:rsidR="0042254C" w:rsidRPr="008D1959">
          <w:rPr>
            <w:rStyle w:val="Hyperlink"/>
            <w:noProof/>
          </w:rPr>
          <w:t>Évaluation de la qualité des produits</w:t>
        </w:r>
        <w:r w:rsidR="0042254C">
          <w:rPr>
            <w:noProof/>
            <w:webHidden/>
          </w:rPr>
          <w:tab/>
        </w:r>
        <w:r w:rsidR="0042254C">
          <w:rPr>
            <w:noProof/>
            <w:webHidden/>
          </w:rPr>
          <w:fldChar w:fldCharType="begin"/>
        </w:r>
        <w:r w:rsidR="0042254C">
          <w:rPr>
            <w:noProof/>
            <w:webHidden/>
          </w:rPr>
          <w:instrText xml:space="preserve"> PAGEREF _Toc3880389 \h </w:instrText>
        </w:r>
        <w:r w:rsidR="0042254C">
          <w:rPr>
            <w:noProof/>
            <w:webHidden/>
          </w:rPr>
        </w:r>
        <w:r w:rsidR="0042254C">
          <w:rPr>
            <w:noProof/>
            <w:webHidden/>
          </w:rPr>
          <w:fldChar w:fldCharType="separate"/>
        </w:r>
        <w:r w:rsidR="0042254C">
          <w:rPr>
            <w:noProof/>
            <w:webHidden/>
          </w:rPr>
          <w:t>18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90" w:history="1">
        <w:r w:rsidR="0042254C" w:rsidRPr="008D1959">
          <w:rPr>
            <w:rStyle w:val="Hyperlink"/>
            <w:noProof/>
          </w:rPr>
          <w:t>v)</w:t>
        </w:r>
        <w:r w:rsidR="0042254C">
          <w:rPr>
            <w:rFonts w:asciiTheme="minorHAnsi" w:eastAsiaTheme="minorEastAsia" w:hAnsiTheme="minorHAnsi" w:cstheme="minorBidi"/>
            <w:noProof/>
            <w:szCs w:val="22"/>
            <w:lang w:val="fr-FR" w:eastAsia="fr-FR"/>
          </w:rPr>
          <w:tab/>
        </w:r>
        <w:r w:rsidR="0042254C" w:rsidRPr="008D1959">
          <w:rPr>
            <w:rStyle w:val="Hyperlink"/>
            <w:noProof/>
          </w:rPr>
          <w:t>Premiers résultats observés</w:t>
        </w:r>
        <w:r w:rsidR="0042254C">
          <w:rPr>
            <w:noProof/>
            <w:webHidden/>
          </w:rPr>
          <w:tab/>
        </w:r>
        <w:r w:rsidR="0042254C">
          <w:rPr>
            <w:noProof/>
            <w:webHidden/>
          </w:rPr>
          <w:fldChar w:fldCharType="begin"/>
        </w:r>
        <w:r w:rsidR="0042254C">
          <w:rPr>
            <w:noProof/>
            <w:webHidden/>
          </w:rPr>
          <w:instrText xml:space="preserve"> PAGEREF _Toc3880390 \h </w:instrText>
        </w:r>
        <w:r w:rsidR="0042254C">
          <w:rPr>
            <w:noProof/>
            <w:webHidden/>
          </w:rPr>
        </w:r>
        <w:r w:rsidR="0042254C">
          <w:rPr>
            <w:noProof/>
            <w:webHidden/>
          </w:rPr>
          <w:fldChar w:fldCharType="separate"/>
        </w:r>
        <w:r w:rsidR="0042254C">
          <w:rPr>
            <w:noProof/>
            <w:webHidden/>
          </w:rPr>
          <w:t>18</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91" w:history="1">
        <w:r w:rsidR="0042254C" w:rsidRPr="008D1959">
          <w:rPr>
            <w:rStyle w:val="Hyperlink"/>
            <w:noProof/>
          </w:rPr>
          <w:t>vi)</w:t>
        </w:r>
        <w:r w:rsidR="0042254C">
          <w:rPr>
            <w:rFonts w:asciiTheme="minorHAnsi" w:eastAsiaTheme="minorEastAsia" w:hAnsiTheme="minorHAnsi" w:cstheme="minorBidi"/>
            <w:noProof/>
            <w:szCs w:val="22"/>
            <w:lang w:val="fr-FR" w:eastAsia="fr-FR"/>
          </w:rPr>
          <w:tab/>
        </w:r>
        <w:r w:rsidR="0042254C" w:rsidRPr="008D1959">
          <w:rPr>
            <w:rStyle w:val="Hyperlink"/>
            <w:noProof/>
          </w:rPr>
          <w:t>Impact</w:t>
        </w:r>
        <w:r w:rsidR="0042254C">
          <w:rPr>
            <w:noProof/>
            <w:webHidden/>
          </w:rPr>
          <w:tab/>
        </w:r>
        <w:r w:rsidR="0042254C">
          <w:rPr>
            <w:noProof/>
            <w:webHidden/>
          </w:rPr>
          <w:fldChar w:fldCharType="begin"/>
        </w:r>
        <w:r w:rsidR="0042254C">
          <w:rPr>
            <w:noProof/>
            <w:webHidden/>
          </w:rPr>
          <w:instrText xml:space="preserve"> PAGEREF _Toc3880391 \h </w:instrText>
        </w:r>
        <w:r w:rsidR="0042254C">
          <w:rPr>
            <w:noProof/>
            <w:webHidden/>
          </w:rPr>
        </w:r>
        <w:r w:rsidR="0042254C">
          <w:rPr>
            <w:noProof/>
            <w:webHidden/>
          </w:rPr>
          <w:fldChar w:fldCharType="separate"/>
        </w:r>
        <w:r w:rsidR="0042254C">
          <w:rPr>
            <w:noProof/>
            <w:webHidden/>
          </w:rPr>
          <w:t>19</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92" w:history="1">
        <w:r w:rsidR="0042254C" w:rsidRPr="008D1959">
          <w:rPr>
            <w:rStyle w:val="Hyperlink"/>
            <w:noProof/>
          </w:rPr>
          <w:t>D)</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Efficience</w:t>
        </w:r>
        <w:r w:rsidR="0042254C">
          <w:rPr>
            <w:noProof/>
            <w:webHidden/>
          </w:rPr>
          <w:tab/>
        </w:r>
        <w:r w:rsidR="0042254C">
          <w:rPr>
            <w:noProof/>
            <w:webHidden/>
          </w:rPr>
          <w:fldChar w:fldCharType="begin"/>
        </w:r>
        <w:r w:rsidR="0042254C">
          <w:rPr>
            <w:noProof/>
            <w:webHidden/>
          </w:rPr>
          <w:instrText xml:space="preserve"> PAGEREF _Toc3880392 \h </w:instrText>
        </w:r>
        <w:r w:rsidR="0042254C">
          <w:rPr>
            <w:noProof/>
            <w:webHidden/>
          </w:rPr>
        </w:r>
        <w:r w:rsidR="0042254C">
          <w:rPr>
            <w:noProof/>
            <w:webHidden/>
          </w:rPr>
          <w:fldChar w:fldCharType="separate"/>
        </w:r>
        <w:r w:rsidR="0042254C">
          <w:rPr>
            <w:noProof/>
            <w:webHidden/>
          </w:rPr>
          <w:t>19</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93" w:history="1">
        <w:r w:rsidR="0042254C" w:rsidRPr="008D1959">
          <w:rPr>
            <w:rStyle w:val="Hyperlink"/>
            <w:noProof/>
          </w:rPr>
          <w:t>i)</w:t>
        </w:r>
        <w:r w:rsidR="0042254C">
          <w:rPr>
            <w:rFonts w:asciiTheme="minorHAnsi" w:eastAsiaTheme="minorEastAsia" w:hAnsiTheme="minorHAnsi" w:cstheme="minorBidi"/>
            <w:noProof/>
            <w:szCs w:val="22"/>
            <w:lang w:val="fr-FR" w:eastAsia="fr-FR"/>
          </w:rPr>
          <w:tab/>
        </w:r>
        <w:r w:rsidR="0042254C" w:rsidRPr="008D1959">
          <w:rPr>
            <w:rStyle w:val="Hyperlink"/>
            <w:noProof/>
          </w:rPr>
          <w:t>Exécution financière</w:t>
        </w:r>
        <w:r w:rsidR="0042254C">
          <w:rPr>
            <w:noProof/>
            <w:webHidden/>
          </w:rPr>
          <w:tab/>
        </w:r>
        <w:r w:rsidR="0042254C">
          <w:rPr>
            <w:noProof/>
            <w:webHidden/>
          </w:rPr>
          <w:fldChar w:fldCharType="begin"/>
        </w:r>
        <w:r w:rsidR="0042254C">
          <w:rPr>
            <w:noProof/>
            <w:webHidden/>
          </w:rPr>
          <w:instrText xml:space="preserve"> PAGEREF _Toc3880393 \h </w:instrText>
        </w:r>
        <w:r w:rsidR="0042254C">
          <w:rPr>
            <w:noProof/>
            <w:webHidden/>
          </w:rPr>
        </w:r>
        <w:r w:rsidR="0042254C">
          <w:rPr>
            <w:noProof/>
            <w:webHidden/>
          </w:rPr>
          <w:fldChar w:fldCharType="separate"/>
        </w:r>
        <w:r w:rsidR="0042254C">
          <w:rPr>
            <w:noProof/>
            <w:webHidden/>
          </w:rPr>
          <w:t>19</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94" w:history="1">
        <w:r w:rsidR="0042254C" w:rsidRPr="008D1959">
          <w:rPr>
            <w:rStyle w:val="Hyperlink"/>
            <w:noProof/>
          </w:rPr>
          <w:t>ii)</w:t>
        </w:r>
        <w:r w:rsidR="0042254C">
          <w:rPr>
            <w:rFonts w:asciiTheme="minorHAnsi" w:eastAsiaTheme="minorEastAsia" w:hAnsiTheme="minorHAnsi" w:cstheme="minorBidi"/>
            <w:noProof/>
            <w:szCs w:val="22"/>
            <w:lang w:val="fr-FR" w:eastAsia="fr-FR"/>
          </w:rPr>
          <w:tab/>
        </w:r>
        <w:r w:rsidR="0042254C" w:rsidRPr="008D1959">
          <w:rPr>
            <w:rStyle w:val="Hyperlink"/>
            <w:noProof/>
          </w:rPr>
          <w:t>Évaluation de l’approche</w:t>
        </w:r>
        <w:r w:rsidR="0042254C">
          <w:rPr>
            <w:noProof/>
            <w:webHidden/>
          </w:rPr>
          <w:tab/>
        </w:r>
        <w:r w:rsidR="0042254C">
          <w:rPr>
            <w:noProof/>
            <w:webHidden/>
          </w:rPr>
          <w:fldChar w:fldCharType="begin"/>
        </w:r>
        <w:r w:rsidR="0042254C">
          <w:rPr>
            <w:noProof/>
            <w:webHidden/>
          </w:rPr>
          <w:instrText xml:space="preserve"> PAGEREF _Toc3880394 \h </w:instrText>
        </w:r>
        <w:r w:rsidR="0042254C">
          <w:rPr>
            <w:noProof/>
            <w:webHidden/>
          </w:rPr>
        </w:r>
        <w:r w:rsidR="0042254C">
          <w:rPr>
            <w:noProof/>
            <w:webHidden/>
          </w:rPr>
          <w:fldChar w:fldCharType="separate"/>
        </w:r>
        <w:r w:rsidR="0042254C">
          <w:rPr>
            <w:noProof/>
            <w:webHidden/>
          </w:rPr>
          <w:t>20</w:t>
        </w:r>
        <w:r w:rsidR="0042254C">
          <w:rPr>
            <w:noProof/>
            <w:webHidden/>
          </w:rPr>
          <w:fldChar w:fldCharType="end"/>
        </w:r>
      </w:hyperlink>
    </w:p>
    <w:p w:rsidR="0042254C" w:rsidRDefault="00EF05D8">
      <w:pPr>
        <w:pStyle w:val="TOC3"/>
        <w:rPr>
          <w:rFonts w:asciiTheme="minorHAnsi" w:eastAsiaTheme="minorEastAsia" w:hAnsiTheme="minorHAnsi" w:cstheme="minorBidi"/>
          <w:noProof/>
          <w:szCs w:val="22"/>
          <w:lang w:val="fr-FR" w:eastAsia="fr-FR"/>
        </w:rPr>
      </w:pPr>
      <w:hyperlink w:anchor="_Toc3880395" w:history="1">
        <w:r w:rsidR="0042254C" w:rsidRPr="008D1959">
          <w:rPr>
            <w:rStyle w:val="Hyperlink"/>
            <w:noProof/>
          </w:rPr>
          <w:t>iii)</w:t>
        </w:r>
        <w:r w:rsidR="0042254C">
          <w:rPr>
            <w:rFonts w:asciiTheme="minorHAnsi" w:eastAsiaTheme="minorEastAsia" w:hAnsiTheme="minorHAnsi" w:cstheme="minorBidi"/>
            <w:noProof/>
            <w:szCs w:val="22"/>
            <w:lang w:val="fr-FR" w:eastAsia="fr-FR"/>
          </w:rPr>
          <w:tab/>
        </w:r>
        <w:r w:rsidR="0042254C" w:rsidRPr="008D1959">
          <w:rPr>
            <w:rStyle w:val="Hyperlink"/>
            <w:noProof/>
          </w:rPr>
          <w:t>Synergies avec d’autres activités menées par le Secrétariat</w:t>
        </w:r>
        <w:r w:rsidR="0042254C">
          <w:rPr>
            <w:noProof/>
            <w:webHidden/>
          </w:rPr>
          <w:tab/>
        </w:r>
        <w:r w:rsidR="0042254C">
          <w:rPr>
            <w:noProof/>
            <w:webHidden/>
          </w:rPr>
          <w:fldChar w:fldCharType="begin"/>
        </w:r>
        <w:r w:rsidR="0042254C">
          <w:rPr>
            <w:noProof/>
            <w:webHidden/>
          </w:rPr>
          <w:instrText xml:space="preserve"> PAGEREF _Toc3880395 \h </w:instrText>
        </w:r>
        <w:r w:rsidR="0042254C">
          <w:rPr>
            <w:noProof/>
            <w:webHidden/>
          </w:rPr>
        </w:r>
        <w:r w:rsidR="0042254C">
          <w:rPr>
            <w:noProof/>
            <w:webHidden/>
          </w:rPr>
          <w:fldChar w:fldCharType="separate"/>
        </w:r>
        <w:r w:rsidR="0042254C">
          <w:rPr>
            <w:noProof/>
            <w:webHidden/>
          </w:rPr>
          <w:t>21</w:t>
        </w:r>
        <w:r w:rsidR="0042254C">
          <w:rPr>
            <w:noProof/>
            <w:webHidden/>
          </w:rPr>
          <w:fldChar w:fldCharType="end"/>
        </w:r>
      </w:hyperlink>
    </w:p>
    <w:p w:rsidR="0042254C" w:rsidRDefault="00EF05D8">
      <w:pPr>
        <w:pStyle w:val="TOC2"/>
        <w:tabs>
          <w:tab w:val="left" w:pos="880"/>
          <w:tab w:val="right" w:leader="dot" w:pos="9346"/>
        </w:tabs>
        <w:rPr>
          <w:rFonts w:asciiTheme="minorHAnsi" w:eastAsiaTheme="minorEastAsia" w:hAnsiTheme="minorHAnsi" w:cstheme="minorBidi"/>
          <w:caps w:val="0"/>
          <w:noProof/>
          <w:szCs w:val="22"/>
          <w:lang w:val="fr-FR" w:eastAsia="fr-FR"/>
        </w:rPr>
      </w:pPr>
      <w:hyperlink w:anchor="_Toc3880396" w:history="1">
        <w:r w:rsidR="0042254C" w:rsidRPr="008D1959">
          <w:rPr>
            <w:rStyle w:val="Hyperlink"/>
            <w:noProof/>
          </w:rPr>
          <w:t>E)</w:t>
        </w:r>
        <w:r w:rsidR="0042254C">
          <w:rPr>
            <w:rFonts w:asciiTheme="minorHAnsi" w:eastAsiaTheme="minorEastAsia" w:hAnsiTheme="minorHAnsi" w:cstheme="minorBidi"/>
            <w:caps w:val="0"/>
            <w:noProof/>
            <w:szCs w:val="22"/>
            <w:lang w:val="fr-FR" w:eastAsia="fr-FR"/>
          </w:rPr>
          <w:tab/>
        </w:r>
        <w:r w:rsidR="0042254C" w:rsidRPr="008D1959">
          <w:rPr>
            <w:rStyle w:val="Hyperlink"/>
            <w:noProof/>
          </w:rPr>
          <w:t>Degré de viabilité des résultats</w:t>
        </w:r>
        <w:r w:rsidR="0042254C">
          <w:rPr>
            <w:noProof/>
            <w:webHidden/>
          </w:rPr>
          <w:tab/>
        </w:r>
        <w:r w:rsidR="0042254C">
          <w:rPr>
            <w:noProof/>
            <w:webHidden/>
          </w:rPr>
          <w:fldChar w:fldCharType="begin"/>
        </w:r>
        <w:r w:rsidR="0042254C">
          <w:rPr>
            <w:noProof/>
            <w:webHidden/>
          </w:rPr>
          <w:instrText xml:space="preserve"> PAGEREF _Toc3880396 \h </w:instrText>
        </w:r>
        <w:r w:rsidR="0042254C">
          <w:rPr>
            <w:noProof/>
            <w:webHidden/>
          </w:rPr>
        </w:r>
        <w:r w:rsidR="0042254C">
          <w:rPr>
            <w:noProof/>
            <w:webHidden/>
          </w:rPr>
          <w:fldChar w:fldCharType="separate"/>
        </w:r>
        <w:r w:rsidR="0042254C">
          <w:rPr>
            <w:noProof/>
            <w:webHidden/>
          </w:rPr>
          <w:t>21</w:t>
        </w:r>
        <w:r w:rsidR="0042254C">
          <w:rPr>
            <w:noProof/>
            <w:webHidden/>
          </w:rPr>
          <w:fldChar w:fldCharType="end"/>
        </w:r>
      </w:hyperlink>
    </w:p>
    <w:p w:rsidR="0042254C" w:rsidRDefault="00EF05D8">
      <w:pPr>
        <w:pStyle w:val="TOC1"/>
        <w:tabs>
          <w:tab w:val="left" w:pos="440"/>
          <w:tab w:val="right" w:leader="dot" w:pos="9346"/>
        </w:tabs>
        <w:rPr>
          <w:rFonts w:asciiTheme="minorHAnsi" w:eastAsiaTheme="minorEastAsia" w:hAnsiTheme="minorHAnsi" w:cstheme="minorBidi"/>
          <w:b w:val="0"/>
          <w:caps w:val="0"/>
          <w:noProof/>
          <w:szCs w:val="22"/>
          <w:lang w:val="fr-FR" w:eastAsia="fr-FR"/>
        </w:rPr>
      </w:pPr>
      <w:hyperlink w:anchor="_Toc3880397" w:history="1">
        <w:r w:rsidR="0042254C" w:rsidRPr="008D1959">
          <w:rPr>
            <w:rStyle w:val="Hyperlink"/>
            <w:noProof/>
          </w:rPr>
          <w:t>3.</w:t>
        </w:r>
        <w:r w:rsidR="0042254C">
          <w:rPr>
            <w:rFonts w:asciiTheme="minorHAnsi" w:eastAsiaTheme="minorEastAsia" w:hAnsiTheme="minorHAnsi" w:cstheme="minorBidi"/>
            <w:b w:val="0"/>
            <w:caps w:val="0"/>
            <w:noProof/>
            <w:szCs w:val="22"/>
            <w:lang w:val="fr-FR" w:eastAsia="fr-FR"/>
          </w:rPr>
          <w:tab/>
        </w:r>
        <w:r w:rsidR="0042254C" w:rsidRPr="008D1959">
          <w:rPr>
            <w:rStyle w:val="Hyperlink"/>
            <w:noProof/>
          </w:rPr>
          <w:t>Conclusions</w:t>
        </w:r>
        <w:r w:rsidR="0042254C">
          <w:rPr>
            <w:noProof/>
            <w:webHidden/>
          </w:rPr>
          <w:tab/>
        </w:r>
        <w:r w:rsidR="0042254C">
          <w:rPr>
            <w:noProof/>
            <w:webHidden/>
          </w:rPr>
          <w:fldChar w:fldCharType="begin"/>
        </w:r>
        <w:r w:rsidR="0042254C">
          <w:rPr>
            <w:noProof/>
            <w:webHidden/>
          </w:rPr>
          <w:instrText xml:space="preserve"> PAGEREF _Toc3880397 \h </w:instrText>
        </w:r>
        <w:r w:rsidR="0042254C">
          <w:rPr>
            <w:noProof/>
            <w:webHidden/>
          </w:rPr>
        </w:r>
        <w:r w:rsidR="0042254C">
          <w:rPr>
            <w:noProof/>
            <w:webHidden/>
          </w:rPr>
          <w:fldChar w:fldCharType="separate"/>
        </w:r>
        <w:r w:rsidR="0042254C">
          <w:rPr>
            <w:noProof/>
            <w:webHidden/>
          </w:rPr>
          <w:t>22</w:t>
        </w:r>
        <w:r w:rsidR="0042254C">
          <w:rPr>
            <w:noProof/>
            <w:webHidden/>
          </w:rPr>
          <w:fldChar w:fldCharType="end"/>
        </w:r>
      </w:hyperlink>
    </w:p>
    <w:p w:rsidR="0042254C" w:rsidRDefault="00EF05D8">
      <w:pPr>
        <w:pStyle w:val="TOC1"/>
        <w:tabs>
          <w:tab w:val="left" w:pos="440"/>
          <w:tab w:val="right" w:leader="dot" w:pos="9346"/>
        </w:tabs>
        <w:rPr>
          <w:rFonts w:asciiTheme="minorHAnsi" w:eastAsiaTheme="minorEastAsia" w:hAnsiTheme="minorHAnsi" w:cstheme="minorBidi"/>
          <w:b w:val="0"/>
          <w:caps w:val="0"/>
          <w:noProof/>
          <w:szCs w:val="22"/>
          <w:lang w:val="fr-FR" w:eastAsia="fr-FR"/>
        </w:rPr>
      </w:pPr>
      <w:hyperlink w:anchor="_Toc3880398" w:history="1">
        <w:r w:rsidR="0042254C" w:rsidRPr="008D1959">
          <w:rPr>
            <w:rStyle w:val="Hyperlink"/>
            <w:noProof/>
          </w:rPr>
          <w:t>4.</w:t>
        </w:r>
        <w:r w:rsidR="0042254C">
          <w:rPr>
            <w:rFonts w:asciiTheme="minorHAnsi" w:eastAsiaTheme="minorEastAsia" w:hAnsiTheme="minorHAnsi" w:cstheme="minorBidi"/>
            <w:b w:val="0"/>
            <w:caps w:val="0"/>
            <w:noProof/>
            <w:szCs w:val="22"/>
            <w:lang w:val="fr-FR" w:eastAsia="fr-FR"/>
          </w:rPr>
          <w:tab/>
        </w:r>
        <w:r w:rsidR="0042254C" w:rsidRPr="008D1959">
          <w:rPr>
            <w:rStyle w:val="Hyperlink"/>
            <w:noProof/>
          </w:rPr>
          <w:t>Recommandations</w:t>
        </w:r>
        <w:r w:rsidR="0042254C">
          <w:rPr>
            <w:noProof/>
            <w:webHidden/>
          </w:rPr>
          <w:tab/>
        </w:r>
        <w:r w:rsidR="0042254C">
          <w:rPr>
            <w:noProof/>
            <w:webHidden/>
          </w:rPr>
          <w:fldChar w:fldCharType="begin"/>
        </w:r>
        <w:r w:rsidR="0042254C">
          <w:rPr>
            <w:noProof/>
            <w:webHidden/>
          </w:rPr>
          <w:instrText xml:space="preserve"> PAGEREF _Toc3880398 \h </w:instrText>
        </w:r>
        <w:r w:rsidR="0042254C">
          <w:rPr>
            <w:noProof/>
            <w:webHidden/>
          </w:rPr>
        </w:r>
        <w:r w:rsidR="0042254C">
          <w:rPr>
            <w:noProof/>
            <w:webHidden/>
          </w:rPr>
          <w:fldChar w:fldCharType="separate"/>
        </w:r>
        <w:r w:rsidR="0042254C">
          <w:rPr>
            <w:noProof/>
            <w:webHidden/>
          </w:rPr>
          <w:t>25</w:t>
        </w:r>
        <w:r w:rsidR="0042254C">
          <w:rPr>
            <w:noProof/>
            <w:webHidden/>
          </w:rPr>
          <w:fldChar w:fldCharType="end"/>
        </w:r>
      </w:hyperlink>
    </w:p>
    <w:p w:rsidR="00610DAF" w:rsidRPr="00A1244F" w:rsidRDefault="003071A3" w:rsidP="003071A3">
      <w:pPr>
        <w:jc w:val="center"/>
        <w:rPr>
          <w:b/>
          <w:bCs/>
        </w:rPr>
      </w:pPr>
      <w:r w:rsidRPr="00A1244F">
        <w:rPr>
          <w:rFonts w:ascii="arial bold" w:hAnsi="arial bold"/>
          <w:bCs/>
          <w:caps/>
        </w:rPr>
        <w:fldChar w:fldCharType="end"/>
      </w:r>
    </w:p>
    <w:p w:rsidR="003071A3" w:rsidRDefault="003071A3" w:rsidP="00367DB6">
      <w:pPr>
        <w:pStyle w:val="Heading1"/>
        <w:numPr>
          <w:ilvl w:val="0"/>
          <w:numId w:val="0"/>
        </w:numPr>
        <w:ind w:left="567" w:hanging="567"/>
      </w:pPr>
      <w:r w:rsidRPr="00A1244F">
        <w:br w:type="page"/>
      </w:r>
      <w:bookmarkStart w:id="6" w:name="_Toc3880366"/>
      <w:r w:rsidR="00B31189" w:rsidRPr="00A1244F">
        <w:lastRenderedPageBreak/>
        <w:t>Liste des sigles</w:t>
      </w:r>
      <w:bookmarkEnd w:id="6"/>
    </w:p>
    <w:p w:rsidR="00367DB6" w:rsidRPr="00367DB6" w:rsidRDefault="00367DB6" w:rsidP="00367D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06"/>
      </w:tblGrid>
      <w:tr w:rsidR="005A5FEE" w:rsidRPr="00A1244F" w:rsidTr="00BA0CEC">
        <w:tc>
          <w:tcPr>
            <w:tcW w:w="2340" w:type="dxa"/>
          </w:tcPr>
          <w:p w:rsidR="003071A3" w:rsidRPr="00A1244F" w:rsidRDefault="003071A3" w:rsidP="00B46EF9">
            <w:pPr>
              <w:jc w:val="both"/>
              <w:rPr>
                <w:b/>
                <w:bCs/>
              </w:rPr>
            </w:pPr>
            <w:r w:rsidRPr="00A1244F">
              <w:rPr>
                <w:b/>
              </w:rPr>
              <w:t>BBDA</w:t>
            </w:r>
          </w:p>
        </w:tc>
        <w:tc>
          <w:tcPr>
            <w:tcW w:w="7006" w:type="dxa"/>
          </w:tcPr>
          <w:p w:rsidR="003071A3" w:rsidRPr="00A1244F" w:rsidRDefault="003071A3" w:rsidP="00B46EF9">
            <w:pPr>
              <w:jc w:val="both"/>
            </w:pPr>
            <w:r w:rsidRPr="00A1244F">
              <w:t xml:space="preserve">Bureau </w:t>
            </w:r>
            <w:r w:rsidR="006C60DE">
              <w:t>burkinabé</w:t>
            </w:r>
            <w:r w:rsidRPr="00A1244F">
              <w:t xml:space="preserve"> du droit d</w:t>
            </w:r>
            <w:r w:rsidR="006408BB">
              <w:t>’</w:t>
            </w:r>
            <w:r w:rsidRPr="00A1244F">
              <w:t>auteur</w:t>
            </w:r>
          </w:p>
        </w:tc>
      </w:tr>
      <w:tr w:rsidR="005A5FEE" w:rsidRPr="00A1244F" w:rsidTr="00BA0CEC">
        <w:tc>
          <w:tcPr>
            <w:tcW w:w="2340" w:type="dxa"/>
          </w:tcPr>
          <w:p w:rsidR="003071A3" w:rsidRPr="00A1244F" w:rsidRDefault="003071A3" w:rsidP="00B46EF9">
            <w:pPr>
              <w:jc w:val="both"/>
              <w:rPr>
                <w:b/>
                <w:bCs/>
              </w:rPr>
            </w:pPr>
            <w:r w:rsidRPr="00A1244F">
              <w:rPr>
                <w:b/>
                <w:bCs/>
              </w:rPr>
              <w:t>CDIP</w:t>
            </w:r>
          </w:p>
        </w:tc>
        <w:tc>
          <w:tcPr>
            <w:tcW w:w="7006" w:type="dxa"/>
          </w:tcPr>
          <w:p w:rsidR="003071A3" w:rsidRPr="00A1244F" w:rsidRDefault="00BA0CEC" w:rsidP="00F0221A">
            <w:pPr>
              <w:jc w:val="both"/>
            </w:pPr>
            <w:r w:rsidRPr="00A1244F">
              <w:t>Comité</w:t>
            </w:r>
            <w:r w:rsidR="003071A3" w:rsidRPr="00A1244F">
              <w:t xml:space="preserve"> </w:t>
            </w:r>
            <w:r w:rsidR="00F0221A" w:rsidRPr="00A1244F">
              <w:t>du développement et de la propriété intellectuelle</w:t>
            </w:r>
          </w:p>
        </w:tc>
      </w:tr>
      <w:tr w:rsidR="005A5FEE" w:rsidRPr="00A1244F" w:rsidTr="00BA0CEC">
        <w:tc>
          <w:tcPr>
            <w:tcW w:w="2340" w:type="dxa"/>
          </w:tcPr>
          <w:p w:rsidR="003071A3" w:rsidRPr="00A1244F" w:rsidRDefault="003071A3" w:rsidP="00B46EF9">
            <w:pPr>
              <w:jc w:val="both"/>
              <w:rPr>
                <w:b/>
                <w:bCs/>
              </w:rPr>
            </w:pPr>
            <w:r w:rsidRPr="00A1244F">
              <w:rPr>
                <w:b/>
                <w:bCs/>
              </w:rPr>
              <w:t>CEMAC</w:t>
            </w:r>
          </w:p>
        </w:tc>
        <w:tc>
          <w:tcPr>
            <w:tcW w:w="7006" w:type="dxa"/>
          </w:tcPr>
          <w:p w:rsidR="003071A3" w:rsidRPr="00A1244F" w:rsidRDefault="00BA0CEC" w:rsidP="00B46EF9">
            <w:pPr>
              <w:jc w:val="both"/>
            </w:pPr>
            <w:r w:rsidRPr="00A1244F">
              <w:t>Communauté économique et monétaire de l</w:t>
            </w:r>
            <w:r w:rsidR="006408BB">
              <w:t>’</w:t>
            </w:r>
            <w:r w:rsidRPr="00A1244F">
              <w:t>Afrique centrale</w:t>
            </w:r>
          </w:p>
        </w:tc>
      </w:tr>
      <w:tr w:rsidR="005A5FEE" w:rsidRPr="00A1244F" w:rsidTr="00BA0CEC">
        <w:tc>
          <w:tcPr>
            <w:tcW w:w="2340" w:type="dxa"/>
          </w:tcPr>
          <w:p w:rsidR="00BA0CEC" w:rsidRPr="00A1244F" w:rsidRDefault="00BA0CEC" w:rsidP="00BA0CEC">
            <w:pPr>
              <w:jc w:val="both"/>
              <w:rPr>
                <w:b/>
                <w:bCs/>
              </w:rPr>
            </w:pPr>
            <w:r w:rsidRPr="00A1244F">
              <w:rPr>
                <w:b/>
                <w:bCs/>
              </w:rPr>
              <w:t>FESPACO</w:t>
            </w:r>
          </w:p>
        </w:tc>
        <w:tc>
          <w:tcPr>
            <w:tcW w:w="7006" w:type="dxa"/>
          </w:tcPr>
          <w:p w:rsidR="00BA0CEC" w:rsidRPr="00A1244F" w:rsidRDefault="006B06AB" w:rsidP="00BA0CEC">
            <w:pPr>
              <w:jc w:val="both"/>
            </w:pPr>
            <w:r w:rsidRPr="00A1244F">
              <w:t xml:space="preserve">Festival panafricain du cinéma et de la télévision </w:t>
            </w:r>
            <w:r w:rsidR="00A1244F" w:rsidRPr="00A1244F">
              <w:t>d</w:t>
            </w:r>
            <w:r w:rsidR="006408BB">
              <w:t>’</w:t>
            </w:r>
            <w:r w:rsidR="00A1244F" w:rsidRPr="00A1244F">
              <w:t>Ouagadougou</w:t>
            </w:r>
          </w:p>
        </w:tc>
      </w:tr>
      <w:tr w:rsidR="005A5FEE" w:rsidRPr="00A1244F" w:rsidTr="00BA0CEC">
        <w:tc>
          <w:tcPr>
            <w:tcW w:w="2340" w:type="dxa"/>
          </w:tcPr>
          <w:p w:rsidR="006B06AB" w:rsidRPr="00A1244F" w:rsidRDefault="006B06AB" w:rsidP="006B06AB">
            <w:pPr>
              <w:jc w:val="both"/>
              <w:rPr>
                <w:b/>
                <w:bCs/>
              </w:rPr>
            </w:pPr>
            <w:r w:rsidRPr="00A1244F">
              <w:rPr>
                <w:b/>
              </w:rPr>
              <w:t>KECOBO</w:t>
            </w:r>
          </w:p>
        </w:tc>
        <w:tc>
          <w:tcPr>
            <w:tcW w:w="7006" w:type="dxa"/>
          </w:tcPr>
          <w:p w:rsidR="006B06AB" w:rsidRPr="00A1244F" w:rsidRDefault="00297BDE" w:rsidP="00297BDE">
            <w:pPr>
              <w:jc w:val="both"/>
            </w:pPr>
            <w:r w:rsidRPr="00A1244F">
              <w:t xml:space="preserve">Bureau </w:t>
            </w:r>
            <w:r w:rsidR="005839C0">
              <w:t>kényen</w:t>
            </w:r>
            <w:r w:rsidR="006B06AB" w:rsidRPr="00A1244F">
              <w:t xml:space="preserve"> du droit d</w:t>
            </w:r>
            <w:r w:rsidR="006408BB">
              <w:t>’</w:t>
            </w:r>
            <w:r w:rsidR="006B06AB" w:rsidRPr="00A1244F">
              <w:t xml:space="preserve">auteur </w:t>
            </w:r>
          </w:p>
        </w:tc>
      </w:tr>
      <w:tr w:rsidR="005A5FEE" w:rsidRPr="00A1244F" w:rsidTr="00BA0CEC">
        <w:tc>
          <w:tcPr>
            <w:tcW w:w="2340" w:type="dxa"/>
          </w:tcPr>
          <w:p w:rsidR="006B06AB" w:rsidRPr="00A1244F" w:rsidRDefault="006B06AB" w:rsidP="006B06AB">
            <w:pPr>
              <w:jc w:val="both"/>
              <w:rPr>
                <w:b/>
              </w:rPr>
            </w:pPr>
            <w:r w:rsidRPr="00A1244F">
              <w:rPr>
                <w:b/>
              </w:rPr>
              <w:t>KFC</w:t>
            </w:r>
          </w:p>
        </w:tc>
        <w:tc>
          <w:tcPr>
            <w:tcW w:w="7006" w:type="dxa"/>
          </w:tcPr>
          <w:p w:rsidR="006B06AB" w:rsidRPr="00A1244F" w:rsidRDefault="006B06AB" w:rsidP="006B06AB">
            <w:pPr>
              <w:jc w:val="both"/>
            </w:pPr>
            <w:r w:rsidRPr="00A1244F">
              <w:t>Commission cinématographique du Kenya</w:t>
            </w:r>
          </w:p>
        </w:tc>
      </w:tr>
      <w:tr w:rsidR="005A5FEE" w:rsidRPr="00A1244F" w:rsidTr="00BA0CEC">
        <w:tc>
          <w:tcPr>
            <w:tcW w:w="2340" w:type="dxa"/>
          </w:tcPr>
          <w:p w:rsidR="006B06AB" w:rsidRPr="00A1244F" w:rsidRDefault="006B06AB" w:rsidP="006B06AB">
            <w:pPr>
              <w:jc w:val="both"/>
              <w:rPr>
                <w:b/>
                <w:bCs/>
              </w:rPr>
            </w:pPr>
            <w:r w:rsidRPr="00A1244F">
              <w:rPr>
                <w:b/>
                <w:bCs/>
              </w:rPr>
              <w:t>OCDE</w:t>
            </w:r>
          </w:p>
        </w:tc>
        <w:tc>
          <w:tcPr>
            <w:tcW w:w="7006" w:type="dxa"/>
          </w:tcPr>
          <w:p w:rsidR="006B06AB" w:rsidRPr="00A1244F" w:rsidRDefault="006B06AB" w:rsidP="006B06AB">
            <w:pPr>
              <w:jc w:val="both"/>
            </w:pPr>
            <w:r w:rsidRPr="00A1244F">
              <w:t>Organisation de coopération et de développement économiques</w:t>
            </w:r>
          </w:p>
        </w:tc>
      </w:tr>
      <w:tr w:rsidR="005A5FEE" w:rsidRPr="00A1244F" w:rsidTr="00BA0CEC">
        <w:tc>
          <w:tcPr>
            <w:tcW w:w="2340" w:type="dxa"/>
          </w:tcPr>
          <w:p w:rsidR="006B06AB" w:rsidRPr="00A1244F" w:rsidRDefault="006B06AB" w:rsidP="006B06AB">
            <w:pPr>
              <w:jc w:val="both"/>
              <w:rPr>
                <w:b/>
                <w:bCs/>
              </w:rPr>
            </w:pPr>
            <w:r w:rsidRPr="00A1244F">
              <w:rPr>
                <w:b/>
                <w:bCs/>
              </w:rPr>
              <w:t>SABAM</w:t>
            </w:r>
          </w:p>
        </w:tc>
        <w:tc>
          <w:tcPr>
            <w:tcW w:w="7006" w:type="dxa"/>
          </w:tcPr>
          <w:p w:rsidR="006B06AB" w:rsidRPr="00A1244F" w:rsidRDefault="006B06AB" w:rsidP="006B06AB">
            <w:pPr>
              <w:jc w:val="both"/>
            </w:pPr>
            <w:r w:rsidRPr="00A1244F">
              <w:t>Société belge des auteurs, compositeurs et éditeurs</w:t>
            </w:r>
          </w:p>
        </w:tc>
      </w:tr>
      <w:tr w:rsidR="005A5FEE" w:rsidRPr="00A1244F" w:rsidTr="00BA0CEC">
        <w:tc>
          <w:tcPr>
            <w:tcW w:w="2340" w:type="dxa"/>
          </w:tcPr>
          <w:p w:rsidR="006B06AB" w:rsidRPr="00A1244F" w:rsidRDefault="006B06AB" w:rsidP="006B06AB">
            <w:pPr>
              <w:jc w:val="both"/>
              <w:rPr>
                <w:b/>
                <w:bCs/>
              </w:rPr>
            </w:pPr>
            <w:r w:rsidRPr="00A1244F">
              <w:rPr>
                <w:b/>
              </w:rPr>
              <w:t>SODAV</w:t>
            </w:r>
          </w:p>
        </w:tc>
        <w:tc>
          <w:tcPr>
            <w:tcW w:w="7006" w:type="dxa"/>
          </w:tcPr>
          <w:p w:rsidR="006B06AB" w:rsidRPr="00A1244F" w:rsidRDefault="00760CBC" w:rsidP="00760CBC">
            <w:pPr>
              <w:jc w:val="both"/>
            </w:pPr>
            <w:r w:rsidRPr="00A1244F">
              <w:t>Société s</w:t>
            </w:r>
            <w:r w:rsidR="006B06AB" w:rsidRPr="00A1244F">
              <w:t xml:space="preserve">énégalaise </w:t>
            </w:r>
            <w:r w:rsidRPr="00A1244F">
              <w:t>du droit d</w:t>
            </w:r>
            <w:r w:rsidR="006408BB">
              <w:t>’</w:t>
            </w:r>
            <w:r w:rsidRPr="00A1244F">
              <w:t>auteur</w:t>
            </w:r>
            <w:r w:rsidR="006B06AB" w:rsidRPr="00A1244F">
              <w:t xml:space="preserve"> et des </w:t>
            </w:r>
            <w:r w:rsidRPr="00A1244F">
              <w:t>d</w:t>
            </w:r>
            <w:r w:rsidR="006B06AB" w:rsidRPr="00A1244F">
              <w:t xml:space="preserve">roits </w:t>
            </w:r>
            <w:r w:rsidRPr="00A1244F">
              <w:t>v</w:t>
            </w:r>
            <w:r w:rsidR="006B06AB" w:rsidRPr="00A1244F">
              <w:t>oisins</w:t>
            </w:r>
          </w:p>
        </w:tc>
      </w:tr>
      <w:tr w:rsidR="005A5FEE" w:rsidRPr="00A1244F" w:rsidTr="00BA0CEC">
        <w:tc>
          <w:tcPr>
            <w:tcW w:w="2340" w:type="dxa"/>
          </w:tcPr>
          <w:p w:rsidR="006B06AB" w:rsidRPr="00A1244F" w:rsidRDefault="00405410" w:rsidP="006B06AB">
            <w:pPr>
              <w:jc w:val="both"/>
              <w:rPr>
                <w:b/>
                <w:bCs/>
              </w:rPr>
            </w:pPr>
            <w:r w:rsidRPr="00A1244F">
              <w:rPr>
                <w:b/>
                <w:bCs/>
              </w:rPr>
              <w:t>OMPI</w:t>
            </w:r>
          </w:p>
        </w:tc>
        <w:tc>
          <w:tcPr>
            <w:tcW w:w="7006" w:type="dxa"/>
          </w:tcPr>
          <w:p w:rsidR="006B06AB" w:rsidRPr="00A1244F" w:rsidRDefault="00405410" w:rsidP="006B06AB">
            <w:pPr>
              <w:jc w:val="both"/>
            </w:pPr>
            <w:r w:rsidRPr="00A1244F">
              <w:t>Organisation Mondiale de la Propriété Intellectuelle</w:t>
            </w:r>
          </w:p>
        </w:tc>
      </w:tr>
    </w:tbl>
    <w:p w:rsidR="00610DAF" w:rsidRPr="00A1244F" w:rsidRDefault="00610DAF" w:rsidP="003071A3">
      <w:pPr>
        <w:jc w:val="both"/>
      </w:pPr>
    </w:p>
    <w:p w:rsidR="00610DAF" w:rsidRPr="00A1244F" w:rsidRDefault="003071A3" w:rsidP="003071A3">
      <w:pPr>
        <w:jc w:val="both"/>
      </w:pPr>
      <w:r w:rsidRPr="00A1244F">
        <w:br w:type="page"/>
      </w:r>
    </w:p>
    <w:p w:rsidR="00610DAF" w:rsidRDefault="00423BE0" w:rsidP="00367DB6">
      <w:pPr>
        <w:pStyle w:val="Heading1"/>
        <w:numPr>
          <w:ilvl w:val="0"/>
          <w:numId w:val="0"/>
        </w:numPr>
        <w:ind w:left="567" w:hanging="567"/>
      </w:pPr>
      <w:bookmarkStart w:id="7" w:name="_Toc3880367"/>
      <w:r w:rsidRPr="00A1244F">
        <w:lastRenderedPageBreak/>
        <w:t>Résumé</w:t>
      </w:r>
      <w:bookmarkEnd w:id="7"/>
    </w:p>
    <w:p w:rsidR="00423BE0" w:rsidRPr="00423BE0" w:rsidRDefault="00423BE0" w:rsidP="00423BE0"/>
    <w:p w:rsidR="00610DAF" w:rsidRPr="00A1244F" w:rsidRDefault="00D37935" w:rsidP="00423BE0">
      <w:pPr>
        <w:pStyle w:val="ONUMFS"/>
        <w:numPr>
          <w:ilvl w:val="0"/>
          <w:numId w:val="0"/>
        </w:numPr>
      </w:pPr>
      <w:r w:rsidRPr="00A1244F">
        <w:t xml:space="preserve">La présente </w:t>
      </w:r>
      <w:r w:rsidR="00B31189" w:rsidRPr="00A1244F">
        <w:t>éva</w:t>
      </w:r>
      <w:r w:rsidRPr="00A1244F">
        <w:t xml:space="preserve">luation indépendante </w:t>
      </w:r>
      <w:r w:rsidR="00620CDE" w:rsidRPr="00A1244F">
        <w:t xml:space="preserve">finale </w:t>
      </w:r>
      <w:r w:rsidRPr="00A1244F">
        <w:t>(ci</w:t>
      </w:r>
      <w:r w:rsidR="006408BB">
        <w:t>-</w:t>
      </w:r>
      <w:r w:rsidRPr="00A1244F">
        <w:t xml:space="preserve">après </w:t>
      </w:r>
      <w:r w:rsidR="006408BB">
        <w:t>“</w:t>
      </w:r>
      <w:r w:rsidR="006408BB" w:rsidRPr="00A1244F">
        <w:t>é</w:t>
      </w:r>
      <w:r w:rsidRPr="00A1244F">
        <w:t>valuatio</w:t>
      </w:r>
      <w:r w:rsidR="006408BB" w:rsidRPr="00A1244F">
        <w:t>n</w:t>
      </w:r>
      <w:r w:rsidR="006408BB">
        <w:t>”</w:t>
      </w:r>
      <w:r w:rsidR="00B31189" w:rsidRPr="00A1244F">
        <w:t xml:space="preserve">) </w:t>
      </w:r>
      <w:r w:rsidRPr="00A1244F">
        <w:t>a porté</w:t>
      </w:r>
      <w:r w:rsidR="00B31189" w:rsidRPr="00A1244F">
        <w:t xml:space="preserve"> sur le projet </w:t>
      </w:r>
      <w:r w:rsidR="006408BB">
        <w:t>“</w:t>
      </w:r>
      <w:r w:rsidR="006408BB" w:rsidRPr="00A1244F">
        <w:t>R</w:t>
      </w:r>
      <w:r w:rsidR="00B31189" w:rsidRPr="00A1244F">
        <w:t>enforcement et développement du secteur de l</w:t>
      </w:r>
      <w:r w:rsidR="006408BB">
        <w:t>’</w:t>
      </w:r>
      <w:r w:rsidR="00B31189" w:rsidRPr="00A1244F">
        <w:t>audiovisuel au Burkina Faso et dans certai</w:t>
      </w:r>
      <w:r w:rsidRPr="00A1244F">
        <w:t>ns pays africains – Phase</w:t>
      </w:r>
      <w:r w:rsidR="0088350E">
        <w:t> </w:t>
      </w:r>
      <w:r w:rsidRPr="00A1244F">
        <w:t>I</w:t>
      </w:r>
      <w:r w:rsidR="006408BB" w:rsidRPr="00A1244F">
        <w:t>I</w:t>
      </w:r>
      <w:r w:rsidR="006408BB">
        <w:t>”</w:t>
      </w:r>
      <w:r w:rsidRPr="00A1244F">
        <w:t xml:space="preserve"> (cote du projet DA_1_2_4_10_</w:t>
      </w:r>
      <w:r w:rsidR="00B31189" w:rsidRPr="00A1244F">
        <w:t>11) dans le cadre du Plan d</w:t>
      </w:r>
      <w:r w:rsidR="006408BB">
        <w:t>’</w:t>
      </w:r>
      <w:r w:rsidR="00B31189" w:rsidRPr="00A1244F">
        <w:t xml:space="preserve">action pour le développement, </w:t>
      </w:r>
      <w:r w:rsidRPr="00A1244F">
        <w:t>ci</w:t>
      </w:r>
      <w:r w:rsidR="006408BB">
        <w:t>-</w:t>
      </w:r>
      <w:r w:rsidRPr="00A1244F">
        <w:t xml:space="preserve">après </w:t>
      </w:r>
      <w:r w:rsidR="006408BB">
        <w:t>“</w:t>
      </w:r>
      <w:r w:rsidR="006408BB" w:rsidRPr="00A1244F">
        <w:t>p</w:t>
      </w:r>
      <w:r w:rsidR="00B31189" w:rsidRPr="00A1244F">
        <w:t>roje</w:t>
      </w:r>
      <w:r w:rsidR="006408BB" w:rsidRPr="00A1244F">
        <w:t>t</w:t>
      </w:r>
      <w:r w:rsidR="006408BB">
        <w:t>”</w:t>
      </w:r>
      <w:r w:rsidR="00B31189" w:rsidRPr="00A1244F">
        <w:t>.</w:t>
      </w:r>
      <w:r w:rsidR="003071A3" w:rsidRPr="00A1244F">
        <w:t xml:space="preserve">  </w:t>
      </w:r>
      <w:r w:rsidR="00B31189" w:rsidRPr="00A1244F">
        <w:t>L</w:t>
      </w:r>
      <w:r w:rsidR="006408BB">
        <w:t>’</w:t>
      </w:r>
      <w:r w:rsidR="00B31189" w:rsidRPr="00A1244F">
        <w:t xml:space="preserve">évaluation a été réalisée de janvier à </w:t>
      </w:r>
      <w:r w:rsidR="006408BB" w:rsidRPr="00A1244F">
        <w:t>mai</w:t>
      </w:r>
      <w:r w:rsidR="006408BB">
        <w:t> </w:t>
      </w:r>
      <w:r w:rsidR="006408BB" w:rsidRPr="00A1244F">
        <w:t>20</w:t>
      </w:r>
      <w:r w:rsidR="00B31189" w:rsidRPr="00A1244F">
        <w:t>19 par Daniel P</w:t>
      </w:r>
      <w:r w:rsidRPr="00A1244F">
        <w:t>.</w:t>
      </w:r>
      <w:r w:rsidR="005839C0">
        <w:t> </w:t>
      </w:r>
      <w:r w:rsidR="00B31189" w:rsidRPr="00A1244F">
        <w:t>Keller, évaluateu</w:t>
      </w:r>
      <w:r w:rsidRPr="00A1244F">
        <w:t>r principal à Evilard</w:t>
      </w:r>
      <w:r w:rsidR="00B31189" w:rsidRPr="00A1244F">
        <w:t>, en étroite coordination avec la Division de la coordination du Plan d</w:t>
      </w:r>
      <w:r w:rsidR="006408BB">
        <w:t>’</w:t>
      </w:r>
      <w:r w:rsidR="00B31189" w:rsidRPr="00A1244F">
        <w:t>action pour le développement, et a abouti aux conclusions suivantes</w:t>
      </w:r>
      <w:r w:rsidR="006408BB">
        <w:t> :</w:t>
      </w:r>
    </w:p>
    <w:p w:rsidR="00610DAF" w:rsidRPr="00586D4B" w:rsidRDefault="00640821" w:rsidP="00586D4B">
      <w:pPr>
        <w:pStyle w:val="Heading4"/>
      </w:pPr>
      <w:r w:rsidRPr="00586D4B">
        <w:t xml:space="preserve">Conclusion </w:t>
      </w:r>
      <w:r w:rsidR="00DA4BBE" w:rsidRPr="00586D4B">
        <w:t>n°</w:t>
      </w:r>
      <w:r w:rsidR="005839C0">
        <w:t> </w:t>
      </w:r>
      <w:r w:rsidRPr="00586D4B">
        <w:t>1 concernant</w:t>
      </w:r>
      <w:r w:rsidR="00B31189" w:rsidRPr="00586D4B">
        <w:t xml:space="preserve"> la préparation et la gestion du projet</w:t>
      </w:r>
      <w:r w:rsidR="006408BB">
        <w:t> :</w:t>
      </w:r>
      <w:r w:rsidR="00B31189" w:rsidRPr="00586D4B">
        <w:t xml:space="preserve"> dans l</w:t>
      </w:r>
      <w:r w:rsidR="006408BB">
        <w:t>’</w:t>
      </w:r>
      <w:r w:rsidR="00B31189" w:rsidRPr="00586D4B">
        <w:t>ensemble, le projet a été bien préparé et gé</w:t>
      </w:r>
      <w:r w:rsidR="002140BE" w:rsidRPr="00586D4B">
        <w:t>ré</w:t>
      </w:r>
      <w:r w:rsidR="002140BE">
        <w:t xml:space="preserve">.  </w:t>
      </w:r>
      <w:r w:rsidR="002140BE" w:rsidRPr="00586D4B">
        <w:t>Le</w:t>
      </w:r>
      <w:r w:rsidR="00B31189" w:rsidRPr="00586D4B">
        <w:t xml:space="preserve">s </w:t>
      </w:r>
      <w:r w:rsidRPr="00586D4B">
        <w:t>contraintes budgétaires</w:t>
      </w:r>
      <w:r w:rsidR="00B31189" w:rsidRPr="00586D4B">
        <w:t xml:space="preserve"> et les facteurs externes ont entraîné des retards dans l</w:t>
      </w:r>
      <w:r w:rsidR="006408BB">
        <w:t>’</w:t>
      </w:r>
      <w:r w:rsidR="00B31189" w:rsidRPr="00586D4B">
        <w:t>exécution de certaines activités.</w:t>
      </w:r>
    </w:p>
    <w:p w:rsidR="00423BE0" w:rsidRPr="00423BE0" w:rsidRDefault="00423BE0" w:rsidP="00423BE0"/>
    <w:p w:rsidR="00610DAF" w:rsidRPr="00A1244F" w:rsidRDefault="00B31189" w:rsidP="00423BE0">
      <w:pPr>
        <w:pStyle w:val="ONUMFS"/>
        <w:numPr>
          <w:ilvl w:val="0"/>
          <w:numId w:val="0"/>
        </w:numPr>
      </w:pPr>
      <w:r w:rsidRPr="00A1244F">
        <w:t>Les préparatifs ont bénéficié de l</w:t>
      </w:r>
      <w:r w:rsidR="006408BB">
        <w:t>’</w:t>
      </w:r>
      <w:r w:rsidRPr="00A1244F">
        <w:t>expérience</w:t>
      </w:r>
      <w:r w:rsidR="006E18DD" w:rsidRPr="00A1244F">
        <w:t xml:space="preserve"> acquise</w:t>
      </w:r>
      <w:r w:rsidRPr="00A1244F">
        <w:t xml:space="preserve"> et des enseignements tirés au cours d</w:t>
      </w:r>
      <w:r w:rsidR="006408BB">
        <w:t>’</w:t>
      </w:r>
      <w:r w:rsidRPr="00A1244F">
        <w:t>une première pha</w:t>
      </w:r>
      <w:r w:rsidR="002140BE" w:rsidRPr="00A1244F">
        <w:t>se</w:t>
      </w:r>
      <w:r w:rsidR="002140BE">
        <w:t xml:space="preserve">.  </w:t>
      </w:r>
      <w:r w:rsidR="002140BE" w:rsidRPr="00A1244F">
        <w:t>Un</w:t>
      </w:r>
      <w:r w:rsidRPr="00A1244F">
        <w:t xml:space="preserve">e étude exploratoire approfondie </w:t>
      </w:r>
      <w:r w:rsidR="00640821" w:rsidRPr="00A1244F">
        <w:t>d</w:t>
      </w:r>
      <w:r w:rsidR="006408BB">
        <w:t>’</w:t>
      </w:r>
      <w:r w:rsidR="00640821" w:rsidRPr="00A1244F">
        <w:t>excellente qualité a</w:t>
      </w:r>
      <w:r w:rsidRPr="00A1244F">
        <w:t xml:space="preserve"> permis de comprendre le secteur de l</w:t>
      </w:r>
      <w:r w:rsidR="006408BB">
        <w:t>’</w:t>
      </w:r>
      <w:r w:rsidRPr="00A1244F">
        <w:t>audiovisuel afr</w:t>
      </w:r>
      <w:r w:rsidR="00244C87" w:rsidRPr="00A1244F">
        <w:t>icain, l</w:t>
      </w:r>
      <w:r w:rsidRPr="00A1244F">
        <w:t xml:space="preserve">es </w:t>
      </w:r>
      <w:r w:rsidR="00244C87" w:rsidRPr="00A1244F">
        <w:t>défis posés par celui</w:t>
      </w:r>
      <w:r w:rsidR="006408BB">
        <w:t>-</w:t>
      </w:r>
      <w:r w:rsidR="00244C87" w:rsidRPr="00A1244F">
        <w:t>ci ainsi que</w:t>
      </w:r>
      <w:r w:rsidRPr="00A1244F">
        <w:t xml:space="preserve"> les moyens</w:t>
      </w:r>
      <w:r w:rsidR="00244C87" w:rsidRPr="00A1244F">
        <w:t xml:space="preserve"> de les relev</w:t>
      </w:r>
      <w:r w:rsidR="002140BE" w:rsidRPr="00A1244F">
        <w:t>er</w:t>
      </w:r>
      <w:r w:rsidR="002140BE">
        <w:t xml:space="preserve">.  </w:t>
      </w:r>
      <w:r w:rsidR="002140BE" w:rsidRPr="00A1244F">
        <w:t>Le</w:t>
      </w:r>
      <w:r w:rsidRPr="00A1244F">
        <w:t>s objectifs généraux du projet et la l</w:t>
      </w:r>
      <w:r w:rsidR="00244C87" w:rsidRPr="00A1244F">
        <w:t>ogique d</w:t>
      </w:r>
      <w:r w:rsidR="006408BB">
        <w:t>’</w:t>
      </w:r>
      <w:r w:rsidR="00244C87" w:rsidRPr="00A1244F">
        <w:t>intervention sont g</w:t>
      </w:r>
      <w:r w:rsidRPr="00A1244F">
        <w:t>l</w:t>
      </w:r>
      <w:r w:rsidR="00244C87" w:rsidRPr="00A1244F">
        <w:t>obal</w:t>
      </w:r>
      <w:r w:rsidRPr="00A1244F">
        <w:t>ement clai</w:t>
      </w:r>
      <w:r w:rsidR="002140BE" w:rsidRPr="00A1244F">
        <w:t>rs</w:t>
      </w:r>
      <w:r w:rsidR="002140BE">
        <w:t xml:space="preserve">.  </w:t>
      </w:r>
      <w:r w:rsidR="002140BE" w:rsidRPr="00A1244F">
        <w:t>Le</w:t>
      </w:r>
      <w:r w:rsidR="004167A9" w:rsidRPr="00A1244F">
        <w:t xml:space="preserve"> descriptif de</w:t>
      </w:r>
      <w:r w:rsidRPr="00A1244F">
        <w:t xml:space="preserve"> projet compr</w:t>
      </w:r>
      <w:r w:rsidR="003F7342" w:rsidRPr="00A1244F">
        <w:t>end une stratégie d</w:t>
      </w:r>
      <w:r w:rsidR="006408BB">
        <w:t>’</w:t>
      </w:r>
      <w:r w:rsidR="003F7342" w:rsidRPr="00A1244F">
        <w:t>action</w:t>
      </w:r>
      <w:r w:rsidRPr="00A1244F">
        <w:t xml:space="preserve">, une description des activités prévues et un calendrier de mise en </w:t>
      </w:r>
      <w:r w:rsidR="00244C87" w:rsidRPr="00A1244F">
        <w:t>œuv</w:t>
      </w:r>
      <w:r w:rsidR="002140BE" w:rsidRPr="00A1244F">
        <w:t>re</w:t>
      </w:r>
      <w:r w:rsidR="002140BE">
        <w:t xml:space="preserve">.  </w:t>
      </w:r>
      <w:r w:rsidR="002140BE" w:rsidRPr="00A1244F">
        <w:t>Le</w:t>
      </w:r>
      <w:r w:rsidRPr="00A1244F">
        <w:t xml:space="preserve"> taux de décaissement indique que le budget était exa</w:t>
      </w:r>
      <w:r w:rsidR="002140BE" w:rsidRPr="00A1244F">
        <w:t>ct</w:t>
      </w:r>
      <w:r w:rsidR="002140BE">
        <w:t xml:space="preserve">.  </w:t>
      </w:r>
      <w:r w:rsidR="002140BE" w:rsidRPr="00A1244F">
        <w:t>L</w:t>
      </w:r>
      <w:r w:rsidR="002140BE">
        <w:t>’</w:t>
      </w:r>
      <w:r w:rsidR="002140BE" w:rsidRPr="00A1244F">
        <w:t>a</w:t>
      </w:r>
      <w:r w:rsidR="009C7BC8" w:rsidRPr="00A1244F">
        <w:t>ffectation du personnel nécessaire</w:t>
      </w:r>
      <w:r w:rsidRPr="00A1244F">
        <w:t xml:space="preserve"> (</w:t>
      </w:r>
      <w:r w:rsidR="0051480C" w:rsidRPr="00A1244F">
        <w:t>répartition du temps) n</w:t>
      </w:r>
      <w:r w:rsidR="006408BB">
        <w:t>’</w:t>
      </w:r>
      <w:r w:rsidR="0051480C" w:rsidRPr="00A1244F">
        <w:t>a</w:t>
      </w:r>
      <w:r w:rsidRPr="00A1244F">
        <w:t xml:space="preserve"> toutefois pas </w:t>
      </w:r>
      <w:r w:rsidR="009C7BC8" w:rsidRPr="00A1244F">
        <w:t xml:space="preserve">été </w:t>
      </w:r>
      <w:r w:rsidR="0051480C" w:rsidRPr="00A1244F">
        <w:t>à la mesure de la complexité</w:t>
      </w:r>
      <w:r w:rsidRPr="00A1244F">
        <w:t xml:space="preserve"> du projet et </w:t>
      </w:r>
      <w:r w:rsidR="0051480C" w:rsidRPr="00A1244F">
        <w:t>du nombre d</w:t>
      </w:r>
      <w:r w:rsidR="006408BB">
        <w:t>’</w:t>
      </w:r>
      <w:r w:rsidR="0051480C" w:rsidRPr="00A1244F">
        <w:t>activités;  c</w:t>
      </w:r>
      <w:r w:rsidR="009C7BC8" w:rsidRPr="00A1244F">
        <w:t>e qui a</w:t>
      </w:r>
      <w:r w:rsidRPr="00A1244F">
        <w:t xml:space="preserve"> </w:t>
      </w:r>
      <w:r w:rsidR="009C7BC8" w:rsidRPr="00A1244F">
        <w:t xml:space="preserve">entraîné des </w:t>
      </w:r>
      <w:r w:rsidRPr="00A1244F">
        <w:t>retards (notamment en ce qui concerne la finalisation du cours d</w:t>
      </w:r>
      <w:r w:rsidR="006408BB">
        <w:t>’</w:t>
      </w:r>
      <w:r w:rsidRPr="00A1244F">
        <w:t>enseignement à distance de l</w:t>
      </w:r>
      <w:r w:rsidR="006408BB">
        <w:t>’</w:t>
      </w:r>
      <w:r w:rsidRPr="00A1244F">
        <w:t>OMPI).</w:t>
      </w:r>
      <w:r w:rsidR="003071A3" w:rsidRPr="00A1244F">
        <w:t xml:space="preserve"> </w:t>
      </w:r>
      <w:r w:rsidR="009C7BC8" w:rsidRPr="00A1244F">
        <w:t xml:space="preserve"> </w:t>
      </w:r>
      <w:r w:rsidRPr="00A1244F">
        <w:t>Si les pays bénéficiaires ont nommé des coordonnateurs, aucune structure de gestion officielle entre le Secrétariat et les pays bénéficiaires n</w:t>
      </w:r>
      <w:r w:rsidR="006408BB">
        <w:t>’</w:t>
      </w:r>
      <w:r w:rsidRPr="00A1244F">
        <w:t>a été mise en pla</w:t>
      </w:r>
      <w:r w:rsidR="002140BE" w:rsidRPr="00A1244F">
        <w:t>ce</w:t>
      </w:r>
      <w:r w:rsidR="002140BE">
        <w:t xml:space="preserve">.  </w:t>
      </w:r>
      <w:r w:rsidR="002140BE" w:rsidRPr="00A1244F">
        <w:t>Il</w:t>
      </w:r>
      <w:r w:rsidRPr="00A1244F">
        <w:t xml:space="preserve"> s</w:t>
      </w:r>
      <w:r w:rsidR="006408BB">
        <w:t>’</w:t>
      </w:r>
      <w:r w:rsidRPr="00A1244F">
        <w:t>agit d</w:t>
      </w:r>
      <w:r w:rsidR="006408BB">
        <w:t>’</w:t>
      </w:r>
      <w:r w:rsidRPr="00A1244F">
        <w:t>u</w:t>
      </w:r>
      <w:r w:rsidR="0051480C" w:rsidRPr="00A1244F">
        <w:t>ne stratégie d</w:t>
      </w:r>
      <w:r w:rsidR="006408BB">
        <w:t>’</w:t>
      </w:r>
      <w:r w:rsidR="0051480C" w:rsidRPr="00A1244F">
        <w:t>élimination progressive compren</w:t>
      </w:r>
      <w:r w:rsidRPr="00A1244F">
        <w:t xml:space="preserve">ant des mesures </w:t>
      </w:r>
      <w:r w:rsidR="0051480C" w:rsidRPr="00A1244F">
        <w:t>particulière</w:t>
      </w:r>
      <w:r w:rsidRPr="00A1244F">
        <w:t xml:space="preserve">s </w:t>
      </w:r>
      <w:r w:rsidR="00DA4BBE" w:rsidRPr="00A1244F">
        <w:t>ayant pour but</w:t>
      </w:r>
      <w:r w:rsidRPr="00A1244F">
        <w:t xml:space="preserve"> de garantir la </w:t>
      </w:r>
      <w:r w:rsidR="00A34BA1" w:rsidRPr="00A1244F">
        <w:t>via</w:t>
      </w:r>
      <w:r w:rsidR="00DA4BBE" w:rsidRPr="00A1244F">
        <w:t>bilité</w:t>
      </w:r>
      <w:r w:rsidRPr="00A1244F">
        <w:t xml:space="preserve"> des avantages du projet</w:t>
      </w:r>
      <w:r w:rsidR="00DA4BBE" w:rsidRPr="00A1244F">
        <w:t>,</w:t>
      </w:r>
      <w:r w:rsidR="00BB3401" w:rsidRPr="00A1244F">
        <w:t xml:space="preserve"> au terme</w:t>
      </w:r>
      <w:r w:rsidRPr="00A1244F">
        <w:t xml:space="preserve"> de l</w:t>
      </w:r>
      <w:r w:rsidR="006408BB">
        <w:t>’</w:t>
      </w:r>
      <w:r w:rsidRPr="00A1244F">
        <w:t>appui de l</w:t>
      </w:r>
      <w:r w:rsidR="006408BB">
        <w:t>’</w:t>
      </w:r>
      <w:r w:rsidRPr="00A1244F">
        <w:t>OMPI.</w:t>
      </w:r>
    </w:p>
    <w:p w:rsidR="00610DAF" w:rsidRPr="00A1244F" w:rsidRDefault="00B31189" w:rsidP="00423BE0">
      <w:pPr>
        <w:pStyle w:val="ONUMFS"/>
        <w:numPr>
          <w:ilvl w:val="0"/>
          <w:numId w:val="0"/>
        </w:numPr>
      </w:pPr>
      <w:r w:rsidRPr="00A1244F">
        <w:t>La direction a sélectionné les bons experts et veillé à la qualité de l</w:t>
      </w:r>
      <w:r w:rsidR="006408BB">
        <w:t>’</w:t>
      </w:r>
      <w:r w:rsidRPr="00A1244F">
        <w:t>appui four</w:t>
      </w:r>
      <w:r w:rsidR="002140BE" w:rsidRPr="00A1244F">
        <w:t>ni</w:t>
      </w:r>
      <w:r w:rsidR="002140BE">
        <w:t xml:space="preserve">.  </w:t>
      </w:r>
      <w:r w:rsidR="002140BE" w:rsidRPr="00A1244F">
        <w:t>Le</w:t>
      </w:r>
      <w:r w:rsidRPr="00A1244F">
        <w:t>s bénéficiaires ont souligné l</w:t>
      </w:r>
      <w:r w:rsidR="006408BB">
        <w:t>’</w:t>
      </w:r>
      <w:r w:rsidRPr="00A1244F">
        <w:t>aptitude du Secrétariat à répondre à leurs besoins.</w:t>
      </w:r>
    </w:p>
    <w:p w:rsidR="00610DAF" w:rsidRPr="00A1244F" w:rsidRDefault="00B31189" w:rsidP="00423BE0">
      <w:pPr>
        <w:pStyle w:val="ONUMFS"/>
        <w:numPr>
          <w:ilvl w:val="0"/>
          <w:numId w:val="0"/>
        </w:numPr>
      </w:pPr>
      <w:r w:rsidRPr="00A1244F">
        <w:t>Le projet a appliqué les modèles de planification et d</w:t>
      </w:r>
      <w:r w:rsidR="006408BB">
        <w:t>’</w:t>
      </w:r>
      <w:r w:rsidRPr="00A1244F">
        <w:t>établissement de rapports de l</w:t>
      </w:r>
      <w:r w:rsidR="006408BB">
        <w:t>’</w:t>
      </w:r>
      <w:r w:rsidRPr="00A1244F">
        <w:t>O</w:t>
      </w:r>
      <w:r w:rsidR="002140BE" w:rsidRPr="00A1244F">
        <w:t>MPI</w:t>
      </w:r>
      <w:r w:rsidR="002140BE">
        <w:t xml:space="preserve">.  </w:t>
      </w:r>
      <w:r w:rsidR="002140BE" w:rsidRPr="00A1244F">
        <w:t>Co</w:t>
      </w:r>
      <w:r w:rsidRPr="00A1244F">
        <w:t>ntrairement à la plupart des autres acteurs du développement, l</w:t>
      </w:r>
      <w:r w:rsidR="006408BB">
        <w:t>’</w:t>
      </w:r>
      <w:r w:rsidRPr="00A1244F">
        <w:t>OMPI n</w:t>
      </w:r>
      <w:r w:rsidR="006408BB">
        <w:t>’</w:t>
      </w:r>
      <w:r w:rsidRPr="00A1244F">
        <w:t>utilise pas de cadres logiques pour la planification, le suivi et l</w:t>
      </w:r>
      <w:r w:rsidR="006408BB">
        <w:t>’</w:t>
      </w:r>
      <w:r w:rsidRPr="00A1244F">
        <w:t>évaluation des projets.</w:t>
      </w:r>
    </w:p>
    <w:p w:rsidR="00610DAF" w:rsidRDefault="00B31189" w:rsidP="00586D4B">
      <w:pPr>
        <w:pStyle w:val="Heading4"/>
      </w:pPr>
      <w:r w:rsidRPr="00A1244F">
        <w:t>Conclu</w:t>
      </w:r>
      <w:r w:rsidR="00DA4BBE" w:rsidRPr="00A1244F">
        <w:t>sion n°</w:t>
      </w:r>
      <w:r w:rsidR="005839C0">
        <w:t> </w:t>
      </w:r>
      <w:r w:rsidR="00DA4BBE" w:rsidRPr="00A1244F">
        <w:t>2 concernant</w:t>
      </w:r>
      <w:r w:rsidRPr="00A1244F">
        <w:t xml:space="preserve"> la pertinence</w:t>
      </w:r>
      <w:r w:rsidR="006408BB">
        <w:t> :</w:t>
      </w:r>
      <w:r w:rsidRPr="00A1244F">
        <w:t xml:space="preserve"> le projet </w:t>
      </w:r>
      <w:r w:rsidR="00DA4BBE" w:rsidRPr="00A1244F">
        <w:t>a été réalisé en temps voulu</w:t>
      </w:r>
      <w:r w:rsidRPr="00A1244F">
        <w:t xml:space="preserve"> et </w:t>
      </w:r>
      <w:r w:rsidR="00DA4BBE" w:rsidRPr="00A1244F">
        <w:t xml:space="preserve">a </w:t>
      </w:r>
      <w:r w:rsidRPr="00A1244F">
        <w:t>répond</w:t>
      </w:r>
      <w:r w:rsidR="00DA4BBE" w:rsidRPr="00A1244F">
        <w:t>u</w:t>
      </w:r>
      <w:r w:rsidRPr="00A1244F">
        <w:t xml:space="preserve"> aux besoins des bénéficiair</w:t>
      </w:r>
      <w:r w:rsidR="002140BE" w:rsidRPr="00A1244F">
        <w:t>es</w:t>
      </w:r>
      <w:r w:rsidR="002140BE">
        <w:t xml:space="preserve">.  </w:t>
      </w:r>
      <w:r w:rsidR="002140BE" w:rsidRPr="00A1244F">
        <w:t>Il</w:t>
      </w:r>
      <w:r w:rsidR="00E47E70" w:rsidRPr="00A1244F">
        <w:t xml:space="preserve"> a</w:t>
      </w:r>
      <w:r w:rsidR="006B2EA8" w:rsidRPr="00A1244F">
        <w:t xml:space="preserve"> entièrement respecté les</w:t>
      </w:r>
      <w:r w:rsidRPr="00A1244F">
        <w:t xml:space="preserve"> priorités stratégiques définies par les États membres.</w:t>
      </w:r>
    </w:p>
    <w:p w:rsidR="00423BE0" w:rsidRPr="00423BE0" w:rsidRDefault="00423BE0" w:rsidP="00423BE0"/>
    <w:p w:rsidR="00610DAF" w:rsidRPr="00A1244F" w:rsidRDefault="00B31189" w:rsidP="00423BE0">
      <w:pPr>
        <w:pStyle w:val="ONUMFS"/>
        <w:numPr>
          <w:ilvl w:val="0"/>
          <w:numId w:val="0"/>
        </w:numPr>
        <w:rPr>
          <w:b/>
        </w:rPr>
      </w:pPr>
      <w:r w:rsidRPr="00A1244F">
        <w:t>Le secteur de l</w:t>
      </w:r>
      <w:r w:rsidR="006408BB">
        <w:t>’</w:t>
      </w:r>
      <w:r w:rsidRPr="00A1244F">
        <w:t>audiovisuel figure parmi les actifs intellectuels les plus créatifs de l</w:t>
      </w:r>
      <w:r w:rsidR="006408BB">
        <w:t>’</w:t>
      </w:r>
      <w:r w:rsidRPr="00A1244F">
        <w:t xml:space="preserve">économie du savoir et </w:t>
      </w:r>
      <w:r w:rsidR="006B2EA8" w:rsidRPr="00A1244F">
        <w:t>représente un secteur essentiel</w:t>
      </w:r>
      <w:r w:rsidRPr="00A1244F">
        <w:t xml:space="preserve"> </w:t>
      </w:r>
      <w:r w:rsidR="006B2EA8" w:rsidRPr="00A1244F">
        <w:t>à la croissance économique et au</w:t>
      </w:r>
      <w:r w:rsidRPr="00A1244F">
        <w:t xml:space="preserve"> développement de l</w:t>
      </w:r>
      <w:r w:rsidR="006408BB">
        <w:t>’</w:t>
      </w:r>
      <w:r w:rsidRPr="00A1244F">
        <w:t>Afriq</w:t>
      </w:r>
      <w:r w:rsidR="002140BE" w:rsidRPr="00A1244F">
        <w:t>ue</w:t>
      </w:r>
      <w:r w:rsidR="002140BE">
        <w:t xml:space="preserve">.  </w:t>
      </w:r>
      <w:r w:rsidR="002140BE" w:rsidRPr="00A1244F">
        <w:t>Le</w:t>
      </w:r>
      <w:r w:rsidRPr="00A1244F">
        <w:t xml:space="preserve">s cinéastes africains, </w:t>
      </w:r>
      <w:r w:rsidR="00E47E70" w:rsidRPr="00A1244F">
        <w:t>petits pour la plupart</w:t>
      </w:r>
      <w:r w:rsidRPr="00A1244F">
        <w:t>, se heurtent à des difficultés pour exploiter pleinement le potentiel écon</w:t>
      </w:r>
      <w:r w:rsidR="00E47E70" w:rsidRPr="00A1244F">
        <w:t>omique des technique</w:t>
      </w:r>
      <w:r w:rsidRPr="00A1244F">
        <w:t>s émergent</w:t>
      </w:r>
      <w:r w:rsidR="002140BE" w:rsidRPr="00A1244F">
        <w:t>es</w:t>
      </w:r>
      <w:r w:rsidR="002140BE">
        <w:t xml:space="preserve">.  </w:t>
      </w:r>
      <w:r w:rsidR="002140BE" w:rsidRPr="00A1244F">
        <w:t>En</w:t>
      </w:r>
      <w:r w:rsidRPr="00A1244F">
        <w:t xml:space="preserve"> travaillant à </w:t>
      </w:r>
      <w:r w:rsidR="00E47E70" w:rsidRPr="00A1244F">
        <w:t>la frontière</w:t>
      </w:r>
      <w:r w:rsidRPr="00A1244F">
        <w:t xml:space="preserve"> entre</w:t>
      </w:r>
      <w:r w:rsidR="00E47E70" w:rsidRPr="00A1244F">
        <w:t xml:space="preserve"> technologie numérique et </w:t>
      </w:r>
      <w:r w:rsidRPr="00A1244F">
        <w:t>systèmes de protection du droit d</w:t>
      </w:r>
      <w:r w:rsidR="006408BB">
        <w:t>’</w:t>
      </w:r>
      <w:r w:rsidRPr="00A1244F">
        <w:t xml:space="preserve">auteur, le projet a </w:t>
      </w:r>
      <w:r w:rsidR="00E47E70" w:rsidRPr="00A1244F">
        <w:t>su</w:t>
      </w:r>
      <w:r w:rsidRPr="00A1244F">
        <w:t xml:space="preserve"> répondre rapidement et de manière appropriée aux défis du secteur de l</w:t>
      </w:r>
      <w:r w:rsidR="006408BB">
        <w:t>’</w:t>
      </w:r>
      <w:r w:rsidRPr="00A1244F">
        <w:t>audiovisuel africain.</w:t>
      </w:r>
    </w:p>
    <w:p w:rsidR="006408BB" w:rsidRDefault="00B31189" w:rsidP="00423BE0">
      <w:pPr>
        <w:pStyle w:val="ONUMFS"/>
        <w:numPr>
          <w:ilvl w:val="0"/>
          <w:numId w:val="0"/>
        </w:numPr>
      </w:pPr>
      <w:r w:rsidRPr="00A1244F">
        <w:t>L</w:t>
      </w:r>
      <w:r w:rsidR="006408BB">
        <w:t>’</w:t>
      </w:r>
      <w:r w:rsidRPr="00A1244F">
        <w:t>approbation par consensus</w:t>
      </w:r>
      <w:r w:rsidR="006408BB" w:rsidRPr="00A1244F">
        <w:t xml:space="preserve"> du</w:t>
      </w:r>
      <w:r w:rsidR="006408BB">
        <w:t> </w:t>
      </w:r>
      <w:r w:rsidR="006408BB" w:rsidRPr="00A1244F">
        <w:t>CDI</w:t>
      </w:r>
      <w:r w:rsidRPr="00A1244F">
        <w:t>P témoigne de la pertinence stratégique du projet pour les États membr</w:t>
      </w:r>
      <w:r w:rsidR="002140BE" w:rsidRPr="00A1244F">
        <w:t>es</w:t>
      </w:r>
      <w:r w:rsidR="002140BE">
        <w:t xml:space="preserve">.  </w:t>
      </w:r>
      <w:r w:rsidR="002140BE" w:rsidRPr="00A1244F">
        <w:t>Le</w:t>
      </w:r>
      <w:r w:rsidRPr="00A1244F">
        <w:t xml:space="preserve"> projet </w:t>
      </w:r>
      <w:r w:rsidR="00391671" w:rsidRPr="00A1244F">
        <w:t xml:space="preserve">a </w:t>
      </w:r>
      <w:r w:rsidR="00180D7B" w:rsidRPr="00A1244F">
        <w:t xml:space="preserve">satisfait </w:t>
      </w:r>
      <w:r w:rsidRPr="00A1244F">
        <w:t>aux recommandations du Plan d</w:t>
      </w:r>
      <w:r w:rsidR="006408BB">
        <w:t>’</w:t>
      </w:r>
      <w:r w:rsidRPr="00A1244F">
        <w:t>action pou</w:t>
      </w:r>
      <w:r w:rsidR="00391671" w:rsidRPr="00A1244F">
        <w:t>r le développement</w:t>
      </w:r>
      <w:r w:rsidR="00180D7B" w:rsidRPr="00A1244F">
        <w:t xml:space="preserve"> visées</w:t>
      </w:r>
      <w:r w:rsidRPr="00A1244F">
        <w:t>.</w:t>
      </w:r>
    </w:p>
    <w:p w:rsidR="00610DAF" w:rsidRPr="00A1244F" w:rsidRDefault="00B31189" w:rsidP="00423BE0">
      <w:pPr>
        <w:pStyle w:val="ONUMFS"/>
        <w:numPr>
          <w:ilvl w:val="0"/>
          <w:numId w:val="0"/>
        </w:numPr>
      </w:pPr>
      <w:r w:rsidRPr="00A1244F">
        <w:t xml:space="preserve">Les objectifs du projet </w:t>
      </w:r>
      <w:r w:rsidR="00180D7B" w:rsidRPr="00A1244F">
        <w:t>o</w:t>
      </w:r>
      <w:r w:rsidRPr="00A1244F">
        <w:t xml:space="preserve">nt également </w:t>
      </w:r>
      <w:r w:rsidR="00180D7B" w:rsidRPr="00A1244F">
        <w:t xml:space="preserve">satisfait </w:t>
      </w:r>
      <w:r w:rsidRPr="00A1244F">
        <w:t>aux</w:t>
      </w:r>
      <w:r w:rsidR="00391671" w:rsidRPr="00A1244F">
        <w:t xml:space="preserve"> objectifs du programme</w:t>
      </w:r>
      <w:r w:rsidR="0088350E">
        <w:t> </w:t>
      </w:r>
      <w:r w:rsidR="00391671" w:rsidRPr="00A1244F">
        <w:t>3, qui vise</w:t>
      </w:r>
      <w:r w:rsidRPr="00A1244F">
        <w:t xml:space="preserve"> </w:t>
      </w:r>
      <w:r w:rsidR="00421966" w:rsidRPr="00A1244F">
        <w:t>le renforcement</w:t>
      </w:r>
      <w:r w:rsidRPr="00A1244F">
        <w:t xml:space="preserve"> </w:t>
      </w:r>
      <w:r w:rsidR="00421966" w:rsidRPr="00A1244F">
        <w:t>d</w:t>
      </w:r>
      <w:r w:rsidRPr="00A1244F">
        <w:t xml:space="preserve">es capacités et </w:t>
      </w:r>
      <w:r w:rsidR="00421966" w:rsidRPr="00A1244F">
        <w:t xml:space="preserve">des </w:t>
      </w:r>
      <w:r w:rsidRPr="00A1244F">
        <w:t xml:space="preserve">compétences </w:t>
      </w:r>
      <w:r w:rsidR="00421966" w:rsidRPr="00A1244F">
        <w:t>pour l</w:t>
      </w:r>
      <w:r w:rsidR="006408BB">
        <w:t>’</w:t>
      </w:r>
      <w:r w:rsidR="00421966" w:rsidRPr="00A1244F">
        <w:t xml:space="preserve">utilisation et </w:t>
      </w:r>
      <w:r w:rsidRPr="00A1244F">
        <w:t>la gestion efficaces du droit d</w:t>
      </w:r>
      <w:r w:rsidR="006408BB">
        <w:t>’</w:t>
      </w:r>
      <w:r w:rsidRPr="00A1244F">
        <w:t>auteur et des droits connexes dans le</w:t>
      </w:r>
      <w:r w:rsidR="00421966" w:rsidRPr="00A1244F">
        <w:t xml:space="preserve"> cadre du</w:t>
      </w:r>
      <w:r w:rsidRPr="00A1244F">
        <w:t xml:space="preserve"> financement et</w:t>
      </w:r>
      <w:r w:rsidR="00421966" w:rsidRPr="00A1244F">
        <w:t xml:space="preserve"> de</w:t>
      </w:r>
      <w:r w:rsidRPr="00A1244F">
        <w:t xml:space="preserve"> l</w:t>
      </w:r>
      <w:r w:rsidR="006408BB">
        <w:t>’</w:t>
      </w:r>
      <w:r w:rsidRPr="00A1244F">
        <w:t>exploitation légitime d</w:t>
      </w:r>
      <w:r w:rsidR="00421966" w:rsidRPr="00A1244F">
        <w:t>es</w:t>
      </w:r>
      <w:r w:rsidRPr="00A1244F">
        <w:t xml:space="preserve"> contenu</w:t>
      </w:r>
      <w:r w:rsidR="00421966" w:rsidRPr="00A1244F">
        <w:t>s</w:t>
      </w:r>
      <w:r w:rsidRPr="00A1244F">
        <w:t xml:space="preserve"> audiovisuel</w:t>
      </w:r>
      <w:r w:rsidR="00421966" w:rsidRPr="00A1244F">
        <w:t>s, en vue d</w:t>
      </w:r>
      <w:r w:rsidR="006408BB">
        <w:t>’</w:t>
      </w:r>
      <w:r w:rsidR="00421966" w:rsidRPr="00A1244F">
        <w:t>appuyer</w:t>
      </w:r>
      <w:r w:rsidRPr="00A1244F">
        <w:t xml:space="preserve"> le développement du secteur audiovis</w:t>
      </w:r>
      <w:r w:rsidR="00421966" w:rsidRPr="00A1244F">
        <w:t>uel local à l</w:t>
      </w:r>
      <w:r w:rsidR="006408BB">
        <w:t>’</w:t>
      </w:r>
      <w:r w:rsidR="00421966" w:rsidRPr="00A1244F">
        <w:t xml:space="preserve">ère </w:t>
      </w:r>
      <w:r w:rsidR="00421966" w:rsidRPr="00A1244F">
        <w:lastRenderedPageBreak/>
        <w:t>du numérique aux fins de la promotion</w:t>
      </w:r>
      <w:r w:rsidRPr="00A1244F">
        <w:t xml:space="preserve"> </w:t>
      </w:r>
      <w:r w:rsidR="00421966" w:rsidRPr="00A1244F">
        <w:t xml:space="preserve">du </w:t>
      </w:r>
      <w:r w:rsidRPr="00A1244F">
        <w:t>développement économique, social et cultur</w:t>
      </w:r>
      <w:r w:rsidR="002140BE" w:rsidRPr="00A1244F">
        <w:t>el</w:t>
      </w:r>
      <w:r w:rsidR="002140BE">
        <w:t xml:space="preserve">.  </w:t>
      </w:r>
      <w:r w:rsidR="002140BE" w:rsidRPr="00A1244F">
        <w:t>Bi</w:t>
      </w:r>
      <w:r w:rsidR="00421966" w:rsidRPr="00A1244F">
        <w:t>en qu</w:t>
      </w:r>
      <w:r w:rsidR="006408BB">
        <w:t>’</w:t>
      </w:r>
      <w:r w:rsidR="00421966" w:rsidRPr="00A1244F">
        <w:t>à un degré moindre</w:t>
      </w:r>
      <w:r w:rsidRPr="00A1244F">
        <w:t>, le projet contr</w:t>
      </w:r>
      <w:r w:rsidR="00421966" w:rsidRPr="00A1244F">
        <w:t>ibue également aux objectifs du</w:t>
      </w:r>
      <w:r w:rsidRPr="00A1244F">
        <w:t xml:space="preserve"> progr</w:t>
      </w:r>
      <w:r w:rsidR="00421966" w:rsidRPr="00A1244F">
        <w:t>amme</w:t>
      </w:r>
      <w:r w:rsidR="0088350E">
        <w:t> </w:t>
      </w:r>
      <w:r w:rsidRPr="00A1244F">
        <w:t xml:space="preserve">9 </w:t>
      </w:r>
      <w:r w:rsidR="009E6677" w:rsidRPr="00A1244F">
        <w:t>(axé</w:t>
      </w:r>
      <w:r w:rsidRPr="00A1244F">
        <w:t xml:space="preserve"> sur l</w:t>
      </w:r>
      <w:r w:rsidR="006408BB">
        <w:t>’</w:t>
      </w:r>
      <w:r w:rsidRPr="00A1244F">
        <w:t xml:space="preserve">Afrique), </w:t>
      </w:r>
      <w:r w:rsidR="009E6677" w:rsidRPr="00A1244F">
        <w:t>du programme</w:t>
      </w:r>
      <w:r w:rsidR="0088350E">
        <w:t> </w:t>
      </w:r>
      <w:r w:rsidRPr="00A1244F">
        <w:t>11 (cours d</w:t>
      </w:r>
      <w:r w:rsidR="006408BB">
        <w:t>’</w:t>
      </w:r>
      <w:r w:rsidRPr="00A1244F">
        <w:t>enseignement à distance prévu</w:t>
      </w:r>
      <w:r w:rsidR="009E6677" w:rsidRPr="00A1244F">
        <w:t>s</w:t>
      </w:r>
      <w:r w:rsidRPr="00A1244F">
        <w:t xml:space="preserve"> p</w:t>
      </w:r>
      <w:r w:rsidR="009E6677" w:rsidRPr="00A1244F">
        <w:t>our le secteur de l</w:t>
      </w:r>
      <w:r w:rsidR="006408BB">
        <w:t>’</w:t>
      </w:r>
      <w:r w:rsidR="009E6677" w:rsidRPr="00A1244F">
        <w:t>audiovisuel</w:t>
      </w:r>
      <w:r w:rsidRPr="00A1244F">
        <w:t xml:space="preserve">), </w:t>
      </w:r>
      <w:r w:rsidR="009E6677" w:rsidRPr="00A1244F">
        <w:t>du programme</w:t>
      </w:r>
      <w:r w:rsidR="0088350E">
        <w:t> </w:t>
      </w:r>
      <w:r w:rsidRPr="00A1244F">
        <w:t>15 (certains aspects de l</w:t>
      </w:r>
      <w:r w:rsidR="006408BB">
        <w:t>’</w:t>
      </w:r>
      <w:r w:rsidRPr="00A1244F">
        <w:t>infrastructure informati</w:t>
      </w:r>
      <w:r w:rsidR="005664B5" w:rsidRPr="00A1244F">
        <w:t>que des sociétés de perception), du programme</w:t>
      </w:r>
      <w:r w:rsidR="0088350E">
        <w:t> </w:t>
      </w:r>
      <w:r w:rsidRPr="00A1244F">
        <w:t xml:space="preserve">16 (étude de faisabilité sur </w:t>
      </w:r>
      <w:r w:rsidR="005664B5" w:rsidRPr="00A1244F">
        <w:t>l</w:t>
      </w:r>
      <w:r w:rsidR="006408BB">
        <w:t>’</w:t>
      </w:r>
      <w:r w:rsidR="005664B5" w:rsidRPr="00A1244F">
        <w:t>amélioration</w:t>
      </w:r>
      <w:r w:rsidRPr="00A1244F">
        <w:t xml:space="preserve"> de la collecte de données économiques) et</w:t>
      </w:r>
      <w:r w:rsidR="005664B5" w:rsidRPr="00A1244F">
        <w:t xml:space="preserve"> du programme</w:t>
      </w:r>
      <w:r w:rsidR="0088350E">
        <w:t> </w:t>
      </w:r>
      <w:r w:rsidR="005664B5" w:rsidRPr="00A1244F">
        <w:t>17 (une formation au</w:t>
      </w:r>
      <w:r w:rsidRPr="00A1244F">
        <w:t xml:space="preserve"> règlement des litiges, </w:t>
      </w:r>
      <w:r w:rsidR="006408BB">
        <w:t>y compris</w:t>
      </w:r>
      <w:r w:rsidRPr="00A1244F">
        <w:t xml:space="preserve"> </w:t>
      </w:r>
      <w:r w:rsidR="005664B5" w:rsidRPr="00A1244F">
        <w:t xml:space="preserve">à </w:t>
      </w:r>
      <w:r w:rsidRPr="00A1244F">
        <w:t xml:space="preserve">la médiation et </w:t>
      </w:r>
      <w:r w:rsidR="005664B5" w:rsidRPr="00A1244F">
        <w:t xml:space="preserve">à </w:t>
      </w:r>
      <w:r w:rsidRPr="00A1244F">
        <w:t>l</w:t>
      </w:r>
      <w:r w:rsidR="006408BB">
        <w:t>’</w:t>
      </w:r>
      <w:r w:rsidRPr="00A1244F">
        <w:t>arbitrage).</w:t>
      </w:r>
    </w:p>
    <w:p w:rsidR="00610DAF" w:rsidRDefault="005664B5" w:rsidP="00586D4B">
      <w:pPr>
        <w:pStyle w:val="Heading4"/>
      </w:pPr>
      <w:r w:rsidRPr="00A1244F">
        <w:t>Conclusion n°</w:t>
      </w:r>
      <w:r w:rsidR="005839C0">
        <w:t> </w:t>
      </w:r>
      <w:r w:rsidRPr="00A1244F">
        <w:t>3 concernant</w:t>
      </w:r>
      <w:r w:rsidR="00B31189" w:rsidRPr="00A1244F">
        <w:t xml:space="preserve"> l</w:t>
      </w:r>
      <w:r w:rsidR="006408BB">
        <w:t>’</w:t>
      </w:r>
      <w:r w:rsidR="00B31189" w:rsidRPr="00A1244F">
        <w:t>efficacité</w:t>
      </w:r>
      <w:r w:rsidR="006408BB">
        <w:t> :</w:t>
      </w:r>
      <w:r w:rsidR="00B31189" w:rsidRPr="00A1244F">
        <w:t xml:space="preserve"> tou</w:t>
      </w:r>
      <w:r w:rsidR="00E43E9D" w:rsidRPr="00A1244F">
        <w:t>te</w:t>
      </w:r>
      <w:r w:rsidR="00B31189" w:rsidRPr="00A1244F">
        <w:t xml:space="preserve">s les </w:t>
      </w:r>
      <w:r w:rsidR="00E43E9D" w:rsidRPr="00A1244F">
        <w:t>activité</w:t>
      </w:r>
      <w:r w:rsidR="00B31189" w:rsidRPr="00A1244F">
        <w:t xml:space="preserve">s </w:t>
      </w:r>
      <w:r w:rsidR="00E43E9D" w:rsidRPr="00A1244F">
        <w:t>prévue</w:t>
      </w:r>
      <w:r w:rsidRPr="00A1244F">
        <w:t xml:space="preserve">s </w:t>
      </w:r>
      <w:r w:rsidR="00B31189" w:rsidRPr="00A1244F">
        <w:t>à l</w:t>
      </w:r>
      <w:r w:rsidR="006408BB">
        <w:t>’</w:t>
      </w:r>
      <w:r w:rsidR="00B31189" w:rsidRPr="00A1244F">
        <w:t>exception du cours d</w:t>
      </w:r>
      <w:r w:rsidR="006408BB">
        <w:t>’</w:t>
      </w:r>
      <w:r w:rsidR="00B31189" w:rsidRPr="00A1244F">
        <w:t>enseignement à distance ont été achevé</w:t>
      </w:r>
      <w:r w:rsidR="002140BE" w:rsidRPr="00A1244F">
        <w:t>es</w:t>
      </w:r>
      <w:r w:rsidR="002140BE">
        <w:t xml:space="preserve">.  </w:t>
      </w:r>
      <w:r w:rsidR="002140BE" w:rsidRPr="00A1244F">
        <w:t>S</w:t>
      </w:r>
      <w:r w:rsidR="002140BE">
        <w:t>’</w:t>
      </w:r>
      <w:r w:rsidR="002140BE" w:rsidRPr="00A1244F">
        <w:t>i</w:t>
      </w:r>
      <w:r w:rsidR="00E43E9D" w:rsidRPr="00A1244F">
        <w:t xml:space="preserve">l était </w:t>
      </w:r>
      <w:r w:rsidR="00B31189" w:rsidRPr="00A1244F">
        <w:t xml:space="preserve">trop tôt pour évaluer des résultats </w:t>
      </w:r>
      <w:r w:rsidR="00E43E9D" w:rsidRPr="00A1244F">
        <w:t>dans leur ensemble, l</w:t>
      </w:r>
      <w:r w:rsidR="006408BB">
        <w:t>’</w:t>
      </w:r>
      <w:r w:rsidR="00E43E9D" w:rsidRPr="00A1244F">
        <w:t>évaluation a enregistré un début</w:t>
      </w:r>
      <w:r w:rsidR="00B31189" w:rsidRPr="00A1244F">
        <w:t xml:space="preserve"> </w:t>
      </w:r>
      <w:r w:rsidR="00E43E9D" w:rsidRPr="00A1244F">
        <w:t>d</w:t>
      </w:r>
      <w:r w:rsidR="006408BB">
        <w:t>’</w:t>
      </w:r>
      <w:r w:rsidR="00E43E9D" w:rsidRPr="00A1244F">
        <w:t>évolution positif</w:t>
      </w:r>
      <w:r w:rsidR="00B31189" w:rsidRPr="00A1244F">
        <w:t xml:space="preserve"> vers la professionnalisation du secteur.</w:t>
      </w:r>
    </w:p>
    <w:p w:rsidR="00423BE0" w:rsidRPr="00423BE0" w:rsidRDefault="00423BE0" w:rsidP="00423BE0"/>
    <w:p w:rsidR="006408BB" w:rsidRDefault="00B31189" w:rsidP="00423BE0">
      <w:pPr>
        <w:pStyle w:val="ONUMFS"/>
        <w:numPr>
          <w:ilvl w:val="0"/>
          <w:numId w:val="0"/>
        </w:numPr>
      </w:pPr>
      <w:r w:rsidRPr="00A1244F">
        <w:t>Le projet a encouragé l</w:t>
      </w:r>
      <w:r w:rsidR="006408BB">
        <w:t>’</w:t>
      </w:r>
      <w:r w:rsidRPr="00A1244F">
        <w:t>utilisation de la propriété intellectuelle dans le secteur de l</w:t>
      </w:r>
      <w:r w:rsidR="006408BB">
        <w:t>’</w:t>
      </w:r>
      <w:r w:rsidRPr="00A1244F">
        <w:t xml:space="preserve">audiovisuel pour améliorer la valorisation des actifs </w:t>
      </w:r>
      <w:r w:rsidR="00E43E9D" w:rsidRPr="00A1244F">
        <w:t>intellectuels</w:t>
      </w:r>
      <w:r w:rsidRPr="00A1244F">
        <w:t xml:space="preserve"> dans les cinq</w:t>
      </w:r>
      <w:r w:rsidR="005839C0">
        <w:t> </w:t>
      </w:r>
      <w:r w:rsidRPr="00A1244F">
        <w:t>pays cibles (Burkina Faso, Côte d</w:t>
      </w:r>
      <w:r w:rsidR="006408BB">
        <w:t>’</w:t>
      </w:r>
      <w:r w:rsidRPr="00A1244F">
        <w:t>Ivoire, Kenya, Maroc et Sénégal), l</w:t>
      </w:r>
      <w:r w:rsidR="006408BB">
        <w:t>’</w:t>
      </w:r>
      <w:r w:rsidRPr="00A1244F">
        <w:t xml:space="preserve">objectif </w:t>
      </w:r>
      <w:r w:rsidR="00E43E9D" w:rsidRPr="00A1244F">
        <w:t>premier</w:t>
      </w:r>
      <w:r w:rsidRPr="00A1244F">
        <w:t xml:space="preserve"> étant de rendre le secteur plus viable.</w:t>
      </w:r>
    </w:p>
    <w:p w:rsidR="00610DAF" w:rsidRPr="00A1244F" w:rsidRDefault="00B31189" w:rsidP="00423BE0">
      <w:pPr>
        <w:pStyle w:val="ONUMFS"/>
        <w:numPr>
          <w:ilvl w:val="0"/>
          <w:numId w:val="0"/>
        </w:numPr>
      </w:pPr>
      <w:r w:rsidRPr="00A1244F">
        <w:t>L</w:t>
      </w:r>
      <w:r w:rsidR="006408BB">
        <w:t>’</w:t>
      </w:r>
      <w:r w:rsidRPr="00A1244F">
        <w:t>appui a notamment porté sur l</w:t>
      </w:r>
      <w:r w:rsidR="006408BB">
        <w:t>’</w:t>
      </w:r>
      <w:r w:rsidRPr="00A1244F">
        <w:t>amélioration du cadre juridique, le renforcement des capacités des bureaux du droit d</w:t>
      </w:r>
      <w:r w:rsidR="006408BB">
        <w:t>’</w:t>
      </w:r>
      <w:r w:rsidRPr="00A1244F">
        <w:t>auteur et des sociétés de perception afin de mieux répondre aux besoins du secteur de l</w:t>
      </w:r>
      <w:r w:rsidR="006408BB">
        <w:t>’</w:t>
      </w:r>
      <w:r w:rsidRPr="00A1244F">
        <w:t>audiovisuel</w:t>
      </w:r>
      <w:r w:rsidR="00E32245" w:rsidRPr="00A1244F">
        <w:t xml:space="preserve"> </w:t>
      </w:r>
      <w:r w:rsidRPr="00A1244F">
        <w:t xml:space="preserve">et </w:t>
      </w:r>
      <w:r w:rsidR="00E32245" w:rsidRPr="00A1244F">
        <w:t xml:space="preserve">visait </w:t>
      </w:r>
      <w:r w:rsidRPr="00A1244F">
        <w:t xml:space="preserve">le renforcement direct des capacités des </w:t>
      </w:r>
      <w:r w:rsidR="00A97D66" w:rsidRPr="00A1244F">
        <w:t>petites et moyennes entreprises</w:t>
      </w:r>
      <w:r w:rsidRPr="00A1244F">
        <w:t>, principalement en ce qui concerne l</w:t>
      </w:r>
      <w:r w:rsidR="006408BB">
        <w:t>’</w:t>
      </w:r>
      <w:r w:rsidRPr="00A1244F">
        <w:t>amélioration des dispositions relatives à la propriété intellectuelle dans les accords juridiqu</w:t>
      </w:r>
      <w:r w:rsidR="002140BE" w:rsidRPr="00A1244F">
        <w:t>es</w:t>
      </w:r>
      <w:r w:rsidR="002140BE">
        <w:t xml:space="preserve">.  </w:t>
      </w:r>
      <w:r w:rsidR="002140BE" w:rsidRPr="00A1244F">
        <w:t>En</w:t>
      </w:r>
      <w:r w:rsidR="00E32245" w:rsidRPr="00A1244F">
        <w:t xml:space="preserve"> outre, un atelier au Kenya </w:t>
      </w:r>
      <w:r w:rsidR="00F23499" w:rsidRPr="00A1244F">
        <w:t>a porté</w:t>
      </w:r>
      <w:r w:rsidRPr="00A1244F">
        <w:t xml:space="preserve"> sur le règlement extrajudiciaire des litiges (prévention des litiges, médiation, arbitrage).</w:t>
      </w:r>
    </w:p>
    <w:p w:rsidR="00610DAF" w:rsidRPr="00A1244F" w:rsidRDefault="00B31189" w:rsidP="00423BE0">
      <w:pPr>
        <w:pStyle w:val="ONUMFS"/>
        <w:numPr>
          <w:ilvl w:val="0"/>
          <w:numId w:val="0"/>
        </w:numPr>
      </w:pPr>
      <w:r w:rsidRPr="00A1244F">
        <w:t>Parmi les activités prévues figur</w:t>
      </w:r>
      <w:r w:rsidR="00A97D66" w:rsidRPr="00A1244F">
        <w:t>ai</w:t>
      </w:r>
      <w:r w:rsidRPr="00A1244F">
        <w:t>ent des ateliers dans</w:t>
      </w:r>
      <w:r w:rsidR="00A97D66" w:rsidRPr="00A1244F">
        <w:t xml:space="preserve"> tous les pays bénéficiaires, un </w:t>
      </w:r>
      <w:r w:rsidRPr="00A1244F">
        <w:t xml:space="preserve">audit et </w:t>
      </w:r>
      <w:r w:rsidR="00A97D66" w:rsidRPr="00A1244F">
        <w:t>une formation de la</w:t>
      </w:r>
      <w:r w:rsidR="00B144C5" w:rsidRPr="00A1244F">
        <w:t xml:space="preserve"> Société sénégalaise du droit d</w:t>
      </w:r>
      <w:r w:rsidR="006408BB">
        <w:t>’</w:t>
      </w:r>
      <w:r w:rsidR="00B144C5" w:rsidRPr="00A1244F">
        <w:t>auteur et des droits voisins (</w:t>
      </w:r>
      <w:r w:rsidRPr="00A1244F">
        <w:t>SODAV</w:t>
      </w:r>
      <w:r w:rsidR="00B144C5" w:rsidRPr="00A1244F">
        <w:t>)</w:t>
      </w:r>
      <w:r w:rsidRPr="00A1244F">
        <w:t xml:space="preserve"> </w:t>
      </w:r>
      <w:r w:rsidR="00A97D66" w:rsidRPr="00A1244F">
        <w:t xml:space="preserve">sur place </w:t>
      </w:r>
      <w:r w:rsidRPr="00A1244F">
        <w:t xml:space="preserve">au Sénégal, une étude de faisabilité sur </w:t>
      </w:r>
      <w:r w:rsidR="00A97D66" w:rsidRPr="00A1244F">
        <w:t>l</w:t>
      </w:r>
      <w:r w:rsidR="006408BB">
        <w:t>’</w:t>
      </w:r>
      <w:r w:rsidR="00A97D66" w:rsidRPr="00A1244F">
        <w:t>amélioration</w:t>
      </w:r>
      <w:r w:rsidRPr="00A1244F">
        <w:t xml:space="preserve"> de la co</w:t>
      </w:r>
      <w:r w:rsidR="00A97D66" w:rsidRPr="00A1244F">
        <w:t>llecte de données économiques ainsi qu</w:t>
      </w:r>
      <w:r w:rsidR="006408BB">
        <w:t>’</w:t>
      </w:r>
      <w:r w:rsidRPr="00A1244F">
        <w:t>une visite d</w:t>
      </w:r>
      <w:r w:rsidR="006408BB">
        <w:t>’</w:t>
      </w:r>
      <w:r w:rsidRPr="00A1244F">
        <w:t>étu</w:t>
      </w:r>
      <w:r w:rsidR="002140BE" w:rsidRPr="00A1244F">
        <w:t>de</w:t>
      </w:r>
      <w:r w:rsidR="002140BE">
        <w:t xml:space="preserve">.  </w:t>
      </w:r>
      <w:r w:rsidR="002140BE" w:rsidRPr="00A1244F">
        <w:t>Le</w:t>
      </w:r>
      <w:r w:rsidRPr="00A1244F">
        <w:t xml:space="preserve"> </w:t>
      </w:r>
      <w:r w:rsidR="001E7E59" w:rsidRPr="00A1244F">
        <w:t>cours d</w:t>
      </w:r>
      <w:r w:rsidR="006408BB">
        <w:t>’</w:t>
      </w:r>
      <w:r w:rsidR="001E7E59" w:rsidRPr="00A1244F">
        <w:t>enseignement à distance</w:t>
      </w:r>
      <w:r w:rsidRPr="00A1244F">
        <w:t>, qui sera dispensé par l</w:t>
      </w:r>
      <w:r w:rsidR="006408BB">
        <w:t>’</w:t>
      </w:r>
      <w:r w:rsidRPr="00A1244F">
        <w:t>intermédiaire de l</w:t>
      </w:r>
      <w:r w:rsidR="006408BB">
        <w:t>’</w:t>
      </w:r>
      <w:r w:rsidRPr="00A1244F">
        <w:t>Académie de l</w:t>
      </w:r>
      <w:r w:rsidR="006408BB">
        <w:t>’</w:t>
      </w:r>
      <w:r w:rsidRPr="00A1244F">
        <w:t>OMPI, devrait s</w:t>
      </w:r>
      <w:r w:rsidR="006408BB">
        <w:t>’</w:t>
      </w:r>
      <w:r w:rsidRPr="00A1244F">
        <w:t>achever d</w:t>
      </w:r>
      <w:r w:rsidR="006408BB">
        <w:t>’</w:t>
      </w:r>
      <w:r w:rsidRPr="00A1244F">
        <w:t xml:space="preserve">ici à </w:t>
      </w:r>
      <w:r w:rsidR="006408BB" w:rsidRPr="00A1244F">
        <w:t>juin</w:t>
      </w:r>
      <w:r w:rsidR="006408BB">
        <w:t> </w:t>
      </w:r>
      <w:r w:rsidR="006408BB" w:rsidRPr="00A1244F">
        <w:t>20</w:t>
      </w:r>
      <w:r w:rsidRPr="00A1244F">
        <w:t>19.</w:t>
      </w:r>
      <w:r w:rsidR="001E7E59" w:rsidRPr="00A1244F">
        <w:t xml:space="preserve">  Autrement, les activités</w:t>
      </w:r>
      <w:r w:rsidRPr="00A1244F">
        <w:t xml:space="preserve"> prévu</w:t>
      </w:r>
      <w:r w:rsidR="001E7E59" w:rsidRPr="00A1244F">
        <w:t>e</w:t>
      </w:r>
      <w:r w:rsidRPr="00A1244F">
        <w:t xml:space="preserve">s ont été </w:t>
      </w:r>
      <w:r w:rsidR="001E7E59" w:rsidRPr="00A1244F">
        <w:t>fournies</w:t>
      </w:r>
      <w:r w:rsidRPr="00A1244F">
        <w:t xml:space="preserve"> en temps voulu et </w:t>
      </w:r>
      <w:r w:rsidR="001E7E59" w:rsidRPr="00A1244F">
        <w:t xml:space="preserve">étaient </w:t>
      </w:r>
      <w:r w:rsidRPr="00A1244F">
        <w:t>de bonne qualité.</w:t>
      </w:r>
    </w:p>
    <w:p w:rsidR="00610DAF" w:rsidRPr="00A1244F" w:rsidRDefault="00B31189" w:rsidP="00423BE0">
      <w:pPr>
        <w:pStyle w:val="ONUMFS"/>
        <w:numPr>
          <w:ilvl w:val="0"/>
          <w:numId w:val="0"/>
        </w:numPr>
      </w:pPr>
      <w:r w:rsidRPr="00A1244F">
        <w:t>S</w:t>
      </w:r>
      <w:r w:rsidR="006408BB">
        <w:t>’</w:t>
      </w:r>
      <w:r w:rsidRPr="00A1244F">
        <w:t>il est encore trop tôt pour évaluer les résultats escomptés, les bénéficiaires ont indiqué que l</w:t>
      </w:r>
      <w:r w:rsidR="001E7E59" w:rsidRPr="00A1244F">
        <w:t>es acteurs de leurs pays respectifs avaient acquis une meilleure compréhension de</w:t>
      </w:r>
      <w:r w:rsidRPr="00A1244F">
        <w:t xml:space="preserve"> l</w:t>
      </w:r>
      <w:r w:rsidR="006408BB">
        <w:t>’</w:t>
      </w:r>
      <w:r w:rsidRPr="00A1244F">
        <w:t>utilisation de la propriété intellectuelle dans le secteur de l</w:t>
      </w:r>
      <w:r w:rsidR="006408BB">
        <w:t>’</w:t>
      </w:r>
      <w:r w:rsidRPr="00A1244F">
        <w:t>audiovisu</w:t>
      </w:r>
      <w:r w:rsidR="002140BE" w:rsidRPr="00A1244F">
        <w:t>el</w:t>
      </w:r>
      <w:r w:rsidR="002140BE">
        <w:t xml:space="preserve">.  </w:t>
      </w:r>
      <w:r w:rsidR="002140BE" w:rsidRPr="00A1244F">
        <w:t>Il</w:t>
      </w:r>
      <w:r w:rsidRPr="00A1244F">
        <w:t xml:space="preserve">s ont également enregistré une </w:t>
      </w:r>
      <w:r w:rsidR="001E7E59" w:rsidRPr="00A1244F">
        <w:t xml:space="preserve">première </w:t>
      </w:r>
      <w:r w:rsidRPr="00A1244F">
        <w:t>tendance positive à la professionnalisation de l</w:t>
      </w:r>
      <w:r w:rsidR="006408BB">
        <w:t>’</w:t>
      </w:r>
      <w:r w:rsidRPr="00A1244F">
        <w:t>industrie cinématographique, notamment en ce qui concerne la formalisation des relations contractuelles et la prise en compte des aspects liés à la propriété intellectuel</w:t>
      </w:r>
      <w:r w:rsidR="002140BE" w:rsidRPr="00A1244F">
        <w:t>le</w:t>
      </w:r>
      <w:r w:rsidR="002140BE">
        <w:t xml:space="preserve">.  </w:t>
      </w:r>
      <w:r w:rsidR="002140BE" w:rsidRPr="00A1244F">
        <w:t>Le</w:t>
      </w:r>
      <w:r w:rsidRPr="00A1244F">
        <w:t xml:space="preserve">s contributions </w:t>
      </w:r>
      <w:r w:rsidR="001E7E59" w:rsidRPr="00A1244F">
        <w:t>de l</w:t>
      </w:r>
      <w:r w:rsidR="006408BB">
        <w:t>’</w:t>
      </w:r>
      <w:r w:rsidR="001E7E59" w:rsidRPr="00A1244F">
        <w:t>OMPI ont également joué un rôle dans</w:t>
      </w:r>
      <w:r w:rsidRPr="00A1244F">
        <w:t xml:space="preserve"> la révision de la législation du Burkina F</w:t>
      </w:r>
      <w:r w:rsidR="001E7E59" w:rsidRPr="00A1244F">
        <w:t>aso, du Maroc et du Sénégal et dans la mise au point d</w:t>
      </w:r>
      <w:r w:rsidR="006408BB">
        <w:t>’</w:t>
      </w:r>
      <w:r w:rsidRPr="00A1244F">
        <w:t>une politique cinématographique au Kenya.</w:t>
      </w:r>
    </w:p>
    <w:p w:rsidR="00610DAF" w:rsidRPr="00423BE0" w:rsidRDefault="001E7E59" w:rsidP="00586D4B">
      <w:pPr>
        <w:pStyle w:val="Heading4"/>
      </w:pPr>
      <w:r w:rsidRPr="00423BE0">
        <w:t>Conclusion n</w:t>
      </w:r>
      <w:r w:rsidR="00F23499" w:rsidRPr="00423BE0">
        <w:t>°</w:t>
      </w:r>
      <w:r w:rsidR="005839C0">
        <w:t> </w:t>
      </w:r>
      <w:r w:rsidR="00F23499" w:rsidRPr="00423BE0">
        <w:t>4 concernant l</w:t>
      </w:r>
      <w:r w:rsidR="006408BB">
        <w:t>’</w:t>
      </w:r>
      <w:r w:rsidR="00F23499" w:rsidRPr="00423BE0">
        <w:t>efficience</w:t>
      </w:r>
      <w:r w:rsidR="006408BB">
        <w:t> :</w:t>
      </w:r>
      <w:r w:rsidR="00B31189" w:rsidRPr="00423BE0">
        <w:t xml:space="preserve"> </w:t>
      </w:r>
      <w:r w:rsidR="00B90DA7" w:rsidRPr="00423BE0">
        <w:t>d</w:t>
      </w:r>
      <w:r w:rsidR="00B31189" w:rsidRPr="00423BE0">
        <w:t>ans l</w:t>
      </w:r>
      <w:r w:rsidR="006408BB">
        <w:t>’</w:t>
      </w:r>
      <w:r w:rsidR="00B31189" w:rsidRPr="00423BE0">
        <w:t xml:space="preserve">ensemble, le projet a </w:t>
      </w:r>
      <w:r w:rsidR="00C91B50" w:rsidRPr="00423BE0">
        <w:t>utilisé</w:t>
      </w:r>
      <w:r w:rsidR="00B31189" w:rsidRPr="00423BE0">
        <w:t xml:space="preserve"> une approche a</w:t>
      </w:r>
      <w:r w:rsidR="00C91B50" w:rsidRPr="00423BE0">
        <w:t>dapt</w:t>
      </w:r>
      <w:r w:rsidR="002140BE" w:rsidRPr="00423BE0">
        <w:t>ée</w:t>
      </w:r>
      <w:r w:rsidR="002140BE">
        <w:t xml:space="preserve">.  </w:t>
      </w:r>
      <w:r w:rsidR="002140BE" w:rsidRPr="00423BE0">
        <w:t>Le</w:t>
      </w:r>
      <w:r w:rsidR="00B31189" w:rsidRPr="00423BE0">
        <w:t xml:space="preserve"> rapport coût</w:t>
      </w:r>
      <w:r w:rsidR="00C91B50" w:rsidRPr="00423BE0">
        <w:t>s</w:t>
      </w:r>
      <w:r w:rsidR="006408BB">
        <w:t>-</w:t>
      </w:r>
      <w:r w:rsidR="00C91B50" w:rsidRPr="00423BE0">
        <w:t>bénéfices</w:t>
      </w:r>
      <w:r w:rsidR="00B31189" w:rsidRPr="00423BE0">
        <w:t xml:space="preserve"> (</w:t>
      </w:r>
      <w:r w:rsidR="00C91B50" w:rsidRPr="00423BE0">
        <w:t xml:space="preserve">au </w:t>
      </w:r>
      <w:r w:rsidR="00B31189" w:rsidRPr="00423BE0">
        <w:t>niveau de</w:t>
      </w:r>
      <w:r w:rsidR="00C91B50" w:rsidRPr="00423BE0">
        <w:t>s résultats escomptés</w:t>
      </w:r>
      <w:r w:rsidR="00B31189" w:rsidRPr="00423BE0">
        <w:t>) est comparable à des projets similaires de l</w:t>
      </w:r>
      <w:r w:rsidR="006408BB">
        <w:t>’</w:t>
      </w:r>
      <w:r w:rsidR="00B31189" w:rsidRPr="00423BE0">
        <w:t>OMPI.</w:t>
      </w:r>
    </w:p>
    <w:p w:rsidR="00423BE0" w:rsidRPr="00423BE0" w:rsidRDefault="00423BE0" w:rsidP="00423BE0"/>
    <w:p w:rsidR="00610DAF" w:rsidRPr="00A1244F" w:rsidRDefault="00B31189" w:rsidP="00B31189">
      <w:pPr>
        <w:pStyle w:val="ONUME"/>
        <w:numPr>
          <w:ilvl w:val="0"/>
          <w:numId w:val="0"/>
        </w:numPr>
      </w:pPr>
      <w:r w:rsidRPr="00A1244F">
        <w:t>La combinaison d</w:t>
      </w:r>
      <w:r w:rsidR="006408BB">
        <w:t>’</w:t>
      </w:r>
      <w:r w:rsidRPr="00A1244F">
        <w:t>activités (principalemen</w:t>
      </w:r>
      <w:r w:rsidR="00C2708F" w:rsidRPr="00A1244F">
        <w:t xml:space="preserve">t séminaires et ateliers) laisse supposer </w:t>
      </w:r>
      <w:r w:rsidRPr="00A1244F">
        <w:t>qu</w:t>
      </w:r>
      <w:r w:rsidR="006408BB">
        <w:t>’</w:t>
      </w:r>
      <w:r w:rsidRPr="00A1244F">
        <w:t>une part importante des dépenses autres que les dépenses de personnel était liée à l</w:t>
      </w:r>
      <w:r w:rsidR="006408BB">
        <w:t>’</w:t>
      </w:r>
      <w:r w:rsidRPr="00A1244F">
        <w:t>organisation de séminaires, d</w:t>
      </w:r>
      <w:r w:rsidR="006408BB">
        <w:t>’</w:t>
      </w:r>
      <w:r w:rsidRPr="00A1244F">
        <w:t>ateliers et d</w:t>
      </w:r>
      <w:r w:rsidR="006408BB">
        <w:t>’</w:t>
      </w:r>
      <w:r w:rsidRPr="00A1244F">
        <w:t>une visite d</w:t>
      </w:r>
      <w:r w:rsidR="006408BB">
        <w:t>’</w:t>
      </w:r>
      <w:r w:rsidRPr="00A1244F">
        <w:t>étu</w:t>
      </w:r>
      <w:r w:rsidR="002140BE" w:rsidRPr="00A1244F">
        <w:t>de</w:t>
      </w:r>
      <w:r w:rsidR="002140BE">
        <w:t xml:space="preserve">.  </w:t>
      </w:r>
      <w:r w:rsidR="002140BE" w:rsidRPr="00A1244F">
        <w:t>Le</w:t>
      </w:r>
      <w:r w:rsidRPr="00A1244F">
        <w:t xml:space="preserve"> recours à des ateliers </w:t>
      </w:r>
      <w:r w:rsidR="00C2708F" w:rsidRPr="00A1244F">
        <w:t>d</w:t>
      </w:r>
      <w:r w:rsidRPr="00A1244F">
        <w:t>e renforcement des capacités assu</w:t>
      </w:r>
      <w:r w:rsidR="00C2708F" w:rsidRPr="00A1244F">
        <w:t>rés par les missions du siège représente,</w:t>
      </w:r>
      <w:r w:rsidRPr="00A1244F">
        <w:t xml:space="preserve"> à l</w:t>
      </w:r>
      <w:r w:rsidR="006408BB">
        <w:t>’</w:t>
      </w:r>
      <w:r w:rsidRPr="00A1244F">
        <w:t>évidence</w:t>
      </w:r>
      <w:r w:rsidR="00C2708F" w:rsidRPr="00A1244F">
        <w:t>,</w:t>
      </w:r>
      <w:r w:rsidRPr="00A1244F">
        <w:t xml:space="preserve"> un moyen coûteux de transfert de savoir</w:t>
      </w:r>
      <w:r w:rsidR="006408BB">
        <w:t>-</w:t>
      </w:r>
      <w:r w:rsidRPr="00A1244F">
        <w:t>fai</w:t>
      </w:r>
      <w:r w:rsidR="002140BE" w:rsidRPr="00A1244F">
        <w:t>re</w:t>
      </w:r>
      <w:r w:rsidR="002140BE">
        <w:t xml:space="preserve">.  </w:t>
      </w:r>
      <w:r w:rsidR="002140BE" w:rsidRPr="00A1244F">
        <w:t>Or</w:t>
      </w:r>
      <w:r w:rsidR="002F4BE9" w:rsidRPr="00A1244F">
        <w:t>, il est nécessaire d</w:t>
      </w:r>
      <w:r w:rsidR="006408BB">
        <w:t>’</w:t>
      </w:r>
      <w:r w:rsidR="002F4BE9" w:rsidRPr="00A1244F">
        <w:t>organiser des réunions qui permettent de créer</w:t>
      </w:r>
      <w:r w:rsidRPr="00A1244F">
        <w:t xml:space="preserve"> un</w:t>
      </w:r>
      <w:r w:rsidR="002F4BE9" w:rsidRPr="00A1244F">
        <w:t xml:space="preserve"> premier</w:t>
      </w:r>
      <w:r w:rsidRPr="00A1244F">
        <w:t xml:space="preserve"> élan, un réseau, </w:t>
      </w:r>
      <w:r w:rsidR="002F4BE9" w:rsidRPr="00A1244F">
        <w:t xml:space="preserve">de favoriser </w:t>
      </w:r>
      <w:r w:rsidRPr="00A1244F">
        <w:t>l</w:t>
      </w:r>
      <w:r w:rsidR="006408BB">
        <w:t>’</w:t>
      </w:r>
      <w:r w:rsidRPr="00A1244F">
        <w:t>échange de données d</w:t>
      </w:r>
      <w:r w:rsidR="006408BB">
        <w:t>’</w:t>
      </w:r>
      <w:r w:rsidRPr="00A1244F">
        <w:t>expérience et</w:t>
      </w:r>
      <w:r w:rsidR="002F4BE9" w:rsidRPr="00A1244F">
        <w:t xml:space="preserve"> d</w:t>
      </w:r>
      <w:r w:rsidR="006408BB">
        <w:t>’</w:t>
      </w:r>
      <w:r w:rsidR="002F4BE9" w:rsidRPr="00A1244F">
        <w:t>encourager</w:t>
      </w:r>
      <w:r w:rsidRPr="00A1244F">
        <w:t xml:space="preserve"> </w:t>
      </w:r>
      <w:r w:rsidR="002F4BE9" w:rsidRPr="00A1244F">
        <w:t>l</w:t>
      </w:r>
      <w:r w:rsidRPr="00A1244F">
        <w:t xml:space="preserve">e dialogue </w:t>
      </w:r>
      <w:r w:rsidR="002F4BE9" w:rsidRPr="00A1244F">
        <w:t xml:space="preserve">à travers </w:t>
      </w:r>
      <w:r w:rsidRPr="00A1244F">
        <w:t>de multiples parties prenant</w:t>
      </w:r>
      <w:r w:rsidR="002140BE" w:rsidRPr="00A1244F">
        <w:t>es</w:t>
      </w:r>
      <w:r w:rsidR="002140BE">
        <w:t xml:space="preserve">.  </w:t>
      </w:r>
      <w:r w:rsidR="002140BE" w:rsidRPr="00A1244F">
        <w:t>En</w:t>
      </w:r>
      <w:r w:rsidR="00690A4D" w:rsidRPr="00A1244F">
        <w:t xml:space="preserve"> ce qui concerne </w:t>
      </w:r>
      <w:r w:rsidR="007D157B" w:rsidRPr="00A1244F">
        <w:t>l</w:t>
      </w:r>
      <w:r w:rsidR="006408BB">
        <w:t>’</w:t>
      </w:r>
      <w:r w:rsidR="007D157B" w:rsidRPr="00A1244F">
        <w:t xml:space="preserve">apport technique, associer </w:t>
      </w:r>
      <w:r w:rsidR="00690A4D" w:rsidRPr="00A1244F">
        <w:t xml:space="preserve">la </w:t>
      </w:r>
      <w:r w:rsidR="007D157B" w:rsidRPr="00A1244F">
        <w:t xml:space="preserve">propriété intellectuelle aux </w:t>
      </w:r>
      <w:r w:rsidRPr="00A1244F">
        <w:t>compétenc</w:t>
      </w:r>
      <w:r w:rsidR="007D157B" w:rsidRPr="00A1244F">
        <w:t>es commerciales était importa</w:t>
      </w:r>
      <w:r w:rsidR="002140BE" w:rsidRPr="00A1244F">
        <w:t>nt</w:t>
      </w:r>
      <w:r w:rsidR="002140BE">
        <w:t xml:space="preserve">.  </w:t>
      </w:r>
      <w:r w:rsidR="002140BE" w:rsidRPr="00A1244F">
        <w:t>Il</w:t>
      </w:r>
      <w:r w:rsidRPr="00A1244F">
        <w:t xml:space="preserve"> importait </w:t>
      </w:r>
      <w:r w:rsidRPr="00A1244F">
        <w:lastRenderedPageBreak/>
        <w:t xml:space="preserve">en outre </w:t>
      </w:r>
      <w:r w:rsidR="007D157B" w:rsidRPr="00A1244F">
        <w:t>de cibler</w:t>
      </w:r>
      <w:r w:rsidRPr="00A1244F">
        <w:t xml:space="preserve"> le</w:t>
      </w:r>
      <w:r w:rsidR="007D157B" w:rsidRPr="00A1244F">
        <w:t>s goulots d</w:t>
      </w:r>
      <w:r w:rsidR="006408BB">
        <w:t>’</w:t>
      </w:r>
      <w:r w:rsidR="007D157B" w:rsidRPr="00A1244F">
        <w:t>étranglement le</w:t>
      </w:r>
      <w:r w:rsidRPr="00A1244F">
        <w:t xml:space="preserve"> long de la chaîne de valeu</w:t>
      </w:r>
      <w:r w:rsidR="007D157B" w:rsidRPr="00A1244F">
        <w:t>r audiovisuelle et d</w:t>
      </w:r>
      <w:r w:rsidR="006408BB">
        <w:t>’</w:t>
      </w:r>
      <w:r w:rsidR="007D157B" w:rsidRPr="00A1244F">
        <w:t>essayer de les</w:t>
      </w:r>
      <w:r w:rsidRPr="00A1244F">
        <w:t xml:space="preserve"> </w:t>
      </w:r>
      <w:r w:rsidR="007D157B" w:rsidRPr="00A1244F">
        <w:t>traiter</w:t>
      </w:r>
      <w:r w:rsidRPr="00A1244F">
        <w:t xml:space="preserve"> d</w:t>
      </w:r>
      <w:r w:rsidR="006408BB">
        <w:t>’</w:t>
      </w:r>
      <w:r w:rsidRPr="00A1244F">
        <w:t>une manière globale.</w:t>
      </w:r>
    </w:p>
    <w:p w:rsidR="00610DAF" w:rsidRPr="00A1244F" w:rsidRDefault="00B31189" w:rsidP="00B31189">
      <w:pPr>
        <w:pStyle w:val="ONUME"/>
        <w:numPr>
          <w:ilvl w:val="0"/>
          <w:numId w:val="0"/>
        </w:numPr>
      </w:pPr>
      <w:r w:rsidRPr="00A1244F">
        <w:t>Dans le cadre du projet, des exemples prometteurs de transfert de savoir</w:t>
      </w:r>
      <w:r w:rsidR="006408BB">
        <w:t>-</w:t>
      </w:r>
      <w:r w:rsidRPr="00A1244F">
        <w:t>faire Sud</w:t>
      </w:r>
      <w:r w:rsidR="006408BB">
        <w:t>-</w:t>
      </w:r>
      <w:r w:rsidRPr="00A1244F">
        <w:t>Sud dans les pays francophones d</w:t>
      </w:r>
      <w:r w:rsidR="006408BB">
        <w:t>’</w:t>
      </w:r>
      <w:r w:rsidRPr="00A1244F">
        <w:t>Afrique de l</w:t>
      </w:r>
      <w:r w:rsidR="006408BB">
        <w:t>’</w:t>
      </w:r>
      <w:r w:rsidRPr="00A1244F">
        <w:t>Ouest sont appar</w:t>
      </w:r>
      <w:r w:rsidR="002140BE" w:rsidRPr="00A1244F">
        <w:t>us</w:t>
      </w:r>
      <w:r w:rsidR="002140BE">
        <w:t xml:space="preserve">.  </w:t>
      </w:r>
      <w:r w:rsidR="002140BE" w:rsidRPr="00A1244F">
        <w:t>Ma</w:t>
      </w:r>
      <w:r w:rsidRPr="00A1244F">
        <w:t xml:space="preserve">lgré les efforts </w:t>
      </w:r>
      <w:r w:rsidR="00566823" w:rsidRPr="00A1244F">
        <w:t>déployés, les échanges entre ces pays</w:t>
      </w:r>
      <w:r w:rsidRPr="00A1244F">
        <w:t xml:space="preserve"> et le Kenya étaient plus limités, principalement en raison des problèmes linguistiques et des différences entre les systèmes juridiques (</w:t>
      </w:r>
      <w:r w:rsidR="006408BB">
        <w:t>“</w:t>
      </w:r>
      <w:r w:rsidR="006408BB" w:rsidRPr="002140BE">
        <w:rPr>
          <w:i/>
        </w:rPr>
        <w:t>c</w:t>
      </w:r>
      <w:r w:rsidRPr="002140BE">
        <w:rPr>
          <w:i/>
        </w:rPr>
        <w:t>ommon</w:t>
      </w:r>
      <w:r w:rsidR="005839C0" w:rsidRPr="005839C0">
        <w:rPr>
          <w:i/>
        </w:rPr>
        <w:t> </w:t>
      </w:r>
      <w:r w:rsidRPr="002140BE">
        <w:rPr>
          <w:i/>
        </w:rPr>
        <w:t>la</w:t>
      </w:r>
      <w:r w:rsidR="006408BB" w:rsidRPr="002140BE">
        <w:rPr>
          <w:i/>
        </w:rPr>
        <w:t>w</w:t>
      </w:r>
      <w:r w:rsidR="006408BB">
        <w:t>”</w:t>
      </w:r>
      <w:r w:rsidRPr="00A1244F">
        <w:t xml:space="preserve"> au Kenya, droit civil en Afrique de l</w:t>
      </w:r>
      <w:r w:rsidR="006408BB">
        <w:t>’</w:t>
      </w:r>
      <w:r w:rsidRPr="00A1244F">
        <w:t>Ouest francophone).</w:t>
      </w:r>
    </w:p>
    <w:p w:rsidR="00610DAF" w:rsidRPr="00A1244F" w:rsidRDefault="00B31189" w:rsidP="00B31189">
      <w:pPr>
        <w:pStyle w:val="ONUME"/>
        <w:numPr>
          <w:ilvl w:val="0"/>
          <w:numId w:val="0"/>
        </w:numPr>
      </w:pPr>
      <w:r w:rsidRPr="00A1244F">
        <w:t xml:space="preserve">Les premiers indices </w:t>
      </w:r>
      <w:r w:rsidR="00566823" w:rsidRPr="00A1244F">
        <w:t>laissent supposer</w:t>
      </w:r>
      <w:r w:rsidRPr="00A1244F">
        <w:t xml:space="preserve"> que, lorsque les pays font partie d</w:t>
      </w:r>
      <w:r w:rsidR="006408BB">
        <w:t>’</w:t>
      </w:r>
      <w:r w:rsidRPr="00A1244F">
        <w:t xml:space="preserve">un marché commun </w:t>
      </w:r>
      <w:r w:rsidR="00566823" w:rsidRPr="00A1244F">
        <w:t xml:space="preserve">avec </w:t>
      </w:r>
      <w:r w:rsidRPr="00A1244F">
        <w:t xml:space="preserve">des productions ou des artistes de différents pays, ils coopèrent généralement </w:t>
      </w:r>
      <w:r w:rsidR="00566823" w:rsidRPr="00A1244F">
        <w:t xml:space="preserve">sur les productions </w:t>
      </w:r>
      <w:r w:rsidRPr="00A1244F">
        <w:t>e</w:t>
      </w:r>
      <w:r w:rsidR="00566823" w:rsidRPr="00A1244F">
        <w:t>t le</w:t>
      </w:r>
      <w:r w:rsidRPr="00A1244F">
        <w:t xml:space="preserve"> secteur de l</w:t>
      </w:r>
      <w:r w:rsidR="006408BB">
        <w:t>’</w:t>
      </w:r>
      <w:r w:rsidRPr="00A1244F">
        <w:t xml:space="preserve">audiovisuel est </w:t>
      </w:r>
      <w:r w:rsidR="00566823" w:rsidRPr="00A1244F">
        <w:t>davantage renforcé</w:t>
      </w:r>
      <w:r w:rsidR="003F7342" w:rsidRPr="00A1244F">
        <w:t xml:space="preserve"> dans le cadre d</w:t>
      </w:r>
      <w:r w:rsidR="006408BB">
        <w:t>’</w:t>
      </w:r>
      <w:r w:rsidR="003F7342" w:rsidRPr="00A1244F">
        <w:t>ac</w:t>
      </w:r>
      <w:r w:rsidRPr="00A1244F">
        <w:t>tions régionales,</w:t>
      </w:r>
      <w:r w:rsidR="00566823" w:rsidRPr="00A1244F">
        <w:t xml:space="preserve"> en particulier, comme au sein de</w:t>
      </w:r>
      <w:r w:rsidRPr="00A1244F">
        <w:t xml:space="preserve"> l</w:t>
      </w:r>
      <w:r w:rsidR="006408BB">
        <w:t>’</w:t>
      </w:r>
      <w:r w:rsidR="00566823" w:rsidRPr="00A1244F">
        <w:t>Union économique et monétaire ouest</w:t>
      </w:r>
      <w:r w:rsidR="006408BB">
        <w:t>-</w:t>
      </w:r>
      <w:r w:rsidR="00566823" w:rsidRPr="00A1244F">
        <w:t>africaine</w:t>
      </w:r>
      <w:r w:rsidRPr="00A1244F">
        <w:t xml:space="preserve">, </w:t>
      </w:r>
      <w:r w:rsidR="00566823" w:rsidRPr="00A1244F">
        <w:t>lorsqu</w:t>
      </w:r>
      <w:r w:rsidR="006408BB">
        <w:t>’</w:t>
      </w:r>
      <w:r w:rsidR="00566823" w:rsidRPr="00A1244F">
        <w:t xml:space="preserve">il existe déjà </w:t>
      </w:r>
      <w:r w:rsidRPr="00A1244F">
        <w:t>un cadre de coopération régionale formel ou informel</w:t>
      </w:r>
      <w:r w:rsidR="00566823" w:rsidRPr="00A1244F">
        <w:t xml:space="preserve"> dans lequel un projet peut être mis en place</w:t>
      </w:r>
      <w:r w:rsidRPr="00A1244F">
        <w:t>.</w:t>
      </w:r>
    </w:p>
    <w:p w:rsidR="00610DAF" w:rsidRPr="00A1244F" w:rsidRDefault="00B31189" w:rsidP="00B31189">
      <w:pPr>
        <w:pStyle w:val="ONUME"/>
        <w:numPr>
          <w:ilvl w:val="0"/>
          <w:numId w:val="0"/>
        </w:numPr>
        <w:rPr>
          <w:iCs/>
        </w:rPr>
      </w:pPr>
      <w:r w:rsidRPr="00A1244F">
        <w:rPr>
          <w:iCs/>
        </w:rPr>
        <w:t>Si les synergies avec d</w:t>
      </w:r>
      <w:r w:rsidR="006408BB">
        <w:rPr>
          <w:iCs/>
        </w:rPr>
        <w:t>’</w:t>
      </w:r>
      <w:r w:rsidRPr="00A1244F">
        <w:rPr>
          <w:iCs/>
        </w:rPr>
        <w:t xml:space="preserve">autres secteurs sont restées relativement limitées, </w:t>
      </w:r>
      <w:r w:rsidR="003B3E1D" w:rsidRPr="00A1244F">
        <w:rPr>
          <w:iCs/>
        </w:rPr>
        <w:t>on n</w:t>
      </w:r>
      <w:r w:rsidR="006408BB">
        <w:rPr>
          <w:iCs/>
        </w:rPr>
        <w:t>’</w:t>
      </w:r>
      <w:r w:rsidR="003B3E1D" w:rsidRPr="00A1244F">
        <w:rPr>
          <w:iCs/>
        </w:rPr>
        <w:t xml:space="preserve">a pas observé de </w:t>
      </w:r>
      <w:r w:rsidRPr="00A1244F">
        <w:rPr>
          <w:iCs/>
        </w:rPr>
        <w:t>chevaucheme</w:t>
      </w:r>
      <w:r w:rsidR="003B3E1D" w:rsidRPr="00A1244F">
        <w:rPr>
          <w:iCs/>
        </w:rPr>
        <w:t>nts ou de répétitions</w:t>
      </w:r>
      <w:r w:rsidRPr="00A1244F">
        <w:rPr>
          <w:iCs/>
        </w:rPr>
        <w:t>.</w:t>
      </w:r>
    </w:p>
    <w:p w:rsidR="00610DAF" w:rsidRDefault="003B3E1D" w:rsidP="00586D4B">
      <w:pPr>
        <w:pStyle w:val="Heading4"/>
      </w:pPr>
      <w:r w:rsidRPr="00A1244F">
        <w:t>Conclusion n°</w:t>
      </w:r>
      <w:r w:rsidR="005839C0">
        <w:t> </w:t>
      </w:r>
      <w:r w:rsidRPr="00A1244F">
        <w:t>5 concernant</w:t>
      </w:r>
      <w:r w:rsidR="00B31189" w:rsidRPr="00A1244F">
        <w:t xml:space="preserve"> la viabilité</w:t>
      </w:r>
      <w:r w:rsidR="006408BB">
        <w:t> :</w:t>
      </w:r>
      <w:r w:rsidR="00B31189" w:rsidRPr="00A1244F">
        <w:t xml:space="preserve"> la </w:t>
      </w:r>
      <w:r w:rsidRPr="00A1244F">
        <w:t>pérennité</w:t>
      </w:r>
      <w:r w:rsidR="00B31189" w:rsidRPr="00A1244F">
        <w:t xml:space="preserve"> des avantages dans les pays couverts nécessite un appui supplémentaire.</w:t>
      </w:r>
    </w:p>
    <w:p w:rsidR="00423BE0" w:rsidRPr="00423BE0" w:rsidRDefault="00423BE0" w:rsidP="00423BE0"/>
    <w:p w:rsidR="00610DAF" w:rsidRPr="00A1244F" w:rsidRDefault="00B31189" w:rsidP="00423BE0">
      <w:pPr>
        <w:pStyle w:val="ONUMFS"/>
        <w:numPr>
          <w:ilvl w:val="0"/>
          <w:numId w:val="0"/>
        </w:numPr>
      </w:pPr>
      <w:r w:rsidRPr="00A1244F">
        <w:t>Il serait prématuré d</w:t>
      </w:r>
      <w:r w:rsidR="006408BB">
        <w:t>’</w:t>
      </w:r>
      <w:r w:rsidRPr="00A1244F">
        <w:t>essayer d</w:t>
      </w:r>
      <w:r w:rsidR="006408BB">
        <w:t>’</w:t>
      </w:r>
      <w:r w:rsidRPr="00A1244F">
        <w:t>évaluer le degré de viabilité des résultats au niveau des pays, car la pérennité des avantages dépend dans une large mesure du suivi assuré par les offices de propriété intellectuelle concern</w:t>
      </w:r>
      <w:r w:rsidR="002140BE" w:rsidRPr="00A1244F">
        <w:t>és</w:t>
      </w:r>
      <w:r w:rsidR="002140BE">
        <w:t xml:space="preserve">.  </w:t>
      </w:r>
      <w:r w:rsidR="002140BE" w:rsidRPr="00A1244F">
        <w:t>Le</w:t>
      </w:r>
      <w:r w:rsidRPr="00A1244F">
        <w:t>s bureaux du droit d</w:t>
      </w:r>
      <w:r w:rsidR="006408BB">
        <w:t>’</w:t>
      </w:r>
      <w:r w:rsidRPr="00A1244F">
        <w:t>au</w:t>
      </w:r>
      <w:r w:rsidR="00B4130C" w:rsidRPr="00A1244F">
        <w:t>teur et l</w:t>
      </w:r>
      <w:r w:rsidRPr="00A1244F">
        <w:t xml:space="preserve">es ministères de la </w:t>
      </w:r>
      <w:r w:rsidR="003B3E1D" w:rsidRPr="00A1244F">
        <w:t>c</w:t>
      </w:r>
      <w:r w:rsidRPr="00A1244F">
        <w:t>ulture chargés des politiques au</w:t>
      </w:r>
      <w:r w:rsidR="003B3E1D" w:rsidRPr="00A1244F">
        <w:t>diovisuelles dans les pays ciblé</w:t>
      </w:r>
      <w:r w:rsidR="00B4130C" w:rsidRPr="00A1244F">
        <w:t>s se</w:t>
      </w:r>
      <w:r w:rsidRPr="00A1244F">
        <w:t xml:space="preserve"> </w:t>
      </w:r>
      <w:r w:rsidR="00B4130C" w:rsidRPr="00A1244F">
        <w:t>partagent les capacités et les ressources</w:t>
      </w:r>
      <w:r w:rsidRPr="00A1244F">
        <w:t>.</w:t>
      </w:r>
    </w:p>
    <w:p w:rsidR="00610DAF" w:rsidRPr="00A1244F" w:rsidRDefault="00B31189" w:rsidP="00423BE0">
      <w:pPr>
        <w:pStyle w:val="ONUMFS"/>
        <w:numPr>
          <w:ilvl w:val="0"/>
          <w:numId w:val="0"/>
        </w:numPr>
      </w:pPr>
      <w:r w:rsidRPr="00A1244F">
        <w:t>Un autre projet du Plan d</w:t>
      </w:r>
      <w:r w:rsidR="006408BB">
        <w:t>’</w:t>
      </w:r>
      <w:r w:rsidRPr="00A1244F">
        <w:t xml:space="preserve">action pour le développement </w:t>
      </w:r>
      <w:r w:rsidR="00B4130C" w:rsidRPr="00A1244F">
        <w:t>dans</w:t>
      </w:r>
      <w:r w:rsidRPr="00A1244F">
        <w:t xml:space="preserve"> </w:t>
      </w:r>
      <w:r w:rsidR="00B4130C" w:rsidRPr="00A1244F">
        <w:t>le secteur de l</w:t>
      </w:r>
      <w:r w:rsidR="006408BB">
        <w:t>’</w:t>
      </w:r>
      <w:r w:rsidR="00B4130C" w:rsidRPr="00A1244F">
        <w:t>audiovisuel de</w:t>
      </w:r>
      <w:r w:rsidRPr="00A1244F">
        <w:t xml:space="preserve"> la région ou une autre phase ultérieure de suivi après plusieurs années d</w:t>
      </w:r>
      <w:r w:rsidR="006408BB">
        <w:t>’</w:t>
      </w:r>
      <w:r w:rsidRPr="00A1244F">
        <w:t>appui serai</w:t>
      </w:r>
      <w:r w:rsidR="00B4130C" w:rsidRPr="00A1244F">
        <w:t>en</w:t>
      </w:r>
      <w:r w:rsidRPr="00A1244F">
        <w:t>t difficile</w:t>
      </w:r>
      <w:r w:rsidR="00B4130C" w:rsidRPr="00A1244F">
        <w:t>s</w:t>
      </w:r>
      <w:r w:rsidRPr="00A1244F">
        <w:t xml:space="preserve"> à justifier, étant donné que les projets du Plan d</w:t>
      </w:r>
      <w:r w:rsidR="006408BB">
        <w:t>’</w:t>
      </w:r>
      <w:r w:rsidRPr="00A1244F">
        <w:t>action pour le développement servent essentiellement à expérimenter des approches novatrices dans l</w:t>
      </w:r>
      <w:r w:rsidR="006408BB">
        <w:t>’</w:t>
      </w:r>
      <w:r w:rsidRPr="00A1244F">
        <w:t>utilisation de la propriété intellectuelle au service du développement.</w:t>
      </w:r>
    </w:p>
    <w:p w:rsidR="00610DAF" w:rsidRPr="00A1244F" w:rsidRDefault="00B31189" w:rsidP="00423BE0">
      <w:pPr>
        <w:pStyle w:val="ONUMFS"/>
        <w:numPr>
          <w:ilvl w:val="0"/>
          <w:numId w:val="0"/>
        </w:numPr>
      </w:pPr>
      <w:r w:rsidRPr="00A1244F">
        <w:t>Le projet a fourni un ensemble de services différents, dont la plupart sont déjà disponibles au sein du Secrétariat de l</w:t>
      </w:r>
      <w:r w:rsidR="006408BB">
        <w:t>’</w:t>
      </w:r>
      <w:r w:rsidRPr="00A1244F">
        <w:t>OMPI et ont donc déjà été intégr</w:t>
      </w:r>
      <w:r w:rsidR="002140BE" w:rsidRPr="00A1244F">
        <w:t>és</w:t>
      </w:r>
      <w:r w:rsidR="002140BE">
        <w:t xml:space="preserve">.  </w:t>
      </w:r>
      <w:r w:rsidR="002140BE" w:rsidRPr="00A1244F">
        <w:t>D</w:t>
      </w:r>
      <w:r w:rsidR="002140BE">
        <w:t>’</w:t>
      </w:r>
      <w:r w:rsidR="002140BE" w:rsidRPr="00A1244F">
        <w:t>a</w:t>
      </w:r>
      <w:r w:rsidRPr="00A1244F">
        <w:t>utres activités, par exemple</w:t>
      </w:r>
      <w:r w:rsidR="00F075E0" w:rsidRPr="00A1244F">
        <w:t>,</w:t>
      </w:r>
      <w:r w:rsidRPr="00A1244F">
        <w:t xml:space="preserve"> un appui plus complet à la </w:t>
      </w:r>
      <w:r w:rsidR="006408BB">
        <w:t>“</w:t>
      </w:r>
      <w:r w:rsidR="006408BB" w:rsidRPr="00A1244F">
        <w:t>p</w:t>
      </w:r>
      <w:r w:rsidRPr="00A1244F">
        <w:t>rofessionnalisatio</w:t>
      </w:r>
      <w:r w:rsidR="006408BB" w:rsidRPr="00A1244F">
        <w:t>n</w:t>
      </w:r>
      <w:r w:rsidR="006408BB">
        <w:t>”</w:t>
      </w:r>
      <w:r w:rsidRPr="00A1244F">
        <w:t xml:space="preserve"> du secteur de l</w:t>
      </w:r>
      <w:r w:rsidR="006408BB">
        <w:t>’</w:t>
      </w:r>
      <w:r w:rsidRPr="00A1244F">
        <w:t>audiovisuel en Afrique</w:t>
      </w:r>
      <w:r w:rsidR="00F075E0" w:rsidRPr="00A1244F">
        <w:t>,</w:t>
      </w:r>
      <w:r w:rsidRPr="00A1244F">
        <w:t xml:space="preserve"> au</w:t>
      </w:r>
      <w:r w:rsidR="006408BB">
        <w:t>-</w:t>
      </w:r>
      <w:r w:rsidRPr="00A1244F">
        <w:t xml:space="preserve">delà des questions </w:t>
      </w:r>
      <w:r w:rsidR="00F075E0" w:rsidRPr="00A1244F">
        <w:t>en matière de droits de la propriété intellectuelle</w:t>
      </w:r>
      <w:r w:rsidRPr="00A1244F">
        <w:t>, dépasseraient la portée du mandat de l</w:t>
      </w:r>
      <w:r w:rsidR="006408BB">
        <w:t>’</w:t>
      </w:r>
      <w:r w:rsidRPr="00A1244F">
        <w:t>OMPI.</w:t>
      </w:r>
    </w:p>
    <w:p w:rsidR="00610DAF" w:rsidRPr="00A1244F" w:rsidRDefault="00B31189" w:rsidP="00423BE0">
      <w:pPr>
        <w:pStyle w:val="ONUMFS"/>
        <w:numPr>
          <w:ilvl w:val="0"/>
          <w:numId w:val="0"/>
        </w:numPr>
      </w:pPr>
      <w:r w:rsidRPr="00A1244F">
        <w:t xml:space="preserve">Cela </w:t>
      </w:r>
      <w:r w:rsidR="00F075E0" w:rsidRPr="00A1244F">
        <w:t xml:space="preserve">demande </w:t>
      </w:r>
      <w:r w:rsidRPr="00A1244F">
        <w:t>un suivi au sein des programmes ordinair</w:t>
      </w:r>
      <w:r w:rsidR="00F075E0" w:rsidRPr="00A1244F">
        <w:t>es, même si la forte demande pourrai</w:t>
      </w:r>
      <w:r w:rsidRPr="00A1244F">
        <w:t>t nécessiter une augmentation des ressources disponibl</w:t>
      </w:r>
      <w:r w:rsidR="002140BE" w:rsidRPr="00A1244F">
        <w:t>es</w:t>
      </w:r>
      <w:r w:rsidR="002140BE">
        <w:t xml:space="preserve">.  </w:t>
      </w:r>
      <w:r w:rsidR="002140BE" w:rsidRPr="00A1244F">
        <w:t>Le</w:t>
      </w:r>
      <w:r w:rsidRPr="00A1244F">
        <w:t xml:space="preserve"> cours d</w:t>
      </w:r>
      <w:r w:rsidR="006408BB">
        <w:t>’</w:t>
      </w:r>
      <w:r w:rsidRPr="00A1244F">
        <w:t xml:space="preserve">enseignement à </w:t>
      </w:r>
      <w:r w:rsidR="00F075E0" w:rsidRPr="00A1244F">
        <w:t>d</w:t>
      </w:r>
      <w:r w:rsidRPr="00A1244F">
        <w:t>istance prévu par l</w:t>
      </w:r>
      <w:r w:rsidR="006408BB">
        <w:t>’</w:t>
      </w:r>
      <w:r w:rsidRPr="00A1244F">
        <w:t>OMPI pour le secteur de l</w:t>
      </w:r>
      <w:r w:rsidR="006408BB">
        <w:t>’</w:t>
      </w:r>
      <w:r w:rsidRPr="00A1244F">
        <w:t>audiov</w:t>
      </w:r>
      <w:r w:rsidR="00223647" w:rsidRPr="00A1244F">
        <w:t>isuel, qui sera complet et vise</w:t>
      </w:r>
      <w:r w:rsidRPr="00A1244F">
        <w:t xml:space="preserve"> un large public ayant un intérêt professionnel dans le secteur de l</w:t>
      </w:r>
      <w:r w:rsidR="006408BB">
        <w:t>’</w:t>
      </w:r>
      <w:r w:rsidRPr="00A1244F">
        <w:t>audiovisuel,</w:t>
      </w:r>
      <w:r w:rsidR="00794222" w:rsidRPr="00A1244F">
        <w:t xml:space="preserve"> constituera l</w:t>
      </w:r>
      <w:r w:rsidR="006408BB">
        <w:t>’</w:t>
      </w:r>
      <w:r w:rsidR="00794222" w:rsidRPr="00A1244F">
        <w:t>élément central qui garantira la pérennité</w:t>
      </w:r>
      <w:r w:rsidRPr="00A1244F">
        <w:t xml:space="preserve"> des</w:t>
      </w:r>
      <w:r w:rsidR="00794222" w:rsidRPr="00A1244F">
        <w:t xml:space="preserve"> </w:t>
      </w:r>
      <w:r w:rsidRPr="00A1244F">
        <w:t xml:space="preserve">activités </w:t>
      </w:r>
      <w:r w:rsidR="00794222" w:rsidRPr="00A1244F">
        <w:t>de formation et de renforcement des capacités</w:t>
      </w:r>
      <w:r w:rsidRPr="00A1244F">
        <w:t>.</w:t>
      </w:r>
    </w:p>
    <w:p w:rsidR="00610DAF" w:rsidRPr="00A1244F" w:rsidRDefault="00B31189" w:rsidP="00423BE0">
      <w:pPr>
        <w:pStyle w:val="ONUMFS"/>
        <w:numPr>
          <w:ilvl w:val="0"/>
          <w:numId w:val="0"/>
        </w:numPr>
      </w:pPr>
      <w:r w:rsidRPr="00A1244F">
        <w:t>Le projet portait uniquement sur le thème des modes extrajudiciaires de règlement des litiges en matière de propriété intellectuelle (prévention des conflits, médiation, arbitrage) dans les industries de la créati</w:t>
      </w:r>
      <w:r w:rsidR="002140BE" w:rsidRPr="00A1244F">
        <w:t>on</w:t>
      </w:r>
      <w:r w:rsidR="002140BE">
        <w:t xml:space="preserve">.  </w:t>
      </w:r>
      <w:r w:rsidR="002140BE" w:rsidRPr="00A1244F">
        <w:t>Po</w:t>
      </w:r>
      <w:r w:rsidRPr="00A1244F">
        <w:t>ur</w:t>
      </w:r>
      <w:r w:rsidR="00794222" w:rsidRPr="00A1244F">
        <w:t xml:space="preserve"> permettre d</w:t>
      </w:r>
      <w:r w:rsidR="006408BB">
        <w:t>’</w:t>
      </w:r>
      <w:r w:rsidRPr="00A1244F">
        <w:t xml:space="preserve">aborder </w:t>
      </w:r>
      <w:r w:rsidR="00794222" w:rsidRPr="00A1244F">
        <w:t xml:space="preserve">suffisamment </w:t>
      </w:r>
      <w:r w:rsidRPr="00A1244F">
        <w:t xml:space="preserve">ce sujet très pertinent, un projet distinct </w:t>
      </w:r>
      <w:r w:rsidR="00794222" w:rsidRPr="00A1244F">
        <w:t xml:space="preserve">serait nécessaire, </w:t>
      </w:r>
      <w:r w:rsidRPr="00A1244F">
        <w:t>dans le but d</w:t>
      </w:r>
      <w:r w:rsidR="006408BB">
        <w:t>’</w:t>
      </w:r>
      <w:r w:rsidRPr="00A1244F">
        <w:t xml:space="preserve">étudier les possibilités de règlement extrajudiciaire des litiges en matière de propriété intellectuelle dans les pays en développement en général et </w:t>
      </w:r>
      <w:r w:rsidR="00794222" w:rsidRPr="00A1244F">
        <w:t>d</w:t>
      </w:r>
      <w:r w:rsidR="006408BB">
        <w:t>’</w:t>
      </w:r>
      <w:r w:rsidR="00794222" w:rsidRPr="00A1244F">
        <w:t>expérimenter</w:t>
      </w:r>
      <w:r w:rsidRPr="00A1244F">
        <w:t xml:space="preserve"> </w:t>
      </w:r>
      <w:r w:rsidR="00794222" w:rsidRPr="00A1244F">
        <w:t>l</w:t>
      </w:r>
      <w:r w:rsidRPr="00A1244F">
        <w:t>es modèles possibles.</w:t>
      </w:r>
    </w:p>
    <w:p w:rsidR="00610DAF" w:rsidRDefault="00423BE0" w:rsidP="00367DB6">
      <w:pPr>
        <w:pStyle w:val="Heading1"/>
        <w:numPr>
          <w:ilvl w:val="0"/>
          <w:numId w:val="0"/>
        </w:numPr>
        <w:ind w:left="567" w:hanging="567"/>
      </w:pPr>
      <w:bookmarkStart w:id="8" w:name="_Toc3880368"/>
      <w:r w:rsidRPr="00A1244F">
        <w:lastRenderedPageBreak/>
        <w:t>Recommandations</w:t>
      </w:r>
      <w:bookmarkEnd w:id="8"/>
    </w:p>
    <w:p w:rsidR="00423BE0" w:rsidRPr="00423BE0" w:rsidRDefault="00423BE0" w:rsidP="00423BE0"/>
    <w:p w:rsidR="00610DAF" w:rsidRPr="00A1244F" w:rsidRDefault="00B31189" w:rsidP="00367DB6">
      <w:pPr>
        <w:pStyle w:val="ONUMFS"/>
        <w:numPr>
          <w:ilvl w:val="0"/>
          <w:numId w:val="0"/>
        </w:numPr>
      </w:pPr>
      <w:r w:rsidRPr="00A1244F">
        <w:t>L</w:t>
      </w:r>
      <w:r w:rsidR="006408BB">
        <w:t>’</w:t>
      </w:r>
      <w:r w:rsidRPr="00A1244F">
        <w:t>équipe d</w:t>
      </w:r>
      <w:r w:rsidR="006408BB">
        <w:t>’</w:t>
      </w:r>
      <w:r w:rsidRPr="00A1244F">
        <w:t>évaluation tire les recommandations suivantes des conclusions énoncées ci</w:t>
      </w:r>
      <w:r w:rsidR="006408BB">
        <w:t>-</w:t>
      </w:r>
      <w:r w:rsidRPr="00A1244F">
        <w:t>dessus</w:t>
      </w:r>
      <w:r w:rsidR="006408BB">
        <w:t> :</w:t>
      </w:r>
    </w:p>
    <w:p w:rsidR="00610DAF" w:rsidRPr="00A1244F" w:rsidRDefault="00794222" w:rsidP="00367DB6">
      <w:pPr>
        <w:pStyle w:val="ONUMFS"/>
        <w:numPr>
          <w:ilvl w:val="0"/>
          <w:numId w:val="0"/>
        </w:numPr>
        <w:rPr>
          <w:b/>
          <w:bCs/>
        </w:rPr>
      </w:pPr>
      <w:r w:rsidRPr="00A1244F">
        <w:rPr>
          <w:b/>
          <w:bCs/>
        </w:rPr>
        <w:t>Recommandation n°</w:t>
      </w:r>
      <w:r w:rsidR="005839C0">
        <w:rPr>
          <w:b/>
          <w:bCs/>
        </w:rPr>
        <w:t> </w:t>
      </w:r>
      <w:r w:rsidRPr="00A1244F">
        <w:rPr>
          <w:b/>
          <w:bCs/>
        </w:rPr>
        <w:t>1 (</w:t>
      </w:r>
      <w:r w:rsidR="00B144C5" w:rsidRPr="00A1244F">
        <w:rPr>
          <w:b/>
          <w:bCs/>
        </w:rPr>
        <w:t xml:space="preserve">tirée </w:t>
      </w:r>
      <w:r w:rsidRPr="00A1244F">
        <w:rPr>
          <w:b/>
          <w:bCs/>
        </w:rPr>
        <w:t>de la conclusion n</w:t>
      </w:r>
      <w:r w:rsidR="00B31189" w:rsidRPr="00A1244F">
        <w:rPr>
          <w:b/>
          <w:bCs/>
        </w:rPr>
        <w:t>°</w:t>
      </w:r>
      <w:r w:rsidR="005839C0">
        <w:rPr>
          <w:b/>
          <w:bCs/>
        </w:rPr>
        <w:t> </w:t>
      </w:r>
      <w:r w:rsidR="00B31189" w:rsidRPr="00A1244F">
        <w:rPr>
          <w:b/>
          <w:bCs/>
        </w:rPr>
        <w:t>3) au Secrétariat de l</w:t>
      </w:r>
      <w:r w:rsidR="006408BB">
        <w:rPr>
          <w:b/>
          <w:bCs/>
        </w:rPr>
        <w:t>’</w:t>
      </w:r>
      <w:r w:rsidR="00B31189" w:rsidRPr="00A1244F">
        <w:rPr>
          <w:b/>
          <w:bCs/>
        </w:rPr>
        <w:t>OMPI</w:t>
      </w:r>
    </w:p>
    <w:p w:rsidR="00610DAF" w:rsidRPr="00A1244F" w:rsidRDefault="00B31189" w:rsidP="00367DB6">
      <w:pPr>
        <w:pStyle w:val="ONUMFS"/>
        <w:numPr>
          <w:ilvl w:val="0"/>
          <w:numId w:val="0"/>
        </w:numPr>
        <w:rPr>
          <w:bCs/>
        </w:rPr>
      </w:pPr>
      <w:r w:rsidRPr="00A1244F">
        <w:rPr>
          <w:bCs/>
        </w:rPr>
        <w:t>Ach</w:t>
      </w:r>
      <w:r w:rsidR="00794222" w:rsidRPr="00A1244F">
        <w:rPr>
          <w:bCs/>
        </w:rPr>
        <w:t>ever le cours d</w:t>
      </w:r>
      <w:r w:rsidR="006408BB">
        <w:rPr>
          <w:bCs/>
        </w:rPr>
        <w:t>’</w:t>
      </w:r>
      <w:r w:rsidR="00794222" w:rsidRPr="00A1244F">
        <w:rPr>
          <w:bCs/>
        </w:rPr>
        <w:t>enseignement à d</w:t>
      </w:r>
      <w:r w:rsidRPr="00A1244F">
        <w:rPr>
          <w:bCs/>
        </w:rPr>
        <w:t>istance de l</w:t>
      </w:r>
      <w:r w:rsidR="006408BB">
        <w:rPr>
          <w:bCs/>
        </w:rPr>
        <w:t>’</w:t>
      </w:r>
      <w:r w:rsidRPr="00A1244F">
        <w:rPr>
          <w:bCs/>
        </w:rPr>
        <w:t>OMPI dans le secteur de l</w:t>
      </w:r>
      <w:r w:rsidR="006408BB">
        <w:rPr>
          <w:bCs/>
        </w:rPr>
        <w:t>’</w:t>
      </w:r>
      <w:r w:rsidRPr="00A1244F">
        <w:rPr>
          <w:bCs/>
        </w:rPr>
        <w:t>audiovisuel comme prévu.</w:t>
      </w:r>
    </w:p>
    <w:p w:rsidR="00610DAF" w:rsidRPr="00A1244F" w:rsidRDefault="00B31189" w:rsidP="00367DB6">
      <w:pPr>
        <w:pStyle w:val="ONUMFS"/>
        <w:numPr>
          <w:ilvl w:val="0"/>
          <w:numId w:val="0"/>
        </w:numPr>
        <w:rPr>
          <w:b/>
          <w:bCs/>
        </w:rPr>
      </w:pPr>
      <w:r w:rsidRPr="00A1244F">
        <w:rPr>
          <w:b/>
          <w:bCs/>
        </w:rPr>
        <w:t>Recommandation n°</w:t>
      </w:r>
      <w:r w:rsidR="005839C0">
        <w:rPr>
          <w:b/>
          <w:bCs/>
        </w:rPr>
        <w:t> </w:t>
      </w:r>
      <w:r w:rsidRPr="00A1244F">
        <w:rPr>
          <w:b/>
          <w:bCs/>
        </w:rPr>
        <w:t>2 (</w:t>
      </w:r>
      <w:r w:rsidR="00B144C5" w:rsidRPr="00A1244F">
        <w:rPr>
          <w:b/>
          <w:bCs/>
        </w:rPr>
        <w:t xml:space="preserve">tirée </w:t>
      </w:r>
      <w:r w:rsidRPr="00A1244F">
        <w:rPr>
          <w:b/>
          <w:bCs/>
        </w:rPr>
        <w:t xml:space="preserve">de la conclusion </w:t>
      </w:r>
      <w:r w:rsidR="00794222" w:rsidRPr="00A1244F">
        <w:rPr>
          <w:b/>
          <w:bCs/>
        </w:rPr>
        <w:t>n°</w:t>
      </w:r>
      <w:r w:rsidR="005839C0">
        <w:rPr>
          <w:b/>
          <w:bCs/>
        </w:rPr>
        <w:t> </w:t>
      </w:r>
      <w:r w:rsidRPr="00A1244F">
        <w:rPr>
          <w:b/>
          <w:bCs/>
        </w:rPr>
        <w:t>5) au Secrétariat de l</w:t>
      </w:r>
      <w:r w:rsidR="006408BB">
        <w:rPr>
          <w:b/>
          <w:bCs/>
        </w:rPr>
        <w:t>’</w:t>
      </w:r>
      <w:r w:rsidRPr="00A1244F">
        <w:rPr>
          <w:b/>
          <w:bCs/>
        </w:rPr>
        <w:t>OMPI</w:t>
      </w:r>
    </w:p>
    <w:p w:rsidR="00610DAF" w:rsidRPr="00A1244F" w:rsidRDefault="00794222" w:rsidP="0067547F">
      <w:pPr>
        <w:pStyle w:val="ONUMFS"/>
        <w:numPr>
          <w:ilvl w:val="1"/>
          <w:numId w:val="5"/>
        </w:numPr>
      </w:pPr>
      <w:r w:rsidRPr="00A1244F">
        <w:t>Assurer le</w:t>
      </w:r>
      <w:r w:rsidR="00B31189" w:rsidRPr="00A1244F">
        <w:t xml:space="preserve"> suivi </w:t>
      </w:r>
      <w:r w:rsidRPr="00A1244F">
        <w:t>de</w:t>
      </w:r>
      <w:r w:rsidR="00B31189" w:rsidRPr="00A1244F">
        <w:t xml:space="preserve"> l</w:t>
      </w:r>
      <w:r w:rsidR="006408BB">
        <w:t>’</w:t>
      </w:r>
      <w:r w:rsidR="00B31189" w:rsidRPr="00A1244F">
        <w:t>industrie audiovisuelle en Afrique grâce aux travaux des programmes pertinents de l</w:t>
      </w:r>
      <w:r w:rsidR="006408BB">
        <w:t>’</w:t>
      </w:r>
      <w:r w:rsidR="00B31189" w:rsidRPr="00A1244F">
        <w:t>OMPI, dans la mesure où les ressources et les services existants le permettent.</w:t>
      </w:r>
    </w:p>
    <w:p w:rsidR="00610DAF" w:rsidRPr="00A1244F" w:rsidRDefault="00B31189" w:rsidP="0067547F">
      <w:pPr>
        <w:pStyle w:val="ONUMFS"/>
        <w:numPr>
          <w:ilvl w:val="1"/>
          <w:numId w:val="5"/>
        </w:numPr>
      </w:pPr>
      <w:r w:rsidRPr="00A1244F">
        <w:t>Étudier la possibilité de fournir un appui sélectif en matière de suivi dans le cadre de nouveaux projets</w:t>
      </w:r>
      <w:r w:rsidR="00794222" w:rsidRPr="00A1244F">
        <w:t xml:space="preserve"> éventuels</w:t>
      </w:r>
      <w:r w:rsidRPr="00A1244F">
        <w:t xml:space="preserve"> du Plan d</w:t>
      </w:r>
      <w:r w:rsidR="006408BB">
        <w:t>’</w:t>
      </w:r>
      <w:r w:rsidRPr="00A1244F">
        <w:t xml:space="preserve">action pour le développement </w:t>
      </w:r>
      <w:r w:rsidR="00794222" w:rsidRPr="00A1244F">
        <w:t xml:space="preserve">qui </w:t>
      </w:r>
      <w:r w:rsidRPr="00A1244F">
        <w:t>vis</w:t>
      </w:r>
      <w:r w:rsidR="00794222" w:rsidRPr="00A1244F">
        <w:t>eraie</w:t>
      </w:r>
      <w:r w:rsidRPr="00A1244F">
        <w:t>nt les industries de la création en Afrique (le cas échéant).</w:t>
      </w:r>
    </w:p>
    <w:p w:rsidR="00610DAF" w:rsidRPr="00A1244F" w:rsidRDefault="00B31189" w:rsidP="0067547F">
      <w:pPr>
        <w:pStyle w:val="ONUMFS"/>
        <w:numPr>
          <w:ilvl w:val="1"/>
          <w:numId w:val="5"/>
        </w:numPr>
      </w:pPr>
      <w:r w:rsidRPr="00A1244F">
        <w:t>Étudier l</w:t>
      </w:r>
      <w:r w:rsidR="006408BB">
        <w:t>’</w:t>
      </w:r>
      <w:r w:rsidRPr="00A1244F">
        <w:t xml:space="preserve">intérêt des </w:t>
      </w:r>
      <w:r w:rsidR="00B63F99" w:rsidRPr="00A1244F">
        <w:t>États</w:t>
      </w:r>
      <w:r w:rsidRPr="00A1244F">
        <w:t xml:space="preserve"> membres pour un projet du Plan d</w:t>
      </w:r>
      <w:r w:rsidR="006408BB">
        <w:t>’</w:t>
      </w:r>
      <w:r w:rsidRPr="00A1244F">
        <w:t xml:space="preserve">action pour le développement </w:t>
      </w:r>
      <w:r w:rsidR="00B144C5" w:rsidRPr="00A1244F">
        <w:t>en matière de</w:t>
      </w:r>
      <w:r w:rsidRPr="00A1244F">
        <w:t xml:space="preserve"> modes extrajudiciaires de règlement des litiges (médiation, arbitrage, etc.) dans les</w:t>
      </w:r>
      <w:r w:rsidR="00B144C5" w:rsidRPr="00A1244F">
        <w:t xml:space="preserve"> pays en développement et les pays les moins avanc</w:t>
      </w:r>
      <w:r w:rsidR="002140BE" w:rsidRPr="00A1244F">
        <w:t>és</w:t>
      </w:r>
      <w:r w:rsidR="002140BE">
        <w:t xml:space="preserve">.  </w:t>
      </w:r>
      <w:r w:rsidR="002140BE" w:rsidRPr="00A1244F">
        <w:t>S</w:t>
      </w:r>
      <w:r w:rsidR="002140BE">
        <w:t>’</w:t>
      </w:r>
      <w:r w:rsidR="002140BE" w:rsidRPr="00A1244F">
        <w:t>i</w:t>
      </w:r>
      <w:r w:rsidRPr="00A1244F">
        <w:t xml:space="preserve">l y a </w:t>
      </w:r>
      <w:r w:rsidR="00B144C5" w:rsidRPr="00A1244F">
        <w:t xml:space="preserve">une </w:t>
      </w:r>
      <w:r w:rsidRPr="00A1244F">
        <w:t>demande, proposer un projet</w:t>
      </w:r>
      <w:r w:rsidR="006408BB" w:rsidRPr="00A1244F">
        <w:t xml:space="preserve"> au</w:t>
      </w:r>
      <w:r w:rsidR="006408BB">
        <w:t> </w:t>
      </w:r>
      <w:r w:rsidR="006408BB" w:rsidRPr="00A1244F">
        <w:t>CDI</w:t>
      </w:r>
      <w:r w:rsidRPr="00A1244F">
        <w:t>P pour examen.</w:t>
      </w:r>
    </w:p>
    <w:p w:rsidR="00610DAF" w:rsidRPr="00367DB6" w:rsidRDefault="00B144C5" w:rsidP="00367DB6">
      <w:pPr>
        <w:pStyle w:val="ONUMFS"/>
        <w:numPr>
          <w:ilvl w:val="0"/>
          <w:numId w:val="0"/>
        </w:numPr>
        <w:rPr>
          <w:b/>
        </w:rPr>
      </w:pPr>
      <w:r w:rsidRPr="00367DB6">
        <w:rPr>
          <w:b/>
        </w:rPr>
        <w:t>Recommandation n</w:t>
      </w:r>
      <w:r w:rsidR="00B31189" w:rsidRPr="00367DB6">
        <w:rPr>
          <w:b/>
        </w:rPr>
        <w:t>°</w:t>
      </w:r>
      <w:r w:rsidR="005839C0">
        <w:rPr>
          <w:b/>
        </w:rPr>
        <w:t> </w:t>
      </w:r>
      <w:r w:rsidR="00B31189" w:rsidRPr="00367DB6">
        <w:rPr>
          <w:b/>
        </w:rPr>
        <w:t xml:space="preserve">3 (tirée des </w:t>
      </w:r>
      <w:r w:rsidRPr="00367DB6">
        <w:rPr>
          <w:b/>
        </w:rPr>
        <w:t>conclusions n</w:t>
      </w:r>
      <w:r w:rsidR="002140BE" w:rsidRPr="002140BE">
        <w:rPr>
          <w:b/>
          <w:vertAlign w:val="superscript"/>
        </w:rPr>
        <w:t>os</w:t>
      </w:r>
      <w:r w:rsidR="005839C0">
        <w:rPr>
          <w:b/>
        </w:rPr>
        <w:t> </w:t>
      </w:r>
      <w:r w:rsidR="00B31189" w:rsidRPr="00367DB6">
        <w:rPr>
          <w:b/>
        </w:rPr>
        <w:t>1 et 4) au Secrétariat de l</w:t>
      </w:r>
      <w:r w:rsidR="006408BB">
        <w:rPr>
          <w:b/>
        </w:rPr>
        <w:t>’</w:t>
      </w:r>
      <w:r w:rsidR="00B31189" w:rsidRPr="00367DB6">
        <w:rPr>
          <w:b/>
        </w:rPr>
        <w:t>OMPI</w:t>
      </w:r>
    </w:p>
    <w:p w:rsidR="00610DAF" w:rsidRPr="00A1244F" w:rsidRDefault="00B31189" w:rsidP="0067547F">
      <w:pPr>
        <w:pStyle w:val="ONUMFS"/>
        <w:numPr>
          <w:ilvl w:val="1"/>
          <w:numId w:val="6"/>
        </w:numPr>
      </w:pPr>
      <w:r w:rsidRPr="00A1244F">
        <w:t>Lors de l</w:t>
      </w:r>
      <w:r w:rsidR="006408BB">
        <w:t>’</w:t>
      </w:r>
      <w:r w:rsidRPr="00A1244F">
        <w:t>élaboration des projets relatifs au Plan d</w:t>
      </w:r>
      <w:r w:rsidR="006408BB">
        <w:t>’</w:t>
      </w:r>
      <w:r w:rsidRPr="00A1244F">
        <w:t>action pour le dével</w:t>
      </w:r>
      <w:r w:rsidR="00B144C5" w:rsidRPr="00A1244F">
        <w:t>oppement, le Secrétariat devra</w:t>
      </w:r>
      <w:r w:rsidR="00AE4F0A" w:rsidRPr="00A1244F">
        <w:t>it</w:t>
      </w:r>
      <w:r w:rsidRPr="00A1244F">
        <w:t xml:space="preserve"> systématiquement</w:t>
      </w:r>
      <w:r w:rsidR="00B144C5" w:rsidRPr="00A1244F">
        <w:t xml:space="preserve"> évaluer</w:t>
      </w:r>
      <w:r w:rsidRPr="00A1244F">
        <w:t xml:space="preserve"> les moyens de gestion requis par rapport à la charge de travail du chef de projet.</w:t>
      </w:r>
    </w:p>
    <w:p w:rsidR="00610DAF" w:rsidRPr="00A1244F" w:rsidRDefault="00B31189" w:rsidP="0067547F">
      <w:pPr>
        <w:pStyle w:val="ONUMFS"/>
        <w:numPr>
          <w:ilvl w:val="1"/>
          <w:numId w:val="5"/>
        </w:numPr>
      </w:pPr>
      <w:r w:rsidRPr="00A1244F">
        <w:t>Le cas échéant</w:t>
      </w:r>
      <w:r w:rsidR="00AE4F0A" w:rsidRPr="00A1244F">
        <w:t>, le Secrétariat devrait inscrire au budget</w:t>
      </w:r>
      <w:r w:rsidRPr="00A1244F">
        <w:t xml:space="preserve"> le</w:t>
      </w:r>
      <w:r w:rsidR="00AE4F0A" w:rsidRPr="00A1244F">
        <w:t>s frais de</w:t>
      </w:r>
      <w:r w:rsidRPr="00A1244F">
        <w:t xml:space="preserve"> recrutement d</w:t>
      </w:r>
      <w:r w:rsidR="006408BB">
        <w:t>’</w:t>
      </w:r>
      <w:r w:rsidRPr="00A1244F">
        <w:t>un administrateur de projet chargé d</w:t>
      </w:r>
      <w:r w:rsidR="006408BB">
        <w:t>’</w:t>
      </w:r>
      <w:r w:rsidRPr="00A1244F">
        <w:t xml:space="preserve">aider le chef de projet dans la gestion et la mise en </w:t>
      </w:r>
      <w:r w:rsidR="00AE4F0A" w:rsidRPr="00A1244F">
        <w:t>œuvre</w:t>
      </w:r>
      <w:r w:rsidRPr="00A1244F">
        <w:t xml:space="preserve"> </w:t>
      </w:r>
      <w:r w:rsidR="00AE4F0A" w:rsidRPr="00A1244F">
        <w:t>courantes du projet</w:t>
      </w:r>
      <w:r w:rsidRPr="00A1244F">
        <w:t>.</w:t>
      </w:r>
    </w:p>
    <w:p w:rsidR="006408BB" w:rsidRDefault="00AE4F0A" w:rsidP="0067547F">
      <w:pPr>
        <w:pStyle w:val="ONUMFS"/>
        <w:numPr>
          <w:ilvl w:val="1"/>
          <w:numId w:val="5"/>
        </w:numPr>
        <w:rPr>
          <w:bCs/>
        </w:rPr>
      </w:pPr>
      <w:r w:rsidRPr="00A1244F">
        <w:rPr>
          <w:bCs/>
        </w:rPr>
        <w:t>En complément de l</w:t>
      </w:r>
      <w:r w:rsidR="006408BB">
        <w:rPr>
          <w:bCs/>
        </w:rPr>
        <w:t>’</w:t>
      </w:r>
      <w:r w:rsidRPr="00A1244F">
        <w:rPr>
          <w:bCs/>
        </w:rPr>
        <w:t>expertise technique</w:t>
      </w:r>
      <w:r w:rsidR="00B31189" w:rsidRPr="00A1244F">
        <w:rPr>
          <w:bCs/>
        </w:rPr>
        <w:t xml:space="preserve"> du chef de projet, l</w:t>
      </w:r>
      <w:r w:rsidR="006408BB">
        <w:rPr>
          <w:bCs/>
        </w:rPr>
        <w:t>’</w:t>
      </w:r>
      <w:r w:rsidR="00B31189" w:rsidRPr="00A1244F">
        <w:rPr>
          <w:bCs/>
        </w:rPr>
        <w:t xml:space="preserve">administrateur de projet devrait </w:t>
      </w:r>
      <w:r w:rsidRPr="00A1244F">
        <w:rPr>
          <w:bCs/>
        </w:rPr>
        <w:t xml:space="preserve">être essentiellement </w:t>
      </w:r>
      <w:r w:rsidR="00B31189" w:rsidRPr="00A1244F">
        <w:rPr>
          <w:bCs/>
        </w:rPr>
        <w:t xml:space="preserve">un </w:t>
      </w:r>
      <w:r w:rsidRPr="00A1244F">
        <w:rPr>
          <w:bCs/>
        </w:rPr>
        <w:t>spécialiste qualifié en matière</w:t>
      </w:r>
      <w:r w:rsidR="00B31189" w:rsidRPr="00A1244F">
        <w:rPr>
          <w:bCs/>
        </w:rPr>
        <w:t xml:space="preserve"> de développement</w:t>
      </w:r>
      <w:r w:rsidRPr="00A1244F">
        <w:rPr>
          <w:bCs/>
        </w:rPr>
        <w:t xml:space="preserve"> possédan</w:t>
      </w:r>
      <w:r w:rsidR="00B31189" w:rsidRPr="00A1244F">
        <w:rPr>
          <w:bCs/>
        </w:rPr>
        <w:t xml:space="preserve">t une expérience </w:t>
      </w:r>
      <w:r w:rsidRPr="00A1244F">
        <w:rPr>
          <w:bCs/>
        </w:rPr>
        <w:t>acquise sur le</w:t>
      </w:r>
      <w:r w:rsidR="00B31189" w:rsidRPr="00A1244F">
        <w:rPr>
          <w:bCs/>
        </w:rPr>
        <w:t xml:space="preserve"> terrain et d</w:t>
      </w:r>
      <w:r w:rsidR="006408BB">
        <w:rPr>
          <w:bCs/>
        </w:rPr>
        <w:t>’</w:t>
      </w:r>
      <w:r w:rsidR="00B31189" w:rsidRPr="00A1244F">
        <w:rPr>
          <w:bCs/>
        </w:rPr>
        <w:t>excellentes compétences en gestion de projet.</w:t>
      </w:r>
    </w:p>
    <w:p w:rsidR="00610DAF" w:rsidRDefault="003071A3" w:rsidP="0067547F">
      <w:pPr>
        <w:pStyle w:val="Heading1"/>
        <w:numPr>
          <w:ilvl w:val="0"/>
          <w:numId w:val="10"/>
        </w:numPr>
      </w:pPr>
      <w:r w:rsidRPr="00A1244F">
        <w:br w:type="page"/>
      </w:r>
      <w:bookmarkStart w:id="9" w:name="_Toc3880369"/>
      <w:r w:rsidR="00B31189" w:rsidRPr="00A1244F">
        <w:lastRenderedPageBreak/>
        <w:t>Introduction</w:t>
      </w:r>
      <w:bookmarkEnd w:id="9"/>
    </w:p>
    <w:p w:rsidR="00367DB6" w:rsidRPr="00367DB6" w:rsidRDefault="00367DB6" w:rsidP="00367DB6"/>
    <w:p w:rsidR="00610DAF" w:rsidRPr="00A1244F" w:rsidRDefault="00AE4F0A" w:rsidP="0067547F">
      <w:pPr>
        <w:pStyle w:val="ONUMFS"/>
        <w:numPr>
          <w:ilvl w:val="0"/>
          <w:numId w:val="7"/>
        </w:numPr>
      </w:pPr>
      <w:r w:rsidRPr="00A1244F">
        <w:t xml:space="preserve">La présente </w:t>
      </w:r>
      <w:r w:rsidR="00B31189" w:rsidRPr="00A1244F">
        <w:t>éva</w:t>
      </w:r>
      <w:r w:rsidRPr="00A1244F">
        <w:t xml:space="preserve">luation indépendante </w:t>
      </w:r>
      <w:r w:rsidR="00620CDE" w:rsidRPr="00A1244F">
        <w:t xml:space="preserve">finale </w:t>
      </w:r>
      <w:r w:rsidRPr="00A1244F">
        <w:t>(ci</w:t>
      </w:r>
      <w:r w:rsidR="006408BB">
        <w:t>-</w:t>
      </w:r>
      <w:r w:rsidRPr="00A1244F">
        <w:t xml:space="preserve">après </w:t>
      </w:r>
      <w:r w:rsidR="006408BB">
        <w:t>“</w:t>
      </w:r>
      <w:r w:rsidR="006408BB" w:rsidRPr="00A1244F">
        <w:t>é</w:t>
      </w:r>
      <w:r w:rsidR="00B31189" w:rsidRPr="00A1244F">
        <w:t>valu</w:t>
      </w:r>
      <w:r w:rsidRPr="00A1244F">
        <w:t>atio</w:t>
      </w:r>
      <w:r w:rsidR="006408BB" w:rsidRPr="00A1244F">
        <w:t>n</w:t>
      </w:r>
      <w:r w:rsidR="006408BB">
        <w:t>”</w:t>
      </w:r>
      <w:r w:rsidRPr="00A1244F">
        <w:t>) a porté</w:t>
      </w:r>
      <w:r w:rsidR="00B31189" w:rsidRPr="00A1244F">
        <w:t xml:space="preserve"> sur le projet </w:t>
      </w:r>
      <w:r w:rsidR="00B63F99" w:rsidRPr="00A1244F">
        <w:t xml:space="preserve">intitulé </w:t>
      </w:r>
      <w:r w:rsidR="006408BB">
        <w:t>“</w:t>
      </w:r>
      <w:r w:rsidR="006408BB" w:rsidRPr="00A1244F">
        <w:t>R</w:t>
      </w:r>
      <w:r w:rsidR="00B31189" w:rsidRPr="00A1244F">
        <w:t>enforcement et développement du secteur de l</w:t>
      </w:r>
      <w:r w:rsidR="006408BB">
        <w:t>’</w:t>
      </w:r>
      <w:r w:rsidR="00B31189" w:rsidRPr="00A1244F">
        <w:t>audiovisuel au Burkina Faso et dans certains pays africains – Phase</w:t>
      </w:r>
      <w:r w:rsidR="0088350E">
        <w:t> </w:t>
      </w:r>
      <w:r w:rsidR="00B31189" w:rsidRPr="00A1244F">
        <w:t>I</w:t>
      </w:r>
      <w:r w:rsidR="006408BB" w:rsidRPr="00A1244F">
        <w:t>I</w:t>
      </w:r>
      <w:r w:rsidR="006408BB">
        <w:t>”</w:t>
      </w:r>
      <w:r w:rsidR="00B31189" w:rsidRPr="00A1244F">
        <w:t xml:space="preserve"> (</w:t>
      </w:r>
      <w:r w:rsidRPr="00A1244F">
        <w:t>co</w:t>
      </w:r>
      <w:r w:rsidR="00B31189" w:rsidRPr="00A1244F">
        <w:t>t</w:t>
      </w:r>
      <w:r w:rsidRPr="00A1244F">
        <w:t>e du projet DA_1_2_4_10_11) d</w:t>
      </w:r>
      <w:r w:rsidR="00B31189" w:rsidRPr="00A1244F">
        <w:t>ans le cadre du Plan d</w:t>
      </w:r>
      <w:r w:rsidR="006408BB">
        <w:t>’</w:t>
      </w:r>
      <w:r w:rsidR="00B31189" w:rsidRPr="00A1244F">
        <w:t xml:space="preserve">action pour le développement, </w:t>
      </w:r>
      <w:r w:rsidRPr="00A1244F">
        <w:t>ci</w:t>
      </w:r>
      <w:r w:rsidR="006408BB">
        <w:t>-</w:t>
      </w:r>
      <w:r w:rsidRPr="00A1244F">
        <w:t xml:space="preserve">après </w:t>
      </w:r>
      <w:r w:rsidR="006408BB">
        <w:t>“</w:t>
      </w:r>
      <w:r w:rsidR="006408BB" w:rsidRPr="00A1244F">
        <w:t>p</w:t>
      </w:r>
      <w:r w:rsidR="00620CDE" w:rsidRPr="00A1244F">
        <w:t>roje</w:t>
      </w:r>
      <w:r w:rsidR="006408BB" w:rsidRPr="00A1244F">
        <w:t>t</w:t>
      </w:r>
      <w:r w:rsidR="006408BB">
        <w:t>”</w:t>
      </w:r>
      <w:r w:rsidR="00620CDE" w:rsidRPr="00A1244F">
        <w:t>, voir l</w:t>
      </w:r>
      <w:r w:rsidR="006408BB">
        <w:t>’</w:t>
      </w:r>
      <w:r w:rsidR="00620CDE" w:rsidRPr="00A1244F">
        <w:t>appendice </w:t>
      </w:r>
      <w:r w:rsidR="00B31189" w:rsidRPr="00A1244F">
        <w:t>I</w:t>
      </w:r>
      <w:r w:rsidRPr="00A1244F">
        <w:t xml:space="preserve">. </w:t>
      </w:r>
      <w:r w:rsidR="00B31189" w:rsidRPr="00A1244F">
        <w:t xml:space="preserve"> </w:t>
      </w:r>
      <w:r w:rsidRPr="00A1244F">
        <w:t>Au</w:t>
      </w:r>
      <w:r w:rsidR="00B31189" w:rsidRPr="00A1244F">
        <w:t xml:space="preserve"> Secrétariat, la Division du droit d</w:t>
      </w:r>
      <w:r w:rsidR="006408BB">
        <w:t>’</w:t>
      </w:r>
      <w:r w:rsidR="00B31189" w:rsidRPr="00A1244F">
        <w:t xml:space="preserve">auteur a mis en </w:t>
      </w:r>
      <w:r w:rsidRPr="00A1244F">
        <w:t>œuvre</w:t>
      </w:r>
      <w:r w:rsidR="00B31189" w:rsidRPr="00A1244F">
        <w:t xml:space="preserve"> le projet.</w:t>
      </w:r>
    </w:p>
    <w:p w:rsidR="00610DAF" w:rsidRPr="00A1244F" w:rsidRDefault="00B31189" w:rsidP="00367DB6">
      <w:pPr>
        <w:pStyle w:val="ONUMFS"/>
      </w:pPr>
      <w:r w:rsidRPr="00A1244F">
        <w:t>Commandée par le Secrétariat, l</w:t>
      </w:r>
      <w:r w:rsidR="006408BB">
        <w:t>’</w:t>
      </w:r>
      <w:r w:rsidRPr="00A1244F">
        <w:t>évaluation</w:t>
      </w:r>
      <w:r w:rsidR="00620CDE" w:rsidRPr="00A1244F">
        <w:t xml:space="preserve"> a été</w:t>
      </w:r>
      <w:r w:rsidRPr="00A1244F">
        <w:t xml:space="preserve"> </w:t>
      </w:r>
      <w:r w:rsidR="00620CDE" w:rsidRPr="00A1244F">
        <w:t>effectuée sur la base d</w:t>
      </w:r>
      <w:r w:rsidR="006408BB">
        <w:t>’</w:t>
      </w:r>
      <w:r w:rsidR="00620CDE" w:rsidRPr="00A1244F">
        <w:t>un</w:t>
      </w:r>
      <w:r w:rsidRPr="00A1244F">
        <w:t xml:space="preserve"> mandat</w:t>
      </w:r>
      <w:r w:rsidR="00620CDE" w:rsidRPr="00A1244F">
        <w:t xml:space="preserve"> datant du 21 décembre 2018 (appendice </w:t>
      </w:r>
      <w:r w:rsidRPr="00A1244F">
        <w:t>II).</w:t>
      </w:r>
      <w:r w:rsidR="003071A3" w:rsidRPr="00A1244F">
        <w:t xml:space="preserve"> </w:t>
      </w:r>
      <w:r w:rsidR="00620CDE" w:rsidRPr="00A1244F">
        <w:t xml:space="preserve"> El</w:t>
      </w:r>
      <w:r w:rsidRPr="00A1244F">
        <w:t>l</w:t>
      </w:r>
      <w:r w:rsidR="00620CDE" w:rsidRPr="00A1244F">
        <w:t>e</w:t>
      </w:r>
      <w:r w:rsidRPr="00A1244F">
        <w:t xml:space="preserve"> a été </w:t>
      </w:r>
      <w:r w:rsidR="00620CDE" w:rsidRPr="00A1244F">
        <w:t>réalisée</w:t>
      </w:r>
      <w:r w:rsidRPr="00A1244F">
        <w:t xml:space="preserve"> entre </w:t>
      </w:r>
      <w:r w:rsidR="00620CDE" w:rsidRPr="00A1244F">
        <w:t>le 2 janvier 2019 et le 25 mai </w:t>
      </w:r>
      <w:r w:rsidRPr="00A1244F">
        <w:t>2019 par un évaluateur externe</w:t>
      </w:r>
      <w:r w:rsidR="00620CDE" w:rsidRPr="00A1244F">
        <w:rPr>
          <w:rStyle w:val="FootnoteReference"/>
        </w:rPr>
        <w:footnoteReference w:id="2"/>
      </w:r>
      <w:r w:rsidRPr="00A1244F">
        <w:t>, en coordination avec le Secrétariat.</w:t>
      </w:r>
    </w:p>
    <w:p w:rsidR="00610DAF" w:rsidRDefault="00367DB6" w:rsidP="00367DB6">
      <w:pPr>
        <w:pStyle w:val="Heading2"/>
      </w:pPr>
      <w:bookmarkStart w:id="10" w:name="_Toc3880370"/>
      <w:r w:rsidRPr="00367DB6">
        <w:t>Contexte et description du projet</w:t>
      </w:r>
      <w:bookmarkEnd w:id="10"/>
    </w:p>
    <w:p w:rsidR="00367DB6" w:rsidRPr="00367DB6" w:rsidRDefault="00367DB6" w:rsidP="00367DB6"/>
    <w:p w:rsidR="00610DAF" w:rsidRPr="00A1244F" w:rsidRDefault="006C62D3" w:rsidP="00367DB6">
      <w:pPr>
        <w:pStyle w:val="ONUMFS"/>
      </w:pPr>
      <w:r w:rsidRPr="00A1244F">
        <w:t>Dans le cadre de l</w:t>
      </w:r>
      <w:r w:rsidR="00B31189" w:rsidRPr="00A1244F">
        <w:t>a reprise de la dix</w:t>
      </w:r>
      <w:r w:rsidR="006408BB">
        <w:t>-</w:t>
      </w:r>
      <w:r w:rsidR="00B31189" w:rsidRPr="00A1244F">
        <w:t>sept</w:t>
      </w:r>
      <w:r w:rsidR="006408BB">
        <w:t>ième session</w:t>
      </w:r>
      <w:r w:rsidR="00B31189" w:rsidRPr="00A1244F">
        <w:t xml:space="preserve"> du Comité du développement et de la propriété intellectuelle (CDIP) à Genève</w:t>
      </w:r>
      <w:r w:rsidRPr="00A1244F">
        <w:t>,</w:t>
      </w:r>
      <w:r w:rsidR="00B31189" w:rsidRPr="00A1244F">
        <w:t xml:space="preserve"> le projet</w:t>
      </w:r>
      <w:r w:rsidRPr="00A1244F">
        <w:t xml:space="preserve"> a été adopté en </w:t>
      </w:r>
      <w:r w:rsidR="006408BB" w:rsidRPr="00A1244F">
        <w:t>avril</w:t>
      </w:r>
      <w:r w:rsidR="006408BB">
        <w:t> </w:t>
      </w:r>
      <w:r w:rsidR="006408BB" w:rsidRPr="00A1244F">
        <w:t>20</w:t>
      </w:r>
      <w:r w:rsidRPr="00A1244F">
        <w:t>16</w:t>
      </w:r>
      <w:r w:rsidR="00B31189" w:rsidRPr="00A1244F">
        <w:rPr>
          <w:rStyle w:val="FootnoteReference"/>
        </w:rPr>
        <w:footnoteReference w:id="3"/>
      </w:r>
      <w:r w:rsidR="005839C0">
        <w:t>.</w:t>
      </w:r>
      <w:r w:rsidR="003071A3" w:rsidRPr="00A1244F">
        <w:t xml:space="preserve"> </w:t>
      </w:r>
      <w:r w:rsidRPr="00A1244F">
        <w:t xml:space="preserve"> </w:t>
      </w:r>
      <w:r w:rsidR="00C16BA4" w:rsidRPr="00A1244F">
        <w:t>Il</w:t>
      </w:r>
      <w:r w:rsidR="00B31189" w:rsidRPr="00A1244F">
        <w:t xml:space="preserve"> </w:t>
      </w:r>
      <w:r w:rsidR="00C16BA4" w:rsidRPr="00A1244F">
        <w:t>constitue la</w:t>
      </w:r>
      <w:r w:rsidR="00B31189" w:rsidRPr="00A1244F">
        <w:t xml:space="preserve"> phas</w:t>
      </w:r>
      <w:r w:rsidR="00C16BA4" w:rsidRPr="00A1244F">
        <w:t xml:space="preserve">e de suivi du projet intitulé </w:t>
      </w:r>
      <w:r w:rsidR="006408BB">
        <w:t>“</w:t>
      </w:r>
      <w:r w:rsidR="006408BB" w:rsidRPr="00A1244F">
        <w:t>R</w:t>
      </w:r>
      <w:r w:rsidR="00B31189" w:rsidRPr="00A1244F">
        <w:t>enforcement et développement du secteur de l</w:t>
      </w:r>
      <w:r w:rsidR="006408BB">
        <w:t>’</w:t>
      </w:r>
      <w:r w:rsidR="00B31189" w:rsidRPr="00A1244F">
        <w:t xml:space="preserve">audiovisuel au Burkina Faso </w:t>
      </w:r>
      <w:r w:rsidR="00C16BA4" w:rsidRPr="00A1244F">
        <w:t>et dans certains pays africain</w:t>
      </w:r>
      <w:r w:rsidR="006408BB" w:rsidRPr="00A1244F">
        <w:t>s</w:t>
      </w:r>
      <w:r w:rsidR="006408BB">
        <w:t>”</w:t>
      </w:r>
      <w:r w:rsidR="00C16BA4" w:rsidRPr="00A1244F">
        <w:rPr>
          <w:rStyle w:val="FootnoteReference"/>
        </w:rPr>
        <w:footnoteReference w:id="4"/>
      </w:r>
      <w:r w:rsidR="00B31189" w:rsidRPr="00A1244F">
        <w:t>, qui s</w:t>
      </w:r>
      <w:r w:rsidR="006408BB">
        <w:t>’</w:t>
      </w:r>
      <w:r w:rsidR="00B31189" w:rsidRPr="00A1244F">
        <w:t xml:space="preserve">est achevé en </w:t>
      </w:r>
      <w:r w:rsidR="006408BB" w:rsidRPr="00A1244F">
        <w:t>décembre</w:t>
      </w:r>
      <w:r w:rsidR="006408BB">
        <w:t> </w:t>
      </w:r>
      <w:r w:rsidR="006408BB" w:rsidRPr="00A1244F">
        <w:t>20</w:t>
      </w:r>
      <w:r w:rsidR="00B31189" w:rsidRPr="00A1244F">
        <w:t xml:space="preserve">15 et a été évalué </w:t>
      </w:r>
      <w:r w:rsidR="006408BB" w:rsidRPr="00A1244F">
        <w:t>en</w:t>
      </w:r>
      <w:r w:rsidR="006408BB">
        <w:t> </w:t>
      </w:r>
      <w:r w:rsidR="006408BB" w:rsidRPr="00A1244F">
        <w:t>2016</w:t>
      </w:r>
      <w:r w:rsidR="00B31189" w:rsidRPr="00A1244F">
        <w:rPr>
          <w:rStyle w:val="FootnoteReference"/>
        </w:rPr>
        <w:footnoteReference w:id="5"/>
      </w:r>
      <w:r w:rsidR="005839C0">
        <w:t>.</w:t>
      </w:r>
      <w:r w:rsidR="00C16BA4" w:rsidRPr="00A1244F">
        <w:t xml:space="preserve">  Il devait durer </w:t>
      </w:r>
      <w:r w:rsidR="00B31189" w:rsidRPr="00A1244F">
        <w:t>30</w:t>
      </w:r>
      <w:r w:rsidR="0088350E">
        <w:t> </w:t>
      </w:r>
      <w:r w:rsidR="00B31189" w:rsidRPr="00A1244F">
        <w:t>mois.</w:t>
      </w:r>
    </w:p>
    <w:p w:rsidR="00610DAF" w:rsidRPr="00A1244F" w:rsidRDefault="00C16BA4" w:rsidP="00367DB6">
      <w:pPr>
        <w:pStyle w:val="ONUMFS"/>
        <w:rPr>
          <w:iCs/>
        </w:rPr>
      </w:pPr>
      <w:r w:rsidRPr="00A1244F">
        <w:t>Sur un budget global de 540 00</w:t>
      </w:r>
      <w:r w:rsidR="006408BB" w:rsidRPr="00A1244F">
        <w:t>0</w:t>
      </w:r>
      <w:r w:rsidR="006408BB">
        <w:t> </w:t>
      </w:r>
      <w:r w:rsidR="006408BB" w:rsidRPr="00A1244F">
        <w:t>franc</w:t>
      </w:r>
      <w:r w:rsidRPr="00A1244F">
        <w:t>s suisses, 430 00</w:t>
      </w:r>
      <w:r w:rsidR="006408BB" w:rsidRPr="00A1244F">
        <w:t>0</w:t>
      </w:r>
      <w:r w:rsidR="006408BB">
        <w:t> </w:t>
      </w:r>
      <w:r w:rsidR="006408BB" w:rsidRPr="00A1244F">
        <w:t>franc</w:t>
      </w:r>
      <w:r w:rsidRPr="00A1244F">
        <w:t xml:space="preserve">s suisses ont été alloués </w:t>
      </w:r>
      <w:r w:rsidR="00B31189" w:rsidRPr="00A1244F">
        <w:t>aux dépenses autres que l</w:t>
      </w:r>
      <w:r w:rsidRPr="00A1244F">
        <w:t>es dépenses de personnel et 110 </w:t>
      </w:r>
      <w:r w:rsidR="00B31189" w:rsidRPr="00A1244F">
        <w:t>00</w:t>
      </w:r>
      <w:r w:rsidR="006408BB" w:rsidRPr="00A1244F">
        <w:t>0</w:t>
      </w:r>
      <w:r w:rsidR="006408BB">
        <w:t> </w:t>
      </w:r>
      <w:r w:rsidR="006408BB" w:rsidRPr="00A1244F">
        <w:t>franc</w:t>
      </w:r>
      <w:r w:rsidR="00B31189" w:rsidRPr="00A1244F">
        <w:t xml:space="preserve">s suisses </w:t>
      </w:r>
      <w:r w:rsidRPr="00A1244F">
        <w:t>aux</w:t>
      </w:r>
      <w:r w:rsidR="00B31189" w:rsidRPr="00A1244F">
        <w:t xml:space="preserve"> dépenses de personn</w:t>
      </w:r>
      <w:r w:rsidR="002140BE" w:rsidRPr="00A1244F">
        <w:t>el</w:t>
      </w:r>
      <w:r w:rsidR="002140BE">
        <w:t xml:space="preserve">.  </w:t>
      </w:r>
      <w:r w:rsidR="002140BE" w:rsidRPr="00A1244F">
        <w:t>Le</w:t>
      </w:r>
      <w:r w:rsidR="00B31189" w:rsidRPr="00A1244F">
        <w:t xml:space="preserve"> Secrétariat de l</w:t>
      </w:r>
      <w:r w:rsidR="006408BB">
        <w:t>’</w:t>
      </w:r>
      <w:r w:rsidR="00B31189" w:rsidRPr="00A1244F">
        <w:t>OM</w:t>
      </w:r>
      <w:r w:rsidRPr="00A1244F">
        <w:t>PI a indiqué que la totalité du budget avai</w:t>
      </w:r>
      <w:r w:rsidR="00B31189" w:rsidRPr="00A1244F">
        <w:t>t été dépensé</w:t>
      </w:r>
      <w:r w:rsidRPr="00A1244F">
        <w:t>e</w:t>
      </w:r>
      <w:r w:rsidR="00B31189" w:rsidRPr="00A1244F">
        <w:rPr>
          <w:rStyle w:val="FootnoteReference"/>
          <w:iCs/>
        </w:rPr>
        <w:footnoteReference w:id="6"/>
      </w:r>
      <w:r w:rsidR="005839C0" w:rsidRPr="00A1244F">
        <w:t>.</w:t>
      </w:r>
    </w:p>
    <w:p w:rsidR="00610DAF" w:rsidRPr="00A1244F" w:rsidRDefault="009D5D4A" w:rsidP="00367DB6">
      <w:pPr>
        <w:pStyle w:val="ONUMFS"/>
      </w:pPr>
      <w:r w:rsidRPr="00A1244F">
        <w:t>Fondé sur</w:t>
      </w:r>
      <w:r w:rsidR="00B31189" w:rsidRPr="00A1244F">
        <w:t xml:space="preserve"> trois</w:t>
      </w:r>
      <w:r w:rsidR="005839C0">
        <w:t> </w:t>
      </w:r>
      <w:r w:rsidRPr="00A1244F">
        <w:t>volets</w:t>
      </w:r>
      <w:r w:rsidR="00B31189" w:rsidRPr="00A1244F">
        <w:t xml:space="preserve"> principaux (recherche et enseignement à distance, </w:t>
      </w:r>
      <w:r w:rsidRPr="00A1244F">
        <w:t xml:space="preserve">développement </w:t>
      </w:r>
      <w:r w:rsidR="00B31189" w:rsidRPr="00A1244F">
        <w:t>professionnel et formation, et cadre</w:t>
      </w:r>
      <w:r w:rsidRPr="00A1244F">
        <w:t>s</w:t>
      </w:r>
      <w:r w:rsidR="00B31189" w:rsidRPr="00A1244F">
        <w:t xml:space="preserve"> réglementaire</w:t>
      </w:r>
      <w:r w:rsidRPr="00A1244F">
        <w:t>s et de gestion), l</w:t>
      </w:r>
      <w:r w:rsidR="00B31189" w:rsidRPr="00A1244F">
        <w:t>e pro</w:t>
      </w:r>
      <w:r w:rsidRPr="00A1244F">
        <w:t>jet visait à activer le recours à</w:t>
      </w:r>
      <w:r w:rsidR="00B31189" w:rsidRPr="00A1244F">
        <w:t xml:space="preserve"> la propriété intellectuelle pour appuyer le développement et la professionnalisation du secteur</w:t>
      </w:r>
      <w:r w:rsidRPr="00A1244F">
        <w:t xml:space="preserve"> émergent</w:t>
      </w:r>
      <w:r w:rsidR="00B31189" w:rsidRPr="00A1244F">
        <w:t xml:space="preserve"> </w:t>
      </w:r>
      <w:r w:rsidRPr="00A1244F">
        <w:t>de l</w:t>
      </w:r>
      <w:r w:rsidR="006408BB">
        <w:t>’</w:t>
      </w:r>
      <w:r w:rsidRPr="00A1244F">
        <w:t>audiovisuel africain, axé sur le marc</w:t>
      </w:r>
      <w:r w:rsidR="002140BE" w:rsidRPr="00A1244F">
        <w:t>hé</w:t>
      </w:r>
      <w:r w:rsidR="002140BE">
        <w:t xml:space="preserve">.  </w:t>
      </w:r>
      <w:r w:rsidR="002140BE" w:rsidRPr="00A1244F">
        <w:t>Ci</w:t>
      </w:r>
      <w:r w:rsidR="0082474A" w:rsidRPr="00A1244F">
        <w:t>blant à</w:t>
      </w:r>
      <w:r w:rsidR="00B31189" w:rsidRPr="00A1244F">
        <w:t xml:space="preserve"> nouveau les pays bénéficiaires de la phase I (Sénégal, Burkina Faso et Kenya), deux</w:t>
      </w:r>
      <w:r w:rsidR="005839C0">
        <w:t> </w:t>
      </w:r>
      <w:r w:rsidR="00B31189" w:rsidRPr="00A1244F">
        <w:t>pays supplémentaires (Maroc et Côte d</w:t>
      </w:r>
      <w:r w:rsidR="006408BB">
        <w:t>’</w:t>
      </w:r>
      <w:r w:rsidR="00B31189" w:rsidRPr="00A1244F">
        <w:t xml:space="preserve">Ivoire) </w:t>
      </w:r>
      <w:r w:rsidRPr="00A1244F">
        <w:t>ont été inclus dans la phase</w:t>
      </w:r>
      <w:r w:rsidR="0088350E">
        <w:t> </w:t>
      </w:r>
      <w:r w:rsidRPr="00A1244F">
        <w:t>II</w:t>
      </w:r>
      <w:r w:rsidR="00B31189" w:rsidRPr="00A1244F">
        <w:t xml:space="preserve">. </w:t>
      </w:r>
      <w:r w:rsidR="0082474A" w:rsidRPr="00A1244F">
        <w:t xml:space="preserve"> Le choix</w:t>
      </w:r>
      <w:r w:rsidR="00B31189" w:rsidRPr="00A1244F">
        <w:t xml:space="preserve"> de ces deux</w:t>
      </w:r>
      <w:r w:rsidR="005839C0">
        <w:t> </w:t>
      </w:r>
      <w:r w:rsidR="00B31189" w:rsidRPr="00A1244F">
        <w:t>pays supplémentaires s</w:t>
      </w:r>
      <w:r w:rsidR="006408BB">
        <w:t>’</w:t>
      </w:r>
      <w:r w:rsidR="0082474A" w:rsidRPr="00A1244F">
        <w:t>est appuyé</w:t>
      </w:r>
      <w:r w:rsidR="00B31189" w:rsidRPr="00A1244F">
        <w:t xml:space="preserve"> sur leur précédente</w:t>
      </w:r>
      <w:r w:rsidR="0082474A" w:rsidRPr="00A1244F">
        <w:t xml:space="preserve"> participation</w:t>
      </w:r>
      <w:r w:rsidR="00B31189" w:rsidRPr="00A1244F">
        <w:t xml:space="preserve"> </w:t>
      </w:r>
      <w:r w:rsidR="0082474A" w:rsidRPr="00A1244F">
        <w:t>en qualité qu</w:t>
      </w:r>
      <w:r w:rsidR="006408BB">
        <w:t>’</w:t>
      </w:r>
      <w:r w:rsidR="0082474A" w:rsidRPr="00A1244F">
        <w:t>observateurs à la phase I du projet, ainsi que</w:t>
      </w:r>
      <w:r w:rsidR="00B31189" w:rsidRPr="00A1244F">
        <w:t xml:space="preserve"> sur le stade </w:t>
      </w:r>
      <w:r w:rsidR="0082474A" w:rsidRPr="00A1244F">
        <w:t xml:space="preserve">avancé </w:t>
      </w:r>
      <w:r w:rsidR="00B31189" w:rsidRPr="00A1244F">
        <w:t>de leur politique audiovisuelle et de leurs cad</w:t>
      </w:r>
      <w:r w:rsidR="0082474A" w:rsidRPr="00A1244F">
        <w:t>res institutionnels, ce qui dev</w:t>
      </w:r>
      <w:r w:rsidR="00B31189" w:rsidRPr="00A1244F">
        <w:t>ai</w:t>
      </w:r>
      <w:r w:rsidR="0082474A" w:rsidRPr="00A1244F">
        <w:t xml:space="preserve">ent favoriser les </w:t>
      </w:r>
      <w:r w:rsidR="00B31189" w:rsidRPr="00A1244F">
        <w:t>échange</w:t>
      </w:r>
      <w:r w:rsidR="0082474A" w:rsidRPr="00A1244F">
        <w:t>s</w:t>
      </w:r>
      <w:r w:rsidR="00B31189" w:rsidRPr="00A1244F">
        <w:t xml:space="preserve"> de données d</w:t>
      </w:r>
      <w:r w:rsidR="006408BB">
        <w:t>’</w:t>
      </w:r>
      <w:r w:rsidR="00B31189" w:rsidRPr="00A1244F">
        <w:t>expérience et de pratiques recommandées</w:t>
      </w:r>
      <w:r w:rsidR="0082474A" w:rsidRPr="00A1244F">
        <w:t xml:space="preserve"> entre les pays</w:t>
      </w:r>
      <w:r w:rsidR="00B31189" w:rsidRPr="00A1244F">
        <w:t>.</w:t>
      </w:r>
    </w:p>
    <w:p w:rsidR="00610DAF" w:rsidRPr="00A1244F" w:rsidRDefault="00B31189" w:rsidP="00367DB6">
      <w:pPr>
        <w:pStyle w:val="ONUMFS"/>
      </w:pPr>
      <w:r w:rsidRPr="00A1244F">
        <w:t>Parmi les principaux bénéficiaires</w:t>
      </w:r>
      <w:r w:rsidR="0082474A" w:rsidRPr="00A1244F">
        <w:rPr>
          <w:rStyle w:val="FootnoteReference"/>
        </w:rPr>
        <w:footnoteReference w:id="7"/>
      </w:r>
      <w:r w:rsidR="0082474A" w:rsidRPr="00A1244F">
        <w:t xml:space="preserve"> figurent</w:t>
      </w:r>
      <w:r w:rsidRPr="00A1244F">
        <w:t xml:space="preserve"> les bureaux du droit d</w:t>
      </w:r>
      <w:r w:rsidR="006408BB">
        <w:t>’</w:t>
      </w:r>
      <w:r w:rsidRPr="00A1244F">
        <w:t>auteur, les autorités nationales chargées des industries cinématographique et audiovisuelle (q</w:t>
      </w:r>
      <w:r w:rsidR="00682A51" w:rsidRPr="00A1244F">
        <w:t>ui ont également servi de coordonnateurs</w:t>
      </w:r>
      <w:r w:rsidRPr="00A1244F">
        <w:t xml:space="preserve"> pour le Secrétariat), les </w:t>
      </w:r>
      <w:r w:rsidR="005839C0">
        <w:t>organisations</w:t>
      </w:r>
      <w:r w:rsidRPr="00A1244F">
        <w:t xml:space="preserve"> de gestion collective, les producteurs, </w:t>
      </w:r>
      <w:r w:rsidRPr="00A1244F">
        <w:lastRenderedPageBreak/>
        <w:t xml:space="preserve">les </w:t>
      </w:r>
      <w:r w:rsidR="0082474A" w:rsidRPr="00A1244F">
        <w:t>organismes de radiodiffusion</w:t>
      </w:r>
      <w:r w:rsidRPr="00A1244F">
        <w:t>, les magistrats et les avoca</w:t>
      </w:r>
      <w:r w:rsidR="002140BE" w:rsidRPr="00A1244F">
        <w:t>ts</w:t>
      </w:r>
      <w:r w:rsidR="002140BE">
        <w:t xml:space="preserve">.  </w:t>
      </w:r>
      <w:r w:rsidR="002140BE" w:rsidRPr="00A1244F">
        <w:t>En</w:t>
      </w:r>
      <w:r w:rsidRPr="00A1244F">
        <w:t xml:space="preserve"> outre, le pr</w:t>
      </w:r>
      <w:r w:rsidR="00BA0FB7" w:rsidRPr="00A1244F">
        <w:t>ojet ciblait</w:t>
      </w:r>
      <w:r w:rsidRPr="00A1244F">
        <w:t xml:space="preserve"> également les responsables de la réglementation des médias</w:t>
      </w:r>
      <w:r w:rsidRPr="00A1244F">
        <w:rPr>
          <w:rStyle w:val="FootnoteReference"/>
        </w:rPr>
        <w:footnoteReference w:id="8"/>
      </w:r>
      <w:r w:rsidR="005839C0" w:rsidRPr="00A1244F">
        <w:t>.</w:t>
      </w:r>
    </w:p>
    <w:p w:rsidR="00610DAF" w:rsidRPr="00A1244F" w:rsidRDefault="0012235F" w:rsidP="00367DB6">
      <w:pPr>
        <w:pStyle w:val="ONUMFS"/>
      </w:pPr>
      <w:r w:rsidRPr="00A1244F">
        <w:t>L</w:t>
      </w:r>
      <w:r w:rsidR="00B31189" w:rsidRPr="00A1244F">
        <w:t xml:space="preserve">es objectifs </w:t>
      </w:r>
      <w:r w:rsidRPr="00A1244F">
        <w:t>suivant</w:t>
      </w:r>
      <w:r w:rsidR="00297BDE" w:rsidRPr="00A1244F">
        <w:t>s</w:t>
      </w:r>
      <w:r w:rsidRPr="00A1244F">
        <w:t xml:space="preserve"> avaie</w:t>
      </w:r>
      <w:r w:rsidR="00B31189" w:rsidRPr="00A1244F">
        <w:t>nt été fixés</w:t>
      </w:r>
      <w:r w:rsidR="00B31189" w:rsidRPr="00A1244F">
        <w:rPr>
          <w:rStyle w:val="FootnoteReference"/>
        </w:rPr>
        <w:footnoteReference w:id="9"/>
      </w:r>
      <w:r w:rsidR="005839C0">
        <w:t> :</w:t>
      </w:r>
    </w:p>
    <w:p w:rsidR="00610DAF" w:rsidRPr="00A1244F" w:rsidRDefault="00CD07BC" w:rsidP="0067547F">
      <w:pPr>
        <w:pStyle w:val="ONUMFS"/>
        <w:numPr>
          <w:ilvl w:val="1"/>
          <w:numId w:val="5"/>
        </w:numPr>
      </w:pPr>
      <w:r w:rsidRPr="00A1244F">
        <w:t>favoriser</w:t>
      </w:r>
      <w:r w:rsidR="00B31189" w:rsidRPr="00A1244F">
        <w:t xml:space="preserve"> le développement du secteur de l</w:t>
      </w:r>
      <w:r w:rsidR="006408BB">
        <w:t>’</w:t>
      </w:r>
      <w:r w:rsidR="00B31189" w:rsidRPr="00A1244F">
        <w:t>audiovisuel dans les pays bénéficiaires en professionnalisant les créateurs et</w:t>
      </w:r>
      <w:r w:rsidRPr="00A1244F">
        <w:t xml:space="preserve"> les artistes</w:t>
      </w:r>
      <w:r w:rsidR="00B31189" w:rsidRPr="00A1244F">
        <w:t xml:space="preserve"> </w:t>
      </w:r>
      <w:r w:rsidR="00297BDE" w:rsidRPr="00A1244F">
        <w:t xml:space="preserve">et </w:t>
      </w:r>
      <w:r w:rsidR="00B31189" w:rsidRPr="00A1244F">
        <w:t xml:space="preserve">en approfondissant leur compréhension </w:t>
      </w:r>
      <w:r w:rsidRPr="00A1244F">
        <w:t>du fonctionnement</w:t>
      </w:r>
      <w:r w:rsidR="00B31189" w:rsidRPr="00A1244F">
        <w:t xml:space="preserve"> du système de la propriété intellectuelle</w:t>
      </w:r>
      <w:r w:rsidRPr="00A1244F">
        <w:t xml:space="preserve"> dans ce secteur, afin de</w:t>
      </w:r>
      <w:r w:rsidR="00B31189" w:rsidRPr="00A1244F">
        <w:t xml:space="preserve"> gérer </w:t>
      </w:r>
      <w:r w:rsidRPr="00A1244F">
        <w:t>de manière efficace l</w:t>
      </w:r>
      <w:r w:rsidR="00B31189" w:rsidRPr="00A1244F">
        <w:t xml:space="preserve">es actifs </w:t>
      </w:r>
      <w:r w:rsidRPr="00A1244F">
        <w:t>de</w:t>
      </w:r>
      <w:r w:rsidR="00B31189" w:rsidRPr="00A1244F">
        <w:t xml:space="preserve"> propriété intellectuelle </w:t>
      </w:r>
      <w:r w:rsidRPr="00A1244F">
        <w:t>dans le cadre de l</w:t>
      </w:r>
      <w:r w:rsidR="006408BB">
        <w:t>’</w:t>
      </w:r>
      <w:r w:rsidRPr="00A1244F">
        <w:t>élaboration de stratégies et</w:t>
      </w:r>
      <w:r w:rsidR="00B31189" w:rsidRPr="00A1244F">
        <w:t xml:space="preserve"> de plans </w:t>
      </w:r>
      <w:r w:rsidRPr="00A1244F">
        <w:t>d</w:t>
      </w:r>
      <w:r w:rsidR="006408BB">
        <w:t>’</w:t>
      </w:r>
      <w:r w:rsidRPr="00A1244F">
        <w:t>affaires</w:t>
      </w:r>
      <w:r w:rsidR="00B31189" w:rsidRPr="00A1244F">
        <w:t xml:space="preserve"> </w:t>
      </w:r>
      <w:r w:rsidRPr="00A1244F">
        <w:t xml:space="preserve">à chaque étape clé </w:t>
      </w:r>
      <w:r w:rsidR="00B31189" w:rsidRPr="00A1244F">
        <w:t xml:space="preserve">du processus de </w:t>
      </w:r>
      <w:r w:rsidRPr="00A1244F">
        <w:t xml:space="preserve">création </w:t>
      </w:r>
      <w:r w:rsidR="00B31189" w:rsidRPr="00A1244F">
        <w:t>cinématographique</w:t>
      </w:r>
      <w:r w:rsidRPr="00A1244F">
        <w:t>,</w:t>
      </w:r>
    </w:p>
    <w:p w:rsidR="00610DAF" w:rsidRPr="00A1244F" w:rsidRDefault="00CD07BC" w:rsidP="0067547F">
      <w:pPr>
        <w:pStyle w:val="ONUMFS"/>
        <w:numPr>
          <w:ilvl w:val="1"/>
          <w:numId w:val="5"/>
        </w:numPr>
      </w:pPr>
      <w:r w:rsidRPr="00A1244F">
        <w:t>appuye</w:t>
      </w:r>
      <w:r w:rsidR="00B31189" w:rsidRPr="00A1244F">
        <w:t>r le développement et la distribu</w:t>
      </w:r>
      <w:r w:rsidRPr="00A1244F">
        <w:t xml:space="preserve">tion de contenus locaux grâce au renforcement </w:t>
      </w:r>
      <w:r w:rsidR="00B31189" w:rsidRPr="00A1244F">
        <w:t xml:space="preserve">des compétences </w:t>
      </w:r>
      <w:r w:rsidRPr="00A1244F">
        <w:t>permettant</w:t>
      </w:r>
      <w:r w:rsidR="00A97D66" w:rsidRPr="00A1244F">
        <w:t xml:space="preserve"> aux petites et moyennes entreprises</w:t>
      </w:r>
      <w:r w:rsidR="00B31189" w:rsidRPr="00A1244F">
        <w:t xml:space="preserve"> d</w:t>
      </w:r>
      <w:r w:rsidRPr="00A1244F">
        <w:t>e s</w:t>
      </w:r>
      <w:r w:rsidR="006408BB">
        <w:t>’</w:t>
      </w:r>
      <w:r w:rsidR="00B31189" w:rsidRPr="00A1244F">
        <w:t>assurer des recettes sur les m</w:t>
      </w:r>
      <w:r w:rsidRPr="00A1244F">
        <w:t>archés locaux et internationaux,</w:t>
      </w:r>
    </w:p>
    <w:p w:rsidR="00610DAF" w:rsidRPr="00A1244F" w:rsidRDefault="00C63A62" w:rsidP="0067547F">
      <w:pPr>
        <w:pStyle w:val="ONUMFS"/>
        <w:numPr>
          <w:ilvl w:val="1"/>
          <w:numId w:val="5"/>
        </w:numPr>
      </w:pPr>
      <w:r w:rsidRPr="00A1244F">
        <w:t>accroître la rentabilité des transactions fondées sur le droit d</w:t>
      </w:r>
      <w:r w:rsidR="006408BB">
        <w:t>’</w:t>
      </w:r>
      <w:r w:rsidRPr="00A1244F">
        <w:t>auteur grâce à une amélioration de la gestion des actifs de propriété intellectuelle, des cadres juridiques et des capacités institutionnelles, notamment à travers le dé</w:t>
      </w:r>
      <w:r w:rsidR="00CD07BC" w:rsidRPr="00A1244F">
        <w:t>veloppement de l</w:t>
      </w:r>
      <w:r w:rsidR="006408BB">
        <w:t>’</w:t>
      </w:r>
      <w:r w:rsidR="00CD07BC" w:rsidRPr="00A1244F">
        <w:t xml:space="preserve">infrastructure, </w:t>
      </w:r>
      <w:r w:rsidRPr="00A1244F">
        <w:t>et</w:t>
      </w:r>
    </w:p>
    <w:p w:rsidR="00610DAF" w:rsidRPr="00A1244F" w:rsidRDefault="00C63A62" w:rsidP="0067547F">
      <w:pPr>
        <w:pStyle w:val="ONUMFS"/>
        <w:numPr>
          <w:ilvl w:val="1"/>
          <w:numId w:val="5"/>
        </w:numPr>
      </w:pPr>
      <w:r w:rsidRPr="00A1244F">
        <w:t>assurer la promotion du respect du droit d</w:t>
      </w:r>
      <w:r w:rsidR="006408BB">
        <w:t>’</w:t>
      </w:r>
      <w:r w:rsidRPr="00A1244F">
        <w:t>auteur.</w:t>
      </w:r>
    </w:p>
    <w:p w:rsidR="00610DAF" w:rsidRPr="00A1244F" w:rsidRDefault="00C63A62" w:rsidP="00367DB6">
      <w:pPr>
        <w:pStyle w:val="ONUMFS"/>
      </w:pPr>
      <w:r w:rsidRPr="00A1244F">
        <w:t>Les activités du projet comprenaient des séminaires et des ateliers dans tous les pays bénéficiai</w:t>
      </w:r>
      <w:r w:rsidR="00EC6BE5" w:rsidRPr="00A1244F">
        <w:t>res, une étude de faisabilité ainsi qu</w:t>
      </w:r>
      <w:r w:rsidR="006408BB">
        <w:t>’</w:t>
      </w:r>
      <w:r w:rsidRPr="00A1244F">
        <w:t>un cours d</w:t>
      </w:r>
      <w:r w:rsidR="006408BB">
        <w:t>’</w:t>
      </w:r>
      <w:r w:rsidRPr="00A1244F">
        <w:t>enseignement à distance pour le sect</w:t>
      </w:r>
      <w:r w:rsidR="00297BDE" w:rsidRPr="00A1244F">
        <w:t>eur de l</w:t>
      </w:r>
      <w:r w:rsidR="006408BB">
        <w:t>’</w:t>
      </w:r>
      <w:r w:rsidR="00297BDE" w:rsidRPr="00A1244F">
        <w:t>audiovisuel, qui sera fourni</w:t>
      </w:r>
      <w:r w:rsidRPr="00A1244F">
        <w:t xml:space="preserve"> par l</w:t>
      </w:r>
      <w:r w:rsidR="006408BB">
        <w:t>’</w:t>
      </w:r>
      <w:r w:rsidRPr="00A1244F">
        <w:t>intermédiaire de l</w:t>
      </w:r>
      <w:r w:rsidR="006408BB">
        <w:t>’</w:t>
      </w:r>
      <w:r w:rsidRPr="00A1244F">
        <w:t>Académie de l</w:t>
      </w:r>
      <w:r w:rsidR="006408BB">
        <w:t>’</w:t>
      </w:r>
      <w:r w:rsidRPr="00A1244F">
        <w:t>OMPI.</w:t>
      </w:r>
    </w:p>
    <w:p w:rsidR="00610DAF" w:rsidRPr="00A1244F" w:rsidRDefault="00EC6BE5" w:rsidP="00367DB6">
      <w:pPr>
        <w:pStyle w:val="ONUMFS"/>
      </w:pPr>
      <w:r w:rsidRPr="00A1244F">
        <w:t>La m</w:t>
      </w:r>
      <w:r w:rsidR="00C63A62" w:rsidRPr="00A1244F">
        <w:t xml:space="preserve">ise en œuvre </w:t>
      </w:r>
      <w:r w:rsidRPr="00A1244F">
        <w:t xml:space="preserve">a commencé </w:t>
      </w:r>
      <w:r w:rsidR="00C63A62" w:rsidRPr="00A1244F">
        <w:t xml:space="preserve">en </w:t>
      </w:r>
      <w:r w:rsidR="006408BB" w:rsidRPr="00A1244F">
        <w:t>juin</w:t>
      </w:r>
      <w:r w:rsidR="006408BB">
        <w:t> </w:t>
      </w:r>
      <w:r w:rsidR="006408BB" w:rsidRPr="00A1244F">
        <w:t>20</w:t>
      </w:r>
      <w:r w:rsidR="00C63A62" w:rsidRPr="00A1244F">
        <w:t>16</w:t>
      </w:r>
      <w:r w:rsidR="00C63A62" w:rsidRPr="00A1244F">
        <w:rPr>
          <w:rStyle w:val="FootnoteReference"/>
        </w:rPr>
        <w:footnoteReference w:id="10"/>
      </w:r>
      <w:r w:rsidR="005839C0">
        <w:t>.</w:t>
      </w:r>
      <w:r w:rsidR="003071A3" w:rsidRPr="00A1244F">
        <w:t xml:space="preserve"> </w:t>
      </w:r>
      <w:r w:rsidRPr="00A1244F">
        <w:t xml:space="preserve"> </w:t>
      </w:r>
      <w:r w:rsidR="00C63A62" w:rsidRPr="00A1244F">
        <w:t>À l</w:t>
      </w:r>
      <w:r w:rsidR="006408BB">
        <w:t>’</w:t>
      </w:r>
      <w:r w:rsidR="00C63A62" w:rsidRPr="00A1244F">
        <w:t>exception du cours d</w:t>
      </w:r>
      <w:r w:rsidR="006408BB">
        <w:t>’</w:t>
      </w:r>
      <w:r w:rsidR="00C63A62" w:rsidRPr="00A1244F">
        <w:t xml:space="preserve">enseignement à distance, qui </w:t>
      </w:r>
      <w:r w:rsidRPr="00A1244F">
        <w:t>est attendu d</w:t>
      </w:r>
      <w:r w:rsidR="006408BB">
        <w:t>’</w:t>
      </w:r>
      <w:r w:rsidRPr="00A1244F">
        <w:t xml:space="preserve">ici </w:t>
      </w:r>
      <w:r w:rsidR="006408BB" w:rsidRPr="00A1244F">
        <w:t>juin</w:t>
      </w:r>
      <w:r w:rsidR="006408BB">
        <w:t> </w:t>
      </w:r>
      <w:r w:rsidR="006408BB" w:rsidRPr="00A1244F">
        <w:t>20</w:t>
      </w:r>
      <w:r w:rsidR="00C63A62" w:rsidRPr="00A1244F">
        <w:t xml:space="preserve">19, les activités prévues ont été </w:t>
      </w:r>
      <w:r w:rsidRPr="00A1244F">
        <w:t>réalisées</w:t>
      </w:r>
      <w:r w:rsidR="00C63A62" w:rsidRPr="00A1244F">
        <w:t>.</w:t>
      </w:r>
    </w:p>
    <w:p w:rsidR="00610DAF" w:rsidRPr="00A1244F" w:rsidRDefault="00367DB6" w:rsidP="00367DB6">
      <w:pPr>
        <w:pStyle w:val="Heading2"/>
      </w:pPr>
      <w:bookmarkStart w:id="11" w:name="_Toc3880371"/>
      <w:r w:rsidRPr="00A1244F">
        <w:t>Champ d</w:t>
      </w:r>
      <w:r w:rsidR="006408BB">
        <w:t>’</w:t>
      </w:r>
      <w:r w:rsidRPr="00A1244F">
        <w:t>observation, objet, méthode et limites de la présente évaluation</w:t>
      </w:r>
      <w:bookmarkEnd w:id="11"/>
    </w:p>
    <w:p w:rsidR="00610DAF" w:rsidRDefault="00E87788" w:rsidP="00367DB6">
      <w:pPr>
        <w:pStyle w:val="Heading3"/>
      </w:pPr>
      <w:bookmarkStart w:id="12" w:name="_Toc3880372"/>
      <w:r w:rsidRPr="00A1244F">
        <w:t>Champ d</w:t>
      </w:r>
      <w:r w:rsidR="006408BB">
        <w:t>’</w:t>
      </w:r>
      <w:r w:rsidRPr="00A1244F">
        <w:t>observation</w:t>
      </w:r>
      <w:bookmarkEnd w:id="12"/>
    </w:p>
    <w:p w:rsidR="00367DB6" w:rsidRPr="00367DB6" w:rsidRDefault="00367DB6" w:rsidP="00367DB6"/>
    <w:p w:rsidR="00610DAF" w:rsidRPr="00A1244F" w:rsidRDefault="00C63A62" w:rsidP="00367DB6">
      <w:pPr>
        <w:pStyle w:val="ONUMFS"/>
      </w:pPr>
      <w:r w:rsidRPr="00A1244F">
        <w:t>L</w:t>
      </w:r>
      <w:r w:rsidR="006408BB">
        <w:t>’</w:t>
      </w:r>
      <w:r w:rsidRPr="00A1244F">
        <w:t xml:space="preserve">évaluation </w:t>
      </w:r>
      <w:r w:rsidR="00E87788" w:rsidRPr="00A1244F">
        <w:t>porte sur toute</w:t>
      </w:r>
      <w:r w:rsidRPr="00A1244F">
        <w:t xml:space="preserve"> la durée du projet, de </w:t>
      </w:r>
      <w:r w:rsidR="006408BB" w:rsidRPr="00A1244F">
        <w:t>juin</w:t>
      </w:r>
      <w:r w:rsidR="006408BB">
        <w:t> </w:t>
      </w:r>
      <w:r w:rsidR="006408BB" w:rsidRPr="00A1244F">
        <w:t>20</w:t>
      </w:r>
      <w:r w:rsidRPr="00A1244F">
        <w:t xml:space="preserve">16 à </w:t>
      </w:r>
      <w:r w:rsidR="006408BB" w:rsidRPr="00A1244F">
        <w:t>octobre</w:t>
      </w:r>
      <w:r w:rsidR="006408BB">
        <w:t> </w:t>
      </w:r>
      <w:r w:rsidR="006408BB" w:rsidRPr="00A1244F">
        <w:t>20</w:t>
      </w:r>
      <w:r w:rsidRPr="00A1244F">
        <w:t>18.</w:t>
      </w:r>
      <w:r w:rsidR="003071A3" w:rsidRPr="00A1244F">
        <w:t xml:space="preserve"> </w:t>
      </w:r>
      <w:r w:rsidR="00E87788" w:rsidRPr="00A1244F">
        <w:t xml:space="preserve"> </w:t>
      </w:r>
      <w:r w:rsidRPr="00A1244F">
        <w:t>Afin d</w:t>
      </w:r>
      <w:r w:rsidR="006408BB">
        <w:t>’</w:t>
      </w:r>
      <w:r w:rsidRPr="00A1244F">
        <w:t xml:space="preserve">assurer la cohérence </w:t>
      </w:r>
      <w:r w:rsidR="00E87788" w:rsidRPr="00A1244F">
        <w:t>d</w:t>
      </w:r>
      <w:r w:rsidRPr="00A1244F">
        <w:t>es données obtenues auprès de</w:t>
      </w:r>
      <w:r w:rsidR="00E87788" w:rsidRPr="00A1244F">
        <w:t>s</w:t>
      </w:r>
      <w:r w:rsidRPr="00A1244F">
        <w:t xml:space="preserve"> différentes sources, les résultats </w:t>
      </w:r>
      <w:r w:rsidR="00E87788" w:rsidRPr="00A1244F">
        <w:t xml:space="preserve">obtenus </w:t>
      </w:r>
      <w:r w:rsidRPr="00A1244F">
        <w:t>jusqu</w:t>
      </w:r>
      <w:r w:rsidR="006408BB">
        <w:t>’</w:t>
      </w:r>
      <w:r w:rsidRPr="00A1244F">
        <w:t>au 2</w:t>
      </w:r>
      <w:r w:rsidR="006408BB" w:rsidRPr="00A1244F">
        <w:t>8</w:t>
      </w:r>
      <w:r w:rsidR="006408BB">
        <w:t> </w:t>
      </w:r>
      <w:r w:rsidR="006408BB" w:rsidRPr="00A1244F">
        <w:t>février</w:t>
      </w:r>
      <w:r w:rsidR="006408BB">
        <w:t> </w:t>
      </w:r>
      <w:r w:rsidR="006408BB" w:rsidRPr="00A1244F">
        <w:t>20</w:t>
      </w:r>
      <w:r w:rsidRPr="00A1244F">
        <w:t xml:space="preserve">19, </w:t>
      </w:r>
      <w:r w:rsidR="00E87788" w:rsidRPr="00A1244F">
        <w:t>date limite de</w:t>
      </w:r>
      <w:r w:rsidRPr="00A1244F">
        <w:t xml:space="preserve"> soumission d</w:t>
      </w:r>
      <w:r w:rsidR="006408BB">
        <w:t>’</w:t>
      </w:r>
      <w:r w:rsidRPr="00A1244F">
        <w:t>un projet de rapport, ont été incl</w:t>
      </w:r>
      <w:r w:rsidR="002140BE" w:rsidRPr="00A1244F">
        <w:t>us</w:t>
      </w:r>
      <w:r w:rsidR="002140BE">
        <w:t xml:space="preserve">.  </w:t>
      </w:r>
      <w:r w:rsidR="002140BE" w:rsidRPr="00A1244F">
        <w:t>Le</w:t>
      </w:r>
      <w:r w:rsidRPr="00A1244F">
        <w:t xml:space="preserve">s événements </w:t>
      </w:r>
      <w:r w:rsidR="00E87788" w:rsidRPr="00A1244F">
        <w:t>survenus</w:t>
      </w:r>
      <w:r w:rsidRPr="00A1244F">
        <w:t xml:space="preserve"> à compter du</w:t>
      </w:r>
      <w:r w:rsidR="006408BB">
        <w:t xml:space="preserve"> 1</w:t>
      </w:r>
      <w:r w:rsidR="006408BB" w:rsidRPr="006408BB">
        <w:rPr>
          <w:vertAlign w:val="superscript"/>
        </w:rPr>
        <w:t>er</w:t>
      </w:r>
      <w:r w:rsidR="006408BB">
        <w:t> </w:t>
      </w:r>
      <w:r w:rsidR="00E87788" w:rsidRPr="00A1244F">
        <w:t>mars </w:t>
      </w:r>
      <w:r w:rsidRPr="00A1244F">
        <w:t>2019 n</w:t>
      </w:r>
      <w:r w:rsidR="006408BB">
        <w:t>’</w:t>
      </w:r>
      <w:r w:rsidRPr="00A1244F">
        <w:t>ont pas été pris en compte.</w:t>
      </w:r>
    </w:p>
    <w:p w:rsidR="00610DAF" w:rsidRDefault="00C63A62" w:rsidP="00367DB6">
      <w:pPr>
        <w:pStyle w:val="Heading3"/>
      </w:pPr>
      <w:bookmarkStart w:id="13" w:name="_Toc3880373"/>
      <w:r w:rsidRPr="00A1244F">
        <w:t>Objet principal</w:t>
      </w:r>
      <w:bookmarkEnd w:id="13"/>
    </w:p>
    <w:p w:rsidR="00367DB6" w:rsidRPr="00367DB6" w:rsidRDefault="00367DB6" w:rsidP="00367DB6"/>
    <w:p w:rsidR="00610DAF" w:rsidRPr="00A1244F" w:rsidRDefault="00E87788" w:rsidP="00367DB6">
      <w:pPr>
        <w:pStyle w:val="ONUMFS"/>
      </w:pPr>
      <w:r w:rsidRPr="00A1244F">
        <w:t>Tout en pondérant la nécessité</w:t>
      </w:r>
      <w:r w:rsidR="00C63A62" w:rsidRPr="00A1244F">
        <w:t xml:space="preserve"> d</w:t>
      </w:r>
      <w:r w:rsidR="006408BB">
        <w:t>’</w:t>
      </w:r>
      <w:r w:rsidRPr="00A1244F">
        <w:t xml:space="preserve">un </w:t>
      </w:r>
      <w:r w:rsidR="00C63A62" w:rsidRPr="00A1244F">
        <w:t xml:space="preserve">apprentissage </w:t>
      </w:r>
      <w:r w:rsidRPr="00A1244F">
        <w:t>organisationnel par l</w:t>
      </w:r>
      <w:r w:rsidR="006408BB">
        <w:t>’</w:t>
      </w:r>
      <w:r w:rsidRPr="00A1244F">
        <w:t>objectif consistant à assurer la responsabilité</w:t>
      </w:r>
      <w:r w:rsidR="00C63A62" w:rsidRPr="00A1244F">
        <w:t xml:space="preserve"> du Secrétariat </w:t>
      </w:r>
      <w:r w:rsidR="006408BB">
        <w:t>à l’égard</w:t>
      </w:r>
      <w:r w:rsidRPr="00A1244F">
        <w:t xml:space="preserve"> des États membres, </w:t>
      </w:r>
      <w:r w:rsidR="00C63A62" w:rsidRPr="00A1244F">
        <w:t>l</w:t>
      </w:r>
      <w:r w:rsidR="006408BB">
        <w:t>’</w:t>
      </w:r>
      <w:r w:rsidR="00C63A62" w:rsidRPr="00A1244F">
        <w:t xml:space="preserve">évaluation </w:t>
      </w:r>
      <w:r w:rsidRPr="00A1244F">
        <w:t xml:space="preserve">poursuivait un </w:t>
      </w:r>
      <w:r w:rsidR="00C63A62" w:rsidRPr="00A1244F">
        <w:t xml:space="preserve">double </w:t>
      </w:r>
      <w:r w:rsidRPr="00A1244F">
        <w:t>objectif</w:t>
      </w:r>
      <w:r w:rsidR="006408BB">
        <w:t> :</w:t>
      </w:r>
    </w:p>
    <w:p w:rsidR="00610DAF" w:rsidRPr="00A1244F" w:rsidRDefault="00E87788" w:rsidP="0067547F">
      <w:pPr>
        <w:pStyle w:val="ONUMFS"/>
        <w:numPr>
          <w:ilvl w:val="1"/>
          <w:numId w:val="5"/>
        </w:numPr>
      </w:pPr>
      <w:r w:rsidRPr="00A1244F">
        <w:lastRenderedPageBreak/>
        <w:t>t</w:t>
      </w:r>
      <w:r w:rsidR="00C63A62" w:rsidRPr="00A1244F">
        <w:t>irer les enseignements de l</w:t>
      </w:r>
      <w:r w:rsidR="006408BB">
        <w:t>’</w:t>
      </w:r>
      <w:r w:rsidR="00C63A62" w:rsidRPr="00A1244F">
        <w:t>expérience acquise au cours de la mise en œuvre du projet sur ce qui a bien fonctionné et ce qui n</w:t>
      </w:r>
      <w:r w:rsidR="006408BB">
        <w:t>’</w:t>
      </w:r>
      <w:r w:rsidR="00C63A62" w:rsidRPr="00A1244F">
        <w:t>a pas bien fonctionné, en vue de la poursuite des activités dans le domaine de la propriété intellectuel</w:t>
      </w:r>
      <w:r w:rsidR="002140BE" w:rsidRPr="00A1244F">
        <w:t>le</w:t>
      </w:r>
      <w:r w:rsidR="002140BE">
        <w:t xml:space="preserve">.  </w:t>
      </w:r>
      <w:r w:rsidR="002140BE" w:rsidRPr="00A1244F">
        <w:t>Ce</w:t>
      </w:r>
      <w:r w:rsidR="002B65DC" w:rsidRPr="00A1244F">
        <w:t>la comprenait</w:t>
      </w:r>
      <w:r w:rsidR="00C63A62" w:rsidRPr="00A1244F">
        <w:t xml:space="preserve"> </w:t>
      </w:r>
      <w:r w:rsidR="002B65DC" w:rsidRPr="00A1244F">
        <w:t>l</w:t>
      </w:r>
      <w:r w:rsidR="006408BB">
        <w:t>’</w:t>
      </w:r>
      <w:r w:rsidR="002B65DC" w:rsidRPr="00A1244F">
        <w:t>évaluation du</w:t>
      </w:r>
      <w:r w:rsidR="00C63A62" w:rsidRPr="00A1244F">
        <w:t xml:space="preserve"> cadre de conception du projet</w:t>
      </w:r>
      <w:r w:rsidR="002B65DC" w:rsidRPr="00A1244F">
        <w:t>, la gestion de projet</w:t>
      </w:r>
      <w:r w:rsidR="00C63A62" w:rsidRPr="00A1244F">
        <w:t xml:space="preserve">, </w:t>
      </w:r>
      <w:r w:rsidR="006408BB">
        <w:t>y compris</w:t>
      </w:r>
      <w:r w:rsidR="00C63A62" w:rsidRPr="00A1244F">
        <w:t xml:space="preserve"> les outils de suivi et d</w:t>
      </w:r>
      <w:r w:rsidR="006408BB">
        <w:t>’</w:t>
      </w:r>
      <w:r w:rsidR="00C63A62" w:rsidRPr="00A1244F">
        <w:t xml:space="preserve">établissement de rapports, ainsi que </w:t>
      </w:r>
      <w:r w:rsidR="002B65DC" w:rsidRPr="00A1244F">
        <w:t>la mesure</w:t>
      </w:r>
      <w:r w:rsidR="00C63A62" w:rsidRPr="00A1244F">
        <w:t xml:space="preserve"> et </w:t>
      </w:r>
      <w:r w:rsidR="002B65DC" w:rsidRPr="00A1244F">
        <w:t xml:space="preserve">la communication </w:t>
      </w:r>
      <w:r w:rsidR="00C63A62" w:rsidRPr="00A1244F">
        <w:t xml:space="preserve">des </w:t>
      </w:r>
      <w:r w:rsidR="002B65DC" w:rsidRPr="00A1244F">
        <w:t>résultats obtenus à ce jour et l</w:t>
      </w:r>
      <w:r w:rsidR="006408BB">
        <w:t>’</w:t>
      </w:r>
      <w:r w:rsidR="002B65DC" w:rsidRPr="00A1244F">
        <w:t>évaluation de la probabilité</w:t>
      </w:r>
      <w:r w:rsidR="00C63A62" w:rsidRPr="00A1244F">
        <w:t xml:space="preserve"> de </w:t>
      </w:r>
      <w:r w:rsidR="002B65DC" w:rsidRPr="00A1244F">
        <w:t>pérennité des résultats obtenus,</w:t>
      </w:r>
      <w:r w:rsidR="00C63A62" w:rsidRPr="00A1244F">
        <w:t xml:space="preserve"> et</w:t>
      </w:r>
    </w:p>
    <w:p w:rsidR="00610DAF" w:rsidRPr="00A1244F" w:rsidRDefault="002B65DC" w:rsidP="0067547F">
      <w:pPr>
        <w:pStyle w:val="ONUMFS"/>
        <w:numPr>
          <w:ilvl w:val="1"/>
          <w:numId w:val="5"/>
        </w:numPr>
      </w:pPr>
      <w:r w:rsidRPr="00A1244F">
        <w:t>f</w:t>
      </w:r>
      <w:r w:rsidR="00C63A62" w:rsidRPr="00A1244F">
        <w:t>ournir des données d</w:t>
      </w:r>
      <w:r w:rsidR="006408BB">
        <w:t>’</w:t>
      </w:r>
      <w:r w:rsidR="00C63A62" w:rsidRPr="00A1244F">
        <w:t xml:space="preserve">évaluation factuelles </w:t>
      </w:r>
      <w:r w:rsidRPr="00A1244F">
        <w:t>à l</w:t>
      </w:r>
      <w:r w:rsidR="006408BB">
        <w:t>’</w:t>
      </w:r>
      <w:r w:rsidRPr="00A1244F">
        <w:t>appui du processus décisionnel</w:t>
      </w:r>
      <w:r w:rsidR="006408BB" w:rsidRPr="00A1244F">
        <w:t xml:space="preserve"> du</w:t>
      </w:r>
      <w:r w:rsidR="006408BB">
        <w:t> </w:t>
      </w:r>
      <w:r w:rsidR="006408BB" w:rsidRPr="00A1244F">
        <w:t>CDI</w:t>
      </w:r>
      <w:r w:rsidR="00C63A62" w:rsidRPr="00A1244F">
        <w:t>P.</w:t>
      </w:r>
    </w:p>
    <w:p w:rsidR="00610DAF" w:rsidRPr="00A1244F" w:rsidRDefault="002B65DC" w:rsidP="00367DB6">
      <w:pPr>
        <w:pStyle w:val="ONUMFS"/>
      </w:pPr>
      <w:r w:rsidRPr="00A1244F">
        <w:t>Dans ce cadre, l</w:t>
      </w:r>
      <w:r w:rsidR="006408BB">
        <w:t>’</w:t>
      </w:r>
      <w:r w:rsidRPr="00A1244F">
        <w:t>évaluateur dev</w:t>
      </w:r>
      <w:r w:rsidR="00C63A62" w:rsidRPr="00A1244F">
        <w:t>ait évaluer dans quelle mesure le projet</w:t>
      </w:r>
      <w:r w:rsidR="006408BB">
        <w:t> :</w:t>
      </w:r>
      <w:r w:rsidR="00C63A62" w:rsidRPr="00A1244F">
        <w:t xml:space="preserve"> a)</w:t>
      </w:r>
      <w:r w:rsidR="005839C0">
        <w:t> </w:t>
      </w:r>
      <w:r w:rsidRPr="00A1244F">
        <w:t>a contribué à améliorer</w:t>
      </w:r>
      <w:r w:rsidR="00C63A62" w:rsidRPr="00A1244F">
        <w:t xml:space="preserve"> l</w:t>
      </w:r>
      <w:r w:rsidR="006408BB">
        <w:t>’</w:t>
      </w:r>
      <w:r w:rsidR="00C63A62" w:rsidRPr="00A1244F">
        <w:t xml:space="preserve">utilisation du système de la propriété intellectuelle aux fins du financement, de la production et de la distribution des </w:t>
      </w:r>
      <w:r w:rsidRPr="00A1244F">
        <w:t>œuvres audiovisuelles,</w:t>
      </w:r>
      <w:r w:rsidR="009A18AE">
        <w:t xml:space="preserve"> et </w:t>
      </w:r>
      <w:r w:rsidR="00C63A62" w:rsidRPr="00A1244F">
        <w:t>b)</w:t>
      </w:r>
      <w:r w:rsidR="009A18AE">
        <w:t> </w:t>
      </w:r>
      <w:r w:rsidRPr="00A1244F">
        <w:t>a fait avancer</w:t>
      </w:r>
      <w:r w:rsidR="00C63A62" w:rsidRPr="00A1244F">
        <w:t xml:space="preserve"> la mise en place d</w:t>
      </w:r>
      <w:r w:rsidR="006408BB">
        <w:t>’</w:t>
      </w:r>
      <w:r w:rsidR="00C63A62" w:rsidRPr="00A1244F">
        <w:t xml:space="preserve">une infrastructure efficace pour les transactions </w:t>
      </w:r>
      <w:r w:rsidRPr="00A1244F">
        <w:t>de</w:t>
      </w:r>
      <w:r w:rsidR="00C63A62" w:rsidRPr="00A1244F">
        <w:t xml:space="preserve"> propriété intellectuelle et la concession de licences et </w:t>
      </w:r>
      <w:r w:rsidR="00F20D44" w:rsidRPr="00A1244F">
        <w:t xml:space="preserve">renforcé </w:t>
      </w:r>
      <w:r w:rsidR="00C63A62" w:rsidRPr="00A1244F">
        <w:t xml:space="preserve">les compétences </w:t>
      </w:r>
      <w:r w:rsidR="00F20D44" w:rsidRPr="00A1244F">
        <w:t xml:space="preserve">en la matière </w:t>
      </w:r>
      <w:r w:rsidR="00C63A62" w:rsidRPr="00A1244F">
        <w:t xml:space="preserve">afin </w:t>
      </w:r>
      <w:r w:rsidR="00F20D44" w:rsidRPr="00A1244F">
        <w:t>d</w:t>
      </w:r>
      <w:r w:rsidR="006408BB">
        <w:t>’</w:t>
      </w:r>
      <w:r w:rsidR="00F20D44" w:rsidRPr="00A1244F">
        <w:t xml:space="preserve">accroître </w:t>
      </w:r>
      <w:r w:rsidR="00C63A62" w:rsidRPr="00A1244F">
        <w:t xml:space="preserve">les </w:t>
      </w:r>
      <w:r w:rsidR="00F20D44" w:rsidRPr="00A1244F">
        <w:t xml:space="preserve">gains </w:t>
      </w:r>
      <w:r w:rsidR="00C63A62" w:rsidRPr="00A1244F">
        <w:t>financiers des créateurs et de l</w:t>
      </w:r>
      <w:r w:rsidR="006408BB">
        <w:t>’</w:t>
      </w:r>
      <w:r w:rsidR="00C63A62" w:rsidRPr="00A1244F">
        <w:t>industrie</w:t>
      </w:r>
      <w:r w:rsidR="00F20D44" w:rsidRPr="00A1244F">
        <w:t xml:space="preserve"> de l</w:t>
      </w:r>
      <w:r w:rsidR="006408BB">
        <w:t>’</w:t>
      </w:r>
      <w:r w:rsidR="00F20D44" w:rsidRPr="00A1244F">
        <w:t>audiovisuel</w:t>
      </w:r>
      <w:r w:rsidR="00C63A62" w:rsidRPr="00A1244F">
        <w:t>.</w:t>
      </w:r>
    </w:p>
    <w:p w:rsidR="006408BB" w:rsidRDefault="00C63A62" w:rsidP="00367DB6">
      <w:pPr>
        <w:pStyle w:val="ONUMFS"/>
      </w:pPr>
      <w:r w:rsidRPr="00A1244F">
        <w:t>Le mandat comporte des questions d</w:t>
      </w:r>
      <w:r w:rsidR="006408BB">
        <w:t>’</w:t>
      </w:r>
      <w:r w:rsidRPr="00A1244F">
        <w:t>évaluation</w:t>
      </w:r>
      <w:r w:rsidR="00534131" w:rsidRPr="00A1244F">
        <w:t xml:space="preserve"> particulières,</w:t>
      </w:r>
      <w:r w:rsidRPr="00A1244F">
        <w:t xml:space="preserve"> qui ont été </w:t>
      </w:r>
      <w:r w:rsidR="00534131" w:rsidRPr="00A1244F">
        <w:t xml:space="preserve">étendues </w:t>
      </w:r>
      <w:r w:rsidRPr="00A1244F">
        <w:t>dans le cadre d</w:t>
      </w:r>
      <w:r w:rsidR="006408BB">
        <w:t>’</w:t>
      </w:r>
      <w:r w:rsidRPr="00A1244F">
        <w:t>un processus itérat</w:t>
      </w:r>
      <w:r w:rsidR="002140BE" w:rsidRPr="00A1244F">
        <w:t>if</w:t>
      </w:r>
      <w:r w:rsidR="002140BE">
        <w:t xml:space="preserve">.  </w:t>
      </w:r>
      <w:r w:rsidR="002140BE" w:rsidRPr="00A1244F">
        <w:t>Le</w:t>
      </w:r>
      <w:r w:rsidRPr="00A1244F">
        <w:t>s informations obtenues au cours des entretiens ont été validées au moyen d</w:t>
      </w:r>
      <w:r w:rsidR="006408BB">
        <w:t>’</w:t>
      </w:r>
      <w:r w:rsidRPr="00A1244F">
        <w:t>entretiens et de documents supplémentaires.</w:t>
      </w:r>
    </w:p>
    <w:p w:rsidR="00610DAF" w:rsidRPr="00A1244F" w:rsidRDefault="00C63A62" w:rsidP="00367DB6">
      <w:pPr>
        <w:pStyle w:val="ONUMFS"/>
      </w:pPr>
      <w:r w:rsidRPr="00A1244F">
        <w:t>Étant donné qu</w:t>
      </w:r>
      <w:r w:rsidR="006408BB">
        <w:t>’</w:t>
      </w:r>
      <w:r w:rsidRPr="00A1244F">
        <w:t>il n</w:t>
      </w:r>
      <w:r w:rsidR="006408BB">
        <w:t>’</w:t>
      </w:r>
      <w:r w:rsidRPr="00A1244F">
        <w:t xml:space="preserve">existe pas de feuille de route </w:t>
      </w:r>
      <w:r w:rsidR="00534131" w:rsidRPr="00A1244F">
        <w:t>concernant</w:t>
      </w:r>
      <w:r w:rsidRPr="00A1244F">
        <w:t xml:space="preserve"> </w:t>
      </w:r>
      <w:r w:rsidR="00534131" w:rsidRPr="00A1244F">
        <w:t>la voie à suivre pour pérenniser</w:t>
      </w:r>
      <w:r w:rsidRPr="00A1244F">
        <w:t xml:space="preserve"> l</w:t>
      </w:r>
      <w:r w:rsidR="006408BB">
        <w:t>’</w:t>
      </w:r>
      <w:r w:rsidRPr="00A1244F">
        <w:t>appui au secteur africain de l</w:t>
      </w:r>
      <w:r w:rsidR="006408BB">
        <w:t>’</w:t>
      </w:r>
      <w:r w:rsidRPr="00A1244F">
        <w:t>audiovisuel, l</w:t>
      </w:r>
      <w:r w:rsidR="006408BB">
        <w:t>’</w:t>
      </w:r>
      <w:r w:rsidRPr="00A1244F">
        <w:t>évaluation a</w:t>
      </w:r>
      <w:r w:rsidR="00534131" w:rsidRPr="00A1244F">
        <w:t xml:space="preserve"> étudié plus particulièrement ce qui était</w:t>
      </w:r>
      <w:r w:rsidRPr="00A1244F">
        <w:t xml:space="preserve"> </w:t>
      </w:r>
      <w:r w:rsidR="00A34BA1" w:rsidRPr="00A1244F">
        <w:t>nécessaire pour garantir la via</w:t>
      </w:r>
      <w:r w:rsidRPr="00A1244F">
        <w:t>bil</w:t>
      </w:r>
      <w:r w:rsidR="0008172E" w:rsidRPr="00A1244F">
        <w:t>ité des résultats préliminaires et</w:t>
      </w:r>
      <w:r w:rsidRPr="00A1244F">
        <w:t xml:space="preserve"> atteindre les objectifs </w:t>
      </w:r>
      <w:r w:rsidR="0008172E" w:rsidRPr="00A1244F">
        <w:t>à plus large échelle</w:t>
      </w:r>
      <w:r w:rsidRPr="00A1244F">
        <w:t>.</w:t>
      </w:r>
    </w:p>
    <w:p w:rsidR="00610DAF" w:rsidRDefault="00722908" w:rsidP="00367DB6">
      <w:pPr>
        <w:pStyle w:val="Heading3"/>
      </w:pPr>
      <w:bookmarkStart w:id="14" w:name="_Toc3880374"/>
      <w:r w:rsidRPr="00A1244F">
        <w:t>Méthod</w:t>
      </w:r>
      <w:r w:rsidR="00C63A62" w:rsidRPr="00A1244F">
        <w:t>e</w:t>
      </w:r>
      <w:bookmarkEnd w:id="14"/>
    </w:p>
    <w:p w:rsidR="00367DB6" w:rsidRPr="00367DB6" w:rsidRDefault="00367DB6" w:rsidP="00367DB6"/>
    <w:p w:rsidR="00610DAF" w:rsidRPr="00A1244F" w:rsidRDefault="00C63A62" w:rsidP="00367DB6">
      <w:pPr>
        <w:pStyle w:val="ONUMFS"/>
      </w:pPr>
      <w:r w:rsidRPr="00A1244F">
        <w:t>Le cadre méthodologique est défini par les critères d</w:t>
      </w:r>
      <w:r w:rsidR="006408BB">
        <w:t>’</w:t>
      </w:r>
      <w:r w:rsidRPr="00A1244F">
        <w:t>évaluation et les normes de qualité de l</w:t>
      </w:r>
      <w:r w:rsidR="006408BB">
        <w:t>’</w:t>
      </w:r>
      <w:r w:rsidRPr="00A1244F">
        <w:t>OCDE</w:t>
      </w:r>
      <w:r w:rsidR="0008172E" w:rsidRPr="00A1244F">
        <w:rPr>
          <w:rStyle w:val="FootnoteReference"/>
        </w:rPr>
        <w:footnoteReference w:id="11"/>
      </w:r>
      <w:r w:rsidRPr="00A1244F">
        <w:t>, auxquels renvoie la politique d</w:t>
      </w:r>
      <w:r w:rsidR="006408BB">
        <w:t>’</w:t>
      </w:r>
      <w:r w:rsidRPr="00A1244F">
        <w:t>évaluation de l</w:t>
      </w:r>
      <w:r w:rsidR="006408BB">
        <w:t>’</w:t>
      </w:r>
      <w:r w:rsidRPr="00A1244F">
        <w:t>OMPI</w:t>
      </w:r>
      <w:r w:rsidR="0008172E" w:rsidRPr="00A1244F">
        <w:rPr>
          <w:rStyle w:val="FootnoteReference"/>
        </w:rPr>
        <w:footnoteReference w:id="12"/>
      </w:r>
      <w:r w:rsidR="0008172E" w:rsidRPr="00A1244F">
        <w:t>,</w:t>
      </w:r>
      <w:r w:rsidRPr="00A1244F">
        <w:t xml:space="preserve"> et </w:t>
      </w:r>
      <w:r w:rsidR="0008172E" w:rsidRPr="00A1244F">
        <w:t>par le mand</w:t>
      </w:r>
      <w:r w:rsidR="002140BE" w:rsidRPr="00A1244F">
        <w:t>at</w:t>
      </w:r>
      <w:r w:rsidR="002140BE">
        <w:t xml:space="preserve">.  </w:t>
      </w:r>
      <w:r w:rsidR="002140BE" w:rsidRPr="00A1244F">
        <w:t>Le</w:t>
      </w:r>
      <w:r w:rsidRPr="00A1244F">
        <w:t xml:space="preserve"> </w:t>
      </w:r>
      <w:r w:rsidR="0008172E" w:rsidRPr="00A1244F">
        <w:t xml:space="preserve">mandat prévoyait </w:t>
      </w:r>
      <w:r w:rsidRPr="00A1244F">
        <w:t xml:space="preserve">essentiellement une évaluation de la qualité du projet, </w:t>
      </w:r>
      <w:r w:rsidR="006408BB">
        <w:t>y compris</w:t>
      </w:r>
      <w:r w:rsidRPr="00A1244F">
        <w:t xml:space="preserve"> </w:t>
      </w:r>
      <w:r w:rsidR="0008172E" w:rsidRPr="00A1244F">
        <w:t xml:space="preserve">celle de </w:t>
      </w:r>
      <w:r w:rsidRPr="00A1244F">
        <w:t xml:space="preserve">sa conception et </w:t>
      </w:r>
      <w:r w:rsidR="0008172E" w:rsidRPr="00A1244F">
        <w:t xml:space="preserve">de </w:t>
      </w:r>
      <w:r w:rsidRPr="00A1244F">
        <w:t>sa gestion.</w:t>
      </w:r>
    </w:p>
    <w:p w:rsidR="00610DAF" w:rsidRPr="00A1244F" w:rsidRDefault="00C63A62" w:rsidP="00367DB6">
      <w:pPr>
        <w:pStyle w:val="ONUMFS"/>
      </w:pPr>
      <w:r w:rsidRPr="00A1244F">
        <w:t>Conformément au mandat et aux pratiques d</w:t>
      </w:r>
      <w:r w:rsidR="006408BB">
        <w:t>’</w:t>
      </w:r>
      <w:r w:rsidRPr="00A1244F">
        <w:t>évaluation standard, l</w:t>
      </w:r>
      <w:r w:rsidR="006408BB">
        <w:t>’</w:t>
      </w:r>
      <w:r w:rsidRPr="00A1244F">
        <w:t>évaluation a été menée sur la base des cinq</w:t>
      </w:r>
      <w:r w:rsidR="005839C0">
        <w:t> </w:t>
      </w:r>
      <w:r w:rsidRPr="00A1244F">
        <w:t>critères suivants</w:t>
      </w:r>
      <w:r w:rsidRPr="00A1244F">
        <w:rPr>
          <w:rStyle w:val="FootnoteReference"/>
        </w:rPr>
        <w:footnoteReference w:id="13"/>
      </w:r>
      <w:r w:rsidR="006408BB">
        <w:t> :</w:t>
      </w:r>
    </w:p>
    <w:p w:rsidR="006408BB" w:rsidRDefault="00297BDE" w:rsidP="0067547F">
      <w:pPr>
        <w:pStyle w:val="ONUMFS"/>
        <w:numPr>
          <w:ilvl w:val="1"/>
          <w:numId w:val="5"/>
        </w:numPr>
      </w:pPr>
      <w:r w:rsidRPr="00A1244F">
        <w:t>L</w:t>
      </w:r>
      <w:r w:rsidR="00C63A62" w:rsidRPr="00A1244F">
        <w:t>a préparation et la gestion du projet</w:t>
      </w:r>
      <w:r w:rsidR="00C63A62" w:rsidRPr="00A1244F">
        <w:rPr>
          <w:rStyle w:val="FootnoteReference"/>
        </w:rPr>
        <w:footnoteReference w:id="14"/>
      </w:r>
      <w:r w:rsidR="006408BB">
        <w:t> :</w:t>
      </w:r>
      <w:r w:rsidR="00C63A62" w:rsidRPr="00A1244F">
        <w:t xml:space="preserve"> mesure dans laquelle le projet a été préparé et géré selon des pratiques recommandées, </w:t>
      </w:r>
      <w:r w:rsidR="006408BB">
        <w:t>y compris</w:t>
      </w:r>
      <w:r w:rsidR="00C63A62" w:rsidRPr="00A1244F">
        <w:t xml:space="preserve"> l</w:t>
      </w:r>
      <w:r w:rsidR="006408BB">
        <w:t>’</w:t>
      </w:r>
      <w:r w:rsidR="00C63A62" w:rsidRPr="00A1244F">
        <w:t>utilisation d</w:t>
      </w:r>
      <w:r w:rsidR="006408BB">
        <w:t>’</w:t>
      </w:r>
      <w:r w:rsidR="00C63A62" w:rsidRPr="00A1244F">
        <w:t>outils de</w:t>
      </w:r>
      <w:r w:rsidR="00FA0AB6" w:rsidRPr="00A1244F">
        <w:t xml:space="preserve"> gestion axée sur les résulta</w:t>
      </w:r>
      <w:r w:rsidR="002140BE" w:rsidRPr="00A1244F">
        <w:t>ts</w:t>
      </w:r>
      <w:r w:rsidR="002140BE">
        <w:t xml:space="preserve">.  </w:t>
      </w:r>
      <w:r w:rsidR="002140BE" w:rsidRPr="00A1244F">
        <w:t>La</w:t>
      </w:r>
      <w:r w:rsidR="00FA0AB6" w:rsidRPr="00A1244F">
        <w:t xml:space="preserve"> ges</w:t>
      </w:r>
      <w:r w:rsidR="00C63A62" w:rsidRPr="00A1244F">
        <w:t>tion comprend également le suivi et l</w:t>
      </w:r>
      <w:r w:rsidR="006408BB">
        <w:t>’</w:t>
      </w:r>
      <w:r w:rsidR="00C63A62" w:rsidRPr="00A1244F">
        <w:t>auto</w:t>
      </w:r>
      <w:r w:rsidR="006408BB">
        <w:t>-</w:t>
      </w:r>
      <w:r w:rsidR="00C63A62" w:rsidRPr="00A1244F">
        <w:t>évaluation, l</w:t>
      </w:r>
      <w:r w:rsidR="006408BB">
        <w:t>’</w:t>
      </w:r>
      <w:r w:rsidR="00C63A62" w:rsidRPr="00A1244F">
        <w:t xml:space="preserve">atténuation des risques et la capacité de la direction </w:t>
      </w:r>
      <w:r w:rsidR="00FA0AB6" w:rsidRPr="00A1244F">
        <w:t xml:space="preserve">à faire </w:t>
      </w:r>
      <w:r w:rsidR="00C63A62" w:rsidRPr="00A1244F">
        <w:t xml:space="preserve">face aux </w:t>
      </w:r>
      <w:r w:rsidR="00FA0AB6" w:rsidRPr="00A1244F">
        <w:t>nouvelles situations externes</w:t>
      </w:r>
      <w:r w:rsidR="00C63A62" w:rsidRPr="00A1244F">
        <w:t>.</w:t>
      </w:r>
    </w:p>
    <w:p w:rsidR="00610DAF" w:rsidRPr="00A1244F" w:rsidRDefault="00297BDE" w:rsidP="0067547F">
      <w:pPr>
        <w:pStyle w:val="ONUMFS"/>
        <w:numPr>
          <w:ilvl w:val="1"/>
          <w:numId w:val="5"/>
        </w:numPr>
      </w:pPr>
      <w:r w:rsidRPr="00A1244F">
        <w:t>L</w:t>
      </w:r>
      <w:r w:rsidR="0008172E" w:rsidRPr="00A1244F">
        <w:t>a p</w:t>
      </w:r>
      <w:r w:rsidR="00C63A62" w:rsidRPr="00A1244F">
        <w:t>ertinence</w:t>
      </w:r>
      <w:r w:rsidR="006408BB">
        <w:t> :</w:t>
      </w:r>
      <w:r w:rsidR="00C63A62" w:rsidRPr="00A1244F">
        <w:t xml:space="preserve"> mesure dans laquelle les objectifs du projet étaient conformes aux exigences des bénéficiaires, aux besoins des</w:t>
      </w:r>
      <w:r w:rsidR="00FA0AB6" w:rsidRPr="00A1244F">
        <w:t xml:space="preserve"> </w:t>
      </w:r>
      <w:r w:rsidR="006408BB">
        <w:t>État</w:t>
      </w:r>
      <w:r w:rsidR="00FA0AB6" w:rsidRPr="00A1244F">
        <w:t xml:space="preserve">s membres, aux </w:t>
      </w:r>
      <w:r w:rsidR="00C63A62" w:rsidRPr="00A1244F">
        <w:t xml:space="preserve">priorités mondiales et </w:t>
      </w:r>
      <w:r w:rsidR="00C63A62" w:rsidRPr="00A1244F">
        <w:lastRenderedPageBreak/>
        <w:t>aux politiques de l</w:t>
      </w:r>
      <w:r w:rsidR="006408BB">
        <w:t>’</w:t>
      </w:r>
      <w:r w:rsidR="00C63A62" w:rsidRPr="00A1244F">
        <w:t>OMPI (en particulier les recommandations du Plan d</w:t>
      </w:r>
      <w:r w:rsidR="006408BB">
        <w:t>’</w:t>
      </w:r>
      <w:r w:rsidR="00C63A62" w:rsidRPr="00A1244F">
        <w:t>action pour le développement).</w:t>
      </w:r>
    </w:p>
    <w:p w:rsidR="00610DAF" w:rsidRPr="00A1244F" w:rsidRDefault="00297BDE" w:rsidP="0067547F">
      <w:pPr>
        <w:pStyle w:val="ONUMFS"/>
        <w:numPr>
          <w:ilvl w:val="1"/>
          <w:numId w:val="5"/>
        </w:numPr>
      </w:pPr>
      <w:r w:rsidRPr="00A1244F">
        <w:t>L</w:t>
      </w:r>
      <w:r w:rsidR="006408BB">
        <w:t>’</w:t>
      </w:r>
      <w:r w:rsidR="0040450A" w:rsidRPr="00A1244F">
        <w:t>efficience</w:t>
      </w:r>
      <w:r w:rsidR="00A34BA1" w:rsidRPr="00A1244F">
        <w:rPr>
          <w:rStyle w:val="FootnoteReference"/>
        </w:rPr>
        <w:footnoteReference w:id="15"/>
      </w:r>
      <w:r w:rsidR="006408BB">
        <w:t> :</w:t>
      </w:r>
      <w:r w:rsidR="0040450A" w:rsidRPr="00A1244F">
        <w:t xml:space="preserve"> mesure dans laquelle </w:t>
      </w:r>
      <w:r w:rsidR="00C63A62" w:rsidRPr="00A1244F">
        <w:t>les ressources économiques (par exemple</w:t>
      </w:r>
      <w:r w:rsidR="0040450A" w:rsidRPr="00A1244F">
        <w:t>,</w:t>
      </w:r>
      <w:r w:rsidR="00C63A62" w:rsidRPr="00A1244F">
        <w:t xml:space="preserve"> les fonds, les compétences, le temps) ont </w:t>
      </w:r>
      <w:r w:rsidR="0040450A" w:rsidRPr="00A1244F">
        <w:t>débouché sur des</w:t>
      </w:r>
      <w:r w:rsidR="00C63A62" w:rsidRPr="00A1244F">
        <w:t xml:space="preserve"> résulta</w:t>
      </w:r>
      <w:r w:rsidR="00A34BA1" w:rsidRPr="00A1244F">
        <w:t>ts</w:t>
      </w:r>
      <w:r w:rsidR="00A34BA1" w:rsidRPr="00A1244F">
        <w:rPr>
          <w:rStyle w:val="FootnoteReference"/>
        </w:rPr>
        <w:footnoteReference w:id="16"/>
      </w:r>
      <w:r w:rsidR="00A34BA1" w:rsidRPr="00A1244F">
        <w:t xml:space="preserve">, soit la </w:t>
      </w:r>
      <w:r w:rsidR="006408BB">
        <w:t>“</w:t>
      </w:r>
      <w:r w:rsidR="006408BB" w:rsidRPr="00A1244F">
        <w:t>r</w:t>
      </w:r>
      <w:r w:rsidR="00A34BA1" w:rsidRPr="00A1244F">
        <w:t>entabilit</w:t>
      </w:r>
      <w:r w:rsidR="006408BB" w:rsidRPr="00A1244F">
        <w:t>é</w:t>
      </w:r>
      <w:r w:rsidR="006408BB">
        <w:t>”</w:t>
      </w:r>
      <w:r w:rsidR="00C63A62" w:rsidRPr="00A1244F">
        <w:t>.</w:t>
      </w:r>
    </w:p>
    <w:p w:rsidR="00610DAF" w:rsidRPr="00A1244F" w:rsidRDefault="00297BDE" w:rsidP="0067547F">
      <w:pPr>
        <w:pStyle w:val="ONUMFS"/>
        <w:numPr>
          <w:ilvl w:val="1"/>
          <w:numId w:val="5"/>
        </w:numPr>
      </w:pPr>
      <w:r w:rsidRPr="00A1244F">
        <w:t>L</w:t>
      </w:r>
      <w:r w:rsidR="006408BB">
        <w:t>’</w:t>
      </w:r>
      <w:r w:rsidR="00A34BA1" w:rsidRPr="00A1244F">
        <w:t>e</w:t>
      </w:r>
      <w:r w:rsidR="00C63A62" w:rsidRPr="00A1244F">
        <w:t>fficacité</w:t>
      </w:r>
      <w:r w:rsidR="006408BB">
        <w:t> :</w:t>
      </w:r>
      <w:r w:rsidR="00C63A62" w:rsidRPr="00A1244F">
        <w:t xml:space="preserve"> mesure dans laquelle les objectifs ont été atteints (</w:t>
      </w:r>
      <w:r w:rsidR="006408BB">
        <w:t>y compris</w:t>
      </w:r>
      <w:r w:rsidR="00C63A62" w:rsidRPr="00A1244F">
        <w:t xml:space="preserve"> la mesure dans laquelle les recommandations du Plan d</w:t>
      </w:r>
      <w:r w:rsidR="006408BB">
        <w:t>’</w:t>
      </w:r>
      <w:r w:rsidR="00C63A62" w:rsidRPr="00A1244F">
        <w:t>ac</w:t>
      </w:r>
      <w:r w:rsidRPr="00A1244F">
        <w:t>tion pour le développement vis</w:t>
      </w:r>
      <w:r w:rsidR="00C63A62" w:rsidRPr="00A1244F">
        <w:t xml:space="preserve">ées dans le cadre du projet ont été mises en </w:t>
      </w:r>
      <w:r w:rsidR="00A34BA1" w:rsidRPr="00A1244F">
        <w:t>œuvre</w:t>
      </w:r>
      <w:r w:rsidR="00C63A62" w:rsidRPr="00A1244F">
        <w:t>)</w:t>
      </w:r>
      <w:r w:rsidR="00A34BA1" w:rsidRPr="00A1244F">
        <w:t>,</w:t>
      </w:r>
      <w:r w:rsidR="00C63A62" w:rsidRPr="00A1244F">
        <w:t xml:space="preserve"> ou devraient </w:t>
      </w:r>
      <w:r w:rsidR="00A34BA1" w:rsidRPr="00A1244F">
        <w:t>l</w:t>
      </w:r>
      <w:r w:rsidR="006408BB">
        <w:t>’</w:t>
      </w:r>
      <w:r w:rsidR="00C63A62" w:rsidRPr="00A1244F">
        <w:t>être</w:t>
      </w:r>
      <w:r w:rsidR="00A34BA1" w:rsidRPr="00A1244F">
        <w:t>,</w:t>
      </w:r>
      <w:r w:rsidR="00C63A62" w:rsidRPr="00A1244F">
        <w:t xml:space="preserve"> compte tenu de leur importance relati</w:t>
      </w:r>
      <w:r w:rsidR="002140BE" w:rsidRPr="00A1244F">
        <w:t>ve</w:t>
      </w:r>
      <w:r w:rsidR="002140BE">
        <w:t xml:space="preserve">.  </w:t>
      </w:r>
      <w:r w:rsidR="002140BE" w:rsidRPr="00A1244F">
        <w:t>L</w:t>
      </w:r>
      <w:r w:rsidR="002140BE">
        <w:t>’</w:t>
      </w:r>
      <w:r w:rsidR="002140BE" w:rsidRPr="00A1244F">
        <w:t>é</w:t>
      </w:r>
      <w:r w:rsidR="00A01D97" w:rsidRPr="00A1244F">
        <w:t xml:space="preserve">valuation a également porté sur </w:t>
      </w:r>
      <w:r w:rsidR="00C63A62" w:rsidRPr="00A1244F">
        <w:t>la réalisa</w:t>
      </w:r>
      <w:r w:rsidR="00A01D97" w:rsidRPr="00A1244F">
        <w:t>tion des résultats escomptés ou des</w:t>
      </w:r>
      <w:r w:rsidR="00C63A62" w:rsidRPr="00A1244F">
        <w:t xml:space="preserve"> </w:t>
      </w:r>
      <w:r w:rsidR="00A01D97" w:rsidRPr="00A1244F">
        <w:t xml:space="preserve">possibles </w:t>
      </w:r>
      <w:r w:rsidR="00C63A62" w:rsidRPr="00A1244F">
        <w:t xml:space="preserve">résultats </w:t>
      </w:r>
      <w:r w:rsidR="00A01D97" w:rsidRPr="00A1244F">
        <w:t xml:space="preserve">non escomptés, </w:t>
      </w:r>
      <w:r w:rsidR="00C63A62" w:rsidRPr="00A1244F">
        <w:t>positifs ou négatifs (dans la mesure où cela était déjà possib</w:t>
      </w:r>
      <w:r w:rsidR="002140BE" w:rsidRPr="00A1244F">
        <w:t>le)</w:t>
      </w:r>
      <w:r w:rsidR="002140BE">
        <w:t xml:space="preserve">.  </w:t>
      </w:r>
      <w:r w:rsidR="002140BE" w:rsidRPr="00A1244F">
        <w:t>Da</w:t>
      </w:r>
      <w:r w:rsidR="00A01D97" w:rsidRPr="00A1244F">
        <w:t>ns ce contexte</w:t>
      </w:r>
      <w:r w:rsidR="00C63A62" w:rsidRPr="00A1244F">
        <w:t xml:space="preserve">, les résultats </w:t>
      </w:r>
      <w:r w:rsidR="00722908" w:rsidRPr="00A1244F">
        <w:t>enregistr</w:t>
      </w:r>
      <w:r w:rsidR="00C63A62" w:rsidRPr="00A1244F">
        <w:t>és ont é</w:t>
      </w:r>
      <w:r w:rsidR="00722908" w:rsidRPr="00A1244F">
        <w:t>té validés et évalués en fonction d</w:t>
      </w:r>
      <w:r w:rsidR="00C63A62" w:rsidRPr="00A1244F">
        <w:t>es principaux indicateurs d</w:t>
      </w:r>
      <w:r w:rsidR="006408BB">
        <w:t>’</w:t>
      </w:r>
      <w:r w:rsidR="00C63A62" w:rsidRPr="00A1244F">
        <w:t>exécution définis dans le descriptif de projet.</w:t>
      </w:r>
    </w:p>
    <w:p w:rsidR="00610DAF" w:rsidRPr="00A1244F" w:rsidRDefault="005A5FEE" w:rsidP="0067547F">
      <w:pPr>
        <w:pStyle w:val="ONUMFS"/>
        <w:numPr>
          <w:ilvl w:val="1"/>
          <w:numId w:val="5"/>
        </w:numPr>
      </w:pPr>
      <w:r w:rsidRPr="00A1244F">
        <w:t>L</w:t>
      </w:r>
      <w:r w:rsidR="00A34BA1" w:rsidRPr="00A1244F">
        <w:t>a viabilité</w:t>
      </w:r>
      <w:r w:rsidR="006408BB">
        <w:t> :</w:t>
      </w:r>
      <w:r w:rsidR="00C63A62" w:rsidRPr="00A1244F">
        <w:t xml:space="preserve"> évaluer la probabilité de la p</w:t>
      </w:r>
      <w:r w:rsidR="003B3E1D" w:rsidRPr="00A1244F">
        <w:t>érennité</w:t>
      </w:r>
      <w:r w:rsidR="00C63A62" w:rsidRPr="00A1244F">
        <w:t xml:space="preserve"> des avantages du pr</w:t>
      </w:r>
      <w:r w:rsidR="00722908" w:rsidRPr="00A1244F">
        <w:t>ojet (acquis, résultats) au terme</w:t>
      </w:r>
      <w:r w:rsidRPr="00A1244F">
        <w:t xml:space="preserve"> de l</w:t>
      </w:r>
      <w:r w:rsidR="006408BB">
        <w:t>’</w:t>
      </w:r>
      <w:r w:rsidRPr="00A1244F">
        <w:t>assistance</w:t>
      </w:r>
      <w:r w:rsidR="00C63A62" w:rsidRPr="00A1244F">
        <w:t>.</w:t>
      </w:r>
    </w:p>
    <w:p w:rsidR="00610DAF" w:rsidRPr="00A1244F" w:rsidRDefault="00C63A62" w:rsidP="00367DB6">
      <w:pPr>
        <w:pStyle w:val="ONUMFS"/>
      </w:pPr>
      <w:r w:rsidRPr="00A1244F">
        <w:t>Différents outils d</w:t>
      </w:r>
      <w:r w:rsidR="006408BB">
        <w:t>’</w:t>
      </w:r>
      <w:r w:rsidRPr="00A1244F">
        <w:t>évaluation ont été combinés pour garantir une évaluati</w:t>
      </w:r>
      <w:r w:rsidR="00DD4DC5" w:rsidRPr="00A1244F">
        <w:t>on qualitative et quantitative f</w:t>
      </w:r>
      <w:r w:rsidRPr="00A1244F">
        <w:t>ondée sur des données factuell</w:t>
      </w:r>
      <w:r w:rsidR="002140BE" w:rsidRPr="00A1244F">
        <w:t>es</w:t>
      </w:r>
      <w:r w:rsidR="002140BE">
        <w:t xml:space="preserve">.  </w:t>
      </w:r>
      <w:r w:rsidR="002140BE" w:rsidRPr="00A1244F">
        <w:t>Le</w:t>
      </w:r>
      <w:r w:rsidRPr="00A1244F">
        <w:t>s données provenant de différentes sources ont été</w:t>
      </w:r>
      <w:r w:rsidR="0010410B" w:rsidRPr="00A1244F">
        <w:t xml:space="preserve"> calculées par triangulation</w:t>
      </w:r>
      <w:r w:rsidRPr="00A1244F">
        <w:t xml:space="preserve"> et la plausibilité des résulta</w:t>
      </w:r>
      <w:r w:rsidR="00DD4DC5" w:rsidRPr="00A1244F">
        <w:t xml:space="preserve">ts obtenus a été </w:t>
      </w:r>
      <w:r w:rsidR="0010410B" w:rsidRPr="00A1244F">
        <w:t>évalu</w:t>
      </w:r>
      <w:r w:rsidR="002140BE" w:rsidRPr="00A1244F">
        <w:t>ée</w:t>
      </w:r>
      <w:r w:rsidR="002140BE">
        <w:t xml:space="preserve">.  </w:t>
      </w:r>
      <w:r w:rsidR="002140BE" w:rsidRPr="00A1244F">
        <w:t>Le</w:t>
      </w:r>
      <w:r w:rsidRPr="00A1244F">
        <w:t xml:space="preserve">s </w:t>
      </w:r>
      <w:r w:rsidR="00DD4DC5" w:rsidRPr="00A1244F">
        <w:t>c</w:t>
      </w:r>
      <w:r w:rsidRPr="00A1244F">
        <w:t xml:space="preserve">onclusions et </w:t>
      </w:r>
      <w:r w:rsidR="00DD4DC5" w:rsidRPr="00A1244F">
        <w:t xml:space="preserve">les </w:t>
      </w:r>
      <w:r w:rsidRPr="00A1244F">
        <w:t>reco</w:t>
      </w:r>
      <w:r w:rsidR="00DD4DC5" w:rsidRPr="00A1244F">
        <w:t>mmandations ont été tirées des c</w:t>
      </w:r>
      <w:r w:rsidRPr="00A1244F">
        <w:t>onclusions de l</w:t>
      </w:r>
      <w:r w:rsidR="006408BB">
        <w:t>’</w:t>
      </w:r>
      <w:r w:rsidRPr="00A1244F">
        <w:t>évaluation (raisonnement déductif).</w:t>
      </w:r>
    </w:p>
    <w:p w:rsidR="006408BB" w:rsidRDefault="0010410B" w:rsidP="00367DB6">
      <w:pPr>
        <w:pStyle w:val="ONUMFS"/>
      </w:pPr>
      <w:r w:rsidRPr="00A1244F">
        <w:t xml:space="preserve">La méthode </w:t>
      </w:r>
      <w:r w:rsidR="00C63A62" w:rsidRPr="00A1244F">
        <w:t xml:space="preserve">comprenait </w:t>
      </w:r>
      <w:r w:rsidRPr="00A1244F">
        <w:t xml:space="preserve">notamment </w:t>
      </w:r>
      <w:r w:rsidR="00C63A62" w:rsidRPr="00A1244F">
        <w:t>des examens sur dossier, des entretiens</w:t>
      </w:r>
      <w:r w:rsidR="00A136D5" w:rsidRPr="00A1244F">
        <w:t xml:space="preserve"> individuels</w:t>
      </w:r>
      <w:r w:rsidR="00C63A62" w:rsidRPr="00A1244F">
        <w:t xml:space="preserve"> semi</w:t>
      </w:r>
      <w:r w:rsidR="006408BB">
        <w:t>-</w:t>
      </w:r>
      <w:r w:rsidR="00C63A62" w:rsidRPr="00A1244F">
        <w:t>structurés et des entretiens semi</w:t>
      </w:r>
      <w:r w:rsidR="006408BB">
        <w:t>-</w:t>
      </w:r>
      <w:r w:rsidR="00C63A62" w:rsidRPr="00A1244F">
        <w:t>structurés avec des groupes de conta</w:t>
      </w:r>
      <w:r w:rsidR="002140BE" w:rsidRPr="00A1244F">
        <w:t>ct</w:t>
      </w:r>
      <w:r w:rsidR="002140BE">
        <w:t xml:space="preserve">.  </w:t>
      </w:r>
      <w:r w:rsidR="002140BE" w:rsidRPr="00A1244F">
        <w:t>Au</w:t>
      </w:r>
      <w:r w:rsidR="00C63A62" w:rsidRPr="00A1244F">
        <w:t xml:space="preserve"> sein du Secrétariat, des discussions approfondies ont eu lieu avec la directio</w:t>
      </w:r>
      <w:r w:rsidR="00A136D5" w:rsidRPr="00A1244F">
        <w:t>n et le personnel des secteurs ayant</w:t>
      </w:r>
      <w:r w:rsidR="00C63A62" w:rsidRPr="00A1244F">
        <w:t xml:space="preserve"> participé ou contribué au projet.</w:t>
      </w:r>
    </w:p>
    <w:p w:rsidR="00610DAF" w:rsidRPr="00A1244F" w:rsidRDefault="00A136D5" w:rsidP="00367DB6">
      <w:pPr>
        <w:pStyle w:val="ONUMFS"/>
      </w:pPr>
      <w:r w:rsidRPr="00A1244F">
        <w:t>L</w:t>
      </w:r>
      <w:r w:rsidR="006408BB">
        <w:t>’</w:t>
      </w:r>
      <w:r w:rsidRPr="00A1244F">
        <w:t>analyse sur documents</w:t>
      </w:r>
      <w:r w:rsidR="00C63A62" w:rsidRPr="00A1244F">
        <w:t xml:space="preserve"> a porté sur le descriptif de projet, les rapports sur</w:t>
      </w:r>
      <w:r w:rsidRPr="00A1244F">
        <w:t xml:space="preserve"> l</w:t>
      </w:r>
      <w:r w:rsidR="006408BB">
        <w:t>’</w:t>
      </w:r>
      <w:r w:rsidRPr="00A1244F">
        <w:t>état d</w:t>
      </w:r>
      <w:r w:rsidR="006408BB">
        <w:t>’</w:t>
      </w:r>
      <w:r w:rsidRPr="00A1244F">
        <w:t>avancement</w:t>
      </w:r>
      <w:r w:rsidR="00C63A62" w:rsidRPr="00A1244F">
        <w:t>, les rapports de mission et l</w:t>
      </w:r>
      <w:r w:rsidR="006408BB">
        <w:t>’</w:t>
      </w:r>
      <w:r w:rsidR="00C63A62" w:rsidRPr="00A1244F">
        <w:t xml:space="preserve">étude de faisabilité </w:t>
      </w:r>
      <w:r w:rsidRPr="00A1244F">
        <w:t>réalisée</w:t>
      </w:r>
      <w:r w:rsidR="00C63A62" w:rsidRPr="00A1244F">
        <w:t xml:space="preserve"> par le proj</w:t>
      </w:r>
      <w:r w:rsidR="002140BE" w:rsidRPr="00A1244F">
        <w:t>et</w:t>
      </w:r>
      <w:r w:rsidR="002140BE">
        <w:t xml:space="preserve">.  </w:t>
      </w:r>
      <w:r w:rsidR="002140BE" w:rsidRPr="00A1244F">
        <w:t>De</w:t>
      </w:r>
      <w:r w:rsidR="00C63A62" w:rsidRPr="00A1244F">
        <w:t>s documents relatifs à la phase I ont été consultés</w:t>
      </w:r>
      <w:r w:rsidRPr="00A1244F">
        <w:t xml:space="preserve"> de manière sélective</w:t>
      </w:r>
      <w:r w:rsidR="00C63A62" w:rsidRPr="00A1244F">
        <w:t xml:space="preserve"> à des fins de référen</w:t>
      </w:r>
      <w:r w:rsidR="002140BE" w:rsidRPr="00A1244F">
        <w:t>ce</w:t>
      </w:r>
      <w:r w:rsidR="002140BE">
        <w:t xml:space="preserve">.  </w:t>
      </w:r>
      <w:r w:rsidR="002140BE" w:rsidRPr="00A1244F">
        <w:t>L</w:t>
      </w:r>
      <w:r w:rsidR="002140BE">
        <w:t>’</w:t>
      </w:r>
      <w:r w:rsidR="002140BE" w:rsidRPr="00A1244F">
        <w:t>é</w:t>
      </w:r>
      <w:r w:rsidR="00C63A62" w:rsidRPr="00A1244F">
        <w:t>valuation a également validé les enquêtes menées par les bénéficiaires dans le cadre du projet au moyen d</w:t>
      </w:r>
      <w:r w:rsidR="006408BB">
        <w:t>’</w:t>
      </w:r>
      <w:r w:rsidR="00C63A62" w:rsidRPr="00A1244F">
        <w:t>entretiens avec les parties prenantes.</w:t>
      </w:r>
    </w:p>
    <w:p w:rsidR="006408BB" w:rsidRDefault="00C63A62" w:rsidP="00367DB6">
      <w:pPr>
        <w:pStyle w:val="ONUMFS"/>
      </w:pPr>
      <w:r w:rsidRPr="00A1244F">
        <w:t xml:space="preserve">Afin </w:t>
      </w:r>
      <w:r w:rsidR="00600CA2" w:rsidRPr="00A1244F">
        <w:t>de tirer les enseignements du projet</w:t>
      </w:r>
      <w:r w:rsidRPr="00A1244F">
        <w:t xml:space="preserve"> et </w:t>
      </w:r>
      <w:r w:rsidR="00600CA2" w:rsidRPr="00A1244F">
        <w:t xml:space="preserve">de maintenir </w:t>
      </w:r>
      <w:r w:rsidRPr="00A1244F">
        <w:t>un processus d</w:t>
      </w:r>
      <w:r w:rsidR="006408BB">
        <w:t>’</w:t>
      </w:r>
      <w:r w:rsidRPr="00A1244F">
        <w:t>évaluation participatif, les entretiens ont été structurés de la manière la plus ouverte possible pour garantir un</w:t>
      </w:r>
      <w:r w:rsidR="00600CA2" w:rsidRPr="00A1244F">
        <w:t>e liberté</w:t>
      </w:r>
      <w:r w:rsidRPr="00A1244F">
        <w:t xml:space="preserve"> </w:t>
      </w:r>
      <w:r w:rsidR="00600CA2" w:rsidRPr="00A1244F">
        <w:t>d</w:t>
      </w:r>
      <w:r w:rsidR="006408BB">
        <w:t>’</w:t>
      </w:r>
      <w:r w:rsidRPr="00A1244F">
        <w:t>échange d</w:t>
      </w:r>
      <w:r w:rsidR="00600CA2" w:rsidRPr="00A1244F">
        <w:t>e points de v</w:t>
      </w:r>
      <w:r w:rsidR="002140BE" w:rsidRPr="00A1244F">
        <w:t>ue</w:t>
      </w:r>
      <w:r w:rsidR="002140BE">
        <w:t xml:space="preserve">.  </w:t>
      </w:r>
      <w:r w:rsidR="002140BE" w:rsidRPr="00A1244F">
        <w:t>L</w:t>
      </w:r>
      <w:r w:rsidR="002140BE">
        <w:t>’</w:t>
      </w:r>
      <w:r w:rsidR="002140BE" w:rsidRPr="00A1244F">
        <w:t>é</w:t>
      </w:r>
      <w:r w:rsidR="00600CA2" w:rsidRPr="00A1244F">
        <w:t>valuation pondérait la nécessité d</w:t>
      </w:r>
      <w:r w:rsidR="006408BB">
        <w:t>’</w:t>
      </w:r>
      <w:r w:rsidR="00600CA2" w:rsidRPr="00A1244F">
        <w:t>un apprentissage organisationnel par l</w:t>
      </w:r>
      <w:r w:rsidR="006408BB">
        <w:t>’</w:t>
      </w:r>
      <w:r w:rsidR="00600CA2" w:rsidRPr="00A1244F">
        <w:t xml:space="preserve">objectif consistant à assurer la responsabilité du Secrétariat </w:t>
      </w:r>
      <w:r w:rsidR="006408BB">
        <w:t>à l’égard</w:t>
      </w:r>
      <w:r w:rsidR="00600CA2" w:rsidRPr="00A1244F">
        <w:t xml:space="preserve"> des États membr</w:t>
      </w:r>
      <w:r w:rsidR="002140BE" w:rsidRPr="00A1244F">
        <w:t>es</w:t>
      </w:r>
      <w:r w:rsidR="002140BE">
        <w:t xml:space="preserve">.  </w:t>
      </w:r>
      <w:r w:rsidR="002140BE" w:rsidRPr="00A1244F">
        <w:t>To</w:t>
      </w:r>
      <w:r w:rsidRPr="00A1244F">
        <w:t xml:space="preserve">ut en </w:t>
      </w:r>
      <w:r w:rsidR="00600CA2" w:rsidRPr="00A1244F">
        <w:t>restant indépendant</w:t>
      </w:r>
      <w:r w:rsidRPr="00A1244F">
        <w:t>, l</w:t>
      </w:r>
      <w:r w:rsidR="006408BB">
        <w:t>’</w:t>
      </w:r>
      <w:r w:rsidRPr="00A1244F">
        <w:t>évaluateur a appl</w:t>
      </w:r>
      <w:r w:rsidR="00600CA2" w:rsidRPr="00A1244F">
        <w:t>iqué une approche participative,</w:t>
      </w:r>
      <w:r w:rsidRPr="00A1244F">
        <w:t xml:space="preserve"> en </w:t>
      </w:r>
      <w:r w:rsidR="00600CA2" w:rsidRPr="00A1244F">
        <w:t>étudiant</w:t>
      </w:r>
      <w:r w:rsidRPr="00A1244F">
        <w:t xml:space="preserve"> les points de vue de tous les groupes de parties prenant</w:t>
      </w:r>
      <w:r w:rsidR="002140BE" w:rsidRPr="00A1244F">
        <w:t>es</w:t>
      </w:r>
      <w:r w:rsidR="002140BE">
        <w:t xml:space="preserve">.  </w:t>
      </w:r>
      <w:r w:rsidR="002140BE" w:rsidRPr="00A1244F">
        <w:t>L</w:t>
      </w:r>
      <w:r w:rsidR="002140BE">
        <w:t>’</w:t>
      </w:r>
      <w:r w:rsidR="002140BE" w:rsidRPr="00A1244F">
        <w:t>é</w:t>
      </w:r>
      <w:r w:rsidRPr="00A1244F">
        <w:t xml:space="preserve">valuation a été conçue pour </w:t>
      </w:r>
      <w:r w:rsidR="00600CA2" w:rsidRPr="00A1244F">
        <w:t>être progressivement amélior</w:t>
      </w:r>
      <w:r w:rsidR="002140BE" w:rsidRPr="00A1244F">
        <w:t>ée</w:t>
      </w:r>
      <w:r w:rsidR="002140BE">
        <w:t xml:space="preserve">.  </w:t>
      </w:r>
      <w:r w:rsidR="002140BE" w:rsidRPr="00A1244F">
        <w:t>L</w:t>
      </w:r>
      <w:r w:rsidR="002140BE">
        <w:t>’</w:t>
      </w:r>
      <w:r w:rsidR="002140BE" w:rsidRPr="00A1244F">
        <w:t>i</w:t>
      </w:r>
      <w:r w:rsidRPr="00A1244F">
        <w:t xml:space="preserve">ntégration des principales parties prenantes </w:t>
      </w:r>
      <w:r w:rsidR="00600CA2" w:rsidRPr="00A1244F">
        <w:t>au</w:t>
      </w:r>
      <w:r w:rsidR="008A370C" w:rsidRPr="00A1244F">
        <w:t xml:space="preserve"> processus d</w:t>
      </w:r>
      <w:r w:rsidR="006408BB">
        <w:t>’</w:t>
      </w:r>
      <w:r w:rsidR="008A370C" w:rsidRPr="00A1244F">
        <w:t>évaluation ainsi que l</w:t>
      </w:r>
      <w:r w:rsidR="006408BB">
        <w:t>’</w:t>
      </w:r>
      <w:r w:rsidR="008A370C" w:rsidRPr="00A1244F">
        <w:t>harmonisation d</w:t>
      </w:r>
      <w:r w:rsidRPr="00A1244F">
        <w:t>es principales constatations, conclusions et recommandations</w:t>
      </w:r>
      <w:r w:rsidR="008A370C" w:rsidRPr="00A1244F">
        <w:t xml:space="preserve"> devraient permettre de tirer les enseignements du projet</w:t>
      </w:r>
      <w:r w:rsidRPr="00A1244F">
        <w:t>.</w:t>
      </w:r>
    </w:p>
    <w:p w:rsidR="00610DAF" w:rsidRPr="00A1244F" w:rsidRDefault="00C63A62" w:rsidP="00367DB6">
      <w:pPr>
        <w:pStyle w:val="ONUMFS"/>
      </w:pPr>
      <w:r w:rsidRPr="00A1244F">
        <w:t>La présentation du rapport d</w:t>
      </w:r>
      <w:r w:rsidR="006408BB">
        <w:t>’</w:t>
      </w:r>
      <w:r w:rsidRPr="00A1244F">
        <w:t>évaluation à la vingt</w:t>
      </w:r>
      <w:r w:rsidR="006408BB">
        <w:t>-</w:t>
      </w:r>
      <w:r w:rsidRPr="00A1244F">
        <w:t>trois</w:t>
      </w:r>
      <w:r w:rsidR="006408BB">
        <w:t>ième session</w:t>
      </w:r>
      <w:r w:rsidR="006408BB" w:rsidRPr="00A1244F">
        <w:t xml:space="preserve"> du</w:t>
      </w:r>
      <w:r w:rsidR="006408BB">
        <w:t> </w:t>
      </w:r>
      <w:r w:rsidR="006408BB" w:rsidRPr="00A1244F">
        <w:t>CDI</w:t>
      </w:r>
      <w:r w:rsidRPr="00A1244F">
        <w:t>P, le 2</w:t>
      </w:r>
      <w:r w:rsidR="006408BB" w:rsidRPr="00A1244F">
        <w:t>1</w:t>
      </w:r>
      <w:r w:rsidR="006408BB">
        <w:t> </w:t>
      </w:r>
      <w:r w:rsidR="006408BB" w:rsidRPr="00A1244F">
        <w:t>mai</w:t>
      </w:r>
      <w:r w:rsidR="006408BB">
        <w:t> </w:t>
      </w:r>
      <w:r w:rsidR="006408BB" w:rsidRPr="00A1244F">
        <w:t>20</w:t>
      </w:r>
      <w:r w:rsidRPr="00A1244F">
        <w:t>19, permettra d</w:t>
      </w:r>
      <w:r w:rsidR="008A370C" w:rsidRPr="00A1244F">
        <w:t>e communiquer</w:t>
      </w:r>
      <w:r w:rsidRPr="00A1244F">
        <w:t xml:space="preserve"> </w:t>
      </w:r>
      <w:r w:rsidR="008652BC" w:rsidRPr="00A1244F">
        <w:t>les</w:t>
      </w:r>
      <w:r w:rsidRPr="00A1244F">
        <w:t xml:space="preserve"> informations, de contribuer au processus de prise de décisions</w:t>
      </w:r>
      <w:r w:rsidR="006408BB" w:rsidRPr="00A1244F">
        <w:t xml:space="preserve"> du</w:t>
      </w:r>
      <w:r w:rsidR="006408BB">
        <w:t> </w:t>
      </w:r>
      <w:r w:rsidR="006408BB" w:rsidRPr="00A1244F">
        <w:t>CDI</w:t>
      </w:r>
      <w:r w:rsidRPr="00A1244F">
        <w:t xml:space="preserve">P et </w:t>
      </w:r>
      <w:r w:rsidR="008652BC" w:rsidRPr="00A1244F">
        <w:t>d</w:t>
      </w:r>
      <w:r w:rsidR="006408BB">
        <w:t>’</w:t>
      </w:r>
      <w:r w:rsidR="008652BC" w:rsidRPr="00A1244F">
        <w:t xml:space="preserve">assurer </w:t>
      </w:r>
      <w:r w:rsidRPr="00A1244F">
        <w:t xml:space="preserve">la responsabilisation du Secrétariat </w:t>
      </w:r>
      <w:r w:rsidR="008652BC" w:rsidRPr="00A1244F">
        <w:t>devant</w:t>
      </w:r>
      <w:r w:rsidRPr="00A1244F">
        <w:t xml:space="preserve"> ses États membres.</w:t>
      </w:r>
    </w:p>
    <w:p w:rsidR="00610DAF" w:rsidRDefault="00C63A62" w:rsidP="00367DB6">
      <w:pPr>
        <w:pStyle w:val="Heading3"/>
      </w:pPr>
      <w:bookmarkStart w:id="15" w:name="_Toc3880375"/>
      <w:r w:rsidRPr="00A1244F">
        <w:lastRenderedPageBreak/>
        <w:t>Principales étapes d</w:t>
      </w:r>
      <w:r w:rsidR="006408BB">
        <w:t>’</w:t>
      </w:r>
      <w:r w:rsidRPr="00A1244F">
        <w:t>évaluation</w:t>
      </w:r>
      <w:bookmarkEnd w:id="15"/>
    </w:p>
    <w:p w:rsidR="00367DB6" w:rsidRPr="00367DB6" w:rsidRDefault="00367DB6" w:rsidP="00367DB6"/>
    <w:p w:rsidR="00610DAF" w:rsidRPr="00A1244F" w:rsidRDefault="00C63A62" w:rsidP="00367DB6">
      <w:pPr>
        <w:pStyle w:val="ONUMFS"/>
      </w:pPr>
      <w:r w:rsidRPr="00A1244F">
        <w:t>Les principales étapes d</w:t>
      </w:r>
      <w:r w:rsidR="006408BB">
        <w:t>’</w:t>
      </w:r>
      <w:r w:rsidRPr="00A1244F">
        <w:t>évaluation comprenaient l</w:t>
      </w:r>
      <w:r w:rsidR="006408BB">
        <w:t>’</w:t>
      </w:r>
      <w:r w:rsidR="00F21B7F" w:rsidRPr="00A1244F">
        <w:t>étude</w:t>
      </w:r>
      <w:r w:rsidRPr="00A1244F">
        <w:t xml:space="preserve"> </w:t>
      </w:r>
      <w:r w:rsidR="00F21B7F" w:rsidRPr="00A1244F">
        <w:t>de</w:t>
      </w:r>
      <w:r w:rsidRPr="00A1244F">
        <w:t xml:space="preserve"> d</w:t>
      </w:r>
      <w:r w:rsidR="00F21B7F" w:rsidRPr="00A1244F">
        <w:t>ocuments</w:t>
      </w:r>
      <w:r w:rsidRPr="00A1244F">
        <w:t xml:space="preserve">, la mise en </w:t>
      </w:r>
      <w:r w:rsidR="00F21B7F" w:rsidRPr="00A1244F">
        <w:t>œuvre</w:t>
      </w:r>
      <w:r w:rsidRPr="00A1244F">
        <w:t xml:space="preserve"> du mandat dans le cadre d</w:t>
      </w:r>
      <w:r w:rsidR="006408BB">
        <w:t>’</w:t>
      </w:r>
      <w:r w:rsidRPr="00A1244F">
        <w:t>un rapport initial, les entretiens à Genève, une séance d</w:t>
      </w:r>
      <w:r w:rsidR="006408BB">
        <w:t>’</w:t>
      </w:r>
      <w:r w:rsidRPr="00A1244F">
        <w:t>information intermédiaire sur les résultats de l</w:t>
      </w:r>
      <w:r w:rsidR="006408BB">
        <w:t>’</w:t>
      </w:r>
      <w:r w:rsidRPr="00A1244F">
        <w:t>évaluation préliminaire,</w:t>
      </w:r>
      <w:r w:rsidR="00F21B7F" w:rsidRPr="00A1244F">
        <w:t xml:space="preserve"> la</w:t>
      </w:r>
      <w:r w:rsidRPr="00A1244F">
        <w:t xml:space="preserve"> soumission d</w:t>
      </w:r>
      <w:r w:rsidR="006408BB">
        <w:t>’</w:t>
      </w:r>
      <w:r w:rsidRPr="00A1244F">
        <w:t xml:space="preserve">un projet de rapport </w:t>
      </w:r>
      <w:r w:rsidR="00F21B7F" w:rsidRPr="00A1244F">
        <w:t>de</w:t>
      </w:r>
      <w:r w:rsidRPr="00A1244F">
        <w:t xml:space="preserve"> vérification</w:t>
      </w:r>
      <w:r w:rsidR="00F21B7F" w:rsidRPr="00A1244F">
        <w:t xml:space="preserve"> des faits</w:t>
      </w:r>
      <w:r w:rsidRPr="00A1244F">
        <w:t xml:space="preserve">, </w:t>
      </w:r>
      <w:r w:rsidR="00F21B7F" w:rsidRPr="00A1244F">
        <w:t>l</w:t>
      </w:r>
      <w:r w:rsidR="006408BB">
        <w:t>’</w:t>
      </w:r>
      <w:r w:rsidRPr="00A1244F">
        <w:t xml:space="preserve">intégration des observations reçues, </w:t>
      </w:r>
      <w:r w:rsidR="00F21B7F" w:rsidRPr="00A1244F">
        <w:t xml:space="preserve">la </w:t>
      </w:r>
      <w:r w:rsidR="00522D0F" w:rsidRPr="00A1244F">
        <w:t>communicatio</w:t>
      </w:r>
      <w:r w:rsidRPr="00A1244F">
        <w:t xml:space="preserve">n du rapport final et </w:t>
      </w:r>
      <w:r w:rsidR="00522D0F" w:rsidRPr="00A1244F">
        <w:t>s</w:t>
      </w:r>
      <w:r w:rsidR="00F21B7F" w:rsidRPr="00A1244F">
        <w:t xml:space="preserve">a </w:t>
      </w:r>
      <w:r w:rsidRPr="00A1244F">
        <w:t>présentation</w:t>
      </w:r>
      <w:r w:rsidR="006408BB" w:rsidRPr="00A1244F">
        <w:t xml:space="preserve"> au</w:t>
      </w:r>
      <w:r w:rsidR="006408BB">
        <w:t> </w:t>
      </w:r>
      <w:r w:rsidR="006408BB" w:rsidRPr="00A1244F">
        <w:t>CDI</w:t>
      </w:r>
      <w:r w:rsidRPr="00A1244F">
        <w:t>P.</w:t>
      </w:r>
    </w:p>
    <w:p w:rsidR="00610DAF" w:rsidRDefault="00C63A62" w:rsidP="00367DB6">
      <w:pPr>
        <w:pStyle w:val="Heading3"/>
      </w:pPr>
      <w:bookmarkStart w:id="16" w:name="_Toc3880376"/>
      <w:r w:rsidRPr="00A1244F">
        <w:t>Principales limites de la présente évaluation</w:t>
      </w:r>
      <w:bookmarkEnd w:id="16"/>
    </w:p>
    <w:p w:rsidR="00367DB6" w:rsidRPr="00367DB6" w:rsidRDefault="00367DB6" w:rsidP="00367DB6"/>
    <w:p w:rsidR="00610DAF" w:rsidRPr="00A1244F" w:rsidRDefault="00C63A62" w:rsidP="00367DB6">
      <w:pPr>
        <w:pStyle w:val="ONUMFS"/>
      </w:pPr>
      <w:r w:rsidRPr="00A1244F">
        <w:t>L</w:t>
      </w:r>
      <w:r w:rsidR="006408BB">
        <w:t>’</w:t>
      </w:r>
      <w:r w:rsidRPr="00A1244F">
        <w:t>expérience montre qu</w:t>
      </w:r>
      <w:r w:rsidR="006408BB">
        <w:t>’</w:t>
      </w:r>
      <w:r w:rsidRPr="00A1244F">
        <w:t xml:space="preserve">il faut du temps avant que les </w:t>
      </w:r>
      <w:r w:rsidR="00522D0F" w:rsidRPr="00A1244F">
        <w:t>objectifs</w:t>
      </w:r>
      <w:r w:rsidRPr="00A1244F">
        <w:t xml:space="preserve"> du projet, par leur </w:t>
      </w:r>
      <w:r w:rsidR="00522D0F" w:rsidRPr="00A1244F">
        <w:t>mise en œuvre dans</w:t>
      </w:r>
      <w:r w:rsidRPr="00A1244F">
        <w:t xml:space="preserve"> les </w:t>
      </w:r>
      <w:r w:rsidR="00522D0F" w:rsidRPr="00A1244F">
        <w:t xml:space="preserve">pays </w:t>
      </w:r>
      <w:r w:rsidRPr="00A1244F">
        <w:t xml:space="preserve">bénéficiaires, </w:t>
      </w:r>
      <w:r w:rsidR="00522D0F" w:rsidRPr="00A1244F">
        <w:t>produisent des</w:t>
      </w:r>
      <w:r w:rsidRPr="00A1244F">
        <w:t xml:space="preserve"> effets mesurabl</w:t>
      </w:r>
      <w:r w:rsidR="002140BE" w:rsidRPr="00A1244F">
        <w:t>es</w:t>
      </w:r>
      <w:r w:rsidR="002140BE">
        <w:t xml:space="preserve">.  </w:t>
      </w:r>
      <w:r w:rsidR="002140BE" w:rsidRPr="00A1244F">
        <w:t>Il</w:t>
      </w:r>
      <w:r w:rsidR="00522D0F" w:rsidRPr="00A1244F">
        <w:t xml:space="preserve"> serait donc prématuré d</w:t>
      </w:r>
      <w:r w:rsidR="006408BB">
        <w:t>’</w:t>
      </w:r>
      <w:r w:rsidR="00522D0F" w:rsidRPr="00A1244F">
        <w:t>essayer d</w:t>
      </w:r>
      <w:r w:rsidR="006408BB">
        <w:t>’</w:t>
      </w:r>
      <w:r w:rsidR="00522D0F" w:rsidRPr="00A1244F">
        <w:t xml:space="preserve">évaluer les résultats obtenus dans leur ensemble, ou leur impact, au niveau des </w:t>
      </w:r>
      <w:r w:rsidRPr="00A1244F">
        <w:t>changements socioéconomiques plus généraux dans les pays bénéficiaires ou au</w:t>
      </w:r>
      <w:r w:rsidR="006408BB">
        <w:t>-</w:t>
      </w:r>
      <w:r w:rsidRPr="00A1244F">
        <w:t>delà.</w:t>
      </w:r>
    </w:p>
    <w:p w:rsidR="00610DAF" w:rsidRPr="00A1244F" w:rsidRDefault="00C63A62" w:rsidP="00367DB6">
      <w:pPr>
        <w:pStyle w:val="ONUMFS"/>
      </w:pPr>
      <w:r w:rsidRPr="00A1244F">
        <w:t>La collecte de données a été limitée à l</w:t>
      </w:r>
      <w:r w:rsidR="006408BB">
        <w:t>’</w:t>
      </w:r>
      <w:r w:rsidRPr="00A1244F">
        <w:t>étude prélimi</w:t>
      </w:r>
      <w:r w:rsidR="00522D0F" w:rsidRPr="00A1244F">
        <w:t>naire (voir l</w:t>
      </w:r>
      <w:r w:rsidR="006408BB">
        <w:t>’</w:t>
      </w:r>
      <w:r w:rsidR="00522D0F" w:rsidRPr="00A1244F">
        <w:t>appendice</w:t>
      </w:r>
      <w:r w:rsidR="0088350E">
        <w:t> </w:t>
      </w:r>
      <w:r w:rsidR="00522D0F" w:rsidRPr="00A1244F">
        <w:t>IV) et aux</w:t>
      </w:r>
      <w:r w:rsidRPr="00A1244F">
        <w:t xml:space="preserve"> entretien</w:t>
      </w:r>
      <w:r w:rsidR="00522D0F" w:rsidRPr="00A1244F">
        <w:t xml:space="preserve">s avec une trentaine de </w:t>
      </w:r>
      <w:r w:rsidRPr="00A1244F">
        <w:t xml:space="preserve">parties prenantes </w:t>
      </w:r>
      <w:r w:rsidR="00522D0F" w:rsidRPr="00A1244F">
        <w:t xml:space="preserve">ayant </w:t>
      </w:r>
      <w:r w:rsidRPr="00A1244F">
        <w:t>partic</w:t>
      </w:r>
      <w:r w:rsidR="00522D0F" w:rsidRPr="00A1244F">
        <w:t>ipé directement aux activités du</w:t>
      </w:r>
      <w:r w:rsidRPr="00A1244F">
        <w:t xml:space="preserve"> projet (voir l</w:t>
      </w:r>
      <w:r w:rsidR="006408BB">
        <w:t>’</w:t>
      </w:r>
      <w:r w:rsidRPr="00A1244F">
        <w:t>appendice</w:t>
      </w:r>
      <w:r w:rsidR="0088350E">
        <w:t> </w:t>
      </w:r>
      <w:r w:rsidRPr="00A1244F">
        <w:t>III).</w:t>
      </w:r>
      <w:r w:rsidR="003071A3" w:rsidRPr="00A1244F">
        <w:t xml:space="preserve"> </w:t>
      </w:r>
      <w:r w:rsidR="00522D0F" w:rsidRPr="00A1244F">
        <w:t xml:space="preserve"> </w:t>
      </w:r>
      <w:r w:rsidRPr="00A1244F">
        <w:t xml:space="preserve">Aucune visite </w:t>
      </w:r>
      <w:r w:rsidR="00522D0F" w:rsidRPr="00A1244F">
        <w:t xml:space="preserve">de </w:t>
      </w:r>
      <w:r w:rsidRPr="00A1244F">
        <w:t>terrain dans les pays bénéficiaires n</w:t>
      </w:r>
      <w:r w:rsidR="006408BB">
        <w:t>’</w:t>
      </w:r>
      <w:r w:rsidRPr="00A1244F">
        <w:t>a été effectu</w:t>
      </w:r>
      <w:r w:rsidR="002140BE" w:rsidRPr="00A1244F">
        <w:t>ée</w:t>
      </w:r>
      <w:r w:rsidR="002140BE">
        <w:t xml:space="preserve">.  </w:t>
      </w:r>
      <w:r w:rsidR="002140BE" w:rsidRPr="00A1244F">
        <w:t>Le</w:t>
      </w:r>
      <w:r w:rsidRPr="00A1244F">
        <w:t xml:space="preserve"> cours d</w:t>
      </w:r>
      <w:r w:rsidR="006408BB">
        <w:t>’</w:t>
      </w:r>
      <w:r w:rsidRPr="00A1244F">
        <w:t>enseignement à distance de l</w:t>
      </w:r>
      <w:r w:rsidR="006408BB">
        <w:t>’</w:t>
      </w:r>
      <w:r w:rsidRPr="00A1244F">
        <w:t>OMPI n</w:t>
      </w:r>
      <w:r w:rsidR="006408BB">
        <w:t>’</w:t>
      </w:r>
      <w:r w:rsidRPr="00A1244F">
        <w:t xml:space="preserve">était pas encore </w:t>
      </w:r>
      <w:r w:rsidR="00B90AA0" w:rsidRPr="00A1244F">
        <w:t>à disposition</w:t>
      </w:r>
      <w:r w:rsidRPr="00A1244F">
        <w:t xml:space="preserve"> pour examen, mais un entretien avec l</w:t>
      </w:r>
      <w:r w:rsidR="006408BB">
        <w:t>’</w:t>
      </w:r>
      <w:r w:rsidRPr="00A1244F">
        <w:t>Académie de l</w:t>
      </w:r>
      <w:r w:rsidR="006408BB">
        <w:t>’</w:t>
      </w:r>
      <w:r w:rsidRPr="00A1244F">
        <w:t xml:space="preserve">OMPI et le chef de projet a </w:t>
      </w:r>
      <w:r w:rsidR="00B90AA0" w:rsidRPr="00A1244F">
        <w:t>donné</w:t>
      </w:r>
      <w:r w:rsidRPr="00A1244F">
        <w:t xml:space="preserve"> </w:t>
      </w:r>
      <w:r w:rsidR="00B90AA0" w:rsidRPr="00A1244F">
        <w:t xml:space="preserve">une meilleure compréhension des objectifs </w:t>
      </w:r>
      <w:r w:rsidRPr="00A1244F">
        <w:t>et</w:t>
      </w:r>
      <w:r w:rsidR="00B90AA0" w:rsidRPr="00A1244F">
        <w:t xml:space="preserve"> du </w:t>
      </w:r>
      <w:r w:rsidRPr="00A1244F">
        <w:t>contenu</w:t>
      </w:r>
      <w:r w:rsidR="00B90AA0" w:rsidRPr="00A1244F">
        <w:t xml:space="preserve"> du cours</w:t>
      </w:r>
      <w:r w:rsidRPr="00A1244F">
        <w:t>.</w:t>
      </w:r>
    </w:p>
    <w:p w:rsidR="00610DAF" w:rsidRPr="00A1244F" w:rsidRDefault="00C63A62" w:rsidP="00367DB6">
      <w:pPr>
        <w:pStyle w:val="ONUMFS"/>
      </w:pPr>
      <w:r w:rsidRPr="00A1244F">
        <w:t>Le rapport d</w:t>
      </w:r>
      <w:r w:rsidR="006408BB">
        <w:t>’</w:t>
      </w:r>
      <w:r w:rsidRPr="00A1244F">
        <w:t>auto</w:t>
      </w:r>
      <w:r w:rsidR="006408BB">
        <w:t>-</w:t>
      </w:r>
      <w:r w:rsidRPr="00A1244F">
        <w:t>évaluation final (2</w:t>
      </w:r>
      <w:r w:rsidR="006408BB" w:rsidRPr="00A1244F">
        <w:t>5</w:t>
      </w:r>
      <w:r w:rsidR="006408BB">
        <w:t> </w:t>
      </w:r>
      <w:r w:rsidR="006408BB" w:rsidRPr="00A1244F">
        <w:t>février</w:t>
      </w:r>
      <w:r w:rsidR="006408BB">
        <w:t> </w:t>
      </w:r>
      <w:r w:rsidR="006408BB" w:rsidRPr="00A1244F">
        <w:t>20</w:t>
      </w:r>
      <w:r w:rsidRPr="00A1244F">
        <w:t>19) n</w:t>
      </w:r>
      <w:r w:rsidR="006408BB">
        <w:t>’</w:t>
      </w:r>
      <w:r w:rsidRPr="00A1244F">
        <w:t xml:space="preserve">a été </w:t>
      </w:r>
      <w:r w:rsidR="00B90AA0" w:rsidRPr="00A1244F">
        <w:t xml:space="preserve">mis à disposition </w:t>
      </w:r>
      <w:r w:rsidRPr="00A1244F">
        <w:t>qu</w:t>
      </w:r>
      <w:r w:rsidR="006408BB">
        <w:t>’</w:t>
      </w:r>
      <w:r w:rsidRPr="00A1244F">
        <w:t xml:space="preserve">une fois les entretiens </w:t>
      </w:r>
      <w:r w:rsidR="00B90AA0" w:rsidRPr="00A1244F">
        <w:t>terminés</w:t>
      </w:r>
      <w:r w:rsidRPr="00A1244F">
        <w:t>.</w:t>
      </w:r>
    </w:p>
    <w:p w:rsidR="00610DAF" w:rsidRPr="00A1244F" w:rsidRDefault="00B90AA0" w:rsidP="00367DB6">
      <w:pPr>
        <w:pStyle w:val="ONUMFS"/>
      </w:pPr>
      <w:r w:rsidRPr="00A1244F">
        <w:t>L</w:t>
      </w:r>
      <w:r w:rsidR="00C63A62" w:rsidRPr="00A1244F">
        <w:t xml:space="preserve">es </w:t>
      </w:r>
      <w:r w:rsidRPr="00A1244F">
        <w:t>constatations et</w:t>
      </w:r>
      <w:r w:rsidR="00C63A62" w:rsidRPr="00A1244F">
        <w:t xml:space="preserve"> l</w:t>
      </w:r>
      <w:r w:rsidR="006408BB">
        <w:t>’</w:t>
      </w:r>
      <w:r w:rsidR="00C63A62" w:rsidRPr="00A1244F">
        <w:t xml:space="preserve">évaluation </w:t>
      </w:r>
      <w:r w:rsidRPr="00A1244F">
        <w:t xml:space="preserve">figurant </w:t>
      </w:r>
      <w:r w:rsidR="00C63A62" w:rsidRPr="00A1244F">
        <w:t xml:space="preserve">au </w:t>
      </w:r>
      <w:r w:rsidR="006408BB" w:rsidRPr="00A1244F">
        <w:t>chapitre</w:t>
      </w:r>
      <w:r w:rsidR="006408BB">
        <w:t> </w:t>
      </w:r>
      <w:r w:rsidR="006408BB" w:rsidRPr="00A1244F">
        <w:t>2</w:t>
      </w:r>
      <w:r w:rsidR="00C63A62" w:rsidRPr="00A1244F">
        <w:t xml:space="preserve"> </w:t>
      </w:r>
      <w:r w:rsidRPr="00A1244F">
        <w:t>doive</w:t>
      </w:r>
      <w:r w:rsidR="00C63A62" w:rsidRPr="00A1244F">
        <w:t>nt être interprété</w:t>
      </w:r>
      <w:r w:rsidRPr="00A1244F">
        <w:t>e</w:t>
      </w:r>
      <w:r w:rsidR="00C63A62" w:rsidRPr="00A1244F">
        <w:t xml:space="preserve">s </w:t>
      </w:r>
      <w:r w:rsidRPr="00A1244F">
        <w:t xml:space="preserve">en tenant compte </w:t>
      </w:r>
      <w:r w:rsidR="00C63A62" w:rsidRPr="00A1244F">
        <w:t xml:space="preserve">du fait que ces contraintes </w:t>
      </w:r>
      <w:r w:rsidRPr="00A1244F">
        <w:t xml:space="preserve">ont </w:t>
      </w:r>
      <w:r w:rsidR="00C63A62" w:rsidRPr="00A1244F">
        <w:t>nécessairement l</w:t>
      </w:r>
      <w:r w:rsidRPr="00A1244F">
        <w:t>imité le champ d</w:t>
      </w:r>
      <w:r w:rsidR="006408BB">
        <w:t>’</w:t>
      </w:r>
      <w:r w:rsidRPr="00A1244F">
        <w:t>observation</w:t>
      </w:r>
      <w:r w:rsidR="00C63A62" w:rsidRPr="00A1244F">
        <w:t xml:space="preserve"> et la profondeur de l</w:t>
      </w:r>
      <w:r w:rsidR="006408BB">
        <w:t>’</w:t>
      </w:r>
      <w:r w:rsidR="00C63A62" w:rsidRPr="00A1244F">
        <w:t>évaluation.</w:t>
      </w:r>
    </w:p>
    <w:p w:rsidR="00610DAF" w:rsidRDefault="00367DB6" w:rsidP="00367DB6">
      <w:pPr>
        <w:pStyle w:val="Heading1"/>
      </w:pPr>
      <w:bookmarkStart w:id="17" w:name="_Toc3880377"/>
      <w:r w:rsidRPr="00A1244F">
        <w:t>Constatations et évaluation</w:t>
      </w:r>
      <w:bookmarkEnd w:id="17"/>
    </w:p>
    <w:p w:rsidR="00367DB6" w:rsidRPr="00367DB6" w:rsidRDefault="00367DB6" w:rsidP="00367DB6"/>
    <w:p w:rsidR="00610DAF" w:rsidRPr="00A1244F" w:rsidRDefault="00C63A62" w:rsidP="00367DB6">
      <w:pPr>
        <w:pStyle w:val="ONUMFS"/>
        <w:numPr>
          <w:ilvl w:val="0"/>
          <w:numId w:val="0"/>
        </w:numPr>
      </w:pPr>
      <w:r w:rsidRPr="00A1244F">
        <w:t>La présente section récapitule les observations de l</w:t>
      </w:r>
      <w:r w:rsidR="006408BB">
        <w:t>’</w:t>
      </w:r>
      <w:r w:rsidRPr="00A1244F">
        <w:t>évaluation et évalue la qualité du projet au regard des critères d</w:t>
      </w:r>
      <w:r w:rsidR="006408BB">
        <w:t>’</w:t>
      </w:r>
      <w:r w:rsidRPr="00A1244F">
        <w:t>évaluation.</w:t>
      </w:r>
    </w:p>
    <w:p w:rsidR="00610DAF" w:rsidRPr="00A1244F" w:rsidRDefault="00367DB6" w:rsidP="00367DB6">
      <w:pPr>
        <w:pStyle w:val="Heading2"/>
      </w:pPr>
      <w:bookmarkStart w:id="18" w:name="_Toc3880378"/>
      <w:r w:rsidRPr="00A1244F">
        <w:t>Préparation et gestion du projet</w:t>
      </w:r>
      <w:bookmarkEnd w:id="18"/>
    </w:p>
    <w:p w:rsidR="00610DAF" w:rsidRDefault="00C63A62" w:rsidP="0067547F">
      <w:pPr>
        <w:pStyle w:val="Heading3"/>
        <w:numPr>
          <w:ilvl w:val="2"/>
          <w:numId w:val="11"/>
        </w:numPr>
      </w:pPr>
      <w:bookmarkStart w:id="19" w:name="_Toc3880379"/>
      <w:r w:rsidRPr="00A1244F">
        <w:t>Préparation du projet</w:t>
      </w:r>
      <w:bookmarkEnd w:id="19"/>
    </w:p>
    <w:p w:rsidR="00367DB6" w:rsidRPr="00367DB6" w:rsidRDefault="00367DB6" w:rsidP="00367DB6"/>
    <w:p w:rsidR="00610DAF" w:rsidRPr="00A1244F" w:rsidRDefault="00C63A62" w:rsidP="00367DB6">
      <w:pPr>
        <w:pStyle w:val="ONUMFS"/>
      </w:pPr>
      <w:r w:rsidRPr="00A1244F">
        <w:t>Les préparatifs ont bénéficié de l</w:t>
      </w:r>
      <w:r w:rsidR="006408BB">
        <w:t>’</w:t>
      </w:r>
      <w:r w:rsidRPr="00A1244F">
        <w:t>expérience et des enseignements tirés au cours d</w:t>
      </w:r>
      <w:r w:rsidR="006408BB">
        <w:t>’</w:t>
      </w:r>
      <w:r w:rsidRPr="00A1244F">
        <w:t>une première phase</w:t>
      </w:r>
      <w:r w:rsidR="00BB4EB6" w:rsidRPr="00A1244F">
        <w:rPr>
          <w:rStyle w:val="FootnoteReference"/>
        </w:rPr>
        <w:footnoteReference w:id="17"/>
      </w:r>
      <w:r w:rsidRPr="00A1244F">
        <w:t xml:space="preserve">, </w:t>
      </w:r>
      <w:r w:rsidR="00BB4EB6" w:rsidRPr="00A1244F">
        <w:t>notamment</w:t>
      </w:r>
      <w:r w:rsidRPr="00A1244F">
        <w:t xml:space="preserve"> </w:t>
      </w:r>
      <w:r w:rsidR="00BB4EB6" w:rsidRPr="00A1244F">
        <w:t>de</w:t>
      </w:r>
      <w:r w:rsidRPr="00A1244F">
        <w:t xml:space="preserve"> certain</w:t>
      </w:r>
      <w:r w:rsidR="00BB4EB6" w:rsidRPr="00A1244F">
        <w:t xml:space="preserve">s </w:t>
      </w:r>
      <w:r w:rsidRPr="00A1244F">
        <w:t>éléments tirés d</w:t>
      </w:r>
      <w:r w:rsidR="006408BB">
        <w:t>’</w:t>
      </w:r>
      <w:r w:rsidRPr="00A1244F">
        <w:t>un rapport d</w:t>
      </w:r>
      <w:r w:rsidR="006408BB">
        <w:t>’</w:t>
      </w:r>
      <w:r w:rsidRPr="00A1244F">
        <w:t>évaluation indépendant</w:t>
      </w:r>
      <w:r w:rsidRPr="00A1244F">
        <w:rPr>
          <w:rStyle w:val="FootnoteReference"/>
        </w:rPr>
        <w:footnoteReference w:id="18"/>
      </w:r>
      <w:r w:rsidR="005839C0">
        <w:t>.</w:t>
      </w:r>
      <w:r w:rsidR="00BB4EB6" w:rsidRPr="00A1244F">
        <w:t xml:space="preserve">  </w:t>
      </w:r>
      <w:r w:rsidRPr="00A1244F">
        <w:t xml:space="preserve">Une étude </w:t>
      </w:r>
      <w:r w:rsidR="00BB4EB6" w:rsidRPr="00A1244F">
        <w:t>exploratoire approfondie</w:t>
      </w:r>
      <w:r w:rsidR="00BB4EB6" w:rsidRPr="00A1244F">
        <w:rPr>
          <w:rStyle w:val="FootnoteReference"/>
        </w:rPr>
        <w:footnoteReference w:id="19"/>
      </w:r>
      <w:r w:rsidRPr="00A1244F">
        <w:t xml:space="preserve"> </w:t>
      </w:r>
      <w:r w:rsidR="00BB4EB6" w:rsidRPr="00A1244F">
        <w:t>d</w:t>
      </w:r>
      <w:r w:rsidR="006408BB">
        <w:t>’</w:t>
      </w:r>
      <w:r w:rsidR="00BB4EB6" w:rsidRPr="00A1244F">
        <w:t xml:space="preserve">excellente qualité a </w:t>
      </w:r>
      <w:r w:rsidRPr="00A1244F">
        <w:t>permis de comprendre le secteur de l</w:t>
      </w:r>
      <w:r w:rsidR="006408BB">
        <w:t>’</w:t>
      </w:r>
      <w:r w:rsidRPr="00A1244F">
        <w:t xml:space="preserve">audiovisuel africain, </w:t>
      </w:r>
      <w:r w:rsidR="00BB4EB6" w:rsidRPr="00A1244F">
        <w:t>les défis posés par celui</w:t>
      </w:r>
      <w:r w:rsidR="006408BB">
        <w:t>-</w:t>
      </w:r>
      <w:r w:rsidR="00BB4EB6" w:rsidRPr="00A1244F">
        <w:t>ci ainsi que</w:t>
      </w:r>
      <w:r w:rsidRPr="00A1244F">
        <w:t xml:space="preserve"> </w:t>
      </w:r>
      <w:r w:rsidR="00BB4EB6" w:rsidRPr="00A1244F">
        <w:t>les moyens de les relever</w:t>
      </w:r>
      <w:r w:rsidRPr="00A1244F">
        <w:t>.</w:t>
      </w:r>
    </w:p>
    <w:p w:rsidR="00610DAF" w:rsidRPr="00A1244F" w:rsidRDefault="00C63A62" w:rsidP="00367DB6">
      <w:pPr>
        <w:pStyle w:val="ONUMFS"/>
      </w:pPr>
      <w:r w:rsidRPr="00A1244F">
        <w:lastRenderedPageBreak/>
        <w:t>Les objectifs généraux du projet et la log</w:t>
      </w:r>
      <w:r w:rsidR="004167A9" w:rsidRPr="00A1244F">
        <w:t>ique d</w:t>
      </w:r>
      <w:r w:rsidR="006408BB">
        <w:t>’</w:t>
      </w:r>
      <w:r w:rsidR="004167A9" w:rsidRPr="00A1244F">
        <w:t>intervention sont global</w:t>
      </w:r>
      <w:r w:rsidRPr="00A1244F">
        <w:t>ement clai</w:t>
      </w:r>
      <w:r w:rsidR="002140BE" w:rsidRPr="00A1244F">
        <w:t>rs</w:t>
      </w:r>
      <w:r w:rsidR="002140BE">
        <w:t xml:space="preserve">.  </w:t>
      </w:r>
      <w:r w:rsidR="002140BE" w:rsidRPr="00A1244F">
        <w:t>Le</w:t>
      </w:r>
      <w:r w:rsidRPr="00A1244F">
        <w:t xml:space="preserve"> descriptif de projet </w:t>
      </w:r>
      <w:r w:rsidR="004167A9" w:rsidRPr="00A1244F">
        <w:t>comprend une description détaillée des</w:t>
      </w:r>
      <w:r w:rsidRPr="00A1244F">
        <w:t xml:space="preserve"> activités prévues et un calendrier de mise en </w:t>
      </w:r>
      <w:r w:rsidR="004167A9" w:rsidRPr="00A1244F">
        <w:t>œuv</w:t>
      </w:r>
      <w:r w:rsidR="002140BE" w:rsidRPr="00A1244F">
        <w:t>re</w:t>
      </w:r>
      <w:r w:rsidR="002140BE">
        <w:t xml:space="preserve">.  </w:t>
      </w:r>
      <w:r w:rsidR="002140BE" w:rsidRPr="00A1244F">
        <w:t>Co</w:t>
      </w:r>
      <w:r w:rsidRPr="00A1244F">
        <w:t>mpte te</w:t>
      </w:r>
      <w:r w:rsidR="004167A9" w:rsidRPr="00A1244F">
        <w:t>nu du taux de décaissement (100</w:t>
      </w:r>
      <w:r w:rsidRPr="00A1244F">
        <w:t>%), le budget était exact.</w:t>
      </w:r>
    </w:p>
    <w:p w:rsidR="00610DAF" w:rsidRPr="00A1244F" w:rsidRDefault="00362A26" w:rsidP="00367DB6">
      <w:pPr>
        <w:pStyle w:val="ONUMFS"/>
      </w:pPr>
      <w:r w:rsidRPr="00A1244F">
        <w:t>Par contre</w:t>
      </w:r>
      <w:r w:rsidR="00C63A62" w:rsidRPr="00A1244F">
        <w:t>, l</w:t>
      </w:r>
      <w:r w:rsidR="006408BB">
        <w:t>’</w:t>
      </w:r>
      <w:r w:rsidR="009515A8" w:rsidRPr="00A1244F">
        <w:t>affectation</w:t>
      </w:r>
      <w:r w:rsidR="00C63A62" w:rsidRPr="00A1244F">
        <w:t xml:space="preserve"> du personnel nécessaire (</w:t>
      </w:r>
      <w:r w:rsidR="009515A8" w:rsidRPr="00A1244F">
        <w:t>répartition du</w:t>
      </w:r>
      <w:r w:rsidR="00C63A62" w:rsidRPr="00A1244F">
        <w:t xml:space="preserve"> temps) n</w:t>
      </w:r>
      <w:r w:rsidR="006408BB">
        <w:t>’</w:t>
      </w:r>
      <w:r w:rsidR="00C63A62" w:rsidRPr="00A1244F">
        <w:t xml:space="preserve">était pas à la mesure du travail nécessaire </w:t>
      </w:r>
      <w:r w:rsidRPr="00A1244F">
        <w:t>à la mise</w:t>
      </w:r>
      <w:r w:rsidR="00C63A62" w:rsidRPr="00A1244F">
        <w:t xml:space="preserve"> en </w:t>
      </w:r>
      <w:r w:rsidRPr="00A1244F">
        <w:t>œuvre</w:t>
      </w:r>
      <w:r w:rsidR="00C63A62" w:rsidRPr="00A1244F">
        <w:t xml:space="preserve"> </w:t>
      </w:r>
      <w:r w:rsidRPr="00A1244F">
        <w:t>d</w:t>
      </w:r>
      <w:r w:rsidR="00C63A62" w:rsidRPr="00A1244F">
        <w:t>es activités prévu</w:t>
      </w:r>
      <w:r w:rsidR="002140BE" w:rsidRPr="00A1244F">
        <w:t>es</w:t>
      </w:r>
      <w:r w:rsidR="002140BE">
        <w:t xml:space="preserve">.  </w:t>
      </w:r>
      <w:r w:rsidR="002140BE" w:rsidRPr="00A1244F">
        <w:t>Le</w:t>
      </w:r>
      <w:r w:rsidR="00C63A62" w:rsidRPr="00A1244F">
        <w:t xml:space="preserve">s contraintes </w:t>
      </w:r>
      <w:r w:rsidR="00C502B9" w:rsidRPr="00A1244F">
        <w:t xml:space="preserve">budgétaires </w:t>
      </w:r>
      <w:r w:rsidR="00C63A62" w:rsidRPr="00A1244F">
        <w:t>ont entraîné des retards (notamment</w:t>
      </w:r>
      <w:r w:rsidR="00C502B9" w:rsidRPr="00A1244F">
        <w:t>,</w:t>
      </w:r>
      <w:r w:rsidR="00C63A62" w:rsidRPr="00A1244F">
        <w:t xml:space="preserve"> la finalisation du cours d</w:t>
      </w:r>
      <w:r w:rsidR="006408BB">
        <w:t>’</w:t>
      </w:r>
      <w:r w:rsidR="00C63A62" w:rsidRPr="00A1244F">
        <w:t>enseignement à distance de l</w:t>
      </w:r>
      <w:r w:rsidR="006408BB">
        <w:t>’</w:t>
      </w:r>
      <w:r w:rsidR="00C63A62" w:rsidRPr="00A1244F">
        <w:t>OMPI).</w:t>
      </w:r>
    </w:p>
    <w:p w:rsidR="00610DAF" w:rsidRPr="00A1244F" w:rsidRDefault="00C63A62" w:rsidP="00367DB6">
      <w:pPr>
        <w:pStyle w:val="ONUMFS"/>
      </w:pPr>
      <w:r w:rsidRPr="00A1244F">
        <w:t xml:space="preserve">Comme </w:t>
      </w:r>
      <w:r w:rsidR="00C502B9" w:rsidRPr="00A1244F">
        <w:t xml:space="preserve">cela avait déjà été </w:t>
      </w:r>
      <w:r w:rsidR="005460E4" w:rsidRPr="00A1244F">
        <w:t>observ</w:t>
      </w:r>
      <w:r w:rsidR="00C502B9" w:rsidRPr="00A1244F">
        <w:t xml:space="preserve">é dans de précédentes </w:t>
      </w:r>
      <w:r w:rsidRPr="00A1244F">
        <w:t xml:space="preserve">évaluations </w:t>
      </w:r>
      <w:r w:rsidR="00C502B9" w:rsidRPr="00A1244F">
        <w:t>de</w:t>
      </w:r>
      <w:r w:rsidRPr="00A1244F">
        <w:t xml:space="preserve"> projets relevant du Plan d</w:t>
      </w:r>
      <w:r w:rsidR="006408BB">
        <w:t>’</w:t>
      </w:r>
      <w:r w:rsidRPr="00A1244F">
        <w:t>action pour le développement, les experts du Secrétariat sont nommés chefs de projet</w:t>
      </w:r>
      <w:r w:rsidR="00EC0D15" w:rsidRPr="00A1244F">
        <w:t>,</w:t>
      </w:r>
      <w:r w:rsidRPr="00A1244F">
        <w:t xml:space="preserve"> en plus de leurs responsabilités ordinaires, sans </w:t>
      </w:r>
      <w:r w:rsidR="00EC0D15" w:rsidRPr="00A1244F">
        <w:t>qu</w:t>
      </w:r>
      <w:r w:rsidR="006408BB">
        <w:t>’</w:t>
      </w:r>
      <w:r w:rsidRPr="00A1244F">
        <w:t>une évaluation approfondie de leur capacité à a</w:t>
      </w:r>
      <w:r w:rsidR="00EC0D15" w:rsidRPr="00A1244F">
        <w:t>ssumer cette charge de travail supplémentaire</w:t>
      </w:r>
      <w:r w:rsidRPr="00A1244F">
        <w:t xml:space="preserve"> en dehors de leur travail régulier</w:t>
      </w:r>
      <w:r w:rsidR="00EC0D15" w:rsidRPr="00A1244F">
        <w:t xml:space="preserve"> ne soit réalis</w:t>
      </w:r>
      <w:r w:rsidR="002140BE" w:rsidRPr="00A1244F">
        <w:t>ée</w:t>
      </w:r>
      <w:r w:rsidR="002140BE">
        <w:t xml:space="preserve">.  </w:t>
      </w:r>
      <w:r w:rsidR="002140BE" w:rsidRPr="00A1244F">
        <w:t>En</w:t>
      </w:r>
      <w:r w:rsidRPr="00A1244F">
        <w:t xml:space="preserve"> outre, les directeurs de projet sont des spécialistes hautement qualifiés dans leur domaine, mais o</w:t>
      </w:r>
      <w:r w:rsidR="00F60C80" w:rsidRPr="00A1244F">
        <w:t>nt souvent peu d</w:t>
      </w:r>
      <w:r w:rsidR="006408BB">
        <w:t>’</w:t>
      </w:r>
      <w:r w:rsidR="00F60C80" w:rsidRPr="00A1244F">
        <w:t>expérience de l</w:t>
      </w:r>
      <w:r w:rsidR="006408BB">
        <w:t>’</w:t>
      </w:r>
      <w:r w:rsidRPr="00A1244F">
        <w:t>aide au développeme</w:t>
      </w:r>
      <w:r w:rsidR="002140BE" w:rsidRPr="00A1244F">
        <w:t>nt</w:t>
      </w:r>
      <w:r w:rsidR="002140BE">
        <w:t xml:space="preserve">.  </w:t>
      </w:r>
      <w:r w:rsidR="002140BE" w:rsidRPr="00A1244F">
        <w:t>Le</w:t>
      </w:r>
      <w:r w:rsidRPr="00A1244F">
        <w:t xml:space="preserve"> personnel d</w:t>
      </w:r>
      <w:r w:rsidR="006408BB">
        <w:t>’</w:t>
      </w:r>
      <w:r w:rsidRPr="00A1244F">
        <w:t>appui administr</w:t>
      </w:r>
      <w:r w:rsidR="00F60C80" w:rsidRPr="00A1244F">
        <w:t>atif pourrait être en mesure d</w:t>
      </w:r>
      <w:r w:rsidR="006408BB">
        <w:t>’</w:t>
      </w:r>
      <w:r w:rsidR="00F60C80" w:rsidRPr="00A1244F">
        <w:t xml:space="preserve">assurer les </w:t>
      </w:r>
      <w:r w:rsidRPr="00A1244F">
        <w:t xml:space="preserve">travaux de secrétariat et </w:t>
      </w:r>
      <w:r w:rsidR="00F60C80" w:rsidRPr="00A1244F">
        <w:t>la logistique, sans prendre part</w:t>
      </w:r>
      <w:r w:rsidRPr="00A1244F">
        <w:t xml:space="preserve"> à la planification, à</w:t>
      </w:r>
      <w:r w:rsidR="00F60C80" w:rsidRPr="00A1244F">
        <w:t xml:space="preserve"> la préparation</w:t>
      </w:r>
      <w:r w:rsidRPr="00A1244F">
        <w:t>, au suivi et à l</w:t>
      </w:r>
      <w:r w:rsidR="006408BB">
        <w:t>’</w:t>
      </w:r>
      <w:r w:rsidRPr="00A1244F">
        <w:t xml:space="preserve">évaluation des </w:t>
      </w:r>
      <w:r w:rsidR="005A5FEE" w:rsidRPr="00A1244F">
        <w:t>activités du</w:t>
      </w:r>
      <w:r w:rsidRPr="00A1244F">
        <w:t xml:space="preserve"> projet.</w:t>
      </w:r>
    </w:p>
    <w:p w:rsidR="00610DAF" w:rsidRPr="00A1244F" w:rsidRDefault="00C63A62" w:rsidP="00367DB6">
      <w:pPr>
        <w:pStyle w:val="ONUMFS"/>
      </w:pPr>
      <w:r w:rsidRPr="00A1244F">
        <w:t>Pour des projets plus complexes comportant de nombreuses activités sur le terrain, le recrutement d</w:t>
      </w:r>
      <w:r w:rsidR="006408BB">
        <w:t>’</w:t>
      </w:r>
      <w:r w:rsidRPr="00A1244F">
        <w:t xml:space="preserve">un administrateur de projet </w:t>
      </w:r>
      <w:r w:rsidR="00DB0985" w:rsidRPr="00A1244F">
        <w:t>assurant l</w:t>
      </w:r>
      <w:r w:rsidRPr="00A1244F">
        <w:t>es tâches de gestion (sans rapport av</w:t>
      </w:r>
      <w:r w:rsidR="00DB0985" w:rsidRPr="00A1244F">
        <w:t>ec les contributions techniques ou</w:t>
      </w:r>
      <w:r w:rsidRPr="00A1244F">
        <w:t xml:space="preserve"> les questions de politique générale) pourrait être </w:t>
      </w:r>
      <w:r w:rsidR="00DB0985" w:rsidRPr="00A1244F">
        <w:t>envisagé</w:t>
      </w:r>
      <w:r w:rsidRPr="00A1244F">
        <w:t xml:space="preserve"> si les projets du Plan d</w:t>
      </w:r>
      <w:r w:rsidR="006408BB">
        <w:t>’</w:t>
      </w:r>
      <w:r w:rsidRPr="00A1244F">
        <w:t xml:space="preserve">action pour le développement sont exécutés </w:t>
      </w:r>
      <w:r w:rsidR="00DB0985" w:rsidRPr="00A1244F">
        <w:t xml:space="preserve">au moyen </w:t>
      </w:r>
      <w:r w:rsidRPr="00A1244F">
        <w:t>des secteurs</w:t>
      </w:r>
      <w:r w:rsidR="002140BE">
        <w:t xml:space="preserve">.  </w:t>
      </w:r>
      <w:r w:rsidR="002140BE" w:rsidRPr="00A1244F">
        <w:t>Ce</w:t>
      </w:r>
      <w:r w:rsidRPr="00A1244F">
        <w:t xml:space="preserve"> modèle semble avoir fonctionné </w:t>
      </w:r>
      <w:r w:rsidR="00DB0985" w:rsidRPr="00A1244F">
        <w:t xml:space="preserve">pour </w:t>
      </w:r>
      <w:r w:rsidRPr="00A1244F">
        <w:t>certains projets du Plan d</w:t>
      </w:r>
      <w:r w:rsidR="006408BB">
        <w:t>’</w:t>
      </w:r>
      <w:r w:rsidRPr="00A1244F">
        <w:t>action pour le développement</w:t>
      </w:r>
      <w:r w:rsidRPr="00A1244F">
        <w:rPr>
          <w:rStyle w:val="FootnoteReference"/>
        </w:rPr>
        <w:footnoteReference w:id="20"/>
      </w:r>
      <w:r w:rsidR="005839C0" w:rsidRPr="00A1244F">
        <w:t>.</w:t>
      </w:r>
    </w:p>
    <w:p w:rsidR="00610DAF" w:rsidRDefault="00C63A62" w:rsidP="00367DB6">
      <w:pPr>
        <w:pStyle w:val="Heading3"/>
      </w:pPr>
      <w:bookmarkStart w:id="20" w:name="_Toc3880380"/>
      <w:r w:rsidRPr="00A1244F">
        <w:t>Utilisation d</w:t>
      </w:r>
      <w:r w:rsidR="006408BB">
        <w:t>’</w:t>
      </w:r>
      <w:r w:rsidRPr="00A1244F">
        <w:t xml:space="preserve">outils de planification du projet </w:t>
      </w:r>
      <w:r w:rsidR="00DB0985" w:rsidRPr="00A1244F">
        <w:t>(</w:t>
      </w:r>
      <w:r w:rsidRPr="00A1244F">
        <w:t>au stade de la planification)</w:t>
      </w:r>
      <w:bookmarkEnd w:id="20"/>
    </w:p>
    <w:p w:rsidR="00367DB6" w:rsidRPr="00367DB6" w:rsidRDefault="00367DB6" w:rsidP="00367DB6"/>
    <w:p w:rsidR="00610DAF" w:rsidRPr="00A1244F" w:rsidRDefault="009616EF" w:rsidP="00367DB6">
      <w:pPr>
        <w:pStyle w:val="ONUMFS"/>
      </w:pPr>
      <w:r w:rsidRPr="00A1244F">
        <w:t xml:space="preserve">La préparation </w:t>
      </w:r>
      <w:r w:rsidR="00C63A62" w:rsidRPr="00A1244F">
        <w:t xml:space="preserve">du projet </w:t>
      </w:r>
      <w:r w:rsidRPr="00A1244F">
        <w:t>s</w:t>
      </w:r>
      <w:r w:rsidR="006408BB">
        <w:t>’</w:t>
      </w:r>
      <w:r w:rsidRPr="00A1244F">
        <w:t>est fondée sur</w:t>
      </w:r>
      <w:r w:rsidR="00C63A62" w:rsidRPr="00A1244F">
        <w:t xml:space="preserve"> les modèles standard</w:t>
      </w:r>
      <w:r w:rsidRPr="00A1244F">
        <w:t>s</w:t>
      </w:r>
      <w:r w:rsidR="00C63A62" w:rsidRPr="00A1244F">
        <w:t xml:space="preserve"> de l</w:t>
      </w:r>
      <w:r w:rsidR="006408BB">
        <w:t>’</w:t>
      </w:r>
      <w:r w:rsidR="00C63A62" w:rsidRPr="00A1244F">
        <w:t>O</w:t>
      </w:r>
      <w:r w:rsidR="002140BE" w:rsidRPr="00A1244F">
        <w:t>MPI</w:t>
      </w:r>
      <w:r w:rsidR="002140BE">
        <w:t xml:space="preserve">.  </w:t>
      </w:r>
      <w:r w:rsidR="002140BE" w:rsidRPr="00A1244F">
        <w:t>La</w:t>
      </w:r>
      <w:r w:rsidR="00C63A62" w:rsidRPr="00A1244F">
        <w:t xml:space="preserve"> bonne pratique consiste à appliquer des cadres logiques comme </w:t>
      </w:r>
      <w:r w:rsidRPr="00A1244F">
        <w:t>fondement</w:t>
      </w:r>
      <w:r w:rsidR="00C63A62" w:rsidRPr="00A1244F">
        <w:t xml:space="preserve"> de la gestion axée sur les résultats </w:t>
      </w:r>
      <w:r w:rsidRPr="00A1244F">
        <w:t>des actions en matière</w:t>
      </w:r>
      <w:r w:rsidR="00C63A62" w:rsidRPr="00A1244F">
        <w:t xml:space="preserve"> de développeme</w:t>
      </w:r>
      <w:r w:rsidR="002140BE" w:rsidRPr="00A1244F">
        <w:t>nt</w:t>
      </w:r>
      <w:r w:rsidR="002140BE">
        <w:t xml:space="preserve">.  </w:t>
      </w:r>
      <w:r w:rsidR="002140BE" w:rsidRPr="00A1244F">
        <w:t>Le</w:t>
      </w:r>
      <w:r w:rsidR="00C63A62" w:rsidRPr="00A1244F">
        <w:t xml:space="preserve">s cadres logiques sont </w:t>
      </w:r>
      <w:r w:rsidRPr="00A1244F">
        <w:t>ampl</w:t>
      </w:r>
      <w:r w:rsidR="00C63A62" w:rsidRPr="00A1244F">
        <w:t>ement considérés comme l</w:t>
      </w:r>
      <w:r w:rsidR="006408BB">
        <w:t>’</w:t>
      </w:r>
      <w:r w:rsidR="00C63A62" w:rsidRPr="00A1244F">
        <w:t>outil standard ou le langage courant dans la planification, le suivi et l</w:t>
      </w:r>
      <w:r w:rsidR="006408BB">
        <w:t>’</w:t>
      </w:r>
      <w:r w:rsidR="00C63A62" w:rsidRPr="00A1244F">
        <w:t>évaluation de l</w:t>
      </w:r>
      <w:r w:rsidR="006408BB">
        <w:t>’</w:t>
      </w:r>
      <w:r w:rsidR="00C63A62" w:rsidRPr="00A1244F">
        <w:t xml:space="preserve">aide au développement au sein du système des </w:t>
      </w:r>
      <w:r w:rsidR="006408BB">
        <w:t>Nations Unies</w:t>
      </w:r>
      <w:r w:rsidR="00C63A62" w:rsidRPr="00A1244F">
        <w:t xml:space="preserve"> et par tous les autres acteurs importants du développement.</w:t>
      </w:r>
    </w:p>
    <w:p w:rsidR="00610DAF" w:rsidRPr="00A1244F" w:rsidRDefault="00C63A62" w:rsidP="00367DB6">
      <w:pPr>
        <w:pStyle w:val="ONUMFS"/>
      </w:pPr>
      <w:r w:rsidRPr="00A1244F">
        <w:t>Les cadres logiques englobent les objectifs qui sont séparés entre les produits pour lesquels le Secrétariat est responsable (</w:t>
      </w:r>
      <w:r w:rsidR="000F2912" w:rsidRPr="00A1244F">
        <w:t>acqui</w:t>
      </w:r>
      <w:r w:rsidRPr="00A1244F">
        <w:t>s), leurs effets (ré</w:t>
      </w:r>
      <w:r w:rsidR="000F2912" w:rsidRPr="00A1244F">
        <w:t>alisation</w:t>
      </w:r>
      <w:r w:rsidRPr="00A1244F">
        <w:t>s) et les changements plus généraux qu</w:t>
      </w:r>
      <w:r w:rsidR="006408BB">
        <w:t>’</w:t>
      </w:r>
      <w:r w:rsidR="000F2912" w:rsidRPr="00A1244F">
        <w:t>ils sont censés apporter (incidenc</w:t>
      </w:r>
      <w:r w:rsidR="002140BE" w:rsidRPr="00A1244F">
        <w:t>es)</w:t>
      </w:r>
      <w:r w:rsidR="002140BE">
        <w:t xml:space="preserve">.  </w:t>
      </w:r>
      <w:r w:rsidR="002140BE" w:rsidRPr="00A1244F">
        <w:t>Le</w:t>
      </w:r>
      <w:r w:rsidR="00610DAF" w:rsidRPr="00A1244F">
        <w:t>s hypothèses et les risques doivent cerner les facteurs extérieurs</w:t>
      </w:r>
      <w:r w:rsidR="000F2912" w:rsidRPr="00A1244F">
        <w:t xml:space="preserve"> pertinents afin que les acqui</w:t>
      </w:r>
      <w:r w:rsidR="00610DAF" w:rsidRPr="00A1244F">
        <w:t xml:space="preserve">s puissent être traduits en réalisations et les réalisations en </w:t>
      </w:r>
      <w:r w:rsidR="000F2912" w:rsidRPr="00A1244F">
        <w:t>incidences</w:t>
      </w:r>
      <w:r w:rsidR="00610DAF" w:rsidRPr="00A1244F">
        <w:rPr>
          <w:rStyle w:val="FootnoteReference"/>
        </w:rPr>
        <w:footnoteReference w:id="21"/>
      </w:r>
      <w:r w:rsidR="005839C0">
        <w:t>.</w:t>
      </w:r>
      <w:r w:rsidR="000F2912" w:rsidRPr="00A1244F">
        <w:t xml:space="preserve"> </w:t>
      </w:r>
      <w:r w:rsidR="003071A3" w:rsidRPr="00A1244F">
        <w:t xml:space="preserve"> </w:t>
      </w:r>
      <w:r w:rsidR="00610DAF" w:rsidRPr="00A1244F">
        <w:t>Les objectifs à tous les niveaux sont liés aux indicateurs pour mesurer leur réalisati</w:t>
      </w:r>
      <w:r w:rsidR="002140BE" w:rsidRPr="00A1244F">
        <w:t>on</w:t>
      </w:r>
      <w:r w:rsidR="002140BE">
        <w:t xml:space="preserve">.  </w:t>
      </w:r>
      <w:r w:rsidR="002140BE" w:rsidRPr="00A1244F">
        <w:t>De</w:t>
      </w:r>
      <w:r w:rsidR="000F2912" w:rsidRPr="00A1244F">
        <w:t xml:space="preserve"> bons indicateurs sont préci</w:t>
      </w:r>
      <w:r w:rsidR="00610DAF" w:rsidRPr="00A1244F">
        <w:t xml:space="preserve">s, mesurables, </w:t>
      </w:r>
      <w:r w:rsidR="000F2912" w:rsidRPr="00A1244F">
        <w:t>réalistes</w:t>
      </w:r>
      <w:r w:rsidR="00610DAF" w:rsidRPr="00A1244F">
        <w:t>, pertinents et assortis de déla</w:t>
      </w:r>
      <w:r w:rsidR="002140BE" w:rsidRPr="00A1244F">
        <w:t>is</w:t>
      </w:r>
      <w:r w:rsidR="002140BE">
        <w:t xml:space="preserve">.  </w:t>
      </w:r>
      <w:r w:rsidR="002140BE" w:rsidRPr="00A1244F">
        <w:rPr>
          <w:bCs/>
        </w:rPr>
        <w:t>Po</w:t>
      </w:r>
      <w:r w:rsidR="000F2912" w:rsidRPr="00A1244F">
        <w:rPr>
          <w:bCs/>
        </w:rPr>
        <w:t>ur chaque indicateur, l</w:t>
      </w:r>
      <w:r w:rsidR="00610DAF" w:rsidRPr="00A1244F">
        <w:rPr>
          <w:bCs/>
        </w:rPr>
        <w:t>es moyens de vérification (enquêtes, statistiques, etc.) doivent être défin</w:t>
      </w:r>
      <w:r w:rsidR="002140BE" w:rsidRPr="00A1244F">
        <w:rPr>
          <w:bCs/>
        </w:rPr>
        <w:t>is</w:t>
      </w:r>
      <w:r w:rsidR="002140BE">
        <w:rPr>
          <w:bCs/>
        </w:rPr>
        <w:t xml:space="preserve">.  </w:t>
      </w:r>
      <w:r w:rsidR="002140BE" w:rsidRPr="00A1244F">
        <w:rPr>
          <w:bCs/>
        </w:rPr>
        <w:t>Si</w:t>
      </w:r>
      <w:r w:rsidR="00610DAF" w:rsidRPr="00A1244F">
        <w:rPr>
          <w:bCs/>
        </w:rPr>
        <w:t xml:space="preserve"> la collecte de données nécessite des ressources, celles</w:t>
      </w:r>
      <w:r w:rsidR="006408BB">
        <w:rPr>
          <w:bCs/>
        </w:rPr>
        <w:t>-</w:t>
      </w:r>
      <w:r w:rsidR="00610DAF" w:rsidRPr="00A1244F">
        <w:rPr>
          <w:bCs/>
        </w:rPr>
        <w:t xml:space="preserve">ci doivent être </w:t>
      </w:r>
      <w:r w:rsidR="000F2912" w:rsidRPr="00A1244F">
        <w:rPr>
          <w:bCs/>
        </w:rPr>
        <w:t>inscrites au budget</w:t>
      </w:r>
      <w:r w:rsidR="00610DAF" w:rsidRPr="00A1244F">
        <w:rPr>
          <w:bCs/>
        </w:rPr>
        <w:t>.</w:t>
      </w:r>
    </w:p>
    <w:p w:rsidR="00610DAF" w:rsidRPr="00A1244F" w:rsidRDefault="00BD3ECD" w:rsidP="00367DB6">
      <w:pPr>
        <w:pStyle w:val="ONUMFS"/>
      </w:pPr>
      <w:r w:rsidRPr="00A1244F">
        <w:t xml:space="preserve">Bien entendu, le recours aux </w:t>
      </w:r>
      <w:r w:rsidR="00610DAF" w:rsidRPr="00A1244F">
        <w:t>cadres</w:t>
      </w:r>
      <w:r w:rsidRPr="00A1244F">
        <w:t xml:space="preserve"> logiques ne constitue pas une garantie d</w:t>
      </w:r>
      <w:r w:rsidR="000C1170" w:rsidRPr="00A1244F">
        <w:t>e</w:t>
      </w:r>
      <w:r w:rsidR="00610DAF" w:rsidRPr="00A1244F">
        <w:t xml:space="preserve"> succès</w:t>
      </w:r>
      <w:r w:rsidR="000C1170" w:rsidRPr="00A1244F">
        <w:t xml:space="preserve"> du proj</w:t>
      </w:r>
      <w:r w:rsidR="002140BE" w:rsidRPr="00A1244F">
        <w:t>et</w:t>
      </w:r>
      <w:r w:rsidR="002140BE">
        <w:t xml:space="preserve">.  </w:t>
      </w:r>
      <w:r w:rsidR="002140BE" w:rsidRPr="00A1244F">
        <w:t>Ma</w:t>
      </w:r>
      <w:r w:rsidR="00610DAF" w:rsidRPr="00A1244F">
        <w:t>is ils permettent de déceler d</w:t>
      </w:r>
      <w:r w:rsidR="006408BB">
        <w:t>’</w:t>
      </w:r>
      <w:r w:rsidR="00610DAF" w:rsidRPr="00A1244F">
        <w:t>éventuelles lacunes dans la logique du p</w:t>
      </w:r>
      <w:r w:rsidRPr="00A1244F">
        <w:t xml:space="preserve">rojet (chaîne </w:t>
      </w:r>
      <w:r w:rsidRPr="00A1244F">
        <w:lastRenderedPageBreak/>
        <w:t>de résultats), qui auraient pu</w:t>
      </w:r>
      <w:r w:rsidR="00610DAF" w:rsidRPr="00A1244F">
        <w:t xml:space="preserve"> </w:t>
      </w:r>
      <w:r w:rsidRPr="00A1244F">
        <w:t>passer inaperçu</w:t>
      </w:r>
      <w:r w:rsidR="002140BE" w:rsidRPr="00A1244F">
        <w:t>es</w:t>
      </w:r>
      <w:r w:rsidR="002140BE">
        <w:t xml:space="preserve">.  </w:t>
      </w:r>
      <w:r w:rsidR="002140BE" w:rsidRPr="00A1244F">
        <w:t>Le</w:t>
      </w:r>
      <w:r w:rsidR="00610DAF" w:rsidRPr="00A1244F">
        <w:t>s cadres logiques peuvent être difficiles à appliquer lorsque les documents de projet sont négociés.</w:t>
      </w:r>
    </w:p>
    <w:p w:rsidR="00610DAF" w:rsidRPr="00A1244F" w:rsidRDefault="00610DAF" w:rsidP="00367DB6">
      <w:pPr>
        <w:pStyle w:val="ONUMFS"/>
      </w:pPr>
      <w:r w:rsidRPr="00A1244F">
        <w:t>Si les pays bénéficiaires ont nommé des coordo</w:t>
      </w:r>
      <w:r w:rsidR="00823680" w:rsidRPr="00A1244F">
        <w:t>nnateurs (au sein des bureaux du</w:t>
      </w:r>
      <w:r w:rsidRPr="00A1244F">
        <w:t xml:space="preserve"> droit d</w:t>
      </w:r>
      <w:r w:rsidR="006408BB">
        <w:t>’</w:t>
      </w:r>
      <w:r w:rsidRPr="00A1244F">
        <w:t>auteur), aucune structure de gestion officielle entre le Secrétariat de l</w:t>
      </w:r>
      <w:r w:rsidR="006408BB">
        <w:t>’</w:t>
      </w:r>
      <w:r w:rsidRPr="00A1244F">
        <w:t>OMPI et les pays bénéficiaires n</w:t>
      </w:r>
      <w:r w:rsidR="006408BB">
        <w:t>’</w:t>
      </w:r>
      <w:r w:rsidRPr="00A1244F">
        <w:t>a été mise en pla</w:t>
      </w:r>
      <w:r w:rsidR="002140BE" w:rsidRPr="00A1244F">
        <w:t>ce</w:t>
      </w:r>
      <w:r w:rsidR="002140BE">
        <w:t xml:space="preserve">.  </w:t>
      </w:r>
      <w:r w:rsidR="002140BE" w:rsidRPr="00A1244F">
        <w:t>Né</w:t>
      </w:r>
      <w:r w:rsidR="00BD3ECD" w:rsidRPr="00A1244F">
        <w:t>anmoins</w:t>
      </w:r>
      <w:r w:rsidRPr="00A1244F">
        <w:t xml:space="preserve">, la </w:t>
      </w:r>
      <w:r w:rsidR="00BD3ECD" w:rsidRPr="00A1244F">
        <w:t>c</w:t>
      </w:r>
      <w:r w:rsidRPr="00A1244F">
        <w:t>oordination avec les</w:t>
      </w:r>
      <w:r w:rsidR="00BB3401" w:rsidRPr="00A1244F">
        <w:t xml:space="preserve"> coordonnateurs a été assurée au moyen de</w:t>
      </w:r>
      <w:r w:rsidRPr="00A1244F">
        <w:t xml:space="preserve"> réunions régulières.</w:t>
      </w:r>
    </w:p>
    <w:p w:rsidR="00610DAF" w:rsidRPr="00A1244F" w:rsidRDefault="00610DAF" w:rsidP="00367DB6">
      <w:pPr>
        <w:pStyle w:val="ONUMFS"/>
      </w:pPr>
      <w:r w:rsidRPr="00A1244F">
        <w:t>Une stratégie d</w:t>
      </w:r>
      <w:r w:rsidR="006408BB">
        <w:t>’</w:t>
      </w:r>
      <w:r w:rsidRPr="00A1244F">
        <w:t>élimination</w:t>
      </w:r>
      <w:r w:rsidR="00BB3401" w:rsidRPr="00A1244F">
        <w:t xml:space="preserve"> progressive</w:t>
      </w:r>
      <w:r w:rsidRPr="00A1244F">
        <w:t xml:space="preserve"> claire, qui préciserait </w:t>
      </w:r>
      <w:r w:rsidR="00BB3401" w:rsidRPr="00A1244F">
        <w:t>la manière</w:t>
      </w:r>
      <w:r w:rsidRPr="00A1244F">
        <w:t xml:space="preserve"> </w:t>
      </w:r>
      <w:r w:rsidR="00BB3401" w:rsidRPr="00A1244F">
        <w:t>d</w:t>
      </w:r>
      <w:r w:rsidR="006408BB">
        <w:t>’</w:t>
      </w:r>
      <w:r w:rsidRPr="00A1244F">
        <w:t xml:space="preserve">assurer la </w:t>
      </w:r>
      <w:r w:rsidR="00BB3401" w:rsidRPr="00A1244F">
        <w:t>pérennité des</w:t>
      </w:r>
      <w:r w:rsidR="00A34BA1" w:rsidRPr="00A1244F">
        <w:t xml:space="preserve"> avantages du projet (vi</w:t>
      </w:r>
      <w:r w:rsidRPr="00A1244F">
        <w:t xml:space="preserve">abilité) </w:t>
      </w:r>
      <w:r w:rsidR="00BB3401" w:rsidRPr="00A1244F">
        <w:t xml:space="preserve">au terme </w:t>
      </w:r>
      <w:r w:rsidRPr="00A1244F">
        <w:t>de l</w:t>
      </w:r>
      <w:r w:rsidR="006408BB">
        <w:t>’</w:t>
      </w:r>
      <w:r w:rsidRPr="00A1244F">
        <w:t>appui de l</w:t>
      </w:r>
      <w:r w:rsidR="006408BB">
        <w:t>’</w:t>
      </w:r>
      <w:r w:rsidRPr="00A1244F">
        <w:t>OMPI, n</w:t>
      </w:r>
      <w:r w:rsidR="006408BB">
        <w:t>’</w:t>
      </w:r>
      <w:r w:rsidRPr="00A1244F">
        <w:t>a pas été définie.</w:t>
      </w:r>
    </w:p>
    <w:p w:rsidR="00610DAF" w:rsidRDefault="00610DAF" w:rsidP="00367DB6">
      <w:pPr>
        <w:pStyle w:val="Heading3"/>
      </w:pPr>
      <w:bookmarkStart w:id="21" w:name="_Toc3880381"/>
      <w:r w:rsidRPr="00A1244F">
        <w:t>Gestion du projet</w:t>
      </w:r>
      <w:bookmarkEnd w:id="21"/>
    </w:p>
    <w:p w:rsidR="00367DB6" w:rsidRPr="00367DB6" w:rsidRDefault="00367DB6" w:rsidP="00367DB6"/>
    <w:p w:rsidR="00610DAF" w:rsidRPr="00A1244F" w:rsidRDefault="00610DAF" w:rsidP="00367DB6">
      <w:pPr>
        <w:pStyle w:val="ONUMFS"/>
      </w:pPr>
      <w:r w:rsidRPr="00A1244F">
        <w:t xml:space="preserve">La gestion du projet </w:t>
      </w:r>
      <w:r w:rsidR="00BB3401" w:rsidRPr="00A1244F">
        <w:t>a été</w:t>
      </w:r>
      <w:r w:rsidRPr="00A1244F">
        <w:t xml:space="preserve"> globalement satisfaisan</w:t>
      </w:r>
      <w:r w:rsidR="002140BE" w:rsidRPr="00A1244F">
        <w:t>te</w:t>
      </w:r>
      <w:r w:rsidR="002140BE">
        <w:t xml:space="preserve">.  </w:t>
      </w:r>
      <w:r w:rsidR="002140BE" w:rsidRPr="00A1244F">
        <w:t>La</w:t>
      </w:r>
      <w:r w:rsidRPr="00A1244F">
        <w:t xml:space="preserve"> direction a réussi à sélectionner les bons experts et à garantir la qualité de l</w:t>
      </w:r>
      <w:r w:rsidR="006408BB">
        <w:t>’</w:t>
      </w:r>
      <w:r w:rsidRPr="00A1244F">
        <w:t>appui fourni.</w:t>
      </w:r>
      <w:r w:rsidR="003071A3" w:rsidRPr="00A1244F">
        <w:t xml:space="preserve"> </w:t>
      </w:r>
      <w:r w:rsidR="00BB3401" w:rsidRPr="00A1244F">
        <w:t xml:space="preserve"> </w:t>
      </w:r>
      <w:r w:rsidRPr="00A1244F">
        <w:t>L</w:t>
      </w:r>
      <w:r w:rsidR="006408BB">
        <w:t>’</w:t>
      </w:r>
      <w:r w:rsidRPr="00A1244F">
        <w:t>OMPI a mobilisé environ 40</w:t>
      </w:r>
      <w:r w:rsidR="0088350E">
        <w:t> </w:t>
      </w:r>
      <w:r w:rsidRPr="00A1244F">
        <w:t>exper</w:t>
      </w:r>
      <w:r w:rsidR="002140BE" w:rsidRPr="00A1244F">
        <w:t>ts</w:t>
      </w:r>
      <w:r w:rsidR="002140BE">
        <w:t xml:space="preserve">.  </w:t>
      </w:r>
      <w:r w:rsidR="002140BE" w:rsidRPr="00A1244F">
        <w:t>L</w:t>
      </w:r>
      <w:r w:rsidR="002140BE">
        <w:t>’</w:t>
      </w:r>
      <w:r w:rsidR="002140BE" w:rsidRPr="00A1244F">
        <w:t>e</w:t>
      </w:r>
      <w:r w:rsidR="00BB3401" w:rsidRPr="00A1244F">
        <w:t>xpertise africaine et l</w:t>
      </w:r>
      <w:r w:rsidR="006408BB">
        <w:t>’</w:t>
      </w:r>
      <w:r w:rsidR="00BB3401" w:rsidRPr="00A1244F">
        <w:t>expertise au niveau national ont été classées</w:t>
      </w:r>
      <w:r w:rsidRPr="00A1244F">
        <w:t xml:space="preserve"> pa</w:t>
      </w:r>
      <w:r w:rsidR="00BB3401" w:rsidRPr="00A1244F">
        <w:t>r ordre de priorité lorsqu</w:t>
      </w:r>
      <w:r w:rsidR="006408BB">
        <w:t>’</w:t>
      </w:r>
      <w:r w:rsidR="00BB3401" w:rsidRPr="00A1244F">
        <w:t>elles étaient</w:t>
      </w:r>
      <w:r w:rsidRPr="00A1244F">
        <w:t xml:space="preserve"> disponibles.</w:t>
      </w:r>
    </w:p>
    <w:p w:rsidR="00610DAF" w:rsidRPr="00A1244F" w:rsidRDefault="00610DAF" w:rsidP="00367DB6">
      <w:pPr>
        <w:pStyle w:val="ONUMFS"/>
      </w:pPr>
      <w:r w:rsidRPr="00A1244F">
        <w:t xml:space="preserve">Les contraintes </w:t>
      </w:r>
      <w:r w:rsidR="00C502B9" w:rsidRPr="00A1244F">
        <w:t>budgétaires</w:t>
      </w:r>
      <w:r w:rsidRPr="00A1244F">
        <w:t xml:space="preserve"> au sein du Secrétariat, la réaction </w:t>
      </w:r>
      <w:r w:rsidR="00BB3401" w:rsidRPr="00A1244F">
        <w:t>occasionnellement peu rapide des bureaux d</w:t>
      </w:r>
      <w:r w:rsidR="00823680" w:rsidRPr="00A1244F">
        <w:t>u</w:t>
      </w:r>
      <w:r w:rsidR="00BB3401" w:rsidRPr="00A1244F">
        <w:t xml:space="preserve"> droit d</w:t>
      </w:r>
      <w:r w:rsidR="006408BB">
        <w:t>’</w:t>
      </w:r>
      <w:r w:rsidR="00BB3401" w:rsidRPr="00A1244F">
        <w:t xml:space="preserve">auteur ainsi que </w:t>
      </w:r>
      <w:r w:rsidRPr="00A1244F">
        <w:t>d</w:t>
      </w:r>
      <w:r w:rsidR="006408BB">
        <w:t>’</w:t>
      </w:r>
      <w:r w:rsidRPr="00A1244F">
        <w:t xml:space="preserve">autres facteurs externes (situation en matière de sécurité au Burkina Faso, retards dans la désignation des </w:t>
      </w:r>
      <w:r w:rsidR="00682A51" w:rsidRPr="00A1244F">
        <w:t>coordonnateurs</w:t>
      </w:r>
      <w:r w:rsidRPr="00A1244F">
        <w:t xml:space="preserve"> nationaux</w:t>
      </w:r>
      <w:r w:rsidR="00BB3401" w:rsidRPr="00A1244F">
        <w:rPr>
          <w:rStyle w:val="FootnoteReference"/>
        </w:rPr>
        <w:footnoteReference w:id="22"/>
      </w:r>
      <w:r w:rsidRPr="00A1244F">
        <w:t xml:space="preserve">, changements de coordonnateurs au cours du projet) ont </w:t>
      </w:r>
      <w:r w:rsidR="003F7342" w:rsidRPr="00A1244F">
        <w:t>entraîn</w:t>
      </w:r>
      <w:r w:rsidRPr="00A1244F">
        <w:t xml:space="preserve">é des retards </w:t>
      </w:r>
      <w:r w:rsidR="003F7342" w:rsidRPr="00A1244F">
        <w:t>occasionnel</w:t>
      </w:r>
      <w:r w:rsidRPr="00A1244F">
        <w:t>s dans l</w:t>
      </w:r>
      <w:r w:rsidR="006408BB">
        <w:t>’</w:t>
      </w:r>
      <w:r w:rsidRPr="00A1244F">
        <w:t>exécution des activit</w:t>
      </w:r>
      <w:r w:rsidR="002140BE" w:rsidRPr="00A1244F">
        <w:t>és</w:t>
      </w:r>
      <w:r w:rsidR="002140BE">
        <w:t xml:space="preserve">.  </w:t>
      </w:r>
      <w:r w:rsidR="002140BE" w:rsidRPr="00A1244F">
        <w:t>La</w:t>
      </w:r>
      <w:r w:rsidR="003F7342" w:rsidRPr="00A1244F">
        <w:t xml:space="preserve"> communication avec</w:t>
      </w:r>
      <w:r w:rsidR="006408BB" w:rsidRPr="00A1244F">
        <w:t xml:space="preserve"> le</w:t>
      </w:r>
      <w:r w:rsidR="006408BB">
        <w:t> </w:t>
      </w:r>
      <w:r w:rsidR="006408BB" w:rsidRPr="00A1244F">
        <w:t>CDI</w:t>
      </w:r>
      <w:r w:rsidRPr="00A1244F">
        <w:t>P (États memb</w:t>
      </w:r>
      <w:r w:rsidR="003F7342" w:rsidRPr="00A1244F">
        <w:t>res) étai</w:t>
      </w:r>
      <w:r w:rsidRPr="00A1244F">
        <w:t xml:space="preserve">t </w:t>
      </w:r>
      <w:r w:rsidR="003F7342" w:rsidRPr="00A1244F">
        <w:t>précise et claire</w:t>
      </w:r>
      <w:r w:rsidRPr="00A1244F">
        <w:t>.</w:t>
      </w:r>
    </w:p>
    <w:p w:rsidR="00610DAF" w:rsidRPr="00A1244F" w:rsidRDefault="00610DAF" w:rsidP="00367DB6">
      <w:pPr>
        <w:pStyle w:val="ONUMFS"/>
      </w:pPr>
      <w:r w:rsidRPr="00A1244F">
        <w:t xml:space="preserve">Les bénéficiaires interrogés ont souligné la bonne coopération avec le Secrétariat et la </w:t>
      </w:r>
      <w:r w:rsidR="003F7342" w:rsidRPr="00A1244F">
        <w:t>direction du projet</w:t>
      </w:r>
      <w:r w:rsidRPr="00A1244F">
        <w:t xml:space="preserve">, </w:t>
      </w:r>
      <w:r w:rsidR="006408BB">
        <w:t>y compris</w:t>
      </w:r>
      <w:r w:rsidRPr="00A1244F">
        <w:t xml:space="preserve"> la réactivité de l</w:t>
      </w:r>
      <w:r w:rsidR="006408BB">
        <w:t>’</w:t>
      </w:r>
      <w:r w:rsidRPr="00A1244F">
        <w:t>équipe</w:t>
      </w:r>
      <w:r w:rsidR="003F7342" w:rsidRPr="00A1244F">
        <w:t xml:space="preserve"> répondant</w:t>
      </w:r>
      <w:r w:rsidRPr="00A1244F">
        <w:t xml:space="preserve"> à leurs besoins.</w:t>
      </w:r>
    </w:p>
    <w:p w:rsidR="00610DAF" w:rsidRDefault="00367DB6" w:rsidP="00367DB6">
      <w:pPr>
        <w:pStyle w:val="Heading2"/>
      </w:pPr>
      <w:bookmarkStart w:id="22" w:name="_Toc3880382"/>
      <w:r w:rsidRPr="00A1244F">
        <w:t>Pertinence</w:t>
      </w:r>
      <w:bookmarkEnd w:id="22"/>
    </w:p>
    <w:p w:rsidR="00367DB6" w:rsidRPr="00367DB6" w:rsidRDefault="00367DB6" w:rsidP="00367DB6"/>
    <w:p w:rsidR="00610DAF" w:rsidRPr="00A1244F" w:rsidRDefault="00610DAF" w:rsidP="00367DB6">
      <w:pPr>
        <w:pStyle w:val="ONUMFS"/>
      </w:pPr>
      <w:r w:rsidRPr="00A1244F">
        <w:t>L</w:t>
      </w:r>
      <w:r w:rsidR="006408BB">
        <w:t>’</w:t>
      </w:r>
      <w:r w:rsidRPr="00A1244F">
        <w:t>évaluation de la pertinence permet de savoir dans quelle mesure les objectifs du projet répondaient aux exigences des bénéficiaires, aux besoins des pays membres, aux priorités mondiales et aux politiques de l</w:t>
      </w:r>
      <w:r w:rsidR="006408BB">
        <w:t>’</w:t>
      </w:r>
      <w:r w:rsidRPr="00A1244F">
        <w:t>OMPI.</w:t>
      </w:r>
    </w:p>
    <w:p w:rsidR="00610DAF" w:rsidRDefault="00610DAF" w:rsidP="0067547F">
      <w:pPr>
        <w:pStyle w:val="Heading3"/>
        <w:numPr>
          <w:ilvl w:val="2"/>
          <w:numId w:val="12"/>
        </w:numPr>
      </w:pPr>
      <w:bookmarkStart w:id="23" w:name="_Toc3880383"/>
      <w:r w:rsidRPr="00A1244F">
        <w:t>Pertinence générale</w:t>
      </w:r>
      <w:bookmarkEnd w:id="23"/>
    </w:p>
    <w:p w:rsidR="00367DB6" w:rsidRPr="00367DB6" w:rsidRDefault="00367DB6" w:rsidP="00367DB6"/>
    <w:p w:rsidR="00610DAF" w:rsidRPr="00A1244F" w:rsidRDefault="00610DAF" w:rsidP="00367DB6">
      <w:pPr>
        <w:pStyle w:val="ONUMFS"/>
      </w:pPr>
      <w:r w:rsidRPr="00A1244F">
        <w:t>L</w:t>
      </w:r>
      <w:r w:rsidR="006408BB">
        <w:t>’</w:t>
      </w:r>
      <w:r w:rsidRPr="00A1244F">
        <w:t>approbation par consensus</w:t>
      </w:r>
      <w:r w:rsidR="006408BB" w:rsidRPr="00A1244F">
        <w:t xml:space="preserve"> du</w:t>
      </w:r>
      <w:r w:rsidR="006408BB">
        <w:t> </w:t>
      </w:r>
      <w:r w:rsidR="006408BB" w:rsidRPr="00A1244F">
        <w:t>CDI</w:t>
      </w:r>
      <w:r w:rsidRPr="00A1244F">
        <w:t xml:space="preserve">P </w:t>
      </w:r>
      <w:r w:rsidR="003F7342" w:rsidRPr="00A1244F">
        <w:t>témoigne de</w:t>
      </w:r>
      <w:r w:rsidRPr="00A1244F">
        <w:t xml:space="preserve"> la pertinence stratégique du projet </w:t>
      </w:r>
      <w:r w:rsidR="003F7342" w:rsidRPr="00A1244F">
        <w:t>aux yeux des</w:t>
      </w:r>
      <w:r w:rsidRPr="00A1244F">
        <w:t xml:space="preserve"> États membr</w:t>
      </w:r>
      <w:r w:rsidR="002140BE" w:rsidRPr="00A1244F">
        <w:t>es</w:t>
      </w:r>
      <w:r w:rsidR="002140BE">
        <w:t xml:space="preserve">.  </w:t>
      </w:r>
      <w:r w:rsidR="002140BE" w:rsidRPr="00A1244F">
        <w:t>Di</w:t>
      </w:r>
      <w:r w:rsidRPr="00A1244F">
        <w:t xml:space="preserve">verses questions </w:t>
      </w:r>
      <w:r w:rsidR="003F7342" w:rsidRPr="00A1244F">
        <w:t>en matière de</w:t>
      </w:r>
      <w:r w:rsidRPr="00A1244F">
        <w:t xml:space="preserve"> propriété intellectuelle</w:t>
      </w:r>
      <w:r w:rsidR="003F7342" w:rsidRPr="00A1244F">
        <w:t>,</w:t>
      </w:r>
      <w:r w:rsidRPr="00A1244F">
        <w:t xml:space="preserve"> </w:t>
      </w:r>
      <w:r w:rsidR="003F7342" w:rsidRPr="00A1244F">
        <w:t>nécessitant une mise</w:t>
      </w:r>
      <w:r w:rsidRPr="00A1244F">
        <w:t xml:space="preserve"> en place </w:t>
      </w:r>
      <w:r w:rsidR="003F7342" w:rsidRPr="00A1244F">
        <w:t>aux fins de</w:t>
      </w:r>
      <w:r w:rsidRPr="00A1244F">
        <w:t xml:space="preserve"> la protection et </w:t>
      </w:r>
      <w:r w:rsidR="003F7342" w:rsidRPr="00A1244F">
        <w:t xml:space="preserve">de </w:t>
      </w:r>
      <w:r w:rsidRPr="00A1244F">
        <w:t xml:space="preserve">la valorisation des actifs </w:t>
      </w:r>
      <w:r w:rsidR="003F7342" w:rsidRPr="00A1244F">
        <w:t>intellectuels</w:t>
      </w:r>
      <w:r w:rsidRPr="00A1244F">
        <w:t xml:space="preserve"> dans le secteur de l</w:t>
      </w:r>
      <w:r w:rsidR="006408BB">
        <w:t>’</w:t>
      </w:r>
      <w:r w:rsidRPr="00A1244F">
        <w:t>audiovisuel</w:t>
      </w:r>
      <w:r w:rsidR="003F7342" w:rsidRPr="00A1244F">
        <w:t>,</w:t>
      </w:r>
      <w:r w:rsidRPr="00A1244F">
        <w:t xml:space="preserve"> ont été abordé</w:t>
      </w:r>
      <w:r w:rsidR="002140BE" w:rsidRPr="00A1244F">
        <w:t>es</w:t>
      </w:r>
      <w:r w:rsidR="002140BE">
        <w:t xml:space="preserve">.  </w:t>
      </w:r>
      <w:r w:rsidR="002140BE" w:rsidRPr="00A1244F">
        <w:t>Il</w:t>
      </w:r>
      <w:r w:rsidR="003F7342" w:rsidRPr="00A1244F">
        <w:t xml:space="preserve"> ne s</w:t>
      </w:r>
      <w:r w:rsidR="006408BB">
        <w:t>’</w:t>
      </w:r>
      <w:r w:rsidR="003F7342" w:rsidRPr="00A1244F">
        <w:t>agissait pas</w:t>
      </w:r>
      <w:r w:rsidRPr="00A1244F">
        <w:t xml:space="preserve"> </w:t>
      </w:r>
      <w:r w:rsidR="00682A51" w:rsidRPr="00A1244F">
        <w:t>d</w:t>
      </w:r>
      <w:r w:rsidR="006408BB">
        <w:t>’</w:t>
      </w:r>
      <w:r w:rsidR="00682A51" w:rsidRPr="00A1244F">
        <w:t>apporter</w:t>
      </w:r>
      <w:r w:rsidR="003F7342" w:rsidRPr="00A1244F">
        <w:t xml:space="preserve"> </w:t>
      </w:r>
      <w:r w:rsidRPr="00A1244F">
        <w:t xml:space="preserve">un soutien global </w:t>
      </w:r>
      <w:r w:rsidR="00682A51" w:rsidRPr="00A1244F">
        <w:t>en faveur d</w:t>
      </w:r>
      <w:r w:rsidRPr="00A1244F">
        <w:t>u développement du secteur de l</w:t>
      </w:r>
      <w:r w:rsidR="006408BB">
        <w:t>’</w:t>
      </w:r>
      <w:r w:rsidRPr="00A1244F">
        <w:t xml:space="preserve">audiovisuel dans les pays </w:t>
      </w:r>
      <w:r w:rsidR="003F7342" w:rsidRPr="00A1244F">
        <w:t>visés</w:t>
      </w:r>
      <w:r w:rsidRPr="00A1244F">
        <w:t xml:space="preserve">, car cela </w:t>
      </w:r>
      <w:r w:rsidR="003F7342" w:rsidRPr="00A1244F">
        <w:t xml:space="preserve">aurait dépassé </w:t>
      </w:r>
      <w:r w:rsidRPr="00A1244F">
        <w:t>le mandat de l</w:t>
      </w:r>
      <w:r w:rsidR="006408BB">
        <w:t>’</w:t>
      </w:r>
      <w:r w:rsidRPr="00A1244F">
        <w:t>OMPI et la portée d</w:t>
      </w:r>
      <w:r w:rsidR="006408BB">
        <w:t>’</w:t>
      </w:r>
      <w:r w:rsidRPr="00A1244F">
        <w:t xml:space="preserve">une </w:t>
      </w:r>
      <w:r w:rsidR="003F7342" w:rsidRPr="00A1244F">
        <w:t>actio</w:t>
      </w:r>
      <w:r w:rsidRPr="00A1244F">
        <w:t>n</w:t>
      </w:r>
      <w:r w:rsidR="003F7342" w:rsidRPr="00A1244F">
        <w:t xml:space="preserve"> qui se voulait</w:t>
      </w:r>
      <w:r w:rsidRPr="00A1244F">
        <w:t xml:space="preserve"> limitée.</w:t>
      </w:r>
    </w:p>
    <w:p w:rsidR="00610DAF" w:rsidRPr="00A1244F" w:rsidRDefault="00610DAF" w:rsidP="00367DB6">
      <w:pPr>
        <w:pStyle w:val="ONUMFS"/>
      </w:pPr>
      <w:r w:rsidRPr="00A1244F">
        <w:lastRenderedPageBreak/>
        <w:t>Le projet</w:t>
      </w:r>
      <w:r w:rsidR="00682A51" w:rsidRPr="00A1244F">
        <w:t xml:space="preserve"> a satisfait</w:t>
      </w:r>
      <w:r w:rsidR="003F7342" w:rsidRPr="00A1244F">
        <w:t xml:space="preserve"> aux</w:t>
      </w:r>
      <w:r w:rsidRPr="00A1244F">
        <w:t xml:space="preserve"> recommandations du Plan d</w:t>
      </w:r>
      <w:r w:rsidR="006408BB">
        <w:t>’</w:t>
      </w:r>
      <w:r w:rsidRPr="00A1244F">
        <w:t>action p</w:t>
      </w:r>
      <w:r w:rsidR="00682A51" w:rsidRPr="00A1244F">
        <w:t>our le développement</w:t>
      </w:r>
      <w:r w:rsidR="00682A51" w:rsidRPr="00A1244F">
        <w:rPr>
          <w:rStyle w:val="FootnoteReference"/>
        </w:rPr>
        <w:footnoteReference w:id="23"/>
      </w:r>
      <w:r w:rsidR="00682A51" w:rsidRPr="00A1244F">
        <w:t xml:space="preserve"> visé</w:t>
      </w:r>
      <w:r w:rsidR="002140BE" w:rsidRPr="00A1244F">
        <w:t>es</w:t>
      </w:r>
      <w:r w:rsidR="002140BE">
        <w:t xml:space="preserve">.  </w:t>
      </w:r>
      <w:r w:rsidR="002140BE" w:rsidRPr="00A1244F">
        <w:t>Pl</w:t>
      </w:r>
      <w:r w:rsidRPr="00A1244F">
        <w:t xml:space="preserve">us précisément, la </w:t>
      </w:r>
      <w:r w:rsidR="00682A51" w:rsidRPr="00A1244F">
        <w:t>recommandation</w:t>
      </w:r>
      <w:r w:rsidR="00823680" w:rsidRPr="00A1244F">
        <w:t xml:space="preserve"> n° 4</w:t>
      </w:r>
      <w:r w:rsidR="00682A51" w:rsidRPr="00A1244F">
        <w:rPr>
          <w:rStyle w:val="FootnoteReference"/>
        </w:rPr>
        <w:footnoteReference w:id="24"/>
      </w:r>
      <w:r w:rsidRPr="00A1244F">
        <w:t xml:space="preserve"> du Plan d</w:t>
      </w:r>
      <w:r w:rsidR="006408BB">
        <w:t>’</w:t>
      </w:r>
      <w:r w:rsidRPr="00A1244F">
        <w:t xml:space="preserve">action pour le développement </w:t>
      </w:r>
      <w:r w:rsidR="00823680" w:rsidRPr="00A1244F">
        <w:t>demandait d</w:t>
      </w:r>
      <w:r w:rsidR="006408BB">
        <w:t>’</w:t>
      </w:r>
      <w:r w:rsidR="00823680" w:rsidRPr="00A1244F">
        <w:t xml:space="preserve">adapter </w:t>
      </w:r>
      <w:r w:rsidRPr="00A1244F">
        <w:t>la coopération techni</w:t>
      </w:r>
      <w:r w:rsidR="00A97D66" w:rsidRPr="00A1244F">
        <w:t>que de l</w:t>
      </w:r>
      <w:r w:rsidR="006408BB">
        <w:t>’</w:t>
      </w:r>
      <w:r w:rsidR="00A97D66" w:rsidRPr="00A1244F">
        <w:t>OMPI aux besoins des petites et moyennes entreprises</w:t>
      </w:r>
      <w:r w:rsidRPr="00A1244F">
        <w:t xml:space="preserve">, qui étaient </w:t>
      </w:r>
      <w:r w:rsidR="00682A51" w:rsidRPr="00A1244F">
        <w:t>fortement</w:t>
      </w:r>
      <w:r w:rsidRPr="00A1244F">
        <w:t xml:space="preserve"> </w:t>
      </w:r>
      <w:r w:rsidR="000C1170" w:rsidRPr="00A1244F">
        <w:t>impliquées dans les activités du</w:t>
      </w:r>
      <w:r w:rsidRPr="00A1244F">
        <w:t xml:space="preserve"> proj</w:t>
      </w:r>
      <w:r w:rsidR="002140BE" w:rsidRPr="00A1244F">
        <w:t>et</w:t>
      </w:r>
      <w:r w:rsidR="002140BE">
        <w:t xml:space="preserve">.  </w:t>
      </w:r>
      <w:r w:rsidR="002140BE" w:rsidRPr="00A1244F">
        <w:t>L</w:t>
      </w:r>
      <w:r w:rsidR="002140BE">
        <w:t>’</w:t>
      </w:r>
      <w:r w:rsidR="002140BE" w:rsidRPr="00A1244F">
        <w:t>a</w:t>
      </w:r>
      <w:r w:rsidRPr="00A1244F">
        <w:t>ppui apporté aux activités de formation et de renforcement des capacités en partenariat avec les bureaux nationaux du droit d</w:t>
      </w:r>
      <w:r w:rsidR="006408BB">
        <w:t>’</w:t>
      </w:r>
      <w:r w:rsidRPr="00A1244F">
        <w:t xml:space="preserve">auteur </w:t>
      </w:r>
      <w:r w:rsidR="00823680" w:rsidRPr="00A1244F">
        <w:t>satisfait à la recommandation n° </w:t>
      </w:r>
      <w:r w:rsidRPr="00A1244F">
        <w:t>10 du Plan d</w:t>
      </w:r>
      <w:r w:rsidR="006408BB">
        <w:t>’</w:t>
      </w:r>
      <w:r w:rsidRPr="00A1244F">
        <w:t>action pour le développement, qui met l</w:t>
      </w:r>
      <w:r w:rsidR="006408BB">
        <w:t>’</w:t>
      </w:r>
      <w:r w:rsidRPr="00A1244F">
        <w:t>accent sur le renforcement des institutions nationales de propriété intellectuelle</w:t>
      </w:r>
      <w:r w:rsidRPr="00A1244F">
        <w:rPr>
          <w:rStyle w:val="FootnoteReference"/>
        </w:rPr>
        <w:footnoteReference w:id="25"/>
      </w:r>
      <w:r w:rsidR="005839C0">
        <w:t>.</w:t>
      </w:r>
      <w:r w:rsidR="003071A3" w:rsidRPr="00A1244F">
        <w:t xml:space="preserve"> </w:t>
      </w:r>
      <w:r w:rsidR="00823680" w:rsidRPr="00A1244F">
        <w:t xml:space="preserve"> </w:t>
      </w:r>
      <w:r w:rsidRPr="00A1244F">
        <w:t xml:space="preserve">Les objectifs du projet sont </w:t>
      </w:r>
      <w:r w:rsidR="00823680" w:rsidRPr="00A1244F">
        <w:t>d</w:t>
      </w:r>
      <w:r w:rsidR="006408BB">
        <w:t>’</w:t>
      </w:r>
      <w:r w:rsidR="00823680" w:rsidRPr="00A1244F">
        <w:t>autant plus</w:t>
      </w:r>
      <w:r w:rsidRPr="00A1244F">
        <w:t xml:space="preserve"> pertinents </w:t>
      </w:r>
      <w:r w:rsidR="000C1170" w:rsidRPr="00A1244F">
        <w:t>au regard</w:t>
      </w:r>
      <w:r w:rsidR="00823680" w:rsidRPr="00A1244F">
        <w:t xml:space="preserve"> de la recommandation n° </w:t>
      </w:r>
      <w:r w:rsidRPr="00A1244F">
        <w:t>11 du Plan d</w:t>
      </w:r>
      <w:r w:rsidR="006408BB">
        <w:t>’</w:t>
      </w:r>
      <w:r w:rsidRPr="00A1244F">
        <w:t>action pour le développement</w:t>
      </w:r>
      <w:r w:rsidR="00823680" w:rsidRPr="00A1244F">
        <w:t>,</w:t>
      </w:r>
      <w:r w:rsidRPr="00A1244F">
        <w:t xml:space="preserve"> </w:t>
      </w:r>
      <w:r w:rsidR="00823680" w:rsidRPr="00A1244F">
        <w:t>qui vise à renforcer la capacité</w:t>
      </w:r>
      <w:r w:rsidRPr="00A1244F">
        <w:t xml:space="preserve"> national</w:t>
      </w:r>
      <w:r w:rsidR="00823680" w:rsidRPr="00A1244F">
        <w:t>e</w:t>
      </w:r>
      <w:r w:rsidRPr="00A1244F">
        <w:t xml:space="preserve"> de protection des créations, innovations et inventions nationales</w:t>
      </w:r>
      <w:r w:rsidRPr="00A1244F">
        <w:rPr>
          <w:rStyle w:val="FootnoteReference"/>
        </w:rPr>
        <w:footnoteReference w:id="26"/>
      </w:r>
      <w:r w:rsidR="005839C0" w:rsidRPr="00A1244F">
        <w:t>.</w:t>
      </w:r>
    </w:p>
    <w:p w:rsidR="00610DAF" w:rsidRPr="00A1244F" w:rsidRDefault="00610DAF" w:rsidP="00367DB6">
      <w:pPr>
        <w:pStyle w:val="ONUMFS"/>
      </w:pPr>
      <w:r w:rsidRPr="00A1244F">
        <w:t>Les objectifs du projet étaient conformes aux objectifs stratégiques et programmes de l</w:t>
      </w:r>
      <w:r w:rsidR="006408BB">
        <w:t>’</w:t>
      </w:r>
      <w:r w:rsidRPr="00A1244F">
        <w:t>OMPI</w:t>
      </w:r>
      <w:r w:rsidRPr="00A1244F">
        <w:rPr>
          <w:rStyle w:val="FootnoteReference"/>
        </w:rPr>
        <w:footnoteReference w:id="27"/>
      </w:r>
      <w:r w:rsidRPr="00A1244F">
        <w:t>.</w:t>
      </w:r>
    </w:p>
    <w:p w:rsidR="00610DAF" w:rsidRPr="00A1244F" w:rsidRDefault="00610DAF" w:rsidP="0067547F">
      <w:pPr>
        <w:pStyle w:val="ONUMFS"/>
        <w:numPr>
          <w:ilvl w:val="1"/>
          <w:numId w:val="5"/>
        </w:numPr>
      </w:pPr>
      <w:r w:rsidRPr="00A1244F">
        <w:t>Le pr</w:t>
      </w:r>
      <w:r w:rsidR="00823680" w:rsidRPr="00A1244F">
        <w:t>ojet répond à l</w:t>
      </w:r>
      <w:r w:rsidR="006408BB">
        <w:t>’</w:t>
      </w:r>
      <w:r w:rsidR="00823680" w:rsidRPr="00A1244F">
        <w:t>objectif III.2 du programme et b</w:t>
      </w:r>
      <w:r w:rsidRPr="00A1244F">
        <w:t>udget pour l</w:t>
      </w:r>
      <w:r w:rsidR="006408BB">
        <w:t>’</w:t>
      </w:r>
      <w:r w:rsidRPr="00A1244F">
        <w:t xml:space="preserve">exercice </w:t>
      </w:r>
      <w:r w:rsidR="006408BB" w:rsidRPr="00A1244F">
        <w:t>biennal</w:t>
      </w:r>
      <w:r w:rsidR="006408BB">
        <w:t> </w:t>
      </w:r>
      <w:r w:rsidR="006408BB" w:rsidRPr="00A1244F">
        <w:t>2016</w:t>
      </w:r>
      <w:r w:rsidR="006408BB">
        <w:t>-</w:t>
      </w:r>
      <w:r w:rsidRPr="00A1244F">
        <w:t xml:space="preserve">2017, qui </w:t>
      </w:r>
      <w:r w:rsidR="00823680" w:rsidRPr="00A1244F">
        <w:t>vise à mettre en valeur</w:t>
      </w:r>
      <w:r w:rsidRPr="00A1244F">
        <w:t xml:space="preserve"> les ressources humaines pour répondre aux </w:t>
      </w:r>
      <w:r w:rsidR="00823680" w:rsidRPr="00A1244F">
        <w:t>diverses</w:t>
      </w:r>
      <w:r w:rsidRPr="00A1244F">
        <w:t xml:space="preserve"> exigences en </w:t>
      </w:r>
      <w:r w:rsidR="00823680" w:rsidRPr="00A1244F">
        <w:t>matière</w:t>
      </w:r>
      <w:r w:rsidRPr="00A1244F">
        <w:t xml:space="preserve"> </w:t>
      </w:r>
      <w:r w:rsidR="00823680" w:rsidRPr="00A1244F">
        <w:t>d</w:t>
      </w:r>
      <w:r w:rsidR="006408BB">
        <w:t>’</w:t>
      </w:r>
      <w:r w:rsidRPr="00A1244F">
        <w:t>utilisation efficace de la propriété intellectuelle au service du développement dans les pays en dével</w:t>
      </w:r>
      <w:r w:rsidR="00B144C5" w:rsidRPr="00A1244F">
        <w:t>oppement, les pays les moins avancés</w:t>
      </w:r>
      <w:r w:rsidRPr="00A1244F">
        <w:t xml:space="preserve"> et les pays en transition.</w:t>
      </w:r>
    </w:p>
    <w:p w:rsidR="00610DAF" w:rsidRPr="00A1244F" w:rsidRDefault="0005325E" w:rsidP="0067547F">
      <w:pPr>
        <w:pStyle w:val="ONUMFS"/>
        <w:numPr>
          <w:ilvl w:val="1"/>
          <w:numId w:val="5"/>
        </w:numPr>
      </w:pPr>
      <w:r w:rsidRPr="00A1244F">
        <w:t>Le projet était</w:t>
      </w:r>
      <w:r w:rsidR="00610DAF" w:rsidRPr="00A1244F">
        <w:t xml:space="preserve"> principalement </w:t>
      </w:r>
      <w:r w:rsidRPr="00A1244F">
        <w:t>en lien avec le</w:t>
      </w:r>
      <w:r w:rsidR="00610DAF" w:rsidRPr="00A1244F">
        <w:t xml:space="preserve"> programme</w:t>
      </w:r>
      <w:r w:rsidR="0088350E">
        <w:t> </w:t>
      </w:r>
      <w:r w:rsidR="00610DAF" w:rsidRPr="00A1244F">
        <w:t>3</w:t>
      </w:r>
      <w:r w:rsidRPr="00A1244F">
        <w:rPr>
          <w:rStyle w:val="FootnoteReference"/>
        </w:rPr>
        <w:footnoteReference w:id="28"/>
      </w:r>
      <w:r w:rsidR="00610DAF" w:rsidRPr="00A1244F">
        <w:t xml:space="preserve">, </w:t>
      </w:r>
      <w:r w:rsidRPr="00A1244F">
        <w:t>également</w:t>
      </w:r>
      <w:r w:rsidR="00610DAF" w:rsidRPr="00A1244F">
        <w:t xml:space="preserve"> programme de mise en </w:t>
      </w:r>
      <w:r w:rsidRPr="00A1244F">
        <w:t>œuvre, qui vise</w:t>
      </w:r>
      <w:r w:rsidR="00610DAF" w:rsidRPr="00A1244F">
        <w:t xml:space="preserve"> </w:t>
      </w:r>
      <w:r w:rsidRPr="00A1244F">
        <w:t>le renforcement</w:t>
      </w:r>
      <w:r w:rsidR="00610DAF" w:rsidRPr="00A1244F">
        <w:t xml:space="preserve"> </w:t>
      </w:r>
      <w:r w:rsidRPr="00A1244F">
        <w:t>d</w:t>
      </w:r>
      <w:r w:rsidR="00610DAF" w:rsidRPr="00A1244F">
        <w:t xml:space="preserve">es capacités et </w:t>
      </w:r>
      <w:r w:rsidRPr="00A1244F">
        <w:t>d</w:t>
      </w:r>
      <w:r w:rsidR="00610DAF" w:rsidRPr="00A1244F">
        <w:t xml:space="preserve">es compétences </w:t>
      </w:r>
      <w:r w:rsidRPr="00A1244F">
        <w:t>pour</w:t>
      </w:r>
      <w:r w:rsidR="00610DAF" w:rsidRPr="00A1244F">
        <w:t xml:space="preserve"> l</w:t>
      </w:r>
      <w:r w:rsidR="006408BB">
        <w:t>’</w:t>
      </w:r>
      <w:r w:rsidR="00610DAF" w:rsidRPr="00A1244F">
        <w:t>utilisation et la gestion efficaces du droit d</w:t>
      </w:r>
      <w:r w:rsidR="006408BB">
        <w:t>’</w:t>
      </w:r>
      <w:r w:rsidR="00610DAF" w:rsidRPr="00A1244F">
        <w:t xml:space="preserve">auteur et des droits connexes dans le </w:t>
      </w:r>
      <w:r w:rsidRPr="00A1244F">
        <w:t xml:space="preserve">cadre du </w:t>
      </w:r>
      <w:r w:rsidR="00610DAF" w:rsidRPr="00A1244F">
        <w:t>financement et</w:t>
      </w:r>
      <w:r w:rsidRPr="00A1244F">
        <w:t xml:space="preserve"> de l</w:t>
      </w:r>
      <w:r w:rsidR="006408BB">
        <w:t>’</w:t>
      </w:r>
      <w:r w:rsidRPr="00A1244F">
        <w:t>exploitation légitime des</w:t>
      </w:r>
      <w:r w:rsidR="00610DAF" w:rsidRPr="00A1244F">
        <w:t xml:space="preserve"> contenu</w:t>
      </w:r>
      <w:r w:rsidRPr="00A1244F">
        <w:t>s</w:t>
      </w:r>
      <w:r w:rsidR="00610DAF" w:rsidRPr="00A1244F">
        <w:t xml:space="preserve"> audiovisuel</w:t>
      </w:r>
      <w:r w:rsidRPr="00A1244F">
        <w:t>s</w:t>
      </w:r>
      <w:r w:rsidR="00610DAF" w:rsidRPr="00A1244F">
        <w:t xml:space="preserve">, </w:t>
      </w:r>
      <w:r w:rsidRPr="00A1244F">
        <w:t>en vue d</w:t>
      </w:r>
      <w:r w:rsidR="006408BB">
        <w:t>’</w:t>
      </w:r>
      <w:r w:rsidRPr="00A1244F">
        <w:t>appuyer l</w:t>
      </w:r>
      <w:r w:rsidR="00610DAF" w:rsidRPr="00A1244F">
        <w:t>e développement du secteur audiovisuel local à l</w:t>
      </w:r>
      <w:r w:rsidR="006408BB">
        <w:t>’</w:t>
      </w:r>
      <w:r w:rsidR="00610DAF" w:rsidRPr="00A1244F">
        <w:t>ère du numérique</w:t>
      </w:r>
      <w:r w:rsidRPr="00A1244F">
        <w:t xml:space="preserve"> aux fins de la promotion du</w:t>
      </w:r>
      <w:r w:rsidR="00610DAF" w:rsidRPr="00A1244F">
        <w:t xml:space="preserve"> développement économique, social et culturel.</w:t>
      </w:r>
    </w:p>
    <w:p w:rsidR="00610DAF" w:rsidRPr="00A1244F" w:rsidRDefault="00180D7B" w:rsidP="0067547F">
      <w:pPr>
        <w:pStyle w:val="ONUMFS"/>
        <w:numPr>
          <w:ilvl w:val="1"/>
          <w:numId w:val="5"/>
        </w:numPr>
      </w:pPr>
      <w:r w:rsidRPr="00A1244F">
        <w:t>Bien qu</w:t>
      </w:r>
      <w:r w:rsidR="006408BB">
        <w:t>’</w:t>
      </w:r>
      <w:r w:rsidRPr="00A1244F">
        <w:t>à un degré</w:t>
      </w:r>
      <w:r w:rsidR="00610DAF" w:rsidRPr="00A1244F">
        <w:t xml:space="preserve"> moindre, le projet</w:t>
      </w:r>
      <w:r w:rsidRPr="00A1244F">
        <w:t xml:space="preserve"> contribue également </w:t>
      </w:r>
      <w:r w:rsidR="00610DAF" w:rsidRPr="00A1244F">
        <w:t>aux objectifs des programmes</w:t>
      </w:r>
      <w:r w:rsidR="0088350E">
        <w:t> </w:t>
      </w:r>
      <w:r w:rsidR="00610DAF" w:rsidRPr="00A1244F">
        <w:t>9 (</w:t>
      </w:r>
      <w:r w:rsidRPr="00A1244F">
        <w:t xml:space="preserve">axé </w:t>
      </w:r>
      <w:r w:rsidR="00610DAF" w:rsidRPr="00A1244F">
        <w:t>sur l</w:t>
      </w:r>
      <w:r w:rsidR="006408BB">
        <w:t>’</w:t>
      </w:r>
      <w:r w:rsidR="00610DAF" w:rsidRPr="00A1244F">
        <w:t xml:space="preserve">Afrique), </w:t>
      </w:r>
      <w:r w:rsidRPr="00A1244F">
        <w:t>du programme</w:t>
      </w:r>
      <w:r w:rsidR="0088350E">
        <w:t> </w:t>
      </w:r>
      <w:r w:rsidR="00610DAF" w:rsidRPr="00A1244F">
        <w:t>11 (cours d</w:t>
      </w:r>
      <w:r w:rsidR="006408BB">
        <w:t>’</w:t>
      </w:r>
      <w:r w:rsidR="00610DAF" w:rsidRPr="00A1244F">
        <w:t>enseignement à distance prévu po</w:t>
      </w:r>
      <w:r w:rsidRPr="00A1244F">
        <w:t>ur le secteur de l</w:t>
      </w:r>
      <w:r w:rsidR="006408BB">
        <w:t>’</w:t>
      </w:r>
      <w:r w:rsidRPr="00A1244F">
        <w:t>audiovisuel), du programme</w:t>
      </w:r>
      <w:r w:rsidR="0088350E">
        <w:t> </w:t>
      </w:r>
      <w:r w:rsidR="00610DAF" w:rsidRPr="00A1244F">
        <w:t>15 (certains aspects de l</w:t>
      </w:r>
      <w:r w:rsidR="006408BB">
        <w:t>’</w:t>
      </w:r>
      <w:r w:rsidR="00610DAF" w:rsidRPr="00A1244F">
        <w:t>infrastructure informatique des sociétés de perception)</w:t>
      </w:r>
      <w:r w:rsidRPr="00A1244F">
        <w:t>, du programme</w:t>
      </w:r>
      <w:r w:rsidR="0088350E">
        <w:t> </w:t>
      </w:r>
      <w:r w:rsidRPr="00A1244F">
        <w:t>16 (étude de faisabilité sur l</w:t>
      </w:r>
      <w:r w:rsidR="006408BB">
        <w:t>’</w:t>
      </w:r>
      <w:r w:rsidRPr="00A1244F">
        <w:t xml:space="preserve">amélioration </w:t>
      </w:r>
      <w:r w:rsidR="00610DAF" w:rsidRPr="00A1244F">
        <w:t xml:space="preserve">de la collecte de données économiques) et </w:t>
      </w:r>
      <w:r w:rsidRPr="00A1244F">
        <w:t>du programme</w:t>
      </w:r>
      <w:r w:rsidR="0088350E">
        <w:t> </w:t>
      </w:r>
      <w:r w:rsidR="00610DAF" w:rsidRPr="00A1244F">
        <w:t xml:space="preserve">17 (une formation </w:t>
      </w:r>
      <w:r w:rsidRPr="00A1244F">
        <w:t>au</w:t>
      </w:r>
      <w:r w:rsidR="00610DAF" w:rsidRPr="00A1244F">
        <w:t xml:space="preserve"> règlement des litiges, </w:t>
      </w:r>
      <w:r w:rsidR="006408BB">
        <w:t>y compris</w:t>
      </w:r>
      <w:r w:rsidR="00610DAF" w:rsidRPr="00A1244F">
        <w:t xml:space="preserve"> </w:t>
      </w:r>
      <w:r w:rsidRPr="00A1244F">
        <w:t xml:space="preserve">à </w:t>
      </w:r>
      <w:r w:rsidR="00610DAF" w:rsidRPr="00A1244F">
        <w:t xml:space="preserve">la médiation et </w:t>
      </w:r>
      <w:r w:rsidRPr="00A1244F">
        <w:t xml:space="preserve">à </w:t>
      </w:r>
      <w:r w:rsidR="00610DAF" w:rsidRPr="00A1244F">
        <w:t>l</w:t>
      </w:r>
      <w:r w:rsidR="006408BB">
        <w:t>’</w:t>
      </w:r>
      <w:r w:rsidR="00610DAF" w:rsidRPr="00A1244F">
        <w:t>arbitrage)</w:t>
      </w:r>
      <w:r w:rsidR="00610DAF" w:rsidRPr="00A1244F">
        <w:rPr>
          <w:rStyle w:val="FootnoteReference"/>
        </w:rPr>
        <w:footnoteReference w:id="29"/>
      </w:r>
      <w:r w:rsidR="005839C0" w:rsidRPr="00A1244F">
        <w:t>.</w:t>
      </w:r>
    </w:p>
    <w:p w:rsidR="00610DAF" w:rsidRDefault="00610DAF" w:rsidP="00367DB6">
      <w:pPr>
        <w:pStyle w:val="Heading3"/>
      </w:pPr>
      <w:bookmarkStart w:id="24" w:name="_Toc3880384"/>
      <w:r w:rsidRPr="00A1244F">
        <w:lastRenderedPageBreak/>
        <w:t>Pertinence pour les bénéficiaires</w:t>
      </w:r>
      <w:bookmarkEnd w:id="24"/>
    </w:p>
    <w:p w:rsidR="00367DB6" w:rsidRPr="00367DB6" w:rsidRDefault="00367DB6" w:rsidP="00367DB6">
      <w:pPr>
        <w:keepNext/>
      </w:pPr>
    </w:p>
    <w:p w:rsidR="00610DAF" w:rsidRPr="00A1244F" w:rsidRDefault="00610DAF" w:rsidP="00367DB6">
      <w:pPr>
        <w:pStyle w:val="ONUMFS"/>
      </w:pPr>
      <w:r w:rsidRPr="00A1244F">
        <w:t>Conformément à l</w:t>
      </w:r>
      <w:r w:rsidR="006408BB">
        <w:t>’</w:t>
      </w:r>
      <w:r w:rsidRPr="00A1244F">
        <w:t>étude exploratoire</w:t>
      </w:r>
      <w:r w:rsidR="0062441C" w:rsidRPr="00A1244F">
        <w:rPr>
          <w:rStyle w:val="FootnoteReference"/>
        </w:rPr>
        <w:footnoteReference w:id="30"/>
      </w:r>
      <w:r w:rsidRPr="00A1244F">
        <w:t xml:space="preserve"> réalisée par le Secrétariat dans le cadre du projet CDIP/9/13 (phase I), le secteur de l</w:t>
      </w:r>
      <w:r w:rsidR="006408BB">
        <w:t>’</w:t>
      </w:r>
      <w:r w:rsidRPr="00A1244F">
        <w:t>audiovisuel figure parmi les actifs intellectuels les plus créatifs de l</w:t>
      </w:r>
      <w:r w:rsidR="006408BB">
        <w:t>’</w:t>
      </w:r>
      <w:r w:rsidRPr="00A1244F">
        <w:t xml:space="preserve">économie du savoir et </w:t>
      </w:r>
      <w:r w:rsidR="00B82327" w:rsidRPr="00A1244F">
        <w:t xml:space="preserve">représente </w:t>
      </w:r>
      <w:r w:rsidRPr="00A1244F">
        <w:t xml:space="preserve">un secteur </w:t>
      </w:r>
      <w:r w:rsidR="00B82327" w:rsidRPr="00A1244F">
        <w:t>essentiel à</w:t>
      </w:r>
      <w:r w:rsidRPr="00A1244F">
        <w:t xml:space="preserve"> la croissance économi</w:t>
      </w:r>
      <w:r w:rsidR="00B82327" w:rsidRPr="00A1244F">
        <w:t>que et au</w:t>
      </w:r>
      <w:r w:rsidRPr="00A1244F">
        <w:t xml:space="preserve"> développement de l</w:t>
      </w:r>
      <w:r w:rsidR="006408BB">
        <w:t>’</w:t>
      </w:r>
      <w:r w:rsidRPr="00A1244F">
        <w:t>Afrique</w:t>
      </w:r>
      <w:r w:rsidRPr="00A1244F">
        <w:rPr>
          <w:rStyle w:val="FootnoteReference"/>
        </w:rPr>
        <w:footnoteReference w:id="31"/>
      </w:r>
      <w:r w:rsidR="005839C0">
        <w:t>.</w:t>
      </w:r>
      <w:r w:rsidR="0062441C" w:rsidRPr="00A1244F">
        <w:t xml:space="preserve">  </w:t>
      </w:r>
      <w:r w:rsidRPr="00A1244F">
        <w:t xml:space="preserve">Le secteur </w:t>
      </w:r>
      <w:r w:rsidR="00B82327" w:rsidRPr="00A1244F">
        <w:t>de l</w:t>
      </w:r>
      <w:r w:rsidR="006408BB">
        <w:t>’</w:t>
      </w:r>
      <w:r w:rsidRPr="00A1244F">
        <w:t xml:space="preserve">audiovisuel offre des possibilités uniques de </w:t>
      </w:r>
      <w:r w:rsidR="00B82327" w:rsidRPr="00A1244F">
        <w:t>transformation socioculturelle</w:t>
      </w:r>
      <w:r w:rsidRPr="00A1244F">
        <w:t xml:space="preserve"> </w:t>
      </w:r>
      <w:r w:rsidR="00B82327" w:rsidRPr="00A1244F">
        <w:t>par le</w:t>
      </w:r>
      <w:r w:rsidRPr="00A1244F">
        <w:t xml:space="preserve"> développement des infrastructures, </w:t>
      </w:r>
      <w:r w:rsidR="00B82327" w:rsidRPr="00A1244F">
        <w:t xml:space="preserve">la promotion touristique, les </w:t>
      </w:r>
      <w:r w:rsidRPr="00A1244F">
        <w:t>investissement</w:t>
      </w:r>
      <w:r w:rsidR="00B82327" w:rsidRPr="00A1244F">
        <w:t>s et</w:t>
      </w:r>
      <w:r w:rsidRPr="00A1244F">
        <w:t xml:space="preserve"> la création d</w:t>
      </w:r>
      <w:r w:rsidR="006408BB">
        <w:t>’</w:t>
      </w:r>
      <w:r w:rsidRPr="00A1244F">
        <w:t>emplois.</w:t>
      </w:r>
    </w:p>
    <w:p w:rsidR="00610DAF" w:rsidRPr="00A1244F" w:rsidRDefault="00610DAF" w:rsidP="00367DB6">
      <w:pPr>
        <w:pStyle w:val="ONUMFS"/>
      </w:pPr>
      <w:r w:rsidRPr="00A1244F">
        <w:t>L</w:t>
      </w:r>
      <w:r w:rsidR="006408BB">
        <w:t>’</w:t>
      </w:r>
      <w:r w:rsidRPr="00A1244F">
        <w:t xml:space="preserve">étude souligne en outre que les nouvelles technologies ont </w:t>
      </w:r>
      <w:r w:rsidR="00B82327" w:rsidRPr="00A1244F">
        <w:t>stimul</w:t>
      </w:r>
      <w:r w:rsidRPr="00A1244F">
        <w:t xml:space="preserve">é une nouvelle génération de cinéastes indépendants motivés </w:t>
      </w:r>
      <w:r w:rsidR="00B82327" w:rsidRPr="00A1244F">
        <w:t>à</w:t>
      </w:r>
      <w:r w:rsidRPr="00A1244F">
        <w:t xml:space="preserve"> entrer su</w:t>
      </w:r>
      <w:r w:rsidR="00B82327" w:rsidRPr="00A1244F">
        <w:t>r le marché mondial, mais qu</w:t>
      </w:r>
      <w:r w:rsidR="006408BB">
        <w:t>’</w:t>
      </w:r>
      <w:r w:rsidR="00B82327" w:rsidRPr="00A1244F">
        <w:t>elles</w:t>
      </w:r>
      <w:r w:rsidRPr="00A1244F">
        <w:t xml:space="preserve"> ont également eu une incidence sur la valeur des différents droits de propriété intellectuelle dans l</w:t>
      </w:r>
      <w:r w:rsidR="006408BB">
        <w:t>’</w:t>
      </w:r>
      <w:r w:rsidRPr="00A1244F">
        <w:t>industr</w:t>
      </w:r>
      <w:r w:rsidR="002140BE" w:rsidRPr="00A1244F">
        <w:t>ie</w:t>
      </w:r>
      <w:r w:rsidR="002140BE">
        <w:t xml:space="preserve">.  </w:t>
      </w:r>
      <w:r w:rsidR="002140BE" w:rsidRPr="00A1244F">
        <w:t>Pa</w:t>
      </w:r>
      <w:r w:rsidRPr="00A1244F">
        <w:t>rallèlement, le marché africain de l</w:t>
      </w:r>
      <w:r w:rsidR="006408BB">
        <w:t>’</w:t>
      </w:r>
      <w:r w:rsidRPr="00A1244F">
        <w:t>a</w:t>
      </w:r>
      <w:r w:rsidR="000C1170" w:rsidRPr="00A1244F">
        <w:t>udiovisuel doit faire face à d</w:t>
      </w:r>
      <w:r w:rsidR="006408BB">
        <w:t>’</w:t>
      </w:r>
      <w:r w:rsidR="000C1170" w:rsidRPr="00A1244F">
        <w:t>importants</w:t>
      </w:r>
      <w:r w:rsidRPr="00A1244F">
        <w:t xml:space="preserve"> défis, ainsi qu</w:t>
      </w:r>
      <w:r w:rsidR="006408BB">
        <w:t>’</w:t>
      </w:r>
      <w:r w:rsidRPr="00A1244F">
        <w:t>en témoignent les conséquences à long terme du passage à la télévision numérique, qui favorisera un accroissement considérable du nombre de chaînes et l</w:t>
      </w:r>
      <w:r w:rsidR="006408BB">
        <w:t>’</w:t>
      </w:r>
      <w:r w:rsidRPr="00A1244F">
        <w:t xml:space="preserve">apparition de nouveaux services audiovisuels sur tout le continent, tels que les services en ligne de vidéo à la demande (VOD) ou les services de télévision par protocole Internet (IPTV), </w:t>
      </w:r>
      <w:r w:rsidR="006408BB">
        <w:t>y compris</w:t>
      </w:r>
      <w:r w:rsidRPr="00A1244F">
        <w:t xml:space="preserve"> les services destinés aux </w:t>
      </w:r>
      <w:r w:rsidR="00B82327" w:rsidRPr="00A1244F">
        <w:t>smartphones</w:t>
      </w:r>
      <w:r w:rsidRPr="00A1244F">
        <w:t>.</w:t>
      </w:r>
    </w:p>
    <w:p w:rsidR="00610DAF" w:rsidRPr="00A1244F" w:rsidRDefault="00610DAF" w:rsidP="00367DB6">
      <w:pPr>
        <w:pStyle w:val="ONUMFS"/>
      </w:pPr>
      <w:r w:rsidRPr="00A1244F">
        <w:t>Si la nouvel</w:t>
      </w:r>
      <w:r w:rsidR="00B82327" w:rsidRPr="00A1244F">
        <w:t>le infrastructure numérique ouvre</w:t>
      </w:r>
      <w:r w:rsidRPr="00A1244F">
        <w:t xml:space="preserve"> de nouvelles </w:t>
      </w:r>
      <w:r w:rsidR="00B82327" w:rsidRPr="00A1244F">
        <w:t>perspectives en matière de création</w:t>
      </w:r>
      <w:r w:rsidRPr="00A1244F">
        <w:t xml:space="preserve"> de contenu local, les </w:t>
      </w:r>
      <w:r w:rsidR="00B82327" w:rsidRPr="00A1244F">
        <w:t>professionnels du secteur</w:t>
      </w:r>
      <w:r w:rsidRPr="00A1244F">
        <w:t xml:space="preserve"> </w:t>
      </w:r>
      <w:r w:rsidR="00B82327" w:rsidRPr="00A1244F">
        <w:t>s</w:t>
      </w:r>
      <w:r w:rsidRPr="00A1244F">
        <w:t xml:space="preserve">ont préoccupés par la viabilité de ce marché en évolution, qui </w:t>
      </w:r>
      <w:r w:rsidR="00B82327" w:rsidRPr="00A1244F">
        <w:t>r</w:t>
      </w:r>
      <w:r w:rsidRPr="00A1244F">
        <w:t>est</w:t>
      </w:r>
      <w:r w:rsidR="00B82327" w:rsidRPr="00A1244F">
        <w:t>e</w:t>
      </w:r>
      <w:r w:rsidRPr="00A1244F">
        <w:t xml:space="preserve"> dominé par les p</w:t>
      </w:r>
      <w:r w:rsidR="00A97D66" w:rsidRPr="00A1244F">
        <w:t>etites et moyennes entreprises</w:t>
      </w:r>
      <w:r w:rsidR="00B82327" w:rsidRPr="00A1244F">
        <w:t>, un marché publicitaire stagnant</w:t>
      </w:r>
      <w:r w:rsidRPr="00A1244F">
        <w:t xml:space="preserve"> </w:t>
      </w:r>
      <w:r w:rsidR="00B82327" w:rsidRPr="00A1244F">
        <w:t>et des</w:t>
      </w:r>
      <w:r w:rsidRPr="00A1244F">
        <w:t xml:space="preserve"> petites entreprises audiovisuelles, incap</w:t>
      </w:r>
      <w:r w:rsidR="009C7909" w:rsidRPr="00A1244F">
        <w:t>ables de concéder des licences po</w:t>
      </w:r>
      <w:r w:rsidRPr="00A1244F">
        <w:t>ur leur</w:t>
      </w:r>
      <w:r w:rsidR="009C7909" w:rsidRPr="00A1244F">
        <w:t>s</w:t>
      </w:r>
      <w:r w:rsidRPr="00A1244F">
        <w:t xml:space="preserve"> contenu</w:t>
      </w:r>
      <w:r w:rsidR="009C7909" w:rsidRPr="00A1244F">
        <w:t>s à des niveaux de</w:t>
      </w:r>
      <w:r w:rsidRPr="00A1244F">
        <w:t xml:space="preserve"> prix </w:t>
      </w:r>
      <w:r w:rsidR="009C7909" w:rsidRPr="00A1244F">
        <w:t>soutenables</w:t>
      </w:r>
      <w:r w:rsidR="000C1170" w:rsidRPr="00A1244F">
        <w:t xml:space="preserve"> en</w:t>
      </w:r>
      <w:r w:rsidRPr="00A1244F">
        <w:t xml:space="preserve"> raison </w:t>
      </w:r>
      <w:r w:rsidR="00166496" w:rsidRPr="00A1244F">
        <w:t>d</w:t>
      </w:r>
      <w:r w:rsidR="006408BB">
        <w:t>’</w:t>
      </w:r>
      <w:r w:rsidR="00166496" w:rsidRPr="00A1244F">
        <w:t>un faible</w:t>
      </w:r>
      <w:r w:rsidRPr="00A1244F">
        <w:t xml:space="preserve"> </w:t>
      </w:r>
      <w:r w:rsidR="00166496" w:rsidRPr="00A1244F">
        <w:t xml:space="preserve">niveau de </w:t>
      </w:r>
      <w:r w:rsidRPr="00A1244F">
        <w:t xml:space="preserve">compétences et </w:t>
      </w:r>
      <w:r w:rsidR="00166496" w:rsidRPr="00A1244F">
        <w:t>de l</w:t>
      </w:r>
      <w:r w:rsidR="006408BB">
        <w:t>’</w:t>
      </w:r>
      <w:r w:rsidR="00166496" w:rsidRPr="00A1244F">
        <w:t>absence</w:t>
      </w:r>
      <w:r w:rsidRPr="00A1244F">
        <w:t xml:space="preserve"> d</w:t>
      </w:r>
      <w:r w:rsidR="006408BB">
        <w:t>’</w:t>
      </w:r>
      <w:r w:rsidRPr="00A1244F">
        <w:t>infrastructures d</w:t>
      </w:r>
      <w:r w:rsidR="006408BB">
        <w:t>’</w:t>
      </w:r>
      <w:r w:rsidRPr="00A1244F">
        <w:t>appui.</w:t>
      </w:r>
    </w:p>
    <w:p w:rsidR="00610DAF" w:rsidRPr="00A1244F" w:rsidRDefault="00610DAF" w:rsidP="00367DB6">
      <w:pPr>
        <w:pStyle w:val="ONUMFS"/>
      </w:pPr>
      <w:r w:rsidRPr="00A1244F">
        <w:t>L</w:t>
      </w:r>
      <w:r w:rsidR="006408BB">
        <w:t>’</w:t>
      </w:r>
      <w:r w:rsidRPr="00A1244F">
        <w:t>étude exploratoire co</w:t>
      </w:r>
      <w:r w:rsidR="00166496" w:rsidRPr="00A1244F">
        <w:t>nclut que le passage au numérique demeure une occasion de revitalis</w:t>
      </w:r>
      <w:r w:rsidRPr="00A1244F">
        <w:t>er l</w:t>
      </w:r>
      <w:r w:rsidR="006408BB">
        <w:t>’</w:t>
      </w:r>
      <w:r w:rsidRPr="00A1244F">
        <w:t xml:space="preserve">économie locale </w:t>
      </w:r>
      <w:r w:rsidR="00166496" w:rsidRPr="00A1244F">
        <w:t xml:space="preserve">de contenus cinématographiques </w:t>
      </w:r>
      <w:r w:rsidRPr="00A1244F">
        <w:t>audiovisuel</w:t>
      </w:r>
      <w:r w:rsidR="00166496" w:rsidRPr="00A1244F">
        <w:t>s, afin de</w:t>
      </w:r>
      <w:r w:rsidRPr="00A1244F">
        <w:t xml:space="preserve"> l</w:t>
      </w:r>
      <w:r w:rsidR="006408BB">
        <w:t>’</w:t>
      </w:r>
      <w:r w:rsidRPr="00A1244F">
        <w:t>intégrer dans les politiques de développeme</w:t>
      </w:r>
      <w:r w:rsidR="002140BE" w:rsidRPr="00A1244F">
        <w:t>nt</w:t>
      </w:r>
      <w:r w:rsidR="002140BE">
        <w:t xml:space="preserve">.  </w:t>
      </w:r>
      <w:r w:rsidR="002140BE" w:rsidRPr="00A1244F">
        <w:t>Ma</w:t>
      </w:r>
      <w:r w:rsidRPr="00A1244F">
        <w:t>is des efforts sont nécessaires pou</w:t>
      </w:r>
      <w:r w:rsidR="00166496" w:rsidRPr="00A1244F">
        <w:t>r protéger les intérêts des</w:t>
      </w:r>
      <w:r w:rsidRPr="00A1244F">
        <w:t xml:space="preserve"> industries </w:t>
      </w:r>
      <w:r w:rsidR="00166496" w:rsidRPr="00A1244F">
        <w:t>cinématographiques</w:t>
      </w:r>
      <w:r w:rsidRPr="00A1244F">
        <w:t xml:space="preserve">, </w:t>
      </w:r>
      <w:r w:rsidR="00166496" w:rsidRPr="00A1244F">
        <w:t>en se fondant sur les</w:t>
      </w:r>
      <w:r w:rsidRPr="00A1244F">
        <w:t xml:space="preserve"> pratiques reconnues </w:t>
      </w:r>
      <w:r w:rsidR="00166496" w:rsidRPr="00A1244F">
        <w:t>afin</w:t>
      </w:r>
      <w:r w:rsidRPr="00A1244F">
        <w:t xml:space="preserve"> </w:t>
      </w:r>
      <w:r w:rsidR="00166496" w:rsidRPr="00A1244F">
        <w:t>d</w:t>
      </w:r>
      <w:r w:rsidR="006408BB">
        <w:t>’</w:t>
      </w:r>
      <w:r w:rsidRPr="00A1244F">
        <w:t>encourager la confiance en matière d</w:t>
      </w:r>
      <w:r w:rsidR="006408BB">
        <w:t>’</w:t>
      </w:r>
      <w:r w:rsidRPr="00A1244F">
        <w:t>investissement et</w:t>
      </w:r>
      <w:r w:rsidR="00166496" w:rsidRPr="00A1244F">
        <w:t xml:space="preserve"> de</w:t>
      </w:r>
      <w:r w:rsidRPr="00A1244F">
        <w:t xml:space="preserve"> permettre à la communauté </w:t>
      </w:r>
      <w:r w:rsidR="00166496" w:rsidRPr="00A1244F">
        <w:t>des créateurs</w:t>
      </w:r>
      <w:r w:rsidRPr="00A1244F">
        <w:t xml:space="preserve"> de maximiser la valeur de leurs actifs de création.</w:t>
      </w:r>
    </w:p>
    <w:p w:rsidR="00610DAF" w:rsidRPr="00A1244F" w:rsidRDefault="00610DAF" w:rsidP="00367DB6">
      <w:pPr>
        <w:pStyle w:val="ONUMFS"/>
      </w:pPr>
      <w:r w:rsidRPr="00A1244F">
        <w:t>Le projet a</w:t>
      </w:r>
      <w:r w:rsidR="006561CF" w:rsidRPr="00A1244F">
        <w:t xml:space="preserve"> répondu rapidement </w:t>
      </w:r>
      <w:r w:rsidRPr="00A1244F">
        <w:t xml:space="preserve">au défi </w:t>
      </w:r>
      <w:r w:rsidR="006561CF" w:rsidRPr="00A1244F">
        <w:t xml:space="preserve">que représentent </w:t>
      </w:r>
      <w:r w:rsidRPr="00A1244F">
        <w:t>l</w:t>
      </w:r>
      <w:r w:rsidR="006408BB">
        <w:t>’</w:t>
      </w:r>
      <w:r w:rsidRPr="00A1244F">
        <w:t>évolution rapi</w:t>
      </w:r>
      <w:r w:rsidR="006561CF" w:rsidRPr="00A1244F">
        <w:t>de des technologies et les interactions entre ces nouvelles technologies et les systèmes de protection par le</w:t>
      </w:r>
      <w:r w:rsidRPr="00A1244F">
        <w:t xml:space="preserve"> droit d</w:t>
      </w:r>
      <w:r w:rsidR="006408BB">
        <w:t>’</w:t>
      </w:r>
      <w:r w:rsidRPr="00A1244F">
        <w:t>aute</w:t>
      </w:r>
      <w:r w:rsidR="002140BE" w:rsidRPr="00A1244F">
        <w:t>ur</w:t>
      </w:r>
      <w:r w:rsidR="002140BE">
        <w:t xml:space="preserve">.  </w:t>
      </w:r>
      <w:r w:rsidR="002140BE" w:rsidRPr="00A1244F">
        <w:t>Te</w:t>
      </w:r>
      <w:r w:rsidRPr="00A1244F">
        <w:t xml:space="preserve">chnologie numérique, Internet et applications mobiles </w:t>
      </w:r>
      <w:r w:rsidR="006561CF" w:rsidRPr="00A1244F">
        <w:t>opèrent un changement radical sur les</w:t>
      </w:r>
      <w:r w:rsidRPr="00A1244F">
        <w:t xml:space="preserve"> industries de la création.</w:t>
      </w:r>
    </w:p>
    <w:p w:rsidR="00610DAF" w:rsidRPr="00A1244F" w:rsidRDefault="006561CF" w:rsidP="00367DB6">
      <w:pPr>
        <w:pStyle w:val="ONUMFS"/>
      </w:pPr>
      <w:r w:rsidRPr="00A1244F">
        <w:t>L</w:t>
      </w:r>
      <w:r w:rsidR="006408BB">
        <w:t>’</w:t>
      </w:r>
      <w:r w:rsidRPr="00A1244F">
        <w:t>augmentation du nombre de transactions</w:t>
      </w:r>
      <w:r w:rsidR="00610DAF" w:rsidRPr="00A1244F">
        <w:t xml:space="preserve"> commerciales dans le secteur de l</w:t>
      </w:r>
      <w:r w:rsidR="006408BB">
        <w:t>’</w:t>
      </w:r>
      <w:r w:rsidR="00610DAF" w:rsidRPr="00A1244F">
        <w:t xml:space="preserve">audiovisuel a entraîné </w:t>
      </w:r>
      <w:r w:rsidRPr="00A1244F">
        <w:t>un manque</w:t>
      </w:r>
      <w:r w:rsidR="00610DAF" w:rsidRPr="00A1244F">
        <w:t xml:space="preserve"> de compétences </w:t>
      </w:r>
      <w:r w:rsidR="00437A38" w:rsidRPr="00A1244F">
        <w:t xml:space="preserve">spécialisées </w:t>
      </w:r>
      <w:r w:rsidR="00610DAF" w:rsidRPr="00A1244F">
        <w:t xml:space="preserve">du corps judiciaire et </w:t>
      </w:r>
      <w:r w:rsidR="00437A38" w:rsidRPr="00A1244F">
        <w:t xml:space="preserve">une pénurie </w:t>
      </w:r>
      <w:r w:rsidR="00610DAF" w:rsidRPr="00A1244F">
        <w:t>d</w:t>
      </w:r>
      <w:r w:rsidR="006408BB">
        <w:t>’</w:t>
      </w:r>
      <w:r w:rsidR="00610DAF" w:rsidRPr="00A1244F">
        <w:t>avocats</w:t>
      </w:r>
      <w:r w:rsidR="00437A38" w:rsidRPr="00A1244F">
        <w:t xml:space="preserve"> qualifi</w:t>
      </w:r>
      <w:r w:rsidR="002140BE" w:rsidRPr="00A1244F">
        <w:t>és</w:t>
      </w:r>
      <w:r w:rsidR="002140BE">
        <w:t xml:space="preserve">.  </w:t>
      </w:r>
      <w:r w:rsidR="002140BE" w:rsidRPr="00A1244F">
        <w:t>Ce</w:t>
      </w:r>
      <w:r w:rsidR="00610DAF" w:rsidRPr="00A1244F">
        <w:t>tte question a été traitée au moyen de formations spécialisées.</w:t>
      </w:r>
    </w:p>
    <w:p w:rsidR="00610DAF" w:rsidRPr="00A1244F" w:rsidRDefault="00610DAF" w:rsidP="00367DB6">
      <w:pPr>
        <w:pStyle w:val="ONUMFS"/>
      </w:pPr>
      <w:r w:rsidRPr="00A1244F">
        <w:t xml:space="preserve">Le projet a également </w:t>
      </w:r>
      <w:r w:rsidR="00437A38" w:rsidRPr="00A1244F">
        <w:t>répondu aux</w:t>
      </w:r>
      <w:r w:rsidRPr="00A1244F">
        <w:t xml:space="preserve"> besoins exprimés par les pays bénéficiaires </w:t>
      </w:r>
      <w:r w:rsidR="00DD592B" w:rsidRPr="00A1244F">
        <w:t>aux fins du</w:t>
      </w:r>
      <w:r w:rsidR="00437A38" w:rsidRPr="00A1244F">
        <w:t xml:space="preserve"> renforce</w:t>
      </w:r>
      <w:r w:rsidR="00DD592B" w:rsidRPr="00A1244F">
        <w:t>ment de</w:t>
      </w:r>
      <w:r w:rsidRPr="00A1244F">
        <w:t xml:space="preserve"> leur cadre réglementaire (conseils juridiques) et </w:t>
      </w:r>
      <w:r w:rsidR="00437A38" w:rsidRPr="00A1244F">
        <w:t>d</w:t>
      </w:r>
      <w:r w:rsidR="00DD592B" w:rsidRPr="00A1244F">
        <w:t>e l</w:t>
      </w:r>
      <w:r w:rsidR="006408BB">
        <w:t>’</w:t>
      </w:r>
      <w:r w:rsidR="00DD592B" w:rsidRPr="00A1244F">
        <w:t>amélioration d</w:t>
      </w:r>
      <w:r w:rsidRPr="00A1244F">
        <w:t>es services fournis aux utilisateurs de la pr</w:t>
      </w:r>
      <w:r w:rsidR="00437A38" w:rsidRPr="00A1244F">
        <w:t>opriété intellectuelle par les o</w:t>
      </w:r>
      <w:r w:rsidRPr="00A1244F">
        <w:t>ffices de propriété intellectuelle.</w:t>
      </w:r>
    </w:p>
    <w:p w:rsidR="006408BB" w:rsidRDefault="00610DAF" w:rsidP="00367DB6">
      <w:pPr>
        <w:pStyle w:val="ONUMFS"/>
      </w:pPr>
      <w:r w:rsidRPr="00A1244F">
        <w:lastRenderedPageBreak/>
        <w:t>Toutes les parties prenantes interrogées ont confirmé que l</w:t>
      </w:r>
      <w:r w:rsidR="006408BB">
        <w:t>’</w:t>
      </w:r>
      <w:r w:rsidRPr="00A1244F">
        <w:t xml:space="preserve">assistance </w:t>
      </w:r>
      <w:r w:rsidR="00437A38" w:rsidRPr="00A1244F">
        <w:t>de</w:t>
      </w:r>
      <w:r w:rsidRPr="00A1244F">
        <w:t xml:space="preserve"> l</w:t>
      </w:r>
      <w:r w:rsidR="006408BB">
        <w:t>’</w:t>
      </w:r>
      <w:r w:rsidRPr="00A1244F">
        <w:t xml:space="preserve">OMPI </w:t>
      </w:r>
      <w:r w:rsidR="00437A38" w:rsidRPr="00A1244F">
        <w:t>avai</w:t>
      </w:r>
      <w:r w:rsidRPr="00A1244F">
        <w:t xml:space="preserve">t pleinement </w:t>
      </w:r>
      <w:r w:rsidR="00DD592B" w:rsidRPr="00A1244F">
        <w:t xml:space="preserve">répondu à </w:t>
      </w:r>
      <w:r w:rsidRPr="00A1244F">
        <w:t>leurs besoi</w:t>
      </w:r>
      <w:r w:rsidR="002140BE" w:rsidRPr="00A1244F">
        <w:t>ns</w:t>
      </w:r>
      <w:r w:rsidR="002140BE">
        <w:t xml:space="preserve">.  </w:t>
      </w:r>
      <w:r w:rsidR="002140BE" w:rsidRPr="00A1244F">
        <w:t>De</w:t>
      </w:r>
      <w:r w:rsidR="00437A38" w:rsidRPr="00A1244F">
        <w:t xml:space="preserve"> manière générale</w:t>
      </w:r>
      <w:r w:rsidRPr="00A1244F">
        <w:t xml:space="preserve">, le projet visait les pays </w:t>
      </w:r>
      <w:r w:rsidR="00437A38" w:rsidRPr="00A1244F">
        <w:t>possédant</w:t>
      </w:r>
      <w:r w:rsidRPr="00A1244F">
        <w:t xml:space="preserve"> un secteur de l</w:t>
      </w:r>
      <w:r w:rsidR="006408BB">
        <w:t>’</w:t>
      </w:r>
      <w:r w:rsidRPr="00A1244F">
        <w:t>audiovisuel fort et</w:t>
      </w:r>
      <w:r w:rsidR="00437A38" w:rsidRPr="00A1244F">
        <w:t>, au sein de ce</w:t>
      </w:r>
      <w:r w:rsidRPr="00A1244F">
        <w:t xml:space="preserve"> secteur, les parties prenantes</w:t>
      </w:r>
      <w:r w:rsidR="00437A38" w:rsidRPr="00A1244F">
        <w:t xml:space="preserve"> concernées</w:t>
      </w:r>
      <w:r w:rsidRPr="00A1244F">
        <w:t>.</w:t>
      </w:r>
    </w:p>
    <w:p w:rsidR="00610DAF" w:rsidRDefault="00610DAF" w:rsidP="00367DB6">
      <w:pPr>
        <w:pStyle w:val="ONUMFS"/>
      </w:pPr>
      <w:r w:rsidRPr="00A1244F">
        <w:t>Toutes les parties prenantes nationales interrogées ont manifesté un vif enthousiasme et une forte déterminati</w:t>
      </w:r>
      <w:r w:rsidR="002140BE" w:rsidRPr="00A1244F">
        <w:t>on</w:t>
      </w:r>
      <w:r w:rsidR="002140BE">
        <w:t xml:space="preserve">.  </w:t>
      </w:r>
      <w:r w:rsidR="002140BE" w:rsidRPr="00A1244F">
        <w:t>Le</w:t>
      </w:r>
      <w:r w:rsidRPr="00A1244F">
        <w:t xml:space="preserve">ur adhésion et leur engagement ont contribué à </w:t>
      </w:r>
      <w:r w:rsidR="00437A38" w:rsidRPr="00A1244F">
        <w:t>l</w:t>
      </w:r>
      <w:r w:rsidR="006408BB">
        <w:t>’</w:t>
      </w:r>
      <w:r w:rsidR="00437A38" w:rsidRPr="00A1244F">
        <w:t>obtention</w:t>
      </w:r>
      <w:r w:rsidRPr="00A1244F">
        <w:t xml:space="preserve"> des premiers résultats positifs présentés au </w:t>
      </w:r>
      <w:r w:rsidR="006408BB" w:rsidRPr="00A1244F">
        <w:t>chapitre</w:t>
      </w:r>
      <w:r w:rsidR="006408BB">
        <w:t> </w:t>
      </w:r>
      <w:r w:rsidR="006408BB" w:rsidRPr="00A1244F">
        <w:t>2</w:t>
      </w:r>
      <w:r w:rsidR="00437A38" w:rsidRPr="00A1244F">
        <w:t>.</w:t>
      </w:r>
      <w:r w:rsidRPr="00A1244F">
        <w:t>C.</w:t>
      </w:r>
    </w:p>
    <w:p w:rsidR="001010BC" w:rsidRDefault="00C41E75" w:rsidP="00C41E75">
      <w:pPr>
        <w:pStyle w:val="Heading2"/>
      </w:pPr>
      <w:bookmarkStart w:id="25" w:name="_Toc3287458"/>
      <w:bookmarkStart w:id="26" w:name="_Toc3880385"/>
      <w:r w:rsidRPr="00C43F07">
        <w:t>Efficacité</w:t>
      </w:r>
      <w:bookmarkEnd w:id="25"/>
      <w:bookmarkEnd w:id="26"/>
    </w:p>
    <w:p w:rsidR="00C41E75" w:rsidRPr="00C41E75" w:rsidRDefault="00C41E75" w:rsidP="00C41E75"/>
    <w:p w:rsidR="001010BC" w:rsidRPr="00C43F07" w:rsidRDefault="001010BC" w:rsidP="00C41E75">
      <w:pPr>
        <w:pStyle w:val="ONUMFS"/>
      </w:pPr>
      <w:r w:rsidRPr="00C43F07">
        <w:t>Compte tenu des limites expliquées ci</w:t>
      </w:r>
      <w:r w:rsidR="006408BB">
        <w:t>-</w:t>
      </w:r>
      <w:r w:rsidRPr="00C43F07">
        <w:t>dessus, l</w:t>
      </w:r>
      <w:r w:rsidR="006408BB">
        <w:t>’</w:t>
      </w:r>
      <w:r w:rsidRPr="00C43F07">
        <w:t>accent a été mis principalement sur l</w:t>
      </w:r>
      <w:r w:rsidR="006408BB">
        <w:t>’</w:t>
      </w:r>
      <w:r w:rsidRPr="00C43F07">
        <w:t>évaluation des produits escomptés et des résultats finaux directement attribuabl</w:t>
      </w:r>
      <w:r w:rsidR="002140BE" w:rsidRPr="00C43F07">
        <w:t>es</w:t>
      </w:r>
      <w:r w:rsidR="002140BE">
        <w:t xml:space="preserve">.  </w:t>
      </w:r>
      <w:r w:rsidR="002140BE" w:rsidRPr="00C43F07">
        <w:t>Da</w:t>
      </w:r>
      <w:r w:rsidRPr="00C43F07">
        <w:t>ns l</w:t>
      </w:r>
      <w:r w:rsidR="006408BB">
        <w:t>’</w:t>
      </w:r>
      <w:r w:rsidRPr="00C43F07">
        <w:t>ensemble, l</w:t>
      </w:r>
      <w:r w:rsidR="006408BB">
        <w:t>’</w:t>
      </w:r>
      <w:r w:rsidRPr="00C43F07">
        <w:t>évaluateur approuve le dernier rapport sur l</w:t>
      </w:r>
      <w:r w:rsidR="006408BB">
        <w:t>’</w:t>
      </w:r>
      <w:r w:rsidRPr="00C43F07">
        <w:t>état d</w:t>
      </w:r>
      <w:r w:rsidR="006408BB">
        <w:t>’</w:t>
      </w:r>
      <w:r w:rsidRPr="00C43F07">
        <w:t>avancement du projet, présenté à la vingt</w:t>
      </w:r>
      <w:r w:rsidR="006408BB">
        <w:t>-</w:t>
      </w:r>
      <w:r w:rsidRPr="00C43F07">
        <w:t>deux</w:t>
      </w:r>
      <w:r w:rsidR="006408BB">
        <w:t>ième session</w:t>
      </w:r>
      <w:r w:rsidR="006408BB" w:rsidRPr="00C43F07">
        <w:t xml:space="preserve"> du</w:t>
      </w:r>
      <w:r w:rsidR="006408BB">
        <w:t> </w:t>
      </w:r>
      <w:r w:rsidR="006408BB" w:rsidRPr="00C43F07">
        <w:t>CDI</w:t>
      </w:r>
      <w:r w:rsidRPr="00C43F07">
        <w:t>P sur la base d</w:t>
      </w:r>
      <w:r w:rsidR="006408BB">
        <w:t>’</w:t>
      </w:r>
      <w:r w:rsidRPr="00C43F07">
        <w:t>une validation effectuée au moyen d</w:t>
      </w:r>
      <w:r w:rsidR="006408BB">
        <w:t>’</w:t>
      </w:r>
      <w:r w:rsidRPr="00C43F07">
        <w:t>un examen préliminaire des rapports, d</w:t>
      </w:r>
      <w:r w:rsidR="006408BB">
        <w:t>’</w:t>
      </w:r>
      <w:r w:rsidRPr="00C43F07">
        <w:t>enquêtes internes et d</w:t>
      </w:r>
      <w:r w:rsidR="006408BB">
        <w:t>’</w:t>
      </w:r>
      <w:r w:rsidRPr="00C43F07">
        <w:t>entretiens</w:t>
      </w:r>
      <w:r w:rsidRPr="00C43F07">
        <w:rPr>
          <w:vertAlign w:val="superscript"/>
        </w:rPr>
        <w:footnoteReference w:id="32"/>
      </w:r>
      <w:r w:rsidR="005839C0">
        <w:t xml:space="preserve">. </w:t>
      </w:r>
      <w:r w:rsidRPr="00C43F07">
        <w:t xml:space="preserve"> Des informations manquantes ont été fournies au moyen d</w:t>
      </w:r>
      <w:r w:rsidR="006408BB">
        <w:t>’</w:t>
      </w:r>
      <w:r w:rsidRPr="00C43F07">
        <w:t>entretiens avec le chef de projet, les bureaux du droit d</w:t>
      </w:r>
      <w:r w:rsidR="006408BB">
        <w:t>’</w:t>
      </w:r>
      <w:r w:rsidRPr="00C43F07">
        <w:t>auteur ou les ministères compétents.</w:t>
      </w:r>
    </w:p>
    <w:p w:rsidR="001010BC" w:rsidRDefault="001010BC" w:rsidP="0067547F">
      <w:pPr>
        <w:pStyle w:val="Heading3"/>
        <w:numPr>
          <w:ilvl w:val="2"/>
          <w:numId w:val="13"/>
        </w:numPr>
      </w:pPr>
      <w:bookmarkStart w:id="27" w:name="_Toc3287459"/>
      <w:bookmarkStart w:id="28" w:name="_Toc3880386"/>
      <w:r w:rsidRPr="00C43F07">
        <w:t>Séminaires, ateliers, formations et voyages d</w:t>
      </w:r>
      <w:r w:rsidR="006408BB">
        <w:t>’</w:t>
      </w:r>
      <w:r w:rsidRPr="00C43F07">
        <w:t>étude</w:t>
      </w:r>
      <w:bookmarkEnd w:id="27"/>
      <w:bookmarkEnd w:id="28"/>
    </w:p>
    <w:p w:rsidR="00C41E75" w:rsidRPr="00C41E75" w:rsidRDefault="00C41E75" w:rsidP="00C41E75"/>
    <w:p w:rsidR="001010BC" w:rsidRPr="00C43F07" w:rsidRDefault="001010BC" w:rsidP="00C41E75">
      <w:pPr>
        <w:pStyle w:val="ONUMFS"/>
      </w:pPr>
      <w:r w:rsidRPr="00C43F07">
        <w:t>Les activités suivantes ont été menées</w:t>
      </w:r>
      <w:r w:rsidR="006408BB">
        <w:t> :</w:t>
      </w:r>
    </w:p>
    <w:p w:rsidR="001010BC" w:rsidRPr="00C43F07" w:rsidRDefault="001010BC" w:rsidP="0067547F">
      <w:pPr>
        <w:pStyle w:val="ONUMFS"/>
        <w:numPr>
          <w:ilvl w:val="1"/>
          <w:numId w:val="5"/>
        </w:numPr>
      </w:pPr>
      <w:r w:rsidRPr="00C43F07">
        <w:t xml:space="preserve">Atelier sur le nouveau </w:t>
      </w:r>
      <w:r w:rsidR="006408BB">
        <w:t>“</w:t>
      </w:r>
      <w:r w:rsidR="006408BB" w:rsidRPr="00C43F07">
        <w:t>C</w:t>
      </w:r>
      <w:r w:rsidRPr="00C43F07">
        <w:t>ode de la Communicatio</w:t>
      </w:r>
      <w:r w:rsidR="006408BB" w:rsidRPr="00C43F07">
        <w:t>n</w:t>
      </w:r>
      <w:r w:rsidR="006408BB">
        <w:t>”</w:t>
      </w:r>
      <w:r w:rsidRPr="00C43F07">
        <w:t xml:space="preserve"> du Sénégal, qui a servi de </w:t>
      </w:r>
      <w:r w:rsidR="005839C0">
        <w:t>plateforme</w:t>
      </w:r>
      <w:r w:rsidRPr="00C43F07">
        <w:t xml:space="preserve"> pour l</w:t>
      </w:r>
      <w:r w:rsidR="006408BB">
        <w:t>’</w:t>
      </w:r>
      <w:r w:rsidRPr="00C43F07">
        <w:t>examen de nouveaux projets de loi sénégalais et la contribution relative à ces projets, 27 et 2</w:t>
      </w:r>
      <w:r w:rsidR="006408BB" w:rsidRPr="00C43F07">
        <w:t>8</w:t>
      </w:r>
      <w:r w:rsidR="006408BB">
        <w:t> </w:t>
      </w:r>
      <w:r w:rsidR="006408BB" w:rsidRPr="00C43F07">
        <w:t>janvier</w:t>
      </w:r>
      <w:r w:rsidR="006408BB">
        <w:t> </w:t>
      </w:r>
      <w:r w:rsidR="006408BB" w:rsidRPr="00C43F07">
        <w:t>20</w:t>
      </w:r>
      <w:r w:rsidRPr="00C43F07">
        <w:t>17;</w:t>
      </w:r>
    </w:p>
    <w:p w:rsidR="001010BC" w:rsidRPr="00C43F07" w:rsidRDefault="001010BC" w:rsidP="0067547F">
      <w:pPr>
        <w:pStyle w:val="ONUMFS"/>
        <w:numPr>
          <w:ilvl w:val="1"/>
          <w:numId w:val="5"/>
        </w:numPr>
      </w:pPr>
      <w:r w:rsidRPr="00C43F07">
        <w:t xml:space="preserve">Séminaire intitulé </w:t>
      </w:r>
      <w:r w:rsidR="0088350E">
        <w:t>“</w:t>
      </w:r>
      <w:r w:rsidRPr="00C43F07">
        <w:t>Les nouveaux enjeux de l</w:t>
      </w:r>
      <w:r w:rsidR="006408BB">
        <w:t>’</w:t>
      </w:r>
      <w:r w:rsidRPr="00C43F07">
        <w:t>audiovisuel</w:t>
      </w:r>
      <w:r w:rsidR="0088350E">
        <w:t>”</w:t>
      </w:r>
      <w:r w:rsidRPr="00C43F07">
        <w:t>, Université de Saint</w:t>
      </w:r>
      <w:r w:rsidR="006408BB">
        <w:t>-</w:t>
      </w:r>
      <w:r w:rsidRPr="00C43F07">
        <w:t xml:space="preserve">Louis du Sénégal, </w:t>
      </w:r>
      <w:r w:rsidR="006408BB" w:rsidRPr="00C43F07">
        <w:t>3</w:t>
      </w:r>
      <w:r w:rsidR="006408BB">
        <w:t> </w:t>
      </w:r>
      <w:r w:rsidR="006408BB" w:rsidRPr="00C43F07">
        <w:t>février</w:t>
      </w:r>
      <w:r w:rsidR="006408BB">
        <w:t> </w:t>
      </w:r>
      <w:r w:rsidR="006408BB" w:rsidRPr="00C43F07">
        <w:t>20</w:t>
      </w:r>
      <w:r w:rsidRPr="00C43F07">
        <w:t>17;</w:t>
      </w:r>
    </w:p>
    <w:p w:rsidR="001010BC" w:rsidRPr="00C43F07" w:rsidRDefault="001010BC" w:rsidP="0067547F">
      <w:pPr>
        <w:pStyle w:val="ONUMFS"/>
        <w:numPr>
          <w:ilvl w:val="1"/>
          <w:numId w:val="5"/>
        </w:numPr>
      </w:pPr>
      <w:r w:rsidRPr="00C43F07">
        <w:t>Séminaire sur la contribution du droit d</w:t>
      </w:r>
      <w:r w:rsidR="006408BB">
        <w:t>’</w:t>
      </w:r>
      <w:r w:rsidRPr="00C43F07">
        <w:t>auteur au financement du secteur audiovisuel, 2</w:t>
      </w:r>
      <w:r w:rsidR="006408BB" w:rsidRPr="00C43F07">
        <w:t>7</w:t>
      </w:r>
      <w:r w:rsidR="006408BB">
        <w:t> </w:t>
      </w:r>
      <w:r w:rsidR="006408BB" w:rsidRPr="00C43F07">
        <w:t>février</w:t>
      </w:r>
      <w:r w:rsidR="006408BB">
        <w:t> </w:t>
      </w:r>
      <w:r w:rsidR="006408BB" w:rsidRPr="00C43F07">
        <w:t>20</w:t>
      </w:r>
      <w:r w:rsidRPr="00C43F07">
        <w:t>17, FESPACO, Ouagadougou (Burkina Faso);</w:t>
      </w:r>
    </w:p>
    <w:p w:rsidR="001010BC" w:rsidRPr="00C43F07" w:rsidRDefault="001010BC" w:rsidP="0067547F">
      <w:pPr>
        <w:pStyle w:val="ONUMFS"/>
        <w:numPr>
          <w:ilvl w:val="1"/>
          <w:numId w:val="5"/>
        </w:numPr>
      </w:pPr>
      <w:r w:rsidRPr="00C43F07">
        <w:t>Kenya</w:t>
      </w:r>
      <w:r w:rsidR="006408BB">
        <w:t> :</w:t>
      </w:r>
      <w:r w:rsidRPr="00C43F07">
        <w:t xml:space="preserve"> Table ronde du secteur sur la production indépendante, 2</w:t>
      </w:r>
      <w:r w:rsidR="006408BB" w:rsidRPr="00C43F07">
        <w:t>4</w:t>
      </w:r>
      <w:r w:rsidR="006408BB">
        <w:t> </w:t>
      </w:r>
      <w:r w:rsidR="006408BB" w:rsidRPr="00C43F07">
        <w:t>mars</w:t>
      </w:r>
      <w:r w:rsidR="006408BB">
        <w:t> </w:t>
      </w:r>
      <w:r w:rsidR="006408BB" w:rsidRPr="00C43F07">
        <w:t>20</w:t>
      </w:r>
      <w:r w:rsidRPr="00C43F07">
        <w:t>17;</w:t>
      </w:r>
    </w:p>
    <w:p w:rsidR="001010BC" w:rsidRPr="00C43F07" w:rsidRDefault="001010BC" w:rsidP="0067547F">
      <w:pPr>
        <w:pStyle w:val="ONUMFS"/>
        <w:numPr>
          <w:ilvl w:val="1"/>
          <w:numId w:val="5"/>
        </w:numPr>
      </w:pPr>
      <w:r w:rsidRPr="00C43F07">
        <w:t>Séminaire sur le droit d</w:t>
      </w:r>
      <w:r w:rsidR="006408BB">
        <w:t>’</w:t>
      </w:r>
      <w:r w:rsidRPr="00C43F07">
        <w:t>auteur, le développement, le financement, la réglementation et la commercialisation dans le secteur de l</w:t>
      </w:r>
      <w:r w:rsidR="006408BB">
        <w:t>’</w:t>
      </w:r>
      <w:r w:rsidRPr="00C43F07">
        <w:t>audiovisuel, organisé avec le Kenya Copyright Board (KECOBO) et la Commission cinématographique du Kenya (KFC), Nairobi, 11 et 1</w:t>
      </w:r>
      <w:r w:rsidR="006408BB" w:rsidRPr="00C43F07">
        <w:t>2</w:t>
      </w:r>
      <w:r w:rsidR="006408BB">
        <w:t> </w:t>
      </w:r>
      <w:r w:rsidR="006408BB" w:rsidRPr="00C43F07">
        <w:t>avril</w:t>
      </w:r>
      <w:r w:rsidR="006408BB">
        <w:t> </w:t>
      </w:r>
      <w:r w:rsidR="006408BB" w:rsidRPr="00C43F07">
        <w:t>20</w:t>
      </w:r>
      <w:r w:rsidRPr="00C43F07">
        <w:t>17;</w:t>
      </w:r>
    </w:p>
    <w:p w:rsidR="001010BC" w:rsidRPr="00C43F07" w:rsidRDefault="001010BC" w:rsidP="0067547F">
      <w:pPr>
        <w:pStyle w:val="ONUMFS"/>
        <w:numPr>
          <w:ilvl w:val="1"/>
          <w:numId w:val="5"/>
        </w:numPr>
      </w:pPr>
      <w:r w:rsidRPr="00C43F07">
        <w:t>Conférence internationale sur le droit d</w:t>
      </w:r>
      <w:r w:rsidR="006408BB">
        <w:t>’</w:t>
      </w:r>
      <w:r w:rsidRPr="00C43F07">
        <w:t>auteur et la réglementation du secteur de l</w:t>
      </w:r>
      <w:r w:rsidR="006408BB">
        <w:t>’</w:t>
      </w:r>
      <w:r w:rsidRPr="00C43F07">
        <w:t>audiovisuel à l</w:t>
      </w:r>
      <w:r w:rsidR="006408BB">
        <w:t>’</w:t>
      </w:r>
      <w:r w:rsidRPr="00C43F07">
        <w:t>ère du numérique, Abidjan (Côte d</w:t>
      </w:r>
      <w:r w:rsidR="006408BB">
        <w:t>’</w:t>
      </w:r>
      <w:r w:rsidRPr="00C43F07">
        <w:t>Ivoire), 15 et 1</w:t>
      </w:r>
      <w:r w:rsidR="006408BB" w:rsidRPr="00C43F07">
        <w:t>6</w:t>
      </w:r>
      <w:r w:rsidR="006408BB">
        <w:t> </w:t>
      </w:r>
      <w:r w:rsidR="006408BB" w:rsidRPr="00C43F07">
        <w:t>mai</w:t>
      </w:r>
      <w:r w:rsidR="006408BB">
        <w:t> </w:t>
      </w:r>
      <w:r w:rsidR="006408BB" w:rsidRPr="00C43F07">
        <w:t>20</w:t>
      </w:r>
      <w:r w:rsidRPr="00C43F07">
        <w:t>17;</w:t>
      </w:r>
    </w:p>
    <w:p w:rsidR="001010BC" w:rsidRPr="00C43F07" w:rsidRDefault="001010BC" w:rsidP="0067547F">
      <w:pPr>
        <w:pStyle w:val="ONUMFS"/>
        <w:numPr>
          <w:ilvl w:val="1"/>
          <w:numId w:val="5"/>
        </w:numPr>
      </w:pPr>
      <w:r w:rsidRPr="00C43F07">
        <w:t xml:space="preserve">Renforcement des capacités de la Société </w:t>
      </w:r>
      <w:r w:rsidR="006C60DE">
        <w:t>s</w:t>
      </w:r>
      <w:r w:rsidRPr="00C43F07">
        <w:t xml:space="preserve">énégalaise du </w:t>
      </w:r>
      <w:r w:rsidR="006C60DE">
        <w:t>d</w:t>
      </w:r>
      <w:r w:rsidRPr="00C43F07">
        <w:t>roit d</w:t>
      </w:r>
      <w:r w:rsidR="006408BB">
        <w:t>’</w:t>
      </w:r>
      <w:r w:rsidRPr="00C43F07">
        <w:t xml:space="preserve">auteur et des </w:t>
      </w:r>
      <w:r w:rsidR="006C60DE">
        <w:t>d</w:t>
      </w:r>
      <w:r w:rsidRPr="00C43F07">
        <w:t xml:space="preserve">roits </w:t>
      </w:r>
      <w:r w:rsidR="006C60DE">
        <w:t>v</w:t>
      </w:r>
      <w:r w:rsidRPr="00C43F07">
        <w:t>oisins (SODAV), Dakar (Sénégal), 27</w:t>
      </w:r>
      <w:r w:rsidR="006408BB">
        <w:t>-</w:t>
      </w:r>
      <w:r w:rsidRPr="00C43F07">
        <w:t>3</w:t>
      </w:r>
      <w:r w:rsidR="006408BB" w:rsidRPr="00C43F07">
        <w:t>0</w:t>
      </w:r>
      <w:r w:rsidR="006408BB">
        <w:t> </w:t>
      </w:r>
      <w:r w:rsidR="006408BB" w:rsidRPr="00C43F07">
        <w:t>juin</w:t>
      </w:r>
      <w:r w:rsidR="006408BB">
        <w:t> </w:t>
      </w:r>
      <w:r w:rsidR="006408BB" w:rsidRPr="00C43F07">
        <w:t>20</w:t>
      </w:r>
      <w:r w:rsidRPr="00C43F07">
        <w:t>17;</w:t>
      </w:r>
    </w:p>
    <w:p w:rsidR="001010BC" w:rsidRPr="00C43F07" w:rsidRDefault="001010BC" w:rsidP="0067547F">
      <w:pPr>
        <w:pStyle w:val="ONUMFS"/>
        <w:numPr>
          <w:ilvl w:val="1"/>
          <w:numId w:val="5"/>
        </w:numPr>
      </w:pPr>
      <w:r w:rsidRPr="00C43F07">
        <w:t xml:space="preserve">Séminaire sur la protection juridique des radiodiffuseurs et des fournisseurs de contenu numérique, organisé avec le soutien du </w:t>
      </w:r>
      <w:r w:rsidR="005839C0">
        <w:t>Ministère</w:t>
      </w:r>
      <w:r w:rsidRPr="00C43F07">
        <w:t xml:space="preserve"> de la culture du Sénégal, Dakar, 12 et 1</w:t>
      </w:r>
      <w:r w:rsidR="006408BB" w:rsidRPr="00C43F07">
        <w:t>3</w:t>
      </w:r>
      <w:r w:rsidR="006408BB">
        <w:t> </w:t>
      </w:r>
      <w:r w:rsidR="006408BB" w:rsidRPr="00C43F07">
        <w:t>décembre</w:t>
      </w:r>
      <w:r w:rsidR="006408BB">
        <w:t> </w:t>
      </w:r>
      <w:r w:rsidR="006408BB" w:rsidRPr="00C43F07">
        <w:t>20</w:t>
      </w:r>
      <w:r w:rsidRPr="00C43F07">
        <w:t>17;</w:t>
      </w:r>
    </w:p>
    <w:p w:rsidR="001010BC" w:rsidRPr="00C43F07" w:rsidRDefault="001010BC" w:rsidP="0067547F">
      <w:pPr>
        <w:pStyle w:val="ONUMFS"/>
        <w:numPr>
          <w:ilvl w:val="1"/>
          <w:numId w:val="5"/>
        </w:numPr>
      </w:pPr>
      <w:r w:rsidRPr="00C43F07">
        <w:t>Séminaire à l</w:t>
      </w:r>
      <w:r w:rsidR="006408BB">
        <w:t>’</w:t>
      </w:r>
      <w:r w:rsidRPr="00C43F07">
        <w:t>intention des magistrats, Sénégal, 14 et 1</w:t>
      </w:r>
      <w:r w:rsidR="006408BB" w:rsidRPr="00C43F07">
        <w:t>5</w:t>
      </w:r>
      <w:r w:rsidR="006408BB">
        <w:t> </w:t>
      </w:r>
      <w:r w:rsidR="006408BB" w:rsidRPr="00C43F07">
        <w:t>décembre</w:t>
      </w:r>
      <w:r w:rsidR="006408BB">
        <w:t> </w:t>
      </w:r>
      <w:r w:rsidR="006408BB" w:rsidRPr="00C43F07">
        <w:t>20</w:t>
      </w:r>
      <w:r w:rsidRPr="00C43F07">
        <w:t>17;</w:t>
      </w:r>
    </w:p>
    <w:p w:rsidR="001010BC" w:rsidRPr="00C43F07" w:rsidRDefault="001010BC" w:rsidP="0067547F">
      <w:pPr>
        <w:pStyle w:val="ONUMFS"/>
        <w:numPr>
          <w:ilvl w:val="1"/>
          <w:numId w:val="5"/>
        </w:numPr>
      </w:pPr>
      <w:r w:rsidRPr="00C43F07">
        <w:lastRenderedPageBreak/>
        <w:t>Formation sur la gestion collective dans le secteur de l</w:t>
      </w:r>
      <w:r w:rsidR="006408BB">
        <w:t>’</w:t>
      </w:r>
      <w:r w:rsidRPr="00C43F07">
        <w:t>audiovisuel au Maroc, 9 et 1</w:t>
      </w:r>
      <w:r w:rsidR="006408BB" w:rsidRPr="00C43F07">
        <w:t>0</w:t>
      </w:r>
      <w:r w:rsidR="006408BB">
        <w:t> </w:t>
      </w:r>
      <w:r w:rsidR="006408BB" w:rsidRPr="00C43F07">
        <w:t>janvier</w:t>
      </w:r>
      <w:r w:rsidR="006408BB">
        <w:t> </w:t>
      </w:r>
      <w:r w:rsidR="006408BB" w:rsidRPr="00C43F07">
        <w:t>20</w:t>
      </w:r>
      <w:r w:rsidRPr="00C43F07">
        <w:t>18;</w:t>
      </w:r>
    </w:p>
    <w:p w:rsidR="001010BC" w:rsidRPr="00C43F07" w:rsidRDefault="001010BC" w:rsidP="0067547F">
      <w:pPr>
        <w:pStyle w:val="ONUMFS"/>
        <w:numPr>
          <w:ilvl w:val="1"/>
          <w:numId w:val="5"/>
        </w:numPr>
      </w:pPr>
      <w:r w:rsidRPr="00C43F07">
        <w:t>Atelier sur le droit d</w:t>
      </w:r>
      <w:r w:rsidR="006408BB">
        <w:t>’</w:t>
      </w:r>
      <w:r w:rsidRPr="00C43F07">
        <w:t xml:space="preserve">auteur et les aspects économiques de la série audiovisuelle en Afrique, organisé conjointement avec </w:t>
      </w:r>
      <w:r w:rsidR="006408BB">
        <w:t>“</w:t>
      </w:r>
      <w:r w:rsidR="006408BB" w:rsidRPr="00C43F07">
        <w:t>S</w:t>
      </w:r>
      <w:r w:rsidRPr="00C43F07">
        <w:t>érie Serie</w:t>
      </w:r>
      <w:r w:rsidR="006408BB" w:rsidRPr="00C43F07">
        <w:t>s</w:t>
      </w:r>
      <w:r w:rsidR="006408BB">
        <w:t>”</w:t>
      </w:r>
      <w:r w:rsidRPr="00C43F07">
        <w:t xml:space="preserve"> et le Bureau </w:t>
      </w:r>
      <w:r w:rsidR="006C60DE">
        <w:t>burkinabé</w:t>
      </w:r>
      <w:r w:rsidRPr="00C43F07">
        <w:t xml:space="preserve"> du droit d</w:t>
      </w:r>
      <w:r w:rsidR="006408BB">
        <w:t>’</w:t>
      </w:r>
      <w:r w:rsidRPr="00C43F07">
        <w:t>auteu</w:t>
      </w:r>
      <w:r w:rsidR="006408BB" w:rsidRPr="00C43F07">
        <w:t>r</w:t>
      </w:r>
      <w:r w:rsidRPr="00C43F07">
        <w:t xml:space="preserve"> (BBDA), Burkina Faso, </w:t>
      </w:r>
      <w:r w:rsidR="006408BB" w:rsidRPr="00C43F07">
        <w:t>février</w:t>
      </w:r>
      <w:r w:rsidR="006408BB">
        <w:t> </w:t>
      </w:r>
      <w:r w:rsidR="006408BB" w:rsidRPr="00C43F07">
        <w:t>20</w:t>
      </w:r>
      <w:r w:rsidRPr="00C43F07">
        <w:t>18;</w:t>
      </w:r>
    </w:p>
    <w:p w:rsidR="001010BC" w:rsidRPr="00C43F07" w:rsidRDefault="001010BC" w:rsidP="0067547F">
      <w:pPr>
        <w:pStyle w:val="ONUMFS"/>
        <w:numPr>
          <w:ilvl w:val="1"/>
          <w:numId w:val="5"/>
        </w:numPr>
      </w:pPr>
      <w:r w:rsidRPr="00C43F07">
        <w:t>Atelier d</w:t>
      </w:r>
      <w:r w:rsidR="006408BB">
        <w:t>’</w:t>
      </w:r>
      <w:r w:rsidRPr="00C43F07">
        <w:t>arbitrage sur le règlement extrajudiciaire des litiges relatifs aux films et aux médias de manière efficace et rentable, 2</w:t>
      </w:r>
      <w:r w:rsidR="006408BB" w:rsidRPr="00C43F07">
        <w:t>6</w:t>
      </w:r>
      <w:r w:rsidR="006408BB">
        <w:t> </w:t>
      </w:r>
      <w:r w:rsidR="006408BB" w:rsidRPr="00C43F07">
        <w:t>mars</w:t>
      </w:r>
      <w:r w:rsidR="006408BB">
        <w:t> </w:t>
      </w:r>
      <w:r w:rsidR="006408BB" w:rsidRPr="00C43F07">
        <w:t>20</w:t>
      </w:r>
      <w:r w:rsidRPr="00C43F07">
        <w:t>18, Nairobi (Kenya);</w:t>
      </w:r>
    </w:p>
    <w:p w:rsidR="001010BC" w:rsidRPr="00C43F07" w:rsidRDefault="001010BC" w:rsidP="0067547F">
      <w:pPr>
        <w:pStyle w:val="ONUMFS"/>
        <w:numPr>
          <w:ilvl w:val="1"/>
          <w:numId w:val="5"/>
        </w:numPr>
      </w:pPr>
      <w:r w:rsidRPr="00C43F07">
        <w:t>Table ronde sur la politique cinématographique du Kenya à Kalasha Film Market, 2</w:t>
      </w:r>
      <w:r w:rsidR="006408BB" w:rsidRPr="00C43F07">
        <w:t>7</w:t>
      </w:r>
      <w:r w:rsidR="006408BB">
        <w:t> </w:t>
      </w:r>
      <w:r w:rsidR="006408BB" w:rsidRPr="00C43F07">
        <w:t>mars</w:t>
      </w:r>
      <w:r w:rsidR="006408BB">
        <w:t> </w:t>
      </w:r>
      <w:r w:rsidR="006408BB" w:rsidRPr="00C43F07">
        <w:t>20</w:t>
      </w:r>
      <w:r w:rsidRPr="00C43F07">
        <w:t>18;</w:t>
      </w:r>
    </w:p>
    <w:p w:rsidR="001010BC" w:rsidRPr="00C43F07" w:rsidRDefault="001010BC" w:rsidP="0067547F">
      <w:pPr>
        <w:pStyle w:val="ONUMFS"/>
        <w:numPr>
          <w:ilvl w:val="1"/>
          <w:numId w:val="5"/>
        </w:numPr>
      </w:pPr>
      <w:r w:rsidRPr="00C43F07">
        <w:t>Atelier sur la révision et la validation d</w:t>
      </w:r>
      <w:r w:rsidR="006408BB">
        <w:t>’</w:t>
      </w:r>
      <w:r w:rsidRPr="00C43F07">
        <w:t>une nouvelle loi, 1</w:t>
      </w:r>
      <w:r w:rsidR="006408BB" w:rsidRPr="00C43F07">
        <w:t>9</w:t>
      </w:r>
      <w:r w:rsidR="006408BB">
        <w:t> </w:t>
      </w:r>
      <w:r w:rsidR="006408BB" w:rsidRPr="00C43F07">
        <w:t>avril</w:t>
      </w:r>
      <w:r w:rsidR="006408BB">
        <w:t> </w:t>
      </w:r>
      <w:r w:rsidR="006408BB" w:rsidRPr="00C43F07">
        <w:t>20</w:t>
      </w:r>
      <w:r w:rsidRPr="00C43F07">
        <w:t>18, Burkina Fa</w:t>
      </w:r>
      <w:r w:rsidR="002140BE" w:rsidRPr="00C43F07">
        <w:t>so</w:t>
      </w:r>
      <w:r w:rsidR="002140BE">
        <w:t xml:space="preserve">.  </w:t>
      </w:r>
      <w:r w:rsidR="002140BE" w:rsidRPr="00C43F07">
        <w:t>In</w:t>
      </w:r>
      <w:r w:rsidRPr="00C43F07">
        <w:t>itialement prévu le</w:t>
      </w:r>
      <w:r w:rsidR="006408BB">
        <w:t xml:space="preserve"> 1</w:t>
      </w:r>
      <w:r w:rsidR="006408BB" w:rsidRPr="006408BB">
        <w:rPr>
          <w:vertAlign w:val="superscript"/>
        </w:rPr>
        <w:t>er</w:t>
      </w:r>
      <w:r w:rsidR="006408BB">
        <w:t> </w:t>
      </w:r>
      <w:r w:rsidR="006408BB" w:rsidRPr="00C43F07">
        <w:t>mars</w:t>
      </w:r>
      <w:r w:rsidR="006408BB">
        <w:t> </w:t>
      </w:r>
      <w:r w:rsidR="006408BB" w:rsidRPr="00C43F07">
        <w:t>20</w:t>
      </w:r>
      <w:r w:rsidRPr="00C43F07">
        <w:t>18, l</w:t>
      </w:r>
      <w:r w:rsidR="006408BB">
        <w:t>’</w:t>
      </w:r>
      <w:r w:rsidRPr="00C43F07">
        <w:t>événement a été reporté au mois d</w:t>
      </w:r>
      <w:r w:rsidR="006408BB">
        <w:t>’</w:t>
      </w:r>
      <w:r w:rsidRPr="00C43F07">
        <w:t>avril pour des raisons de sécurité;</w:t>
      </w:r>
    </w:p>
    <w:p w:rsidR="001010BC" w:rsidRPr="00C43F07" w:rsidRDefault="001010BC" w:rsidP="0067547F">
      <w:pPr>
        <w:pStyle w:val="ONUMFS"/>
        <w:numPr>
          <w:ilvl w:val="1"/>
          <w:numId w:val="5"/>
        </w:numPr>
      </w:pPr>
      <w:r w:rsidRPr="00C43F07">
        <w:t>Formation sur les contrats audiovisuels à l</w:t>
      </w:r>
      <w:r w:rsidR="006408BB">
        <w:t>’</w:t>
      </w:r>
      <w:r w:rsidRPr="00C43F07">
        <w:t>intention des avocats, Abidjan (Côte d</w:t>
      </w:r>
      <w:r w:rsidR="006408BB">
        <w:t>’</w:t>
      </w:r>
      <w:r w:rsidRPr="00C43F07">
        <w:t xml:space="preserve">Ivoire), </w:t>
      </w:r>
      <w:r w:rsidR="006408BB" w:rsidRPr="00C43F07">
        <w:t>juillet</w:t>
      </w:r>
      <w:r w:rsidR="006408BB">
        <w:t> </w:t>
      </w:r>
      <w:r w:rsidR="006408BB" w:rsidRPr="00C43F07">
        <w:t>20</w:t>
      </w:r>
      <w:r w:rsidRPr="00C43F07">
        <w:t>18;</w:t>
      </w:r>
    </w:p>
    <w:p w:rsidR="001010BC" w:rsidRPr="00C43F07" w:rsidRDefault="001010BC" w:rsidP="0067547F">
      <w:pPr>
        <w:pStyle w:val="ONUMFS"/>
        <w:numPr>
          <w:ilvl w:val="1"/>
          <w:numId w:val="5"/>
        </w:numPr>
      </w:pPr>
      <w:r w:rsidRPr="00C43F07">
        <w:t xml:space="preserve">Séminaire </w:t>
      </w:r>
      <w:r w:rsidR="0088350E">
        <w:t>“</w:t>
      </w:r>
      <w:r w:rsidRPr="00C43F07">
        <w:t>Formation sous régionale sur la copie privée et la reprographie</w:t>
      </w:r>
      <w:r w:rsidR="0088350E">
        <w:t>”</w:t>
      </w:r>
      <w:r w:rsidRPr="00C43F07">
        <w:t>, Dakar, 11</w:t>
      </w:r>
      <w:r w:rsidR="006408BB">
        <w:t>-</w:t>
      </w:r>
      <w:r w:rsidRPr="00C43F07">
        <w:t>1</w:t>
      </w:r>
      <w:r w:rsidR="006408BB" w:rsidRPr="00C43F07">
        <w:t>3</w:t>
      </w:r>
      <w:r w:rsidR="006408BB">
        <w:t> </w:t>
      </w:r>
      <w:r w:rsidR="006408BB" w:rsidRPr="00C43F07">
        <w:t>septembre</w:t>
      </w:r>
      <w:r w:rsidR="006408BB">
        <w:t> </w:t>
      </w:r>
      <w:r w:rsidR="006408BB" w:rsidRPr="00C43F07">
        <w:t>20</w:t>
      </w:r>
      <w:r w:rsidRPr="00C43F07">
        <w:t>18;</w:t>
      </w:r>
    </w:p>
    <w:p w:rsidR="001010BC" w:rsidRPr="00C43F07" w:rsidRDefault="001010BC" w:rsidP="0067547F">
      <w:pPr>
        <w:pStyle w:val="ONUMFS"/>
        <w:numPr>
          <w:ilvl w:val="1"/>
          <w:numId w:val="5"/>
        </w:numPr>
      </w:pPr>
      <w:r w:rsidRPr="00C43F07">
        <w:t>Visite de formation à l</w:t>
      </w:r>
      <w:r w:rsidR="006408BB">
        <w:t>’</w:t>
      </w:r>
      <w:r w:rsidRPr="00C43F07">
        <w:t>intention de fonctionnaires à la Société belge des auteurs, compositeurs et éditeurs (SABAM), pour laquelle aucun rapport et aucune enquête menée auprès des participants ne sont disponibl</w:t>
      </w:r>
      <w:r w:rsidR="002140BE" w:rsidRPr="00C43F07">
        <w:t>es</w:t>
      </w:r>
      <w:r w:rsidR="002140BE">
        <w:t xml:space="preserve">.  </w:t>
      </w:r>
      <w:r w:rsidR="002140BE" w:rsidRPr="00C43F07">
        <w:t>Un</w:t>
      </w:r>
      <w:r w:rsidRPr="00C43F07">
        <w:t xml:space="preserve"> participant a estimé que le choix de la Belgique n</w:t>
      </w:r>
      <w:r w:rsidR="006408BB">
        <w:t>’</w:t>
      </w:r>
      <w:r w:rsidRPr="00C43F07">
        <w:t>était pas approprié, le contexte belge étant trop différent du contexte maroca</w:t>
      </w:r>
      <w:r w:rsidR="002140BE" w:rsidRPr="00C43F07">
        <w:t>in</w:t>
      </w:r>
      <w:r w:rsidR="002140BE">
        <w:t xml:space="preserve">.  </w:t>
      </w:r>
      <w:r w:rsidR="002140BE" w:rsidRPr="00C43F07">
        <w:t>La</w:t>
      </w:r>
      <w:r w:rsidR="006408BB">
        <w:t> </w:t>
      </w:r>
      <w:r w:rsidR="006408BB" w:rsidRPr="00C43F07">
        <w:t>SAB</w:t>
      </w:r>
      <w:r w:rsidRPr="00C43F07">
        <w:t>AM n</w:t>
      </w:r>
      <w:r w:rsidR="006408BB">
        <w:t>’</w:t>
      </w:r>
      <w:r w:rsidRPr="00C43F07">
        <w:t>a pas été interrogée.</w:t>
      </w:r>
    </w:p>
    <w:p w:rsidR="001010BC" w:rsidRPr="00C43F07" w:rsidRDefault="001010BC" w:rsidP="00C41E75">
      <w:pPr>
        <w:pStyle w:val="ONUMFS"/>
      </w:pPr>
      <w:r w:rsidRPr="00C43F07">
        <w:t>Certaines manifestations ont été organisées en partenariat avec d</w:t>
      </w:r>
      <w:r w:rsidR="006408BB">
        <w:t>’</w:t>
      </w:r>
      <w:r w:rsidRPr="00C43F07">
        <w:t>autres organisations intéressées</w:t>
      </w:r>
      <w:r w:rsidRPr="00C43F07">
        <w:rPr>
          <w:rStyle w:val="FootnoteReference"/>
        </w:rPr>
        <w:footnoteReference w:id="33"/>
      </w:r>
      <w:r w:rsidR="005839C0" w:rsidRPr="00C43F07">
        <w:t>.</w:t>
      </w:r>
    </w:p>
    <w:p w:rsidR="001010BC" w:rsidRDefault="001010BC" w:rsidP="00C41E75">
      <w:pPr>
        <w:pStyle w:val="Heading3"/>
      </w:pPr>
      <w:bookmarkStart w:id="29" w:name="_Toc3287460"/>
      <w:bookmarkStart w:id="30" w:name="_Toc3880387"/>
      <w:r w:rsidRPr="00C43F07">
        <w:t>Étude de faisabilité</w:t>
      </w:r>
      <w:bookmarkEnd w:id="29"/>
      <w:bookmarkEnd w:id="30"/>
    </w:p>
    <w:p w:rsidR="00C41E75" w:rsidRPr="00C41E75" w:rsidRDefault="00C41E75" w:rsidP="00C41E75"/>
    <w:p w:rsidR="001010BC" w:rsidRPr="00C43F07" w:rsidRDefault="001010BC" w:rsidP="00C41E75">
      <w:pPr>
        <w:pStyle w:val="ONUMFS"/>
      </w:pPr>
      <w:r w:rsidRPr="00C43F07">
        <w:t>Le Secrétariat a commandé l</w:t>
      </w:r>
      <w:r w:rsidR="006408BB">
        <w:t>’“</w:t>
      </w:r>
      <w:r w:rsidR="006408BB" w:rsidRPr="00C43F07">
        <w:t>É</w:t>
      </w:r>
      <w:r w:rsidRPr="00C43F07">
        <w:t>tude de faisabilité sur l</w:t>
      </w:r>
      <w:r w:rsidR="006408BB">
        <w:t>’</w:t>
      </w:r>
      <w:r w:rsidRPr="00C43F07">
        <w:t>amélioration de la collecte de données économiques sur le secteur de l</w:t>
      </w:r>
      <w:r w:rsidR="006408BB">
        <w:t>’</w:t>
      </w:r>
      <w:r w:rsidRPr="00C43F07">
        <w:t>audiovisuel dans plusieurs pays africain</w:t>
      </w:r>
      <w:r w:rsidR="006408BB" w:rsidRPr="00C43F07">
        <w:t>s</w:t>
      </w:r>
      <w:r w:rsidR="006408BB">
        <w:t>”</w:t>
      </w:r>
      <w:r w:rsidRPr="00C43F07">
        <w:t xml:space="preserve">, qui a été publiée en </w:t>
      </w:r>
      <w:r w:rsidR="006408BB" w:rsidRPr="00C43F07">
        <w:t>mars</w:t>
      </w:r>
      <w:r w:rsidR="006408BB">
        <w:t> </w:t>
      </w:r>
      <w:r w:rsidR="006408BB" w:rsidRPr="00C43F07">
        <w:t>20</w:t>
      </w:r>
      <w:r w:rsidRPr="00C43F07">
        <w:t>18 et portant sur le Burkina Faso, la Côte d</w:t>
      </w:r>
      <w:r w:rsidR="006408BB">
        <w:t>’</w:t>
      </w:r>
      <w:r w:rsidRPr="00C43F07">
        <w:t>Ivoire, le Kenya, le Maroc et le Sénégal</w:t>
      </w:r>
      <w:r w:rsidRPr="00C43F07">
        <w:rPr>
          <w:rStyle w:val="FootnoteReference"/>
        </w:rPr>
        <w:footnoteReference w:id="34"/>
      </w:r>
      <w:r w:rsidR="005839C0" w:rsidRPr="00C43F07">
        <w:t>.</w:t>
      </w:r>
    </w:p>
    <w:p w:rsidR="001010BC" w:rsidRPr="00C43F07" w:rsidRDefault="001010BC" w:rsidP="00C41E75">
      <w:pPr>
        <w:pStyle w:val="ONUMFS"/>
      </w:pPr>
      <w:r w:rsidRPr="00C43F07">
        <w:rPr>
          <w:iCs/>
        </w:rPr>
        <w:t>En plus de souligner l</w:t>
      </w:r>
      <w:r w:rsidR="006408BB">
        <w:rPr>
          <w:iCs/>
        </w:rPr>
        <w:t>’</w:t>
      </w:r>
      <w:r w:rsidRPr="00C43F07">
        <w:rPr>
          <w:iCs/>
        </w:rPr>
        <w:t>importance du cinéma et du secteur audiovisuel pour le patrimoine culturel, l</w:t>
      </w:r>
      <w:r w:rsidR="006408BB">
        <w:rPr>
          <w:iCs/>
        </w:rPr>
        <w:t>’</w:t>
      </w:r>
      <w:r w:rsidRPr="00C43F07">
        <w:rPr>
          <w:iCs/>
        </w:rPr>
        <w:t>emploi, l</w:t>
      </w:r>
      <w:r w:rsidR="006408BB">
        <w:rPr>
          <w:iCs/>
        </w:rPr>
        <w:t>’</w:t>
      </w:r>
      <w:r w:rsidRPr="00C43F07">
        <w:rPr>
          <w:iCs/>
        </w:rPr>
        <w:t>innovation et le développement économique, l</w:t>
      </w:r>
      <w:r w:rsidR="006408BB">
        <w:rPr>
          <w:iCs/>
        </w:rPr>
        <w:t>’</w:t>
      </w:r>
      <w:r w:rsidRPr="00C43F07">
        <w:rPr>
          <w:iCs/>
        </w:rPr>
        <w:t>étude a conclu à l</w:t>
      </w:r>
      <w:r w:rsidR="006408BB">
        <w:rPr>
          <w:iCs/>
        </w:rPr>
        <w:t>’</w:t>
      </w:r>
      <w:r w:rsidRPr="00C43F07">
        <w:rPr>
          <w:iCs/>
        </w:rPr>
        <w:t>importance de la collecte de données pour prendre des décisions éclairées en matière d</w:t>
      </w:r>
      <w:r w:rsidR="006408BB">
        <w:rPr>
          <w:iCs/>
        </w:rPr>
        <w:t>’</w:t>
      </w:r>
      <w:r w:rsidRPr="00C43F07">
        <w:rPr>
          <w:iCs/>
        </w:rPr>
        <w:t>élaboration de politiqu</w:t>
      </w:r>
      <w:r w:rsidR="002140BE" w:rsidRPr="00C43F07">
        <w:rPr>
          <w:iCs/>
        </w:rPr>
        <w:t>es</w:t>
      </w:r>
      <w:r w:rsidR="002140BE">
        <w:rPr>
          <w:iCs/>
        </w:rPr>
        <w:t xml:space="preserve">.  </w:t>
      </w:r>
      <w:r w:rsidR="002140BE" w:rsidRPr="00C43F07">
        <w:rPr>
          <w:iCs/>
        </w:rPr>
        <w:t>Le</w:t>
      </w:r>
      <w:r w:rsidRPr="00C43F07">
        <w:rPr>
          <w:iCs/>
        </w:rPr>
        <w:t>s auteurs ont constaté un important manque de données dans le secteur de l</w:t>
      </w:r>
      <w:r w:rsidR="006408BB">
        <w:rPr>
          <w:iCs/>
        </w:rPr>
        <w:t>’</w:t>
      </w:r>
      <w:r w:rsidRPr="00C43F07">
        <w:rPr>
          <w:iCs/>
        </w:rPr>
        <w:t>audiovisuel, dont ils ont déterminé les raiso</w:t>
      </w:r>
      <w:r w:rsidR="002140BE" w:rsidRPr="00C43F07">
        <w:rPr>
          <w:iCs/>
        </w:rPr>
        <w:t>ns</w:t>
      </w:r>
      <w:r w:rsidR="002140BE">
        <w:rPr>
          <w:iCs/>
        </w:rPr>
        <w:t xml:space="preserve">.  </w:t>
      </w:r>
      <w:r w:rsidR="002140BE" w:rsidRPr="00C43F07">
        <w:rPr>
          <w:iCs/>
        </w:rPr>
        <w:t>De</w:t>
      </w:r>
      <w:r w:rsidRPr="00C43F07">
        <w:rPr>
          <w:iCs/>
        </w:rPr>
        <w:t>s recommandations spécifiques quant à la manière de combler ces lacunes sont proposées.</w:t>
      </w:r>
    </w:p>
    <w:p w:rsidR="001010BC" w:rsidRPr="00C43F07" w:rsidRDefault="001010BC" w:rsidP="00C41E75">
      <w:pPr>
        <w:pStyle w:val="ONUMFS"/>
      </w:pPr>
      <w:r w:rsidRPr="00C43F07">
        <w:t>Aucun suivi spécifique concernant l</w:t>
      </w:r>
      <w:r w:rsidR="006408BB">
        <w:t>’</w:t>
      </w:r>
      <w:r w:rsidRPr="00C43F07">
        <w:t>étude n</w:t>
      </w:r>
      <w:r w:rsidR="006408BB">
        <w:t>’</w:t>
      </w:r>
      <w:r w:rsidRPr="00C43F07">
        <w:t>était proposé (expliquant la manière dont les pays bénéficiaires avaient l</w:t>
      </w:r>
      <w:r w:rsidR="006408BB">
        <w:t>’</w:t>
      </w:r>
      <w:r w:rsidRPr="00C43F07">
        <w:t>intention de résoudre le problème de manque de données ou précisant si une assistance supplémentaire était nécessaire).</w:t>
      </w:r>
    </w:p>
    <w:p w:rsidR="001010BC" w:rsidRDefault="001010BC" w:rsidP="00C41E75">
      <w:pPr>
        <w:pStyle w:val="Heading3"/>
      </w:pPr>
      <w:bookmarkStart w:id="31" w:name="_Toc3287461"/>
      <w:bookmarkStart w:id="32" w:name="_Toc3880388"/>
      <w:r w:rsidRPr="00C43F07">
        <w:lastRenderedPageBreak/>
        <w:t>Supports de formation</w:t>
      </w:r>
      <w:bookmarkEnd w:id="31"/>
      <w:bookmarkEnd w:id="32"/>
    </w:p>
    <w:p w:rsidR="00C41E75" w:rsidRPr="00C41E75" w:rsidRDefault="00C41E75" w:rsidP="00C41E75"/>
    <w:p w:rsidR="006408BB" w:rsidRDefault="001010BC" w:rsidP="00C41E75">
      <w:pPr>
        <w:pStyle w:val="ONUMFS"/>
      </w:pPr>
      <w:r w:rsidRPr="00C43F07">
        <w:t>En étroite collaboration avec</w:t>
      </w:r>
      <w:r w:rsidR="006408BB" w:rsidRPr="00C43F07">
        <w:t xml:space="preserve"> le</w:t>
      </w:r>
      <w:r w:rsidR="006408BB">
        <w:t> </w:t>
      </w:r>
      <w:r w:rsidR="006408BB" w:rsidRPr="00C43F07">
        <w:t>KEC</w:t>
      </w:r>
      <w:r w:rsidRPr="00C43F07">
        <w:t>OBO, un Guide pratique sur le droit d</w:t>
      </w:r>
      <w:r w:rsidR="006408BB">
        <w:t>’</w:t>
      </w:r>
      <w:r w:rsidRPr="00C43F07">
        <w:t>auteur à l</w:t>
      </w:r>
      <w:r w:rsidR="006408BB">
        <w:t>’</w:t>
      </w:r>
      <w:r w:rsidRPr="00C43F07">
        <w:t>intention des cinéastes a été publ</w:t>
      </w:r>
      <w:r w:rsidR="002140BE" w:rsidRPr="00C43F07">
        <w:t>ié</w:t>
      </w:r>
      <w:r w:rsidR="002140BE">
        <w:t xml:space="preserve">.  </w:t>
      </w:r>
      <w:r w:rsidR="002140BE" w:rsidRPr="00C43F07">
        <w:t>Le</w:t>
      </w:r>
      <w:r w:rsidRPr="00C43F07">
        <w:t>s retours concernant cette publication étaient positifs.</w:t>
      </w:r>
    </w:p>
    <w:p w:rsidR="001010BC" w:rsidRPr="00C43F07" w:rsidRDefault="001010BC" w:rsidP="00C41E75">
      <w:pPr>
        <w:pStyle w:val="ONUMFS"/>
      </w:pPr>
      <w:r w:rsidRPr="00C43F07">
        <w:t>Le Kenya Copyright Board s</w:t>
      </w:r>
      <w:r w:rsidR="006408BB">
        <w:t>’</w:t>
      </w:r>
      <w:r w:rsidRPr="00C43F07">
        <w:t>est engagé à continuer d</w:t>
      </w:r>
      <w:r w:rsidR="006408BB">
        <w:t>’</w:t>
      </w:r>
      <w:r w:rsidRPr="00C43F07">
        <w:t>actualiser la publication et de la mettre à la disposition d</w:t>
      </w:r>
      <w:r w:rsidR="006408BB">
        <w:t>’</w:t>
      </w:r>
      <w:r w:rsidRPr="00C43F07">
        <w:t>un public intéressé.</w:t>
      </w:r>
    </w:p>
    <w:p w:rsidR="006408BB" w:rsidRDefault="001010BC" w:rsidP="00C41E75">
      <w:pPr>
        <w:pStyle w:val="ONUMFS"/>
      </w:pPr>
      <w:r w:rsidRPr="00C43F07">
        <w:t>Le lancement du cours d</w:t>
      </w:r>
      <w:r w:rsidR="006408BB">
        <w:t>’</w:t>
      </w:r>
      <w:r w:rsidRPr="00C43F07">
        <w:t>enseignement à distance prévu par l</w:t>
      </w:r>
      <w:r w:rsidR="006408BB">
        <w:t>’</w:t>
      </w:r>
      <w:r w:rsidRPr="00C43F07">
        <w:t>OMPI pour le secteur audiovisuel est encore en cou</w:t>
      </w:r>
      <w:r w:rsidR="002140BE" w:rsidRPr="00C43F07">
        <w:t>rs</w:t>
      </w:r>
      <w:r w:rsidR="002140BE">
        <w:t xml:space="preserve">.  </w:t>
      </w:r>
      <w:r w:rsidR="002140BE" w:rsidRPr="00C43F07">
        <w:t>Le</w:t>
      </w:r>
      <w:r w:rsidRPr="00C43F07">
        <w:t xml:space="preserve"> contenu a manifestement été mis au point, à l</w:t>
      </w:r>
      <w:r w:rsidR="006408BB">
        <w:t>’</w:t>
      </w:r>
      <w:r w:rsidRPr="00C43F07">
        <w:t>exception des études de cas, qui seront fournies par la Division du droit d</w:t>
      </w:r>
      <w:r w:rsidR="006408BB">
        <w:t>’</w:t>
      </w:r>
      <w:r w:rsidRPr="00C43F07">
        <w:t>aute</w:t>
      </w:r>
      <w:r w:rsidR="002140BE" w:rsidRPr="00C43F07">
        <w:t>ur</w:t>
      </w:r>
      <w:r w:rsidR="002140BE">
        <w:t xml:space="preserve">.  </w:t>
      </w:r>
      <w:r w:rsidR="002140BE" w:rsidRPr="00C43F07">
        <w:t>Le</w:t>
      </w:r>
      <w:r w:rsidRPr="00C43F07">
        <w:t xml:space="preserve"> chef de projet prévoit le lancement du cours d</w:t>
      </w:r>
      <w:r w:rsidR="006408BB">
        <w:t>’</w:t>
      </w:r>
      <w:r w:rsidRPr="00C43F07">
        <w:t xml:space="preserve">ici </w:t>
      </w:r>
      <w:r w:rsidR="006408BB" w:rsidRPr="00C43F07">
        <w:t>juin</w:t>
      </w:r>
      <w:r w:rsidR="006408BB">
        <w:t> </w:t>
      </w:r>
      <w:r w:rsidR="006408BB" w:rsidRPr="00C43F07">
        <w:t>20</w:t>
      </w:r>
      <w:r w:rsidRPr="00C43F07">
        <w:t>19.</w:t>
      </w:r>
      <w:r w:rsidR="005839C0">
        <w:t xml:space="preserve"> </w:t>
      </w:r>
      <w:r w:rsidRPr="00C43F07">
        <w:t xml:space="preserve"> L</w:t>
      </w:r>
      <w:r w:rsidR="006408BB">
        <w:t>’</w:t>
      </w:r>
      <w:r w:rsidRPr="00C43F07">
        <w:t>enseignement à distance est un élément clé de l</w:t>
      </w:r>
      <w:r w:rsidR="006408BB">
        <w:t>’</w:t>
      </w:r>
      <w:r w:rsidRPr="00C43F07">
        <w:t>expansion, de l</w:t>
      </w:r>
      <w:r w:rsidR="006408BB">
        <w:t>’</w:t>
      </w:r>
      <w:r w:rsidRPr="00C43F07">
        <w:t>intégration et du maintien des connaissances transmises au moyen de séminaires.</w:t>
      </w:r>
    </w:p>
    <w:p w:rsidR="001010BC" w:rsidRPr="00C43F07" w:rsidRDefault="001010BC" w:rsidP="00C41E75">
      <w:pPr>
        <w:pStyle w:val="ONUMFS"/>
      </w:pPr>
      <w:r w:rsidRPr="00C43F07">
        <w:t>Pour les pays bénéficiaires, ce cours est un outil essentiel pour renforcer les capacités, notamment pour sensibiliser l</w:t>
      </w:r>
      <w:r w:rsidR="006408BB">
        <w:t>’</w:t>
      </w:r>
      <w:r w:rsidRPr="00C43F07">
        <w:t>industrie audiovisuelle et assurer la formation du personnel dans les bureaux du droit d</w:t>
      </w:r>
      <w:r w:rsidR="006408BB">
        <w:t>’</w:t>
      </w:r>
      <w:r w:rsidRPr="00C43F07">
        <w:t>aute</w:t>
      </w:r>
      <w:r w:rsidR="002140BE" w:rsidRPr="00C43F07">
        <w:t>ur</w:t>
      </w:r>
      <w:r w:rsidR="002140BE">
        <w:t xml:space="preserve">.  </w:t>
      </w:r>
      <w:r w:rsidR="002140BE" w:rsidRPr="00C43F07">
        <w:t>Il</w:t>
      </w:r>
      <w:r w:rsidRPr="00C43F07">
        <w:t>s ont souligné que les connexions Internet se sont considérablement améliorées et ne font plus obstacle à l</w:t>
      </w:r>
      <w:r w:rsidR="006408BB">
        <w:t>’</w:t>
      </w:r>
      <w:r w:rsidRPr="00C43F07">
        <w:t>utilisation de l</w:t>
      </w:r>
      <w:r w:rsidR="006408BB">
        <w:t>’</w:t>
      </w:r>
      <w:r w:rsidRPr="00C43F07">
        <w:t>enseignement à distance.</w:t>
      </w:r>
    </w:p>
    <w:p w:rsidR="001010BC" w:rsidRDefault="001010BC" w:rsidP="00C41E75">
      <w:pPr>
        <w:pStyle w:val="Heading3"/>
      </w:pPr>
      <w:bookmarkStart w:id="33" w:name="_Toc3287462"/>
      <w:bookmarkStart w:id="34" w:name="_Toc3880389"/>
      <w:r w:rsidRPr="00C43F07">
        <w:t>Évaluation de la qualité des produits</w:t>
      </w:r>
      <w:bookmarkEnd w:id="33"/>
      <w:bookmarkEnd w:id="34"/>
    </w:p>
    <w:p w:rsidR="00C41E75" w:rsidRPr="00C41E75" w:rsidRDefault="00C41E75" w:rsidP="00C41E75"/>
    <w:p w:rsidR="001010BC" w:rsidRPr="00C43F07" w:rsidRDefault="001010BC" w:rsidP="00C41E75">
      <w:pPr>
        <w:pStyle w:val="ONUMFS"/>
      </w:pPr>
      <w:r w:rsidRPr="00C43F07">
        <w:t>Le retour d</w:t>
      </w:r>
      <w:r w:rsidR="006408BB">
        <w:t>’</w:t>
      </w:r>
      <w:r w:rsidRPr="00C43F07">
        <w:t>information sur les événements liés au projet est positif, comme le montre l</w:t>
      </w:r>
      <w:r w:rsidR="006408BB">
        <w:t>’</w:t>
      </w:r>
      <w:r w:rsidRPr="00C43F07">
        <w:t>évaluation interne du Secrétariat, qui a été validée au moyen d</w:t>
      </w:r>
      <w:r w:rsidR="006408BB">
        <w:t>’</w:t>
      </w:r>
      <w:r w:rsidRPr="00C43F07">
        <w:t>entretiens avec un échantillon de bénéficiaires.</w:t>
      </w:r>
    </w:p>
    <w:p w:rsidR="001010BC" w:rsidRPr="00C43F07" w:rsidRDefault="001010BC" w:rsidP="00C41E75">
      <w:pPr>
        <w:pStyle w:val="ONUMFS"/>
      </w:pPr>
      <w:r w:rsidRPr="00C43F07">
        <w:t>Le soutien apporté par les partenaires locaux dans l</w:t>
      </w:r>
      <w:r w:rsidR="006408BB">
        <w:t>’</w:t>
      </w:r>
      <w:r w:rsidRPr="00C43F07">
        <w:t>organisation des manifestations dans les pays a joué un rôle déterminant.</w:t>
      </w:r>
    </w:p>
    <w:p w:rsidR="001010BC" w:rsidRPr="00C43F07" w:rsidRDefault="001010BC" w:rsidP="00C41E75">
      <w:pPr>
        <w:pStyle w:val="ONUMFS"/>
      </w:pPr>
      <w:r w:rsidRPr="00C43F07">
        <w:t>La contribution de l</w:t>
      </w:r>
      <w:r w:rsidR="006408BB">
        <w:t>’</w:t>
      </w:r>
      <w:r w:rsidRPr="00C43F07">
        <w:t>OMPI au projet ne saurait être réduite au transfert de savoir</w:t>
      </w:r>
      <w:r w:rsidR="006408BB">
        <w:t>-</w:t>
      </w:r>
      <w:r w:rsidRPr="00C43F07">
        <w:t>fai</w:t>
      </w:r>
      <w:r w:rsidR="002140BE" w:rsidRPr="00C43F07">
        <w:t>re</w:t>
      </w:r>
      <w:r w:rsidR="002140BE">
        <w:t xml:space="preserve">.  </w:t>
      </w:r>
      <w:r w:rsidR="002140BE" w:rsidRPr="00C43F07">
        <w:t>Le</w:t>
      </w:r>
      <w:r w:rsidRPr="00C43F07">
        <w:t xml:space="preserve"> rôle de l</w:t>
      </w:r>
      <w:r w:rsidR="006408BB">
        <w:t>’</w:t>
      </w:r>
      <w:r w:rsidRPr="00C43F07">
        <w:t>OMPI ne se limitait pas à un apport technique et financi</w:t>
      </w:r>
      <w:r w:rsidR="002140BE" w:rsidRPr="00C43F07">
        <w:t>er</w:t>
      </w:r>
      <w:r w:rsidR="002140BE">
        <w:t xml:space="preserve">.  </w:t>
      </w:r>
      <w:r w:rsidR="002140BE" w:rsidRPr="00C43F07">
        <w:t>Sa</w:t>
      </w:r>
      <w:r w:rsidRPr="00C43F07">
        <w:t xml:space="preserve"> réputation, sa crédibilité et sa neutralité en tant qu</w:t>
      </w:r>
      <w:r w:rsidR="006408BB">
        <w:t>’</w:t>
      </w:r>
      <w:r w:rsidRPr="00C43F07">
        <w:t>organisation internationale ont accru l</w:t>
      </w:r>
      <w:r w:rsidR="006408BB">
        <w:t>’</w:t>
      </w:r>
      <w:r w:rsidRPr="00C43F07">
        <w:t>intérêt des principales parties prenantes, notamment en ce qui concerne les prises de décisi</w:t>
      </w:r>
      <w:r w:rsidR="002140BE" w:rsidRPr="00C43F07">
        <w:t>on</w:t>
      </w:r>
      <w:r w:rsidR="002140BE">
        <w:t xml:space="preserve">.  </w:t>
      </w:r>
      <w:r w:rsidR="002140BE" w:rsidRPr="00C43F07">
        <w:t>Le</w:t>
      </w:r>
      <w:r w:rsidRPr="00C43F07">
        <w:t xml:space="preserve"> pouvoir de rassemblement de l</w:t>
      </w:r>
      <w:r w:rsidR="006408BB">
        <w:t>’</w:t>
      </w:r>
      <w:r w:rsidRPr="00C43F07">
        <w:t>OMPI était également essentiel afin de mobiliser les différentes parties prenantes et d</w:t>
      </w:r>
      <w:r w:rsidR="006408BB">
        <w:t>’</w:t>
      </w:r>
      <w:r w:rsidRPr="00C43F07">
        <w:t xml:space="preserve">offrir une </w:t>
      </w:r>
      <w:r w:rsidR="005839C0">
        <w:t>plateforme</w:t>
      </w:r>
      <w:r w:rsidRPr="00C43F07">
        <w:t xml:space="preserve"> pour un dialogue multipartite efficace.</w:t>
      </w:r>
    </w:p>
    <w:p w:rsidR="001010BC" w:rsidRDefault="001010BC" w:rsidP="00504262">
      <w:pPr>
        <w:pStyle w:val="Heading3"/>
      </w:pPr>
      <w:bookmarkStart w:id="35" w:name="_Toc3287463"/>
      <w:bookmarkStart w:id="36" w:name="_Toc3880390"/>
      <w:r w:rsidRPr="00C43F07">
        <w:t>Premiers résultats observés</w:t>
      </w:r>
      <w:bookmarkEnd w:id="35"/>
      <w:bookmarkEnd w:id="36"/>
    </w:p>
    <w:p w:rsidR="00504262" w:rsidRPr="00504262" w:rsidRDefault="00504262" w:rsidP="00504262"/>
    <w:p w:rsidR="001010BC" w:rsidRPr="00C43F07" w:rsidRDefault="001010BC" w:rsidP="00504262">
      <w:pPr>
        <w:pStyle w:val="ONUMFS"/>
      </w:pPr>
      <w:r w:rsidRPr="00C43F07">
        <w:t>La sensibilisation et les connaissances relatives à la manière d</w:t>
      </w:r>
      <w:r w:rsidR="006408BB">
        <w:t>’</w:t>
      </w:r>
      <w:r w:rsidRPr="00C43F07">
        <w:t>utiliser la propriété intellectuelle pour protéger les créations dans le secteur de l</w:t>
      </w:r>
      <w:r w:rsidR="006408BB">
        <w:t>’</w:t>
      </w:r>
      <w:r w:rsidRPr="00C43F07">
        <w:t>audiovisuel semblent avoir progressé dans les cinq</w:t>
      </w:r>
      <w:r w:rsidR="005839C0">
        <w:t> </w:t>
      </w:r>
      <w:r w:rsidRPr="00C43F07">
        <w:t>pays bénéficiair</w:t>
      </w:r>
      <w:r w:rsidR="002140BE" w:rsidRPr="00C43F07">
        <w:t>es</w:t>
      </w:r>
      <w:r w:rsidR="002140BE">
        <w:t xml:space="preserve">.  </w:t>
      </w:r>
      <w:r w:rsidR="002140BE" w:rsidRPr="00C43F07">
        <w:t>En</w:t>
      </w:r>
      <w:r w:rsidRPr="00C43F07">
        <w:t xml:space="preserve"> conséquence, la coopération au sein du secteur audiovisuel semble s</w:t>
      </w:r>
      <w:r w:rsidR="006408BB">
        <w:t>’</w:t>
      </w:r>
      <w:r w:rsidRPr="00C43F07">
        <w:t>être amélior</w:t>
      </w:r>
      <w:r w:rsidR="002140BE" w:rsidRPr="00C43F07">
        <w:t>ée</w:t>
      </w:r>
      <w:r w:rsidR="002140BE">
        <w:t xml:space="preserve">.  </w:t>
      </w:r>
      <w:r w:rsidR="002140BE" w:rsidRPr="00C43F07">
        <w:t>Ce</w:t>
      </w:r>
      <w:r w:rsidRPr="00C43F07">
        <w:t>rtaines personnes interrogées ont souligné une tendance à la systématisation des relations contractuelles au sein de la chaîne de valeur audiovisuelle, notamment des dispositions claires sur les questions relatives aux droits de propriété intellectuelle.</w:t>
      </w:r>
    </w:p>
    <w:p w:rsidR="001010BC" w:rsidRPr="00C43F07" w:rsidRDefault="001010BC" w:rsidP="00504262">
      <w:pPr>
        <w:pStyle w:val="ONUMFS"/>
      </w:pPr>
      <w:r w:rsidRPr="00C43F07">
        <w:t>La mise par écrit des droits tout au long de la chaîne des droits n</w:t>
      </w:r>
      <w:r w:rsidR="006408BB">
        <w:t>’</w:t>
      </w:r>
      <w:r w:rsidRPr="00C43F07">
        <w:t>est pas seulement importante pour permettre la commercialisation des produits à l</w:t>
      </w:r>
      <w:r w:rsidR="006408BB">
        <w:t>’</w:t>
      </w:r>
      <w:r w:rsidRPr="00C43F07">
        <w:t>échelle internationa</w:t>
      </w:r>
      <w:r w:rsidR="002140BE" w:rsidRPr="00C43F07">
        <w:t>le</w:t>
      </w:r>
      <w:r w:rsidR="002140BE">
        <w:t xml:space="preserve">.  </w:t>
      </w:r>
      <w:r w:rsidR="002140BE" w:rsidRPr="00C43F07">
        <w:t>El</w:t>
      </w:r>
      <w:r w:rsidRPr="00C43F07">
        <w:t>le est également essentielle pour établir les droits de propriété intellectuelle afin d</w:t>
      </w:r>
      <w:r w:rsidR="006408BB">
        <w:t>’</w:t>
      </w:r>
      <w:r w:rsidRPr="00C43F07">
        <w:t>obtenir un financement pour les productions audiovisuell</w:t>
      </w:r>
      <w:r w:rsidR="002140BE" w:rsidRPr="00C43F07">
        <w:t>es</w:t>
      </w:r>
      <w:r w:rsidR="002140BE">
        <w:t xml:space="preserve">.  </w:t>
      </w:r>
      <w:r w:rsidR="002140BE" w:rsidRPr="00C43F07">
        <w:t>De</w:t>
      </w:r>
      <w:r w:rsidRPr="00C43F07">
        <w:t xml:space="preserve">s représentants du secteur ont souligné les obstacles persistants auxquels se heurtent les productions souhaitant obtenir des prêts </w:t>
      </w:r>
      <w:r w:rsidRPr="00C43F07">
        <w:lastRenderedPageBreak/>
        <w:t>bancaires, probablement en raison du manque de confiance qui subsiste quant à la valeur des actifs de création.</w:t>
      </w:r>
    </w:p>
    <w:p w:rsidR="001010BC" w:rsidRPr="00C43F07" w:rsidRDefault="001010BC" w:rsidP="00504262">
      <w:pPr>
        <w:pStyle w:val="ONUMFS"/>
      </w:pPr>
      <w:r w:rsidRPr="00C43F07">
        <w:t>Le projet a contribué à l</w:t>
      </w:r>
      <w:r w:rsidR="006408BB">
        <w:t>’</w:t>
      </w:r>
      <w:r w:rsidRPr="00C43F07">
        <w:t>amélioration de certains aspects du cadre réglementaire, notamment au Sénégal et au Maroc, au Burkina Faso et au Kenya en vue de l</w:t>
      </w:r>
      <w:r w:rsidR="006408BB">
        <w:t>’</w:t>
      </w:r>
      <w:r w:rsidRPr="00C43F07">
        <w:t>élaboration d</w:t>
      </w:r>
      <w:r w:rsidR="006408BB">
        <w:t>’</w:t>
      </w:r>
      <w:r w:rsidRPr="00C43F07">
        <w:t>une politique cinématographiq</w:t>
      </w:r>
      <w:r w:rsidR="002140BE" w:rsidRPr="00C43F07">
        <w:t>ue</w:t>
      </w:r>
      <w:r w:rsidR="002140BE">
        <w:t xml:space="preserve">.  </w:t>
      </w:r>
      <w:r w:rsidR="002140BE" w:rsidRPr="00C43F07">
        <w:t>Le</w:t>
      </w:r>
      <w:r w:rsidRPr="00C43F07">
        <w:t>s bureaux du droit d</w:t>
      </w:r>
      <w:r w:rsidR="006408BB">
        <w:t>’</w:t>
      </w:r>
      <w:r w:rsidRPr="00C43F07">
        <w:t>auteur bénéficiaires se sont félicités du soutien de l</w:t>
      </w:r>
      <w:r w:rsidR="006408BB">
        <w:t>’</w:t>
      </w:r>
      <w:r w:rsidRPr="00C43F07">
        <w:t>OMPI.</w:t>
      </w:r>
    </w:p>
    <w:p w:rsidR="001010BC" w:rsidRPr="00C43F07" w:rsidRDefault="001010BC" w:rsidP="00504262">
      <w:pPr>
        <w:pStyle w:val="ONUMFS"/>
      </w:pPr>
      <w:r w:rsidRPr="00C43F07">
        <w:t>Les deux</w:t>
      </w:r>
      <w:r w:rsidR="005839C0">
        <w:t> </w:t>
      </w:r>
      <w:r w:rsidRPr="00C43F07">
        <w:t>offices de propriété intellectuelle ont souligné que le projet avait permis de nouer des relations plus étroites avec les principaux utilisateurs de la propriété intellectuelle, notamment grâce à la formation de réseaux au cours de différentes manifestatio</w:t>
      </w:r>
      <w:r w:rsidR="002140BE" w:rsidRPr="00C43F07">
        <w:t>ns</w:t>
      </w:r>
      <w:r w:rsidR="002140BE">
        <w:t xml:space="preserve">.  </w:t>
      </w:r>
      <w:r w:rsidR="002140BE" w:rsidRPr="00C43F07">
        <w:t>La</w:t>
      </w:r>
      <w:r w:rsidRPr="00C43F07">
        <w:t xml:space="preserve"> sensibilisation visant à informer les titulaires de droits des avantages de la protection de leurs droits d</w:t>
      </w:r>
      <w:r w:rsidR="006408BB">
        <w:t>’</w:t>
      </w:r>
      <w:r w:rsidRPr="00C43F07">
        <w:t>auteur semble avoir été couronnée de succès.</w:t>
      </w:r>
    </w:p>
    <w:p w:rsidR="001010BC" w:rsidRPr="00C43F07" w:rsidRDefault="001010BC" w:rsidP="00504262">
      <w:pPr>
        <w:pStyle w:val="ONUMFS"/>
      </w:pPr>
      <w:r w:rsidRPr="00C43F07">
        <w:t>Bien qu</w:t>
      </w:r>
      <w:r w:rsidR="006408BB">
        <w:t>’</w:t>
      </w:r>
      <w:r w:rsidRPr="00C43F07">
        <w:t>elle n</w:t>
      </w:r>
      <w:r w:rsidR="006408BB">
        <w:t>’</w:t>
      </w:r>
      <w:r w:rsidRPr="00C43F07">
        <w:t>ait été abordée que de façon marginale, la formation sur le règlement des litiges dans les litiges relatifs aux œuvres cinématographiques (médiation, arbitrage et autres mesures) a suscité de l</w:t>
      </w:r>
      <w:r w:rsidR="006408BB">
        <w:t>’</w:t>
      </w:r>
      <w:r w:rsidRPr="00C43F07">
        <w:t>intér</w:t>
      </w:r>
      <w:r w:rsidR="002140BE" w:rsidRPr="00C43F07">
        <w:t>êt</w:t>
      </w:r>
      <w:r w:rsidR="002140BE">
        <w:t xml:space="preserve">.  </w:t>
      </w:r>
      <w:r w:rsidR="002140BE" w:rsidRPr="00C43F07">
        <w:t>Le</w:t>
      </w:r>
      <w:r w:rsidRPr="00C43F07">
        <w:t>s personnes interrogées ont souligné les avantages importants que présentait le règlement à l</w:t>
      </w:r>
      <w:r w:rsidR="006408BB">
        <w:t>’</w:t>
      </w:r>
      <w:r w:rsidRPr="00C43F07">
        <w:t>amiable des litiges relatifs aux droits de propriété intellectuelle (qui ne sont pas limités au droit d</w:t>
      </w:r>
      <w:r w:rsidR="006408BB">
        <w:t>’</w:t>
      </w:r>
      <w:r w:rsidRPr="00C43F07">
        <w:t>auteur), en particulier dans le contexte judiciaire de nombreux pays en développement et PMA.</w:t>
      </w:r>
    </w:p>
    <w:p w:rsidR="001010BC" w:rsidRPr="00C43F07" w:rsidRDefault="001010BC" w:rsidP="00504262">
      <w:pPr>
        <w:pStyle w:val="ONUMFS"/>
      </w:pPr>
      <w:r w:rsidRPr="00C43F07">
        <w:t>Malgré ces premiers progrès prometteurs, peu d</w:t>
      </w:r>
      <w:r w:rsidR="006408BB">
        <w:t>’</w:t>
      </w:r>
      <w:r w:rsidRPr="00C43F07">
        <w:t>autres résultats concrets et tangibles directement attribuables au projet ont été signal</w:t>
      </w:r>
      <w:r w:rsidR="002140BE" w:rsidRPr="00C43F07">
        <w:t>és</w:t>
      </w:r>
      <w:r w:rsidR="002140BE">
        <w:t xml:space="preserve">.  </w:t>
      </w:r>
      <w:r w:rsidR="002140BE" w:rsidRPr="00C43F07">
        <w:t>Le</w:t>
      </w:r>
      <w:r w:rsidRPr="00C43F07">
        <w:t>s premiers exemples de réussite sont prometteurs et donnent des preuves empiriques des tendances positives observées dans le secteur de l</w:t>
      </w:r>
      <w:r w:rsidR="006408BB">
        <w:t>’</w:t>
      </w:r>
      <w:r w:rsidRPr="00C43F07">
        <w:t>audiovisuel, auxquelles le projet a contribué.</w:t>
      </w:r>
    </w:p>
    <w:p w:rsidR="001010BC" w:rsidRPr="00C43F07" w:rsidRDefault="001010BC" w:rsidP="00504262">
      <w:pPr>
        <w:pStyle w:val="ONUMFS"/>
      </w:pPr>
      <w:r w:rsidRPr="00C43F07">
        <w:t>On observe un net consensus selon lequel de nouveaux efforts soutenus sont nécessaires à la professionnalisation du secteur de l</w:t>
      </w:r>
      <w:r w:rsidR="006408BB">
        <w:t>’</w:t>
      </w:r>
      <w:r w:rsidRPr="00C43F07">
        <w:t>audiovisuel, comprenant, mais pas exclusivement, les questions relatives aux droits de propriété intellectuelle, l</w:t>
      </w:r>
      <w:r w:rsidR="006408BB">
        <w:t>’</w:t>
      </w:r>
      <w:r w:rsidRPr="00C43F07">
        <w:t>amélioration du soutien apporté aux entreprises (conseils juridiques et commerciaux) et la création un cadre réglementaire et institutionnel favorable au secteur.</w:t>
      </w:r>
    </w:p>
    <w:p w:rsidR="001010BC" w:rsidRDefault="001010BC" w:rsidP="00504262">
      <w:pPr>
        <w:pStyle w:val="Heading3"/>
      </w:pPr>
      <w:bookmarkStart w:id="37" w:name="_Toc3287464"/>
      <w:bookmarkStart w:id="38" w:name="_Toc3880391"/>
      <w:r w:rsidRPr="00C43F07">
        <w:t>Impact</w:t>
      </w:r>
      <w:bookmarkEnd w:id="37"/>
      <w:bookmarkEnd w:id="38"/>
    </w:p>
    <w:p w:rsidR="00504262" w:rsidRPr="00504262" w:rsidRDefault="00504262" w:rsidP="00504262"/>
    <w:p w:rsidR="001010BC" w:rsidRPr="00C43F07" w:rsidRDefault="001010BC" w:rsidP="00504262">
      <w:pPr>
        <w:pStyle w:val="ONUMFS"/>
      </w:pPr>
      <w:r w:rsidRPr="00C43F07">
        <w:t>Il est prématuré d</w:t>
      </w:r>
      <w:r w:rsidR="006408BB">
        <w:t>’</w:t>
      </w:r>
      <w:r w:rsidRPr="00C43F07">
        <w:t>évaluer les résultats au niveau des impacts.</w:t>
      </w:r>
    </w:p>
    <w:p w:rsidR="001010BC" w:rsidRDefault="00504262" w:rsidP="00504262">
      <w:pPr>
        <w:pStyle w:val="Heading2"/>
      </w:pPr>
      <w:bookmarkStart w:id="39" w:name="_Toc3287465"/>
      <w:bookmarkStart w:id="40" w:name="_Toc3880392"/>
      <w:r w:rsidRPr="00C43F07">
        <w:t>Effic</w:t>
      </w:r>
      <w:bookmarkEnd w:id="39"/>
      <w:r w:rsidRPr="00C43F07">
        <w:t>ience</w:t>
      </w:r>
      <w:bookmarkEnd w:id="40"/>
    </w:p>
    <w:p w:rsidR="001010BC" w:rsidRDefault="001010BC" w:rsidP="0067547F">
      <w:pPr>
        <w:pStyle w:val="Heading3"/>
        <w:numPr>
          <w:ilvl w:val="2"/>
          <w:numId w:val="14"/>
        </w:numPr>
      </w:pPr>
      <w:bookmarkStart w:id="41" w:name="_Toc3880393"/>
      <w:r w:rsidRPr="00C43F07">
        <w:t>Exécution financière</w:t>
      </w:r>
      <w:bookmarkEnd w:id="41"/>
    </w:p>
    <w:p w:rsidR="00504262" w:rsidRPr="00504262" w:rsidRDefault="00504262" w:rsidP="00504262"/>
    <w:p w:rsidR="001010BC" w:rsidRPr="00C43F07" w:rsidRDefault="001010BC" w:rsidP="00504262">
      <w:pPr>
        <w:pStyle w:val="ONUMFS"/>
      </w:pPr>
      <w:r w:rsidRPr="00C43F07">
        <w:t>100% du budget ont été dépensés</w:t>
      </w:r>
      <w:r w:rsidRPr="00C43F07">
        <w:rPr>
          <w:rStyle w:val="FootnoteReference"/>
          <w:iCs/>
        </w:rPr>
        <w:footnoteReference w:id="35"/>
      </w:r>
      <w:r w:rsidR="005839C0">
        <w:t xml:space="preserve">. </w:t>
      </w:r>
      <w:r w:rsidRPr="00C43F07">
        <w:t xml:space="preserve"> On ne dispose pas de rapport financier mettant en évidence les dépenses par rapport aux différentes lignes budgétaires et aux résulta</w:t>
      </w:r>
      <w:r w:rsidR="002140BE" w:rsidRPr="00C43F07">
        <w:t>ts</w:t>
      </w:r>
      <w:r w:rsidR="002140BE">
        <w:t xml:space="preserve">.  </w:t>
      </w:r>
      <w:r w:rsidR="002140BE" w:rsidRPr="00C43F07">
        <w:t>Il</w:t>
      </w:r>
      <w:r w:rsidRPr="00C43F07">
        <w:t xml:space="preserve"> n</w:t>
      </w:r>
      <w:r w:rsidR="006408BB">
        <w:t>’</w:t>
      </w:r>
      <w:r w:rsidRPr="00C43F07">
        <w:t>est donc pas possible d</w:t>
      </w:r>
      <w:r w:rsidR="006408BB">
        <w:t>’</w:t>
      </w:r>
      <w:r w:rsidRPr="00C43F07">
        <w:t>analyser en détail les fonds décaissés par catégorie de coûts et par extra</w:t>
      </w:r>
      <w:r w:rsidR="002140BE" w:rsidRPr="00C43F07">
        <w:t>nt</w:t>
      </w:r>
      <w:r w:rsidR="002140BE">
        <w:t xml:space="preserve">.  </w:t>
      </w:r>
      <w:r w:rsidR="002140BE" w:rsidRPr="00C43F07">
        <w:t>La</w:t>
      </w:r>
      <w:r w:rsidRPr="00C43F07">
        <w:t xml:space="preserve"> relation entre le total des coûts (intrants) et les résultats obtenus semble être comparable à d</w:t>
      </w:r>
      <w:r w:rsidR="006408BB">
        <w:t>’</w:t>
      </w:r>
      <w:r w:rsidRPr="00C43F07">
        <w:t>autres projets de l</w:t>
      </w:r>
      <w:r w:rsidR="006408BB">
        <w:t>’</w:t>
      </w:r>
      <w:r w:rsidRPr="00C43F07">
        <w:t>OMPI comprenant des activités similaires.</w:t>
      </w:r>
    </w:p>
    <w:p w:rsidR="001010BC" w:rsidRPr="00C43F07" w:rsidRDefault="001010BC" w:rsidP="00504262">
      <w:pPr>
        <w:pStyle w:val="ONUMFS"/>
      </w:pPr>
      <w:r w:rsidRPr="00C43F07">
        <w:t>Des économies ont été réalisées, par exemple grâce à l</w:t>
      </w:r>
      <w:r w:rsidR="006408BB">
        <w:t>’</w:t>
      </w:r>
      <w:r w:rsidRPr="00C43F07">
        <w:t>organisation de réunions consécutives dans les pays et de missions visant plusieurs objectifs à la fois.</w:t>
      </w:r>
    </w:p>
    <w:p w:rsidR="001010BC" w:rsidRDefault="001010BC" w:rsidP="00504262">
      <w:pPr>
        <w:pStyle w:val="Heading3"/>
      </w:pPr>
      <w:bookmarkStart w:id="42" w:name="_Toc3287467"/>
      <w:bookmarkStart w:id="43" w:name="_Toc3880394"/>
      <w:r w:rsidRPr="00C43F07">
        <w:lastRenderedPageBreak/>
        <w:t>Évaluation de l</w:t>
      </w:r>
      <w:r w:rsidR="006408BB">
        <w:t>’</w:t>
      </w:r>
      <w:r w:rsidRPr="00C43F07">
        <w:t>approche</w:t>
      </w:r>
      <w:bookmarkEnd w:id="42"/>
      <w:bookmarkEnd w:id="43"/>
    </w:p>
    <w:p w:rsidR="00504262" w:rsidRPr="00504262" w:rsidRDefault="00504262" w:rsidP="00504262"/>
    <w:p w:rsidR="001010BC" w:rsidRPr="00C43F07" w:rsidRDefault="001010BC" w:rsidP="00504262">
      <w:pPr>
        <w:pStyle w:val="ONUMFS"/>
      </w:pPr>
      <w:r w:rsidRPr="00C43F07">
        <w:t>La combinaison d</w:t>
      </w:r>
      <w:r w:rsidR="006408BB">
        <w:t>’</w:t>
      </w:r>
      <w:r w:rsidRPr="00C43F07">
        <w:t>activités (principalement des séminaires et des ateliers) semble indiquer qu</w:t>
      </w:r>
      <w:r w:rsidR="006408BB">
        <w:t>’</w:t>
      </w:r>
      <w:r w:rsidRPr="00C43F07">
        <w:t>une part importante des dépenses autres que des dépenses de personnel concernait l</w:t>
      </w:r>
      <w:r w:rsidR="006408BB">
        <w:t>’</w:t>
      </w:r>
      <w:r w:rsidRPr="00C43F07">
        <w:t>organisation de séminaires, d</w:t>
      </w:r>
      <w:r w:rsidR="006408BB">
        <w:t>’</w:t>
      </w:r>
      <w:r w:rsidRPr="00C43F07">
        <w:t>ateliers et d</w:t>
      </w:r>
      <w:r w:rsidR="006408BB">
        <w:t>’</w:t>
      </w:r>
      <w:r w:rsidRPr="00C43F07">
        <w:t>une visite d</w:t>
      </w:r>
      <w:r w:rsidR="006408BB">
        <w:t>’</w:t>
      </w:r>
      <w:r w:rsidRPr="00C43F07">
        <w:t>étude.</w:t>
      </w:r>
    </w:p>
    <w:p w:rsidR="001010BC" w:rsidRPr="00C43F07" w:rsidRDefault="001010BC" w:rsidP="00504262">
      <w:pPr>
        <w:pStyle w:val="ONUMFS"/>
      </w:pPr>
      <w:r w:rsidRPr="00C43F07">
        <w:t>Le recours à des ateliers pour le renforcement des capacités assurés par des missions du siège est à l</w:t>
      </w:r>
      <w:r w:rsidR="006408BB">
        <w:t>’</w:t>
      </w:r>
      <w:r w:rsidRPr="00C43F07">
        <w:t>évidence un moyen coûteux de transfert de savoir</w:t>
      </w:r>
      <w:r w:rsidR="006408BB">
        <w:t>-</w:t>
      </w:r>
      <w:r w:rsidRPr="00C43F07">
        <w:t>fai</w:t>
      </w:r>
      <w:r w:rsidR="002140BE" w:rsidRPr="00C43F07">
        <w:t>re</w:t>
      </w:r>
      <w:r w:rsidR="002140BE">
        <w:t xml:space="preserve">.  </w:t>
      </w:r>
      <w:r w:rsidR="002140BE" w:rsidRPr="00C43F07">
        <w:t>La</w:t>
      </w:r>
      <w:r w:rsidRPr="00C43F07">
        <w:t xml:space="preserve"> création d</w:t>
      </w:r>
      <w:r w:rsidR="006408BB">
        <w:t>’</w:t>
      </w:r>
      <w:r w:rsidRPr="00C43F07">
        <w:t>un élan initial, d</w:t>
      </w:r>
      <w:r w:rsidR="006408BB">
        <w:t>’</w:t>
      </w:r>
      <w:r w:rsidRPr="00C43F07">
        <w:t>un réseau facilitant l</w:t>
      </w:r>
      <w:r w:rsidR="006408BB">
        <w:t>’</w:t>
      </w:r>
      <w:r w:rsidRPr="00C43F07">
        <w:t>échange de données d</w:t>
      </w:r>
      <w:r w:rsidR="006408BB">
        <w:t>’</w:t>
      </w:r>
      <w:r w:rsidRPr="00C43F07">
        <w:t>expérience et le dialogue entre les diverses parties intéressées nécessite toutefois des réunions physiques.</w:t>
      </w:r>
    </w:p>
    <w:p w:rsidR="001010BC" w:rsidRPr="00C43F07" w:rsidRDefault="001010BC" w:rsidP="00504262">
      <w:pPr>
        <w:pStyle w:val="ONUMFS"/>
      </w:pPr>
      <w:r w:rsidRPr="00C43F07">
        <w:t>Pour des raisons liées à l</w:t>
      </w:r>
      <w:r w:rsidR="006408BB">
        <w:t>’</w:t>
      </w:r>
      <w:r w:rsidRPr="00C43F07">
        <w:t>efficience et à la viabilité, il est nécessaire d</w:t>
      </w:r>
      <w:r w:rsidR="006408BB">
        <w:t>’</w:t>
      </w:r>
      <w:r w:rsidRPr="00C43F07">
        <w:t>effectuer un changement décisif et de remplacer les formations directes par un renforcement systématique des prestataires de services publics et privés de propriété intellectuelle (niveau intermédiaire), sur la base d</w:t>
      </w:r>
      <w:r w:rsidR="006408BB">
        <w:t>’</w:t>
      </w:r>
      <w:r w:rsidRPr="00C43F07">
        <w:t>une évaluation organisationnelle et d</w:t>
      </w:r>
      <w:r w:rsidR="006408BB">
        <w:t>’</w:t>
      </w:r>
      <w:r w:rsidRPr="00C43F07">
        <w:t>un plan d</w:t>
      </w:r>
      <w:r w:rsidR="006408BB">
        <w:t>’</w:t>
      </w:r>
      <w:r w:rsidRPr="00C43F07">
        <w:t>action clair.</w:t>
      </w:r>
    </w:p>
    <w:p w:rsidR="001010BC" w:rsidRPr="00C43F07" w:rsidRDefault="001010BC" w:rsidP="00504262">
      <w:pPr>
        <w:pStyle w:val="ONUMFS"/>
      </w:pPr>
      <w:r w:rsidRPr="00C43F07">
        <w:t>S</w:t>
      </w:r>
      <w:r w:rsidR="006408BB">
        <w:t>’</w:t>
      </w:r>
      <w:r w:rsidRPr="00C43F07">
        <w:t>agissant des ressources techniques engagées par le Secrétariat, la conjugaison de la propriété intellectuelle et d</w:t>
      </w:r>
      <w:r w:rsidR="006408BB">
        <w:t>’</w:t>
      </w:r>
      <w:r w:rsidRPr="00C43F07">
        <w:t>une expertise commerciale a été importan</w:t>
      </w:r>
      <w:r w:rsidR="002140BE" w:rsidRPr="00C43F07">
        <w:t>te</w:t>
      </w:r>
      <w:r w:rsidR="002140BE">
        <w:t xml:space="preserve">.  </w:t>
      </w:r>
      <w:r w:rsidR="002140BE" w:rsidRPr="00C43F07">
        <w:t>Il</w:t>
      </w:r>
      <w:r w:rsidRPr="00C43F07">
        <w:t xml:space="preserve"> importait en outre d</w:t>
      </w:r>
      <w:r w:rsidR="006408BB">
        <w:t>’</w:t>
      </w:r>
      <w:r w:rsidRPr="00C43F07">
        <w:t>identifier les goulots d</w:t>
      </w:r>
      <w:r w:rsidR="006408BB">
        <w:t>’</w:t>
      </w:r>
      <w:r w:rsidRPr="00C43F07">
        <w:t>étranglement tout au long de la chaîne de valeur audiovisuelle et de tenter d</w:t>
      </w:r>
      <w:r w:rsidR="006408BB">
        <w:t>’</w:t>
      </w:r>
      <w:r w:rsidRPr="00C43F07">
        <w:t>y remédier d</w:t>
      </w:r>
      <w:r w:rsidR="006408BB">
        <w:t>’</w:t>
      </w:r>
      <w:r w:rsidRPr="00C43F07">
        <w:t>une manière globale.</w:t>
      </w:r>
    </w:p>
    <w:p w:rsidR="001010BC" w:rsidRPr="00C43F07" w:rsidRDefault="001010BC" w:rsidP="00504262">
      <w:pPr>
        <w:pStyle w:val="ONUMFS"/>
      </w:pPr>
      <w:r w:rsidRPr="00C43F07">
        <w:t>Les bénéficiaires ont fait part de leurs attentes quant au renforcement du soutien apporté par l</w:t>
      </w:r>
      <w:r w:rsidR="006408BB">
        <w:t>’</w:t>
      </w:r>
      <w:r w:rsidRPr="00C43F07">
        <w:t>OMPI à l</w:t>
      </w:r>
      <w:r w:rsidR="006408BB">
        <w:t>’</w:t>
      </w:r>
      <w:r w:rsidRPr="00C43F07">
        <w:t>organisation de séminaires, de formations et de visites d</w:t>
      </w:r>
      <w:r w:rsidR="006408BB">
        <w:t>’</w:t>
      </w:r>
      <w:r w:rsidRPr="00C43F07">
        <w:t>étude supplémentaires dans le pa</w:t>
      </w:r>
      <w:r w:rsidR="002140BE" w:rsidRPr="00C43F07">
        <w:t>ys</w:t>
      </w:r>
      <w:r w:rsidR="002140BE">
        <w:t xml:space="preserve">.  </w:t>
      </w:r>
      <w:r w:rsidR="002140BE" w:rsidRPr="00C43F07">
        <w:t>La</w:t>
      </w:r>
      <w:r w:rsidRPr="00C43F07">
        <w:t xml:space="preserve"> mise au point d</w:t>
      </w:r>
      <w:r w:rsidR="006408BB">
        <w:t>’</w:t>
      </w:r>
      <w:r w:rsidRPr="00C43F07">
        <w:t>une assistance en fonction des mesures prévues ne constituerait pas une approche appropri</w:t>
      </w:r>
      <w:r w:rsidR="002140BE" w:rsidRPr="00C43F07">
        <w:t>ée</w:t>
      </w:r>
      <w:r w:rsidR="002140BE">
        <w:t xml:space="preserve">.  </w:t>
      </w:r>
      <w:r w:rsidR="002140BE" w:rsidRPr="00C43F07">
        <w:t>La</w:t>
      </w:r>
      <w:r w:rsidRPr="00C43F07">
        <w:t xml:space="preserve"> bonne pratique consiste à se mettre d</w:t>
      </w:r>
      <w:r w:rsidR="006408BB">
        <w:t>’</w:t>
      </w:r>
      <w:r w:rsidRPr="00C43F07">
        <w:t>accord sur les objectifs, puis à définir la stratégie d</w:t>
      </w:r>
      <w:r w:rsidR="006408BB">
        <w:t>’</w:t>
      </w:r>
      <w:r w:rsidRPr="00C43F07">
        <w:t>intervention la plus efficace pour y parvenir en combinant différents outils d</w:t>
      </w:r>
      <w:r w:rsidR="006408BB">
        <w:t>’</w:t>
      </w:r>
      <w:r w:rsidRPr="00C43F07">
        <w:t>assistance technique (réunions physiques, missions d</w:t>
      </w:r>
      <w:r w:rsidR="006408BB">
        <w:t>’</w:t>
      </w:r>
      <w:r w:rsidRPr="00C43F07">
        <w:t>experts, enseignement à distance, etc.).</w:t>
      </w:r>
    </w:p>
    <w:p w:rsidR="001010BC" w:rsidRPr="00C43F07" w:rsidRDefault="001010BC" w:rsidP="00504262">
      <w:pPr>
        <w:pStyle w:val="ONUMFS"/>
      </w:pPr>
      <w:r w:rsidRPr="00C43F07">
        <w:t>Dans le cadre du projet, des exemples prometteurs de transfert de savoir</w:t>
      </w:r>
      <w:r w:rsidR="006408BB">
        <w:t>-</w:t>
      </w:r>
      <w:r w:rsidRPr="00C43F07">
        <w:t>faire Sud</w:t>
      </w:r>
      <w:r w:rsidR="006408BB">
        <w:t>-</w:t>
      </w:r>
      <w:r w:rsidRPr="00C43F07">
        <w:t>Sud dans les pays francophones d</w:t>
      </w:r>
      <w:r w:rsidR="006408BB">
        <w:t>’</w:t>
      </w:r>
      <w:r w:rsidRPr="00C43F07">
        <w:t>Afrique de l</w:t>
      </w:r>
      <w:r w:rsidR="006408BB">
        <w:t>’</w:t>
      </w:r>
      <w:r w:rsidRPr="00C43F07">
        <w:t>Ouest sont appar</w:t>
      </w:r>
      <w:r w:rsidR="002140BE" w:rsidRPr="00C43F07">
        <w:t>us</w:t>
      </w:r>
      <w:r w:rsidR="002140BE">
        <w:t xml:space="preserve">.  </w:t>
      </w:r>
      <w:r w:rsidR="002140BE" w:rsidRPr="00C43F07">
        <w:t>En</w:t>
      </w:r>
      <w:r w:rsidRPr="00C43F07">
        <w:t xml:space="preserve"> revanche, les échanges entre ces pays et le Kenya étaient limités, principalement en raison des différences entre les systèmes juridiques (</w:t>
      </w:r>
      <w:r w:rsidRPr="00C43F07">
        <w:rPr>
          <w:i/>
        </w:rPr>
        <w:t>common</w:t>
      </w:r>
      <w:r w:rsidR="005839C0" w:rsidRPr="005839C0">
        <w:rPr>
          <w:i/>
        </w:rPr>
        <w:t> </w:t>
      </w:r>
      <w:r w:rsidRPr="00C43F07">
        <w:rPr>
          <w:i/>
        </w:rPr>
        <w:t>law</w:t>
      </w:r>
      <w:r w:rsidRPr="00C43F07">
        <w:t xml:space="preserve"> au Kenya, droit civil en Afrique de l</w:t>
      </w:r>
      <w:r w:rsidR="006408BB">
        <w:t>’</w:t>
      </w:r>
      <w:r w:rsidRPr="00C43F07">
        <w:t>Ouest francophone) et de questions linguistiques.</w:t>
      </w:r>
    </w:p>
    <w:p w:rsidR="001010BC" w:rsidRPr="00C43F07" w:rsidRDefault="001010BC" w:rsidP="00504262">
      <w:pPr>
        <w:pStyle w:val="ONUMFS"/>
      </w:pPr>
      <w:r w:rsidRPr="00C43F07">
        <w:t>La plupart des activités en Afrique de l</w:t>
      </w:r>
      <w:r w:rsidR="006408BB">
        <w:t>’</w:t>
      </w:r>
      <w:r w:rsidRPr="00C43F07">
        <w:t>Ouest ont été organisées sous la forme d</w:t>
      </w:r>
      <w:r w:rsidR="006408BB">
        <w:t>’</w:t>
      </w:r>
      <w:r w:rsidRPr="00C43F07">
        <w:t>événements régionaux pour tous les pays bénéficiair</w:t>
      </w:r>
      <w:r w:rsidR="002140BE" w:rsidRPr="00C43F07">
        <w:t>es</w:t>
      </w:r>
      <w:r w:rsidR="002140BE">
        <w:t xml:space="preserve">.  </w:t>
      </w:r>
      <w:r w:rsidR="002140BE" w:rsidRPr="00C43F07">
        <w:t>Le</w:t>
      </w:r>
      <w:r w:rsidRPr="00C43F07">
        <w:t>s premières observations laissent à penser que le renforcement du secteur de l</w:t>
      </w:r>
      <w:r w:rsidR="006408BB">
        <w:t>’</w:t>
      </w:r>
      <w:r w:rsidRPr="00C43F07">
        <w:t>audiovisuel est mieux traité dans le cadre d</w:t>
      </w:r>
      <w:r w:rsidR="006408BB">
        <w:t>’</w:t>
      </w:r>
      <w:r w:rsidRPr="00C43F07">
        <w:t>interventions régionales, lorsque les pays sont parties d</w:t>
      </w:r>
      <w:r w:rsidR="006408BB">
        <w:t>’</w:t>
      </w:r>
      <w:r w:rsidRPr="00C43F07">
        <w:t>un marché commun pour les productions ou lorsque les artistes de différents pays ont l</w:t>
      </w:r>
      <w:r w:rsidR="006408BB">
        <w:t>’</w:t>
      </w:r>
      <w:r w:rsidRPr="00C43F07">
        <w:t>habitude de coopérer pour des productions.</w:t>
      </w:r>
    </w:p>
    <w:p w:rsidR="001010BC" w:rsidRPr="00C43F07" w:rsidRDefault="001010BC" w:rsidP="00504262">
      <w:pPr>
        <w:pStyle w:val="ONUMFS"/>
      </w:pPr>
      <w:r w:rsidRPr="00C43F07">
        <w:t>En raison des similitudes culturelles et d</w:t>
      </w:r>
      <w:r w:rsidR="006408BB">
        <w:t>’</w:t>
      </w:r>
      <w:r w:rsidRPr="00C43F07">
        <w:t>une langue commune, cela semble être le cas en Afrique de l</w:t>
      </w:r>
      <w:r w:rsidR="006408BB">
        <w:t>’</w:t>
      </w:r>
      <w:r w:rsidRPr="00C43F07">
        <w:t>Ouest francophone (huit membres de l</w:t>
      </w:r>
      <w:r w:rsidR="006408BB">
        <w:t>’</w:t>
      </w:r>
      <w:r w:rsidRPr="00C43F07">
        <w:t>UEMOA)</w:t>
      </w:r>
      <w:r w:rsidRPr="00C43F07">
        <w:rPr>
          <w:rStyle w:val="FootnoteReference"/>
        </w:rPr>
        <w:footnoteReference w:id="36"/>
      </w:r>
      <w:r w:rsidR="005839C0" w:rsidRPr="00C43F07">
        <w:t>.</w:t>
      </w:r>
    </w:p>
    <w:p w:rsidR="001010BC" w:rsidRPr="00C43F07" w:rsidRDefault="001010BC" w:rsidP="00504262">
      <w:pPr>
        <w:pStyle w:val="ONUMFS"/>
      </w:pPr>
      <w:r w:rsidRPr="00C43F07">
        <w:t>Il n</w:t>
      </w:r>
      <w:r w:rsidR="006408BB">
        <w:t>’</w:t>
      </w:r>
      <w:r w:rsidRPr="00C43F07">
        <w:t>a pas été possible d</w:t>
      </w:r>
      <w:r w:rsidR="006408BB">
        <w:t>’</w:t>
      </w:r>
      <w:r w:rsidRPr="00C43F07">
        <w:t>étudier la situation dans les pays membres de</w:t>
      </w:r>
      <w:r w:rsidR="006408BB" w:rsidRPr="00C43F07">
        <w:t xml:space="preserve"> la</w:t>
      </w:r>
      <w:r w:rsidR="006408BB">
        <w:t> </w:t>
      </w:r>
      <w:r w:rsidR="006408BB" w:rsidRPr="00C43F07">
        <w:t>CEM</w:t>
      </w:r>
      <w:r w:rsidRPr="00C43F07">
        <w:t>AC, également francophones</w:t>
      </w:r>
      <w:r w:rsidRPr="00C43F07">
        <w:rPr>
          <w:rStyle w:val="FootnoteReference"/>
        </w:rPr>
        <w:footnoteReference w:id="37"/>
      </w:r>
      <w:r w:rsidR="005839C0">
        <w:t xml:space="preserve">. </w:t>
      </w:r>
      <w:r w:rsidRPr="00C43F07">
        <w:t xml:space="preserve"> Le renforcement des dimensions régionales du secteur de </w:t>
      </w:r>
      <w:r w:rsidRPr="00C43F07">
        <w:lastRenderedPageBreak/>
        <w:t>l</w:t>
      </w:r>
      <w:r w:rsidR="006408BB">
        <w:t>’</w:t>
      </w:r>
      <w:r w:rsidRPr="00C43F07">
        <w:t>audiovisuel est essentiel pour garantir la compétitivité et la viabilité à long terme du secteur de l</w:t>
      </w:r>
      <w:r w:rsidR="006408BB">
        <w:t>’</w:t>
      </w:r>
      <w:r w:rsidRPr="00C43F07">
        <w:t>audiovisuel en Afrique.</w:t>
      </w:r>
    </w:p>
    <w:p w:rsidR="001010BC" w:rsidRPr="00C43F07" w:rsidRDefault="001010BC" w:rsidP="00504262">
      <w:pPr>
        <w:pStyle w:val="ONUMFS"/>
      </w:pPr>
      <w:r w:rsidRPr="00C43F07">
        <w:t>Enfin, l</w:t>
      </w:r>
      <w:r w:rsidR="006408BB">
        <w:t>’</w:t>
      </w:r>
      <w:r w:rsidRPr="00C43F07">
        <w:t>OMPI a également reconnu à juste titre que, lorsque les organismes régionaux fournissent des directives sur les législations nationales en matière de propriété intellectuelle, ce qui semble être le cas dans l</w:t>
      </w:r>
      <w:r w:rsidR="006408BB">
        <w:t>’</w:t>
      </w:r>
      <w:r w:rsidRPr="00C43F07">
        <w:t>Union économique et monétaire ouest</w:t>
      </w:r>
      <w:r w:rsidR="006408BB">
        <w:t>-</w:t>
      </w:r>
      <w:r w:rsidRPr="00C43F07">
        <w:t>africaine (UEMOA), leur participation est importante</w:t>
      </w:r>
      <w:r w:rsidRPr="00C43F07">
        <w:rPr>
          <w:rStyle w:val="FootnoteReference"/>
        </w:rPr>
        <w:footnoteReference w:id="38"/>
      </w:r>
      <w:r w:rsidR="005839C0" w:rsidRPr="00C43F07">
        <w:t>.</w:t>
      </w:r>
    </w:p>
    <w:p w:rsidR="001010BC" w:rsidRPr="00C43F07" w:rsidRDefault="001010BC" w:rsidP="00504262">
      <w:pPr>
        <w:pStyle w:val="ONUMFS"/>
      </w:pPr>
      <w:r w:rsidRPr="00C43F07">
        <w:t>Si l</w:t>
      </w:r>
      <w:r w:rsidR="006408BB">
        <w:t>’</w:t>
      </w:r>
      <w:r w:rsidRPr="00C43F07">
        <w:t>évaluation a permis de tirer des enseignements de certains pays africains, des conclusions sur l</w:t>
      </w:r>
      <w:r w:rsidR="006408BB">
        <w:t>’</w:t>
      </w:r>
      <w:r w:rsidRPr="00C43F07">
        <w:t>approche qu</w:t>
      </w:r>
      <w:r w:rsidR="006408BB">
        <w:t>’</w:t>
      </w:r>
      <w:r w:rsidRPr="00C43F07">
        <w:t>il conviendrait d</w:t>
      </w:r>
      <w:r w:rsidR="006408BB">
        <w:t>’</w:t>
      </w:r>
      <w:r w:rsidRPr="00C43F07">
        <w:t>adopter dans d</w:t>
      </w:r>
      <w:r w:rsidR="006408BB">
        <w:t>’</w:t>
      </w:r>
      <w:r w:rsidRPr="00C43F07">
        <w:t>autres régions seraient prématurées.</w:t>
      </w:r>
    </w:p>
    <w:p w:rsidR="001010BC" w:rsidRDefault="001010BC" w:rsidP="00504262">
      <w:pPr>
        <w:pStyle w:val="Heading3"/>
      </w:pPr>
      <w:bookmarkStart w:id="44" w:name="_Toc3287468"/>
      <w:bookmarkStart w:id="45" w:name="_Toc3880395"/>
      <w:r w:rsidRPr="00C43F07">
        <w:t>Synergies avec d</w:t>
      </w:r>
      <w:r w:rsidR="006408BB">
        <w:t>’</w:t>
      </w:r>
      <w:r w:rsidRPr="00C43F07">
        <w:t>autres activités menées par le Secrétariat</w:t>
      </w:r>
      <w:bookmarkEnd w:id="44"/>
      <w:bookmarkEnd w:id="45"/>
    </w:p>
    <w:p w:rsidR="00504262" w:rsidRPr="00504262" w:rsidRDefault="00504262" w:rsidP="00504262"/>
    <w:p w:rsidR="001010BC" w:rsidRPr="00C43F07" w:rsidRDefault="001010BC" w:rsidP="00504262">
      <w:pPr>
        <w:pStyle w:val="ONUMFS"/>
      </w:pPr>
      <w:r w:rsidRPr="00C43F07">
        <w:t>Le projet a bénéficié du soutien de différents secteurs au sein du Secrétariat, notamment du programme</w:t>
      </w:r>
      <w:r w:rsidR="0088350E">
        <w:t> </w:t>
      </w:r>
      <w:r w:rsidRPr="00C43F07">
        <w:t>7</w:t>
      </w:r>
      <w:r w:rsidR="005839C0">
        <w:t> </w:t>
      </w:r>
      <w:r w:rsidRPr="00C43F07">
        <w:t>: Centre d</w:t>
      </w:r>
      <w:r w:rsidR="006408BB">
        <w:t>’</w:t>
      </w:r>
      <w:r w:rsidRPr="00C43F07">
        <w:t>arbitrage et de médiation de l</w:t>
      </w:r>
      <w:r w:rsidR="006408BB">
        <w:t>’</w:t>
      </w:r>
      <w:r w:rsidRPr="00C43F07">
        <w:t>OMPI, du programme 11</w:t>
      </w:r>
      <w:r w:rsidR="006408BB">
        <w:t> :</w:t>
      </w:r>
      <w:r w:rsidRPr="00C43F07">
        <w:t xml:space="preserve"> Académie de l</w:t>
      </w:r>
      <w:r w:rsidR="006408BB">
        <w:t>’</w:t>
      </w:r>
      <w:r w:rsidRPr="00C43F07">
        <w:t>OMPI, du programme</w:t>
      </w:r>
      <w:r w:rsidR="0088350E">
        <w:t> </w:t>
      </w:r>
      <w:r w:rsidRPr="00C43F07">
        <w:t>15</w:t>
      </w:r>
      <w:r w:rsidR="006408BB">
        <w:t> :</w:t>
      </w:r>
      <w:r w:rsidRPr="00C43F07">
        <w:t xml:space="preserve"> Solutions opérationnelles pour les offices de propriété intellectuelle, du programme 16</w:t>
      </w:r>
      <w:r w:rsidR="006408BB">
        <w:t> :</w:t>
      </w:r>
      <w:r w:rsidRPr="00C43F07">
        <w:t xml:space="preserve"> Économie et statistiqu</w:t>
      </w:r>
      <w:r w:rsidR="002140BE" w:rsidRPr="00C43F07">
        <w:t>es</w:t>
      </w:r>
      <w:r w:rsidR="002140BE">
        <w:t xml:space="preserve">.  </w:t>
      </w:r>
      <w:r w:rsidR="002140BE" w:rsidRPr="00C43F07">
        <w:t>Le</w:t>
      </w:r>
      <w:r w:rsidRPr="00C43F07">
        <w:t xml:space="preserve"> contact avec le Bureau général pour l</w:t>
      </w:r>
      <w:r w:rsidR="006408BB">
        <w:t>’</w:t>
      </w:r>
      <w:r w:rsidRPr="00C43F07">
        <w:t>Afrique (dans le cadre du programme</w:t>
      </w:r>
      <w:r w:rsidR="0088350E">
        <w:t> </w:t>
      </w:r>
      <w:r w:rsidRPr="00C43F07">
        <w:t>9) se limitait à un échange d</w:t>
      </w:r>
      <w:r w:rsidR="006408BB">
        <w:t>’</w:t>
      </w:r>
      <w:r w:rsidRPr="00C43F07">
        <w:t>informations informel et occasionnel.</w:t>
      </w:r>
    </w:p>
    <w:p w:rsidR="001010BC" w:rsidRPr="00C43F07" w:rsidRDefault="001010BC" w:rsidP="00504262">
      <w:pPr>
        <w:pStyle w:val="ONUMFS"/>
      </w:pPr>
      <w:r w:rsidRPr="00C43F07">
        <w:t>Bien que les synergies soient restée relativement limitées, aucun double emploi ni chevauchement n</w:t>
      </w:r>
      <w:r w:rsidR="006408BB">
        <w:t>’</w:t>
      </w:r>
      <w:r w:rsidRPr="00C43F07">
        <w:t>a été constaté.</w:t>
      </w:r>
    </w:p>
    <w:p w:rsidR="001010BC" w:rsidRDefault="00504262" w:rsidP="00504262">
      <w:pPr>
        <w:pStyle w:val="Heading2"/>
      </w:pPr>
      <w:bookmarkStart w:id="46" w:name="_Toc3287469"/>
      <w:bookmarkStart w:id="47" w:name="_Toc3880396"/>
      <w:r w:rsidRPr="00C43F07">
        <w:t>Degré de viabilité des résultats</w:t>
      </w:r>
      <w:bookmarkEnd w:id="46"/>
      <w:bookmarkEnd w:id="47"/>
    </w:p>
    <w:p w:rsidR="00504262" w:rsidRPr="00504262" w:rsidRDefault="00504262" w:rsidP="00504262"/>
    <w:p w:rsidR="001010BC" w:rsidRPr="00C43F07" w:rsidRDefault="001010BC" w:rsidP="00504262">
      <w:pPr>
        <w:pStyle w:val="ONUMFS"/>
      </w:pPr>
      <w:r w:rsidRPr="00C43F07">
        <w:t>Il serait prématuré d</w:t>
      </w:r>
      <w:r w:rsidR="006408BB">
        <w:t>’</w:t>
      </w:r>
      <w:r w:rsidRPr="00C43F07">
        <w:t>essayer d</w:t>
      </w:r>
      <w:r w:rsidR="006408BB">
        <w:t>’</w:t>
      </w:r>
      <w:r w:rsidRPr="00C43F07">
        <w:t>évaluer le degré de viabilité des résultats au niveau des pays, car la pérennité des avantages dépend dans une large mesure du suivi assuré par les offices de propriété intellectuelle concern</w:t>
      </w:r>
      <w:r w:rsidR="002140BE" w:rsidRPr="00C43F07">
        <w:t>és</w:t>
      </w:r>
      <w:r w:rsidR="002140BE">
        <w:t xml:space="preserve">.  </w:t>
      </w:r>
      <w:r w:rsidR="002140BE" w:rsidRPr="00C43F07">
        <w:t>Le</w:t>
      </w:r>
      <w:r w:rsidRPr="00C43F07">
        <w:t>s capacités et les ressources des bureaux du droit d</w:t>
      </w:r>
      <w:r w:rsidR="006408BB">
        <w:t>’</w:t>
      </w:r>
      <w:r w:rsidRPr="00C43F07">
        <w:t>auteur dans les pays cibles sont variables.</w:t>
      </w:r>
    </w:p>
    <w:p w:rsidR="001010BC" w:rsidRPr="00C43F07" w:rsidRDefault="001010BC" w:rsidP="00504262">
      <w:pPr>
        <w:pStyle w:val="ONUMFS"/>
      </w:pPr>
      <w:r w:rsidRPr="00C43F07">
        <w:t>Les pays bénéficiaires ont exprimé le vif souhait de poursuivre sur cette voie, et donc d</w:t>
      </w:r>
      <w:r w:rsidR="006408BB">
        <w:t>’</w:t>
      </w:r>
      <w:r w:rsidRPr="00C43F07">
        <w:t>organiser davantage de formations et de séminaires sur pla</w:t>
      </w:r>
      <w:r w:rsidR="002140BE" w:rsidRPr="00C43F07">
        <w:t>ce</w:t>
      </w:r>
      <w:r w:rsidR="002140BE">
        <w:t xml:space="preserve">.  </w:t>
      </w:r>
      <w:r w:rsidR="002140BE" w:rsidRPr="00C43F07">
        <w:t>To</w:t>
      </w:r>
      <w:r w:rsidRPr="00C43F07">
        <w:t>utefois, une intervention supplémentaire favorisant le secteur de l</w:t>
      </w:r>
      <w:r w:rsidR="006408BB">
        <w:t>’</w:t>
      </w:r>
      <w:r w:rsidRPr="00C43F07">
        <w:t>audiovisuel dans la même région ou une nouvelle phase de suivi après plusieurs années de soutien serait difficile à justifier, dans la mesure où le projet du Plan d</w:t>
      </w:r>
      <w:r w:rsidR="006408BB">
        <w:t>’</w:t>
      </w:r>
      <w:r w:rsidRPr="00C43F07">
        <w:t>action pour le développement a pour objectif principal d</w:t>
      </w:r>
      <w:r w:rsidR="006408BB">
        <w:t>’</w:t>
      </w:r>
      <w:r w:rsidRPr="00C43F07">
        <w:t>élaborer et d</w:t>
      </w:r>
      <w:r w:rsidR="006408BB">
        <w:t>’</w:t>
      </w:r>
      <w:r w:rsidRPr="00C43F07">
        <w:t>expérimenter des approches novatrices en matière d</w:t>
      </w:r>
      <w:r w:rsidR="006408BB">
        <w:t>’</w:t>
      </w:r>
      <w:r w:rsidRPr="00C43F07">
        <w:t>utilisation de la propriété intellectuelle au service du développement.</w:t>
      </w:r>
    </w:p>
    <w:p w:rsidR="001010BC" w:rsidRPr="00C43F07" w:rsidRDefault="001010BC" w:rsidP="00504262">
      <w:pPr>
        <w:pStyle w:val="ONUMFS"/>
      </w:pPr>
      <w:r w:rsidRPr="00C43F07">
        <w:t>Le projet a fourni un ensemble de services, dont la plupart sont déjà disponibl</w:t>
      </w:r>
      <w:r w:rsidR="002140BE" w:rsidRPr="00C43F07">
        <w:t>es</w:t>
      </w:r>
      <w:r w:rsidR="002140BE">
        <w:t xml:space="preserve">.  </w:t>
      </w:r>
      <w:r w:rsidR="002140BE" w:rsidRPr="00C43F07">
        <w:t>D</w:t>
      </w:r>
      <w:r w:rsidR="002140BE">
        <w:t>’</w:t>
      </w:r>
      <w:r w:rsidR="002140BE" w:rsidRPr="00C43F07">
        <w:t>a</w:t>
      </w:r>
      <w:r w:rsidRPr="00C43F07">
        <w:t xml:space="preserve">utres activités, par exemple le soutien apporté à la </w:t>
      </w:r>
      <w:r w:rsidR="006408BB">
        <w:t>“</w:t>
      </w:r>
      <w:r w:rsidR="006408BB" w:rsidRPr="00C43F07">
        <w:t>p</w:t>
      </w:r>
      <w:r w:rsidRPr="00C43F07">
        <w:t>rofessionnalisatio</w:t>
      </w:r>
      <w:r w:rsidR="006408BB" w:rsidRPr="00C43F07">
        <w:t>n</w:t>
      </w:r>
      <w:r w:rsidR="006408BB">
        <w:t>”</w:t>
      </w:r>
      <w:r w:rsidRPr="00C43F07">
        <w:t xml:space="preserve"> du secteur de l</w:t>
      </w:r>
      <w:r w:rsidR="006408BB">
        <w:t>’</w:t>
      </w:r>
      <w:r w:rsidRPr="00C43F07">
        <w:t>audiovisuel en Afrique en dehors des questions relatives aux droits de propriété intellectuelle, dépasseraient la portée du mandat de l</w:t>
      </w:r>
      <w:r w:rsidR="006408BB">
        <w:t>’</w:t>
      </w:r>
      <w:r w:rsidRPr="00C43F07">
        <w:t>OMPI.</w:t>
      </w:r>
    </w:p>
    <w:p w:rsidR="001010BC" w:rsidRPr="00C43F07" w:rsidRDefault="001010BC" w:rsidP="00504262">
      <w:pPr>
        <w:pStyle w:val="ONUMFS"/>
      </w:pPr>
      <w:r w:rsidRPr="00C43F07">
        <w:t>En ce qui concerne les services disponibles, le cours d</w:t>
      </w:r>
      <w:r w:rsidR="006408BB">
        <w:t>’</w:t>
      </w:r>
      <w:r w:rsidRPr="00C43F07">
        <w:t>enseignement à distance prévu par l</w:t>
      </w:r>
      <w:r w:rsidR="006408BB">
        <w:t>’</w:t>
      </w:r>
      <w:r w:rsidRPr="00C43F07">
        <w:t>OMPI pour le secteur de l</w:t>
      </w:r>
      <w:r w:rsidR="006408BB">
        <w:t>’</w:t>
      </w:r>
      <w:r w:rsidRPr="00C43F07">
        <w:t>audiovisuel, global et destiné à un large public ayant un intérêt professionnel dans le secteur de l</w:t>
      </w:r>
      <w:r w:rsidR="006408BB">
        <w:t>’</w:t>
      </w:r>
      <w:r w:rsidRPr="00C43F07">
        <w:t>audiovisuel, constituera l</w:t>
      </w:r>
      <w:r w:rsidR="006408BB">
        <w:t>’</w:t>
      </w:r>
      <w:r w:rsidRPr="00C43F07">
        <w:t>élément central de la poursuite des activités de renforcement des capacités et des formatio</w:t>
      </w:r>
      <w:r w:rsidR="002140BE" w:rsidRPr="00C43F07">
        <w:t>ns</w:t>
      </w:r>
      <w:r w:rsidR="002140BE">
        <w:t xml:space="preserve">.  </w:t>
      </w:r>
      <w:r w:rsidR="002140BE" w:rsidRPr="00C43F07">
        <w:t>Il</w:t>
      </w:r>
      <w:r w:rsidRPr="00C43F07">
        <w:t xml:space="preserve"> comprend les aspects essentiels de l</w:t>
      </w:r>
      <w:r w:rsidR="006408BB">
        <w:t>’</w:t>
      </w:r>
      <w:r w:rsidRPr="00C43F07">
        <w:t>ensemble des formations et séminaires physiqu</w:t>
      </w:r>
      <w:r w:rsidR="002140BE" w:rsidRPr="00C43F07">
        <w:t>es</w:t>
      </w:r>
      <w:r w:rsidR="002140BE">
        <w:t xml:space="preserve">.  </w:t>
      </w:r>
      <w:r w:rsidR="002140BE" w:rsidRPr="00C43F07">
        <w:t>Ce</w:t>
      </w:r>
      <w:r w:rsidRPr="00C43F07">
        <w:t xml:space="preserve"> cours sera dispensé en ligne et encadré par des formateu</w:t>
      </w:r>
      <w:r w:rsidR="002140BE" w:rsidRPr="00C43F07">
        <w:t>rs</w:t>
      </w:r>
      <w:r w:rsidR="002140BE">
        <w:t xml:space="preserve">.  </w:t>
      </w:r>
      <w:r w:rsidR="002140BE" w:rsidRPr="00C43F07">
        <w:t>Le</w:t>
      </w:r>
      <w:r w:rsidRPr="00C43F07">
        <w:t xml:space="preserve"> nouveau cours d</w:t>
      </w:r>
      <w:r w:rsidR="006408BB">
        <w:t>’</w:t>
      </w:r>
      <w:r w:rsidRPr="00C43F07">
        <w:t xml:space="preserve">enseignement à distance mis en place par </w:t>
      </w:r>
      <w:r w:rsidRPr="00C43F07">
        <w:lastRenderedPageBreak/>
        <w:t>l</w:t>
      </w:r>
      <w:r w:rsidR="006408BB">
        <w:t>’</w:t>
      </w:r>
      <w:r w:rsidRPr="00C43F07">
        <w:t>intermédiaire de l</w:t>
      </w:r>
      <w:r w:rsidR="006408BB">
        <w:t>’</w:t>
      </w:r>
      <w:r w:rsidRPr="00C43F07">
        <w:t>Académie de l</w:t>
      </w:r>
      <w:r w:rsidR="006408BB">
        <w:t>’</w:t>
      </w:r>
      <w:r w:rsidRPr="00C43F07">
        <w:t>OMPI sera en mesure de remplir une part importante du renforcement des capacités liées au secteur.</w:t>
      </w:r>
    </w:p>
    <w:p w:rsidR="001010BC" w:rsidRPr="00C43F07" w:rsidRDefault="001010BC" w:rsidP="00504262">
      <w:pPr>
        <w:pStyle w:val="ONUMFS"/>
      </w:pPr>
      <w:r w:rsidRPr="00C43F07">
        <w:t>Certains guides pratiques qui fournissent des directives explicites à l</w:t>
      </w:r>
      <w:r w:rsidR="006408BB">
        <w:t>’</w:t>
      </w:r>
      <w:r w:rsidRPr="00C43F07">
        <w:t>intention des praticiens (par exemple, un guide sur les négociations contractuelles) sont soit déjà disponibles soit en cours d</w:t>
      </w:r>
      <w:r w:rsidR="006408BB">
        <w:t>’</w:t>
      </w:r>
      <w:r w:rsidRPr="00C43F07">
        <w:t>élaborati</w:t>
      </w:r>
      <w:r w:rsidR="002140BE" w:rsidRPr="00C43F07">
        <w:t>on</w:t>
      </w:r>
      <w:r w:rsidR="002140BE">
        <w:t xml:space="preserve">.  </w:t>
      </w:r>
      <w:r w:rsidR="002140BE" w:rsidRPr="00C43F07">
        <w:t>En</w:t>
      </w:r>
      <w:r w:rsidRPr="00C43F07">
        <w:t xml:space="preserve"> outre, une mise à jour de la publication intitulée </w:t>
      </w:r>
      <w:r w:rsidR="006408BB">
        <w:t>“</w:t>
      </w:r>
      <w:r w:rsidR="006408BB" w:rsidRPr="00C43F07">
        <w:t>D</w:t>
      </w:r>
      <w:r w:rsidRPr="00C43F07">
        <w:t>u scénario à l</w:t>
      </w:r>
      <w:r w:rsidR="006408BB">
        <w:t>’</w:t>
      </w:r>
      <w:r w:rsidRPr="00C43F07">
        <w:t>écran, l</w:t>
      </w:r>
      <w:r w:rsidR="006408BB">
        <w:t>’</w:t>
      </w:r>
      <w:r w:rsidRPr="00C43F07">
        <w:t>importance du droit d</w:t>
      </w:r>
      <w:r w:rsidR="006408BB">
        <w:t>’</w:t>
      </w:r>
      <w:r w:rsidRPr="00C43F07">
        <w:t>auteur dans la distribution cinématographique, les industries créatives – Livret n°</w:t>
      </w:r>
      <w:r w:rsidR="005839C0">
        <w:t> </w:t>
      </w:r>
      <w:r w:rsidR="006408BB" w:rsidRPr="00C43F07">
        <w:t>6</w:t>
      </w:r>
      <w:r w:rsidR="006408BB">
        <w:t>”</w:t>
      </w:r>
      <w:r w:rsidRPr="00C43F07">
        <w:t xml:space="preserve"> est en cours d</w:t>
      </w:r>
      <w:r w:rsidR="006408BB">
        <w:t>’</w:t>
      </w:r>
      <w:r w:rsidRPr="00C43F07">
        <w:t>élaboration</w:t>
      </w:r>
      <w:r w:rsidRPr="00C43F07">
        <w:rPr>
          <w:rStyle w:val="FootnoteReference"/>
        </w:rPr>
        <w:footnoteReference w:id="39"/>
      </w:r>
      <w:r w:rsidR="005839C0" w:rsidRPr="00C43F07">
        <w:t>.</w:t>
      </w:r>
    </w:p>
    <w:p w:rsidR="001010BC" w:rsidRPr="00C43F07" w:rsidRDefault="001010BC" w:rsidP="00504262">
      <w:pPr>
        <w:pStyle w:val="ONUMFS"/>
      </w:pPr>
      <w:r w:rsidRPr="00C43F07">
        <w:t>La plupart des autres services (en particulier les conseils de politique générale relatifs au droit d</w:t>
      </w:r>
      <w:r w:rsidR="006408BB">
        <w:t>’</w:t>
      </w:r>
      <w:r w:rsidRPr="00C43F07">
        <w:t>auteur) font partie des activités ordinaires du Secteur du droit d</w:t>
      </w:r>
      <w:r w:rsidR="006408BB">
        <w:t>’</w:t>
      </w:r>
      <w:r w:rsidRPr="00C43F07">
        <w:t>auteur et des industries de la créati</w:t>
      </w:r>
      <w:r w:rsidR="002140BE" w:rsidRPr="00C43F07">
        <w:t>on</w:t>
      </w:r>
      <w:r w:rsidR="002140BE">
        <w:t xml:space="preserve">.  </w:t>
      </w:r>
      <w:r w:rsidR="002140BE" w:rsidRPr="00C43F07">
        <w:t>La</w:t>
      </w:r>
      <w:r w:rsidRPr="00C43F07">
        <w:t xml:space="preserve"> formation générale des magistrats est désormais coordonnée par le nouvel institut de formation judiciaire de l</w:t>
      </w:r>
      <w:r w:rsidR="006408BB">
        <w:t>’</w:t>
      </w:r>
      <w:r w:rsidRPr="00C43F07">
        <w:t>OMPI</w:t>
      </w:r>
      <w:r w:rsidRPr="00C43F07">
        <w:rPr>
          <w:rStyle w:val="FootnoteReference"/>
        </w:rPr>
        <w:footnoteReference w:id="40"/>
      </w:r>
      <w:r w:rsidR="005839C0" w:rsidRPr="00C43F07">
        <w:t>.</w:t>
      </w:r>
    </w:p>
    <w:p w:rsidR="001010BC" w:rsidRPr="00C43F07" w:rsidRDefault="001010BC" w:rsidP="00504262">
      <w:pPr>
        <w:pStyle w:val="ONUMFS"/>
      </w:pPr>
      <w:r w:rsidRPr="00C43F07">
        <w:t>D</w:t>
      </w:r>
      <w:r w:rsidR="006408BB">
        <w:t>’</w:t>
      </w:r>
      <w:r w:rsidRPr="00C43F07">
        <w:t>éventuels nouveaux projets du Plan d</w:t>
      </w:r>
      <w:r w:rsidR="006408BB">
        <w:t>’</w:t>
      </w:r>
      <w:r w:rsidRPr="00C43F07">
        <w:t>action pour le développement bénéficiant à d</w:t>
      </w:r>
      <w:r w:rsidR="006408BB">
        <w:t>’</w:t>
      </w:r>
      <w:r w:rsidRPr="00C43F07">
        <w:t>autres industries du secteur de la création pourraient offrir la possibilité de compléter et de consolider l</w:t>
      </w:r>
      <w:r w:rsidR="006408BB">
        <w:t>’</w:t>
      </w:r>
      <w:r w:rsidRPr="00C43F07">
        <w:t>aide apport</w:t>
      </w:r>
      <w:r w:rsidR="002140BE" w:rsidRPr="00C43F07">
        <w:t>ée</w:t>
      </w:r>
      <w:r w:rsidR="002140BE">
        <w:t xml:space="preserve">.  </w:t>
      </w:r>
      <w:r w:rsidR="002140BE" w:rsidRPr="00C43F07">
        <w:t>Il</w:t>
      </w:r>
      <w:r w:rsidRPr="00C43F07">
        <w:t>s pourraient également permettre de financer certaines publications supplémentaires qui ont été proposées mais qui n</w:t>
      </w:r>
      <w:r w:rsidR="006408BB">
        <w:t>’</w:t>
      </w:r>
      <w:r w:rsidRPr="00C43F07">
        <w:t>ont pas été mises en œuvre, notamment un recueil d</w:t>
      </w:r>
      <w:r w:rsidR="006408BB">
        <w:t>’</w:t>
      </w:r>
      <w:r w:rsidRPr="00C43F07">
        <w:t>affaires relatives au secteur de l</w:t>
      </w:r>
      <w:r w:rsidR="006408BB">
        <w:t>’</w:t>
      </w:r>
      <w:r w:rsidRPr="00C43F07">
        <w:t>audiovisuel, ciblant en particulier les magistrats et les avocats.</w:t>
      </w:r>
    </w:p>
    <w:p w:rsidR="001010BC" w:rsidRPr="00C43F07" w:rsidRDefault="001010BC" w:rsidP="00504262">
      <w:pPr>
        <w:pStyle w:val="ONUMFS"/>
      </w:pPr>
      <w:r w:rsidRPr="00C43F07">
        <w:t>Les études économiques sur les industries de la création relèvent de la Section de l</w:t>
      </w:r>
      <w:r w:rsidR="006408BB">
        <w:t>’</w:t>
      </w:r>
      <w:r w:rsidRPr="00C43F07">
        <w:t>économie créative de la Division de l</w:t>
      </w:r>
      <w:r w:rsidR="006408BB">
        <w:t>’</w:t>
      </w:r>
      <w:r w:rsidRPr="00C43F07">
        <w:t>économie et des statistiques</w:t>
      </w:r>
      <w:r w:rsidRPr="00C43F07">
        <w:rPr>
          <w:rStyle w:val="FootnoteReference"/>
        </w:rPr>
        <w:footnoteReference w:id="41"/>
      </w:r>
      <w:r w:rsidR="005839C0" w:rsidRPr="00C43F07">
        <w:t>.</w:t>
      </w:r>
    </w:p>
    <w:p w:rsidR="001010BC" w:rsidRPr="00C43F07" w:rsidRDefault="001010BC" w:rsidP="00504262">
      <w:pPr>
        <w:pStyle w:val="ONUMFS"/>
      </w:pPr>
      <w:r w:rsidRPr="00C43F07">
        <w:t>Le projet n</w:t>
      </w:r>
      <w:r w:rsidR="006408BB">
        <w:t>’</w:t>
      </w:r>
      <w:r w:rsidRPr="00C43F07">
        <w:t>a pu que survoler le thème des modes extrajudiciaires de règlement des litiges dans le secteur de l</w:t>
      </w:r>
      <w:r w:rsidR="006408BB">
        <w:t>’</w:t>
      </w:r>
      <w:r w:rsidRPr="00C43F07">
        <w:t>audiovisuel en Afriq</w:t>
      </w:r>
      <w:r w:rsidR="002140BE" w:rsidRPr="00C43F07">
        <w:t>ue</w:t>
      </w:r>
      <w:r w:rsidR="002140BE">
        <w:t xml:space="preserve">.  </w:t>
      </w:r>
      <w:r w:rsidR="002140BE" w:rsidRPr="00C43F07">
        <w:t>Po</w:t>
      </w:r>
      <w:r w:rsidRPr="00C43F07">
        <w:t>ur traiter comme il se doit ce sujet très pertinent, il serait nécessaire de mettre en place un projet distinct visant à renforcer le règlement extrajudiciaire des litiges de propriété intellectuelle dans les pays en développement et</w:t>
      </w:r>
      <w:r w:rsidR="006408BB" w:rsidRPr="00C43F07">
        <w:t xml:space="preserve"> les</w:t>
      </w:r>
      <w:r w:rsidR="006408BB">
        <w:t> </w:t>
      </w:r>
      <w:r w:rsidR="006408BB" w:rsidRPr="00C43F07">
        <w:t>PMA</w:t>
      </w:r>
      <w:r w:rsidRPr="00C43F07">
        <w:t xml:space="preserve"> en général.</w:t>
      </w:r>
    </w:p>
    <w:p w:rsidR="001010BC" w:rsidRDefault="00504262" w:rsidP="00504262">
      <w:pPr>
        <w:pStyle w:val="Heading1"/>
      </w:pPr>
      <w:bookmarkStart w:id="48" w:name="_Toc3287470"/>
      <w:bookmarkStart w:id="49" w:name="_Toc3880397"/>
      <w:r w:rsidRPr="00C43F07">
        <w:t>Conclusions</w:t>
      </w:r>
      <w:bookmarkEnd w:id="48"/>
      <w:bookmarkEnd w:id="49"/>
    </w:p>
    <w:p w:rsidR="00504262" w:rsidRPr="00504262" w:rsidRDefault="00504262" w:rsidP="00504262"/>
    <w:p w:rsidR="001010BC" w:rsidRPr="00C43F07" w:rsidRDefault="001010BC" w:rsidP="00504262">
      <w:pPr>
        <w:pStyle w:val="ONUMFS"/>
      </w:pPr>
      <w:r w:rsidRPr="00C43F07">
        <w:t>Les conclusions et l</w:t>
      </w:r>
      <w:r w:rsidR="006408BB">
        <w:t>’</w:t>
      </w:r>
      <w:r w:rsidRPr="00C43F07">
        <w:t>évaluation ci</w:t>
      </w:r>
      <w:r w:rsidR="006408BB">
        <w:t>-</w:t>
      </w:r>
      <w:r w:rsidRPr="00C43F07">
        <w:t>dessus ont abouti aux conclusions suivantes</w:t>
      </w:r>
      <w:r w:rsidR="006408BB">
        <w:t> :</w:t>
      </w:r>
    </w:p>
    <w:p w:rsidR="00B559E3" w:rsidRPr="00586D4B" w:rsidRDefault="00B559E3" w:rsidP="00B559E3">
      <w:pPr>
        <w:pStyle w:val="Heading4"/>
      </w:pPr>
      <w:r w:rsidRPr="00586D4B">
        <w:t>Conclusion n°</w:t>
      </w:r>
      <w:r>
        <w:t> </w:t>
      </w:r>
      <w:r w:rsidRPr="00586D4B">
        <w:t>1 concernant la préparation et la gestion du projet</w:t>
      </w:r>
      <w:r>
        <w:t> :</w:t>
      </w:r>
      <w:r w:rsidRPr="00586D4B">
        <w:t xml:space="preserve"> dans l</w:t>
      </w:r>
      <w:r>
        <w:t>’</w:t>
      </w:r>
      <w:r w:rsidRPr="00586D4B">
        <w:t>ensemble, le projet a été bien préparé et géré</w:t>
      </w:r>
      <w:r>
        <w:t xml:space="preserve">.  </w:t>
      </w:r>
      <w:r w:rsidRPr="00586D4B">
        <w:t>Les contraintes budgétaires et les facteurs externes ont entraîné des retards dans l</w:t>
      </w:r>
      <w:r>
        <w:t>’</w:t>
      </w:r>
      <w:r w:rsidRPr="00586D4B">
        <w:t>exécution de certaines activités.</w:t>
      </w:r>
    </w:p>
    <w:p w:rsidR="00B559E3" w:rsidRPr="00423BE0" w:rsidRDefault="00B559E3" w:rsidP="00B559E3"/>
    <w:p w:rsidR="00B559E3" w:rsidRPr="00A1244F" w:rsidRDefault="00B559E3" w:rsidP="00B559E3">
      <w:pPr>
        <w:pStyle w:val="ONUMFS"/>
      </w:pPr>
      <w:r w:rsidRPr="00A1244F">
        <w:t>Les préparatifs ont bénéficié de l</w:t>
      </w:r>
      <w:r>
        <w:t>’</w:t>
      </w:r>
      <w:r w:rsidRPr="00A1244F">
        <w:t>expérience acquise et des enseignements tirés au cours d</w:t>
      </w:r>
      <w:r>
        <w:t>’</w:t>
      </w:r>
      <w:r w:rsidRPr="00A1244F">
        <w:t>une première phase</w:t>
      </w:r>
      <w:r>
        <w:t xml:space="preserve">.  </w:t>
      </w:r>
      <w:r w:rsidRPr="00A1244F">
        <w:t>Une étude exploratoire approfondie d</w:t>
      </w:r>
      <w:r>
        <w:t>’</w:t>
      </w:r>
      <w:r w:rsidRPr="00A1244F">
        <w:t>excellente qualité a permis de comprendre le secteur de l</w:t>
      </w:r>
      <w:r>
        <w:t>’</w:t>
      </w:r>
      <w:r w:rsidRPr="00A1244F">
        <w:t>audiovisuel africain, les défis posés par celui</w:t>
      </w:r>
      <w:r>
        <w:t>-</w:t>
      </w:r>
      <w:r w:rsidRPr="00A1244F">
        <w:t>ci ainsi que les moyens de les relever</w:t>
      </w:r>
      <w:r>
        <w:t xml:space="preserve">.  </w:t>
      </w:r>
      <w:r w:rsidRPr="00A1244F">
        <w:t>Les objectifs généraux du projet et la logique d</w:t>
      </w:r>
      <w:r>
        <w:t>’</w:t>
      </w:r>
      <w:r w:rsidRPr="00A1244F">
        <w:t>intervention sont globalement clairs</w:t>
      </w:r>
      <w:r>
        <w:t xml:space="preserve">.  </w:t>
      </w:r>
      <w:r w:rsidRPr="00A1244F">
        <w:t>Le descriptif de projet comprend une stratégie d</w:t>
      </w:r>
      <w:r>
        <w:t>’</w:t>
      </w:r>
      <w:r w:rsidRPr="00A1244F">
        <w:t>action, une description des activités prévues et un calendrier de mise en œuvre</w:t>
      </w:r>
      <w:r>
        <w:t xml:space="preserve">.  </w:t>
      </w:r>
      <w:r w:rsidRPr="00A1244F">
        <w:t>Le taux de décaissement indique que le budget était exact</w:t>
      </w:r>
      <w:r>
        <w:t xml:space="preserve">.  </w:t>
      </w:r>
      <w:r w:rsidRPr="00A1244F">
        <w:t>L</w:t>
      </w:r>
      <w:r>
        <w:t>’</w:t>
      </w:r>
      <w:r w:rsidRPr="00A1244F">
        <w:t>affectation du personnel nécessaire (répartition du temps) n</w:t>
      </w:r>
      <w:r>
        <w:t>’</w:t>
      </w:r>
      <w:r w:rsidRPr="00A1244F">
        <w:t>a toutefois pas été à la mesure de la complexité du projet et du nombre d</w:t>
      </w:r>
      <w:r>
        <w:t>’</w:t>
      </w:r>
      <w:r w:rsidRPr="00A1244F">
        <w:t>activités;  ce qui a entraîné des retards (notamment en ce qui concerne la finalisation du cours d</w:t>
      </w:r>
      <w:r>
        <w:t>’</w:t>
      </w:r>
      <w:r w:rsidRPr="00A1244F">
        <w:t>enseignement à distance de l</w:t>
      </w:r>
      <w:r>
        <w:t>’</w:t>
      </w:r>
      <w:r w:rsidRPr="00A1244F">
        <w:t>OMPI).  Si les pays bénéficiaires ont nommé des coordonnateurs, aucune structure de gestion officielle entre le Secrétariat et les pays bénéficiaires n</w:t>
      </w:r>
      <w:r>
        <w:t>’</w:t>
      </w:r>
      <w:r w:rsidRPr="00A1244F">
        <w:t>a été mise en place</w:t>
      </w:r>
      <w:r>
        <w:t xml:space="preserve">.  </w:t>
      </w:r>
      <w:r w:rsidRPr="00A1244F">
        <w:t>Il s</w:t>
      </w:r>
      <w:r>
        <w:t>’</w:t>
      </w:r>
      <w:r w:rsidRPr="00A1244F">
        <w:t>agit d</w:t>
      </w:r>
      <w:r>
        <w:t>’</w:t>
      </w:r>
      <w:r w:rsidRPr="00A1244F">
        <w:t xml:space="preserve">une stratégie </w:t>
      </w:r>
      <w:r w:rsidRPr="00A1244F">
        <w:lastRenderedPageBreak/>
        <w:t>d</w:t>
      </w:r>
      <w:r>
        <w:t>’</w:t>
      </w:r>
      <w:r w:rsidRPr="00A1244F">
        <w:t>élimination progressive comprenant des mesures particulières ayant pour but de garantir la viabilité des avantages du projet, au terme de l</w:t>
      </w:r>
      <w:r>
        <w:t>’</w:t>
      </w:r>
      <w:r w:rsidRPr="00A1244F">
        <w:t>appui de l</w:t>
      </w:r>
      <w:r>
        <w:t>’</w:t>
      </w:r>
      <w:r w:rsidRPr="00A1244F">
        <w:t>OMPI.</w:t>
      </w:r>
    </w:p>
    <w:p w:rsidR="00B559E3" w:rsidRPr="00A1244F" w:rsidRDefault="00B559E3" w:rsidP="00B559E3">
      <w:pPr>
        <w:pStyle w:val="ONUMFS"/>
      </w:pPr>
      <w:r w:rsidRPr="00A1244F">
        <w:t>La direction a sélectionné les bons experts et veillé à la qualité de l</w:t>
      </w:r>
      <w:r>
        <w:t>’</w:t>
      </w:r>
      <w:r w:rsidRPr="00A1244F">
        <w:t>appui fourni</w:t>
      </w:r>
      <w:r>
        <w:t xml:space="preserve">.  </w:t>
      </w:r>
      <w:r w:rsidRPr="00A1244F">
        <w:t>Les bénéficiaires ont souligné l</w:t>
      </w:r>
      <w:r>
        <w:t>’</w:t>
      </w:r>
      <w:r w:rsidRPr="00A1244F">
        <w:t>aptitude du Secrétariat à répondre à leurs besoins.</w:t>
      </w:r>
    </w:p>
    <w:p w:rsidR="00B559E3" w:rsidRPr="00A1244F" w:rsidRDefault="00B559E3" w:rsidP="00B559E3">
      <w:pPr>
        <w:pStyle w:val="ONUMFS"/>
      </w:pPr>
      <w:r w:rsidRPr="00A1244F">
        <w:t>Le projet a appliqué les modèles de planification et d</w:t>
      </w:r>
      <w:r>
        <w:t>’</w:t>
      </w:r>
      <w:r w:rsidRPr="00A1244F">
        <w:t>établissement de rapports de l</w:t>
      </w:r>
      <w:r>
        <w:t>’</w:t>
      </w:r>
      <w:r w:rsidRPr="00A1244F">
        <w:t>OMPI</w:t>
      </w:r>
      <w:r>
        <w:t xml:space="preserve">.  </w:t>
      </w:r>
      <w:r w:rsidRPr="00A1244F">
        <w:t>Contrairement à la plupart des autres acteurs du développement, l</w:t>
      </w:r>
      <w:r>
        <w:t>’</w:t>
      </w:r>
      <w:r w:rsidRPr="00A1244F">
        <w:t>OMPI n</w:t>
      </w:r>
      <w:r>
        <w:t>’</w:t>
      </w:r>
      <w:r w:rsidRPr="00A1244F">
        <w:t>utilise pas de cadres logiques pour la planification, le suivi et l</w:t>
      </w:r>
      <w:r>
        <w:t>’</w:t>
      </w:r>
      <w:r w:rsidRPr="00A1244F">
        <w:t>évaluation des projets.</w:t>
      </w:r>
    </w:p>
    <w:p w:rsidR="00B559E3" w:rsidRDefault="00B559E3" w:rsidP="00B559E3">
      <w:pPr>
        <w:pStyle w:val="Heading4"/>
      </w:pPr>
      <w:r w:rsidRPr="00A1244F">
        <w:t>Conclusion n°</w:t>
      </w:r>
      <w:r>
        <w:t> </w:t>
      </w:r>
      <w:r w:rsidRPr="00A1244F">
        <w:t>2 concernant la pertinence</w:t>
      </w:r>
      <w:r>
        <w:t> :</w:t>
      </w:r>
      <w:r w:rsidRPr="00A1244F">
        <w:t xml:space="preserve"> le projet a été réalisé en temps voulu et a répondu aux besoins des bénéficiaires</w:t>
      </w:r>
      <w:r>
        <w:t xml:space="preserve">.  </w:t>
      </w:r>
      <w:r w:rsidRPr="00A1244F">
        <w:t>Il a entièrement respecté les priorités stratégiques définies par les États membres.</w:t>
      </w:r>
    </w:p>
    <w:p w:rsidR="00B559E3" w:rsidRPr="00423BE0" w:rsidRDefault="00B559E3" w:rsidP="00B559E3"/>
    <w:p w:rsidR="00B559E3" w:rsidRPr="00A1244F" w:rsidRDefault="00B559E3" w:rsidP="00B559E3">
      <w:pPr>
        <w:pStyle w:val="ONUMFS"/>
        <w:rPr>
          <w:b/>
        </w:rPr>
      </w:pPr>
      <w:r w:rsidRPr="00A1244F">
        <w:t>Le secteur de l</w:t>
      </w:r>
      <w:r>
        <w:t>’</w:t>
      </w:r>
      <w:r w:rsidRPr="00A1244F">
        <w:t>audiovisuel figure parmi les actifs intellectuels les plus créatifs de l</w:t>
      </w:r>
      <w:r>
        <w:t>’</w:t>
      </w:r>
      <w:r w:rsidRPr="00A1244F">
        <w:t>économie du savoir et représente un secteur essentiel à la croissance économique et au développement de l</w:t>
      </w:r>
      <w:r>
        <w:t>’</w:t>
      </w:r>
      <w:r w:rsidRPr="00A1244F">
        <w:t>Afrique</w:t>
      </w:r>
      <w:r>
        <w:t xml:space="preserve">.  </w:t>
      </w:r>
      <w:r w:rsidRPr="00A1244F">
        <w:t>Les cinéastes africains, petits pour la plupart, se heurtent à des difficultés pour exploiter pleinement le potentiel économique des techniques émergentes</w:t>
      </w:r>
      <w:r>
        <w:t xml:space="preserve">.  </w:t>
      </w:r>
      <w:r w:rsidRPr="00A1244F">
        <w:t>En travaillant à la frontière entre technologie numérique et systèmes de protection du droit d</w:t>
      </w:r>
      <w:r>
        <w:t>’</w:t>
      </w:r>
      <w:r w:rsidRPr="00A1244F">
        <w:t>auteur, le projet a su répondre rapidement et de manière appropriée aux défis du secteur de l</w:t>
      </w:r>
      <w:r>
        <w:t>’</w:t>
      </w:r>
      <w:r w:rsidRPr="00A1244F">
        <w:t>audiovisuel africain.</w:t>
      </w:r>
    </w:p>
    <w:p w:rsidR="00B559E3" w:rsidRDefault="00B559E3" w:rsidP="00B559E3">
      <w:pPr>
        <w:pStyle w:val="ONUMFS"/>
      </w:pPr>
      <w:r w:rsidRPr="00A1244F">
        <w:t>L</w:t>
      </w:r>
      <w:r>
        <w:t>’</w:t>
      </w:r>
      <w:r w:rsidRPr="00A1244F">
        <w:t>approbation par consensus du</w:t>
      </w:r>
      <w:r>
        <w:t> </w:t>
      </w:r>
      <w:r w:rsidRPr="00A1244F">
        <w:t>CDIP témoigne de la pertinence stratégique du projet pour les États membres</w:t>
      </w:r>
      <w:r>
        <w:t xml:space="preserve">.  </w:t>
      </w:r>
      <w:r w:rsidRPr="00A1244F">
        <w:t>Le projet a satisfait aux recommandations du Plan d</w:t>
      </w:r>
      <w:r>
        <w:t>’</w:t>
      </w:r>
      <w:r w:rsidRPr="00A1244F">
        <w:t>action pour le développement visées.</w:t>
      </w:r>
    </w:p>
    <w:p w:rsidR="00B559E3" w:rsidRPr="00A1244F" w:rsidRDefault="00B559E3" w:rsidP="00B559E3">
      <w:pPr>
        <w:pStyle w:val="ONUMFS"/>
      </w:pPr>
      <w:r w:rsidRPr="00A1244F">
        <w:t>Les objectifs du projet ont également satisfait aux objectifs du programme</w:t>
      </w:r>
      <w:r>
        <w:t> </w:t>
      </w:r>
      <w:r w:rsidRPr="00A1244F">
        <w:t>3, qui vise le renforcement des capacités et des compétences pour l</w:t>
      </w:r>
      <w:r>
        <w:t>’</w:t>
      </w:r>
      <w:r w:rsidRPr="00A1244F">
        <w:t>utilisation et la gestion efficaces du droit d</w:t>
      </w:r>
      <w:r>
        <w:t>’</w:t>
      </w:r>
      <w:r w:rsidRPr="00A1244F">
        <w:t>auteur et des droits connexes dans le cadre du financement et de l</w:t>
      </w:r>
      <w:r>
        <w:t>’</w:t>
      </w:r>
      <w:r w:rsidRPr="00A1244F">
        <w:t>exploitation légitime des contenus audiovisuels, en vue d</w:t>
      </w:r>
      <w:r>
        <w:t>’</w:t>
      </w:r>
      <w:r w:rsidRPr="00A1244F">
        <w:t>appuyer le développement du secteur audiovisuel local à l</w:t>
      </w:r>
      <w:r>
        <w:t>’</w:t>
      </w:r>
      <w:r w:rsidRPr="00A1244F">
        <w:t>ère du numérique aux fins de la promotion du développement économique, social et culturel</w:t>
      </w:r>
      <w:r>
        <w:t xml:space="preserve">.  </w:t>
      </w:r>
      <w:r w:rsidRPr="00A1244F">
        <w:t>Bien qu</w:t>
      </w:r>
      <w:r>
        <w:t>’</w:t>
      </w:r>
      <w:r w:rsidRPr="00A1244F">
        <w:t>à un degré moindre, le projet contribue également aux objectifs du programme</w:t>
      </w:r>
      <w:r>
        <w:t> </w:t>
      </w:r>
      <w:r w:rsidRPr="00A1244F">
        <w:t>9 (axé sur l</w:t>
      </w:r>
      <w:r>
        <w:t>’</w:t>
      </w:r>
      <w:r w:rsidRPr="00A1244F">
        <w:t>Afrique), du programme</w:t>
      </w:r>
      <w:r>
        <w:t> </w:t>
      </w:r>
      <w:r w:rsidRPr="00A1244F">
        <w:t>11 (cours d</w:t>
      </w:r>
      <w:r>
        <w:t>’</w:t>
      </w:r>
      <w:r w:rsidRPr="00A1244F">
        <w:t>enseignement à distance prévus pour le secteur de l</w:t>
      </w:r>
      <w:r>
        <w:t>’</w:t>
      </w:r>
      <w:r w:rsidRPr="00A1244F">
        <w:t>audiovisuel), du programme</w:t>
      </w:r>
      <w:r>
        <w:t> </w:t>
      </w:r>
      <w:r w:rsidRPr="00A1244F">
        <w:t>15 (certains aspects de l</w:t>
      </w:r>
      <w:r>
        <w:t>’</w:t>
      </w:r>
      <w:r w:rsidRPr="00A1244F">
        <w:t>infrastructure informatique des sociétés de perception), du programme</w:t>
      </w:r>
      <w:r>
        <w:t> </w:t>
      </w:r>
      <w:r w:rsidRPr="00A1244F">
        <w:t>16 (étude de faisabilité sur l</w:t>
      </w:r>
      <w:r>
        <w:t>’</w:t>
      </w:r>
      <w:r w:rsidRPr="00A1244F">
        <w:t>amélioration de la collecte de données économiques) et du programme</w:t>
      </w:r>
      <w:r>
        <w:t> </w:t>
      </w:r>
      <w:r w:rsidRPr="00A1244F">
        <w:t xml:space="preserve">17 (une formation au règlement des litiges, </w:t>
      </w:r>
      <w:r>
        <w:t>y compris</w:t>
      </w:r>
      <w:r w:rsidRPr="00A1244F">
        <w:t xml:space="preserve"> à la médiation et à l</w:t>
      </w:r>
      <w:r>
        <w:t>’</w:t>
      </w:r>
      <w:r w:rsidRPr="00A1244F">
        <w:t>arbitrage).</w:t>
      </w:r>
    </w:p>
    <w:p w:rsidR="00B559E3" w:rsidRDefault="00B559E3" w:rsidP="00B559E3">
      <w:pPr>
        <w:pStyle w:val="Heading4"/>
      </w:pPr>
      <w:r w:rsidRPr="00A1244F">
        <w:t>Conclusion n°</w:t>
      </w:r>
      <w:r>
        <w:t> </w:t>
      </w:r>
      <w:r w:rsidRPr="00A1244F">
        <w:t>3 concernant l</w:t>
      </w:r>
      <w:r>
        <w:t>’</w:t>
      </w:r>
      <w:r w:rsidRPr="00A1244F">
        <w:t>efficacité</w:t>
      </w:r>
      <w:r>
        <w:t> :</w:t>
      </w:r>
      <w:r w:rsidRPr="00A1244F">
        <w:t xml:space="preserve"> toutes les activités prévues à l</w:t>
      </w:r>
      <w:r>
        <w:t>’</w:t>
      </w:r>
      <w:r w:rsidRPr="00A1244F">
        <w:t>exception du cours d</w:t>
      </w:r>
      <w:r>
        <w:t>’</w:t>
      </w:r>
      <w:r w:rsidRPr="00A1244F">
        <w:t>enseignement à distance ont été achevées</w:t>
      </w:r>
      <w:r>
        <w:t xml:space="preserve">.  </w:t>
      </w:r>
      <w:r w:rsidRPr="00A1244F">
        <w:t>S</w:t>
      </w:r>
      <w:r>
        <w:t>’</w:t>
      </w:r>
      <w:r w:rsidRPr="00A1244F">
        <w:t>il était trop tôt pour évaluer des résultats dans leur ensemble, l</w:t>
      </w:r>
      <w:r>
        <w:t>’</w:t>
      </w:r>
      <w:r w:rsidRPr="00A1244F">
        <w:t>évaluation a enregistré un début d</w:t>
      </w:r>
      <w:r>
        <w:t>’</w:t>
      </w:r>
      <w:r w:rsidRPr="00A1244F">
        <w:t>évolution positif vers la professionnalisation du secteur.</w:t>
      </w:r>
    </w:p>
    <w:p w:rsidR="00B559E3" w:rsidRPr="00423BE0" w:rsidRDefault="00B559E3" w:rsidP="00B559E3"/>
    <w:p w:rsidR="00B559E3" w:rsidRDefault="00B559E3" w:rsidP="00B559E3">
      <w:pPr>
        <w:pStyle w:val="ONUMFS"/>
      </w:pPr>
      <w:r w:rsidRPr="00A1244F">
        <w:t>Le projet a encouragé l</w:t>
      </w:r>
      <w:r>
        <w:t>’</w:t>
      </w:r>
      <w:r w:rsidRPr="00A1244F">
        <w:t>utilisation de la propriété intellectuelle dans le secteur de l</w:t>
      </w:r>
      <w:r>
        <w:t>’</w:t>
      </w:r>
      <w:r w:rsidRPr="00A1244F">
        <w:t>audiovisuel pour améliorer la valorisation des actifs intellectuels dans les cinq</w:t>
      </w:r>
      <w:r>
        <w:t> </w:t>
      </w:r>
      <w:r w:rsidRPr="00A1244F">
        <w:t>pays cibles (Burkina Faso, Côte d</w:t>
      </w:r>
      <w:r>
        <w:t>’</w:t>
      </w:r>
      <w:r w:rsidRPr="00A1244F">
        <w:t>Ivoire, Kenya, Maroc et Sénégal), l</w:t>
      </w:r>
      <w:r>
        <w:t>’</w:t>
      </w:r>
      <w:r w:rsidRPr="00A1244F">
        <w:t>objectif premier étant de rendre le secteur plus viable.</w:t>
      </w:r>
    </w:p>
    <w:p w:rsidR="00B559E3" w:rsidRPr="00A1244F" w:rsidRDefault="00B559E3" w:rsidP="00B559E3">
      <w:pPr>
        <w:pStyle w:val="ONUMFS"/>
      </w:pPr>
      <w:r w:rsidRPr="00A1244F">
        <w:t>L</w:t>
      </w:r>
      <w:r>
        <w:t>’</w:t>
      </w:r>
      <w:r w:rsidRPr="00A1244F">
        <w:t>appui a notamment porté sur l</w:t>
      </w:r>
      <w:r>
        <w:t>’</w:t>
      </w:r>
      <w:r w:rsidRPr="00A1244F">
        <w:t>amélioration du cadre juridique, le renforcement des capacités des bureaux du droit d</w:t>
      </w:r>
      <w:r>
        <w:t>’</w:t>
      </w:r>
      <w:r w:rsidRPr="00A1244F">
        <w:t>auteur et des sociétés de perception afin de mieux répondre aux besoins du secteur de l</w:t>
      </w:r>
      <w:r>
        <w:t>’</w:t>
      </w:r>
      <w:r w:rsidRPr="00A1244F">
        <w:t>audiovisuel et visait le renforcement direct des capacités des petites et moyennes entreprises, principalement en ce qui concerne l</w:t>
      </w:r>
      <w:r>
        <w:t>’</w:t>
      </w:r>
      <w:r w:rsidRPr="00A1244F">
        <w:t xml:space="preserve">amélioration des dispositions </w:t>
      </w:r>
      <w:r w:rsidRPr="00A1244F">
        <w:lastRenderedPageBreak/>
        <w:t>relatives à la propriété intellectuelle dans les accords juridiques</w:t>
      </w:r>
      <w:r>
        <w:t xml:space="preserve">.  </w:t>
      </w:r>
      <w:r w:rsidRPr="00A1244F">
        <w:t>En outre, un atelier au Kenya a porté sur le règlement extrajudiciaire des litiges (prévention des litiges, médiation, arbitrage).</w:t>
      </w:r>
    </w:p>
    <w:p w:rsidR="00B559E3" w:rsidRPr="00A1244F" w:rsidRDefault="00B559E3" w:rsidP="00B559E3">
      <w:pPr>
        <w:pStyle w:val="ONUMFS"/>
      </w:pPr>
      <w:r w:rsidRPr="00A1244F">
        <w:t>Parmi les activités prévues figuraient des ateliers dans tous les pays bénéficiaires, un audit et une formation de la Société sénégalaise du droit d</w:t>
      </w:r>
      <w:r>
        <w:t>’</w:t>
      </w:r>
      <w:r w:rsidRPr="00A1244F">
        <w:t>auteur et des droits voisins (SODAV) sur place au Sénégal, une étude de faisabilité sur l</w:t>
      </w:r>
      <w:r>
        <w:t>’</w:t>
      </w:r>
      <w:r w:rsidRPr="00A1244F">
        <w:t>amélioration de la collecte de données économiques ainsi qu</w:t>
      </w:r>
      <w:r>
        <w:t>’</w:t>
      </w:r>
      <w:r w:rsidRPr="00A1244F">
        <w:t>une visite d</w:t>
      </w:r>
      <w:r>
        <w:t>’</w:t>
      </w:r>
      <w:r w:rsidRPr="00A1244F">
        <w:t>étude</w:t>
      </w:r>
      <w:r>
        <w:t xml:space="preserve">.  </w:t>
      </w:r>
      <w:r w:rsidRPr="00A1244F">
        <w:t>Le cours d</w:t>
      </w:r>
      <w:r>
        <w:t>’</w:t>
      </w:r>
      <w:r w:rsidRPr="00A1244F">
        <w:t>enseignement à distance, qui sera dispensé par l</w:t>
      </w:r>
      <w:r>
        <w:t>’</w:t>
      </w:r>
      <w:r w:rsidRPr="00A1244F">
        <w:t>intermédiaire de l</w:t>
      </w:r>
      <w:r>
        <w:t>’</w:t>
      </w:r>
      <w:r w:rsidRPr="00A1244F">
        <w:t>Académie de l</w:t>
      </w:r>
      <w:r>
        <w:t>’</w:t>
      </w:r>
      <w:r w:rsidRPr="00A1244F">
        <w:t>OMPI, devrait s</w:t>
      </w:r>
      <w:r>
        <w:t>’</w:t>
      </w:r>
      <w:r w:rsidRPr="00A1244F">
        <w:t>achever d</w:t>
      </w:r>
      <w:r>
        <w:t>’</w:t>
      </w:r>
      <w:r w:rsidRPr="00A1244F">
        <w:t>ici à juin</w:t>
      </w:r>
      <w:r>
        <w:t> </w:t>
      </w:r>
      <w:r w:rsidRPr="00A1244F">
        <w:t>2019.  Autrement, les activités prévues ont été fournies en temps voulu et étaient de bonne qualité.</w:t>
      </w:r>
    </w:p>
    <w:p w:rsidR="00B559E3" w:rsidRPr="00A1244F" w:rsidRDefault="00B559E3" w:rsidP="00B559E3">
      <w:pPr>
        <w:pStyle w:val="ONUMFS"/>
      </w:pPr>
      <w:r w:rsidRPr="00A1244F">
        <w:t>S</w:t>
      </w:r>
      <w:r>
        <w:t>’</w:t>
      </w:r>
      <w:r w:rsidRPr="00A1244F">
        <w:t>il est encore trop tôt pour évaluer les résultats escomptés, les bénéficiaires ont indiqué que les acteurs de leurs pays respectifs avaient acquis une meilleure compréhension de l</w:t>
      </w:r>
      <w:r>
        <w:t>’</w:t>
      </w:r>
      <w:r w:rsidRPr="00A1244F">
        <w:t>utilisation de la propriété intellectuelle dans le secteur de l</w:t>
      </w:r>
      <w:r>
        <w:t>’</w:t>
      </w:r>
      <w:r w:rsidRPr="00A1244F">
        <w:t>audiovisuel</w:t>
      </w:r>
      <w:r>
        <w:t xml:space="preserve">.  </w:t>
      </w:r>
      <w:r w:rsidRPr="00A1244F">
        <w:t>Ils ont également enregistré une première tendance positive à la professionnalisation de l</w:t>
      </w:r>
      <w:r>
        <w:t>’</w:t>
      </w:r>
      <w:r w:rsidRPr="00A1244F">
        <w:t>industrie cinématographique, notamment en ce qui concerne la formalisation des relations contractuelles et la prise en compte des aspects liés à la propriété intellectuelle</w:t>
      </w:r>
      <w:r>
        <w:t xml:space="preserve">.  </w:t>
      </w:r>
      <w:r w:rsidRPr="00A1244F">
        <w:t>Les contributions de l</w:t>
      </w:r>
      <w:r>
        <w:t>’</w:t>
      </w:r>
      <w:r w:rsidRPr="00A1244F">
        <w:t>OMPI ont également joué un rôle dans la révision de la législation du Burkina Faso, du Maroc et du Sénégal et dans la mise au point d</w:t>
      </w:r>
      <w:r>
        <w:t>’</w:t>
      </w:r>
      <w:r w:rsidRPr="00A1244F">
        <w:t>une politique cinématographique au Kenya.</w:t>
      </w:r>
    </w:p>
    <w:p w:rsidR="00B559E3" w:rsidRPr="00423BE0" w:rsidRDefault="00B559E3" w:rsidP="00B559E3">
      <w:pPr>
        <w:pStyle w:val="Heading4"/>
      </w:pPr>
      <w:r w:rsidRPr="00423BE0">
        <w:t>Conclusion n°</w:t>
      </w:r>
      <w:r>
        <w:t> </w:t>
      </w:r>
      <w:r w:rsidRPr="00423BE0">
        <w:t>4 concernant l</w:t>
      </w:r>
      <w:r>
        <w:t>’</w:t>
      </w:r>
      <w:r w:rsidRPr="00423BE0">
        <w:t>efficience</w:t>
      </w:r>
      <w:r>
        <w:t> :</w:t>
      </w:r>
      <w:r w:rsidRPr="00423BE0">
        <w:t xml:space="preserve"> dans l</w:t>
      </w:r>
      <w:r>
        <w:t>’</w:t>
      </w:r>
      <w:r w:rsidRPr="00423BE0">
        <w:t>ensemble, le projet a utilisé une approche adaptée</w:t>
      </w:r>
      <w:r>
        <w:t xml:space="preserve">.  </w:t>
      </w:r>
      <w:r w:rsidRPr="00423BE0">
        <w:t>Le rapport coûts</w:t>
      </w:r>
      <w:r>
        <w:t>-</w:t>
      </w:r>
      <w:r w:rsidRPr="00423BE0">
        <w:t>bénéfices (au niveau des résultats escomptés) est comparable à des projets similaires de l</w:t>
      </w:r>
      <w:r>
        <w:t>’</w:t>
      </w:r>
      <w:r w:rsidRPr="00423BE0">
        <w:t>OMPI.</w:t>
      </w:r>
    </w:p>
    <w:p w:rsidR="00B559E3" w:rsidRPr="00423BE0" w:rsidRDefault="00B559E3" w:rsidP="00B559E3"/>
    <w:p w:rsidR="00B559E3" w:rsidRPr="00A1244F" w:rsidRDefault="00B559E3" w:rsidP="00B559E3">
      <w:pPr>
        <w:pStyle w:val="ONUMFS"/>
      </w:pPr>
      <w:r w:rsidRPr="00A1244F">
        <w:t>La combinaison d</w:t>
      </w:r>
      <w:r>
        <w:t>’</w:t>
      </w:r>
      <w:r w:rsidRPr="00A1244F">
        <w:t>activités (principalement séminaires et ateliers) laisse supposer qu</w:t>
      </w:r>
      <w:r>
        <w:t>’</w:t>
      </w:r>
      <w:r w:rsidRPr="00A1244F">
        <w:t>une part importante des dépenses autres que les dépenses de personnel était liée à l</w:t>
      </w:r>
      <w:r>
        <w:t>’</w:t>
      </w:r>
      <w:r w:rsidRPr="00A1244F">
        <w:t>organisation de séminaires, d</w:t>
      </w:r>
      <w:r>
        <w:t>’</w:t>
      </w:r>
      <w:r w:rsidRPr="00A1244F">
        <w:t>ateliers et d</w:t>
      </w:r>
      <w:r>
        <w:t>’</w:t>
      </w:r>
      <w:r w:rsidRPr="00A1244F">
        <w:t>une visite d</w:t>
      </w:r>
      <w:r>
        <w:t>’</w:t>
      </w:r>
      <w:r w:rsidRPr="00A1244F">
        <w:t>étude</w:t>
      </w:r>
      <w:r>
        <w:t xml:space="preserve">.  </w:t>
      </w:r>
      <w:r w:rsidRPr="00A1244F">
        <w:t>Le recours à des ateliers de renforcement des capacités assurés par les missions du siège représente, à l</w:t>
      </w:r>
      <w:r>
        <w:t>’</w:t>
      </w:r>
      <w:r w:rsidRPr="00A1244F">
        <w:t>évidence, un moyen coûteux de transfert de savoir</w:t>
      </w:r>
      <w:r>
        <w:t>-</w:t>
      </w:r>
      <w:r w:rsidRPr="00A1244F">
        <w:t>faire</w:t>
      </w:r>
      <w:r>
        <w:t xml:space="preserve">.  </w:t>
      </w:r>
      <w:r w:rsidRPr="00A1244F">
        <w:t>Or, il est nécessaire d</w:t>
      </w:r>
      <w:r>
        <w:t>’</w:t>
      </w:r>
      <w:r w:rsidRPr="00A1244F">
        <w:t>organiser des réunions qui permettent de créer un premier élan, un réseau, de favoriser l</w:t>
      </w:r>
      <w:r>
        <w:t>’</w:t>
      </w:r>
      <w:r w:rsidRPr="00A1244F">
        <w:t>échange de données d</w:t>
      </w:r>
      <w:r>
        <w:t>’</w:t>
      </w:r>
      <w:r w:rsidRPr="00A1244F">
        <w:t>expérience et d</w:t>
      </w:r>
      <w:r>
        <w:t>’</w:t>
      </w:r>
      <w:r w:rsidRPr="00A1244F">
        <w:t>encourager le dialogue à travers de multiples parties prenantes</w:t>
      </w:r>
      <w:r>
        <w:t xml:space="preserve">.  </w:t>
      </w:r>
      <w:r w:rsidRPr="00A1244F">
        <w:t>En ce qui concerne l</w:t>
      </w:r>
      <w:r>
        <w:t>’</w:t>
      </w:r>
      <w:r w:rsidRPr="00A1244F">
        <w:t>apport technique, associer la propriété intellectuelle aux compétences commerciales était important</w:t>
      </w:r>
      <w:r>
        <w:t xml:space="preserve">.  </w:t>
      </w:r>
      <w:r w:rsidRPr="00A1244F">
        <w:t>Il importait en outre de cibler les goulots d</w:t>
      </w:r>
      <w:r>
        <w:t>’</w:t>
      </w:r>
      <w:r w:rsidRPr="00A1244F">
        <w:t>étranglement le long de la chaîne de valeur audiovisuelle et d</w:t>
      </w:r>
      <w:r>
        <w:t>’</w:t>
      </w:r>
      <w:r w:rsidRPr="00A1244F">
        <w:t>essayer de les traiter d</w:t>
      </w:r>
      <w:r>
        <w:t>’</w:t>
      </w:r>
      <w:r w:rsidRPr="00A1244F">
        <w:t>une manière globale.</w:t>
      </w:r>
    </w:p>
    <w:p w:rsidR="00B559E3" w:rsidRPr="00A1244F" w:rsidRDefault="00B559E3" w:rsidP="00B559E3">
      <w:pPr>
        <w:pStyle w:val="ONUMFS"/>
      </w:pPr>
      <w:r w:rsidRPr="00A1244F">
        <w:t>Dans le cadre du projet, des exemples prometteurs de transfert de savoir</w:t>
      </w:r>
      <w:r>
        <w:t>-</w:t>
      </w:r>
      <w:r w:rsidRPr="00A1244F">
        <w:t>faire Sud</w:t>
      </w:r>
      <w:r>
        <w:t>-</w:t>
      </w:r>
      <w:r w:rsidRPr="00A1244F">
        <w:t>Sud dans les pays francophones d</w:t>
      </w:r>
      <w:r>
        <w:t>’</w:t>
      </w:r>
      <w:r w:rsidRPr="00A1244F">
        <w:t>Afrique de l</w:t>
      </w:r>
      <w:r>
        <w:t>’</w:t>
      </w:r>
      <w:r w:rsidRPr="00A1244F">
        <w:t>Ouest sont apparus</w:t>
      </w:r>
      <w:r>
        <w:t xml:space="preserve">.  </w:t>
      </w:r>
      <w:r w:rsidRPr="00A1244F">
        <w:t>Malgré les efforts déployés, les échanges entre ces pays et le Kenya étaient plus limités, principalement en raison des problèmes linguistiques et des différences entre les systèmes juridiques (</w:t>
      </w:r>
      <w:r>
        <w:t>“</w:t>
      </w:r>
      <w:r w:rsidRPr="002140BE">
        <w:rPr>
          <w:i/>
        </w:rPr>
        <w:t>common</w:t>
      </w:r>
      <w:r w:rsidRPr="005839C0">
        <w:rPr>
          <w:i/>
        </w:rPr>
        <w:t> </w:t>
      </w:r>
      <w:r w:rsidRPr="002140BE">
        <w:rPr>
          <w:i/>
        </w:rPr>
        <w:t>law</w:t>
      </w:r>
      <w:r>
        <w:t>”</w:t>
      </w:r>
      <w:r w:rsidRPr="00A1244F">
        <w:t xml:space="preserve"> au Kenya, droit civil en Afrique de l</w:t>
      </w:r>
      <w:r>
        <w:t>’</w:t>
      </w:r>
      <w:r w:rsidRPr="00A1244F">
        <w:t>Ouest francophone).</w:t>
      </w:r>
    </w:p>
    <w:p w:rsidR="00B559E3" w:rsidRPr="00A1244F" w:rsidRDefault="00B559E3" w:rsidP="00B559E3">
      <w:pPr>
        <w:pStyle w:val="ONUMFS"/>
      </w:pPr>
      <w:r w:rsidRPr="00A1244F">
        <w:t>Les premiers indices laissent supposer que, lorsque les pays font partie d</w:t>
      </w:r>
      <w:r>
        <w:t>’</w:t>
      </w:r>
      <w:r w:rsidRPr="00A1244F">
        <w:t>un marché commun avec des productions ou des artistes de différents pays, ils coopèrent généralement sur les productions et le secteur de l</w:t>
      </w:r>
      <w:r>
        <w:t>’</w:t>
      </w:r>
      <w:r w:rsidRPr="00A1244F">
        <w:t>audiovisuel est davantage renforcé dans le cadre d</w:t>
      </w:r>
      <w:r>
        <w:t>’</w:t>
      </w:r>
      <w:r w:rsidRPr="00A1244F">
        <w:t>actions régionales, en particulier, comme au sein de l</w:t>
      </w:r>
      <w:r>
        <w:t>’</w:t>
      </w:r>
      <w:r w:rsidRPr="00A1244F">
        <w:t>Union économique et monétaire ouest</w:t>
      </w:r>
      <w:r>
        <w:t>-</w:t>
      </w:r>
      <w:r w:rsidRPr="00A1244F">
        <w:t>africaine, lorsqu</w:t>
      </w:r>
      <w:r>
        <w:t>’</w:t>
      </w:r>
      <w:r w:rsidRPr="00A1244F">
        <w:t>il existe déjà un cadre de coopération régionale formel ou informel dans lequel un projet peut être mis en place.</w:t>
      </w:r>
    </w:p>
    <w:p w:rsidR="00B559E3" w:rsidRPr="00A1244F" w:rsidRDefault="00B559E3" w:rsidP="00B559E3">
      <w:pPr>
        <w:pStyle w:val="ONUMFS"/>
        <w:rPr>
          <w:iCs/>
        </w:rPr>
      </w:pPr>
      <w:r w:rsidRPr="00A1244F">
        <w:rPr>
          <w:iCs/>
        </w:rPr>
        <w:t>Si les synergies avec d</w:t>
      </w:r>
      <w:r>
        <w:rPr>
          <w:iCs/>
        </w:rPr>
        <w:t>’</w:t>
      </w:r>
      <w:r w:rsidRPr="00A1244F">
        <w:rPr>
          <w:iCs/>
        </w:rPr>
        <w:t>autres secteurs sont restées relativement limitées, on n</w:t>
      </w:r>
      <w:r>
        <w:rPr>
          <w:iCs/>
        </w:rPr>
        <w:t>’</w:t>
      </w:r>
      <w:r w:rsidRPr="00A1244F">
        <w:rPr>
          <w:iCs/>
        </w:rPr>
        <w:t>a pas observé de chevauchements ou de répétitions.</w:t>
      </w:r>
    </w:p>
    <w:p w:rsidR="00B559E3" w:rsidRDefault="00B559E3" w:rsidP="00B559E3">
      <w:pPr>
        <w:pStyle w:val="Heading4"/>
      </w:pPr>
      <w:r w:rsidRPr="00A1244F">
        <w:lastRenderedPageBreak/>
        <w:t>Conclusion n°</w:t>
      </w:r>
      <w:r>
        <w:t> </w:t>
      </w:r>
      <w:r w:rsidRPr="00A1244F">
        <w:t>5 concernant la viabilité</w:t>
      </w:r>
      <w:r>
        <w:t> :</w:t>
      </w:r>
      <w:r w:rsidRPr="00A1244F">
        <w:t xml:space="preserve"> la pérennité des avantages dans les pays couverts nécessite un appui supplémentaire.</w:t>
      </w:r>
    </w:p>
    <w:p w:rsidR="00B559E3" w:rsidRPr="00423BE0" w:rsidRDefault="00B559E3" w:rsidP="00B559E3">
      <w:pPr>
        <w:keepNext/>
      </w:pPr>
    </w:p>
    <w:p w:rsidR="00B559E3" w:rsidRPr="00A1244F" w:rsidRDefault="00B559E3" w:rsidP="00B559E3">
      <w:pPr>
        <w:pStyle w:val="ONUMFS"/>
      </w:pPr>
      <w:r w:rsidRPr="00A1244F">
        <w:t>Il serait prématuré d</w:t>
      </w:r>
      <w:r>
        <w:t>’</w:t>
      </w:r>
      <w:r w:rsidRPr="00A1244F">
        <w:t>essayer d</w:t>
      </w:r>
      <w:r>
        <w:t>’</w:t>
      </w:r>
      <w:r w:rsidRPr="00A1244F">
        <w:t>évaluer le degré de viabilité des résultats au niveau des pays, car la pérennité des avantages dépend dans une large mesure du suivi assuré par les offices de propriété intellectuelle concernés</w:t>
      </w:r>
      <w:r>
        <w:t xml:space="preserve">.  </w:t>
      </w:r>
      <w:r w:rsidRPr="00A1244F">
        <w:t>Les bureaux du droit d</w:t>
      </w:r>
      <w:r>
        <w:t>’</w:t>
      </w:r>
      <w:r w:rsidRPr="00A1244F">
        <w:t>auteur et les ministères de la culture chargés des politiques audiovisuelles dans les pays ciblés se partagent les capacités et les ressources.</w:t>
      </w:r>
    </w:p>
    <w:p w:rsidR="00B559E3" w:rsidRPr="00A1244F" w:rsidRDefault="00B559E3" w:rsidP="00B559E3">
      <w:pPr>
        <w:pStyle w:val="ONUMFS"/>
      </w:pPr>
      <w:r w:rsidRPr="00A1244F">
        <w:t>Un autre projet du Plan d</w:t>
      </w:r>
      <w:r>
        <w:t>’</w:t>
      </w:r>
      <w:r w:rsidRPr="00A1244F">
        <w:t>action pour le développement dans le secteur de l</w:t>
      </w:r>
      <w:r>
        <w:t>’</w:t>
      </w:r>
      <w:r w:rsidRPr="00A1244F">
        <w:t>audiovisuel de la région ou une autre phase ultérieure de suivi après plusieurs années d</w:t>
      </w:r>
      <w:r>
        <w:t>’</w:t>
      </w:r>
      <w:r w:rsidRPr="00A1244F">
        <w:t>appui seraient difficiles à justifier, étant donné que les projets du Plan d</w:t>
      </w:r>
      <w:r>
        <w:t>’</w:t>
      </w:r>
      <w:r w:rsidRPr="00A1244F">
        <w:t>action pour le développement servent essentiellement à expérimenter des approches novatrices dans l</w:t>
      </w:r>
      <w:r>
        <w:t>’</w:t>
      </w:r>
      <w:r w:rsidRPr="00A1244F">
        <w:t>utilisation de la propriété intellectuelle au service du développement.</w:t>
      </w:r>
    </w:p>
    <w:p w:rsidR="00B559E3" w:rsidRPr="00A1244F" w:rsidRDefault="00B559E3" w:rsidP="00B559E3">
      <w:pPr>
        <w:pStyle w:val="ONUMFS"/>
      </w:pPr>
      <w:r w:rsidRPr="00A1244F">
        <w:t>Le projet a fourni un ensemble de services différents, dont la plupart sont déjà disponibles au sein du Secrétariat de l</w:t>
      </w:r>
      <w:r>
        <w:t>’</w:t>
      </w:r>
      <w:r w:rsidRPr="00A1244F">
        <w:t>OMPI et ont donc déjà été intégrés</w:t>
      </w:r>
      <w:r>
        <w:t xml:space="preserve">.  </w:t>
      </w:r>
      <w:r w:rsidRPr="00A1244F">
        <w:t>D</w:t>
      </w:r>
      <w:r>
        <w:t>’</w:t>
      </w:r>
      <w:r w:rsidRPr="00A1244F">
        <w:t xml:space="preserve">autres activités, par exemple, un appui plus complet à la </w:t>
      </w:r>
      <w:r>
        <w:t>“</w:t>
      </w:r>
      <w:r w:rsidRPr="00A1244F">
        <w:t>professionnalisation</w:t>
      </w:r>
      <w:r>
        <w:t>”</w:t>
      </w:r>
      <w:r w:rsidRPr="00A1244F">
        <w:t xml:space="preserve"> du secteur de l</w:t>
      </w:r>
      <w:r>
        <w:t>’</w:t>
      </w:r>
      <w:r w:rsidRPr="00A1244F">
        <w:t>audiovisuel en Afrique, au</w:t>
      </w:r>
      <w:r>
        <w:t>-</w:t>
      </w:r>
      <w:r w:rsidRPr="00A1244F">
        <w:t>delà des questions en matière de droits de la propriété intellectuelle, dépasseraient la portée du mandat de l</w:t>
      </w:r>
      <w:r>
        <w:t>’</w:t>
      </w:r>
      <w:r w:rsidRPr="00A1244F">
        <w:t>OMPI.</w:t>
      </w:r>
    </w:p>
    <w:p w:rsidR="00B559E3" w:rsidRPr="00A1244F" w:rsidRDefault="00B559E3" w:rsidP="00B559E3">
      <w:pPr>
        <w:pStyle w:val="ONUMFS"/>
      </w:pPr>
      <w:r w:rsidRPr="00A1244F">
        <w:t>Cela demande un suivi au sein des programmes ordinaires, même si la forte demande pourrait nécessiter une augmentation des ressources disponibles</w:t>
      </w:r>
      <w:r>
        <w:t xml:space="preserve">.  </w:t>
      </w:r>
      <w:r w:rsidRPr="00A1244F">
        <w:t>Le cours d</w:t>
      </w:r>
      <w:r>
        <w:t>’</w:t>
      </w:r>
      <w:r w:rsidRPr="00A1244F">
        <w:t>enseignement à distance prévu par l</w:t>
      </w:r>
      <w:r>
        <w:t>’</w:t>
      </w:r>
      <w:r w:rsidRPr="00A1244F">
        <w:t>OMPI pour le secteur de l</w:t>
      </w:r>
      <w:r>
        <w:t>’</w:t>
      </w:r>
      <w:r w:rsidRPr="00A1244F">
        <w:t>audiovisuel, qui sera complet et vise un large public ayant un intérêt professionnel dans le secteur de l</w:t>
      </w:r>
      <w:r>
        <w:t>’</w:t>
      </w:r>
      <w:r w:rsidRPr="00A1244F">
        <w:t>audiovisuel, constituera l</w:t>
      </w:r>
      <w:r>
        <w:t>’</w:t>
      </w:r>
      <w:r w:rsidRPr="00A1244F">
        <w:t>élément central qui garantira la pérennité des activités de formation et de renforcement des capacités.</w:t>
      </w:r>
    </w:p>
    <w:p w:rsidR="00B559E3" w:rsidRPr="00A1244F" w:rsidRDefault="00B559E3" w:rsidP="00B559E3">
      <w:pPr>
        <w:pStyle w:val="ONUMFS"/>
      </w:pPr>
      <w:r w:rsidRPr="00A1244F">
        <w:t>Le projet portait uniquement sur le thème des modes extrajudiciaires de règlement des litiges en matière de propriété intellectuelle (prévention des conflits, médiation, arbitrage) dans les industries de la création</w:t>
      </w:r>
      <w:r>
        <w:t xml:space="preserve">.  </w:t>
      </w:r>
      <w:r w:rsidRPr="00A1244F">
        <w:t>Pour permettre d</w:t>
      </w:r>
      <w:r>
        <w:t>’</w:t>
      </w:r>
      <w:r w:rsidRPr="00A1244F">
        <w:t>aborder suffisamment ce sujet très pertinent, un projet distinct serait nécessaire, dans le but d</w:t>
      </w:r>
      <w:r>
        <w:t>’</w:t>
      </w:r>
      <w:r w:rsidRPr="00A1244F">
        <w:t>étudier les possibilités de règlement extrajudiciaire des litiges en matière de propriété intellectuelle dans les pays en développement en général et d</w:t>
      </w:r>
      <w:r>
        <w:t>’</w:t>
      </w:r>
      <w:r w:rsidRPr="00A1244F">
        <w:t>expérimenter les modèles possibles.</w:t>
      </w:r>
    </w:p>
    <w:p w:rsidR="00B559E3" w:rsidRDefault="00B559E3" w:rsidP="00B559E3">
      <w:pPr>
        <w:pStyle w:val="Heading1"/>
      </w:pPr>
      <w:r w:rsidRPr="00A1244F">
        <w:t>Recommandations</w:t>
      </w:r>
    </w:p>
    <w:p w:rsidR="00B559E3" w:rsidRPr="00423BE0" w:rsidRDefault="00B559E3" w:rsidP="00B559E3"/>
    <w:p w:rsidR="00B559E3" w:rsidRPr="00A1244F" w:rsidRDefault="00B559E3" w:rsidP="00B559E3">
      <w:pPr>
        <w:pStyle w:val="ONUMFS"/>
      </w:pPr>
      <w:r w:rsidRPr="00A1244F">
        <w:t>L</w:t>
      </w:r>
      <w:r>
        <w:t>’</w:t>
      </w:r>
      <w:r w:rsidRPr="00A1244F">
        <w:t>équipe d</w:t>
      </w:r>
      <w:r>
        <w:t>’</w:t>
      </w:r>
      <w:r w:rsidRPr="00A1244F">
        <w:t>évaluation tire les recommandations suivantes des conclusions énoncées ci</w:t>
      </w:r>
      <w:r>
        <w:t>-</w:t>
      </w:r>
      <w:r w:rsidRPr="00A1244F">
        <w:t>dessus</w:t>
      </w:r>
      <w:r>
        <w:t> :</w:t>
      </w:r>
    </w:p>
    <w:p w:rsidR="00B559E3" w:rsidRPr="00A1244F" w:rsidRDefault="00B559E3" w:rsidP="00B559E3">
      <w:pPr>
        <w:pStyle w:val="ONUMFS"/>
        <w:numPr>
          <w:ilvl w:val="0"/>
          <w:numId w:val="0"/>
        </w:numPr>
        <w:rPr>
          <w:b/>
          <w:bCs/>
        </w:rPr>
      </w:pPr>
      <w:r w:rsidRPr="00A1244F">
        <w:rPr>
          <w:b/>
          <w:bCs/>
        </w:rPr>
        <w:t>Recommandation n°</w:t>
      </w:r>
      <w:r>
        <w:rPr>
          <w:b/>
          <w:bCs/>
        </w:rPr>
        <w:t> </w:t>
      </w:r>
      <w:r w:rsidRPr="00A1244F">
        <w:rPr>
          <w:b/>
          <w:bCs/>
        </w:rPr>
        <w:t>1 (tirée de la conclusion n°</w:t>
      </w:r>
      <w:r>
        <w:rPr>
          <w:b/>
          <w:bCs/>
        </w:rPr>
        <w:t> </w:t>
      </w:r>
      <w:r w:rsidRPr="00A1244F">
        <w:rPr>
          <w:b/>
          <w:bCs/>
        </w:rPr>
        <w:t>3) au Secrétariat de l</w:t>
      </w:r>
      <w:r>
        <w:rPr>
          <w:b/>
          <w:bCs/>
        </w:rPr>
        <w:t>’</w:t>
      </w:r>
      <w:r w:rsidRPr="00A1244F">
        <w:rPr>
          <w:b/>
          <w:bCs/>
        </w:rPr>
        <w:t>OMPI</w:t>
      </w:r>
    </w:p>
    <w:p w:rsidR="00B559E3" w:rsidRPr="00A1244F" w:rsidRDefault="00B559E3" w:rsidP="00B559E3">
      <w:pPr>
        <w:pStyle w:val="ONUMFS"/>
        <w:numPr>
          <w:ilvl w:val="0"/>
          <w:numId w:val="0"/>
        </w:numPr>
        <w:rPr>
          <w:bCs/>
        </w:rPr>
      </w:pPr>
      <w:r w:rsidRPr="00A1244F">
        <w:rPr>
          <w:bCs/>
        </w:rPr>
        <w:t>Achever le cours d</w:t>
      </w:r>
      <w:r>
        <w:rPr>
          <w:bCs/>
        </w:rPr>
        <w:t>’</w:t>
      </w:r>
      <w:r w:rsidRPr="00A1244F">
        <w:rPr>
          <w:bCs/>
        </w:rPr>
        <w:t>enseignement à distance de l</w:t>
      </w:r>
      <w:r>
        <w:rPr>
          <w:bCs/>
        </w:rPr>
        <w:t>’</w:t>
      </w:r>
      <w:r w:rsidRPr="00A1244F">
        <w:rPr>
          <w:bCs/>
        </w:rPr>
        <w:t>OMPI dans le secteur de l</w:t>
      </w:r>
      <w:r>
        <w:rPr>
          <w:bCs/>
        </w:rPr>
        <w:t>’</w:t>
      </w:r>
      <w:r w:rsidRPr="00A1244F">
        <w:rPr>
          <w:bCs/>
        </w:rPr>
        <w:t>audiovisuel comme prévu.</w:t>
      </w:r>
    </w:p>
    <w:p w:rsidR="00B559E3" w:rsidRPr="00A1244F" w:rsidRDefault="00B559E3" w:rsidP="00B559E3">
      <w:pPr>
        <w:pStyle w:val="ONUMFS"/>
        <w:numPr>
          <w:ilvl w:val="0"/>
          <w:numId w:val="0"/>
        </w:numPr>
        <w:rPr>
          <w:b/>
          <w:bCs/>
        </w:rPr>
      </w:pPr>
      <w:r w:rsidRPr="00A1244F">
        <w:rPr>
          <w:b/>
          <w:bCs/>
        </w:rPr>
        <w:t>Recommandation n°</w:t>
      </w:r>
      <w:r>
        <w:rPr>
          <w:b/>
          <w:bCs/>
        </w:rPr>
        <w:t> </w:t>
      </w:r>
      <w:r w:rsidRPr="00A1244F">
        <w:rPr>
          <w:b/>
          <w:bCs/>
        </w:rPr>
        <w:t>2 (tirée de la conclusion n°</w:t>
      </w:r>
      <w:r>
        <w:rPr>
          <w:b/>
          <w:bCs/>
        </w:rPr>
        <w:t> </w:t>
      </w:r>
      <w:r w:rsidRPr="00A1244F">
        <w:rPr>
          <w:b/>
          <w:bCs/>
        </w:rPr>
        <w:t>5) au Secrétariat de l</w:t>
      </w:r>
      <w:r>
        <w:rPr>
          <w:b/>
          <w:bCs/>
        </w:rPr>
        <w:t>’</w:t>
      </w:r>
      <w:r w:rsidRPr="00A1244F">
        <w:rPr>
          <w:b/>
          <w:bCs/>
        </w:rPr>
        <w:t>OMPI</w:t>
      </w:r>
    </w:p>
    <w:p w:rsidR="00B559E3" w:rsidRPr="00A1244F" w:rsidRDefault="00B559E3" w:rsidP="00B559E3">
      <w:pPr>
        <w:pStyle w:val="ONUMFS"/>
        <w:numPr>
          <w:ilvl w:val="1"/>
          <w:numId w:val="5"/>
        </w:numPr>
      </w:pPr>
      <w:r w:rsidRPr="00A1244F">
        <w:t>Assurer le suivi de l</w:t>
      </w:r>
      <w:r>
        <w:t>’</w:t>
      </w:r>
      <w:r w:rsidRPr="00A1244F">
        <w:t>industrie audiovisuelle en Afrique grâce aux travaux des programmes pertinents de l</w:t>
      </w:r>
      <w:r>
        <w:t>’</w:t>
      </w:r>
      <w:r w:rsidRPr="00A1244F">
        <w:t>OMPI, dans la mesure où les ressources et les services existants le permettent.</w:t>
      </w:r>
    </w:p>
    <w:p w:rsidR="00B559E3" w:rsidRPr="00A1244F" w:rsidRDefault="00B559E3" w:rsidP="00B559E3">
      <w:pPr>
        <w:pStyle w:val="ONUMFS"/>
        <w:numPr>
          <w:ilvl w:val="1"/>
          <w:numId w:val="5"/>
        </w:numPr>
      </w:pPr>
      <w:r w:rsidRPr="00A1244F">
        <w:t>Étudier la possibilité de fournir un appui sélectif en matière de suivi dans le cadre de nouveaux projets éventuels du Plan d</w:t>
      </w:r>
      <w:r>
        <w:t>’</w:t>
      </w:r>
      <w:r w:rsidRPr="00A1244F">
        <w:t>action pour le développement qui viseraient les industries de la création en Afrique (le cas échéant).</w:t>
      </w:r>
    </w:p>
    <w:p w:rsidR="00B559E3" w:rsidRPr="00A1244F" w:rsidRDefault="00B559E3" w:rsidP="00B559E3">
      <w:pPr>
        <w:pStyle w:val="ONUMFS"/>
        <w:numPr>
          <w:ilvl w:val="1"/>
          <w:numId w:val="5"/>
        </w:numPr>
      </w:pPr>
      <w:r w:rsidRPr="00A1244F">
        <w:lastRenderedPageBreak/>
        <w:t>Étudier l</w:t>
      </w:r>
      <w:r>
        <w:t>’</w:t>
      </w:r>
      <w:r w:rsidRPr="00A1244F">
        <w:t>intérêt des États membres pour un projet du Plan d</w:t>
      </w:r>
      <w:r>
        <w:t>’</w:t>
      </w:r>
      <w:r w:rsidRPr="00A1244F">
        <w:t>action pour le développement en matière de modes extrajudiciaires de règlement des litiges (médiation, arbitrage, etc.) dans les pays en développement et les pays les moins avancés</w:t>
      </w:r>
      <w:r>
        <w:t xml:space="preserve">.  </w:t>
      </w:r>
      <w:r w:rsidRPr="00A1244F">
        <w:t>S</w:t>
      </w:r>
      <w:r>
        <w:t>’</w:t>
      </w:r>
      <w:r w:rsidRPr="00A1244F">
        <w:t>il y a une demande, proposer un projet au</w:t>
      </w:r>
      <w:r>
        <w:t> </w:t>
      </w:r>
      <w:r w:rsidRPr="00A1244F">
        <w:t>CDIP pour examen.</w:t>
      </w:r>
    </w:p>
    <w:p w:rsidR="00B559E3" w:rsidRPr="00367DB6" w:rsidRDefault="00B559E3" w:rsidP="00B559E3">
      <w:pPr>
        <w:pStyle w:val="ONUMFS"/>
        <w:numPr>
          <w:ilvl w:val="0"/>
          <w:numId w:val="0"/>
        </w:numPr>
        <w:rPr>
          <w:b/>
        </w:rPr>
      </w:pPr>
      <w:r w:rsidRPr="00367DB6">
        <w:rPr>
          <w:b/>
        </w:rPr>
        <w:t>Recommandation n°</w:t>
      </w:r>
      <w:r>
        <w:rPr>
          <w:b/>
        </w:rPr>
        <w:t> </w:t>
      </w:r>
      <w:r w:rsidRPr="00367DB6">
        <w:rPr>
          <w:b/>
        </w:rPr>
        <w:t>3 (tirée des conclusions n</w:t>
      </w:r>
      <w:r w:rsidRPr="002140BE">
        <w:rPr>
          <w:b/>
          <w:vertAlign w:val="superscript"/>
        </w:rPr>
        <w:t>os</w:t>
      </w:r>
      <w:r>
        <w:rPr>
          <w:b/>
        </w:rPr>
        <w:t> </w:t>
      </w:r>
      <w:r w:rsidRPr="00367DB6">
        <w:rPr>
          <w:b/>
        </w:rPr>
        <w:t>1 et 4) au Secrétariat de l</w:t>
      </w:r>
      <w:r>
        <w:rPr>
          <w:b/>
        </w:rPr>
        <w:t>’</w:t>
      </w:r>
      <w:r w:rsidRPr="00367DB6">
        <w:rPr>
          <w:b/>
        </w:rPr>
        <w:t>OMPI</w:t>
      </w:r>
    </w:p>
    <w:p w:rsidR="00B559E3" w:rsidRPr="00A1244F" w:rsidRDefault="00B559E3" w:rsidP="00B559E3">
      <w:pPr>
        <w:pStyle w:val="ONUMFS"/>
        <w:numPr>
          <w:ilvl w:val="1"/>
          <w:numId w:val="30"/>
        </w:numPr>
      </w:pPr>
      <w:r w:rsidRPr="00A1244F">
        <w:t>Lors de l</w:t>
      </w:r>
      <w:r>
        <w:t>’</w:t>
      </w:r>
      <w:r w:rsidRPr="00A1244F">
        <w:t>élaboration des projets relatifs au Plan d</w:t>
      </w:r>
      <w:r>
        <w:t>’</w:t>
      </w:r>
      <w:r w:rsidRPr="00A1244F">
        <w:t>action pour le développement, le Secrétariat devrait systématiquement évaluer les moyens de gestion requis par rapport à la charge de travail du chef de projet.</w:t>
      </w:r>
    </w:p>
    <w:p w:rsidR="00B559E3" w:rsidRPr="00A1244F" w:rsidRDefault="00B559E3" w:rsidP="00B559E3">
      <w:pPr>
        <w:pStyle w:val="ONUMFS"/>
        <w:numPr>
          <w:ilvl w:val="1"/>
          <w:numId w:val="5"/>
        </w:numPr>
      </w:pPr>
      <w:r w:rsidRPr="00A1244F">
        <w:t>Le cas échéant, le Secrétariat devrait inscrire au budget les frais de recrutement d</w:t>
      </w:r>
      <w:r>
        <w:t>’</w:t>
      </w:r>
      <w:r w:rsidRPr="00A1244F">
        <w:t>un administrateur de projet chargé d</w:t>
      </w:r>
      <w:r>
        <w:t>’</w:t>
      </w:r>
      <w:r w:rsidRPr="00A1244F">
        <w:t>aider le chef de projet dans la gestion et la mise en œuvre courantes du projet.</w:t>
      </w:r>
    </w:p>
    <w:p w:rsidR="00B559E3" w:rsidRDefault="00B559E3" w:rsidP="00B559E3">
      <w:pPr>
        <w:pStyle w:val="ONUMFS"/>
        <w:numPr>
          <w:ilvl w:val="1"/>
          <w:numId w:val="5"/>
        </w:numPr>
        <w:rPr>
          <w:bCs/>
        </w:rPr>
      </w:pPr>
      <w:r w:rsidRPr="00A1244F">
        <w:rPr>
          <w:bCs/>
        </w:rPr>
        <w:t>En complément de l</w:t>
      </w:r>
      <w:r>
        <w:rPr>
          <w:bCs/>
        </w:rPr>
        <w:t>’</w:t>
      </w:r>
      <w:r w:rsidRPr="00A1244F">
        <w:rPr>
          <w:bCs/>
        </w:rPr>
        <w:t>expertise technique du chef de projet, l</w:t>
      </w:r>
      <w:r>
        <w:rPr>
          <w:bCs/>
        </w:rPr>
        <w:t>’</w:t>
      </w:r>
      <w:r w:rsidRPr="00A1244F">
        <w:rPr>
          <w:bCs/>
        </w:rPr>
        <w:t>administrateur de projet devrait être essentiellement un spécialiste qualifié en matière de développement possédant une expérience acquise sur le terrain et d</w:t>
      </w:r>
      <w:r>
        <w:rPr>
          <w:bCs/>
        </w:rPr>
        <w:t>’</w:t>
      </w:r>
      <w:r w:rsidRPr="00A1244F">
        <w:rPr>
          <w:bCs/>
        </w:rPr>
        <w:t>excellentes compétences en gestion de projet.</w:t>
      </w:r>
    </w:p>
    <w:p w:rsidR="001010BC" w:rsidRDefault="001010BC" w:rsidP="00586D4B">
      <w:r w:rsidRPr="00C43F07">
        <w:br w:type="page"/>
      </w:r>
      <w:r w:rsidRPr="00C43F07">
        <w:lastRenderedPageBreak/>
        <w:t>LISTE DES APPENDICES</w:t>
      </w:r>
    </w:p>
    <w:p w:rsidR="00586D4B" w:rsidRPr="00C43F07" w:rsidRDefault="00586D4B" w:rsidP="00586D4B"/>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820"/>
      </w:tblGrid>
      <w:tr w:rsidR="001010BC" w:rsidRPr="00C43F07" w:rsidTr="00586D4B">
        <w:tc>
          <w:tcPr>
            <w:tcW w:w="1732" w:type="dxa"/>
          </w:tcPr>
          <w:p w:rsidR="001010BC" w:rsidRPr="00C43F07" w:rsidRDefault="001010BC" w:rsidP="00586D4B">
            <w:pPr>
              <w:jc w:val="both"/>
              <w:rPr>
                <w:b/>
              </w:rPr>
            </w:pPr>
            <w:r w:rsidRPr="00C43F07">
              <w:rPr>
                <w:b/>
              </w:rPr>
              <w:t>Appendice I</w:t>
            </w:r>
          </w:p>
        </w:tc>
        <w:tc>
          <w:tcPr>
            <w:tcW w:w="7820" w:type="dxa"/>
          </w:tcPr>
          <w:p w:rsidR="001010BC" w:rsidRPr="00C43F07" w:rsidRDefault="001010BC" w:rsidP="00586D4B">
            <w:pPr>
              <w:jc w:val="both"/>
            </w:pPr>
            <w:r w:rsidRPr="00C43F07">
              <w:t>Descriptif du projet</w:t>
            </w:r>
          </w:p>
        </w:tc>
      </w:tr>
      <w:tr w:rsidR="001010BC" w:rsidRPr="00C43F07" w:rsidTr="00586D4B">
        <w:tc>
          <w:tcPr>
            <w:tcW w:w="1732" w:type="dxa"/>
          </w:tcPr>
          <w:p w:rsidR="001010BC" w:rsidRPr="00C43F07" w:rsidRDefault="001010BC" w:rsidP="00586D4B">
            <w:pPr>
              <w:jc w:val="both"/>
              <w:rPr>
                <w:b/>
              </w:rPr>
            </w:pPr>
            <w:r w:rsidRPr="00C43F07">
              <w:rPr>
                <w:b/>
              </w:rPr>
              <w:t>Appendice</w:t>
            </w:r>
            <w:r w:rsidR="0088350E">
              <w:rPr>
                <w:b/>
              </w:rPr>
              <w:t> </w:t>
            </w:r>
            <w:r w:rsidRPr="00C43F07">
              <w:rPr>
                <w:b/>
              </w:rPr>
              <w:t>II</w:t>
            </w:r>
          </w:p>
        </w:tc>
        <w:tc>
          <w:tcPr>
            <w:tcW w:w="7820" w:type="dxa"/>
          </w:tcPr>
          <w:p w:rsidR="001010BC" w:rsidRPr="00C43F07" w:rsidRDefault="001010BC" w:rsidP="00586D4B">
            <w:pPr>
              <w:jc w:val="both"/>
            </w:pPr>
            <w:r w:rsidRPr="00C43F07">
              <w:t>Mandat</w:t>
            </w:r>
          </w:p>
        </w:tc>
      </w:tr>
      <w:tr w:rsidR="001010BC" w:rsidRPr="00C43F07" w:rsidTr="00586D4B">
        <w:tc>
          <w:tcPr>
            <w:tcW w:w="1732" w:type="dxa"/>
          </w:tcPr>
          <w:p w:rsidR="001010BC" w:rsidRPr="00C43F07" w:rsidRDefault="001010BC" w:rsidP="00586D4B">
            <w:pPr>
              <w:jc w:val="both"/>
              <w:rPr>
                <w:b/>
                <w:bCs/>
              </w:rPr>
            </w:pPr>
            <w:r w:rsidRPr="00C43F07">
              <w:rPr>
                <w:b/>
                <w:bCs/>
              </w:rPr>
              <w:t>Appendice</w:t>
            </w:r>
            <w:r w:rsidR="0088350E">
              <w:rPr>
                <w:b/>
                <w:bCs/>
              </w:rPr>
              <w:t> </w:t>
            </w:r>
            <w:r w:rsidRPr="00C43F07">
              <w:rPr>
                <w:b/>
                <w:bCs/>
              </w:rPr>
              <w:t>III</w:t>
            </w:r>
          </w:p>
        </w:tc>
        <w:tc>
          <w:tcPr>
            <w:tcW w:w="7820" w:type="dxa"/>
          </w:tcPr>
          <w:p w:rsidR="001010BC" w:rsidRPr="00C43F07" w:rsidRDefault="001010BC" w:rsidP="00586D4B">
            <w:pPr>
              <w:jc w:val="both"/>
            </w:pPr>
            <w:r w:rsidRPr="00C43F07">
              <w:t>Liste des personnes consultées</w:t>
            </w:r>
          </w:p>
        </w:tc>
      </w:tr>
      <w:tr w:rsidR="001010BC" w:rsidRPr="00C43F07" w:rsidTr="00586D4B">
        <w:tc>
          <w:tcPr>
            <w:tcW w:w="1732" w:type="dxa"/>
          </w:tcPr>
          <w:p w:rsidR="001010BC" w:rsidRPr="00C43F07" w:rsidRDefault="001010BC" w:rsidP="00586D4B">
            <w:pPr>
              <w:jc w:val="both"/>
              <w:rPr>
                <w:b/>
              </w:rPr>
            </w:pPr>
            <w:r w:rsidRPr="00C43F07">
              <w:rPr>
                <w:b/>
              </w:rPr>
              <w:t>Appendice</w:t>
            </w:r>
            <w:r w:rsidR="0088350E">
              <w:rPr>
                <w:b/>
              </w:rPr>
              <w:t> </w:t>
            </w:r>
            <w:r w:rsidRPr="00C43F07">
              <w:rPr>
                <w:b/>
              </w:rPr>
              <w:t>IV</w:t>
            </w:r>
          </w:p>
        </w:tc>
        <w:tc>
          <w:tcPr>
            <w:tcW w:w="7820" w:type="dxa"/>
          </w:tcPr>
          <w:p w:rsidR="001010BC" w:rsidRPr="00C43F07" w:rsidRDefault="001010BC" w:rsidP="00586D4B">
            <w:pPr>
              <w:jc w:val="both"/>
            </w:pPr>
            <w:r w:rsidRPr="00C43F07">
              <w:t>Liste des documents</w:t>
            </w:r>
          </w:p>
        </w:tc>
      </w:tr>
    </w:tbl>
    <w:p w:rsidR="001010BC" w:rsidRPr="00C43F07" w:rsidRDefault="001010BC" w:rsidP="001010BC"/>
    <w:p w:rsidR="001010BC" w:rsidRPr="00C43F07" w:rsidRDefault="001010BC" w:rsidP="001010BC"/>
    <w:p w:rsidR="001010BC" w:rsidRPr="00C43F07" w:rsidRDefault="001010BC" w:rsidP="001010BC"/>
    <w:p w:rsidR="001010BC" w:rsidRPr="00C43F07" w:rsidRDefault="001010BC" w:rsidP="00586D4B">
      <w:pPr>
        <w:pStyle w:val="Endofdocument-Annex"/>
      </w:pPr>
      <w:r w:rsidRPr="00C43F07">
        <w:t>[Les appendices suivent]</w:t>
      </w:r>
    </w:p>
    <w:p w:rsidR="001010BC" w:rsidRPr="00C43F07" w:rsidRDefault="001010BC" w:rsidP="001010BC"/>
    <w:p w:rsidR="001010BC" w:rsidRPr="00C43F07" w:rsidRDefault="001010BC" w:rsidP="001010BC"/>
    <w:p w:rsidR="001010BC" w:rsidRPr="00C43F07" w:rsidRDefault="001010BC" w:rsidP="001010BC">
      <w:pPr>
        <w:sectPr w:rsidR="001010BC" w:rsidRPr="00C43F07" w:rsidSect="004C71C9">
          <w:headerReference w:type="default" r:id="rId10"/>
          <w:headerReference w:type="first" r:id="rId11"/>
          <w:endnotePr>
            <w:numFmt w:val="decimal"/>
          </w:endnotePr>
          <w:pgSz w:w="11907" w:h="16840" w:code="9"/>
          <w:pgMar w:top="567" w:right="1134" w:bottom="1417" w:left="1417" w:header="510" w:footer="1020" w:gutter="0"/>
          <w:pgNumType w:start="1"/>
          <w:cols w:space="720"/>
          <w:titlePg/>
          <w:docGrid w:linePitch="299"/>
        </w:sectPr>
      </w:pPr>
    </w:p>
    <w:p w:rsidR="006408BB" w:rsidRDefault="00586D4B" w:rsidP="00586D4B">
      <w:pPr>
        <w:pStyle w:val="ONUMFS"/>
        <w:numPr>
          <w:ilvl w:val="0"/>
          <w:numId w:val="0"/>
        </w:numPr>
        <w:rPr>
          <w:caps/>
        </w:rPr>
      </w:pPr>
      <w:r w:rsidRPr="00586D4B">
        <w:rPr>
          <w:caps/>
        </w:rPr>
        <w:lastRenderedPageBreak/>
        <w:t xml:space="preserve">Appendice </w:t>
      </w:r>
      <w:r w:rsidR="001010BC" w:rsidRPr="00586D4B">
        <w:rPr>
          <w:caps/>
        </w:rPr>
        <w:t>I</w:t>
      </w:r>
      <w:r w:rsidR="006408BB">
        <w:rPr>
          <w:caps/>
        </w:rPr>
        <w:t> :</w:t>
      </w:r>
      <w:r w:rsidR="001010BC" w:rsidRPr="00586D4B">
        <w:rPr>
          <w:caps/>
        </w:rPr>
        <w:t xml:space="preserve"> descriptif du projet</w:t>
      </w:r>
    </w:p>
    <w:p w:rsidR="001010BC" w:rsidRPr="00C43F07" w:rsidRDefault="001010BC" w:rsidP="00586D4B">
      <w:pPr>
        <w:pStyle w:val="ONUMFS"/>
        <w:numPr>
          <w:ilvl w:val="0"/>
          <w:numId w:val="0"/>
        </w:numPr>
      </w:pPr>
      <w:r w:rsidRPr="00C43F07">
        <w:t>Le descriptif du projet, figurant dans le document CDIP/17/7, est disponible à l</w:t>
      </w:r>
      <w:r w:rsidR="006408BB">
        <w:t>’</w:t>
      </w:r>
      <w:r w:rsidRPr="00C43F07">
        <w:t>adresse suivante</w:t>
      </w:r>
      <w:r w:rsidR="006408BB">
        <w:t> :</w:t>
      </w:r>
      <w:r w:rsidRPr="00C43F07">
        <w:t xml:space="preserve"> </w:t>
      </w:r>
      <w:hyperlink r:id="rId12" w:history="1">
        <w:r w:rsidRPr="00586D4B">
          <w:rPr>
            <w:rStyle w:val="Hyperlink"/>
          </w:rPr>
          <w:t>https://www.wipo.int/meetings/fr/doc_details.jsp?doc_id=330596</w:t>
        </w:r>
      </w:hyperlink>
      <w:r w:rsidR="00586D4B" w:rsidRPr="00586D4B">
        <w:rPr>
          <w:rStyle w:val="Hyperlink"/>
          <w:color w:val="auto"/>
          <w:u w:val="none"/>
        </w:rPr>
        <w:t>.</w:t>
      </w:r>
    </w:p>
    <w:p w:rsidR="001010BC" w:rsidRDefault="001010BC" w:rsidP="00586D4B"/>
    <w:p w:rsidR="00586D4B" w:rsidRPr="00C43F07" w:rsidRDefault="00586D4B" w:rsidP="00586D4B"/>
    <w:p w:rsidR="001010BC" w:rsidRPr="00C43F07" w:rsidRDefault="001010BC" w:rsidP="00586D4B">
      <w:pPr>
        <w:pStyle w:val="Endofdocument-Annex"/>
      </w:pPr>
      <w:r w:rsidRPr="00C43F07">
        <w:t>[L</w:t>
      </w:r>
      <w:r w:rsidR="006408BB">
        <w:t>’</w:t>
      </w:r>
      <w:r w:rsidRPr="00C43F07">
        <w:t>appendice</w:t>
      </w:r>
      <w:r w:rsidR="0088350E">
        <w:t> </w:t>
      </w:r>
      <w:r w:rsidRPr="00C43F07">
        <w:t>II suit]</w:t>
      </w:r>
    </w:p>
    <w:p w:rsidR="001010BC" w:rsidRPr="00C43F07" w:rsidRDefault="001010BC" w:rsidP="001010BC">
      <w:pPr>
        <w:ind w:left="5760"/>
      </w:pPr>
    </w:p>
    <w:p w:rsidR="001010BC" w:rsidRPr="00C43F07" w:rsidRDefault="001010BC" w:rsidP="001010BC">
      <w:pPr>
        <w:ind w:left="5760"/>
      </w:pPr>
    </w:p>
    <w:p w:rsidR="001010BC" w:rsidRPr="00C43F07" w:rsidRDefault="001010BC" w:rsidP="001010BC">
      <w:r w:rsidRPr="00C43F07">
        <w:br w:type="page"/>
      </w:r>
    </w:p>
    <w:p w:rsidR="001010BC" w:rsidRPr="00C43F07" w:rsidRDefault="001010BC" w:rsidP="001010BC">
      <w:pPr>
        <w:jc w:val="both"/>
        <w:sectPr w:rsidR="001010BC" w:rsidRPr="00C43F07" w:rsidSect="004C71C9">
          <w:headerReference w:type="default" r:id="rId13"/>
          <w:headerReference w:type="first" r:id="rId14"/>
          <w:endnotePr>
            <w:numFmt w:val="decimal"/>
          </w:endnotePr>
          <w:pgSz w:w="11907" w:h="16840" w:code="9"/>
          <w:pgMar w:top="567" w:right="1134" w:bottom="1417" w:left="1417" w:header="510" w:footer="1020" w:gutter="0"/>
          <w:pgNumType w:start="1"/>
          <w:cols w:space="720"/>
          <w:titlePg/>
          <w:docGrid w:linePitch="299"/>
        </w:sectPr>
      </w:pPr>
    </w:p>
    <w:p w:rsidR="001010BC" w:rsidRPr="00C43F07" w:rsidRDefault="001010BC" w:rsidP="00586D4B">
      <w:r w:rsidRPr="00C43F07">
        <w:lastRenderedPageBreak/>
        <w:t>APPENDICE</w:t>
      </w:r>
      <w:r w:rsidR="0088350E">
        <w:t> </w:t>
      </w:r>
      <w:r w:rsidRPr="00C43F07">
        <w:t>II</w:t>
      </w:r>
      <w:r w:rsidR="006408BB">
        <w:t> :</w:t>
      </w:r>
      <w:r w:rsidRPr="00C43F07">
        <w:t xml:space="preserve"> MANDAT</w:t>
      </w:r>
    </w:p>
    <w:p w:rsidR="001010BC" w:rsidRPr="00C43F07" w:rsidRDefault="001010BC" w:rsidP="00586D4B"/>
    <w:p w:rsidR="001010BC" w:rsidRPr="00C43F07" w:rsidRDefault="001010BC" w:rsidP="001010BC">
      <w:pPr>
        <w:pStyle w:val="ListParagraph"/>
        <w:spacing w:after="120"/>
        <w:ind w:left="0"/>
        <w:jc w:val="center"/>
        <w:rPr>
          <w:b/>
          <w:szCs w:val="22"/>
        </w:rPr>
      </w:pPr>
      <w:r w:rsidRPr="00C43F07">
        <w:rPr>
          <w:b/>
          <w:szCs w:val="22"/>
        </w:rPr>
        <w:t>MANDAT</w:t>
      </w:r>
    </w:p>
    <w:p w:rsidR="001010BC" w:rsidRPr="00C43F07" w:rsidRDefault="001010BC" w:rsidP="001010BC">
      <w:pPr>
        <w:pStyle w:val="ListParagraph"/>
        <w:tabs>
          <w:tab w:val="left" w:pos="851"/>
        </w:tabs>
        <w:spacing w:after="120"/>
        <w:ind w:left="0"/>
        <w:jc w:val="center"/>
        <w:rPr>
          <w:b/>
          <w:szCs w:val="22"/>
        </w:rPr>
      </w:pPr>
    </w:p>
    <w:p w:rsidR="001010BC" w:rsidRPr="00C43F07" w:rsidRDefault="001010BC" w:rsidP="001010BC">
      <w:pPr>
        <w:pStyle w:val="ListParagraph"/>
        <w:tabs>
          <w:tab w:val="left" w:pos="851"/>
          <w:tab w:val="left" w:pos="4253"/>
        </w:tabs>
        <w:spacing w:after="120"/>
        <w:ind w:left="0"/>
        <w:rPr>
          <w:b/>
          <w:szCs w:val="22"/>
        </w:rPr>
      </w:pPr>
    </w:p>
    <w:p w:rsidR="001010BC" w:rsidRPr="00C43F07" w:rsidRDefault="001010BC" w:rsidP="001010BC">
      <w:pPr>
        <w:tabs>
          <w:tab w:val="left" w:pos="4678"/>
        </w:tabs>
        <w:spacing w:after="120"/>
        <w:ind w:left="4678" w:hanging="4678"/>
        <w:contextualSpacing/>
        <w:rPr>
          <w:b/>
          <w:szCs w:val="22"/>
        </w:rPr>
      </w:pPr>
      <w:r w:rsidRPr="00C43F07">
        <w:rPr>
          <w:b/>
          <w:szCs w:val="22"/>
        </w:rPr>
        <w:t>Intitulé de la mission</w:t>
      </w:r>
      <w:r w:rsidR="006408BB">
        <w:rPr>
          <w:b/>
          <w:szCs w:val="22"/>
        </w:rPr>
        <w:t> :</w:t>
      </w:r>
      <w:r w:rsidR="005839C0">
        <w:rPr>
          <w:b/>
          <w:szCs w:val="22"/>
        </w:rPr>
        <w:t xml:space="preserve"> </w:t>
      </w:r>
      <w:r w:rsidRPr="00C43F07">
        <w:rPr>
          <w:b/>
          <w:szCs w:val="22"/>
        </w:rPr>
        <w:tab/>
        <w:t>Évaluation du projet</w:t>
      </w:r>
      <w:r w:rsidR="006408BB">
        <w:rPr>
          <w:b/>
          <w:szCs w:val="22"/>
        </w:rPr>
        <w:t> :</w:t>
      </w:r>
      <w:r w:rsidRPr="00C43F07">
        <w:rPr>
          <w:b/>
          <w:szCs w:val="22"/>
        </w:rPr>
        <w:t xml:space="preserve"> Renforcement et développement du secteur de l</w:t>
      </w:r>
      <w:r w:rsidR="006408BB">
        <w:rPr>
          <w:b/>
          <w:szCs w:val="22"/>
        </w:rPr>
        <w:t>’</w:t>
      </w:r>
      <w:r w:rsidRPr="00C43F07">
        <w:rPr>
          <w:b/>
          <w:szCs w:val="22"/>
        </w:rPr>
        <w:t>audiovisuel au Burkina Faso et dans certains pays africains – Phase</w:t>
      </w:r>
      <w:r w:rsidR="0088350E">
        <w:rPr>
          <w:b/>
          <w:szCs w:val="22"/>
        </w:rPr>
        <w:t> </w:t>
      </w:r>
      <w:r w:rsidRPr="00C43F07">
        <w:rPr>
          <w:b/>
          <w:szCs w:val="22"/>
        </w:rPr>
        <w:t>II</w:t>
      </w:r>
    </w:p>
    <w:p w:rsidR="001010BC" w:rsidRPr="00C43F07" w:rsidRDefault="001010BC" w:rsidP="001010BC">
      <w:pPr>
        <w:tabs>
          <w:tab w:val="left" w:pos="4678"/>
        </w:tabs>
        <w:spacing w:after="120"/>
        <w:ind w:left="4678" w:hanging="4678"/>
        <w:contextualSpacing/>
        <w:rPr>
          <w:b/>
          <w:szCs w:val="22"/>
        </w:rPr>
      </w:pPr>
    </w:p>
    <w:p w:rsidR="001010BC" w:rsidRPr="00C43F07" w:rsidRDefault="001010BC" w:rsidP="001010BC">
      <w:pPr>
        <w:pStyle w:val="ListParagraph"/>
        <w:spacing w:after="120"/>
        <w:ind w:left="4680" w:hanging="4680"/>
        <w:rPr>
          <w:b/>
          <w:szCs w:val="22"/>
        </w:rPr>
      </w:pPr>
      <w:r w:rsidRPr="00C43F07">
        <w:rPr>
          <w:b/>
          <w:szCs w:val="22"/>
        </w:rPr>
        <w:t>Nom de l</w:t>
      </w:r>
      <w:r w:rsidR="006408BB">
        <w:rPr>
          <w:b/>
          <w:szCs w:val="22"/>
        </w:rPr>
        <w:t>’</w:t>
      </w:r>
      <w:r w:rsidRPr="00C43F07">
        <w:rPr>
          <w:b/>
          <w:szCs w:val="22"/>
        </w:rPr>
        <w:t>unité/du secteur</w:t>
      </w:r>
      <w:r w:rsidR="006408BB">
        <w:rPr>
          <w:szCs w:val="22"/>
        </w:rPr>
        <w:t> :</w:t>
      </w:r>
      <w:r w:rsidRPr="00C43F07">
        <w:rPr>
          <w:szCs w:val="22"/>
        </w:rPr>
        <w:t xml:space="preserve"> </w:t>
      </w:r>
      <w:r w:rsidRPr="00C43F07">
        <w:rPr>
          <w:szCs w:val="22"/>
        </w:rPr>
        <w:tab/>
      </w:r>
      <w:r w:rsidRPr="00C43F07">
        <w:rPr>
          <w:b/>
          <w:szCs w:val="22"/>
        </w:rPr>
        <w:t>Division de la coordination du Plan d</w:t>
      </w:r>
      <w:r w:rsidR="006408BB">
        <w:rPr>
          <w:b/>
          <w:szCs w:val="22"/>
        </w:rPr>
        <w:t>’</w:t>
      </w:r>
      <w:r w:rsidRPr="00C43F07">
        <w:rPr>
          <w:b/>
          <w:szCs w:val="22"/>
        </w:rPr>
        <w:t>action pour le développement, Secteur du développement</w:t>
      </w:r>
    </w:p>
    <w:p w:rsidR="001010BC" w:rsidRPr="00C43F07" w:rsidRDefault="001010BC" w:rsidP="001010BC">
      <w:pPr>
        <w:pStyle w:val="ListParagraph"/>
        <w:spacing w:after="120"/>
        <w:ind w:left="4680"/>
        <w:rPr>
          <w:szCs w:val="22"/>
        </w:rPr>
      </w:pPr>
    </w:p>
    <w:p w:rsidR="001010BC" w:rsidRPr="00C43F07" w:rsidRDefault="001010BC" w:rsidP="001010BC">
      <w:pPr>
        <w:pStyle w:val="ListParagraph"/>
        <w:tabs>
          <w:tab w:val="left" w:pos="851"/>
        </w:tabs>
        <w:spacing w:after="120"/>
        <w:ind w:left="4680" w:hanging="4680"/>
        <w:rPr>
          <w:b/>
          <w:szCs w:val="22"/>
        </w:rPr>
      </w:pPr>
      <w:r w:rsidRPr="00C43F07">
        <w:rPr>
          <w:b/>
          <w:szCs w:val="22"/>
        </w:rPr>
        <w:t>Lieu de la mission</w:t>
      </w:r>
      <w:r w:rsidR="005839C0">
        <w:rPr>
          <w:b/>
          <w:szCs w:val="22"/>
        </w:rPr>
        <w:t xml:space="preserve"> : </w:t>
      </w:r>
      <w:r w:rsidRPr="00C43F07">
        <w:rPr>
          <w:b/>
          <w:szCs w:val="22"/>
        </w:rPr>
        <w:tab/>
      </w:r>
      <w:r w:rsidRPr="00C43F07">
        <w:rPr>
          <w:b/>
        </w:rPr>
        <w:t>Evilard (Leubringen) (Suisse)</w:t>
      </w:r>
    </w:p>
    <w:p w:rsidR="001010BC" w:rsidRPr="00C43F07" w:rsidRDefault="001010BC" w:rsidP="001010BC">
      <w:pPr>
        <w:pStyle w:val="ListParagraph"/>
        <w:tabs>
          <w:tab w:val="left" w:pos="851"/>
        </w:tabs>
        <w:spacing w:after="120"/>
        <w:ind w:left="4680"/>
        <w:rPr>
          <w:szCs w:val="22"/>
        </w:rPr>
      </w:pPr>
    </w:p>
    <w:p w:rsidR="006408BB" w:rsidRDefault="001010BC" w:rsidP="001010BC">
      <w:pPr>
        <w:pStyle w:val="ListParagraph"/>
        <w:tabs>
          <w:tab w:val="left" w:pos="851"/>
          <w:tab w:val="left" w:pos="1701"/>
        </w:tabs>
        <w:spacing w:after="120"/>
        <w:ind w:left="4680" w:hanging="4680"/>
        <w:rPr>
          <w:b/>
          <w:szCs w:val="22"/>
        </w:rPr>
      </w:pPr>
      <w:r w:rsidRPr="00C43F07">
        <w:rPr>
          <w:b/>
          <w:szCs w:val="22"/>
        </w:rPr>
        <w:t>Voyages prévus (le cas échéant)</w:t>
      </w:r>
      <w:r w:rsidR="006408BB">
        <w:rPr>
          <w:b/>
          <w:szCs w:val="22"/>
        </w:rPr>
        <w:t> :</w:t>
      </w:r>
      <w:r w:rsidRPr="00C43F07">
        <w:rPr>
          <w:b/>
          <w:szCs w:val="22"/>
        </w:rPr>
        <w:t xml:space="preserve"> </w:t>
      </w:r>
      <w:r w:rsidRPr="00C43F07">
        <w:rPr>
          <w:szCs w:val="22"/>
        </w:rPr>
        <w:tab/>
      </w:r>
      <w:r w:rsidRPr="00C43F07">
        <w:rPr>
          <w:b/>
          <w:szCs w:val="22"/>
        </w:rPr>
        <w:t>Deux missions auront lieu au siège de l</w:t>
      </w:r>
      <w:r w:rsidR="006408BB">
        <w:rPr>
          <w:b/>
          <w:szCs w:val="22"/>
        </w:rPr>
        <w:t>’</w:t>
      </w:r>
      <w:r w:rsidRPr="00C43F07">
        <w:rPr>
          <w:b/>
          <w:szCs w:val="22"/>
        </w:rPr>
        <w:t>OMPI à Genève (Suisse) (dates à convenir)</w:t>
      </w:r>
    </w:p>
    <w:p w:rsidR="001010BC" w:rsidRPr="00C43F07" w:rsidRDefault="001010BC" w:rsidP="001010BC">
      <w:pPr>
        <w:pStyle w:val="ListParagraph"/>
        <w:tabs>
          <w:tab w:val="left" w:pos="851"/>
          <w:tab w:val="left" w:pos="1701"/>
        </w:tabs>
        <w:spacing w:after="120"/>
        <w:ind w:left="4680" w:hanging="4680"/>
        <w:rPr>
          <w:b/>
          <w:szCs w:val="22"/>
        </w:rPr>
      </w:pPr>
    </w:p>
    <w:p w:rsidR="001010BC" w:rsidRPr="00C43F07" w:rsidRDefault="001010BC" w:rsidP="001010BC">
      <w:pPr>
        <w:pStyle w:val="ListParagraph"/>
        <w:tabs>
          <w:tab w:val="left" w:pos="851"/>
          <w:tab w:val="left" w:pos="1701"/>
        </w:tabs>
        <w:spacing w:after="120"/>
        <w:ind w:left="4680" w:hanging="4680"/>
        <w:rPr>
          <w:b/>
          <w:szCs w:val="22"/>
        </w:rPr>
      </w:pPr>
      <w:r w:rsidRPr="00C43F07">
        <w:rPr>
          <w:b/>
          <w:szCs w:val="22"/>
        </w:rPr>
        <w:t>Durée prévue de la mission</w:t>
      </w:r>
      <w:r w:rsidR="006408BB">
        <w:rPr>
          <w:b/>
          <w:szCs w:val="22"/>
        </w:rPr>
        <w:t> :</w:t>
      </w:r>
      <w:r w:rsidR="005839C0">
        <w:rPr>
          <w:b/>
          <w:szCs w:val="22"/>
        </w:rPr>
        <w:t xml:space="preserve"> </w:t>
      </w:r>
      <w:r w:rsidRPr="00C43F07">
        <w:rPr>
          <w:b/>
          <w:szCs w:val="22"/>
        </w:rPr>
        <w:tab/>
      </w:r>
      <w:r w:rsidR="006408BB" w:rsidRPr="00C43F07">
        <w:rPr>
          <w:b/>
          <w:szCs w:val="22"/>
        </w:rPr>
        <w:t>2</w:t>
      </w:r>
      <w:r w:rsidR="006408BB">
        <w:rPr>
          <w:b/>
          <w:szCs w:val="22"/>
        </w:rPr>
        <w:t> </w:t>
      </w:r>
      <w:r w:rsidR="006408BB" w:rsidRPr="00C43F07">
        <w:rPr>
          <w:b/>
          <w:szCs w:val="22"/>
        </w:rPr>
        <w:t>janvier</w:t>
      </w:r>
      <w:r w:rsidRPr="00C43F07">
        <w:rPr>
          <w:b/>
          <w:szCs w:val="22"/>
        </w:rPr>
        <w:t xml:space="preserve"> – 2</w:t>
      </w:r>
      <w:r w:rsidR="006408BB" w:rsidRPr="00C43F07">
        <w:rPr>
          <w:b/>
          <w:szCs w:val="22"/>
        </w:rPr>
        <w:t>5</w:t>
      </w:r>
      <w:r w:rsidR="006408BB">
        <w:rPr>
          <w:b/>
          <w:szCs w:val="22"/>
        </w:rPr>
        <w:t> </w:t>
      </w:r>
      <w:r w:rsidR="006408BB" w:rsidRPr="00C43F07">
        <w:rPr>
          <w:b/>
          <w:szCs w:val="22"/>
        </w:rPr>
        <w:t>mai</w:t>
      </w:r>
      <w:r w:rsidR="006408BB">
        <w:rPr>
          <w:b/>
          <w:szCs w:val="22"/>
        </w:rPr>
        <w:t> </w:t>
      </w:r>
      <w:r w:rsidR="006408BB" w:rsidRPr="00C43F07">
        <w:rPr>
          <w:b/>
          <w:szCs w:val="22"/>
        </w:rPr>
        <w:t>20</w:t>
      </w:r>
      <w:r w:rsidRPr="00C43F07">
        <w:rPr>
          <w:b/>
          <w:szCs w:val="22"/>
        </w:rPr>
        <w:t>19</w:t>
      </w:r>
    </w:p>
    <w:p w:rsidR="001010BC" w:rsidRPr="00C43F07" w:rsidRDefault="001010BC" w:rsidP="001010BC">
      <w:pPr>
        <w:pStyle w:val="ListParagraph"/>
        <w:tabs>
          <w:tab w:val="left" w:pos="851"/>
        </w:tabs>
        <w:spacing w:after="120"/>
        <w:ind w:left="4680"/>
        <w:rPr>
          <w:szCs w:val="22"/>
        </w:rPr>
      </w:pPr>
    </w:p>
    <w:p w:rsidR="001010BC" w:rsidRPr="00C43F07" w:rsidRDefault="001010BC" w:rsidP="001010BC">
      <w:pPr>
        <w:pStyle w:val="ListParagraph"/>
        <w:tabs>
          <w:tab w:val="left" w:pos="851"/>
        </w:tabs>
        <w:spacing w:after="120"/>
        <w:ind w:left="4680"/>
        <w:rPr>
          <w:szCs w:val="22"/>
        </w:rPr>
      </w:pPr>
    </w:p>
    <w:p w:rsidR="001010BC" w:rsidRPr="00C43F07" w:rsidRDefault="001010BC" w:rsidP="001010BC">
      <w:pPr>
        <w:pStyle w:val="ListParagraph"/>
        <w:tabs>
          <w:tab w:val="left" w:pos="851"/>
        </w:tabs>
        <w:spacing w:after="120"/>
        <w:ind w:left="4680"/>
        <w:rPr>
          <w:szCs w:val="22"/>
        </w:rPr>
      </w:pPr>
    </w:p>
    <w:p w:rsidR="001010BC" w:rsidRPr="00C43F07" w:rsidRDefault="001010BC" w:rsidP="00586D4B">
      <w:pPr>
        <w:pStyle w:val="Heading5"/>
      </w:pPr>
      <w:r w:rsidRPr="00586D4B">
        <w:t>Objectifs</w:t>
      </w:r>
      <w:r w:rsidRPr="00C43F07">
        <w:t xml:space="preserve"> de la mission</w:t>
      </w:r>
    </w:p>
    <w:p w:rsidR="001010BC" w:rsidRPr="00C43F07" w:rsidRDefault="001010BC" w:rsidP="001010BC"/>
    <w:p w:rsidR="006408BB" w:rsidRDefault="001010BC" w:rsidP="00586D4B">
      <w:pPr>
        <w:pStyle w:val="ONUMFS"/>
        <w:numPr>
          <w:ilvl w:val="0"/>
          <w:numId w:val="0"/>
        </w:numPr>
      </w:pPr>
      <w:r w:rsidRPr="00C43F07">
        <w:t>Le présent document constitue le mandat pour l</w:t>
      </w:r>
      <w:r w:rsidR="006408BB">
        <w:t>’</w:t>
      </w:r>
      <w:r w:rsidRPr="00C43F07">
        <w:t>évaluation du renforcement et du développement du secteur de l</w:t>
      </w:r>
      <w:r w:rsidR="006408BB">
        <w:t>’</w:t>
      </w:r>
      <w:r w:rsidRPr="00C43F07">
        <w:t>audiovisuel au Burkina Faso et dans certains pays africains – Phase</w:t>
      </w:r>
      <w:r w:rsidR="0088350E">
        <w:t> </w:t>
      </w:r>
      <w:r w:rsidRPr="00C43F07">
        <w:t>II, approuvé à la reprise de la dix</w:t>
      </w:r>
      <w:r w:rsidR="006408BB">
        <w:t>-</w:t>
      </w:r>
      <w:r w:rsidRPr="00C43F07">
        <w:t>sept</w:t>
      </w:r>
      <w:r w:rsidR="006408BB">
        <w:t>ième session</w:t>
      </w:r>
      <w:r w:rsidRPr="00C43F07">
        <w:t xml:space="preserve"> du Comité du développement et de la propriété intellectuelle (CDIP), tenue à Genève en </w:t>
      </w:r>
      <w:r w:rsidR="006408BB" w:rsidRPr="00C43F07">
        <w:t>avril</w:t>
      </w:r>
      <w:r w:rsidR="006408BB">
        <w:t> </w:t>
      </w:r>
      <w:r w:rsidR="006408BB" w:rsidRPr="00C43F07">
        <w:t>20</w:t>
      </w:r>
      <w:r w:rsidRPr="00C43F07">
        <w:t>16.</w:t>
      </w:r>
    </w:p>
    <w:p w:rsidR="006408BB" w:rsidRDefault="001010BC" w:rsidP="00586D4B">
      <w:pPr>
        <w:pStyle w:val="ONUMFS"/>
        <w:numPr>
          <w:ilvl w:val="0"/>
          <w:numId w:val="0"/>
        </w:numPr>
      </w:pPr>
      <w:r w:rsidRPr="00C43F07">
        <w:t>Ce projet est un suivi du projet “Renforcement et développement du secteur de l</w:t>
      </w:r>
      <w:r w:rsidR="006408BB">
        <w:t>’</w:t>
      </w:r>
      <w:r w:rsidRPr="00C43F07">
        <w:t xml:space="preserve">audiovisuel au Burkina Faso et dans certains pays africains” (document </w:t>
      </w:r>
      <w:r w:rsidR="001A15D0">
        <w:t>CDIP/</w:t>
      </w:r>
      <w:r w:rsidR="001A15D0" w:rsidRPr="00C43F07">
        <w:t>9</w:t>
      </w:r>
      <w:r w:rsidRPr="00C43F07">
        <w:t>/13), qui était fondé sur une proposition de la délégation du Burkina Fa</w:t>
      </w:r>
      <w:r w:rsidR="002140BE" w:rsidRPr="00C43F07">
        <w:t>so</w:t>
      </w:r>
      <w:r w:rsidR="002140BE">
        <w:t xml:space="preserve">.  </w:t>
      </w:r>
      <w:r w:rsidR="002140BE" w:rsidRPr="00C43F07">
        <w:t>La</w:t>
      </w:r>
      <w:r w:rsidRPr="00C43F07">
        <w:t xml:space="preserve"> Phase I du projet a été achevée en </w:t>
      </w:r>
      <w:r w:rsidR="006408BB" w:rsidRPr="00C43F07">
        <w:t>décembre</w:t>
      </w:r>
      <w:r w:rsidR="006408BB">
        <w:t> </w:t>
      </w:r>
      <w:r w:rsidR="006408BB" w:rsidRPr="00C43F07">
        <w:t>20</w:t>
      </w:r>
      <w:r w:rsidRPr="00C43F07">
        <w:t>15.</w:t>
      </w:r>
    </w:p>
    <w:p w:rsidR="006408BB" w:rsidRDefault="001010BC" w:rsidP="00586D4B">
      <w:pPr>
        <w:pStyle w:val="ONUMFS"/>
        <w:numPr>
          <w:ilvl w:val="0"/>
          <w:numId w:val="0"/>
        </w:numPr>
      </w:pPr>
      <w:r w:rsidRPr="00C43F07">
        <w:t>La phase</w:t>
      </w:r>
      <w:r w:rsidR="0088350E">
        <w:t> </w:t>
      </w:r>
      <w:r w:rsidRPr="00C43F07">
        <w:t>II vise à poursuivre le principal objectif du projet original et à accélérer le recours à la propriété intellectuelle afin d</w:t>
      </w:r>
      <w:r w:rsidR="006408BB">
        <w:t>’</w:t>
      </w:r>
      <w:r w:rsidRPr="00C43F07">
        <w:t>appuyer le développement et la professionnalisation du secteur de l</w:t>
      </w:r>
      <w:r w:rsidR="006408BB">
        <w:t>’</w:t>
      </w:r>
      <w:r w:rsidRPr="00C43F07">
        <w:t>audiovisuel africa</w:t>
      </w:r>
      <w:r w:rsidR="002140BE" w:rsidRPr="00C43F07">
        <w:t>in</w:t>
      </w:r>
      <w:r w:rsidR="002140BE">
        <w:t xml:space="preserve">.  </w:t>
      </w:r>
      <w:r w:rsidR="002140BE" w:rsidRPr="00C43F07">
        <w:t>Le</w:t>
      </w:r>
      <w:r w:rsidRPr="00C43F07">
        <w:t xml:space="preserve"> projet comprend trois</w:t>
      </w:r>
      <w:r w:rsidR="005839C0">
        <w:t> </w:t>
      </w:r>
      <w:r w:rsidRPr="00C43F07">
        <w:t>grands vole</w:t>
      </w:r>
      <w:r w:rsidR="002140BE" w:rsidRPr="00C43F07">
        <w:t>ts</w:t>
      </w:r>
      <w:r w:rsidR="002140BE">
        <w:t xml:space="preserve">.  </w:t>
      </w:r>
      <w:r w:rsidR="002140BE" w:rsidRPr="00C43F07">
        <w:t>Le</w:t>
      </w:r>
      <w:r w:rsidRPr="00C43F07">
        <w:t xml:space="preserve"> premier volet concerne les activités de recherche et d</w:t>
      </w:r>
      <w:r w:rsidR="006408BB">
        <w:t>’</w:t>
      </w:r>
      <w:r w:rsidRPr="00C43F07">
        <w:t xml:space="preserve">enseignement à distance; </w:t>
      </w:r>
      <w:r w:rsidR="005839C0">
        <w:t xml:space="preserve"> </w:t>
      </w:r>
      <w:r w:rsidRPr="00C43F07">
        <w:t>le deuxième volet porte sur le perfectionnement professionnel et la formation;</w:t>
      </w:r>
      <w:r w:rsidR="005839C0">
        <w:t xml:space="preserve"> </w:t>
      </w:r>
      <w:r w:rsidRPr="00C43F07">
        <w:t xml:space="preserve"> et le troisième volet porte sur les cadres réglementaires et de gestion.</w:t>
      </w:r>
    </w:p>
    <w:p w:rsidR="006408BB" w:rsidRDefault="001010BC" w:rsidP="00586D4B">
      <w:pPr>
        <w:pStyle w:val="ONUMFS"/>
        <w:numPr>
          <w:ilvl w:val="0"/>
          <w:numId w:val="0"/>
        </w:numPr>
      </w:pPr>
      <w:r w:rsidRPr="00C43F07">
        <w:t>Le projet a été mis en œuvre sous la supervision du chef de projet, Mme</w:t>
      </w:r>
      <w:r w:rsidR="005839C0">
        <w:t> </w:t>
      </w:r>
      <w:r w:rsidRPr="00C43F07">
        <w:t>Carole</w:t>
      </w:r>
      <w:r w:rsidR="0088350E">
        <w:t> </w:t>
      </w:r>
      <w:r w:rsidRPr="00C43F07">
        <w:t>Croella, conseillère principale, Division du droit d</w:t>
      </w:r>
      <w:r w:rsidR="006408BB">
        <w:t>’</w:t>
      </w:r>
      <w:r w:rsidRPr="00C43F07">
        <w:t>auteur.</w:t>
      </w:r>
    </w:p>
    <w:p w:rsidR="001010BC" w:rsidRPr="00C43F07" w:rsidRDefault="001010BC" w:rsidP="00586D4B">
      <w:pPr>
        <w:pStyle w:val="ONUMFS"/>
        <w:numPr>
          <w:ilvl w:val="0"/>
          <w:numId w:val="0"/>
        </w:numPr>
      </w:pPr>
    </w:p>
    <w:p w:rsidR="001010BC" w:rsidRPr="00C43F07" w:rsidRDefault="001010BC" w:rsidP="001010BC">
      <w:pPr>
        <w:jc w:val="right"/>
        <w:rPr>
          <w:szCs w:val="22"/>
        </w:rPr>
      </w:pPr>
      <w:r w:rsidRPr="00C43F07">
        <w:rPr>
          <w:szCs w:val="22"/>
        </w:rPr>
        <w:t>/...</w:t>
      </w:r>
    </w:p>
    <w:p w:rsidR="001010BC" w:rsidRPr="00C43F07" w:rsidRDefault="001010BC" w:rsidP="001010BC">
      <w:pPr>
        <w:jc w:val="right"/>
        <w:rPr>
          <w:szCs w:val="22"/>
        </w:rPr>
      </w:pPr>
    </w:p>
    <w:p w:rsidR="001010BC" w:rsidRPr="00C43F07" w:rsidRDefault="001010BC" w:rsidP="001010BC">
      <w:r w:rsidRPr="00C43F07">
        <w:br w:type="page"/>
      </w:r>
    </w:p>
    <w:p w:rsidR="00586D4B" w:rsidRDefault="001010BC" w:rsidP="00586D4B">
      <w:pPr>
        <w:pStyle w:val="ONUMFS"/>
        <w:numPr>
          <w:ilvl w:val="0"/>
          <w:numId w:val="0"/>
        </w:numPr>
      </w:pPr>
      <w:r w:rsidRPr="00C43F07">
        <w:lastRenderedPageBreak/>
        <w:t>Cette évaluation a vocation à être participati</w:t>
      </w:r>
      <w:r w:rsidR="002140BE" w:rsidRPr="00C43F07">
        <w:t>ve</w:t>
      </w:r>
      <w:r w:rsidR="002140BE">
        <w:t xml:space="preserve">.  </w:t>
      </w:r>
      <w:r w:rsidR="002140BE" w:rsidRPr="00C43F07">
        <w:t>El</w:t>
      </w:r>
      <w:r w:rsidRPr="00C43F07">
        <w:t xml:space="preserve">le doit induire une participation active des parties prenantes, </w:t>
      </w:r>
      <w:r w:rsidR="006408BB">
        <w:t>à savoir</w:t>
      </w:r>
      <w:r w:rsidRPr="00C43F07">
        <w:t xml:space="preserve"> l</w:t>
      </w:r>
      <w:r w:rsidR="006408BB">
        <w:t>’</w:t>
      </w:r>
      <w:r w:rsidRPr="00C43F07">
        <w:t>équipe chargée du projet, les partenaires, les bénéficiaires et autres parties prenantes intéressées, au processus d</w:t>
      </w:r>
      <w:r w:rsidR="006408BB">
        <w:t>’</w:t>
      </w:r>
      <w:r w:rsidRPr="00C43F07">
        <w:t>évaluation.</w:t>
      </w:r>
    </w:p>
    <w:p w:rsidR="006408BB" w:rsidRDefault="001010BC" w:rsidP="00586D4B">
      <w:pPr>
        <w:pStyle w:val="ONUMFS"/>
        <w:numPr>
          <w:ilvl w:val="0"/>
          <w:numId w:val="0"/>
        </w:numPr>
      </w:pPr>
      <w:r w:rsidRPr="00C43F07">
        <w:t>La présente évaluation vise un double objectif</w:t>
      </w:r>
      <w:r w:rsidR="006408BB">
        <w:t> :</w:t>
      </w:r>
    </w:p>
    <w:p w:rsidR="00586D4B" w:rsidRDefault="001010BC" w:rsidP="0067547F">
      <w:pPr>
        <w:pStyle w:val="ONUMFS"/>
        <w:numPr>
          <w:ilvl w:val="0"/>
          <w:numId w:val="19"/>
        </w:numPr>
        <w:ind w:left="567"/>
      </w:pPr>
      <w:r w:rsidRPr="00C43F07">
        <w:t>tirer profit des expériences lors de l</w:t>
      </w:r>
      <w:r w:rsidR="006408BB">
        <w:t>’</w:t>
      </w:r>
      <w:r w:rsidRPr="00C43F07">
        <w:t>exécution du projet</w:t>
      </w:r>
      <w:r w:rsidR="006408BB">
        <w:t> :</w:t>
      </w:r>
      <w:r w:rsidRPr="00C43F07">
        <w:t xml:space="preserve"> savoir ce qui a bien fonctionné et ce qui n</w:t>
      </w:r>
      <w:r w:rsidR="006408BB">
        <w:t>’</w:t>
      </w:r>
      <w:r w:rsidRPr="00C43F07">
        <w:t>a pas bien fonctionné dans l</w:t>
      </w:r>
      <w:r w:rsidR="006408BB">
        <w:t>’</w:t>
      </w:r>
      <w:r w:rsidRPr="00C43F07">
        <w:t>intérêt de la poursuite des activités dans ce domai</w:t>
      </w:r>
      <w:r w:rsidR="002140BE" w:rsidRPr="00C43F07">
        <w:t>ne</w:t>
      </w:r>
      <w:r w:rsidR="002140BE">
        <w:t xml:space="preserve">.  </w:t>
      </w:r>
      <w:r w:rsidR="002140BE" w:rsidRPr="00C43F07">
        <w:t>Ce</w:t>
      </w:r>
      <w:r w:rsidRPr="00C43F07">
        <w:t>la comprend l</w:t>
      </w:r>
      <w:r w:rsidR="006408BB">
        <w:t>’</w:t>
      </w:r>
      <w:r w:rsidRPr="00C43F07">
        <w:t xml:space="preserve">évaluation du cadre de conception du projet et de la gestion du projet, </w:t>
      </w:r>
      <w:r w:rsidR="006408BB">
        <w:t>y compris</w:t>
      </w:r>
      <w:r w:rsidRPr="00C43F07">
        <w:t xml:space="preserve"> les outils de suivi et d</w:t>
      </w:r>
      <w:r w:rsidR="006408BB">
        <w:t>’</w:t>
      </w:r>
      <w:r w:rsidRPr="00C43F07">
        <w:t>établissement de rapports, ainsi que la mesure et la communication des résultats obtenus à ce jour et l</w:t>
      </w:r>
      <w:r w:rsidR="006408BB">
        <w:t>’</w:t>
      </w:r>
      <w:r w:rsidRPr="00C43F07">
        <w:t xml:space="preserve">évaluation de la probabilité de pérennité des résultats obtenus; </w:t>
      </w:r>
      <w:r w:rsidR="005839C0">
        <w:t xml:space="preserve"> </w:t>
      </w:r>
      <w:r w:rsidRPr="00C43F07">
        <w:t>et</w:t>
      </w:r>
    </w:p>
    <w:p w:rsidR="006408BB" w:rsidRDefault="001010BC" w:rsidP="00AD0F4E">
      <w:pPr>
        <w:pStyle w:val="ONUMFS"/>
        <w:ind w:left="567"/>
      </w:pPr>
      <w:r w:rsidRPr="00C43F07">
        <w:t>fournir les données d</w:t>
      </w:r>
      <w:r w:rsidR="006408BB">
        <w:t>’</w:t>
      </w:r>
      <w:r w:rsidRPr="00C43F07">
        <w:t>évaluation factuelles nécessaires au processus décisionnel du CDIP.</w:t>
      </w:r>
    </w:p>
    <w:p w:rsidR="001010BC" w:rsidRPr="00C43F07" w:rsidRDefault="001010BC" w:rsidP="00586D4B">
      <w:pPr>
        <w:pStyle w:val="ONUMFS"/>
        <w:numPr>
          <w:ilvl w:val="0"/>
          <w:numId w:val="0"/>
        </w:numPr>
      </w:pPr>
      <w:r w:rsidRPr="00C43F07">
        <w:t>L</w:t>
      </w:r>
      <w:r w:rsidR="006408BB">
        <w:t>’</w:t>
      </w:r>
      <w:r w:rsidRPr="00C43F07">
        <w:t>évaluation visera notamment à déterminer dans quelle mesure le projet a contribué à</w:t>
      </w:r>
      <w:r w:rsidR="006408BB">
        <w:t> :</w:t>
      </w:r>
    </w:p>
    <w:p w:rsidR="00586D4B" w:rsidRPr="00586D4B" w:rsidRDefault="001010BC" w:rsidP="0067547F">
      <w:pPr>
        <w:pStyle w:val="ONUMFS"/>
        <w:numPr>
          <w:ilvl w:val="1"/>
          <w:numId w:val="16"/>
        </w:numPr>
      </w:pPr>
      <w:r w:rsidRPr="00586D4B">
        <w:t>améliorer l</w:t>
      </w:r>
      <w:r w:rsidR="006408BB">
        <w:t>’</w:t>
      </w:r>
      <w:r w:rsidRPr="00586D4B">
        <w:t xml:space="preserve">utilisation du système de la propriété intellectuelle aux fins du financement, de la production et de la distribution des œuvres audiovisuelles; </w:t>
      </w:r>
      <w:r w:rsidR="005839C0">
        <w:t xml:space="preserve"> </w:t>
      </w:r>
      <w:r w:rsidRPr="00586D4B">
        <w:t>et</w:t>
      </w:r>
    </w:p>
    <w:p w:rsidR="001010BC" w:rsidRPr="00586D4B" w:rsidRDefault="001010BC" w:rsidP="0067547F">
      <w:pPr>
        <w:pStyle w:val="ONUMFS"/>
        <w:numPr>
          <w:ilvl w:val="1"/>
          <w:numId w:val="5"/>
        </w:numPr>
      </w:pPr>
      <w:r w:rsidRPr="00586D4B">
        <w:t>faire progresser la mise au point d</w:t>
      </w:r>
      <w:r w:rsidR="006408BB">
        <w:t>’</w:t>
      </w:r>
      <w:r w:rsidRPr="00586D4B">
        <w:t>une infrastructure efficace pour les transactions fondées sur les droits de propriété intellectuelle et la concession de licences et les compétences connexes afin d</w:t>
      </w:r>
      <w:r w:rsidR="006408BB">
        <w:t>’</w:t>
      </w:r>
      <w:r w:rsidRPr="00586D4B">
        <w:t>améliorer les rendements financiers des créateurs audiovisuels et de l</w:t>
      </w:r>
      <w:r w:rsidR="006408BB">
        <w:t>’</w:t>
      </w:r>
      <w:r w:rsidRPr="00586D4B">
        <w:t>industrie.</w:t>
      </w:r>
    </w:p>
    <w:p w:rsidR="00614AC3" w:rsidRDefault="00614AC3" w:rsidP="00614AC3">
      <w:bookmarkStart w:id="51" w:name="_Toc3287472"/>
    </w:p>
    <w:p w:rsidR="001010BC" w:rsidRPr="00614AC3" w:rsidRDefault="00614AC3" w:rsidP="00614AC3">
      <w:pPr>
        <w:ind w:left="1134"/>
        <w:rPr>
          <w:u w:val="single"/>
        </w:rPr>
      </w:pPr>
      <w:r>
        <w:t>i)</w:t>
      </w:r>
      <w:r>
        <w:tab/>
      </w:r>
      <w:r w:rsidR="001010BC" w:rsidRPr="00614AC3">
        <w:rPr>
          <w:u w:val="single"/>
        </w:rPr>
        <w:t>Conception et gestion du projet</w:t>
      </w:r>
      <w:bookmarkEnd w:id="51"/>
    </w:p>
    <w:p w:rsidR="001010BC" w:rsidRPr="00C43F07" w:rsidRDefault="001010BC" w:rsidP="001010BC">
      <w:pPr>
        <w:pStyle w:val="ListParagraph"/>
        <w:ind w:left="567"/>
        <w:jc w:val="both"/>
      </w:pPr>
    </w:p>
    <w:p w:rsidR="00586D4B" w:rsidRDefault="001010BC" w:rsidP="0067547F">
      <w:pPr>
        <w:pStyle w:val="ONUMFS"/>
        <w:numPr>
          <w:ilvl w:val="0"/>
          <w:numId w:val="18"/>
        </w:numPr>
        <w:ind w:left="567"/>
      </w:pPr>
      <w:r w:rsidRPr="00C43F07">
        <w:t>La pertinence du descriptif du projet initial en tant que guide pour la mise en œuvre du projet et l</w:t>
      </w:r>
      <w:r w:rsidR="006408BB">
        <w:t>’</w:t>
      </w:r>
      <w:r w:rsidRPr="00C43F07">
        <w:t>évaluation des résultats obtenus;</w:t>
      </w:r>
    </w:p>
    <w:p w:rsidR="00586D4B" w:rsidRDefault="001010BC" w:rsidP="00AD0F4E">
      <w:pPr>
        <w:pStyle w:val="ONUMFS"/>
        <w:ind w:left="567"/>
      </w:pPr>
      <w:r w:rsidRPr="00C43F07">
        <w:t>les outils de suivi du projet, d</w:t>
      </w:r>
      <w:r w:rsidR="006408BB">
        <w:t>’</w:t>
      </w:r>
      <w:r w:rsidRPr="00C43F07">
        <w:t>auto</w:t>
      </w:r>
      <w:r w:rsidR="006408BB">
        <w:t>-</w:t>
      </w:r>
      <w:r w:rsidRPr="00C43F07">
        <w:t>évaluation et d</w:t>
      </w:r>
      <w:r w:rsidR="006408BB">
        <w:t>’</w:t>
      </w:r>
      <w:r w:rsidRPr="00C43F07">
        <w:t>établissement de rapports et l</w:t>
      </w:r>
      <w:r w:rsidR="006408BB">
        <w:t>’</w:t>
      </w:r>
      <w:r w:rsidRPr="00C43F07">
        <w:t>analyse de leur utilité et de leur adéquation s</w:t>
      </w:r>
      <w:r w:rsidR="006408BB">
        <w:t>’</w:t>
      </w:r>
      <w:r w:rsidRPr="00C43F07">
        <w:t>agissant de fournir à l</w:t>
      </w:r>
      <w:r w:rsidR="006408BB">
        <w:t>’</w:t>
      </w:r>
      <w:r w:rsidRPr="00C43F07">
        <w:t>équipe chargée du projet et aux principales parties prenantes des informations utiles à la prise de décisions;</w:t>
      </w:r>
    </w:p>
    <w:p w:rsidR="00586D4B" w:rsidRDefault="001010BC" w:rsidP="00AD0F4E">
      <w:pPr>
        <w:pStyle w:val="ONUMFS"/>
        <w:ind w:left="567"/>
      </w:pPr>
      <w:r w:rsidRPr="00C43F07">
        <w:t>dans quelle mesure d</w:t>
      </w:r>
      <w:r w:rsidR="006408BB">
        <w:t>’</w:t>
      </w:r>
      <w:r w:rsidRPr="00C43F07">
        <w:t>autres entités au sein du Secrétariat ont contribué et permis une mise en œuvre effective et efficace du projet;</w:t>
      </w:r>
    </w:p>
    <w:p w:rsidR="00586D4B" w:rsidRDefault="001010BC" w:rsidP="00AD0F4E">
      <w:pPr>
        <w:pStyle w:val="ONUMFS"/>
        <w:ind w:left="567"/>
      </w:pPr>
      <w:r w:rsidRPr="00C43F07">
        <w:t>dans quelle mesure les risques recensés dans le descriptif de projet initial se sont concrétisés ou ont été atténués;  et</w:t>
      </w:r>
    </w:p>
    <w:p w:rsidR="001010BC" w:rsidRPr="00C43F07" w:rsidRDefault="001010BC" w:rsidP="00AD0F4E">
      <w:pPr>
        <w:pStyle w:val="ONUMFS"/>
        <w:ind w:left="567"/>
      </w:pPr>
      <w:r w:rsidRPr="00C43F07">
        <w:t>la capacité du projet à réagir aux tendances et technologies émergentes et aux autres forces extérieures.</w:t>
      </w:r>
    </w:p>
    <w:p w:rsidR="00614AC3" w:rsidRDefault="00614AC3" w:rsidP="00614AC3">
      <w:pPr>
        <w:ind w:left="1134"/>
        <w:rPr>
          <w:u w:val="single"/>
        </w:rPr>
      </w:pPr>
      <w:bookmarkStart w:id="52" w:name="_Toc3287473"/>
    </w:p>
    <w:p w:rsidR="001010BC" w:rsidRPr="00614AC3" w:rsidRDefault="00614AC3" w:rsidP="00614AC3">
      <w:pPr>
        <w:ind w:left="1134"/>
        <w:rPr>
          <w:u w:val="single"/>
        </w:rPr>
      </w:pPr>
      <w:r w:rsidRPr="00614AC3">
        <w:t>ii)</w:t>
      </w:r>
      <w:r w:rsidRPr="00614AC3">
        <w:tab/>
      </w:r>
      <w:r w:rsidR="001010BC" w:rsidRPr="00614AC3">
        <w:rPr>
          <w:u w:val="single"/>
        </w:rPr>
        <w:t>Efficacité</w:t>
      </w:r>
      <w:bookmarkEnd w:id="52"/>
    </w:p>
    <w:p w:rsidR="001010BC" w:rsidRPr="00C43F07" w:rsidRDefault="001010BC" w:rsidP="00AD0F4E"/>
    <w:p w:rsidR="00AD0F4E" w:rsidRDefault="001010BC" w:rsidP="0067547F">
      <w:pPr>
        <w:pStyle w:val="ONUMFS"/>
        <w:numPr>
          <w:ilvl w:val="0"/>
          <w:numId w:val="20"/>
        </w:numPr>
        <w:ind w:left="567"/>
      </w:pPr>
      <w:r w:rsidRPr="00C43F07">
        <w:t>L</w:t>
      </w:r>
      <w:r w:rsidR="006408BB">
        <w:t>’</w:t>
      </w:r>
      <w:r w:rsidRPr="00C43F07">
        <w:t>efficacité et l</w:t>
      </w:r>
      <w:r w:rsidR="006408BB">
        <w:t>’</w:t>
      </w:r>
      <w:r w:rsidRPr="00C43F07">
        <w:t>utilité du projet dans l</w:t>
      </w:r>
      <w:r w:rsidR="006408BB">
        <w:t>’</w:t>
      </w:r>
      <w:r w:rsidRPr="00C43F07">
        <w:t>amélioration du système de la propriété intellectuelle aux fins du financement, de la production et de la distribution des œuvres audiovisuelles dans les pays pilotes retenus;</w:t>
      </w:r>
    </w:p>
    <w:p w:rsidR="00AD0F4E" w:rsidRDefault="00AD0F4E" w:rsidP="00AD0F4E">
      <w:pPr>
        <w:pStyle w:val="ONUMFS"/>
        <w:numPr>
          <w:ilvl w:val="0"/>
          <w:numId w:val="0"/>
        </w:numPr>
        <w:jc w:val="right"/>
        <w:rPr>
          <w:szCs w:val="22"/>
        </w:rPr>
      </w:pPr>
    </w:p>
    <w:p w:rsidR="00AD0F4E" w:rsidRPr="00AD0F4E" w:rsidRDefault="00AD0F4E" w:rsidP="00AD0F4E">
      <w:pPr>
        <w:pStyle w:val="ONUMFS"/>
        <w:numPr>
          <w:ilvl w:val="0"/>
          <w:numId w:val="0"/>
        </w:numPr>
        <w:jc w:val="right"/>
        <w:rPr>
          <w:szCs w:val="22"/>
        </w:rPr>
      </w:pPr>
      <w:r w:rsidRPr="00AD0F4E">
        <w:rPr>
          <w:szCs w:val="22"/>
        </w:rPr>
        <w:t>/...</w:t>
      </w:r>
    </w:p>
    <w:p w:rsidR="001010BC" w:rsidRPr="00C43F07" w:rsidRDefault="001010BC" w:rsidP="00AD0F4E">
      <w:pPr>
        <w:pStyle w:val="ONUMFS"/>
        <w:ind w:left="567"/>
      </w:pPr>
      <w:r w:rsidRPr="00C43F07">
        <w:lastRenderedPageBreak/>
        <w:t>l</w:t>
      </w:r>
      <w:r w:rsidR="006408BB">
        <w:t>’</w:t>
      </w:r>
      <w:r w:rsidRPr="00C43F07">
        <w:t>utilité et l</w:t>
      </w:r>
      <w:r w:rsidR="006408BB">
        <w:t>’</w:t>
      </w:r>
      <w:r w:rsidRPr="00C43F07">
        <w:t>efficacité du projet, visant à faire progresser l</w:t>
      </w:r>
      <w:r w:rsidR="006408BB">
        <w:t>’</w:t>
      </w:r>
      <w:r w:rsidRPr="00C43F07">
        <w:t>élaboration d</w:t>
      </w:r>
      <w:r w:rsidR="006408BB">
        <w:t>’</w:t>
      </w:r>
      <w:r w:rsidRPr="00C43F07">
        <w:t>un cadre et d</w:t>
      </w:r>
      <w:r w:rsidR="006408BB">
        <w:t>’</w:t>
      </w:r>
      <w:r w:rsidRPr="00C43F07">
        <w:t>une infrastructure efficaces et équilibrés pour l</w:t>
      </w:r>
      <w:r w:rsidR="006408BB">
        <w:t>’</w:t>
      </w:r>
      <w:r w:rsidRPr="00C43F07">
        <w:t>exercice et la gestion des transactions fondées sur les droits de propriété intellectuelle dans le secteur de l</w:t>
      </w:r>
      <w:r w:rsidR="006408BB">
        <w:t>’</w:t>
      </w:r>
      <w:r w:rsidRPr="00C43F07">
        <w:t>audiovisuel dans les pays pilotes retenus;</w:t>
      </w:r>
    </w:p>
    <w:p w:rsidR="00AD0F4E" w:rsidRDefault="001010BC" w:rsidP="00AD0F4E">
      <w:pPr>
        <w:pStyle w:val="ONUMFS"/>
        <w:ind w:left="567"/>
      </w:pPr>
      <w:r w:rsidRPr="00C43F07">
        <w:t>l</w:t>
      </w:r>
      <w:r w:rsidR="006408BB">
        <w:t>’</w:t>
      </w:r>
      <w:r w:rsidRPr="00C43F07">
        <w:t>utilité de l</w:t>
      </w:r>
      <w:r w:rsidR="006408BB">
        <w:t>’</w:t>
      </w:r>
      <w:r w:rsidRPr="00C43F07">
        <w:t xml:space="preserve">étude exploratoire pour les États membres; </w:t>
      </w:r>
      <w:r w:rsidR="005839C0">
        <w:t xml:space="preserve"> </w:t>
      </w:r>
      <w:r w:rsidRPr="00C43F07">
        <w:t>et</w:t>
      </w:r>
    </w:p>
    <w:p w:rsidR="00AD0F4E" w:rsidRDefault="001010BC" w:rsidP="00AD0F4E">
      <w:pPr>
        <w:pStyle w:val="ONUMFS"/>
        <w:ind w:left="567"/>
      </w:pPr>
      <w:r w:rsidRPr="00C43F07">
        <w:t>l</w:t>
      </w:r>
      <w:r w:rsidR="006408BB">
        <w:t>’</w:t>
      </w:r>
      <w:r w:rsidRPr="00C43F07">
        <w:t>utilité des ateliers et des programmes de formation et d</w:t>
      </w:r>
      <w:r w:rsidR="006408BB">
        <w:t>’</w:t>
      </w:r>
      <w:r w:rsidRPr="00C43F07">
        <w:t>enseignement à distance pour l</w:t>
      </w:r>
      <w:r w:rsidR="006408BB">
        <w:t>’</w:t>
      </w:r>
      <w:r w:rsidRPr="00C43F07">
        <w:t>acquisition d</w:t>
      </w:r>
      <w:r w:rsidR="006408BB">
        <w:t>’</w:t>
      </w:r>
      <w:r w:rsidRPr="00C43F07">
        <w:t>une formation professionnelle et d</w:t>
      </w:r>
      <w:r w:rsidR="006408BB">
        <w:t>’</w:t>
      </w:r>
      <w:r w:rsidRPr="00C43F07">
        <w:t>une connaissance pratique en matière de financement, de distribution, de gestion et de concession de licences dans le domaine de l</w:t>
      </w:r>
      <w:r w:rsidR="006408BB">
        <w:t>’</w:t>
      </w:r>
      <w:r w:rsidRPr="00C43F07">
        <w:t>audiovisuel afin de favoriser le développement local dans ce domaine.</w:t>
      </w:r>
    </w:p>
    <w:p w:rsidR="00614AC3" w:rsidRDefault="00614AC3" w:rsidP="00614AC3"/>
    <w:p w:rsidR="001010BC" w:rsidRPr="00AD0F4E" w:rsidRDefault="00614AC3" w:rsidP="00614AC3">
      <w:pPr>
        <w:ind w:left="1134"/>
      </w:pPr>
      <w:r>
        <w:t>iii)</w:t>
      </w:r>
      <w:r>
        <w:tab/>
      </w:r>
      <w:r w:rsidR="001010BC" w:rsidRPr="00614AC3">
        <w:rPr>
          <w:u w:val="single"/>
        </w:rPr>
        <w:t>Viabilité</w:t>
      </w:r>
    </w:p>
    <w:p w:rsidR="001010BC" w:rsidRPr="00C43F07" w:rsidRDefault="001010BC" w:rsidP="00AD0F4E"/>
    <w:p w:rsidR="006408BB" w:rsidRDefault="001010BC" w:rsidP="00AD0F4E">
      <w:pPr>
        <w:pStyle w:val="ONUMFS"/>
        <w:numPr>
          <w:ilvl w:val="0"/>
          <w:numId w:val="0"/>
        </w:numPr>
      </w:pPr>
      <w:r w:rsidRPr="00C43F07">
        <w:t>La probabilité de la poursuite des activités relatives au renforcement du secteur de l</w:t>
      </w:r>
      <w:r w:rsidR="006408BB">
        <w:t>’</w:t>
      </w:r>
      <w:r w:rsidRPr="00C43F07">
        <w:t>audiovisuel à l</w:t>
      </w:r>
      <w:r w:rsidR="006408BB">
        <w:t>’</w:t>
      </w:r>
      <w:r w:rsidRPr="00C43F07">
        <w:t>OMPI et dans ses États membres.</w:t>
      </w:r>
    </w:p>
    <w:p w:rsidR="00614AC3" w:rsidRDefault="00614AC3" w:rsidP="00614AC3">
      <w:bookmarkStart w:id="53" w:name="_Toc3287475"/>
    </w:p>
    <w:p w:rsidR="006408BB" w:rsidRPr="00614AC3" w:rsidRDefault="00614AC3" w:rsidP="00614AC3">
      <w:pPr>
        <w:ind w:left="1134"/>
        <w:rPr>
          <w:u w:val="single"/>
        </w:rPr>
      </w:pPr>
      <w:r>
        <w:t>iv)</w:t>
      </w:r>
      <w:r>
        <w:tab/>
      </w:r>
      <w:r w:rsidR="001010BC" w:rsidRPr="00614AC3">
        <w:rPr>
          <w:u w:val="single"/>
        </w:rPr>
        <w:t>Mise en œuvre des recommandations du Plan d</w:t>
      </w:r>
      <w:r w:rsidR="006408BB" w:rsidRPr="00614AC3">
        <w:rPr>
          <w:u w:val="single"/>
        </w:rPr>
        <w:t>’</w:t>
      </w:r>
      <w:r w:rsidR="001010BC" w:rsidRPr="00614AC3">
        <w:rPr>
          <w:u w:val="single"/>
        </w:rPr>
        <w:t>action pour le développement</w:t>
      </w:r>
      <w:bookmarkEnd w:id="53"/>
    </w:p>
    <w:p w:rsidR="001010BC" w:rsidRPr="00C43F07" w:rsidRDefault="001010BC" w:rsidP="00AD0F4E"/>
    <w:p w:rsidR="006408BB" w:rsidRDefault="001010BC" w:rsidP="00AD0F4E">
      <w:pPr>
        <w:pStyle w:val="ONUMFS"/>
        <w:numPr>
          <w:ilvl w:val="0"/>
          <w:numId w:val="0"/>
        </w:numPr>
      </w:pPr>
      <w:r w:rsidRPr="00C43F07">
        <w:t>Dans quelle mesure les recommandations n</w:t>
      </w:r>
      <w:r w:rsidRPr="00C43F07">
        <w:rPr>
          <w:vertAlign w:val="superscript"/>
        </w:rPr>
        <w:t>os</w:t>
      </w:r>
      <w:r w:rsidRPr="00C43F07">
        <w:t xml:space="preserve"> 1, 2, 4, 10 et 11 du Plan d</w:t>
      </w:r>
      <w:r w:rsidR="006408BB">
        <w:t>’</w:t>
      </w:r>
      <w:r w:rsidRPr="00C43F07">
        <w:t>action pour le développement ont été mises en œuvre dans le cadre de ce projet.</w:t>
      </w:r>
    </w:p>
    <w:p w:rsidR="006408BB" w:rsidRDefault="001010BC" w:rsidP="00AD0F4E">
      <w:pPr>
        <w:pStyle w:val="ONUMFS"/>
        <w:numPr>
          <w:ilvl w:val="0"/>
          <w:numId w:val="0"/>
        </w:numPr>
      </w:pPr>
      <w:r w:rsidRPr="00C43F07">
        <w:t>La durée prise en considération pour l</w:t>
      </w:r>
      <w:r w:rsidR="006408BB">
        <w:t>’</w:t>
      </w:r>
      <w:r w:rsidRPr="00C43F07">
        <w:t>évaluation de ce projet est de 24</w:t>
      </w:r>
      <w:r w:rsidR="0088350E">
        <w:t> </w:t>
      </w:r>
      <w:r w:rsidRPr="00C43F07">
        <w:t>mois (</w:t>
      </w:r>
      <w:r w:rsidR="006408BB" w:rsidRPr="00C43F07">
        <w:t>juin</w:t>
      </w:r>
      <w:r w:rsidR="006408BB">
        <w:t> </w:t>
      </w:r>
      <w:r w:rsidR="006408BB" w:rsidRPr="00C43F07">
        <w:t>20</w:t>
      </w:r>
      <w:r w:rsidRPr="00C43F07">
        <w:t xml:space="preserve">16 – </w:t>
      </w:r>
      <w:r w:rsidR="006408BB" w:rsidRPr="00C43F07">
        <w:t>juin</w:t>
      </w:r>
      <w:r w:rsidR="006408BB">
        <w:t> </w:t>
      </w:r>
      <w:r w:rsidR="006408BB" w:rsidRPr="00C43F07">
        <w:t>20</w:t>
      </w:r>
      <w:r w:rsidRPr="00C43F07">
        <w:t>18).  L</w:t>
      </w:r>
      <w:r w:rsidR="006408BB">
        <w:t>’</w:t>
      </w:r>
      <w:r w:rsidRPr="00C43F07">
        <w:t>objectif sera davantage d</w:t>
      </w:r>
      <w:r w:rsidR="006408BB">
        <w:t>’</w:t>
      </w:r>
      <w:r w:rsidRPr="00C43F07">
        <w:t>évaluer le projet dans son ensemble et sa contribution à l</w:t>
      </w:r>
      <w:r w:rsidR="006408BB">
        <w:t>’</w:t>
      </w:r>
      <w:r w:rsidRPr="00C43F07">
        <w:t>évaluation des besoins des États membres et de recenser les ressources ou les moyens permettant de répondre à ces besoins que d</w:t>
      </w:r>
      <w:r w:rsidR="006408BB">
        <w:t>’</w:t>
      </w:r>
      <w:r w:rsidRPr="00C43F07">
        <w:t>évaluer les activités individuell</w:t>
      </w:r>
      <w:r w:rsidR="002140BE" w:rsidRPr="00C43F07">
        <w:t>es</w:t>
      </w:r>
      <w:r w:rsidR="002140BE">
        <w:t xml:space="preserve">.  </w:t>
      </w:r>
      <w:r w:rsidR="002140BE" w:rsidRPr="00C43F07">
        <w:t>L</w:t>
      </w:r>
      <w:r w:rsidR="002140BE">
        <w:t>’</w:t>
      </w:r>
      <w:r w:rsidR="002140BE" w:rsidRPr="00C43F07">
        <w:t>é</w:t>
      </w:r>
      <w:r w:rsidRPr="00C43F07">
        <w:t>valuation portera également sur l</w:t>
      </w:r>
      <w:r w:rsidR="006408BB">
        <w:t>’</w:t>
      </w:r>
      <w:r w:rsidRPr="00C43F07">
        <w:t>évolution du projet au fil du temps et sur sa performance</w:t>
      </w:r>
      <w:r w:rsidR="006408BB">
        <w:t> :</w:t>
      </w:r>
      <w:r w:rsidRPr="00C43F07">
        <w:t xml:space="preserve"> conception du projet, gestion du projet, coordination, cohérence, mise en œuvre et résultats obtenus.</w:t>
      </w:r>
    </w:p>
    <w:p w:rsidR="00AD0F4E" w:rsidRDefault="001010BC" w:rsidP="00AD0F4E">
      <w:pPr>
        <w:pStyle w:val="ONUMFS"/>
        <w:numPr>
          <w:ilvl w:val="0"/>
          <w:numId w:val="0"/>
        </w:numPr>
      </w:pPr>
      <w:r w:rsidRPr="00C43F07">
        <w:t>La méthodologie d</w:t>
      </w:r>
      <w:r w:rsidR="006408BB">
        <w:t>’</w:t>
      </w:r>
      <w:r w:rsidRPr="00C43F07">
        <w:t>évaluation vise à créer un équilibre entre les besoins d</w:t>
      </w:r>
      <w:r w:rsidR="006408BB">
        <w:t>’</w:t>
      </w:r>
      <w:r w:rsidRPr="00C43F07">
        <w:t>apprentissage et les besoins de responsabilisati</w:t>
      </w:r>
      <w:r w:rsidR="002140BE" w:rsidRPr="00C43F07">
        <w:t>on</w:t>
      </w:r>
      <w:r w:rsidR="002140BE">
        <w:t xml:space="preserve">.  </w:t>
      </w:r>
      <w:r w:rsidR="002140BE" w:rsidRPr="00C43F07">
        <w:t xml:space="preserve">À </w:t>
      </w:r>
      <w:r w:rsidRPr="00C43F07">
        <w:t>cette fin, l</w:t>
      </w:r>
      <w:r w:rsidR="006408BB">
        <w:t>’</w:t>
      </w:r>
      <w:r w:rsidRPr="00C43F07">
        <w:t>évaluation doit prévoir une participation active au processus d</w:t>
      </w:r>
      <w:r w:rsidR="006408BB">
        <w:t>’</w:t>
      </w:r>
      <w:r w:rsidRPr="00C43F07">
        <w:t>évaluation des parties prenantes au projet</w:t>
      </w:r>
      <w:r w:rsidR="006408BB">
        <w:t> :</w:t>
      </w:r>
      <w:r w:rsidRPr="00C43F07">
        <w:t xml:space="preserve"> équipe chargée du projet, hauts responsables, États membres et offices nationaux de propriété intellectuelle.</w:t>
      </w:r>
    </w:p>
    <w:p w:rsidR="001010BC" w:rsidRPr="00C43F07" w:rsidRDefault="001010BC" w:rsidP="00AD0F4E">
      <w:pPr>
        <w:pStyle w:val="ONUMFS"/>
        <w:numPr>
          <w:ilvl w:val="0"/>
          <w:numId w:val="0"/>
        </w:numPr>
      </w:pPr>
      <w:r w:rsidRPr="00C43F07">
        <w:t>L</w:t>
      </w:r>
      <w:r w:rsidR="006408BB">
        <w:t>’</w:t>
      </w:r>
      <w:r w:rsidRPr="00C43F07">
        <w:t>expert en évaluation sera chargé de mener l</w:t>
      </w:r>
      <w:r w:rsidR="006408BB">
        <w:t>’</w:t>
      </w:r>
      <w:r w:rsidRPr="00C43F07">
        <w:t>évaluation, en consultation et en collaboration avec l</w:t>
      </w:r>
      <w:r w:rsidR="006408BB">
        <w:t>’</w:t>
      </w:r>
      <w:r w:rsidRPr="00C43F07">
        <w:t>équipe chargée du projet et la Division de la coordination du Plan d</w:t>
      </w:r>
      <w:r w:rsidR="006408BB">
        <w:t>’</w:t>
      </w:r>
      <w:r w:rsidRPr="00C43F07">
        <w:t>action pour le développeme</w:t>
      </w:r>
      <w:r w:rsidR="002140BE" w:rsidRPr="00C43F07">
        <w:t>nt</w:t>
      </w:r>
      <w:r w:rsidR="002140BE">
        <w:t xml:space="preserve">.  </w:t>
      </w:r>
      <w:r w:rsidR="002140BE" w:rsidRPr="00C43F07">
        <w:t>La</w:t>
      </w:r>
      <w:r w:rsidRPr="00C43F07">
        <w:t xml:space="preserve"> méthodologie d</w:t>
      </w:r>
      <w:r w:rsidR="006408BB">
        <w:t>’</w:t>
      </w:r>
      <w:r w:rsidRPr="00C43F07">
        <w:t>évaluation comprendra les éléments suivants</w:t>
      </w:r>
      <w:r w:rsidR="006408BB">
        <w:t> :</w:t>
      </w:r>
    </w:p>
    <w:p w:rsidR="006408BB" w:rsidRDefault="001010BC" w:rsidP="0067547F">
      <w:pPr>
        <w:pStyle w:val="ONUMFS"/>
        <w:numPr>
          <w:ilvl w:val="0"/>
          <w:numId w:val="21"/>
        </w:numPr>
        <w:ind w:left="567"/>
      </w:pPr>
      <w:r w:rsidRPr="00C43F07">
        <w:t xml:space="preserve">une analyse préliminaire de la documentation afférente au projet, </w:t>
      </w:r>
      <w:r w:rsidR="006408BB">
        <w:t>à savoir</w:t>
      </w:r>
      <w:r w:rsidRPr="00C43F07">
        <w:t xml:space="preserve"> le cadre du projet (descriptif et étude de projet initial), les rapports sur son état d</w:t>
      </w:r>
      <w:r w:rsidR="006408BB">
        <w:t>’</w:t>
      </w:r>
      <w:r w:rsidRPr="00C43F07">
        <w:t>avancement, les informations de suivi, les rapports de mission et autres documents pertinents;</w:t>
      </w:r>
    </w:p>
    <w:p w:rsidR="006408BB" w:rsidRDefault="001010BC" w:rsidP="00AD0F4E">
      <w:pPr>
        <w:pStyle w:val="ONUMFS"/>
        <w:ind w:left="567"/>
      </w:pPr>
      <w:r w:rsidRPr="00C43F07">
        <w:t>des entretiens au Secrétariat de l</w:t>
      </w:r>
      <w:r w:rsidR="006408BB">
        <w:t>’</w:t>
      </w:r>
      <w:r w:rsidRPr="00C43F07">
        <w:t>OMPI (équipe chargée du projet, autres entités qui contribuent au projet sur le fond, etc.);  et</w:t>
      </w:r>
    </w:p>
    <w:p w:rsidR="001010BC" w:rsidRPr="00C43F07" w:rsidRDefault="001010BC" w:rsidP="00AD0F4E">
      <w:pPr>
        <w:pStyle w:val="ONUMFS"/>
        <w:ind w:left="567"/>
      </w:pPr>
      <w:r w:rsidRPr="00C43F07">
        <w:t xml:space="preserve">des entretiens avec les parties prenantes, </w:t>
      </w:r>
      <w:r w:rsidR="006408BB">
        <w:t>à savoir</w:t>
      </w:r>
      <w:r w:rsidRPr="00C43F07">
        <w:t xml:space="preserve"> les utilisateurs ou les utilisateurs potentiels de la base de données.</w:t>
      </w:r>
    </w:p>
    <w:p w:rsidR="00AD0F4E" w:rsidRPr="00C43F07" w:rsidRDefault="00AD0F4E" w:rsidP="00AD0F4E">
      <w:pPr>
        <w:pStyle w:val="ONUMFS"/>
        <w:numPr>
          <w:ilvl w:val="0"/>
          <w:numId w:val="0"/>
        </w:numPr>
      </w:pPr>
    </w:p>
    <w:p w:rsidR="00AD0F4E" w:rsidRPr="00C43F07" w:rsidRDefault="00AD0F4E" w:rsidP="00AD0F4E">
      <w:pPr>
        <w:pStyle w:val="ONUMFS"/>
        <w:numPr>
          <w:ilvl w:val="0"/>
          <w:numId w:val="0"/>
        </w:numPr>
      </w:pPr>
    </w:p>
    <w:p w:rsidR="00AD0F4E" w:rsidRPr="00C43F07" w:rsidRDefault="00AD0F4E" w:rsidP="00AD0F4E">
      <w:pPr>
        <w:pStyle w:val="ONUMFS"/>
        <w:numPr>
          <w:ilvl w:val="0"/>
          <w:numId w:val="0"/>
        </w:numPr>
        <w:jc w:val="right"/>
      </w:pPr>
      <w:r w:rsidRPr="00C43F07">
        <w:t>/...</w:t>
      </w:r>
    </w:p>
    <w:p w:rsidR="006408BB" w:rsidRDefault="001010BC" w:rsidP="00AD0F4E">
      <w:pPr>
        <w:pStyle w:val="Heading5"/>
      </w:pPr>
      <w:r w:rsidRPr="00C43F07">
        <w:lastRenderedPageBreak/>
        <w:t>Tâches à exécuter/services à fournir</w:t>
      </w:r>
    </w:p>
    <w:p w:rsidR="001010BC" w:rsidRPr="00C43F07" w:rsidRDefault="001010BC" w:rsidP="001010BC">
      <w:pPr>
        <w:rPr>
          <w:szCs w:val="22"/>
        </w:rPr>
      </w:pPr>
    </w:p>
    <w:p w:rsidR="006408BB" w:rsidRDefault="001010BC" w:rsidP="00AD0F4E">
      <w:pPr>
        <w:pStyle w:val="ONUMFS"/>
        <w:numPr>
          <w:ilvl w:val="0"/>
          <w:numId w:val="0"/>
        </w:numPr>
      </w:pPr>
      <w:r w:rsidRPr="00C43F07">
        <w:t>L</w:t>
      </w:r>
      <w:r w:rsidR="006408BB">
        <w:t>’</w:t>
      </w:r>
      <w:r w:rsidRPr="00C43F07">
        <w:t>évaluateur sera chargé de remettre le rapport d</w:t>
      </w:r>
      <w:r w:rsidR="006408BB">
        <w:t>’</w:t>
      </w:r>
      <w:r w:rsidRPr="00C43F07">
        <w:t>évaluation décrit ci</w:t>
      </w:r>
      <w:r w:rsidR="006408BB">
        <w:t>-</w:t>
      </w:r>
      <w:r w:rsidRPr="00C43F07">
        <w:t>dessus conformément aux autres informations figurant dans le présent document.</w:t>
      </w:r>
    </w:p>
    <w:p w:rsidR="001010BC" w:rsidRPr="00C43F07" w:rsidRDefault="001010BC" w:rsidP="00AD0F4E">
      <w:pPr>
        <w:pStyle w:val="ONUMFS"/>
        <w:numPr>
          <w:ilvl w:val="0"/>
          <w:numId w:val="0"/>
        </w:numPr>
      </w:pPr>
      <w:r w:rsidRPr="00C43F07">
        <w:t>L</w:t>
      </w:r>
      <w:r w:rsidR="006408BB">
        <w:t>’</w:t>
      </w:r>
      <w:r w:rsidRPr="00C43F07">
        <w:t>évaluateur remettra</w:t>
      </w:r>
      <w:r w:rsidR="006408BB">
        <w:t> :</w:t>
      </w:r>
    </w:p>
    <w:p w:rsidR="006408BB" w:rsidRDefault="001010BC" w:rsidP="0067547F">
      <w:pPr>
        <w:pStyle w:val="ONUMFS"/>
        <w:numPr>
          <w:ilvl w:val="0"/>
          <w:numId w:val="22"/>
        </w:numPr>
        <w:ind w:left="567"/>
      </w:pPr>
      <w:r w:rsidRPr="00C43F07">
        <w:t>un rapport initial comprenant une description de la méthodologie d</w:t>
      </w:r>
      <w:r w:rsidR="006408BB">
        <w:t>’</w:t>
      </w:r>
      <w:r w:rsidRPr="00C43F07">
        <w:t>évaluation et de l</w:t>
      </w:r>
      <w:r w:rsidR="006408BB">
        <w:t>’</w:t>
      </w:r>
      <w:r w:rsidRPr="00C43F07">
        <w:t>approche méthodologique;  les outils de collecte de données (</w:t>
      </w:r>
      <w:r w:rsidR="006408BB">
        <w:t>y compris</w:t>
      </w:r>
      <w:r w:rsidRPr="00C43F07">
        <w:t xml:space="preserve"> les enquêtes éventuelles des bénéficiaires et des parties prenantes);  les méthodes d</w:t>
      </w:r>
      <w:r w:rsidR="006408BB">
        <w:t>’</w:t>
      </w:r>
      <w:r w:rsidRPr="00C43F07">
        <w:t>analyse des données;  les principales parties prenantes à interroger;  des questions d</w:t>
      </w:r>
      <w:r w:rsidR="006408BB">
        <w:t>’</w:t>
      </w:r>
      <w:r w:rsidRPr="00C43F07">
        <w:t>évaluation supplémentaires;  les critères d</w:t>
      </w:r>
      <w:r w:rsidR="006408BB">
        <w:t>’</w:t>
      </w:r>
      <w:r w:rsidRPr="00C43F07">
        <w:t>évaluation de l</w:t>
      </w:r>
      <w:r w:rsidR="006408BB">
        <w:t>’</w:t>
      </w:r>
      <w:r w:rsidRPr="00C43F07">
        <w:t>exécution du projet;  et le plan de travail d</w:t>
      </w:r>
      <w:r w:rsidR="006408BB">
        <w:t>’</w:t>
      </w:r>
      <w:r w:rsidRPr="00C43F07">
        <w:t>évaluation;</w:t>
      </w:r>
    </w:p>
    <w:p w:rsidR="006408BB" w:rsidRDefault="001010BC" w:rsidP="00AD0F4E">
      <w:pPr>
        <w:pStyle w:val="ONUMFS"/>
        <w:ind w:left="567"/>
      </w:pPr>
      <w:r w:rsidRPr="00C43F07">
        <w:t>un projet de rapport d</w:t>
      </w:r>
      <w:r w:rsidR="006408BB">
        <w:t>’</w:t>
      </w:r>
      <w:r w:rsidRPr="00C43F07">
        <w:t>évaluation comportant des recommandations concrètes découlant des résultats et des conclusions;</w:t>
      </w:r>
    </w:p>
    <w:p w:rsidR="00AD0F4E" w:rsidRDefault="001010BC" w:rsidP="00AD0F4E">
      <w:pPr>
        <w:pStyle w:val="ONUMFS"/>
        <w:ind w:left="567"/>
      </w:pPr>
      <w:r w:rsidRPr="00C43F07">
        <w:t>un rapport d</w:t>
      </w:r>
      <w:r w:rsidR="006408BB">
        <w:t>’</w:t>
      </w:r>
      <w:r w:rsidRPr="00C43F07">
        <w:t>évaluation final;  et</w:t>
      </w:r>
    </w:p>
    <w:p w:rsidR="00AD0F4E" w:rsidRDefault="001010BC" w:rsidP="00AD0F4E">
      <w:pPr>
        <w:pStyle w:val="ONUMFS"/>
        <w:ind w:left="567"/>
      </w:pPr>
      <w:r w:rsidRPr="00C43F07">
        <w:t>un résumé complet du rapport d</w:t>
      </w:r>
      <w:r w:rsidR="006408BB">
        <w:t>’</w:t>
      </w:r>
      <w:r w:rsidRPr="00C43F07">
        <w:t>évaluation final, structuré de la façon suivante</w:t>
      </w:r>
      <w:r w:rsidR="006408BB">
        <w:t> :</w:t>
      </w:r>
    </w:p>
    <w:p w:rsidR="006408BB" w:rsidRDefault="001010BC" w:rsidP="0067547F">
      <w:pPr>
        <w:pStyle w:val="ONUMFS"/>
        <w:numPr>
          <w:ilvl w:val="2"/>
          <w:numId w:val="5"/>
        </w:numPr>
      </w:pPr>
      <w:r w:rsidRPr="00C43F07">
        <w:t>description de la méthodologie d</w:t>
      </w:r>
      <w:r w:rsidR="006408BB">
        <w:t>’</w:t>
      </w:r>
      <w:r w:rsidRPr="00C43F07">
        <w:t>évaluation utilisée;</w:t>
      </w:r>
    </w:p>
    <w:p w:rsidR="00AD0F4E" w:rsidRDefault="001010BC" w:rsidP="0067547F">
      <w:pPr>
        <w:pStyle w:val="ONUMFS"/>
        <w:numPr>
          <w:ilvl w:val="2"/>
          <w:numId w:val="5"/>
        </w:numPr>
      </w:pPr>
      <w:r w:rsidRPr="00C43F07">
        <w:t>résumé des principales observations factuelles axé sur les principales questions évaluées;</w:t>
      </w:r>
    </w:p>
    <w:p w:rsidR="00AD0F4E" w:rsidRDefault="001010BC" w:rsidP="0067547F">
      <w:pPr>
        <w:pStyle w:val="ONUMFS"/>
        <w:numPr>
          <w:ilvl w:val="2"/>
          <w:numId w:val="5"/>
        </w:numPr>
      </w:pPr>
      <w:r w:rsidRPr="00C43F07">
        <w:t>conclusions tirées de ces observations;  et</w:t>
      </w:r>
    </w:p>
    <w:p w:rsidR="006408BB" w:rsidRDefault="001010BC" w:rsidP="0067547F">
      <w:pPr>
        <w:pStyle w:val="ONUMFS"/>
        <w:numPr>
          <w:ilvl w:val="2"/>
          <w:numId w:val="5"/>
        </w:numPr>
      </w:pPr>
      <w:r w:rsidRPr="00AD0F4E">
        <w:t>recommandations découlant des conclusions et des enseignements tirés.</w:t>
      </w:r>
    </w:p>
    <w:p w:rsidR="006408BB" w:rsidRDefault="001010BC" w:rsidP="00AD0F4E">
      <w:pPr>
        <w:pStyle w:val="ONUMFS"/>
        <w:numPr>
          <w:ilvl w:val="0"/>
          <w:numId w:val="0"/>
        </w:numPr>
      </w:pPr>
      <w:r w:rsidRPr="00C43F07">
        <w:t xml:space="preserve">Cette évaluation devrait avoir lieu entre le </w:t>
      </w:r>
      <w:r w:rsidR="006408BB" w:rsidRPr="00C43F07">
        <w:t>2</w:t>
      </w:r>
      <w:r w:rsidR="006408BB">
        <w:t> </w:t>
      </w:r>
      <w:r w:rsidR="006408BB" w:rsidRPr="00C43F07">
        <w:t>janvier</w:t>
      </w:r>
      <w:r w:rsidR="006408BB">
        <w:t> </w:t>
      </w:r>
      <w:r w:rsidR="006408BB" w:rsidRPr="00C43F07">
        <w:t>20</w:t>
      </w:r>
      <w:r w:rsidRPr="00C43F07">
        <w:t>19 et le 1</w:t>
      </w:r>
      <w:r w:rsidR="006408BB" w:rsidRPr="00C43F07">
        <w:t>5</w:t>
      </w:r>
      <w:r w:rsidR="006408BB">
        <w:t> </w:t>
      </w:r>
      <w:r w:rsidR="006408BB" w:rsidRPr="00C43F07">
        <w:t>mars</w:t>
      </w:r>
      <w:r w:rsidR="006408BB">
        <w:t> </w:t>
      </w:r>
      <w:r w:rsidR="006408BB" w:rsidRPr="00C43F07">
        <w:t>20</w:t>
      </w:r>
      <w:r w:rsidRPr="00C43F07">
        <w:t>19.  Les rapports seront rédigés en anglais.</w:t>
      </w:r>
    </w:p>
    <w:p w:rsidR="006408BB" w:rsidRDefault="001010BC" w:rsidP="00AD0F4E">
      <w:pPr>
        <w:pStyle w:val="Heading5"/>
      </w:pPr>
      <w:r w:rsidRPr="00C43F07">
        <w:t>Établissement de rapports</w:t>
      </w:r>
    </w:p>
    <w:p w:rsidR="001010BC" w:rsidRPr="00C43F07" w:rsidRDefault="001010BC" w:rsidP="00AD0F4E"/>
    <w:p w:rsidR="001010BC" w:rsidRPr="00C43F07" w:rsidRDefault="001010BC" w:rsidP="00AD0F4E">
      <w:pPr>
        <w:pStyle w:val="ONUMFS"/>
        <w:numPr>
          <w:ilvl w:val="0"/>
          <w:numId w:val="0"/>
        </w:numPr>
      </w:pPr>
      <w:r w:rsidRPr="00C43F07">
        <w:t>L</w:t>
      </w:r>
      <w:r w:rsidR="006408BB">
        <w:t>’</w:t>
      </w:r>
      <w:r w:rsidRPr="00C43F07">
        <w:t>évaluateur sera placé sous la supervision du directeur de la Division de la coordination du Plan d</w:t>
      </w:r>
      <w:r w:rsidR="006408BB">
        <w:t>’</w:t>
      </w:r>
      <w:r w:rsidRPr="00C43F07">
        <w:t>action pour le développeme</w:t>
      </w:r>
      <w:r w:rsidR="002140BE" w:rsidRPr="00C43F07">
        <w:t>nt</w:t>
      </w:r>
      <w:r w:rsidR="002140BE">
        <w:t xml:space="preserve">.  </w:t>
      </w:r>
      <w:r w:rsidR="002140BE" w:rsidRPr="00C43F07">
        <w:t>En</w:t>
      </w:r>
      <w:r w:rsidRPr="00C43F07">
        <w:t xml:space="preserve"> outre, l</w:t>
      </w:r>
      <w:r w:rsidR="006408BB">
        <w:t>’</w:t>
      </w:r>
      <w:r w:rsidRPr="00C43F07">
        <w:t>évaluateur</w:t>
      </w:r>
      <w:r w:rsidR="005839C0">
        <w:t> </w:t>
      </w:r>
      <w:r w:rsidRPr="00C43F07">
        <w:t>:</w:t>
      </w:r>
    </w:p>
    <w:p w:rsidR="00AD0F4E" w:rsidRPr="00AD0F4E" w:rsidRDefault="001010BC" w:rsidP="0067547F">
      <w:pPr>
        <w:pStyle w:val="ONUMFS"/>
        <w:numPr>
          <w:ilvl w:val="1"/>
          <w:numId w:val="23"/>
        </w:numPr>
      </w:pPr>
      <w:r w:rsidRPr="00AD0F4E">
        <w:t>travaillera en étroite collaboration avec la Division de la coordination du Plan d</w:t>
      </w:r>
      <w:r w:rsidR="006408BB">
        <w:t>’</w:t>
      </w:r>
      <w:r w:rsidRPr="00AD0F4E">
        <w:t>action pour le développement et assurera la coordination avec les chefs de programme compétents de l</w:t>
      </w:r>
      <w:r w:rsidR="006408BB">
        <w:t>’</w:t>
      </w:r>
      <w:r w:rsidRPr="00AD0F4E">
        <w:t xml:space="preserve">OMPI, le cas échéant; </w:t>
      </w:r>
      <w:r w:rsidR="005839C0">
        <w:t xml:space="preserve"> </w:t>
      </w:r>
      <w:r w:rsidRPr="00AD0F4E">
        <w:t>et</w:t>
      </w:r>
    </w:p>
    <w:p w:rsidR="00AD0F4E" w:rsidRPr="00AD0F4E" w:rsidRDefault="001010BC" w:rsidP="0067547F">
      <w:pPr>
        <w:pStyle w:val="ONUMFS"/>
        <w:numPr>
          <w:ilvl w:val="1"/>
          <w:numId w:val="5"/>
        </w:numPr>
      </w:pPr>
      <w:r w:rsidRPr="00AD0F4E">
        <w:t>veillera à la qualité des données (validité, cohérence et exactitude) tout au long des phases d</w:t>
      </w:r>
      <w:r w:rsidR="006408BB">
        <w:t>’</w:t>
      </w:r>
      <w:r w:rsidRPr="00AD0F4E">
        <w:t>établissement de rapports analytiques (rapport initial et rapport d</w:t>
      </w:r>
      <w:r w:rsidR="006408BB">
        <w:t>’</w:t>
      </w:r>
      <w:r w:rsidRPr="00AD0F4E">
        <w:t>évaluation final).</w:t>
      </w:r>
    </w:p>
    <w:p w:rsidR="00AD0F4E" w:rsidRPr="00C43F07" w:rsidRDefault="00AD0F4E" w:rsidP="00AD0F4E">
      <w:pPr>
        <w:pStyle w:val="ONUMFS"/>
        <w:numPr>
          <w:ilvl w:val="0"/>
          <w:numId w:val="0"/>
        </w:numPr>
      </w:pPr>
    </w:p>
    <w:p w:rsidR="00AD0F4E" w:rsidRDefault="00AD0F4E" w:rsidP="00AD0F4E">
      <w:pPr>
        <w:pStyle w:val="ONUMFS"/>
        <w:numPr>
          <w:ilvl w:val="0"/>
          <w:numId w:val="0"/>
        </w:numPr>
      </w:pPr>
    </w:p>
    <w:p w:rsidR="00AD0F4E" w:rsidRPr="00C43F07" w:rsidRDefault="00AD0F4E" w:rsidP="00AD0F4E">
      <w:pPr>
        <w:pStyle w:val="ONUMFS"/>
        <w:numPr>
          <w:ilvl w:val="0"/>
          <w:numId w:val="0"/>
        </w:numPr>
      </w:pPr>
    </w:p>
    <w:p w:rsidR="00AD0F4E" w:rsidRPr="00C43F07" w:rsidRDefault="00AD0F4E" w:rsidP="00AD0F4E">
      <w:pPr>
        <w:pStyle w:val="ONUMFS"/>
        <w:numPr>
          <w:ilvl w:val="0"/>
          <w:numId w:val="0"/>
        </w:numPr>
        <w:jc w:val="right"/>
      </w:pPr>
      <w:r w:rsidRPr="00C43F07">
        <w:t>/...</w:t>
      </w:r>
    </w:p>
    <w:p w:rsidR="006408BB" w:rsidRDefault="001010BC" w:rsidP="00AD0F4E">
      <w:pPr>
        <w:pStyle w:val="Heading5"/>
      </w:pPr>
      <w:r w:rsidRPr="00C43F07">
        <w:lastRenderedPageBreak/>
        <w:t>Profil du consultant</w:t>
      </w:r>
    </w:p>
    <w:p w:rsidR="001010BC" w:rsidRPr="00C43F07" w:rsidRDefault="001010BC" w:rsidP="00AD0F4E"/>
    <w:p w:rsidR="001010BC" w:rsidRPr="00C43F07" w:rsidRDefault="001010BC" w:rsidP="00AD0F4E">
      <w:pPr>
        <w:pStyle w:val="ONUMFS"/>
        <w:numPr>
          <w:ilvl w:val="0"/>
          <w:numId w:val="0"/>
        </w:numPr>
        <w:rPr>
          <w:lang w:eastAsia="en-US"/>
        </w:rPr>
      </w:pPr>
      <w:r w:rsidRPr="00C43F07">
        <w:rPr>
          <w:lang w:eastAsia="en-US"/>
        </w:rPr>
        <w:t>M.</w:t>
      </w:r>
      <w:r w:rsidR="005839C0">
        <w:t> </w:t>
      </w:r>
      <w:r w:rsidRPr="00C43F07">
        <w:rPr>
          <w:lang w:eastAsia="en-US"/>
        </w:rPr>
        <w:t>Daniel</w:t>
      </w:r>
      <w:r w:rsidR="0088350E">
        <w:rPr>
          <w:lang w:eastAsia="en-US"/>
        </w:rPr>
        <w:t> </w:t>
      </w:r>
      <w:r w:rsidRPr="00C43F07">
        <w:rPr>
          <w:lang w:eastAsia="en-US"/>
        </w:rPr>
        <w:t>Keller a de vastes compétences en matière d</w:t>
      </w:r>
      <w:r w:rsidR="006408BB">
        <w:rPr>
          <w:lang w:eastAsia="en-US"/>
        </w:rPr>
        <w:t>’</w:t>
      </w:r>
      <w:r w:rsidRPr="00C43F07">
        <w:rPr>
          <w:lang w:eastAsia="en-US"/>
        </w:rPr>
        <w:t>élaboration, de gestion et d</w:t>
      </w:r>
      <w:r w:rsidR="006408BB">
        <w:rPr>
          <w:lang w:eastAsia="en-US"/>
        </w:rPr>
        <w:t>’</w:t>
      </w:r>
      <w:r w:rsidRPr="00C43F07">
        <w:rPr>
          <w:lang w:eastAsia="en-US"/>
        </w:rPr>
        <w:t>évaluation de projets, ainsi que dans le domaine des évaluations des mécanismes institutionnels, tant dans le secteur public que dans le secteur privé.  M.</w:t>
      </w:r>
      <w:r w:rsidR="005839C0">
        <w:rPr>
          <w:lang w:eastAsia="en-US"/>
        </w:rPr>
        <w:t> </w:t>
      </w:r>
      <w:r w:rsidRPr="00C43F07">
        <w:rPr>
          <w:lang w:eastAsia="en-US"/>
        </w:rPr>
        <w:t>Keller a également travaillé auparavant pour l</w:t>
      </w:r>
      <w:r w:rsidR="006408BB">
        <w:rPr>
          <w:lang w:eastAsia="en-US"/>
        </w:rPr>
        <w:t>’</w:t>
      </w:r>
      <w:r w:rsidRPr="00C43F07">
        <w:rPr>
          <w:lang w:eastAsia="en-US"/>
        </w:rPr>
        <w:t>OMPI;</w:t>
      </w:r>
      <w:r w:rsidR="005839C0">
        <w:rPr>
          <w:lang w:eastAsia="en-US"/>
        </w:rPr>
        <w:t xml:space="preserve"> </w:t>
      </w:r>
      <w:r w:rsidRPr="00C43F07">
        <w:rPr>
          <w:lang w:eastAsia="en-US"/>
        </w:rPr>
        <w:t xml:space="preserve"> il a élaboré des rapports d</w:t>
      </w:r>
      <w:r w:rsidR="006408BB">
        <w:rPr>
          <w:lang w:eastAsia="en-US"/>
        </w:rPr>
        <w:t>’</w:t>
      </w:r>
      <w:r w:rsidRPr="00C43F07">
        <w:rPr>
          <w:lang w:eastAsia="en-US"/>
        </w:rPr>
        <w:t>évaluation de projets menés à bien dans le cadre du Plan d</w:t>
      </w:r>
      <w:r w:rsidR="006408BB">
        <w:rPr>
          <w:lang w:eastAsia="en-US"/>
        </w:rPr>
        <w:t>’</w:t>
      </w:r>
      <w:r w:rsidRPr="00C43F07">
        <w:rPr>
          <w:lang w:eastAsia="en-US"/>
        </w:rPr>
        <w:t>action pour le développement, notamment le projet de renforcement de la coopération Sud</w:t>
      </w:r>
      <w:r w:rsidR="006408BB">
        <w:rPr>
          <w:lang w:eastAsia="en-US"/>
        </w:rPr>
        <w:t>-</w:t>
      </w:r>
      <w:r w:rsidRPr="00C43F07">
        <w:rPr>
          <w:lang w:eastAsia="en-US"/>
        </w:rPr>
        <w:t>Sud dans le domaine de la propriété intellectuelle au service du développement parmi les pays en développement et les pays les moins avancés (document CDIP/7/6), le projet sur la propriété intellectuelle et le développement socioéconomique (document CDIP/5/7</w:t>
      </w:r>
      <w:r w:rsidR="005839C0">
        <w:rPr>
          <w:lang w:eastAsia="en-US"/>
        </w:rPr>
        <w:t> </w:t>
      </w:r>
      <w:r w:rsidRPr="00C43F07">
        <w:rPr>
          <w:lang w:eastAsia="en-US"/>
        </w:rPr>
        <w:t>Rev.), le projet relatif aux partenariats ouverts et aux modèles fondés sur la propriété intellectuelle (CDIP6/6</w:t>
      </w:r>
      <w:r w:rsidR="001A15D0">
        <w:rPr>
          <w:lang w:eastAsia="en-US"/>
        </w:rPr>
        <w:t> </w:t>
      </w:r>
      <w:r w:rsidRPr="00C43F07">
        <w:rPr>
          <w:lang w:eastAsia="en-US"/>
        </w:rPr>
        <w:t>Rev.) et le projet relatif à la propriété intellectuelle et au transfert de technologie</w:t>
      </w:r>
      <w:r w:rsidR="006408BB">
        <w:rPr>
          <w:lang w:eastAsia="en-US"/>
        </w:rPr>
        <w:t> :</w:t>
      </w:r>
      <w:r w:rsidRPr="00C43F07">
        <w:rPr>
          <w:lang w:eastAsia="en-US"/>
        </w:rPr>
        <w:t xml:space="preserve"> élaborer des solutions face aux défis communs (CDIP/16/3).</w:t>
      </w:r>
    </w:p>
    <w:p w:rsidR="001010BC" w:rsidRPr="00C43F07" w:rsidRDefault="001010BC" w:rsidP="00AD0F4E">
      <w:pPr>
        <w:pStyle w:val="Heading5"/>
      </w:pPr>
      <w:r w:rsidRPr="00C43F07">
        <w:t>Durée du contrat et paiement</w:t>
      </w:r>
    </w:p>
    <w:p w:rsidR="001010BC" w:rsidRPr="00C43F07" w:rsidRDefault="001010BC" w:rsidP="00AD0F4E"/>
    <w:p w:rsidR="00AD0F4E" w:rsidRDefault="001010BC" w:rsidP="00AD0F4E">
      <w:pPr>
        <w:pStyle w:val="ONUMFS"/>
        <w:numPr>
          <w:ilvl w:val="0"/>
          <w:numId w:val="0"/>
        </w:numPr>
      </w:pPr>
      <w:r w:rsidRPr="00C43F07">
        <w:t xml:space="preserve">Le contrat commence le </w:t>
      </w:r>
      <w:r w:rsidR="006408BB" w:rsidRPr="00C43F07">
        <w:t>2</w:t>
      </w:r>
      <w:r w:rsidR="006408BB">
        <w:t> </w:t>
      </w:r>
      <w:r w:rsidR="006408BB" w:rsidRPr="00C43F07">
        <w:t>janvier</w:t>
      </w:r>
      <w:r w:rsidR="006408BB">
        <w:t> </w:t>
      </w:r>
      <w:r w:rsidR="006408BB" w:rsidRPr="00C43F07">
        <w:t>20</w:t>
      </w:r>
      <w:r w:rsidRPr="00C43F07">
        <w:t>19 et s</w:t>
      </w:r>
      <w:r w:rsidR="006408BB">
        <w:t>’</w:t>
      </w:r>
      <w:r w:rsidRPr="00C43F07">
        <w:t>achève le 2</w:t>
      </w:r>
      <w:r w:rsidR="006408BB" w:rsidRPr="00C43F07">
        <w:t>5</w:t>
      </w:r>
      <w:r w:rsidR="006408BB">
        <w:t> </w:t>
      </w:r>
      <w:r w:rsidR="006408BB" w:rsidRPr="00C43F07">
        <w:t>mai</w:t>
      </w:r>
      <w:r w:rsidR="006408BB">
        <w:t> </w:t>
      </w:r>
      <w:r w:rsidR="006408BB" w:rsidRPr="00C43F07">
        <w:t>20</w:t>
      </w:r>
      <w:r w:rsidRPr="00C43F07">
        <w:t>19.  Au cours de cette période, le calendrier suivant devra être respecté</w:t>
      </w:r>
      <w:r w:rsidR="006408BB">
        <w:t> :</w:t>
      </w:r>
    </w:p>
    <w:p w:rsidR="006408BB" w:rsidRDefault="001010BC" w:rsidP="00AD0F4E">
      <w:pPr>
        <w:pStyle w:val="ONUMFS"/>
        <w:numPr>
          <w:ilvl w:val="0"/>
          <w:numId w:val="0"/>
        </w:numPr>
      </w:pPr>
      <w:r w:rsidRPr="00C43F07">
        <w:t>Le rapport initial doit être soumis à l</w:t>
      </w:r>
      <w:r w:rsidR="006408BB">
        <w:t>’</w:t>
      </w:r>
      <w:r w:rsidRPr="00C43F07">
        <w:t>OMPI d</w:t>
      </w:r>
      <w:r w:rsidR="006408BB">
        <w:t>’</w:t>
      </w:r>
      <w:r w:rsidRPr="00C43F07">
        <w:t>ici le 1</w:t>
      </w:r>
      <w:r w:rsidR="006408BB" w:rsidRPr="00C43F07">
        <w:t>0</w:t>
      </w:r>
      <w:r w:rsidR="006408BB">
        <w:t> </w:t>
      </w:r>
      <w:r w:rsidR="006408BB" w:rsidRPr="00C43F07">
        <w:t>février</w:t>
      </w:r>
      <w:r w:rsidR="006408BB">
        <w:t> </w:t>
      </w:r>
      <w:r w:rsidR="006408BB" w:rsidRPr="00C43F07">
        <w:t>20</w:t>
      </w:r>
      <w:r w:rsidRPr="00C43F07">
        <w:t>19.  Les commentaires de l</w:t>
      </w:r>
      <w:r w:rsidR="006408BB">
        <w:t>’</w:t>
      </w:r>
      <w:r w:rsidRPr="00C43F07">
        <w:t>OMPI vous seront communiqués d</w:t>
      </w:r>
      <w:r w:rsidR="006408BB">
        <w:t>’</w:t>
      </w:r>
      <w:r w:rsidRPr="00C43F07">
        <w:t>ici le 2</w:t>
      </w:r>
      <w:r w:rsidR="006408BB" w:rsidRPr="00C43F07">
        <w:t>0</w:t>
      </w:r>
      <w:r w:rsidR="006408BB">
        <w:t> </w:t>
      </w:r>
      <w:r w:rsidR="006408BB" w:rsidRPr="00C43F07">
        <w:t>février</w:t>
      </w:r>
      <w:r w:rsidR="006408BB">
        <w:t> </w:t>
      </w:r>
      <w:r w:rsidR="006408BB" w:rsidRPr="00C43F07">
        <w:t>20</w:t>
      </w:r>
      <w:r w:rsidRPr="00C43F07">
        <w:t>19.  Le projet de rapport d</w:t>
      </w:r>
      <w:r w:rsidR="006408BB">
        <w:t>’</w:t>
      </w:r>
      <w:r w:rsidRPr="00C43F07">
        <w:t>évaluation doit être soumis à l</w:t>
      </w:r>
      <w:r w:rsidR="006408BB">
        <w:t>’</w:t>
      </w:r>
      <w:r w:rsidRPr="00C43F07">
        <w:t>OMPI d</w:t>
      </w:r>
      <w:r w:rsidR="006408BB">
        <w:t>’</w:t>
      </w:r>
      <w:r w:rsidRPr="00C43F07">
        <w:t>ici le</w:t>
      </w:r>
      <w:r w:rsidR="006408BB">
        <w:t xml:space="preserve"> 1</w:t>
      </w:r>
      <w:r w:rsidR="006408BB" w:rsidRPr="006408BB">
        <w:rPr>
          <w:vertAlign w:val="superscript"/>
        </w:rPr>
        <w:t>er</w:t>
      </w:r>
      <w:r w:rsidR="006408BB">
        <w:t> </w:t>
      </w:r>
      <w:r w:rsidR="006408BB" w:rsidRPr="00C43F07">
        <w:t>mars</w:t>
      </w:r>
      <w:r w:rsidR="006408BB">
        <w:t> </w:t>
      </w:r>
      <w:r w:rsidR="006408BB" w:rsidRPr="00C43F07">
        <w:t>20</w:t>
      </w:r>
      <w:r w:rsidRPr="00C43F07">
        <w:t xml:space="preserve">19.  Les corrections factuelles apportées au projet seront transmises au plus tard le </w:t>
      </w:r>
      <w:r w:rsidR="006408BB" w:rsidRPr="00C43F07">
        <w:t>5</w:t>
      </w:r>
      <w:r w:rsidR="006408BB">
        <w:t> </w:t>
      </w:r>
      <w:r w:rsidR="006408BB" w:rsidRPr="00C43F07">
        <w:t>mars</w:t>
      </w:r>
      <w:r w:rsidR="006408BB">
        <w:t> </w:t>
      </w:r>
      <w:r w:rsidR="006408BB" w:rsidRPr="00C43F07">
        <w:t>20</w:t>
      </w:r>
      <w:r w:rsidRPr="00C43F07">
        <w:t>19.  Le rapport d</w:t>
      </w:r>
      <w:r w:rsidR="006408BB">
        <w:t>’</w:t>
      </w:r>
      <w:r w:rsidRPr="00C43F07">
        <w:t>évaluation final doit être soumis d</w:t>
      </w:r>
      <w:r w:rsidR="006408BB">
        <w:t>’</w:t>
      </w:r>
      <w:r w:rsidRPr="00C43F07">
        <w:t>ici le 1</w:t>
      </w:r>
      <w:r w:rsidR="006408BB" w:rsidRPr="00C43F07">
        <w:t>0</w:t>
      </w:r>
      <w:r w:rsidR="006408BB">
        <w:t> </w:t>
      </w:r>
      <w:r w:rsidR="006408BB" w:rsidRPr="00C43F07">
        <w:t>mars</w:t>
      </w:r>
      <w:r w:rsidR="006408BB">
        <w:t> </w:t>
      </w:r>
      <w:r w:rsidR="006408BB" w:rsidRPr="00C43F07">
        <w:t>20</w:t>
      </w:r>
      <w:r w:rsidRPr="00C43F07">
        <w:t>19.</w:t>
      </w:r>
    </w:p>
    <w:p w:rsidR="00AD0F4E" w:rsidRDefault="001010BC" w:rsidP="00AD0F4E">
      <w:pPr>
        <w:pStyle w:val="ONUMFS"/>
        <w:numPr>
          <w:ilvl w:val="0"/>
          <w:numId w:val="0"/>
        </w:numPr>
      </w:pPr>
      <w:r w:rsidRPr="00C43F07">
        <w:t>La version finale du rapport d</w:t>
      </w:r>
      <w:r w:rsidR="006408BB">
        <w:t>’</w:t>
      </w:r>
      <w:r w:rsidRPr="00C43F07">
        <w:t>évaluation, contenant une réponse de la direction en annexe, sera examinée à la vingt</w:t>
      </w:r>
      <w:r w:rsidR="00917E31">
        <w:noBreakHyphen/>
      </w:r>
      <w:r w:rsidRPr="00C43F07">
        <w:t>trois</w:t>
      </w:r>
      <w:r w:rsidR="006408BB">
        <w:t>ième session</w:t>
      </w:r>
      <w:r w:rsidR="006408BB" w:rsidRPr="00C43F07">
        <w:t xml:space="preserve"> du</w:t>
      </w:r>
      <w:r w:rsidR="006408BB">
        <w:t> </w:t>
      </w:r>
      <w:r w:rsidR="006408BB" w:rsidRPr="00C43F07">
        <w:t>CDI</w:t>
      </w:r>
      <w:r w:rsidRPr="00C43F07">
        <w:t>P, qui se tiendra du 20 au 2</w:t>
      </w:r>
      <w:r w:rsidR="006408BB" w:rsidRPr="00C43F07">
        <w:t>4</w:t>
      </w:r>
      <w:r w:rsidR="006408BB">
        <w:t> </w:t>
      </w:r>
      <w:r w:rsidR="006408BB" w:rsidRPr="00C43F07">
        <w:t>mai</w:t>
      </w:r>
      <w:r w:rsidR="006408BB">
        <w:t> </w:t>
      </w:r>
      <w:r w:rsidR="006408BB" w:rsidRPr="00C43F07">
        <w:t>20</w:t>
      </w:r>
      <w:r w:rsidRPr="00C43F07">
        <w:t>19.  L</w:t>
      </w:r>
      <w:r w:rsidR="006408BB">
        <w:t>’</w:t>
      </w:r>
      <w:r w:rsidRPr="00C43F07">
        <w:t>évaluateur pourrait avoir à présenter le rapport d</w:t>
      </w:r>
      <w:r w:rsidR="006408BB">
        <w:t>’</w:t>
      </w:r>
      <w:r w:rsidRPr="00C43F07">
        <w:t>évaluation à l</w:t>
      </w:r>
      <w:r w:rsidR="006408BB">
        <w:t>’</w:t>
      </w:r>
      <w:r w:rsidRPr="00C43F07">
        <w:t>occasion de cette session</w:t>
      </w:r>
      <w:r w:rsidR="006408BB" w:rsidRPr="00C43F07">
        <w:t xml:space="preserve"> du</w:t>
      </w:r>
      <w:r w:rsidR="006408BB">
        <w:t> </w:t>
      </w:r>
      <w:r w:rsidR="006408BB" w:rsidRPr="00C43F07">
        <w:t>CDI</w:t>
      </w:r>
      <w:r w:rsidRPr="00C43F07">
        <w:t>P.</w:t>
      </w:r>
    </w:p>
    <w:p w:rsidR="001010BC" w:rsidRPr="00C43F07" w:rsidRDefault="001010BC" w:rsidP="00AD0F4E">
      <w:pPr>
        <w:pStyle w:val="ONUMFS"/>
        <w:numPr>
          <w:ilvl w:val="0"/>
          <w:numId w:val="0"/>
        </w:numPr>
      </w:pPr>
      <w:r w:rsidRPr="00C43F07">
        <w:t>L</w:t>
      </w:r>
      <w:r w:rsidR="006408BB">
        <w:t>’</w:t>
      </w:r>
      <w:r w:rsidRPr="00C43F07">
        <w:t>évaluateur recevra une somme forfaitaire de 10</w:t>
      </w:r>
      <w:r w:rsidR="005839C0">
        <w:t> </w:t>
      </w:r>
      <w:r w:rsidRPr="00C43F07">
        <w:t>00</w:t>
      </w:r>
      <w:r w:rsidR="006408BB" w:rsidRPr="00C43F07">
        <w:t>0</w:t>
      </w:r>
      <w:r w:rsidR="006408BB">
        <w:t> </w:t>
      </w:r>
      <w:r w:rsidR="006408BB" w:rsidRPr="00C43F07">
        <w:t>franc</w:t>
      </w:r>
      <w:r w:rsidRPr="00C43F07">
        <w:t>s suisses, payable en deux</w:t>
      </w:r>
      <w:r w:rsidR="005839C0">
        <w:t> </w:t>
      </w:r>
      <w:r w:rsidRPr="00C43F07">
        <w:t>versements</w:t>
      </w:r>
      <w:r w:rsidR="006408BB">
        <w:t> :</w:t>
      </w:r>
    </w:p>
    <w:p w:rsidR="00AD0F4E" w:rsidRDefault="001010BC" w:rsidP="0067547F">
      <w:pPr>
        <w:pStyle w:val="ONUMFS"/>
        <w:numPr>
          <w:ilvl w:val="0"/>
          <w:numId w:val="24"/>
        </w:numPr>
        <w:ind w:left="567"/>
      </w:pPr>
      <w:r w:rsidRPr="00C43F07">
        <w:t>50% après acceptation par l</w:t>
      </w:r>
      <w:r w:rsidR="006408BB">
        <w:t>’</w:t>
      </w:r>
      <w:r w:rsidRPr="00C43F07">
        <w:t>OMPI d</w:t>
      </w:r>
      <w:r w:rsidR="006408BB">
        <w:t>’</w:t>
      </w:r>
      <w:r w:rsidRPr="00C43F07">
        <w:t>un rapport initial;</w:t>
      </w:r>
    </w:p>
    <w:p w:rsidR="00AD0F4E" w:rsidRDefault="001010BC" w:rsidP="00AD0F4E">
      <w:pPr>
        <w:pStyle w:val="ONUMFS"/>
        <w:ind w:left="567"/>
      </w:pPr>
      <w:r w:rsidRPr="00C43F07">
        <w:t>50% après acceptation par l</w:t>
      </w:r>
      <w:r w:rsidR="006408BB">
        <w:t>’</w:t>
      </w:r>
      <w:r w:rsidRPr="00C43F07">
        <w:t>OMPI d</w:t>
      </w:r>
      <w:r w:rsidR="006408BB">
        <w:t>’</w:t>
      </w:r>
      <w:r w:rsidRPr="00C43F07">
        <w:t>un rapport d</w:t>
      </w:r>
      <w:r w:rsidR="006408BB">
        <w:t>’</w:t>
      </w:r>
      <w:r w:rsidRPr="00C43F07">
        <w:t>évaluation final.</w:t>
      </w:r>
    </w:p>
    <w:p w:rsidR="001010BC" w:rsidRPr="00C43F07" w:rsidRDefault="001010BC" w:rsidP="00AD0F4E">
      <w:pPr>
        <w:pStyle w:val="ONUMFS"/>
        <w:numPr>
          <w:ilvl w:val="0"/>
          <w:numId w:val="0"/>
        </w:numPr>
      </w:pPr>
      <w:r w:rsidRPr="00C43F07">
        <w:t>La rémunération sera subordonnée à la réception des livrables conformément au présent mandat et à la réalisation des tâches qui y sont décrites.</w:t>
      </w:r>
    </w:p>
    <w:p w:rsidR="001010BC" w:rsidRPr="00C43F07" w:rsidRDefault="001010BC" w:rsidP="00AD0F4E"/>
    <w:p w:rsidR="001010BC" w:rsidRPr="00C43F07" w:rsidRDefault="001010BC" w:rsidP="00AD0F4E">
      <w:pPr>
        <w:rPr>
          <w:caps/>
        </w:rPr>
      </w:pPr>
    </w:p>
    <w:p w:rsidR="001010BC" w:rsidRPr="00C43F07" w:rsidRDefault="001010BC" w:rsidP="00AD0F4E">
      <w:pPr>
        <w:pStyle w:val="Endofdocument-Annex"/>
      </w:pPr>
      <w:r w:rsidRPr="00C43F07">
        <w:t>[L</w:t>
      </w:r>
      <w:r w:rsidR="006408BB">
        <w:t>’</w:t>
      </w:r>
      <w:r w:rsidRPr="00C43F07">
        <w:t>appendice</w:t>
      </w:r>
      <w:r w:rsidR="0088350E">
        <w:t> </w:t>
      </w:r>
      <w:r w:rsidRPr="00C43F07">
        <w:t>III suit]</w:t>
      </w:r>
    </w:p>
    <w:p w:rsidR="001010BC" w:rsidRPr="00C43F07" w:rsidRDefault="001010BC" w:rsidP="001010BC">
      <w:pPr>
        <w:jc w:val="both"/>
      </w:pPr>
    </w:p>
    <w:p w:rsidR="001010BC" w:rsidRPr="00C43F07" w:rsidRDefault="001010BC" w:rsidP="001010BC">
      <w:pPr>
        <w:ind w:left="5760"/>
        <w:jc w:val="both"/>
      </w:pPr>
    </w:p>
    <w:p w:rsidR="001010BC" w:rsidRPr="00C43F07" w:rsidRDefault="001010BC" w:rsidP="001010BC">
      <w:pPr>
        <w:ind w:left="5760"/>
        <w:jc w:val="both"/>
        <w:sectPr w:rsidR="001010BC" w:rsidRPr="00C43F07" w:rsidSect="004C71C9">
          <w:headerReference w:type="default" r:id="rId15"/>
          <w:headerReference w:type="first" r:id="rId16"/>
          <w:endnotePr>
            <w:numFmt w:val="decimal"/>
          </w:endnotePr>
          <w:pgSz w:w="11907" w:h="16840" w:code="9"/>
          <w:pgMar w:top="567" w:right="1134" w:bottom="1417" w:left="1417" w:header="510" w:footer="1020" w:gutter="0"/>
          <w:pgNumType w:start="1"/>
          <w:cols w:space="720"/>
          <w:titlePg/>
          <w:docGrid w:linePitch="299"/>
        </w:sectPr>
      </w:pPr>
    </w:p>
    <w:p w:rsidR="001010BC" w:rsidRPr="00C43F07" w:rsidRDefault="001010BC" w:rsidP="00AD0F4E">
      <w:r w:rsidRPr="00C43F07">
        <w:lastRenderedPageBreak/>
        <w:t>APPENDICE</w:t>
      </w:r>
      <w:r w:rsidR="0088350E">
        <w:t> </w:t>
      </w:r>
      <w:r w:rsidRPr="00C43F07">
        <w:t>III</w:t>
      </w:r>
      <w:r w:rsidR="005839C0">
        <w:t> </w:t>
      </w:r>
      <w:r w:rsidRPr="00C43F07">
        <w:t>: LISTE DES PERSONNES CONSULTÉES</w:t>
      </w:r>
    </w:p>
    <w:p w:rsidR="001010BC" w:rsidRPr="00C43F07" w:rsidRDefault="001010BC" w:rsidP="00AD0F4E"/>
    <w:p w:rsidR="001010BC" w:rsidRPr="00AD0F4E" w:rsidRDefault="001010BC" w:rsidP="0067547F">
      <w:pPr>
        <w:pStyle w:val="ONUMFS"/>
        <w:numPr>
          <w:ilvl w:val="0"/>
          <w:numId w:val="25"/>
        </w:numPr>
        <w:spacing w:after="120"/>
      </w:pPr>
      <w:r w:rsidRPr="00AD0F4E">
        <w:t>M.</w:t>
      </w:r>
      <w:r w:rsidR="005839C0">
        <w:t> </w:t>
      </w:r>
      <w:r w:rsidRPr="00AD0F4E">
        <w:t>Rob Aft, expert, consultant chargé de la conformité, Los Angeles</w:t>
      </w:r>
    </w:p>
    <w:p w:rsidR="001010BC" w:rsidRPr="00AD0F4E" w:rsidRDefault="001010BC" w:rsidP="00AD0F4E">
      <w:pPr>
        <w:pStyle w:val="ONUMFS"/>
        <w:spacing w:after="120"/>
        <w:ind w:left="567" w:hanging="567"/>
      </w:pPr>
      <w:r w:rsidRPr="00AD0F4E">
        <w:t>Mme</w:t>
      </w:r>
      <w:r w:rsidR="005839C0">
        <w:t> </w:t>
      </w:r>
      <w:r w:rsidRPr="00AD0F4E">
        <w:t>Maya</w:t>
      </w:r>
      <w:r w:rsidR="0088350E">
        <w:t> </w:t>
      </w:r>
      <w:r w:rsidRPr="00AD0F4E">
        <w:t>Bachner, directrice, Division de l</w:t>
      </w:r>
      <w:r w:rsidR="006408BB">
        <w:t>’</w:t>
      </w:r>
      <w:r w:rsidRPr="00AD0F4E">
        <w:t>exécution des programmes et du budget</w:t>
      </w:r>
    </w:p>
    <w:p w:rsidR="001010BC" w:rsidRPr="00AD0F4E" w:rsidRDefault="001010BC" w:rsidP="00AD0F4E">
      <w:pPr>
        <w:pStyle w:val="ONUMFS"/>
        <w:spacing w:after="120"/>
        <w:ind w:left="567" w:hanging="567"/>
      </w:pPr>
      <w:r w:rsidRPr="00AD0F4E">
        <w:t>M.</w:t>
      </w:r>
      <w:r w:rsidR="005839C0">
        <w:t> </w:t>
      </w:r>
      <w:r w:rsidRPr="00AD0F4E">
        <w:t>Irfan Baloch, directeur, Division de la Coordination du Plan d</w:t>
      </w:r>
      <w:r w:rsidR="006408BB">
        <w:t>’</w:t>
      </w:r>
      <w:r w:rsidRPr="00AD0F4E">
        <w:t>action pour le développement, Secteur du développement</w:t>
      </w:r>
    </w:p>
    <w:p w:rsidR="0088350E" w:rsidRDefault="001010BC" w:rsidP="00AD0F4E">
      <w:pPr>
        <w:pStyle w:val="ONUMFS"/>
        <w:spacing w:after="120"/>
        <w:ind w:left="567" w:hanging="567"/>
      </w:pPr>
      <w:r w:rsidRPr="00AD0F4E">
        <w:t>M.</w:t>
      </w:r>
      <w:r w:rsidR="005839C0">
        <w:t> </w:t>
      </w:r>
      <w:r w:rsidRPr="00AD0F4E">
        <w:t>Walib Bara, directeur général, Bureau burkinabé du droit d</w:t>
      </w:r>
      <w:r w:rsidR="006408BB">
        <w:t>’</w:t>
      </w:r>
      <w:r w:rsidRPr="00AD0F4E">
        <w:t>auteur (BBDA)</w:t>
      </w:r>
      <w:r w:rsidR="006C60DE">
        <w:t xml:space="preserve"> (</w:t>
      </w:r>
      <w:r w:rsidRPr="00AD0F4E">
        <w:t>Burkina Faso</w:t>
      </w:r>
      <w:r w:rsidR="0088350E">
        <w:t>)</w:t>
      </w:r>
    </w:p>
    <w:p w:rsidR="001010BC" w:rsidRPr="00AD0F4E" w:rsidRDefault="001010BC" w:rsidP="00AD0F4E">
      <w:pPr>
        <w:pStyle w:val="ONUMFS"/>
        <w:spacing w:after="120"/>
        <w:ind w:left="567" w:hanging="567"/>
      </w:pPr>
      <w:r w:rsidRPr="00AD0F4E">
        <w:t>Mme</w:t>
      </w:r>
      <w:r w:rsidR="005839C0">
        <w:t> </w:t>
      </w:r>
      <w:r w:rsidRPr="00AD0F4E">
        <w:t>Vera Caastanheira, conseillère juridique, Independent Film and Television Alliance (IFTA), Genève</w:t>
      </w:r>
    </w:p>
    <w:p w:rsidR="006408BB" w:rsidRDefault="001010BC" w:rsidP="00AD0F4E">
      <w:pPr>
        <w:pStyle w:val="ONUMFS"/>
        <w:spacing w:after="120"/>
        <w:ind w:left="567" w:hanging="567"/>
      </w:pPr>
      <w:r w:rsidRPr="00AD0F4E">
        <w:t>Mme</w:t>
      </w:r>
      <w:r w:rsidR="005839C0">
        <w:t> </w:t>
      </w:r>
      <w:r w:rsidRPr="00AD0F4E">
        <w:t>Carole Croella, conseillère principale, Division du droit d</w:t>
      </w:r>
      <w:r w:rsidR="006408BB">
        <w:t>’</w:t>
      </w:r>
      <w:r w:rsidRPr="00AD0F4E">
        <w:t>auteur</w:t>
      </w:r>
    </w:p>
    <w:p w:rsidR="006C60DE" w:rsidRDefault="001010BC" w:rsidP="00AD0F4E">
      <w:pPr>
        <w:pStyle w:val="ONUMFS"/>
        <w:spacing w:after="120"/>
        <w:ind w:left="567" w:hanging="567"/>
      </w:pPr>
      <w:r w:rsidRPr="00AD0F4E">
        <w:t>Mme</w:t>
      </w:r>
      <w:r w:rsidR="005839C0">
        <w:t> </w:t>
      </w:r>
      <w:r w:rsidRPr="00AD0F4E">
        <w:t>Deirdre Kevin, consultante</w:t>
      </w:r>
      <w:r w:rsidR="006C60DE">
        <w:t xml:space="preserve"> (</w:t>
      </w:r>
      <w:r w:rsidRPr="00AD0F4E">
        <w:t>Slovénie</w:t>
      </w:r>
      <w:r w:rsidR="006C60DE">
        <w:t>)</w:t>
      </w:r>
    </w:p>
    <w:p w:rsidR="001010BC" w:rsidRPr="00AD0F4E" w:rsidRDefault="001010BC" w:rsidP="00AD0F4E">
      <w:pPr>
        <w:pStyle w:val="ONUMFS"/>
        <w:spacing w:after="120"/>
        <w:ind w:left="567" w:hanging="567"/>
      </w:pPr>
      <w:r w:rsidRPr="00AD0F4E">
        <w:t>Mme</w:t>
      </w:r>
      <w:r w:rsidR="005839C0">
        <w:t> </w:t>
      </w:r>
      <w:r w:rsidRPr="00AD0F4E">
        <w:t>Altaye Tedla Desta, chef, Programme d</w:t>
      </w:r>
      <w:r w:rsidR="006408BB">
        <w:t>’</w:t>
      </w:r>
      <w:r w:rsidRPr="00AD0F4E">
        <w:t>enseignement à distance, Académie de l</w:t>
      </w:r>
      <w:r w:rsidR="006408BB">
        <w:t>’</w:t>
      </w:r>
      <w:r w:rsidRPr="00AD0F4E">
        <w:t>OMPI</w:t>
      </w:r>
    </w:p>
    <w:p w:rsidR="006C60DE" w:rsidRDefault="001010BC" w:rsidP="00AD0F4E">
      <w:pPr>
        <w:pStyle w:val="ONUMFS"/>
        <w:spacing w:after="120"/>
        <w:ind w:left="567" w:hanging="567"/>
      </w:pPr>
      <w:r w:rsidRPr="00AD0F4E">
        <w:t>M.</w:t>
      </w:r>
      <w:r w:rsidR="005839C0">
        <w:t> </w:t>
      </w:r>
      <w:r w:rsidRPr="00AD0F4E">
        <w:t>Aziz Dieng, conseiller du ministre de la culture</w:t>
      </w:r>
      <w:r w:rsidR="006C60DE">
        <w:t xml:space="preserve"> (</w:t>
      </w:r>
      <w:r w:rsidRPr="00AD0F4E">
        <w:t>Sénégal</w:t>
      </w:r>
      <w:r w:rsidR="006C60DE">
        <w:t>)</w:t>
      </w:r>
    </w:p>
    <w:p w:rsidR="001010BC" w:rsidRPr="00AD0F4E" w:rsidRDefault="001010BC" w:rsidP="00AD0F4E">
      <w:pPr>
        <w:pStyle w:val="ONUMFS"/>
        <w:spacing w:after="120"/>
        <w:ind w:left="567" w:hanging="567"/>
      </w:pPr>
      <w:r w:rsidRPr="00AD0F4E">
        <w:t>M.</w:t>
      </w:r>
      <w:r w:rsidR="005839C0">
        <w:t> </w:t>
      </w:r>
      <w:r w:rsidRPr="00AD0F4E">
        <w:t>Georges</w:t>
      </w:r>
      <w:r w:rsidR="0088350E">
        <w:t> </w:t>
      </w:r>
      <w:r w:rsidRPr="00AD0F4E">
        <w:t>Ghandour, administrateur principal de programme, Division de la coordination du Plan d</w:t>
      </w:r>
      <w:r w:rsidR="006408BB">
        <w:t>’</w:t>
      </w:r>
      <w:r w:rsidRPr="00AD0F4E">
        <w:t>action pour le développement, Secteur du développement</w:t>
      </w:r>
    </w:p>
    <w:p w:rsidR="006C60DE" w:rsidRDefault="001010BC" w:rsidP="00AD0F4E">
      <w:pPr>
        <w:pStyle w:val="ONUMFS"/>
        <w:spacing w:after="120"/>
        <w:ind w:left="567" w:hanging="567"/>
      </w:pPr>
      <w:r w:rsidRPr="00AD0F4E">
        <w:t>Mme</w:t>
      </w:r>
      <w:r w:rsidR="005839C0">
        <w:t> </w:t>
      </w:r>
      <w:r w:rsidRPr="00AD0F4E">
        <w:t>Myriam</w:t>
      </w:r>
      <w:r w:rsidR="0088350E">
        <w:t> </w:t>
      </w:r>
      <w:r w:rsidRPr="00AD0F4E">
        <w:t>Habil, attachée audiovisuelle Burkina Faso et Côte d</w:t>
      </w:r>
      <w:r w:rsidR="006408BB">
        <w:t>’</w:t>
      </w:r>
      <w:r w:rsidRPr="00AD0F4E">
        <w:t>Ivoire, Ambassade de France</w:t>
      </w:r>
      <w:r w:rsidR="006C60DE">
        <w:t xml:space="preserve"> (</w:t>
      </w:r>
      <w:r w:rsidRPr="00AD0F4E">
        <w:t>Côte d</w:t>
      </w:r>
      <w:r w:rsidR="006408BB">
        <w:t>’</w:t>
      </w:r>
      <w:r w:rsidRPr="00AD0F4E">
        <w:t>Ivoire</w:t>
      </w:r>
      <w:r w:rsidR="006C60DE">
        <w:t>)</w:t>
      </w:r>
    </w:p>
    <w:p w:rsidR="001010BC" w:rsidRPr="00AD0F4E" w:rsidRDefault="001010BC" w:rsidP="00AD0F4E">
      <w:pPr>
        <w:pStyle w:val="ONUMFS"/>
        <w:spacing w:after="120"/>
        <w:ind w:left="567" w:hanging="567"/>
      </w:pPr>
      <w:r w:rsidRPr="00AD0F4E">
        <w:t>M.</w:t>
      </w:r>
      <w:r w:rsidR="005839C0">
        <w:t> </w:t>
      </w:r>
      <w:r w:rsidRPr="00AD0F4E">
        <w:t>Marc Sery Koré, directeur, Bureau régional pour l</w:t>
      </w:r>
      <w:r w:rsidR="006408BB">
        <w:t>’</w:t>
      </w:r>
      <w:r w:rsidRPr="00AD0F4E">
        <w:t>Afrique, Secteur du développement</w:t>
      </w:r>
    </w:p>
    <w:p w:rsidR="001010BC" w:rsidRPr="00AD0F4E" w:rsidRDefault="001010BC" w:rsidP="00AD0F4E">
      <w:pPr>
        <w:pStyle w:val="ONUMFS"/>
        <w:spacing w:after="120"/>
        <w:ind w:left="567" w:hanging="567"/>
      </w:pPr>
      <w:r w:rsidRPr="00AD0F4E">
        <w:t>M.</w:t>
      </w:r>
      <w:r w:rsidR="005839C0">
        <w:t> </w:t>
      </w:r>
      <w:r w:rsidR="002140BE">
        <w:t>Ignacio De Castro Ll</w:t>
      </w:r>
      <w:r w:rsidRPr="00AD0F4E">
        <w:t>amas, directeur adjoint et chef, Division des litiges relatifs à la propriété intellectuelle et des relations extérieures, Secteur des brevets et de la technologie</w:t>
      </w:r>
    </w:p>
    <w:p w:rsidR="001010BC" w:rsidRPr="00AD0F4E" w:rsidRDefault="001010BC" w:rsidP="00AD0F4E">
      <w:pPr>
        <w:pStyle w:val="ONUMFS"/>
        <w:spacing w:after="120"/>
        <w:ind w:left="567" w:hanging="567"/>
      </w:pPr>
      <w:r w:rsidRPr="00AD0F4E">
        <w:t>M.</w:t>
      </w:r>
      <w:r w:rsidR="005839C0">
        <w:t> </w:t>
      </w:r>
      <w:r w:rsidRPr="00AD0F4E">
        <w:t>Mario</w:t>
      </w:r>
      <w:r w:rsidR="0088350E">
        <w:t> </w:t>
      </w:r>
      <w:r w:rsidRPr="00AD0F4E">
        <w:t>Matus, vice</w:t>
      </w:r>
      <w:r w:rsidR="00917E31">
        <w:noBreakHyphen/>
      </w:r>
      <w:r w:rsidRPr="00AD0F4E">
        <w:t>directeur général, Secteur du développement</w:t>
      </w:r>
    </w:p>
    <w:p w:rsidR="006C60DE" w:rsidRDefault="001010BC" w:rsidP="00AD0F4E">
      <w:pPr>
        <w:pStyle w:val="ONUMFS"/>
        <w:spacing w:after="120"/>
        <w:ind w:left="567" w:hanging="567"/>
      </w:pPr>
      <w:r w:rsidRPr="00AD0F4E">
        <w:t>M.</w:t>
      </w:r>
      <w:r w:rsidR="005839C0">
        <w:t> </w:t>
      </w:r>
      <w:r w:rsidRPr="00AD0F4E">
        <w:t>Ismail</w:t>
      </w:r>
      <w:r w:rsidR="0088350E">
        <w:t> </w:t>
      </w:r>
      <w:r w:rsidRPr="00AD0F4E">
        <w:t>Menkari, directeur du Bureau marocain du droit d</w:t>
      </w:r>
      <w:r w:rsidR="006408BB">
        <w:t>’</w:t>
      </w:r>
      <w:r w:rsidRPr="00AD0F4E">
        <w:t>auteur</w:t>
      </w:r>
      <w:r w:rsidR="006C60DE">
        <w:t xml:space="preserve"> (</w:t>
      </w:r>
      <w:r w:rsidRPr="00AD0F4E">
        <w:t>Maroc</w:t>
      </w:r>
      <w:r w:rsidR="006C60DE">
        <w:t>)</w:t>
      </w:r>
    </w:p>
    <w:p w:rsidR="006C60DE" w:rsidRDefault="001010BC" w:rsidP="00AD0F4E">
      <w:pPr>
        <w:pStyle w:val="ONUMFS"/>
        <w:spacing w:after="120"/>
        <w:ind w:left="567" w:hanging="567"/>
      </w:pPr>
      <w:r w:rsidRPr="00AD0F4E">
        <w:t>M.</w:t>
      </w:r>
      <w:r w:rsidR="005839C0">
        <w:t> </w:t>
      </w:r>
      <w:r w:rsidRPr="00AD0F4E">
        <w:t>Alain</w:t>
      </w:r>
      <w:r w:rsidR="0088350E">
        <w:t> </w:t>
      </w:r>
      <w:r w:rsidRPr="00AD0F4E">
        <w:t>Modot, vice</w:t>
      </w:r>
      <w:r w:rsidR="00917E31">
        <w:noBreakHyphen/>
      </w:r>
      <w:r w:rsidRPr="00AD0F4E">
        <w:t>président, DIFFA, Sàrl</w:t>
      </w:r>
      <w:r w:rsidR="006C60DE">
        <w:t xml:space="preserve"> (</w:t>
      </w:r>
      <w:r w:rsidRPr="00AD0F4E">
        <w:t>France</w:t>
      </w:r>
      <w:r w:rsidR="006C60DE">
        <w:t>)</w:t>
      </w:r>
    </w:p>
    <w:p w:rsidR="006C60DE" w:rsidRDefault="001010BC" w:rsidP="00AD0F4E">
      <w:pPr>
        <w:pStyle w:val="ONUMFS"/>
        <w:spacing w:after="120"/>
        <w:ind w:left="567" w:hanging="567"/>
      </w:pPr>
      <w:r w:rsidRPr="00AD0F4E">
        <w:t>M.</w:t>
      </w:r>
      <w:r w:rsidR="005839C0">
        <w:t> </w:t>
      </w:r>
      <w:r w:rsidRPr="00AD0F4E">
        <w:t>Betrand Moullier, conseiller principal producteurs</w:t>
      </w:r>
      <w:r w:rsidR="006C60DE">
        <w:t xml:space="preserve"> (</w:t>
      </w:r>
      <w:r w:rsidRPr="00AD0F4E">
        <w:t>Royaume</w:t>
      </w:r>
      <w:r w:rsidR="00917E31">
        <w:noBreakHyphen/>
      </w:r>
      <w:r w:rsidRPr="00AD0F4E">
        <w:t>Uni</w:t>
      </w:r>
      <w:r w:rsidR="006C60DE">
        <w:t>)</w:t>
      </w:r>
    </w:p>
    <w:p w:rsidR="001010BC" w:rsidRPr="00AD0F4E" w:rsidRDefault="001010BC" w:rsidP="00AD0F4E">
      <w:pPr>
        <w:pStyle w:val="ONUMFS"/>
        <w:spacing w:after="120"/>
        <w:ind w:left="567" w:hanging="567"/>
      </w:pPr>
      <w:r w:rsidRPr="00AD0F4E">
        <w:t>M.</w:t>
      </w:r>
      <w:r w:rsidR="005839C0">
        <w:t> </w:t>
      </w:r>
      <w:r w:rsidRPr="00AD0F4E">
        <w:t>Beno</w:t>
      </w:r>
      <w:r w:rsidR="0088350E">
        <w:t>î</w:t>
      </w:r>
      <w:r w:rsidRPr="00AD0F4E">
        <w:t>t</w:t>
      </w:r>
      <w:r w:rsidR="0088350E">
        <w:t> </w:t>
      </w:r>
      <w:r w:rsidRPr="00AD0F4E">
        <w:t>Muller, directeur, infrastructure du droit d</w:t>
      </w:r>
      <w:r w:rsidR="006408BB">
        <w:t>’</w:t>
      </w:r>
      <w:r w:rsidRPr="00AD0F4E">
        <w:t>auteur</w:t>
      </w:r>
    </w:p>
    <w:p w:rsidR="0088350E" w:rsidRDefault="001010BC" w:rsidP="00AD0F4E">
      <w:pPr>
        <w:pStyle w:val="ONUMFS"/>
        <w:spacing w:after="120"/>
        <w:ind w:left="567" w:hanging="567"/>
      </w:pPr>
      <w:r w:rsidRPr="00AD0F4E">
        <w:t>M.</w:t>
      </w:r>
      <w:r w:rsidR="005839C0">
        <w:t> </w:t>
      </w:r>
      <w:r w:rsidRPr="00AD0F4E">
        <w:t>Jean</w:t>
      </w:r>
      <w:r w:rsidR="00917E31">
        <w:noBreakHyphen/>
      </w:r>
      <w:r w:rsidRPr="00AD0F4E">
        <w:t>Hubert</w:t>
      </w:r>
      <w:r w:rsidR="0088350E">
        <w:t> </w:t>
      </w:r>
      <w:r w:rsidRPr="00AD0F4E">
        <w:t>Nankam, producteur, Martika</w:t>
      </w:r>
      <w:r w:rsidR="0088350E">
        <w:t> </w:t>
      </w:r>
      <w:r w:rsidRPr="00AD0F4E">
        <w:t>Productions</w:t>
      </w:r>
      <w:r w:rsidR="0088350E">
        <w:t xml:space="preserve"> (</w:t>
      </w:r>
      <w:r w:rsidRPr="00AD0F4E">
        <w:t>Côte d</w:t>
      </w:r>
      <w:r w:rsidR="006408BB">
        <w:t>’</w:t>
      </w:r>
      <w:r w:rsidRPr="00AD0F4E">
        <w:t>Ivoire</w:t>
      </w:r>
      <w:r w:rsidR="0088350E">
        <w:t>)</w:t>
      </w:r>
    </w:p>
    <w:p w:rsidR="001010BC" w:rsidRPr="00AD0F4E" w:rsidRDefault="001010BC" w:rsidP="00AD0F4E">
      <w:pPr>
        <w:pStyle w:val="ONUMFS"/>
        <w:spacing w:after="120"/>
        <w:ind w:left="567" w:hanging="567"/>
      </w:pPr>
      <w:r w:rsidRPr="00AD0F4E">
        <w:t>Mme</w:t>
      </w:r>
      <w:r w:rsidR="005839C0">
        <w:t> </w:t>
      </w:r>
      <w:r w:rsidRPr="00AD0F4E">
        <w:t>Marisela Ouma, ancienne directrice exécutive, Kenya Copyright Board</w:t>
      </w:r>
    </w:p>
    <w:p w:rsidR="001010BC" w:rsidRPr="00AD0F4E" w:rsidRDefault="001010BC" w:rsidP="00AD0F4E">
      <w:pPr>
        <w:pStyle w:val="ONUMFS"/>
        <w:spacing w:after="120"/>
        <w:ind w:left="567" w:hanging="567"/>
      </w:pPr>
      <w:r w:rsidRPr="00AD0F4E">
        <w:t>M.</w:t>
      </w:r>
      <w:r w:rsidR="005839C0">
        <w:t> </w:t>
      </w:r>
      <w:r w:rsidRPr="00AD0F4E">
        <w:t>Timothy</w:t>
      </w:r>
      <w:r w:rsidR="0088350E">
        <w:t> </w:t>
      </w:r>
      <w:r w:rsidRPr="00AD0F4E">
        <w:t>Owase, directeur, Commission cinématographique du Kenya</w:t>
      </w:r>
    </w:p>
    <w:p w:rsidR="0088350E" w:rsidRDefault="001010BC" w:rsidP="00AD0F4E">
      <w:pPr>
        <w:pStyle w:val="ONUMFS"/>
        <w:spacing w:after="120"/>
        <w:ind w:left="567" w:hanging="567"/>
      </w:pPr>
      <w:r w:rsidRPr="00AD0F4E">
        <w:t>M.</w:t>
      </w:r>
      <w:r w:rsidR="005839C0">
        <w:t> </w:t>
      </w:r>
      <w:r w:rsidRPr="00AD0F4E">
        <w:t xml:space="preserve">Edward Sigei, directeur, Kenya Copyright Board </w:t>
      </w:r>
      <w:r w:rsidR="0088350E">
        <w:t>(K</w:t>
      </w:r>
      <w:r w:rsidRPr="00AD0F4E">
        <w:t>enya</w:t>
      </w:r>
      <w:r w:rsidR="0088350E">
        <w:t>)</w:t>
      </w:r>
    </w:p>
    <w:p w:rsidR="001010BC" w:rsidRPr="00AD0F4E" w:rsidRDefault="001010BC" w:rsidP="00AD0F4E">
      <w:pPr>
        <w:pStyle w:val="ONUMFS"/>
        <w:spacing w:after="120"/>
        <w:ind w:left="567" w:hanging="567"/>
      </w:pPr>
      <w:r w:rsidRPr="00AD0F4E">
        <w:t>Mme</w:t>
      </w:r>
      <w:r w:rsidR="005839C0">
        <w:t> </w:t>
      </w:r>
      <w:r w:rsidRPr="00AD0F4E">
        <w:t>Irène</w:t>
      </w:r>
      <w:r w:rsidR="0088350E">
        <w:t> </w:t>
      </w:r>
      <w:r w:rsidRPr="00AD0F4E">
        <w:t>Vieira, directrice générale, Bureau ivoirien du droit d</w:t>
      </w:r>
      <w:r w:rsidR="006408BB">
        <w:t>’</w:t>
      </w:r>
      <w:r w:rsidRPr="00AD0F4E">
        <w:t>auteur (BURIDA)</w:t>
      </w:r>
      <w:r w:rsidR="0088350E">
        <w:t xml:space="preserve"> (</w:t>
      </w:r>
      <w:r w:rsidRPr="00AD0F4E">
        <w:t>Côte d</w:t>
      </w:r>
      <w:r w:rsidR="006408BB">
        <w:t>’</w:t>
      </w:r>
      <w:r w:rsidRPr="00AD0F4E">
        <w:t>Ivoire</w:t>
      </w:r>
      <w:r w:rsidR="0088350E">
        <w:t>)</w:t>
      </w:r>
    </w:p>
    <w:p w:rsidR="001010BC" w:rsidRPr="00AD0F4E" w:rsidRDefault="001010BC" w:rsidP="00AD0F4E">
      <w:pPr>
        <w:pStyle w:val="ONUMFS"/>
        <w:spacing w:after="120"/>
        <w:ind w:left="567" w:hanging="567"/>
      </w:pPr>
      <w:r w:rsidRPr="00AD0F4E">
        <w:t>Mme</w:t>
      </w:r>
      <w:r w:rsidR="005839C0">
        <w:t> </w:t>
      </w:r>
      <w:r w:rsidRPr="00AD0F4E">
        <w:t>Michelle</w:t>
      </w:r>
      <w:r w:rsidR="0088350E">
        <w:t> </w:t>
      </w:r>
      <w:r w:rsidRPr="00AD0F4E">
        <w:t>Woods, directrice, Division du droit d</w:t>
      </w:r>
      <w:r w:rsidR="006408BB">
        <w:t>’</w:t>
      </w:r>
      <w:r w:rsidRPr="00AD0F4E">
        <w:t>auteur</w:t>
      </w:r>
    </w:p>
    <w:p w:rsidR="001010BC" w:rsidRDefault="001010BC" w:rsidP="00AD0F4E"/>
    <w:p w:rsidR="00AD0F4E" w:rsidRPr="00C43F07" w:rsidRDefault="00AD0F4E" w:rsidP="00AD0F4E"/>
    <w:p w:rsidR="001010BC" w:rsidRPr="00C43F07" w:rsidRDefault="001010BC" w:rsidP="00AD0F4E">
      <w:pPr>
        <w:pStyle w:val="Endofdocument-Annex"/>
      </w:pPr>
      <w:r w:rsidRPr="00C43F07">
        <w:t>[L</w:t>
      </w:r>
      <w:r w:rsidR="006408BB">
        <w:t>’</w:t>
      </w:r>
      <w:r w:rsidRPr="00C43F07">
        <w:t>appendice</w:t>
      </w:r>
      <w:r w:rsidR="0088350E">
        <w:t> </w:t>
      </w:r>
      <w:r w:rsidRPr="00C43F07">
        <w:t>IV suit]</w:t>
      </w:r>
    </w:p>
    <w:p w:rsidR="001010BC" w:rsidRPr="00C43F07" w:rsidRDefault="001010BC" w:rsidP="001010BC">
      <w:pPr>
        <w:tabs>
          <w:tab w:val="left" w:pos="1540"/>
        </w:tabs>
        <w:sectPr w:rsidR="001010BC" w:rsidRPr="00C43F07" w:rsidSect="004C71C9">
          <w:headerReference w:type="default" r:id="rId17"/>
          <w:headerReference w:type="first" r:id="rId18"/>
          <w:endnotePr>
            <w:numFmt w:val="decimal"/>
          </w:endnotePr>
          <w:pgSz w:w="11907" w:h="16840" w:code="9"/>
          <w:pgMar w:top="567" w:right="1134" w:bottom="1417" w:left="1417" w:header="510" w:footer="1020" w:gutter="0"/>
          <w:pgNumType w:start="1"/>
          <w:cols w:space="720"/>
          <w:titlePg/>
          <w:docGrid w:linePitch="299"/>
        </w:sectPr>
      </w:pPr>
    </w:p>
    <w:p w:rsidR="001010BC" w:rsidRPr="00C43F07" w:rsidRDefault="001010BC" w:rsidP="001010BC">
      <w:pPr>
        <w:pStyle w:val="ListNumber"/>
        <w:numPr>
          <w:ilvl w:val="0"/>
          <w:numId w:val="0"/>
        </w:numPr>
        <w:spacing w:after="120" w:line="260" w:lineRule="atLeast"/>
        <w:rPr>
          <w:szCs w:val="22"/>
        </w:rPr>
      </w:pPr>
      <w:r w:rsidRPr="00C43F07">
        <w:rPr>
          <w:szCs w:val="22"/>
        </w:rPr>
        <w:lastRenderedPageBreak/>
        <w:t>APPENDICE</w:t>
      </w:r>
      <w:r w:rsidR="0088350E">
        <w:rPr>
          <w:szCs w:val="22"/>
        </w:rPr>
        <w:t> </w:t>
      </w:r>
      <w:r w:rsidRPr="00C43F07">
        <w:rPr>
          <w:szCs w:val="22"/>
        </w:rPr>
        <w:t>IV</w:t>
      </w:r>
      <w:r w:rsidR="006408BB">
        <w:rPr>
          <w:szCs w:val="22"/>
        </w:rPr>
        <w:t> :</w:t>
      </w:r>
      <w:r w:rsidRPr="00C43F07">
        <w:rPr>
          <w:szCs w:val="22"/>
        </w:rPr>
        <w:t xml:space="preserve"> LISTE DES DOCUMENTS</w:t>
      </w:r>
    </w:p>
    <w:p w:rsidR="001010BC" w:rsidRPr="00C43F07" w:rsidRDefault="001010BC" w:rsidP="001010BC">
      <w:pPr>
        <w:pStyle w:val="ListNumber"/>
        <w:numPr>
          <w:ilvl w:val="0"/>
          <w:numId w:val="0"/>
        </w:numPr>
        <w:spacing w:after="120" w:line="260" w:lineRule="atLeast"/>
        <w:rPr>
          <w:b/>
          <w:szCs w:val="22"/>
        </w:rPr>
      </w:pPr>
      <w:r w:rsidRPr="00C43F07">
        <w:rPr>
          <w:b/>
          <w:szCs w:val="22"/>
        </w:rPr>
        <w:t>Documents d</w:t>
      </w:r>
      <w:r w:rsidR="006408BB">
        <w:rPr>
          <w:b/>
          <w:szCs w:val="22"/>
        </w:rPr>
        <w:t>’</w:t>
      </w:r>
      <w:r w:rsidRPr="00C43F07">
        <w:rPr>
          <w:b/>
          <w:szCs w:val="22"/>
        </w:rPr>
        <w:t>évaluation</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Politique d</w:t>
      </w:r>
      <w:r w:rsidR="006408BB">
        <w:rPr>
          <w:szCs w:val="22"/>
        </w:rPr>
        <w:t>’</w:t>
      </w:r>
      <w:r w:rsidRPr="00C43F07">
        <w:rPr>
          <w:szCs w:val="22"/>
        </w:rPr>
        <w:t>évaluation révisée de l</w:t>
      </w:r>
      <w:r w:rsidR="006408BB">
        <w:rPr>
          <w:szCs w:val="22"/>
        </w:rPr>
        <w:t>’</w:t>
      </w:r>
      <w:r w:rsidRPr="00C43F07">
        <w:rPr>
          <w:szCs w:val="22"/>
        </w:rPr>
        <w:t>OMPI (deuxième édition, 2016</w:t>
      </w:r>
      <w:r w:rsidR="00917E31">
        <w:rPr>
          <w:szCs w:val="22"/>
        </w:rPr>
        <w:noBreakHyphen/>
      </w:r>
      <w:r w:rsidRPr="00C43F07">
        <w:rPr>
          <w:szCs w:val="22"/>
        </w:rPr>
        <w:t>2020), 1</w:t>
      </w:r>
      <w:r w:rsidR="006408BB" w:rsidRPr="00C43F07">
        <w:rPr>
          <w:szCs w:val="22"/>
        </w:rPr>
        <w:t>9</w:t>
      </w:r>
      <w:r w:rsidR="006408BB">
        <w:rPr>
          <w:szCs w:val="22"/>
        </w:rPr>
        <w:t> </w:t>
      </w:r>
      <w:r w:rsidR="006408BB" w:rsidRPr="00C43F07">
        <w:rPr>
          <w:szCs w:val="22"/>
        </w:rPr>
        <w:t>février</w:t>
      </w:r>
      <w:r w:rsidR="006408BB">
        <w:rPr>
          <w:szCs w:val="22"/>
        </w:rPr>
        <w:t> </w:t>
      </w:r>
      <w:r w:rsidR="006408BB" w:rsidRPr="00C43F07">
        <w:rPr>
          <w:szCs w:val="22"/>
        </w:rPr>
        <w:t>20</w:t>
      </w:r>
      <w:r w:rsidRPr="00C43F07">
        <w:rPr>
          <w:szCs w:val="22"/>
        </w:rPr>
        <w:t>16;</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Lignes directrices et ouvrages de référence</w:t>
      </w:r>
      <w:r w:rsidR="006408BB" w:rsidRPr="00C43F07">
        <w:rPr>
          <w:szCs w:val="22"/>
        </w:rPr>
        <w:t xml:space="preserve"> du</w:t>
      </w:r>
      <w:r w:rsidR="006408BB">
        <w:rPr>
          <w:szCs w:val="22"/>
        </w:rPr>
        <w:t> </w:t>
      </w:r>
      <w:r w:rsidR="006408BB" w:rsidRPr="00C43F07">
        <w:rPr>
          <w:szCs w:val="22"/>
        </w:rPr>
        <w:t>CAD</w:t>
      </w:r>
      <w:r w:rsidRPr="00C43F07">
        <w:rPr>
          <w:szCs w:val="22"/>
        </w:rPr>
        <w:t>, Normes de qualité pour l</w:t>
      </w:r>
      <w:r w:rsidR="006408BB">
        <w:rPr>
          <w:szCs w:val="22"/>
        </w:rPr>
        <w:t>’</w:t>
      </w:r>
      <w:r w:rsidRPr="00C43F07">
        <w:rPr>
          <w:szCs w:val="22"/>
        </w:rPr>
        <w:t>évaluation du développement, OCDE/CAD, OCDE</w:t>
      </w:r>
      <w:r w:rsidR="0088350E">
        <w:rPr>
          <w:szCs w:val="22"/>
        </w:rPr>
        <w:t> </w:t>
      </w:r>
      <w:r w:rsidRPr="00C43F07">
        <w:rPr>
          <w:szCs w:val="22"/>
        </w:rPr>
        <w:t>2010;</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Normes et règles d</w:t>
      </w:r>
      <w:r w:rsidR="006408BB">
        <w:rPr>
          <w:szCs w:val="22"/>
        </w:rPr>
        <w:t>’</w:t>
      </w:r>
      <w:r w:rsidRPr="00C43F07">
        <w:rPr>
          <w:szCs w:val="22"/>
        </w:rPr>
        <w:t xml:space="preserve">évaluation du Groupe des </w:t>
      </w:r>
      <w:r w:rsidR="006408BB">
        <w:rPr>
          <w:szCs w:val="22"/>
        </w:rPr>
        <w:t>Nations Unies</w:t>
      </w:r>
      <w:r w:rsidRPr="00C43F07">
        <w:rPr>
          <w:szCs w:val="22"/>
        </w:rPr>
        <w:t xml:space="preserve"> pour l</w:t>
      </w:r>
      <w:r w:rsidR="006408BB">
        <w:rPr>
          <w:szCs w:val="22"/>
        </w:rPr>
        <w:t>’</w:t>
      </w:r>
      <w:r w:rsidRPr="00C43F07">
        <w:rPr>
          <w:szCs w:val="22"/>
        </w:rPr>
        <w:t>évaluation (GNUE) (dernière version</w:t>
      </w:r>
      <w:r w:rsidR="006408BB">
        <w:rPr>
          <w:szCs w:val="22"/>
        </w:rPr>
        <w:t> :</w:t>
      </w:r>
      <w:r w:rsidRPr="00C43F07">
        <w:rPr>
          <w:szCs w:val="22"/>
        </w:rPr>
        <w:t xml:space="preserve"> </w:t>
      </w:r>
      <w:r w:rsidR="006408BB" w:rsidRPr="00C43F07">
        <w:rPr>
          <w:szCs w:val="22"/>
        </w:rPr>
        <w:t>juin</w:t>
      </w:r>
      <w:r w:rsidR="006408BB">
        <w:rPr>
          <w:szCs w:val="22"/>
        </w:rPr>
        <w:t> </w:t>
      </w:r>
      <w:r w:rsidR="006408BB" w:rsidRPr="00C43F07">
        <w:rPr>
          <w:szCs w:val="22"/>
        </w:rPr>
        <w:t>20</w:t>
      </w:r>
      <w:r w:rsidRPr="00C43F07">
        <w:rPr>
          <w:szCs w:val="22"/>
        </w:rPr>
        <w:t>16).</w:t>
      </w:r>
    </w:p>
    <w:p w:rsidR="001010BC" w:rsidRPr="00C43F07" w:rsidRDefault="001010BC" w:rsidP="001010BC">
      <w:pPr>
        <w:pStyle w:val="ListNumber"/>
        <w:numPr>
          <w:ilvl w:val="0"/>
          <w:numId w:val="0"/>
        </w:numPr>
        <w:spacing w:after="120" w:line="260" w:lineRule="atLeast"/>
        <w:rPr>
          <w:b/>
          <w:szCs w:val="22"/>
        </w:rPr>
      </w:pPr>
      <w:r w:rsidRPr="00C43F07">
        <w:rPr>
          <w:b/>
          <w:szCs w:val="22"/>
        </w:rPr>
        <w:t>Documents de l</w:t>
      </w:r>
      <w:r w:rsidR="006408BB">
        <w:rPr>
          <w:b/>
          <w:szCs w:val="22"/>
        </w:rPr>
        <w:t>’</w:t>
      </w:r>
      <w:r w:rsidRPr="00C43F07">
        <w:rPr>
          <w:b/>
          <w:szCs w:val="22"/>
        </w:rPr>
        <w:t>OMPI relatifs aux programmes</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Les 45</w:t>
      </w:r>
      <w:r w:rsidR="0088350E">
        <w:rPr>
          <w:szCs w:val="22"/>
        </w:rPr>
        <w:t> </w:t>
      </w:r>
      <w:r w:rsidRPr="00C43F07">
        <w:rPr>
          <w:szCs w:val="22"/>
        </w:rPr>
        <w:t xml:space="preserve">recommandations adoptées </w:t>
      </w:r>
      <w:r w:rsidR="006408BB" w:rsidRPr="00C43F07">
        <w:rPr>
          <w:szCs w:val="22"/>
        </w:rPr>
        <w:t>en</w:t>
      </w:r>
      <w:r w:rsidR="006408BB">
        <w:rPr>
          <w:szCs w:val="22"/>
        </w:rPr>
        <w:t> </w:t>
      </w:r>
      <w:r w:rsidR="006408BB" w:rsidRPr="00C43F07">
        <w:rPr>
          <w:szCs w:val="22"/>
        </w:rPr>
        <w:t>2007</w:t>
      </w:r>
      <w:r w:rsidRPr="00C43F07">
        <w:rPr>
          <w:szCs w:val="22"/>
        </w:rPr>
        <w:t xml:space="preserve"> par l</w:t>
      </w:r>
      <w:r w:rsidR="006408BB">
        <w:rPr>
          <w:szCs w:val="22"/>
        </w:rPr>
        <w:t>’</w:t>
      </w:r>
      <w:r w:rsidRPr="00C43F07">
        <w:rPr>
          <w:szCs w:val="22"/>
        </w:rPr>
        <w:t>Assemblée générale des États membres de l</w:t>
      </w:r>
      <w:r w:rsidR="006408BB">
        <w:rPr>
          <w:szCs w:val="22"/>
        </w:rPr>
        <w:t>’</w:t>
      </w:r>
      <w:r w:rsidRPr="00C43F07">
        <w:rPr>
          <w:szCs w:val="22"/>
        </w:rPr>
        <w:t>OMPI, dans le cadre du Plan d</w:t>
      </w:r>
      <w:r w:rsidR="006408BB">
        <w:rPr>
          <w:szCs w:val="22"/>
        </w:rPr>
        <w:t>’</w:t>
      </w:r>
      <w:r w:rsidRPr="00C43F07">
        <w:rPr>
          <w:szCs w:val="22"/>
        </w:rPr>
        <w:t>action de l</w:t>
      </w:r>
      <w:r w:rsidR="006408BB">
        <w:rPr>
          <w:szCs w:val="22"/>
        </w:rPr>
        <w:t>’</w:t>
      </w:r>
      <w:r w:rsidRPr="00C43F07">
        <w:rPr>
          <w:szCs w:val="22"/>
        </w:rPr>
        <w:t>OMPI pour le développement;</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Programme et Budget de l</w:t>
      </w:r>
      <w:r w:rsidR="006408BB">
        <w:rPr>
          <w:szCs w:val="22"/>
        </w:rPr>
        <w:t>’</w:t>
      </w:r>
      <w:r w:rsidRPr="00C43F07">
        <w:rPr>
          <w:szCs w:val="22"/>
        </w:rPr>
        <w:t>OMPI pour l</w:t>
      </w:r>
      <w:r w:rsidR="006408BB">
        <w:rPr>
          <w:szCs w:val="22"/>
        </w:rPr>
        <w:t>’</w:t>
      </w:r>
      <w:r w:rsidRPr="00C43F07">
        <w:rPr>
          <w:szCs w:val="22"/>
        </w:rPr>
        <w:t xml:space="preserve">exercice </w:t>
      </w:r>
      <w:r w:rsidR="006408BB" w:rsidRPr="00C43F07">
        <w:rPr>
          <w:szCs w:val="22"/>
        </w:rPr>
        <w:t>biennal</w:t>
      </w:r>
      <w:r w:rsidR="006408BB">
        <w:rPr>
          <w:szCs w:val="22"/>
        </w:rPr>
        <w:t> </w:t>
      </w:r>
      <w:r w:rsidR="006408BB" w:rsidRPr="00C43F07">
        <w:rPr>
          <w:szCs w:val="22"/>
        </w:rPr>
        <w:t>2016</w:t>
      </w:r>
      <w:r w:rsidR="00917E31">
        <w:rPr>
          <w:szCs w:val="22"/>
        </w:rPr>
        <w:noBreakHyphen/>
      </w:r>
      <w:r w:rsidRPr="00C43F07">
        <w:rPr>
          <w:szCs w:val="22"/>
        </w:rPr>
        <w:t>2017.</w:t>
      </w:r>
    </w:p>
    <w:p w:rsidR="001010BC" w:rsidRPr="00C43F07" w:rsidRDefault="001010BC" w:rsidP="001010BC">
      <w:pPr>
        <w:pStyle w:val="ListNumber"/>
        <w:numPr>
          <w:ilvl w:val="0"/>
          <w:numId w:val="0"/>
        </w:numPr>
        <w:spacing w:after="120" w:line="260" w:lineRule="atLeast"/>
        <w:rPr>
          <w:b/>
          <w:szCs w:val="22"/>
        </w:rPr>
      </w:pPr>
      <w:r w:rsidRPr="00C43F07">
        <w:rPr>
          <w:b/>
          <w:szCs w:val="22"/>
        </w:rPr>
        <w:t>Autres documents de l</w:t>
      </w:r>
      <w:r w:rsidR="006408BB">
        <w:rPr>
          <w:b/>
          <w:szCs w:val="22"/>
        </w:rPr>
        <w:t>’</w:t>
      </w:r>
      <w:r w:rsidRPr="00C43F07">
        <w:rPr>
          <w:b/>
          <w:szCs w:val="22"/>
        </w:rPr>
        <w:t>OMPI</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Rapport de synthèse sur les montants effectifs, Division du droit d</w:t>
      </w:r>
      <w:r w:rsidR="006408BB">
        <w:rPr>
          <w:szCs w:val="22"/>
        </w:rPr>
        <w:t>’</w:t>
      </w:r>
      <w:r w:rsidRPr="00C43F07">
        <w:rPr>
          <w:szCs w:val="22"/>
        </w:rPr>
        <w:t>auteur, imprimé le 2</w:t>
      </w:r>
      <w:r w:rsidR="006408BB" w:rsidRPr="00C43F07">
        <w:rPr>
          <w:szCs w:val="22"/>
        </w:rPr>
        <w:t>0</w:t>
      </w:r>
      <w:r w:rsidR="006408BB">
        <w:rPr>
          <w:szCs w:val="22"/>
        </w:rPr>
        <w:t> </w:t>
      </w:r>
      <w:r w:rsidR="006408BB" w:rsidRPr="00C43F07">
        <w:rPr>
          <w:szCs w:val="22"/>
        </w:rPr>
        <w:t>février</w:t>
      </w:r>
      <w:r w:rsidR="006408BB">
        <w:rPr>
          <w:szCs w:val="22"/>
        </w:rPr>
        <w:t> </w:t>
      </w:r>
      <w:r w:rsidR="006408BB" w:rsidRPr="00C43F07">
        <w:rPr>
          <w:szCs w:val="22"/>
        </w:rPr>
        <w:t>20</w:t>
      </w:r>
      <w:r w:rsidRPr="00C43F07">
        <w:rPr>
          <w:szCs w:val="22"/>
        </w:rPr>
        <w:t>19;</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 xml:space="preserve">Ordre de service </w:t>
      </w:r>
      <w:r w:rsidR="0088350E">
        <w:rPr>
          <w:szCs w:val="22"/>
        </w:rPr>
        <w:t>n° </w:t>
      </w:r>
      <w:r w:rsidRPr="00C43F07">
        <w:rPr>
          <w:szCs w:val="22"/>
        </w:rPr>
        <w:t>30/2015 sur la création de la Section de l</w:t>
      </w:r>
      <w:r w:rsidR="006408BB">
        <w:rPr>
          <w:szCs w:val="22"/>
        </w:rPr>
        <w:t>’</w:t>
      </w:r>
      <w:r w:rsidRPr="00C43F07">
        <w:rPr>
          <w:szCs w:val="22"/>
        </w:rPr>
        <w:t>économie créative de la Division de l</w:t>
      </w:r>
      <w:r w:rsidR="006408BB">
        <w:rPr>
          <w:szCs w:val="22"/>
        </w:rPr>
        <w:t>’</w:t>
      </w:r>
      <w:r w:rsidRPr="00C43F07">
        <w:rPr>
          <w:szCs w:val="22"/>
        </w:rPr>
        <w:t>économie et des statistiques, 1</w:t>
      </w:r>
      <w:r w:rsidR="006408BB" w:rsidRPr="00C43F07">
        <w:rPr>
          <w:szCs w:val="22"/>
        </w:rPr>
        <w:t>3</w:t>
      </w:r>
      <w:r w:rsidR="006408BB">
        <w:rPr>
          <w:szCs w:val="22"/>
        </w:rPr>
        <w:t> </w:t>
      </w:r>
      <w:r w:rsidR="006408BB" w:rsidRPr="00C43F07">
        <w:rPr>
          <w:szCs w:val="22"/>
        </w:rPr>
        <w:t>juillet</w:t>
      </w:r>
      <w:r w:rsidR="006408BB">
        <w:rPr>
          <w:szCs w:val="22"/>
        </w:rPr>
        <w:t> </w:t>
      </w:r>
      <w:r w:rsidR="006408BB" w:rsidRPr="00C43F07">
        <w:rPr>
          <w:szCs w:val="22"/>
        </w:rPr>
        <w:t>20</w:t>
      </w:r>
      <w:r w:rsidRPr="00C43F07">
        <w:rPr>
          <w:szCs w:val="22"/>
        </w:rPr>
        <w:t>15;</w:t>
      </w:r>
    </w:p>
    <w:p w:rsidR="001010BC" w:rsidRPr="00C43F07" w:rsidRDefault="001010BC" w:rsidP="0067547F">
      <w:pPr>
        <w:pStyle w:val="ListNumber"/>
        <w:numPr>
          <w:ilvl w:val="0"/>
          <w:numId w:val="1"/>
        </w:numPr>
        <w:spacing w:after="120" w:line="260" w:lineRule="atLeast"/>
        <w:ind w:left="567" w:hanging="567"/>
        <w:rPr>
          <w:szCs w:val="22"/>
        </w:rPr>
      </w:pPr>
      <w:r w:rsidRPr="00C43F07">
        <w:rPr>
          <w:szCs w:val="22"/>
        </w:rPr>
        <w:t xml:space="preserve">Ordre de service </w:t>
      </w:r>
      <w:r w:rsidR="0088350E">
        <w:rPr>
          <w:szCs w:val="22"/>
        </w:rPr>
        <w:t>n° </w:t>
      </w:r>
      <w:r w:rsidRPr="00C43F07">
        <w:rPr>
          <w:szCs w:val="22"/>
        </w:rPr>
        <w:t>6/2019 sur l</w:t>
      </w:r>
      <w:r w:rsidR="006408BB">
        <w:rPr>
          <w:szCs w:val="22"/>
        </w:rPr>
        <w:t>’</w:t>
      </w:r>
      <w:r w:rsidRPr="00C43F07">
        <w:rPr>
          <w:szCs w:val="22"/>
        </w:rPr>
        <w:t>Institut judiciaire de l</w:t>
      </w:r>
      <w:r w:rsidR="006408BB">
        <w:rPr>
          <w:szCs w:val="22"/>
        </w:rPr>
        <w:t>’</w:t>
      </w:r>
      <w:r w:rsidRPr="00C43F07">
        <w:rPr>
          <w:szCs w:val="22"/>
        </w:rPr>
        <w:t>OMPI, 1</w:t>
      </w:r>
      <w:r w:rsidR="006408BB" w:rsidRPr="00C43F07">
        <w:rPr>
          <w:szCs w:val="22"/>
        </w:rPr>
        <w:t>5</w:t>
      </w:r>
      <w:r w:rsidR="006408BB">
        <w:rPr>
          <w:szCs w:val="22"/>
        </w:rPr>
        <w:t> </w:t>
      </w:r>
      <w:r w:rsidR="006408BB" w:rsidRPr="00C43F07">
        <w:rPr>
          <w:szCs w:val="22"/>
        </w:rPr>
        <w:t>février</w:t>
      </w:r>
      <w:r w:rsidR="006408BB">
        <w:rPr>
          <w:szCs w:val="22"/>
        </w:rPr>
        <w:t> </w:t>
      </w:r>
      <w:r w:rsidR="006408BB" w:rsidRPr="00C43F07">
        <w:rPr>
          <w:szCs w:val="22"/>
        </w:rPr>
        <w:t>20</w:t>
      </w:r>
      <w:r w:rsidRPr="00C43F07">
        <w:rPr>
          <w:szCs w:val="22"/>
        </w:rPr>
        <w:t>19.</w:t>
      </w:r>
    </w:p>
    <w:p w:rsidR="001010BC" w:rsidRPr="00C43F07" w:rsidRDefault="001010BC" w:rsidP="001010BC">
      <w:pPr>
        <w:spacing w:after="120" w:line="260" w:lineRule="atLeast"/>
        <w:rPr>
          <w:b/>
        </w:rPr>
      </w:pPr>
      <w:r w:rsidRPr="00C43F07">
        <w:rPr>
          <w:b/>
        </w:rPr>
        <w:t>Document relatif au projet et rapport sur l</w:t>
      </w:r>
      <w:r w:rsidR="006408BB">
        <w:rPr>
          <w:b/>
        </w:rPr>
        <w:t>’</w:t>
      </w:r>
      <w:r w:rsidRPr="00C43F07">
        <w:rPr>
          <w:b/>
        </w:rPr>
        <w:t>état d</w:t>
      </w:r>
      <w:r w:rsidR="006408BB">
        <w:rPr>
          <w:b/>
        </w:rPr>
        <w:t>’</w:t>
      </w:r>
      <w:r w:rsidRPr="00C43F07">
        <w:rPr>
          <w:b/>
        </w:rPr>
        <w:t>avancement des projets</w:t>
      </w:r>
    </w:p>
    <w:p w:rsidR="001010BC" w:rsidRPr="00C43F07" w:rsidRDefault="001010BC" w:rsidP="0067547F">
      <w:pPr>
        <w:pStyle w:val="ListParagraph"/>
        <w:numPr>
          <w:ilvl w:val="0"/>
          <w:numId w:val="26"/>
        </w:numPr>
        <w:spacing w:after="120" w:line="260" w:lineRule="atLeast"/>
        <w:ind w:left="567" w:hanging="567"/>
        <w:contextualSpacing w:val="0"/>
      </w:pPr>
      <w:r w:rsidRPr="00C43F07">
        <w:t>Descriptif du projet</w:t>
      </w:r>
      <w:r w:rsidR="006408BB">
        <w:t> :</w:t>
      </w:r>
      <w:r w:rsidRPr="00C43F07">
        <w:t xml:space="preserve"> CDIP</w:t>
      </w:r>
      <w:r w:rsidR="0088350E">
        <w:t>/</w:t>
      </w:r>
      <w:r w:rsidRPr="00C43F07">
        <w:t xml:space="preserve">17/7, annexe, </w:t>
      </w:r>
      <w:r w:rsidR="006408BB" w:rsidRPr="00C43F07">
        <w:t>4</w:t>
      </w:r>
      <w:r w:rsidR="006408BB">
        <w:t> </w:t>
      </w:r>
      <w:r w:rsidR="006408BB" w:rsidRPr="00C43F07">
        <w:t>avril</w:t>
      </w:r>
      <w:r w:rsidR="006408BB">
        <w:t> </w:t>
      </w:r>
      <w:r w:rsidR="006408BB" w:rsidRPr="00C43F07">
        <w:t>20</w:t>
      </w:r>
      <w:r w:rsidRPr="00C43F07">
        <w:t xml:space="preserve">12, projet </w:t>
      </w:r>
      <w:r w:rsidR="006408BB">
        <w:t>“</w:t>
      </w:r>
      <w:r w:rsidR="006408BB" w:rsidRPr="00C43F07">
        <w:t>R</w:t>
      </w:r>
      <w:r w:rsidRPr="00C43F07">
        <w:t>enforcement et développement du secteur de l</w:t>
      </w:r>
      <w:r w:rsidR="006408BB">
        <w:t>’</w:t>
      </w:r>
      <w:r w:rsidRPr="00C43F07">
        <w:t>audiovisuel au Burkina Faso et dans certains pays africains – Phase</w:t>
      </w:r>
      <w:r w:rsidR="0088350E">
        <w:t> </w:t>
      </w:r>
      <w:r w:rsidRPr="00C43F07">
        <w:t>I</w:t>
      </w:r>
      <w:r w:rsidR="006408BB" w:rsidRPr="00C43F07">
        <w:t>I</w:t>
      </w:r>
      <w:r w:rsidR="006408BB">
        <w:t>”</w:t>
      </w:r>
      <w:r w:rsidRPr="00C43F07">
        <w:t xml:space="preserve"> (projet DA_1_2_4_10_11);</w:t>
      </w:r>
    </w:p>
    <w:p w:rsidR="001010BC" w:rsidRPr="00C43F07" w:rsidRDefault="001010BC" w:rsidP="0067547F">
      <w:pPr>
        <w:pStyle w:val="ListParagraph"/>
        <w:numPr>
          <w:ilvl w:val="0"/>
          <w:numId w:val="26"/>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w:t>
      </w:r>
      <w:r w:rsidR="001A15D0">
        <w:t>CDIP/</w:t>
      </w:r>
      <w:r w:rsidR="001A15D0" w:rsidRPr="00C43F07">
        <w:t>1</w:t>
      </w:r>
      <w:r w:rsidRPr="00C43F07">
        <w:t>8/2, 1</w:t>
      </w:r>
      <w:r w:rsidR="006408BB" w:rsidRPr="00C43F07">
        <w:t>5</w:t>
      </w:r>
      <w:r w:rsidR="006408BB">
        <w:t> </w:t>
      </w:r>
      <w:r w:rsidR="006408BB" w:rsidRPr="00C43F07">
        <w:t>août</w:t>
      </w:r>
      <w:r w:rsidR="006408BB">
        <w:t> </w:t>
      </w:r>
      <w:r w:rsidR="006408BB" w:rsidRPr="00C43F07">
        <w:t>20</w:t>
      </w:r>
      <w:r w:rsidRPr="00C43F07">
        <w:t xml:space="preserve">16, </w:t>
      </w:r>
      <w:r w:rsidR="006408BB" w:rsidRPr="00C43F07">
        <w:t>annexe</w:t>
      </w:r>
      <w:r w:rsidR="006408BB">
        <w:t> </w:t>
      </w:r>
      <w:r w:rsidR="006408BB" w:rsidRPr="00C43F07">
        <w:t>V</w:t>
      </w:r>
      <w:r w:rsidRPr="00C43F07">
        <w:t>I, Renforcement et développement du secteur de l</w:t>
      </w:r>
      <w:r w:rsidR="006408BB">
        <w:t>’</w:t>
      </w:r>
      <w:r w:rsidRPr="00C43F07">
        <w:t>audiovisuel au Burkina Faso et dans certains pays africains – Phase</w:t>
      </w:r>
      <w:r w:rsidR="0088350E">
        <w:t> </w:t>
      </w:r>
      <w:r w:rsidRPr="00C43F07">
        <w:t>II;</w:t>
      </w:r>
    </w:p>
    <w:p w:rsidR="001010BC" w:rsidRPr="00C43F07" w:rsidRDefault="001010BC" w:rsidP="0067547F">
      <w:pPr>
        <w:pStyle w:val="ListParagraph"/>
        <w:numPr>
          <w:ilvl w:val="0"/>
          <w:numId w:val="26"/>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w:t>
      </w:r>
      <w:r w:rsidR="001A15D0">
        <w:t>CDIP/</w:t>
      </w:r>
      <w:r w:rsidR="001A15D0" w:rsidRPr="00C43F07">
        <w:t>2</w:t>
      </w:r>
      <w:r w:rsidRPr="00C43F07">
        <w:t>0/2, 2</w:t>
      </w:r>
      <w:r w:rsidR="006408BB" w:rsidRPr="00C43F07">
        <w:t>0</w:t>
      </w:r>
      <w:r w:rsidR="006408BB">
        <w:t> </w:t>
      </w:r>
      <w:r w:rsidR="006408BB" w:rsidRPr="00C43F07">
        <w:t>septembre</w:t>
      </w:r>
      <w:r w:rsidR="006408BB">
        <w:t> </w:t>
      </w:r>
      <w:r w:rsidR="006408BB" w:rsidRPr="00C43F07">
        <w:t>20</w:t>
      </w:r>
      <w:r w:rsidRPr="00C43F07">
        <w:t xml:space="preserve">17, </w:t>
      </w:r>
      <w:r w:rsidR="006408BB" w:rsidRPr="00C43F07">
        <w:t>annexe</w:t>
      </w:r>
      <w:r w:rsidR="006408BB">
        <w:t> </w:t>
      </w:r>
      <w:r w:rsidR="006408BB" w:rsidRPr="00C43F07">
        <w:t>I</w:t>
      </w:r>
      <w:r w:rsidRPr="00C43F07">
        <w:t>V, Renforcement et développement du secteur de l</w:t>
      </w:r>
      <w:r w:rsidR="006408BB">
        <w:t>’</w:t>
      </w:r>
      <w:r w:rsidRPr="00C43F07">
        <w:t>audiovisuel au Burkina Faso et dans certains pays africains – Phase</w:t>
      </w:r>
      <w:r w:rsidR="0088350E">
        <w:t> </w:t>
      </w:r>
      <w:r w:rsidRPr="00C43F07">
        <w:t>II;</w:t>
      </w:r>
    </w:p>
    <w:p w:rsidR="001010BC" w:rsidRPr="00C43F07" w:rsidRDefault="001010BC" w:rsidP="0067547F">
      <w:pPr>
        <w:pStyle w:val="ListParagraph"/>
        <w:numPr>
          <w:ilvl w:val="0"/>
          <w:numId w:val="26"/>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w:t>
      </w:r>
      <w:r w:rsidR="001A15D0">
        <w:t>CDIP/</w:t>
      </w:r>
      <w:r w:rsidR="001A15D0" w:rsidRPr="00C43F07">
        <w:t>2</w:t>
      </w:r>
      <w:r w:rsidRPr="00C43F07">
        <w:t>2/2, 1</w:t>
      </w:r>
      <w:r w:rsidR="006408BB" w:rsidRPr="00C43F07">
        <w:t>4</w:t>
      </w:r>
      <w:r w:rsidR="006408BB">
        <w:t> </w:t>
      </w:r>
      <w:r w:rsidR="006408BB" w:rsidRPr="00C43F07">
        <w:t>septembre</w:t>
      </w:r>
      <w:r w:rsidR="006408BB">
        <w:t> </w:t>
      </w:r>
      <w:r w:rsidR="006408BB" w:rsidRPr="00C43F07">
        <w:t>20</w:t>
      </w:r>
      <w:r w:rsidRPr="00C43F07">
        <w:t xml:space="preserve">18, </w:t>
      </w:r>
      <w:r w:rsidR="006408BB" w:rsidRPr="00C43F07">
        <w:t>annexe</w:t>
      </w:r>
      <w:r w:rsidR="006408BB">
        <w:t> </w:t>
      </w:r>
      <w:r w:rsidR="006408BB" w:rsidRPr="00C43F07">
        <w:t>V</w:t>
      </w:r>
      <w:r w:rsidRPr="00C43F07">
        <w:t>, Renforcement et développement du secteur de l</w:t>
      </w:r>
      <w:r w:rsidR="006408BB">
        <w:t>’</w:t>
      </w:r>
      <w:r w:rsidRPr="00C43F07">
        <w:t>audiovisuel au Burkina Faso et dans certains pays africains – Phase</w:t>
      </w:r>
      <w:r w:rsidR="0088350E">
        <w:t> </w:t>
      </w:r>
      <w:r w:rsidRPr="00C43F07">
        <w:t>II;</w:t>
      </w:r>
    </w:p>
    <w:p w:rsidR="001010BC" w:rsidRPr="00C43F07" w:rsidRDefault="001010BC" w:rsidP="0067547F">
      <w:pPr>
        <w:pStyle w:val="ListParagraph"/>
        <w:numPr>
          <w:ilvl w:val="0"/>
          <w:numId w:val="26"/>
        </w:numPr>
        <w:spacing w:after="120" w:line="260" w:lineRule="atLeast"/>
        <w:ind w:left="567" w:hanging="567"/>
        <w:contextualSpacing w:val="0"/>
      </w:pPr>
      <w:r w:rsidRPr="00C43F07">
        <w:t>Rapport relatif à l</w:t>
      </w:r>
      <w:r w:rsidR="006408BB">
        <w:t>’</w:t>
      </w:r>
      <w:r w:rsidRPr="00C43F07">
        <w:t>achèvement et à l</w:t>
      </w:r>
      <w:r w:rsidR="006408BB">
        <w:t>’</w:t>
      </w:r>
      <w:r w:rsidRPr="00C43F07">
        <w:t>auto</w:t>
      </w:r>
      <w:r w:rsidR="00917E31">
        <w:noBreakHyphen/>
      </w:r>
      <w:r w:rsidRPr="00C43F07">
        <w:t xml:space="preserve">évaluation, projet </w:t>
      </w:r>
      <w:r w:rsidR="006408BB">
        <w:t>“</w:t>
      </w:r>
      <w:r w:rsidR="006408BB" w:rsidRPr="00C43F07">
        <w:t>R</w:t>
      </w:r>
      <w:r w:rsidRPr="00C43F07">
        <w:t>enforcement et développement du secteur de l</w:t>
      </w:r>
      <w:r w:rsidR="006408BB">
        <w:t>’</w:t>
      </w:r>
      <w:r w:rsidRPr="00C43F07">
        <w:t>audiovisuel au Burkina Faso et dans certains pays africains – Phase</w:t>
      </w:r>
      <w:r w:rsidR="0088350E">
        <w:t> </w:t>
      </w:r>
      <w:r w:rsidRPr="00C43F07">
        <w:t>II (2</w:t>
      </w:r>
      <w:r w:rsidR="006408BB" w:rsidRPr="00C43F07">
        <w:t>5</w:t>
      </w:r>
      <w:r w:rsidR="006408BB">
        <w:t> </w:t>
      </w:r>
      <w:r w:rsidR="006408BB" w:rsidRPr="00C43F07">
        <w:t>février</w:t>
      </w:r>
      <w:r w:rsidR="006408BB">
        <w:t> </w:t>
      </w:r>
      <w:r w:rsidR="006408BB" w:rsidRPr="00C43F07">
        <w:t>20</w:t>
      </w:r>
      <w:r w:rsidRPr="00C43F07">
        <w:t>19)</w:t>
      </w:r>
      <w:r w:rsidR="0088350E">
        <w:t>”</w:t>
      </w:r>
      <w:r w:rsidRPr="00C43F07">
        <w:t>.</w:t>
      </w:r>
    </w:p>
    <w:p w:rsidR="001010BC" w:rsidRPr="00C43F07" w:rsidRDefault="001010BC" w:rsidP="001010BC">
      <w:pPr>
        <w:spacing w:after="120" w:line="260" w:lineRule="atLeast"/>
      </w:pPr>
      <w:r w:rsidRPr="00C43F07">
        <w:rPr>
          <w:b/>
        </w:rPr>
        <w:t>Produits du projet</w:t>
      </w:r>
    </w:p>
    <w:p w:rsidR="001010BC" w:rsidRPr="00C43F07" w:rsidRDefault="001010BC" w:rsidP="0067547F">
      <w:pPr>
        <w:pStyle w:val="ListParagraph"/>
        <w:numPr>
          <w:ilvl w:val="0"/>
          <w:numId w:val="27"/>
        </w:numPr>
        <w:spacing w:after="120" w:line="260" w:lineRule="atLeast"/>
        <w:ind w:left="567" w:hanging="567"/>
        <w:contextualSpacing w:val="0"/>
      </w:pPr>
      <w:r w:rsidRPr="00C43F07">
        <w:t>Matériel séminaire, Mapping de l</w:t>
      </w:r>
      <w:r w:rsidR="006408BB">
        <w:t>’</w:t>
      </w:r>
      <w:r w:rsidRPr="00C43F07">
        <w:t>industrie de l</w:t>
      </w:r>
      <w:r w:rsidR="006408BB">
        <w:t>’</w:t>
      </w:r>
      <w:r w:rsidRPr="00C43F07">
        <w:t xml:space="preserve">animation en Europe, </w:t>
      </w:r>
      <w:r w:rsidR="006408BB" w:rsidRPr="00C43F07">
        <w:t>janvier</w:t>
      </w:r>
      <w:r w:rsidR="006408BB">
        <w:t> </w:t>
      </w:r>
      <w:r w:rsidR="006408BB" w:rsidRPr="00C43F07">
        <w:t>20</w:t>
      </w:r>
      <w:r w:rsidRPr="00C43F07">
        <w:t xml:space="preserve">17, Marta Jimenez Puvares, </w:t>
      </w:r>
      <w:r w:rsidR="006408BB" w:rsidRPr="00C43F07">
        <w:t>février</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 xml:space="preserve">Rapport de mission, Séminaire sur les nouveaux enjeux du secteur audiovisuel, Sénégal, </w:t>
      </w:r>
      <w:r w:rsidR="006408BB" w:rsidRPr="00C43F07">
        <w:t>3</w:t>
      </w:r>
      <w:r w:rsidR="006408BB">
        <w:t> </w:t>
      </w:r>
      <w:r w:rsidR="006408BB" w:rsidRPr="00C43F07">
        <w:t>février</w:t>
      </w:r>
      <w:r w:rsidR="006408BB">
        <w:t> </w:t>
      </w:r>
      <w:r w:rsidR="006408BB" w:rsidRPr="00C43F07">
        <w:t>20</w:t>
      </w:r>
      <w:r w:rsidRPr="00C43F07">
        <w:t xml:space="preserve">17 (présentation en annexe), Marta Jimenez Puvares, </w:t>
      </w:r>
      <w:r w:rsidR="006408BB" w:rsidRPr="00C43F07">
        <w:t>février</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Mémorandum interne, Séminaire sur la contribution du droit d</w:t>
      </w:r>
      <w:r w:rsidR="006408BB">
        <w:t>’</w:t>
      </w:r>
      <w:r w:rsidRPr="00C43F07">
        <w:t>auteur au financement du secteur audiovisuel (et d</w:t>
      </w:r>
      <w:r w:rsidR="006408BB">
        <w:t>’</w:t>
      </w:r>
      <w:r w:rsidRPr="00C43F07">
        <w:t>autres rencontres) 2</w:t>
      </w:r>
      <w:r w:rsidR="006408BB" w:rsidRPr="00C43F07">
        <w:t>7</w:t>
      </w:r>
      <w:r w:rsidR="006408BB">
        <w:t> </w:t>
      </w:r>
      <w:r w:rsidR="006408BB" w:rsidRPr="00C43F07">
        <w:t>février</w:t>
      </w:r>
      <w:r w:rsidRPr="00C43F07">
        <w:t xml:space="preserve"> au </w:t>
      </w:r>
      <w:r w:rsidR="006408BB" w:rsidRPr="00C43F07">
        <w:t>3</w:t>
      </w:r>
      <w:r w:rsidR="006408BB">
        <w:t> </w:t>
      </w:r>
      <w:r w:rsidR="006408BB" w:rsidRPr="00C43F07">
        <w:t>mars</w:t>
      </w:r>
      <w:r w:rsidR="006408BB">
        <w:t> </w:t>
      </w:r>
      <w:r w:rsidR="006408BB" w:rsidRPr="00C43F07">
        <w:t>20</w:t>
      </w:r>
      <w:r w:rsidRPr="00C43F07">
        <w:t>17, FESPACO, Ouagadougou, Burkina Faso, Carole</w:t>
      </w:r>
      <w:r w:rsidR="0088350E">
        <w:t> </w:t>
      </w:r>
      <w:r w:rsidRPr="00C43F07">
        <w:t>Croella, 3</w:t>
      </w:r>
      <w:r w:rsidR="006408BB" w:rsidRPr="00C43F07">
        <w:t>1</w:t>
      </w:r>
      <w:r w:rsidR="006408BB">
        <w:t> </w:t>
      </w:r>
      <w:r w:rsidR="006408BB" w:rsidRPr="00C43F07">
        <w:t>mars</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lastRenderedPageBreak/>
        <w:t>Rapport sur la réunion de validation du Code de la Presse et l</w:t>
      </w:r>
      <w:r w:rsidR="006408BB">
        <w:t>’</w:t>
      </w:r>
      <w:r w:rsidRPr="00C43F07">
        <w:t xml:space="preserve">analyse et commentaires juridiques du projet de </w:t>
      </w:r>
      <w:r w:rsidR="006408BB">
        <w:t>“</w:t>
      </w:r>
      <w:r w:rsidR="006408BB" w:rsidRPr="00C43F07">
        <w:t>C</w:t>
      </w:r>
      <w:r w:rsidRPr="00C43F07">
        <w:t>ode de la Press</w:t>
      </w:r>
      <w:r w:rsidR="006408BB" w:rsidRPr="00C43F07">
        <w:t>e</w:t>
      </w:r>
      <w:r w:rsidR="006408BB">
        <w:t>”</w:t>
      </w:r>
      <w:r w:rsidRPr="00C43F07">
        <w:t xml:space="preserve"> du Sénégal, Ma</w:t>
      </w:r>
      <w:r w:rsidR="0088350E">
        <w:t>î</w:t>
      </w:r>
      <w:r w:rsidRPr="00C43F07">
        <w:t>tre Gilles</w:t>
      </w:r>
      <w:r w:rsidR="0088350E">
        <w:t> </w:t>
      </w:r>
      <w:r w:rsidRPr="00C43F07">
        <w:t>Vercken, Paris (France);</w:t>
      </w:r>
    </w:p>
    <w:p w:rsidR="001010BC" w:rsidRPr="00C43F07" w:rsidRDefault="001010BC" w:rsidP="0067547F">
      <w:pPr>
        <w:pStyle w:val="ListParagraph"/>
        <w:numPr>
          <w:ilvl w:val="0"/>
          <w:numId w:val="27"/>
        </w:numPr>
        <w:spacing w:after="120" w:line="260" w:lineRule="atLeast"/>
        <w:ind w:left="567" w:hanging="567"/>
        <w:contextualSpacing w:val="0"/>
      </w:pPr>
      <w:r w:rsidRPr="00C43F07">
        <w:t>Programme, séminaire sur le droit d</w:t>
      </w:r>
      <w:r w:rsidR="006408BB">
        <w:t>’</w:t>
      </w:r>
      <w:r w:rsidRPr="00C43F07">
        <w:t>auteur, le développement, le financement, la réglementation et la commercialisation dans le secteur de l</w:t>
      </w:r>
      <w:r w:rsidR="006408BB">
        <w:t>’</w:t>
      </w:r>
      <w:r w:rsidRPr="00C43F07">
        <w:t>audiovisuel, organisé par l</w:t>
      </w:r>
      <w:r w:rsidR="006408BB">
        <w:t>’</w:t>
      </w:r>
      <w:r w:rsidRPr="00C43F07">
        <w:t>Organisation Mondiale de la Propriété Intellectuelle (OMPI), avec le Kenya Copyright Board (KECOBO) et la Commission cinématographique du Kenya (KFC), Nairobi, 11 et 1</w:t>
      </w:r>
      <w:r w:rsidR="006408BB" w:rsidRPr="00C43F07">
        <w:t>2</w:t>
      </w:r>
      <w:r w:rsidR="006408BB">
        <w:t> </w:t>
      </w:r>
      <w:r w:rsidR="006408BB" w:rsidRPr="00C43F07">
        <w:t>avril</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Séminaire d</w:t>
      </w:r>
      <w:r w:rsidR="006408BB">
        <w:t>’</w:t>
      </w:r>
      <w:r w:rsidRPr="00C43F07">
        <w:t>enquête à Nairobi, 11</w:t>
      </w:r>
      <w:r w:rsidR="00917E31">
        <w:noBreakHyphen/>
      </w:r>
      <w:r w:rsidRPr="00C43F07">
        <w:t>1</w:t>
      </w:r>
      <w:r w:rsidR="006408BB" w:rsidRPr="00C43F07">
        <w:t>3</w:t>
      </w:r>
      <w:r w:rsidR="006408BB">
        <w:t> </w:t>
      </w:r>
      <w:r w:rsidR="006408BB" w:rsidRPr="00C43F07">
        <w:t>avril</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Rapport de mission, mission d</w:t>
      </w:r>
      <w:r w:rsidR="006408BB">
        <w:t>’</w:t>
      </w:r>
      <w:r w:rsidRPr="00C43F07">
        <w:t xml:space="preserve">appui technique (conseil et renforcement des capacités de la Société </w:t>
      </w:r>
      <w:r w:rsidR="006C60DE">
        <w:t>s</w:t>
      </w:r>
      <w:r w:rsidRPr="00C43F07">
        <w:t xml:space="preserve">énégalaise du </w:t>
      </w:r>
      <w:r w:rsidR="0088350E" w:rsidRPr="00C43F07">
        <w:t>droit d</w:t>
      </w:r>
      <w:r w:rsidR="0088350E">
        <w:t>’</w:t>
      </w:r>
      <w:r w:rsidR="0088350E" w:rsidRPr="00C43F07">
        <w:t>auteur et des droits voisins</w:t>
      </w:r>
      <w:r w:rsidR="0088350E">
        <w:t xml:space="preserve">) </w:t>
      </w:r>
      <w:r w:rsidRPr="00C43F07">
        <w:t>(SODAV), Dakar (Sénégal), 27</w:t>
      </w:r>
      <w:r w:rsidR="00917E31">
        <w:noBreakHyphen/>
      </w:r>
      <w:r w:rsidRPr="00C43F07">
        <w:t>3</w:t>
      </w:r>
      <w:r w:rsidR="006408BB" w:rsidRPr="00C43F07">
        <w:t>0</w:t>
      </w:r>
      <w:r w:rsidR="006408BB">
        <w:t> </w:t>
      </w:r>
      <w:r w:rsidR="006408BB" w:rsidRPr="00C43F07">
        <w:t>juin</w:t>
      </w:r>
      <w:r w:rsidR="006408BB">
        <w:t> </w:t>
      </w:r>
      <w:r w:rsidR="006408BB" w:rsidRPr="00C43F07">
        <w:t>20</w:t>
      </w:r>
      <w:r w:rsidRPr="00C43F07">
        <w:t>17, Carole</w:t>
      </w:r>
      <w:r w:rsidR="0088350E">
        <w:t> </w:t>
      </w:r>
      <w:r w:rsidRPr="00C43F07">
        <w:t xml:space="preserve">Croella, </w:t>
      </w:r>
      <w:r w:rsidR="006408BB" w:rsidRPr="00C43F07">
        <w:t>3</w:t>
      </w:r>
      <w:r w:rsidR="006408BB">
        <w:t> </w:t>
      </w:r>
      <w:r w:rsidR="006408BB" w:rsidRPr="00C43F07">
        <w:t>août</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 xml:space="preserve">Rapport de mission, Conférence internationale sur le </w:t>
      </w:r>
      <w:r w:rsidR="0088350E" w:rsidRPr="00C43F07">
        <w:t>droit d</w:t>
      </w:r>
      <w:r w:rsidR="0088350E">
        <w:t>’</w:t>
      </w:r>
      <w:r w:rsidR="0088350E" w:rsidRPr="00C43F07">
        <w:t>auteur et la régulation de l</w:t>
      </w:r>
      <w:r w:rsidR="0088350E">
        <w:t>’</w:t>
      </w:r>
      <w:r w:rsidR="0088350E" w:rsidRPr="00C43F07">
        <w:t>audiovisuel, à l</w:t>
      </w:r>
      <w:r w:rsidR="0088350E">
        <w:t>’</w:t>
      </w:r>
      <w:r w:rsidR="0088350E" w:rsidRPr="00C43F07">
        <w:t xml:space="preserve">ère du numérique, </w:t>
      </w:r>
      <w:r w:rsidRPr="00C43F07">
        <w:t>Abidjan (Côte d</w:t>
      </w:r>
      <w:r w:rsidR="006408BB">
        <w:t>’</w:t>
      </w:r>
      <w:r w:rsidRPr="00C43F07">
        <w:t>Ivoire) 15 et 1</w:t>
      </w:r>
      <w:r w:rsidR="006408BB" w:rsidRPr="00C43F07">
        <w:t>6</w:t>
      </w:r>
      <w:r w:rsidR="006408BB">
        <w:t> </w:t>
      </w:r>
      <w:r w:rsidR="006408BB" w:rsidRPr="00C43F07">
        <w:t>mai</w:t>
      </w:r>
      <w:r w:rsidR="006408BB">
        <w:t> </w:t>
      </w:r>
      <w:r w:rsidR="006408BB" w:rsidRPr="00C43F07">
        <w:t>20</w:t>
      </w:r>
      <w:r w:rsidRPr="00C43F07">
        <w:t xml:space="preserve">17, </w:t>
      </w:r>
      <w:r w:rsidR="0088350E">
        <w:t>Sylvie Forbin</w:t>
      </w:r>
      <w:r w:rsidRPr="00C43F07">
        <w:t xml:space="preserve">, le </w:t>
      </w:r>
      <w:r w:rsidR="006408BB" w:rsidRPr="00C43F07">
        <w:t>7</w:t>
      </w:r>
      <w:r w:rsidR="006408BB">
        <w:t> </w:t>
      </w:r>
      <w:r w:rsidR="006408BB" w:rsidRPr="00C43F07">
        <w:t>juillet</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 xml:space="preserve">Programme du séminaire </w:t>
      </w:r>
      <w:r w:rsidR="006408BB">
        <w:t>“</w:t>
      </w:r>
      <w:r w:rsidR="006408BB" w:rsidRPr="00C43F07">
        <w:t>L</w:t>
      </w:r>
      <w:r w:rsidRPr="00C43F07">
        <w:t>a protection juridique des organismes de radiodiffusion et le numériqu</w:t>
      </w:r>
      <w:r w:rsidR="006408BB" w:rsidRPr="00C43F07">
        <w:t>e</w:t>
      </w:r>
      <w:r w:rsidR="006408BB">
        <w:t>”</w:t>
      </w:r>
      <w:r w:rsidRPr="00C43F07">
        <w:t>, organisé par l</w:t>
      </w:r>
      <w:r w:rsidR="006408BB">
        <w:t>’</w:t>
      </w:r>
      <w:r w:rsidRPr="00C43F07">
        <w:t>Organisation Mondiale de la Propriété Intellectuelle (OMPI) et l</w:t>
      </w:r>
      <w:r w:rsidR="006408BB">
        <w:t>’</w:t>
      </w:r>
      <w:r w:rsidRPr="00C43F07">
        <w:t>Union africaine de radiodiffusion (UAR), avec le soutien du Ministère de la Culture du Sénégal, Dakar, 12 et 1</w:t>
      </w:r>
      <w:r w:rsidR="006408BB" w:rsidRPr="00C43F07">
        <w:t>3</w:t>
      </w:r>
      <w:r w:rsidR="006408BB">
        <w:t> </w:t>
      </w:r>
      <w:r w:rsidR="006408BB" w:rsidRPr="00C43F07">
        <w:t>décembre</w:t>
      </w:r>
      <w:r w:rsidR="006408BB">
        <w:t> </w:t>
      </w:r>
      <w:r w:rsidR="006408BB" w:rsidRPr="00C43F07">
        <w:t>20</w:t>
      </w:r>
      <w:r w:rsidRPr="00C43F07">
        <w:t>17;</w:t>
      </w:r>
    </w:p>
    <w:p w:rsidR="001010BC" w:rsidRPr="00C43F07" w:rsidRDefault="001010BC" w:rsidP="0067547F">
      <w:pPr>
        <w:pStyle w:val="ListParagraph"/>
        <w:numPr>
          <w:ilvl w:val="0"/>
          <w:numId w:val="27"/>
        </w:numPr>
        <w:spacing w:after="120" w:line="260" w:lineRule="atLeast"/>
        <w:ind w:left="567" w:hanging="567"/>
        <w:contextualSpacing w:val="0"/>
      </w:pPr>
      <w:r w:rsidRPr="00C43F07">
        <w:t>Rapport de mission, séminaire de formation, Union africaine de radiodiffusion, Dakar, 10 et 1</w:t>
      </w:r>
      <w:r w:rsidR="006408BB" w:rsidRPr="00C43F07">
        <w:t>1</w:t>
      </w:r>
      <w:r w:rsidR="006408BB">
        <w:t> </w:t>
      </w:r>
      <w:r w:rsidR="006408BB" w:rsidRPr="00C43F07">
        <w:t>décembre</w:t>
      </w:r>
      <w:r w:rsidR="006408BB">
        <w:t> </w:t>
      </w:r>
      <w:r w:rsidR="006408BB" w:rsidRPr="00C43F07">
        <w:t>20</w:t>
      </w:r>
      <w:r w:rsidRPr="00C43F07">
        <w:t>17 et séminaire pour les juges, Saly (Sénégal), 12 et 1</w:t>
      </w:r>
      <w:r w:rsidR="006408BB" w:rsidRPr="00C43F07">
        <w:t>3</w:t>
      </w:r>
      <w:r w:rsidR="006408BB">
        <w:t> </w:t>
      </w:r>
      <w:r w:rsidR="006408BB" w:rsidRPr="00C43F07">
        <w:t>décembre</w:t>
      </w:r>
      <w:r w:rsidR="006408BB">
        <w:t> </w:t>
      </w:r>
      <w:r w:rsidR="006408BB" w:rsidRPr="00C43F07">
        <w:t>20</w:t>
      </w:r>
      <w:r w:rsidRPr="00C43F07">
        <w:t>17, Carole</w:t>
      </w:r>
      <w:r w:rsidR="0088350E">
        <w:t> </w:t>
      </w:r>
      <w:r w:rsidRPr="00C43F07">
        <w:t>Croella;</w:t>
      </w:r>
    </w:p>
    <w:p w:rsidR="001010BC" w:rsidRPr="00C43F07" w:rsidRDefault="001010BC" w:rsidP="0067547F">
      <w:pPr>
        <w:pStyle w:val="ListParagraph"/>
        <w:numPr>
          <w:ilvl w:val="0"/>
          <w:numId w:val="27"/>
        </w:numPr>
        <w:spacing w:after="120" w:line="260" w:lineRule="atLeast"/>
        <w:ind w:left="567" w:hanging="567"/>
        <w:contextualSpacing w:val="0"/>
      </w:pPr>
      <w:r w:rsidRPr="00C43F07">
        <w:t>Rapport de mission, séminaire sous</w:t>
      </w:r>
      <w:r w:rsidR="00917E31">
        <w:noBreakHyphen/>
      </w:r>
      <w:r w:rsidRPr="00C43F07">
        <w:t>régional sur la gestion collective des droits de l</w:t>
      </w:r>
      <w:r w:rsidR="006408BB">
        <w:t>’</w:t>
      </w:r>
      <w:r w:rsidRPr="00C43F07">
        <w:t>audiovisuel, El Jadida (Maroc), 9 et 1</w:t>
      </w:r>
      <w:r w:rsidR="006408BB" w:rsidRPr="00C43F07">
        <w:t>0</w:t>
      </w:r>
      <w:r w:rsidR="006408BB">
        <w:t> </w:t>
      </w:r>
      <w:r w:rsidR="006408BB" w:rsidRPr="00C43F07">
        <w:t>janvier</w:t>
      </w:r>
      <w:r w:rsidR="006408BB">
        <w:t> </w:t>
      </w:r>
      <w:r w:rsidR="006408BB" w:rsidRPr="00C43F07">
        <w:t>20</w:t>
      </w:r>
      <w:r w:rsidRPr="00C43F07">
        <w:t xml:space="preserve">18, </w:t>
      </w:r>
      <w:r w:rsidR="0088350E">
        <w:t>Sylvie Forbin</w:t>
      </w:r>
      <w:r w:rsidRPr="00C43F07">
        <w:t>, le 2</w:t>
      </w:r>
      <w:r w:rsidR="006408BB" w:rsidRPr="00C43F07">
        <w:t>5</w:t>
      </w:r>
      <w:r w:rsidR="006408BB">
        <w:t> </w:t>
      </w:r>
      <w:r w:rsidR="006408BB" w:rsidRPr="00C43F07">
        <w:t>janvier</w:t>
      </w:r>
      <w:r w:rsidR="006408BB">
        <w:t> </w:t>
      </w:r>
      <w:r w:rsidR="006408BB" w:rsidRPr="00C43F07">
        <w:t>20</w:t>
      </w:r>
      <w:r w:rsidRPr="00C43F07">
        <w:t>18;</w:t>
      </w:r>
    </w:p>
    <w:p w:rsidR="001010BC" w:rsidRPr="00C43F07" w:rsidRDefault="001010BC" w:rsidP="0067547F">
      <w:pPr>
        <w:pStyle w:val="ListParagraph"/>
        <w:numPr>
          <w:ilvl w:val="0"/>
          <w:numId w:val="27"/>
        </w:numPr>
        <w:spacing w:after="120" w:line="260" w:lineRule="atLeast"/>
        <w:ind w:left="567" w:hanging="567"/>
        <w:contextualSpacing w:val="0"/>
      </w:pPr>
      <w:r w:rsidRPr="00C43F07">
        <w:t>Recommandations du Séminaire sous</w:t>
      </w:r>
      <w:r w:rsidR="00917E31">
        <w:noBreakHyphen/>
      </w:r>
      <w:r w:rsidRPr="00C43F07">
        <w:t>régional sur la gestion collective des droits de l</w:t>
      </w:r>
      <w:r w:rsidR="006408BB">
        <w:t>’</w:t>
      </w:r>
      <w:r w:rsidRPr="00C43F07">
        <w:t>audiovisuel, El Jadida (Maroc), 9 et 1</w:t>
      </w:r>
      <w:r w:rsidR="006408BB" w:rsidRPr="00C43F07">
        <w:t>0</w:t>
      </w:r>
      <w:r w:rsidR="006408BB">
        <w:t> </w:t>
      </w:r>
      <w:r w:rsidR="006408BB" w:rsidRPr="00C43F07">
        <w:t>janvier</w:t>
      </w:r>
      <w:r w:rsidR="006408BB">
        <w:t> </w:t>
      </w:r>
      <w:r w:rsidR="006408BB" w:rsidRPr="00C43F07">
        <w:t>20</w:t>
      </w:r>
      <w:r w:rsidRPr="00C43F07">
        <w:t>18;</w:t>
      </w:r>
    </w:p>
    <w:p w:rsidR="001010BC" w:rsidRPr="00C43F07" w:rsidRDefault="001010BC" w:rsidP="0067547F">
      <w:pPr>
        <w:pStyle w:val="ListParagraph"/>
        <w:numPr>
          <w:ilvl w:val="0"/>
          <w:numId w:val="27"/>
        </w:numPr>
        <w:spacing w:after="120" w:line="260" w:lineRule="atLeast"/>
        <w:ind w:left="567" w:hanging="567"/>
        <w:contextualSpacing w:val="0"/>
      </w:pPr>
      <w:r w:rsidRPr="00C43F07">
        <w:t xml:space="preserve">Programme de la session </w:t>
      </w:r>
      <w:r w:rsidR="006408BB">
        <w:t>“</w:t>
      </w:r>
      <w:r w:rsidR="006408BB" w:rsidRPr="00C43F07">
        <w:t>L</w:t>
      </w:r>
      <w:r w:rsidRPr="00C43F07">
        <w:t>e droit d</w:t>
      </w:r>
      <w:r w:rsidR="006408BB">
        <w:t>’</w:t>
      </w:r>
      <w:r w:rsidRPr="00C43F07">
        <w:t>auteur et la structuration de l</w:t>
      </w:r>
      <w:r w:rsidR="006408BB">
        <w:t>’</w:t>
      </w:r>
      <w:r w:rsidRPr="00C43F07">
        <w:t>économie des séries audiovisuelles en Afriqu</w:t>
      </w:r>
      <w:r w:rsidR="006408BB" w:rsidRPr="00C43F07">
        <w:t>e</w:t>
      </w:r>
      <w:r w:rsidR="006408BB">
        <w:t>”</w:t>
      </w:r>
      <w:r w:rsidRPr="00C43F07">
        <w:t>, organisée par l</w:t>
      </w:r>
      <w:r w:rsidR="006408BB">
        <w:t>’</w:t>
      </w:r>
      <w:r w:rsidRPr="00C43F07">
        <w:t xml:space="preserve">Organisation Mondiale de la Propriété Intellectuelle (OMPI) et </w:t>
      </w:r>
      <w:r w:rsidR="006408BB">
        <w:t>“</w:t>
      </w:r>
      <w:r w:rsidR="006408BB" w:rsidRPr="00C43F07">
        <w:t>S</w:t>
      </w:r>
      <w:r w:rsidRPr="00C43F07">
        <w:t>érie Serie</w:t>
      </w:r>
      <w:r w:rsidR="006408BB" w:rsidRPr="00C43F07">
        <w:t>s</w:t>
      </w:r>
      <w:r w:rsidR="006408BB">
        <w:t>”</w:t>
      </w:r>
      <w:r w:rsidRPr="00C43F07">
        <w:t xml:space="preserve"> et le Bureau burkinabé du droit d</w:t>
      </w:r>
      <w:r w:rsidR="006408BB">
        <w:t>’</w:t>
      </w:r>
      <w:r w:rsidRPr="00C43F07">
        <w:t>auteur (BBDA), Ouagadougou (Burkina Faso), le</w:t>
      </w:r>
      <w:r w:rsidR="006408BB">
        <w:t xml:space="preserve"> 1</w:t>
      </w:r>
      <w:r w:rsidR="006408BB" w:rsidRPr="006408BB">
        <w:rPr>
          <w:vertAlign w:val="superscript"/>
        </w:rPr>
        <w:t>er</w:t>
      </w:r>
      <w:r w:rsidR="006408BB">
        <w:t> </w:t>
      </w:r>
      <w:r w:rsidR="006408BB" w:rsidRPr="00C43F07">
        <w:t>mars</w:t>
      </w:r>
      <w:r w:rsidR="006408BB">
        <w:t> </w:t>
      </w:r>
      <w:r w:rsidR="006408BB" w:rsidRPr="00C43F07">
        <w:t>20</w:t>
      </w:r>
      <w:r w:rsidRPr="00C43F07">
        <w:t>18.</w:t>
      </w:r>
    </w:p>
    <w:p w:rsidR="001010BC" w:rsidRPr="00C43F07" w:rsidRDefault="001010BC" w:rsidP="0067547F">
      <w:pPr>
        <w:pStyle w:val="ListParagraph"/>
        <w:numPr>
          <w:ilvl w:val="0"/>
          <w:numId w:val="27"/>
        </w:numPr>
        <w:spacing w:after="120" w:line="260" w:lineRule="atLeast"/>
        <w:ind w:left="567" w:hanging="567"/>
        <w:contextualSpacing w:val="0"/>
      </w:pPr>
      <w:r w:rsidRPr="00C43F07">
        <w:t>Résultat du projet</w:t>
      </w:r>
      <w:r w:rsidR="006408BB">
        <w:t> :</w:t>
      </w:r>
      <w:r w:rsidRPr="00C43F07">
        <w:t xml:space="preserve"> </w:t>
      </w:r>
      <w:r w:rsidR="001A15D0">
        <w:t>CDIP/</w:t>
      </w:r>
      <w:r w:rsidR="001A15D0" w:rsidRPr="00C43F07">
        <w:t>2</w:t>
      </w:r>
      <w:r w:rsidRPr="00C43F07">
        <w:t>1/INF2, 2</w:t>
      </w:r>
      <w:r w:rsidR="006408BB" w:rsidRPr="00C43F07">
        <w:t>1</w:t>
      </w:r>
      <w:r w:rsidR="006408BB">
        <w:t> </w:t>
      </w:r>
      <w:r w:rsidR="006408BB" w:rsidRPr="00C43F07">
        <w:t>mars</w:t>
      </w:r>
      <w:r w:rsidR="006408BB">
        <w:t> </w:t>
      </w:r>
      <w:r w:rsidR="006408BB" w:rsidRPr="00C43F07">
        <w:t>20</w:t>
      </w:r>
      <w:r w:rsidRPr="00C43F07">
        <w:t>18, Étude de faisabilité sur l</w:t>
      </w:r>
      <w:r w:rsidR="006408BB">
        <w:t>’</w:t>
      </w:r>
      <w:r w:rsidRPr="00C43F07">
        <w:t>amélioration de la collecte de données économiques sur le secteur de l</w:t>
      </w:r>
      <w:r w:rsidR="006408BB">
        <w:t>’</w:t>
      </w:r>
      <w:r w:rsidRPr="00C43F07">
        <w:t>audiovisuel dans plusieurs pays africains, document établi par Mme</w:t>
      </w:r>
      <w:r w:rsidR="005839C0">
        <w:t> </w:t>
      </w:r>
      <w:r w:rsidRPr="00C43F07">
        <w:t>Deirdre Kevin, consultante dans le domaine des médias, en collaboration avec Mme</w:t>
      </w:r>
      <w:r w:rsidR="005839C0">
        <w:t> </w:t>
      </w:r>
      <w:r w:rsidRPr="00C43F07">
        <w:t>Sahar Ali, consultante dans le domaine des médias et journaliste;</w:t>
      </w:r>
    </w:p>
    <w:p w:rsidR="001010BC" w:rsidRPr="00C43F07" w:rsidRDefault="001010BC" w:rsidP="0067547F">
      <w:pPr>
        <w:pStyle w:val="ListParagraph"/>
        <w:numPr>
          <w:ilvl w:val="0"/>
          <w:numId w:val="27"/>
        </w:numPr>
        <w:spacing w:after="120" w:line="260" w:lineRule="atLeast"/>
        <w:ind w:left="567" w:hanging="567"/>
        <w:contextualSpacing w:val="0"/>
      </w:pPr>
      <w:r w:rsidRPr="00C43F07">
        <w:t>Rapport de mission, atelier de validation du projet de loi portant sur la révision de la loi sur le droit d</w:t>
      </w:r>
      <w:r w:rsidR="006408BB">
        <w:t>’</w:t>
      </w:r>
      <w:r w:rsidRPr="00C43F07">
        <w:t>auteur, atelier de formation sur le droit d</w:t>
      </w:r>
      <w:r w:rsidR="006408BB">
        <w:t>’</w:t>
      </w:r>
      <w:r w:rsidRPr="00C43F07">
        <w:t xml:space="preserve">auteur dans le cadre du marché </w:t>
      </w:r>
      <w:r w:rsidR="006408BB">
        <w:t>“</w:t>
      </w:r>
      <w:r w:rsidR="006408BB" w:rsidRPr="00C43F07">
        <w:t>S</w:t>
      </w:r>
      <w:r w:rsidRPr="00C43F07">
        <w:t>érie Serie</w:t>
      </w:r>
      <w:r w:rsidR="006408BB" w:rsidRPr="00C43F07">
        <w:t>s</w:t>
      </w:r>
      <w:r w:rsidR="006408BB">
        <w:t>”</w:t>
      </w:r>
      <w:r w:rsidRPr="00C43F07">
        <w:t>, Ou</w:t>
      </w:r>
      <w:r w:rsidR="0088350E">
        <w:t>ag</w:t>
      </w:r>
      <w:r w:rsidRPr="00C43F07">
        <w:t>adougou (Burkina Faso), du 2</w:t>
      </w:r>
      <w:r w:rsidR="006408BB" w:rsidRPr="00C43F07">
        <w:t>7</w:t>
      </w:r>
      <w:r w:rsidR="006408BB">
        <w:t> </w:t>
      </w:r>
      <w:r w:rsidR="006408BB" w:rsidRPr="00C43F07">
        <w:t>février</w:t>
      </w:r>
      <w:r w:rsidRPr="00C43F07">
        <w:t xml:space="preserve"> au </w:t>
      </w:r>
      <w:r w:rsidR="006408BB" w:rsidRPr="00C43F07">
        <w:t>5</w:t>
      </w:r>
      <w:r w:rsidR="006408BB">
        <w:t> </w:t>
      </w:r>
      <w:r w:rsidR="006408BB" w:rsidRPr="00C43F07">
        <w:t>mars</w:t>
      </w:r>
      <w:r w:rsidR="006408BB">
        <w:t> </w:t>
      </w:r>
      <w:r w:rsidR="006408BB" w:rsidRPr="00C43F07">
        <w:t>20</w:t>
      </w:r>
      <w:r w:rsidRPr="00C43F07">
        <w:t>18, Carole Croella,</w:t>
      </w:r>
      <w:r w:rsidR="006408BB">
        <w:t xml:space="preserve"> 1</w:t>
      </w:r>
      <w:r w:rsidR="006408BB" w:rsidRPr="006408BB">
        <w:rPr>
          <w:vertAlign w:val="superscript"/>
        </w:rPr>
        <w:t>er</w:t>
      </w:r>
      <w:r w:rsidR="006408BB">
        <w:t> </w:t>
      </w:r>
      <w:r w:rsidR="006408BB" w:rsidRPr="00C43F07">
        <w:t>juin</w:t>
      </w:r>
      <w:r w:rsidR="006408BB">
        <w:t> </w:t>
      </w:r>
      <w:r w:rsidR="006408BB" w:rsidRPr="00C43F07">
        <w:t>20</w:t>
      </w:r>
      <w:r w:rsidRPr="00C43F07">
        <w:t>18;</w:t>
      </w:r>
    </w:p>
    <w:p w:rsidR="001010BC" w:rsidRPr="00C43F07" w:rsidRDefault="001010BC" w:rsidP="0067547F">
      <w:pPr>
        <w:pStyle w:val="ListParagraph"/>
        <w:numPr>
          <w:ilvl w:val="0"/>
          <w:numId w:val="27"/>
        </w:numPr>
        <w:spacing w:after="120" w:line="260" w:lineRule="atLeast"/>
        <w:ind w:left="567" w:hanging="567"/>
        <w:contextualSpacing w:val="0"/>
      </w:pPr>
      <w:r w:rsidRPr="00C43F07">
        <w:t>Rapport de mission sur le suivi de l</w:t>
      </w:r>
      <w:r w:rsidR="006408BB">
        <w:t>’</w:t>
      </w:r>
      <w:r w:rsidRPr="00C43F07">
        <w:t>atelier de formation sur le droit d</w:t>
      </w:r>
      <w:r w:rsidR="006408BB">
        <w:t>’</w:t>
      </w:r>
      <w:r w:rsidRPr="00C43F07">
        <w:t xml:space="preserve">auteur intitulé </w:t>
      </w:r>
      <w:r w:rsidR="006408BB">
        <w:t>“</w:t>
      </w:r>
      <w:r w:rsidR="006408BB" w:rsidRPr="00C43F07">
        <w:t>A</w:t>
      </w:r>
      <w:r w:rsidRPr="00C43F07">
        <w:t>ccroître la rentabilité des transactions fondées sur le droit d</w:t>
      </w:r>
      <w:r w:rsidR="006408BB">
        <w:t>’</w:t>
      </w:r>
      <w:r w:rsidRPr="00C43F07">
        <w:t>auteur dans le secteur de l</w:t>
      </w:r>
      <w:r w:rsidR="006408BB">
        <w:t>’</w:t>
      </w:r>
      <w:r w:rsidRPr="00C43F07">
        <w:t>audiovisuel</w:t>
      </w:r>
      <w:r w:rsidR="006408BB">
        <w:t> :</w:t>
      </w:r>
      <w:r w:rsidRPr="00C43F07">
        <w:t xml:space="preserve"> cadre de politique générale</w:t>
      </w:r>
      <w:r w:rsidR="002140BE">
        <w:t>”</w:t>
      </w:r>
      <w:r w:rsidRPr="00C43F07">
        <w:t xml:space="preserve">; </w:t>
      </w:r>
      <w:r w:rsidR="005839C0">
        <w:t xml:space="preserve"> </w:t>
      </w:r>
      <w:r w:rsidRPr="00C43F07">
        <w:t>atelier d</w:t>
      </w:r>
      <w:r w:rsidR="006408BB">
        <w:t>’</w:t>
      </w:r>
      <w:r w:rsidRPr="00C43F07">
        <w:t>arbitrage;</w:t>
      </w:r>
      <w:r w:rsidR="005839C0">
        <w:t xml:space="preserve"> </w:t>
      </w:r>
      <w:r w:rsidRPr="00C43F07">
        <w:t xml:space="preserve"> et participation à la table ronde sur la politique à suivre – Kalasha, International TV and Film Market, Nairobi (Kenya), 23</w:t>
      </w:r>
      <w:r w:rsidR="00917E31">
        <w:noBreakHyphen/>
      </w:r>
      <w:r w:rsidRPr="00C43F07">
        <w:t>2</w:t>
      </w:r>
      <w:r w:rsidR="006408BB" w:rsidRPr="00C43F07">
        <w:t>9</w:t>
      </w:r>
      <w:r w:rsidR="006408BB">
        <w:t> </w:t>
      </w:r>
      <w:r w:rsidR="006408BB" w:rsidRPr="00C43F07">
        <w:t>mars</w:t>
      </w:r>
      <w:r w:rsidR="006408BB">
        <w:t> </w:t>
      </w:r>
      <w:r w:rsidR="006408BB" w:rsidRPr="00C43F07">
        <w:t>20</w:t>
      </w:r>
      <w:r w:rsidRPr="00C43F07">
        <w:t>18, Carole Croella, 2</w:t>
      </w:r>
      <w:r w:rsidR="006408BB" w:rsidRPr="00C43F07">
        <w:t>9</w:t>
      </w:r>
      <w:r w:rsidR="006408BB">
        <w:t> </w:t>
      </w:r>
      <w:r w:rsidR="006408BB" w:rsidRPr="00C43F07">
        <w:t>juin</w:t>
      </w:r>
      <w:r w:rsidR="006408BB">
        <w:t> </w:t>
      </w:r>
      <w:r w:rsidR="006408BB" w:rsidRPr="00C43F07">
        <w:t>20</w:t>
      </w:r>
      <w:r w:rsidRPr="00C43F07">
        <w:t>18;</w:t>
      </w:r>
    </w:p>
    <w:p w:rsidR="001010BC" w:rsidRPr="00C43F07" w:rsidRDefault="001010BC" w:rsidP="0067547F">
      <w:pPr>
        <w:pStyle w:val="ListParagraph"/>
        <w:numPr>
          <w:ilvl w:val="0"/>
          <w:numId w:val="27"/>
        </w:numPr>
        <w:spacing w:after="120" w:line="260" w:lineRule="atLeast"/>
        <w:ind w:left="567" w:hanging="567"/>
        <w:contextualSpacing w:val="0"/>
      </w:pPr>
      <w:r w:rsidRPr="00C43F07">
        <w:t>Séminaire régional sur l</w:t>
      </w:r>
      <w:r w:rsidR="006408BB">
        <w:t>’</w:t>
      </w:r>
      <w:r w:rsidRPr="00C43F07">
        <w:t>élaboration de systèmes de rémunération pour copie privée en Afrique, 11</w:t>
      </w:r>
      <w:r w:rsidR="00917E31">
        <w:noBreakHyphen/>
      </w:r>
      <w:r w:rsidRPr="00C43F07">
        <w:t>1</w:t>
      </w:r>
      <w:r w:rsidR="006408BB" w:rsidRPr="00C43F07">
        <w:t>3</w:t>
      </w:r>
      <w:r w:rsidR="006408BB">
        <w:t> </w:t>
      </w:r>
      <w:r w:rsidR="006408BB" w:rsidRPr="00C43F07">
        <w:t>septembre</w:t>
      </w:r>
      <w:r w:rsidR="006408BB">
        <w:t> </w:t>
      </w:r>
      <w:r w:rsidR="006408BB" w:rsidRPr="00C43F07">
        <w:t>20</w:t>
      </w:r>
      <w:r w:rsidRPr="00C43F07">
        <w:t>18 (coorganisé par l</w:t>
      </w:r>
      <w:r w:rsidR="006408BB">
        <w:t>’</w:t>
      </w:r>
      <w:r w:rsidRPr="00C43F07">
        <w:t>OMPI).</w:t>
      </w:r>
    </w:p>
    <w:p w:rsidR="001010BC" w:rsidRPr="00C43F07" w:rsidRDefault="001010BC" w:rsidP="0067547F">
      <w:pPr>
        <w:keepNext/>
        <w:spacing w:after="120" w:line="260" w:lineRule="atLeast"/>
        <w:rPr>
          <w:b/>
        </w:rPr>
      </w:pPr>
      <w:r w:rsidRPr="00C43F07">
        <w:rPr>
          <w:b/>
        </w:rPr>
        <w:lastRenderedPageBreak/>
        <w:t>Documents relatifs au projet CDIP</w:t>
      </w:r>
      <w:r w:rsidR="0088350E">
        <w:rPr>
          <w:b/>
        </w:rPr>
        <w:t>/</w:t>
      </w:r>
      <w:r w:rsidRPr="00C43F07">
        <w:rPr>
          <w:b/>
        </w:rPr>
        <w:t>9/13 (Phase I)</w:t>
      </w:r>
    </w:p>
    <w:p w:rsidR="001010BC" w:rsidRPr="00C43F07" w:rsidRDefault="001010BC" w:rsidP="0067547F">
      <w:pPr>
        <w:pStyle w:val="ListParagraph"/>
        <w:numPr>
          <w:ilvl w:val="0"/>
          <w:numId w:val="28"/>
        </w:numPr>
        <w:spacing w:after="120" w:line="260" w:lineRule="atLeast"/>
        <w:ind w:left="567" w:hanging="567"/>
        <w:contextualSpacing w:val="0"/>
      </w:pPr>
      <w:r w:rsidRPr="00C43F07">
        <w:t>Descriptif du projet</w:t>
      </w:r>
      <w:r w:rsidR="006408BB">
        <w:t> :</w:t>
      </w:r>
      <w:r w:rsidRPr="00C43F07">
        <w:t xml:space="preserve"> CDIP</w:t>
      </w:r>
      <w:r w:rsidR="0088350E">
        <w:t>/</w:t>
      </w:r>
      <w:r w:rsidRPr="00C43F07">
        <w:t xml:space="preserve">9/13, annexe, projet </w:t>
      </w:r>
      <w:r w:rsidR="0088350E">
        <w:t>“</w:t>
      </w:r>
      <w:r w:rsidRPr="00C43F07">
        <w:t>Renforcement et développement du secteur de l</w:t>
      </w:r>
      <w:r w:rsidR="006408BB">
        <w:t>’</w:t>
      </w:r>
      <w:r w:rsidRPr="00C43F07">
        <w:t>audiovisuel au Burkina Faso et dans certains pays africain</w:t>
      </w:r>
      <w:r w:rsidR="006408BB" w:rsidRPr="00C43F07">
        <w:t>s</w:t>
      </w:r>
      <w:r w:rsidR="006408BB">
        <w:t>”</w:t>
      </w:r>
      <w:r w:rsidRPr="00C43F07">
        <w:t xml:space="preserve"> (projet DA_1_2_4_10_11);</w:t>
      </w:r>
    </w:p>
    <w:p w:rsidR="001010BC" w:rsidRPr="00C43F07" w:rsidRDefault="001010BC" w:rsidP="0067547F">
      <w:pPr>
        <w:pStyle w:val="ListParagraph"/>
        <w:numPr>
          <w:ilvl w:val="0"/>
          <w:numId w:val="28"/>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CDIP</w:t>
      </w:r>
      <w:r w:rsidR="0088350E">
        <w:t>/</w:t>
      </w:r>
      <w:r w:rsidRPr="00C43F07">
        <w:t>12/2, 1</w:t>
      </w:r>
      <w:r w:rsidR="006408BB" w:rsidRPr="00C43F07">
        <w:t>2</w:t>
      </w:r>
      <w:r w:rsidR="006408BB">
        <w:t> </w:t>
      </w:r>
      <w:r w:rsidR="006408BB" w:rsidRPr="00C43F07">
        <w:t>septembre</w:t>
      </w:r>
      <w:r w:rsidR="006408BB">
        <w:t> </w:t>
      </w:r>
      <w:r w:rsidR="006408BB" w:rsidRPr="00C43F07">
        <w:t>20</w:t>
      </w:r>
      <w:r w:rsidRPr="00C43F07">
        <w:t xml:space="preserve">13, </w:t>
      </w:r>
      <w:r w:rsidR="006408BB" w:rsidRPr="00C43F07">
        <w:t>annexe</w:t>
      </w:r>
      <w:r w:rsidR="006408BB">
        <w:t> </w:t>
      </w:r>
      <w:r w:rsidR="006408BB" w:rsidRPr="00C43F07">
        <w:t>X</w:t>
      </w:r>
      <w:r w:rsidRPr="00C43F07">
        <w:t xml:space="preserve">II, projet </w:t>
      </w:r>
      <w:r w:rsidR="006408BB">
        <w:t>“</w:t>
      </w:r>
      <w:r w:rsidR="006408BB" w:rsidRPr="00C43F07">
        <w:t>R</w:t>
      </w:r>
      <w:r w:rsidRPr="00C43F07">
        <w:t>enforcement et développement du secteur de l</w:t>
      </w:r>
      <w:r w:rsidR="006408BB">
        <w:t>’</w:t>
      </w:r>
      <w:r w:rsidRPr="00C43F07">
        <w:t>audiovisuel au Burkina Faso et dans certains pays africain</w:t>
      </w:r>
      <w:r w:rsidR="006408BB" w:rsidRPr="00C43F07">
        <w:t>s</w:t>
      </w:r>
      <w:r w:rsidR="006408BB">
        <w:t>”</w:t>
      </w:r>
      <w:r w:rsidRPr="00C43F07">
        <w:t>;</w:t>
      </w:r>
    </w:p>
    <w:p w:rsidR="001010BC" w:rsidRPr="00C43F07" w:rsidRDefault="001010BC" w:rsidP="0067547F">
      <w:pPr>
        <w:pStyle w:val="ListParagraph"/>
        <w:numPr>
          <w:ilvl w:val="0"/>
          <w:numId w:val="28"/>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CDIP</w:t>
      </w:r>
      <w:r w:rsidR="0088350E">
        <w:t>/</w:t>
      </w:r>
      <w:r w:rsidRPr="00C43F07">
        <w:t>14/2, 2</w:t>
      </w:r>
      <w:r w:rsidR="006408BB" w:rsidRPr="00C43F07">
        <w:t>8</w:t>
      </w:r>
      <w:r w:rsidR="006408BB">
        <w:t> </w:t>
      </w:r>
      <w:r w:rsidR="006408BB" w:rsidRPr="00C43F07">
        <w:t>août</w:t>
      </w:r>
      <w:r w:rsidR="006408BB">
        <w:t> </w:t>
      </w:r>
      <w:r w:rsidR="006408BB" w:rsidRPr="00C43F07">
        <w:t>20</w:t>
      </w:r>
      <w:r w:rsidRPr="00C43F07">
        <w:t xml:space="preserve">13, </w:t>
      </w:r>
      <w:r w:rsidR="006408BB" w:rsidRPr="00C43F07">
        <w:t>annexe</w:t>
      </w:r>
      <w:r w:rsidR="006408BB">
        <w:t> </w:t>
      </w:r>
      <w:r w:rsidR="006408BB" w:rsidRPr="00C43F07">
        <w:t>I</w:t>
      </w:r>
      <w:r w:rsidRPr="00C43F07">
        <w:t xml:space="preserve">V, projet </w:t>
      </w:r>
      <w:r w:rsidR="006408BB">
        <w:t>“</w:t>
      </w:r>
      <w:r w:rsidR="006408BB" w:rsidRPr="00C43F07">
        <w:t>R</w:t>
      </w:r>
      <w:r w:rsidRPr="00C43F07">
        <w:t>enforcement et développement du secteur de l</w:t>
      </w:r>
      <w:r w:rsidR="006408BB">
        <w:t>’</w:t>
      </w:r>
      <w:r w:rsidRPr="00C43F07">
        <w:t>audiovisuel au Burkina Faso et dans certains pays africain</w:t>
      </w:r>
      <w:r w:rsidR="006408BB" w:rsidRPr="00C43F07">
        <w:t>s</w:t>
      </w:r>
      <w:r w:rsidR="006408BB">
        <w:t>”</w:t>
      </w:r>
      <w:r w:rsidRPr="00C43F07">
        <w:t>;</w:t>
      </w:r>
    </w:p>
    <w:p w:rsidR="001010BC" w:rsidRPr="00C43F07" w:rsidRDefault="001010BC" w:rsidP="0067547F">
      <w:pPr>
        <w:pStyle w:val="ListParagraph"/>
        <w:numPr>
          <w:ilvl w:val="0"/>
          <w:numId w:val="28"/>
        </w:numPr>
        <w:spacing w:after="120" w:line="260" w:lineRule="atLeast"/>
        <w:ind w:left="567" w:hanging="567"/>
        <w:contextualSpacing w:val="0"/>
      </w:pPr>
      <w:r w:rsidRPr="00C43F07">
        <w:t>Rapport sur l</w:t>
      </w:r>
      <w:r w:rsidR="006408BB">
        <w:t>’</w:t>
      </w:r>
      <w:r w:rsidRPr="00C43F07">
        <w:t>état d</w:t>
      </w:r>
      <w:r w:rsidR="006408BB">
        <w:t>’</w:t>
      </w:r>
      <w:r w:rsidRPr="00C43F07">
        <w:t>avancement des travaux</w:t>
      </w:r>
      <w:r w:rsidR="006408BB">
        <w:t> :</w:t>
      </w:r>
      <w:r w:rsidRPr="00C43F07">
        <w:t xml:space="preserve"> CDIP</w:t>
      </w:r>
      <w:r w:rsidR="0088350E">
        <w:t>/</w:t>
      </w:r>
      <w:r w:rsidRPr="00C43F07">
        <w:t>16/2, 1</w:t>
      </w:r>
      <w:r w:rsidR="006408BB" w:rsidRPr="00C43F07">
        <w:t>3</w:t>
      </w:r>
      <w:r w:rsidR="006408BB">
        <w:t> </w:t>
      </w:r>
      <w:r w:rsidR="006408BB" w:rsidRPr="00C43F07">
        <w:t>août</w:t>
      </w:r>
      <w:r w:rsidR="006408BB">
        <w:t> </w:t>
      </w:r>
      <w:r w:rsidR="006408BB" w:rsidRPr="00C43F07">
        <w:t>20</w:t>
      </w:r>
      <w:r w:rsidRPr="00C43F07">
        <w:t xml:space="preserve">15, </w:t>
      </w:r>
      <w:r w:rsidR="006408BB" w:rsidRPr="00C43F07">
        <w:t>annexe</w:t>
      </w:r>
      <w:r w:rsidR="006408BB">
        <w:t> </w:t>
      </w:r>
      <w:r w:rsidR="006408BB" w:rsidRPr="00C43F07">
        <w:t>I</w:t>
      </w:r>
      <w:r w:rsidRPr="00C43F07">
        <w:t xml:space="preserve">, projet </w:t>
      </w:r>
      <w:r w:rsidR="006408BB">
        <w:t>“</w:t>
      </w:r>
      <w:r w:rsidR="006408BB" w:rsidRPr="00C43F07">
        <w:t>R</w:t>
      </w:r>
      <w:r w:rsidRPr="00C43F07">
        <w:t>enforcement et développement du secteur de l</w:t>
      </w:r>
      <w:r w:rsidR="006408BB">
        <w:t>’</w:t>
      </w:r>
      <w:r w:rsidRPr="00C43F07">
        <w:t>audiovisuel au Burkina Faso et dans certains pays africain</w:t>
      </w:r>
      <w:r w:rsidR="006408BB" w:rsidRPr="00C43F07">
        <w:t>s</w:t>
      </w:r>
      <w:r w:rsidR="006408BB">
        <w:t>”</w:t>
      </w:r>
      <w:r w:rsidRPr="00C43F07">
        <w:t>;</w:t>
      </w:r>
    </w:p>
    <w:p w:rsidR="001010BC" w:rsidRPr="00C43F07" w:rsidRDefault="001010BC" w:rsidP="0067547F">
      <w:pPr>
        <w:pStyle w:val="ListParagraph"/>
        <w:numPr>
          <w:ilvl w:val="0"/>
          <w:numId w:val="28"/>
        </w:numPr>
        <w:spacing w:after="120" w:line="260" w:lineRule="atLeast"/>
        <w:ind w:left="567" w:hanging="567"/>
        <w:contextualSpacing w:val="0"/>
      </w:pPr>
      <w:r w:rsidRPr="00C43F07">
        <w:t>Évaluation finale</w:t>
      </w:r>
      <w:r w:rsidR="006408BB">
        <w:t> :</w:t>
      </w:r>
      <w:r w:rsidRPr="00C43F07">
        <w:t xml:space="preserve"> CDIP</w:t>
      </w:r>
      <w:r w:rsidR="0088350E">
        <w:t>/</w:t>
      </w:r>
      <w:r w:rsidRPr="00C43F07">
        <w:t>17/3, 2</w:t>
      </w:r>
      <w:r w:rsidR="006408BB" w:rsidRPr="00C43F07">
        <w:t>1</w:t>
      </w:r>
      <w:r w:rsidR="006408BB">
        <w:t> </w:t>
      </w:r>
      <w:r w:rsidR="006408BB" w:rsidRPr="00C43F07">
        <w:t>janvier</w:t>
      </w:r>
      <w:r w:rsidR="006408BB">
        <w:t> </w:t>
      </w:r>
      <w:r w:rsidR="006408BB" w:rsidRPr="00C43F07">
        <w:t>20</w:t>
      </w:r>
      <w:r w:rsidRPr="00C43F07">
        <w:t>16, rapport d</w:t>
      </w:r>
      <w:r w:rsidR="006408BB">
        <w:t>’</w:t>
      </w:r>
      <w:r w:rsidRPr="00C43F07">
        <w:t>évaluation externe indépendant sur le projet relatif au renforcement et au développement du secteur de l</w:t>
      </w:r>
      <w:r w:rsidR="006408BB">
        <w:t>’</w:t>
      </w:r>
      <w:r w:rsidRPr="00C43F07">
        <w:t>audiovisuel au Burkina Faso et dans certains pays africains, réalisé par M.</w:t>
      </w:r>
      <w:r w:rsidR="005839C0">
        <w:t> </w:t>
      </w:r>
      <w:r w:rsidRPr="00C43F07">
        <w:t>Glenn O</w:t>
      </w:r>
      <w:r w:rsidR="006408BB">
        <w:t>’</w:t>
      </w:r>
      <w:r w:rsidRPr="00C43F07">
        <w:t>Neil, fondateur d</w:t>
      </w:r>
      <w:r w:rsidR="006408BB">
        <w:t>’</w:t>
      </w:r>
      <w:r w:rsidRPr="00C43F07">
        <w:t>Owl RE, Genève;</w:t>
      </w:r>
    </w:p>
    <w:p w:rsidR="001010BC" w:rsidRPr="00C43F07" w:rsidRDefault="001010BC" w:rsidP="0067547F">
      <w:pPr>
        <w:pStyle w:val="ListParagraph"/>
        <w:numPr>
          <w:ilvl w:val="0"/>
          <w:numId w:val="28"/>
        </w:numPr>
        <w:spacing w:after="120" w:line="260" w:lineRule="atLeast"/>
        <w:ind w:left="567" w:hanging="567"/>
        <w:contextualSpacing w:val="0"/>
      </w:pPr>
      <w:r w:rsidRPr="00C43F07">
        <w:t>Résultat du projet</w:t>
      </w:r>
      <w:r w:rsidR="006408BB">
        <w:t> :</w:t>
      </w:r>
      <w:r w:rsidRPr="00C43F07">
        <w:t xml:space="preserve"> CDIP</w:t>
      </w:r>
      <w:r w:rsidR="0088350E">
        <w:t>/</w:t>
      </w:r>
      <w:r w:rsidRPr="00C43F07">
        <w:t>12/INF/3, Étude exploratoire sur le renforcement et le développement du secteur de l</w:t>
      </w:r>
      <w:r w:rsidR="006408BB">
        <w:t>’</w:t>
      </w:r>
      <w:r w:rsidRPr="00C43F07">
        <w:t>audiovisuel au Burkina Faso et dans certains pays africains, réalisée dans le cadre du projet CDIP/9/13, établie par MM.</w:t>
      </w:r>
      <w:r w:rsidR="005839C0">
        <w:t> </w:t>
      </w:r>
      <w:r w:rsidRPr="00C43F07">
        <w:t>Bertrand</w:t>
      </w:r>
      <w:r w:rsidR="0088350E">
        <w:t> </w:t>
      </w:r>
      <w:r w:rsidRPr="00C43F07">
        <w:t>Moullier et Beno</w:t>
      </w:r>
      <w:r w:rsidR="0088350E">
        <w:t>î</w:t>
      </w:r>
      <w:r w:rsidRPr="00C43F07">
        <w:t>t</w:t>
      </w:r>
      <w:r w:rsidR="0088350E">
        <w:t> </w:t>
      </w:r>
      <w:r w:rsidRPr="00C43F07">
        <w:t>Muller, consultants de l</w:t>
      </w:r>
      <w:r w:rsidR="006408BB">
        <w:t>’</w:t>
      </w:r>
      <w:r w:rsidRPr="00C43F07">
        <w:t>OMPI.</w:t>
      </w:r>
    </w:p>
    <w:p w:rsidR="001010BC" w:rsidRPr="00C43F07" w:rsidRDefault="001010BC" w:rsidP="001010BC">
      <w:pPr>
        <w:spacing w:after="120" w:line="260" w:lineRule="atLeast"/>
        <w:rPr>
          <w:b/>
        </w:rPr>
      </w:pPr>
      <w:r w:rsidRPr="00C43F07">
        <w:rPr>
          <w:b/>
        </w:rPr>
        <w:t>Autres documents</w:t>
      </w:r>
    </w:p>
    <w:p w:rsidR="001010BC" w:rsidRPr="00C43F07" w:rsidRDefault="001010BC" w:rsidP="0067547F">
      <w:pPr>
        <w:pStyle w:val="ListParagraph"/>
        <w:numPr>
          <w:ilvl w:val="0"/>
          <w:numId w:val="29"/>
        </w:numPr>
        <w:spacing w:after="120" w:line="260" w:lineRule="atLeast"/>
        <w:ind w:left="567" w:hanging="567"/>
        <w:contextualSpacing w:val="0"/>
      </w:pPr>
      <w:r w:rsidRPr="00C43F07">
        <w:t xml:space="preserve">Directive </w:t>
      </w:r>
      <w:r w:rsidR="0088350E">
        <w:t>n° </w:t>
      </w:r>
      <w:r w:rsidRPr="00C43F07">
        <w:t>02/2018/CM/UEMOA portant sur l</w:t>
      </w:r>
      <w:r w:rsidR="006408BB">
        <w:t>’</w:t>
      </w:r>
      <w:r w:rsidRPr="00C43F07">
        <w:t>harmonisation des dispositions relatives au droit d</w:t>
      </w:r>
      <w:r w:rsidR="006408BB">
        <w:t>’</w:t>
      </w:r>
      <w:r w:rsidRPr="00C43F07">
        <w:t>auteur et aux droits voisins dans le domaine de l</w:t>
      </w:r>
      <w:r w:rsidR="006408BB">
        <w:t>’</w:t>
      </w:r>
      <w:r w:rsidRPr="00C43F07">
        <w:t>image au sein de l</w:t>
      </w:r>
      <w:r w:rsidR="006408BB">
        <w:t>’</w:t>
      </w:r>
      <w:r w:rsidRPr="00C43F07">
        <w:t>UEMOA;</w:t>
      </w:r>
    </w:p>
    <w:p w:rsidR="001010BC" w:rsidRPr="00C43F07" w:rsidRDefault="001010BC" w:rsidP="0067547F">
      <w:pPr>
        <w:pStyle w:val="ListParagraph"/>
        <w:numPr>
          <w:ilvl w:val="0"/>
          <w:numId w:val="29"/>
        </w:numPr>
        <w:spacing w:after="120" w:line="260" w:lineRule="atLeast"/>
        <w:ind w:left="567" w:hanging="567"/>
        <w:contextualSpacing w:val="0"/>
      </w:pPr>
      <w:r w:rsidRPr="00C43F07">
        <w:t>La veille stratégique</w:t>
      </w:r>
      <w:r w:rsidR="006408BB">
        <w:t> :</w:t>
      </w:r>
      <w:r w:rsidRPr="00C43F07">
        <w:t xml:space="preserve"> un outil indispensable dans le renforcement du secteur de l</w:t>
      </w:r>
      <w:r w:rsidR="006408BB">
        <w:t>’</w:t>
      </w:r>
      <w:r w:rsidRPr="00C43F07">
        <w:t>audiovisuel en Afrique, par Deirdre Kevin, consultante dans le domaine des médias.</w:t>
      </w:r>
    </w:p>
    <w:p w:rsidR="001010BC" w:rsidRDefault="001010BC" w:rsidP="001010BC">
      <w:pPr>
        <w:spacing w:after="120" w:line="260" w:lineRule="atLeast"/>
      </w:pPr>
    </w:p>
    <w:p w:rsidR="0067547F" w:rsidRPr="00C43F07" w:rsidRDefault="0067547F" w:rsidP="001010BC">
      <w:pPr>
        <w:spacing w:after="120" w:line="260" w:lineRule="atLeast"/>
      </w:pPr>
    </w:p>
    <w:p w:rsidR="001010BC" w:rsidRPr="00EF05D8" w:rsidRDefault="001010BC" w:rsidP="0067547F">
      <w:pPr>
        <w:pStyle w:val="Endofdocument-Annex"/>
        <w:rPr>
          <w:lang w:val="fr-CH"/>
        </w:rPr>
      </w:pPr>
      <w:r w:rsidRPr="00EF05D8">
        <w:rPr>
          <w:lang w:val="fr-CH"/>
        </w:rPr>
        <w:t>[Fin de l</w:t>
      </w:r>
      <w:r w:rsidR="006408BB" w:rsidRPr="00EF05D8">
        <w:rPr>
          <w:lang w:val="fr-CH"/>
        </w:rPr>
        <w:t>’</w:t>
      </w:r>
      <w:r w:rsidRPr="00EF05D8">
        <w:rPr>
          <w:lang w:val="fr-CH"/>
        </w:rPr>
        <w:t>appendice</w:t>
      </w:r>
      <w:r w:rsidR="0088350E" w:rsidRPr="00EF05D8">
        <w:rPr>
          <w:lang w:val="fr-CH"/>
        </w:rPr>
        <w:t> </w:t>
      </w:r>
      <w:r w:rsidRPr="00EF05D8">
        <w:rPr>
          <w:lang w:val="fr-CH"/>
        </w:rPr>
        <w:t>IV et du document]</w:t>
      </w:r>
    </w:p>
    <w:p w:rsidR="001010BC" w:rsidRPr="00C43F07" w:rsidRDefault="001010BC" w:rsidP="0067547F"/>
    <w:p w:rsidR="001010BC" w:rsidRPr="00C43F07" w:rsidRDefault="001010BC" w:rsidP="0067547F"/>
    <w:sectPr w:rsidR="001010BC" w:rsidRPr="00C43F07" w:rsidSect="00423BE0">
      <w:headerReference w:type="default" r:id="rId19"/>
      <w:headerReference w:type="first" r:id="rId2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0E" w:rsidRDefault="0088350E">
      <w:r>
        <w:separator/>
      </w:r>
    </w:p>
  </w:endnote>
  <w:endnote w:type="continuationSeparator" w:id="0">
    <w:p w:rsidR="0088350E" w:rsidRDefault="0088350E" w:rsidP="003B38C1">
      <w:r>
        <w:separator/>
      </w:r>
    </w:p>
    <w:p w:rsidR="0088350E" w:rsidRPr="003B38C1" w:rsidRDefault="0088350E" w:rsidP="003B38C1">
      <w:pPr>
        <w:spacing w:after="60"/>
        <w:rPr>
          <w:sz w:val="17"/>
        </w:rPr>
      </w:pPr>
      <w:r>
        <w:rPr>
          <w:sz w:val="17"/>
        </w:rPr>
        <w:t>[Endnote continued from previous page]</w:t>
      </w:r>
    </w:p>
  </w:endnote>
  <w:endnote w:type="continuationNotice" w:id="1">
    <w:p w:rsidR="0088350E" w:rsidRPr="003B38C1" w:rsidRDefault="008835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0E" w:rsidRDefault="0088350E">
      <w:r>
        <w:separator/>
      </w:r>
    </w:p>
  </w:footnote>
  <w:footnote w:type="continuationSeparator" w:id="0">
    <w:p w:rsidR="0088350E" w:rsidRDefault="0088350E" w:rsidP="008B60B2">
      <w:r>
        <w:separator/>
      </w:r>
    </w:p>
    <w:p w:rsidR="0088350E" w:rsidRPr="00ED77FB" w:rsidRDefault="0088350E" w:rsidP="008B60B2">
      <w:pPr>
        <w:spacing w:after="60"/>
        <w:rPr>
          <w:sz w:val="17"/>
          <w:szCs w:val="17"/>
        </w:rPr>
      </w:pPr>
      <w:r w:rsidRPr="00ED77FB">
        <w:rPr>
          <w:sz w:val="17"/>
          <w:szCs w:val="17"/>
        </w:rPr>
        <w:t>[Footnote continued from previous page]</w:t>
      </w:r>
    </w:p>
  </w:footnote>
  <w:footnote w:type="continuationNotice" w:id="1">
    <w:p w:rsidR="0088350E" w:rsidRPr="00ED77FB" w:rsidRDefault="0088350E" w:rsidP="008B60B2">
      <w:pPr>
        <w:spacing w:before="60"/>
        <w:jc w:val="right"/>
        <w:rPr>
          <w:sz w:val="17"/>
          <w:szCs w:val="17"/>
        </w:rPr>
      </w:pPr>
      <w:r w:rsidRPr="00ED77FB">
        <w:rPr>
          <w:sz w:val="17"/>
          <w:szCs w:val="17"/>
        </w:rPr>
        <w:t>[Footnote continued on next page]</w:t>
      </w:r>
    </w:p>
  </w:footnote>
  <w:footnote w:id="2">
    <w:p w:rsidR="0088350E" w:rsidRPr="002140BE" w:rsidRDefault="0088350E" w:rsidP="00620CDE">
      <w:pPr>
        <w:pStyle w:val="FootnoteText"/>
      </w:pPr>
      <w:r w:rsidRPr="002140BE">
        <w:rPr>
          <w:rStyle w:val="FootnoteReference"/>
        </w:rPr>
        <w:footnoteRef/>
      </w:r>
      <w:r w:rsidRPr="002140BE">
        <w:t xml:space="preserve"> </w:t>
      </w:r>
      <w:r w:rsidRPr="002140BE">
        <w:tab/>
        <w:t>Daniel P. Keller, Evilard (Suisse).  L’évaluateur est indépendant et n’a jamais contribué à la préparation ou à la mise en œuvre de la présente évaluation ou de tout autre projet entrepris par le Secrétariat.</w:t>
      </w:r>
    </w:p>
  </w:footnote>
  <w:footnote w:id="3">
    <w:p w:rsidR="0088350E" w:rsidRPr="002140BE" w:rsidRDefault="0088350E" w:rsidP="00B31189">
      <w:pPr>
        <w:pStyle w:val="FootnoteText"/>
      </w:pPr>
      <w:r w:rsidRPr="002140BE">
        <w:rPr>
          <w:rStyle w:val="FootnoteReference"/>
        </w:rPr>
        <w:footnoteRef/>
      </w:r>
      <w:r w:rsidRPr="002140BE">
        <w:t xml:space="preserve"> </w:t>
      </w:r>
      <w:r w:rsidRPr="002140BE">
        <w:tab/>
        <w:t>Descriptif du projet : CDIP</w:t>
      </w:r>
      <w:r>
        <w:t> </w:t>
      </w:r>
      <w:r w:rsidRPr="002140BE">
        <w:t>17/7, annexe, 4 avril 2016, projet intitulé “Renforcement et développement du secteur de l’audiovisuel au Burkina Faso et dans certains pays africains – Phase</w:t>
      </w:r>
      <w:r>
        <w:t> </w:t>
      </w:r>
      <w:r w:rsidRPr="002140BE">
        <w:t>II” (cote du projet DA_1_2_4_10_11).</w:t>
      </w:r>
    </w:p>
  </w:footnote>
  <w:footnote w:id="4">
    <w:p w:rsidR="0088350E" w:rsidRPr="002140BE" w:rsidRDefault="0088350E" w:rsidP="00C16BA4">
      <w:pPr>
        <w:pStyle w:val="FootnoteText"/>
      </w:pPr>
      <w:r w:rsidRPr="002140BE">
        <w:rPr>
          <w:rStyle w:val="FootnoteReference"/>
        </w:rPr>
        <w:footnoteRef/>
      </w:r>
      <w:r w:rsidRPr="002140BE">
        <w:t xml:space="preserve"> </w:t>
      </w:r>
      <w:r w:rsidRPr="002140BE">
        <w:tab/>
        <w:t xml:space="preserve">Descriptif de projet : </w:t>
      </w:r>
      <w:r w:rsidR="001A15D0">
        <w:t>CDIP/</w:t>
      </w:r>
      <w:r w:rsidR="001A15D0" w:rsidRPr="002140BE">
        <w:t>9</w:t>
      </w:r>
      <w:r w:rsidRPr="002140BE">
        <w:t>/13, annexe, projet intitulé “Renforcement et développement du secteur de l’audiovisuel au Burkina Faso et dans certains pays africains” (cote du projet DA_1_2_4_10_11).</w:t>
      </w:r>
    </w:p>
  </w:footnote>
  <w:footnote w:id="5">
    <w:p w:rsidR="0088350E" w:rsidRPr="002140BE" w:rsidRDefault="0088350E" w:rsidP="00B31189">
      <w:pPr>
        <w:pStyle w:val="FootnoteText"/>
      </w:pPr>
      <w:r w:rsidRPr="002140BE">
        <w:rPr>
          <w:rStyle w:val="FootnoteReference"/>
        </w:rPr>
        <w:footnoteRef/>
      </w:r>
      <w:r w:rsidRPr="002140BE">
        <w:t xml:space="preserve"> </w:t>
      </w:r>
      <w:r w:rsidRPr="002140BE">
        <w:tab/>
        <w:t>Évaluation finale : CDIP</w:t>
      </w:r>
      <w:r>
        <w:t> </w:t>
      </w:r>
      <w:r w:rsidRPr="002140BE">
        <w:t>17/3, 21 janvier 2016, rapport d’évaluation externe indépendant du projet relatif au renforcement et au développement du secteur de l’audiovisuel au Burkina Faso et dans certains pays africains, établi par M. Glenn O’Neil, fondateur d’Owl RE, Genève.</w:t>
      </w:r>
    </w:p>
  </w:footnote>
  <w:footnote w:id="6">
    <w:p w:rsidR="0088350E" w:rsidRPr="002140BE" w:rsidRDefault="0088350E" w:rsidP="00B31189">
      <w:pPr>
        <w:pStyle w:val="FootnoteText"/>
      </w:pPr>
      <w:r w:rsidRPr="002140BE">
        <w:rPr>
          <w:rStyle w:val="FootnoteReference"/>
        </w:rPr>
        <w:footnoteRef/>
      </w:r>
      <w:r w:rsidRPr="002140BE">
        <w:t xml:space="preserve"> </w:t>
      </w:r>
      <w:r w:rsidRPr="002140BE">
        <w:tab/>
        <w:t>Rapport relatif à l’achèvement et à l’auto-évaluation du projet intitulé “Renforcement et développement du secteur de l’audiovisuel au Burkina Faso et dans certains pays africains – Phase</w:t>
      </w:r>
      <w:r>
        <w:t> </w:t>
      </w:r>
      <w:r w:rsidRPr="002140BE">
        <w:t>II” (25 février 2019).</w:t>
      </w:r>
    </w:p>
  </w:footnote>
  <w:footnote w:id="7">
    <w:p w:rsidR="0088350E" w:rsidRPr="002140BE" w:rsidRDefault="0088350E" w:rsidP="0082474A">
      <w:pPr>
        <w:pStyle w:val="FootnoteText"/>
      </w:pPr>
      <w:r w:rsidRPr="002140BE">
        <w:rPr>
          <w:rStyle w:val="FootnoteReference"/>
        </w:rPr>
        <w:footnoteRef/>
      </w:r>
      <w:r w:rsidRPr="002140BE">
        <w:t xml:space="preserve"> </w:t>
      </w:r>
      <w:r w:rsidRPr="002140BE">
        <w:tab/>
        <w:t>Le Bureau burkinabé du droit d’auteur (BBDA) (Burkina Faso), le Bureau kényen du droit d’auteur (KECOBO) (Kenya), la Société sénégalaise du droit d’auteur et des droits voisins (SODAV) (Sénégal), le Ministère de la culture du Sénégal (Côte d’Ivoire), le Centre cinématographique marocain (CCM) (Maroc), la Commission cinématographique du Kenya (KFC) (Kenya) et la Direction de la cinématographie (Sénégal).</w:t>
      </w:r>
    </w:p>
  </w:footnote>
  <w:footnote w:id="8">
    <w:p w:rsidR="0088350E" w:rsidRPr="002140BE" w:rsidRDefault="0088350E" w:rsidP="00B31189">
      <w:pPr>
        <w:pStyle w:val="FootnoteText"/>
      </w:pPr>
      <w:r w:rsidRPr="002140BE">
        <w:rPr>
          <w:rStyle w:val="FootnoteReference"/>
        </w:rPr>
        <w:footnoteRef/>
      </w:r>
      <w:r w:rsidRPr="002140BE">
        <w:t xml:space="preserve"> </w:t>
      </w:r>
      <w:r w:rsidRPr="002140BE">
        <w:tab/>
        <w:t>La Haute autorité de la communication audiovisuelle (HACA) (Côte d’Ivoire), l’Autorité de la communication (Kenya), la Haute autorité de la communication audiovisuelle (HACA) (Maroc), le Conseil national de régulation de l’audiovisuel (CNRA), Sénégal.</w:t>
      </w:r>
    </w:p>
  </w:footnote>
  <w:footnote w:id="9">
    <w:p w:rsidR="0088350E" w:rsidRPr="002140BE" w:rsidRDefault="0088350E" w:rsidP="00B31189">
      <w:pPr>
        <w:pStyle w:val="FootnoteText"/>
      </w:pPr>
      <w:r w:rsidRPr="002140BE">
        <w:rPr>
          <w:rStyle w:val="FootnoteReference"/>
        </w:rPr>
        <w:footnoteRef/>
      </w:r>
      <w:r w:rsidRPr="002140BE">
        <w:t xml:space="preserve"> </w:t>
      </w:r>
      <w:r w:rsidRPr="002140BE">
        <w:tab/>
        <w:t>CDIP</w:t>
      </w:r>
      <w:r>
        <w:t> </w:t>
      </w:r>
      <w:r w:rsidRPr="002140BE">
        <w:t>17/7, annexe, page 4.</w:t>
      </w:r>
    </w:p>
  </w:footnote>
  <w:footnote w:id="10">
    <w:p w:rsidR="0088350E" w:rsidRPr="002140BE" w:rsidRDefault="0088350E" w:rsidP="00C63A62">
      <w:pPr>
        <w:pStyle w:val="FootnoteText"/>
      </w:pPr>
      <w:r w:rsidRPr="002140BE">
        <w:rPr>
          <w:rStyle w:val="FootnoteReference"/>
        </w:rPr>
        <w:footnoteRef/>
      </w:r>
      <w:r w:rsidRPr="002140BE">
        <w:t xml:space="preserve"> </w:t>
      </w:r>
      <w:r w:rsidRPr="002140BE">
        <w:tab/>
        <w:t xml:space="preserve">Voir : Rapport sur l’état d’avancement des travaux : </w:t>
      </w:r>
      <w:r w:rsidR="001A15D0">
        <w:t>CDIP/</w:t>
      </w:r>
      <w:r w:rsidR="001A15D0" w:rsidRPr="002140BE">
        <w:t>1</w:t>
      </w:r>
      <w:r w:rsidRPr="002140BE">
        <w:t>8/2, 15 août 2016, annexe VI, Renforcement et développement du secteur de l’audiovisuel au Burkina Faso et dans certains pays africains – Phase</w:t>
      </w:r>
      <w:r>
        <w:t> </w:t>
      </w:r>
      <w:r w:rsidRPr="002140BE">
        <w:t>II.</w:t>
      </w:r>
    </w:p>
  </w:footnote>
  <w:footnote w:id="11">
    <w:p w:rsidR="0088350E" w:rsidRPr="002140BE" w:rsidRDefault="0088350E" w:rsidP="0008172E">
      <w:pPr>
        <w:pStyle w:val="FootnoteText"/>
      </w:pPr>
      <w:r w:rsidRPr="002140BE">
        <w:rPr>
          <w:rStyle w:val="FootnoteReference"/>
        </w:rPr>
        <w:footnoteRef/>
      </w:r>
      <w:r w:rsidRPr="002140BE">
        <w:t xml:space="preserve"> </w:t>
      </w:r>
      <w:r w:rsidRPr="002140BE">
        <w:tab/>
        <w:t>Lignes directrices et ouvrages de référence du CAD, Normes de qualité pour l’évaluation du développement, Comité d’aide au développement (CAD) de l’OCDE, OCDE</w:t>
      </w:r>
      <w:r>
        <w:t> </w:t>
      </w:r>
      <w:r w:rsidRPr="002140BE">
        <w:t>2010.  Les critères d’évaluation du CAD sont internationalement reconnus comme les meilleures pratiques et amplement appliqués par la plupart des acteurs du développement.</w:t>
      </w:r>
    </w:p>
  </w:footnote>
  <w:footnote w:id="12">
    <w:p w:rsidR="0088350E" w:rsidRPr="002140BE" w:rsidRDefault="0088350E" w:rsidP="0008172E">
      <w:pPr>
        <w:pStyle w:val="FootnoteText"/>
      </w:pPr>
      <w:r w:rsidRPr="002140BE">
        <w:rPr>
          <w:rStyle w:val="FootnoteReference"/>
        </w:rPr>
        <w:footnoteRef/>
      </w:r>
      <w:r w:rsidRPr="002140BE">
        <w:t xml:space="preserve"> </w:t>
      </w:r>
      <w:r w:rsidRPr="002140BE">
        <w:tab/>
        <w:t>Politique d’évaluation révisée de l’OMPI (deuxième édition, 2016/2020), 19 février 2016.</w:t>
      </w:r>
    </w:p>
  </w:footnote>
  <w:footnote w:id="13">
    <w:p w:rsidR="0088350E" w:rsidRPr="002140BE" w:rsidRDefault="0088350E" w:rsidP="00C63A62">
      <w:pPr>
        <w:pStyle w:val="FootnoteText"/>
      </w:pPr>
      <w:r w:rsidRPr="002140BE">
        <w:rPr>
          <w:rStyle w:val="FootnoteReference"/>
        </w:rPr>
        <w:footnoteRef/>
      </w:r>
      <w:r w:rsidRPr="002140BE">
        <w:t xml:space="preserve"> </w:t>
      </w:r>
      <w:r w:rsidRPr="002140BE">
        <w:tab/>
        <w:t>Dans le mandat, seule une évaluation de l’efficacité et de la viabilité est demandée.</w:t>
      </w:r>
    </w:p>
  </w:footnote>
  <w:footnote w:id="14">
    <w:p w:rsidR="0088350E" w:rsidRPr="002140BE" w:rsidRDefault="0088350E" w:rsidP="00C63A62">
      <w:pPr>
        <w:pStyle w:val="FootnoteText"/>
      </w:pPr>
      <w:r w:rsidRPr="002140BE">
        <w:rPr>
          <w:rStyle w:val="FootnoteReference"/>
        </w:rPr>
        <w:footnoteRef/>
      </w:r>
      <w:r w:rsidRPr="002140BE">
        <w:t xml:space="preserve"> </w:t>
      </w:r>
      <w:r w:rsidRPr="002140BE">
        <w:tab/>
        <w:t>Ces aspects sont parfois également évalués selon le critère de l’efficience.</w:t>
      </w:r>
    </w:p>
  </w:footnote>
  <w:footnote w:id="15">
    <w:p w:rsidR="0088350E" w:rsidRPr="002140BE" w:rsidRDefault="0088350E" w:rsidP="00A34BA1">
      <w:pPr>
        <w:pStyle w:val="FootnoteText"/>
      </w:pPr>
      <w:r w:rsidRPr="002140BE">
        <w:rPr>
          <w:rStyle w:val="FootnoteReference"/>
        </w:rPr>
        <w:footnoteRef/>
      </w:r>
      <w:r w:rsidRPr="002140BE">
        <w:t xml:space="preserve"> </w:t>
      </w:r>
      <w:r w:rsidRPr="002140BE">
        <w:tab/>
        <w:t>Comme indiqué dans le mandat, la conception et la gestion du projet, qui sont parfois aussi évaluées selon le critère d’efficacité, seront évaluées séparément.</w:t>
      </w:r>
    </w:p>
  </w:footnote>
  <w:footnote w:id="16">
    <w:p w:rsidR="0088350E" w:rsidRPr="002140BE" w:rsidRDefault="0088350E" w:rsidP="00A34BA1">
      <w:pPr>
        <w:pStyle w:val="FootnoteText"/>
      </w:pPr>
      <w:r w:rsidRPr="002140BE">
        <w:rPr>
          <w:rStyle w:val="FootnoteReference"/>
        </w:rPr>
        <w:footnoteRef/>
      </w:r>
      <w:r w:rsidRPr="002140BE">
        <w:t xml:space="preserve"> </w:t>
      </w:r>
      <w:r w:rsidRPr="002140BE">
        <w:tab/>
        <w:t>Il s’agit d’un terme économique utilisé pour déterminer dans quelle mesure l’aide utilise les ressources les moins coûteuses possible pour obtenir les résultats souhaités.  Cela demande habituellement de comparer plusieurs approches permettant d’obtenir les mêmes résultats, afin de déterminer si le processus le plus efficace a été adopté.</w:t>
      </w:r>
    </w:p>
  </w:footnote>
  <w:footnote w:id="17">
    <w:p w:rsidR="0088350E" w:rsidRPr="002140BE" w:rsidRDefault="0088350E" w:rsidP="00BB4EB6">
      <w:pPr>
        <w:pStyle w:val="FootnoteText"/>
      </w:pPr>
      <w:r w:rsidRPr="002140BE">
        <w:rPr>
          <w:rStyle w:val="FootnoteReference"/>
        </w:rPr>
        <w:footnoteRef/>
      </w:r>
      <w:r w:rsidRPr="002140BE">
        <w:t xml:space="preserve"> </w:t>
      </w:r>
      <w:r w:rsidRPr="002140BE">
        <w:tab/>
        <w:t>Descriptif de projet : CDIP</w:t>
      </w:r>
      <w:r>
        <w:t>/</w:t>
      </w:r>
      <w:r w:rsidRPr="002140BE">
        <w:t>9/13, annexe, projet intitulé “Renforcement et développement du secteur de l’audiovisuel au Burkina Faso et dans certains pays africains” (cote du projet DA_1_2_4_10_11).</w:t>
      </w:r>
    </w:p>
  </w:footnote>
  <w:footnote w:id="18">
    <w:p w:rsidR="0088350E" w:rsidRPr="002140BE" w:rsidRDefault="0088350E" w:rsidP="00C63A62">
      <w:pPr>
        <w:pStyle w:val="FootnoteText"/>
      </w:pPr>
      <w:r w:rsidRPr="002140BE">
        <w:rPr>
          <w:rStyle w:val="FootnoteReference"/>
        </w:rPr>
        <w:footnoteRef/>
      </w:r>
      <w:r w:rsidRPr="002140BE">
        <w:t xml:space="preserve"> </w:t>
      </w:r>
      <w:r w:rsidRPr="002140BE">
        <w:tab/>
        <w:t>Évaluation finale : CDIP</w:t>
      </w:r>
      <w:r>
        <w:t>/</w:t>
      </w:r>
      <w:r w:rsidRPr="002140BE">
        <w:t>17/3, 21 janvier 2016, rapport d’évaluation externe indépendant du projet relatif au renforcement et au développement du secteur de l’audiovisuel au Burkina Faso et dans certains pays africains, établi par M. Glenn O’Neil, fondateur d’Owl RE, Genève.</w:t>
      </w:r>
    </w:p>
  </w:footnote>
  <w:footnote w:id="19">
    <w:p w:rsidR="0088350E" w:rsidRPr="002140BE" w:rsidRDefault="0088350E" w:rsidP="00BB4EB6">
      <w:pPr>
        <w:pStyle w:val="FootnoteText"/>
      </w:pPr>
      <w:r w:rsidRPr="002140BE">
        <w:rPr>
          <w:rStyle w:val="FootnoteReference"/>
        </w:rPr>
        <w:footnoteRef/>
      </w:r>
      <w:r w:rsidRPr="002140BE">
        <w:t xml:space="preserve"> </w:t>
      </w:r>
      <w:r w:rsidRPr="002140BE">
        <w:tab/>
        <w:t>Voir le document CDIP</w:t>
      </w:r>
      <w:r>
        <w:t>/</w:t>
      </w:r>
      <w:r w:rsidRPr="002140BE">
        <w:t>12/INF/3 intitulé “Étude exploratoire sur le renforcement et le développement du secteur de l’audiovisuel au Burkina Faso et dans certains pays africains”, étude menée dans le cadre du projet CDIP/9/13, établi par les consultants de l’OMPI Bertrand</w:t>
      </w:r>
      <w:r>
        <w:t> </w:t>
      </w:r>
      <w:r w:rsidRPr="002140BE">
        <w:t xml:space="preserve">Moullier et </w:t>
      </w:r>
      <w:r>
        <w:t>Benoît </w:t>
      </w:r>
      <w:r w:rsidRPr="002140BE">
        <w:t>Muller.</w:t>
      </w:r>
    </w:p>
  </w:footnote>
  <w:footnote w:id="20">
    <w:p w:rsidR="0088350E" w:rsidRPr="002140BE" w:rsidRDefault="0088350E" w:rsidP="00C63A62">
      <w:pPr>
        <w:pStyle w:val="FootnoteText"/>
      </w:pPr>
      <w:r w:rsidRPr="002140BE">
        <w:rPr>
          <w:rStyle w:val="FootnoteReference"/>
        </w:rPr>
        <w:footnoteRef/>
      </w:r>
      <w:r w:rsidRPr="002140BE">
        <w:t xml:space="preserve"> </w:t>
      </w:r>
      <w:r w:rsidRPr="002140BE">
        <w:tab/>
        <w:t>À titre d’exemple, voir la structure du projet intitulé “Projet pilote sur la propriété intellectuelle et la gestion des dessins et modèles pour le développement des entreprises dans les pays en développement et les pays les moins avancés” (cote du projet : DA_04_10_02), rapport d’évaluation du CDIP</w:t>
      </w:r>
      <w:r>
        <w:t> </w:t>
      </w:r>
      <w:r w:rsidRPr="002140BE">
        <w:t>19/4, 2 mars 2017, établi par M. Daniel Keller, consultant à Evilard (Suisse).</w:t>
      </w:r>
    </w:p>
  </w:footnote>
  <w:footnote w:id="21">
    <w:p w:rsidR="0088350E" w:rsidRPr="002140BE" w:rsidRDefault="0088350E" w:rsidP="00610DAF">
      <w:pPr>
        <w:pStyle w:val="FootnoteText"/>
      </w:pPr>
      <w:r w:rsidRPr="002140BE">
        <w:rPr>
          <w:rStyle w:val="FootnoteReference"/>
        </w:rPr>
        <w:footnoteRef/>
      </w:r>
      <w:r w:rsidRPr="002140BE">
        <w:t xml:space="preserve"> </w:t>
      </w:r>
      <w:r w:rsidRPr="002140BE">
        <w:tab/>
        <w:t>Suppositions déduites de facteurs ou de risques pouvant avoir des répercussions sur le progrès ou le succès de l’action de développement (OCDE, Glossaire des principaux termes relatifs à l’évaluation et la gestion axée sur les résultats, 2010).</w:t>
      </w:r>
    </w:p>
  </w:footnote>
  <w:footnote w:id="22">
    <w:p w:rsidR="0088350E" w:rsidRPr="002140BE" w:rsidRDefault="0088350E" w:rsidP="00BB3401">
      <w:pPr>
        <w:pStyle w:val="FootnoteText"/>
      </w:pPr>
      <w:r w:rsidRPr="002140BE">
        <w:rPr>
          <w:rStyle w:val="FootnoteReference"/>
        </w:rPr>
        <w:footnoteRef/>
      </w:r>
      <w:r w:rsidRPr="002140BE">
        <w:t xml:space="preserve"> </w:t>
      </w:r>
      <w:r w:rsidRPr="002140BE">
        <w:tab/>
        <w:t xml:space="preserve">Tous les coordonnateurs nationaux ont été nommés à la fin de 2016, à l’exception du Maroc, qui a désigné son coordonnateur en juillet 2017, en raison de changements internes.  </w:t>
      </w:r>
    </w:p>
  </w:footnote>
  <w:footnote w:id="23">
    <w:p w:rsidR="0088350E" w:rsidRPr="002140BE" w:rsidRDefault="0088350E" w:rsidP="00682A51">
      <w:pPr>
        <w:pStyle w:val="FootnoteText"/>
      </w:pPr>
      <w:r w:rsidRPr="002140BE">
        <w:rPr>
          <w:rStyle w:val="FootnoteReference"/>
        </w:rPr>
        <w:footnoteRef/>
      </w:r>
      <w:r w:rsidRPr="002140BE">
        <w:t xml:space="preserve"> </w:t>
      </w:r>
      <w:r w:rsidRPr="002140BE">
        <w:tab/>
        <w:t>Voir : les 45</w:t>
      </w:r>
      <w:r>
        <w:t> </w:t>
      </w:r>
      <w:r w:rsidRPr="002140BE">
        <w:t>recommandations adoptées dans le cadre du Plan d’action de l’OMPI pour le développement par l’Assemblée générale des États membres de l’OMPI, 2007.</w:t>
      </w:r>
    </w:p>
  </w:footnote>
  <w:footnote w:id="24">
    <w:p w:rsidR="0088350E" w:rsidRPr="002140BE" w:rsidRDefault="0088350E" w:rsidP="00682A51">
      <w:pPr>
        <w:pStyle w:val="FootnoteText"/>
      </w:pPr>
      <w:r w:rsidRPr="002140BE">
        <w:rPr>
          <w:rStyle w:val="FootnoteReference"/>
        </w:rPr>
        <w:footnoteRef/>
      </w:r>
      <w:r w:rsidRPr="002140BE">
        <w:t xml:space="preserve"> </w:t>
      </w:r>
      <w:r w:rsidRPr="002140BE">
        <w:tab/>
        <w:t>Recommandation n° 4 : accorder une attention particulière aux besoins des petites et moyennes entreprises, des institutions chargées de la recherche scientifique et des industries culturelles et aider les États membres, à leur demande, à élaborer des stratégies nationales appropriées dans le domaine de la propriété intellectuelle.</w:t>
      </w:r>
    </w:p>
  </w:footnote>
  <w:footnote w:id="25">
    <w:p w:rsidR="0088350E" w:rsidRPr="002140BE" w:rsidRDefault="0088350E" w:rsidP="00610DAF">
      <w:pPr>
        <w:pStyle w:val="FootnoteText"/>
      </w:pPr>
      <w:r w:rsidRPr="002140BE">
        <w:rPr>
          <w:rStyle w:val="FootnoteReference"/>
        </w:rPr>
        <w:footnoteRef/>
      </w:r>
      <w:r w:rsidRPr="002140BE">
        <w:t xml:space="preserve"> </w:t>
      </w:r>
      <w:r w:rsidRPr="002140BE">
        <w:tab/>
        <w:t>Recommandation n° 10 : aider les États membres à développer et à améliorer les capacités 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organisations sous-régionales et régionales œuvrant dans le domaine de la propriété intellectuelle.</w:t>
      </w:r>
    </w:p>
  </w:footnote>
  <w:footnote w:id="26">
    <w:p w:rsidR="0088350E" w:rsidRPr="002140BE" w:rsidRDefault="0088350E" w:rsidP="00610DAF">
      <w:pPr>
        <w:pStyle w:val="FootnoteText"/>
      </w:pPr>
      <w:r w:rsidRPr="002140BE">
        <w:rPr>
          <w:rStyle w:val="FootnoteReference"/>
        </w:rPr>
        <w:footnoteRef/>
      </w:r>
      <w:r w:rsidRPr="002140BE">
        <w:t xml:space="preserve"> </w:t>
      </w:r>
      <w:r w:rsidRPr="002140BE">
        <w:tab/>
        <w:t>Recommandation n° 11 : aider les États membres à renforcer leur capacité nationale de protection des créations, innovations et inventions nationales et soutenir le développement des infrastructures scientifiques et technologiques nationales, le cas échéant, conformément au mandat de l’OMPI.</w:t>
      </w:r>
    </w:p>
  </w:footnote>
  <w:footnote w:id="27">
    <w:p w:rsidR="0088350E" w:rsidRPr="002140BE" w:rsidRDefault="0088350E" w:rsidP="00610DAF">
      <w:pPr>
        <w:pStyle w:val="FootnoteText"/>
      </w:pPr>
      <w:r w:rsidRPr="002140BE">
        <w:rPr>
          <w:rStyle w:val="FootnoteReference"/>
        </w:rPr>
        <w:footnoteRef/>
      </w:r>
      <w:r w:rsidRPr="002140BE">
        <w:t xml:space="preserve"> </w:t>
      </w:r>
      <w:r w:rsidRPr="002140BE">
        <w:tab/>
        <w:t>Voir le programme et budget pour l’exercice biennal 2016-2017, applicable à la date de conception du projet.</w:t>
      </w:r>
    </w:p>
  </w:footnote>
  <w:footnote w:id="28">
    <w:p w:rsidR="0088350E" w:rsidRPr="002140BE" w:rsidRDefault="0088350E" w:rsidP="0005325E">
      <w:pPr>
        <w:pStyle w:val="FootnoteText"/>
      </w:pPr>
      <w:r w:rsidRPr="002140BE">
        <w:rPr>
          <w:rStyle w:val="FootnoteReference"/>
        </w:rPr>
        <w:footnoteRef/>
      </w:r>
      <w:r w:rsidRPr="002140BE">
        <w:t xml:space="preserve"> </w:t>
      </w:r>
      <w:r w:rsidRPr="002140BE">
        <w:tab/>
        <w:t>Programme et budget pour l’exercice biennal 2016-2017 (pertinent à la date de conception du projet) approuvé par les assemblées des États membres de l’OMPI le 14 octobre 2015.</w:t>
      </w:r>
    </w:p>
  </w:footnote>
  <w:footnote w:id="29">
    <w:p w:rsidR="0088350E" w:rsidRPr="002140BE" w:rsidRDefault="0088350E" w:rsidP="00610DAF">
      <w:pPr>
        <w:pStyle w:val="FootnoteText"/>
      </w:pPr>
      <w:r w:rsidRPr="002140BE">
        <w:rPr>
          <w:rStyle w:val="FootnoteReference"/>
        </w:rPr>
        <w:footnoteRef/>
      </w:r>
      <w:r w:rsidRPr="002140BE">
        <w:t xml:space="preserve"> </w:t>
      </w:r>
      <w:r w:rsidRPr="002140BE">
        <w:tab/>
        <w:t>Programme</w:t>
      </w:r>
      <w:r>
        <w:t> </w:t>
      </w:r>
      <w:r w:rsidRPr="002140BE">
        <w:t>9 : Afrique, pays arabes, Asie et Pacifique, pays d’Amérique latine et des Caraïbes, pays les moins avancés;  programme</w:t>
      </w:r>
      <w:r>
        <w:t> </w:t>
      </w:r>
      <w:r w:rsidRPr="002140BE">
        <w:t>11 : Académie de l’OMPI;  Programme</w:t>
      </w:r>
      <w:r>
        <w:t> </w:t>
      </w:r>
      <w:r w:rsidRPr="002140BE">
        <w:t>15 : solutions informatiques pour les offices de propriété intellectuelle;  programme</w:t>
      </w:r>
      <w:r>
        <w:t> </w:t>
      </w:r>
      <w:r w:rsidRPr="002140BE">
        <w:t>16 : économie et statistiques;  programme</w:t>
      </w:r>
      <w:r>
        <w:t> </w:t>
      </w:r>
      <w:r w:rsidRPr="002140BE">
        <w:t>17 : promouvoir le respect de la propriété intellectuelle.</w:t>
      </w:r>
    </w:p>
  </w:footnote>
  <w:footnote w:id="30">
    <w:p w:rsidR="0088350E" w:rsidRPr="002140BE" w:rsidRDefault="0088350E" w:rsidP="0062441C">
      <w:pPr>
        <w:pStyle w:val="FootnoteText"/>
      </w:pPr>
      <w:r w:rsidRPr="002140BE">
        <w:rPr>
          <w:rStyle w:val="FootnoteReference"/>
        </w:rPr>
        <w:footnoteRef/>
      </w:r>
      <w:r w:rsidRPr="002140BE">
        <w:t xml:space="preserve"> </w:t>
      </w:r>
      <w:r w:rsidRPr="002140BE">
        <w:tab/>
        <w:t xml:space="preserve">Étude exploratoire sur le renforcement et le développement du secteur de l’audiovisuel au Burkina Faso et dans certains pays africains, réalisée dans le cadre du projet CDIP/9/13, établie par les consultants de l’OMPI Bertrand Moullier et </w:t>
      </w:r>
      <w:r>
        <w:t>Benoît</w:t>
      </w:r>
      <w:r w:rsidRPr="002140BE">
        <w:t> Muller (</w:t>
      </w:r>
      <w:r w:rsidR="001A15D0">
        <w:t>CDIP/</w:t>
      </w:r>
      <w:r w:rsidR="001A15D0" w:rsidRPr="002140BE">
        <w:t>1</w:t>
      </w:r>
      <w:r w:rsidRPr="002140BE">
        <w:t>2/INF/3).</w:t>
      </w:r>
    </w:p>
  </w:footnote>
  <w:footnote w:id="31">
    <w:p w:rsidR="0088350E" w:rsidRPr="002140BE" w:rsidRDefault="0088350E" w:rsidP="00610DAF">
      <w:pPr>
        <w:pStyle w:val="FootnoteText"/>
      </w:pPr>
      <w:r w:rsidRPr="002140BE">
        <w:rPr>
          <w:rStyle w:val="FootnoteReference"/>
        </w:rPr>
        <w:footnoteRef/>
      </w:r>
      <w:r w:rsidRPr="002140BE">
        <w:t xml:space="preserve"> </w:t>
      </w:r>
      <w:r w:rsidRPr="002140BE">
        <w:tab/>
        <w:t>Comme en témoigne la Déclaration de Dakar sur la propriété intellectuelle pour l’Afrique, adoptée à la conférence ministérielle tenue à Dakar (Sénégal) du 3 au 5 novembre 2015.</w:t>
      </w:r>
      <w:r>
        <w:t xml:space="preserve">  Voir</w:t>
      </w:r>
      <w:r w:rsidRPr="002140BE">
        <w:t xml:space="preserve"> www.wipo.int/edocs/mdocs/africa/fr/ompi_pi_dak_15/ompi_pi_dak_15_declaration.pdf.</w:t>
      </w:r>
    </w:p>
  </w:footnote>
  <w:footnote w:id="32">
    <w:p w:rsidR="0088350E" w:rsidRPr="002140BE" w:rsidRDefault="0088350E" w:rsidP="001010BC">
      <w:pPr>
        <w:pStyle w:val="FootnoteText"/>
      </w:pPr>
      <w:r w:rsidRPr="002140BE">
        <w:rPr>
          <w:rStyle w:val="FootnoteReference"/>
        </w:rPr>
        <w:footnoteRef/>
      </w:r>
      <w:r w:rsidRPr="002140BE">
        <w:t xml:space="preserve"> </w:t>
      </w:r>
      <w:r w:rsidRPr="002140BE">
        <w:tab/>
        <w:t xml:space="preserve">Rapport sur l’état d’avancement des projets : </w:t>
      </w:r>
      <w:r w:rsidR="001A15D0">
        <w:t>CDIP/</w:t>
      </w:r>
      <w:r w:rsidR="001A15D0" w:rsidRPr="002140BE">
        <w:t>2</w:t>
      </w:r>
      <w:r w:rsidRPr="002140BE">
        <w:t>2/2, 14 septembre 2018, annexe V, Renforcement et développement du secteur de l’audiovisuel au Burkina Faso et dans certains pays africains – Phase</w:t>
      </w:r>
      <w:r>
        <w:t> </w:t>
      </w:r>
      <w:r w:rsidRPr="002140BE">
        <w:t>II.</w:t>
      </w:r>
    </w:p>
  </w:footnote>
  <w:footnote w:id="33">
    <w:p w:rsidR="0088350E" w:rsidRPr="002140BE" w:rsidRDefault="0088350E" w:rsidP="001010BC">
      <w:pPr>
        <w:pStyle w:val="FootnoteText"/>
      </w:pPr>
      <w:r w:rsidRPr="002140BE">
        <w:rPr>
          <w:rStyle w:val="FootnoteReference"/>
        </w:rPr>
        <w:footnoteRef/>
      </w:r>
      <w:r w:rsidRPr="002140BE">
        <w:t xml:space="preserve"> </w:t>
      </w:r>
      <w:r w:rsidRPr="002140BE">
        <w:tab/>
        <w:t>L’Organisation internationale de la Francophonie (OIF), la Confédération internationale des sociétés d’auteurs et compositeurs (CISAC), l’Union africaine de radiodiffusion (UAR), l’Alliance des producteurs du cinéma et de la télévision (PACT), l’Association des organisations européennes d’artistes interprètes (AEPO-ARTIS).</w:t>
      </w:r>
    </w:p>
  </w:footnote>
  <w:footnote w:id="34">
    <w:p w:rsidR="0088350E" w:rsidRPr="002140BE" w:rsidRDefault="0088350E" w:rsidP="001010BC">
      <w:pPr>
        <w:pStyle w:val="FootnoteText"/>
      </w:pPr>
      <w:r w:rsidRPr="002140BE">
        <w:rPr>
          <w:rStyle w:val="FootnoteReference"/>
        </w:rPr>
        <w:footnoteRef/>
      </w:r>
      <w:r w:rsidRPr="002140BE">
        <w:t xml:space="preserve"> </w:t>
      </w:r>
      <w:r w:rsidRPr="002140BE">
        <w:tab/>
        <w:t>La veille stratégique : un outil indispensable dans le renforcement du secteur de l’audiovisuel en Afrique, par Deirdre Kevin, consultante dans le domaine des médias, Slovénie, mars 2018.</w:t>
      </w:r>
    </w:p>
  </w:footnote>
  <w:footnote w:id="35">
    <w:p w:rsidR="0088350E" w:rsidRPr="002140BE" w:rsidRDefault="0088350E" w:rsidP="001010BC">
      <w:pPr>
        <w:pStyle w:val="FootnoteText"/>
      </w:pPr>
      <w:r w:rsidRPr="002140BE">
        <w:rPr>
          <w:rStyle w:val="FootnoteReference"/>
        </w:rPr>
        <w:footnoteRef/>
      </w:r>
      <w:r w:rsidRPr="002140BE">
        <w:t xml:space="preserve"> </w:t>
      </w:r>
      <w:r w:rsidRPr="002140BE">
        <w:tab/>
        <w:t>Voir le rapport sur l’achèvement et l’auto-évaluation du projet relatif au renforcement et au développement du secteur de l’audiovisuel au Burkina Faso et dans certains pays africains – Phase</w:t>
      </w:r>
      <w:r>
        <w:t> </w:t>
      </w:r>
      <w:r w:rsidRPr="002140BE">
        <w:t>II (25 février 2019).</w:t>
      </w:r>
    </w:p>
  </w:footnote>
  <w:footnote w:id="36">
    <w:p w:rsidR="0088350E" w:rsidRPr="002140BE" w:rsidRDefault="0088350E" w:rsidP="001010BC">
      <w:pPr>
        <w:pStyle w:val="FootnoteText"/>
      </w:pPr>
      <w:r w:rsidRPr="002140BE">
        <w:rPr>
          <w:rStyle w:val="FootnoteReference"/>
        </w:rPr>
        <w:footnoteRef/>
      </w:r>
      <w:r w:rsidRPr="002140BE">
        <w:t xml:space="preserve"> </w:t>
      </w:r>
      <w:r w:rsidRPr="002140BE">
        <w:tab/>
        <w:t>L’UEMOA est l’Union économique et monétaire ouest-africaine (UEMOA), qui comprend huit membres principalement francophones (Bénin, Burkina Faso, Côte d’Ivoire, Guinée-Bissau, Mali, Niger, République centrafricaine, Sénégal et Tchad).</w:t>
      </w:r>
    </w:p>
  </w:footnote>
  <w:footnote w:id="37">
    <w:p w:rsidR="0088350E" w:rsidRPr="002140BE" w:rsidRDefault="0088350E" w:rsidP="001010BC">
      <w:pPr>
        <w:pStyle w:val="FootnoteText"/>
      </w:pPr>
      <w:r w:rsidRPr="002140BE">
        <w:rPr>
          <w:rStyle w:val="FootnoteReference"/>
        </w:rPr>
        <w:footnoteRef/>
      </w:r>
      <w:r w:rsidRPr="002140BE">
        <w:t xml:space="preserve"> </w:t>
      </w:r>
      <w:r w:rsidRPr="002140BE">
        <w:tab/>
        <w:t>La Communauté économique et monétaire de l’Afrique centrale (CEMAC) : Gabon, Cameroun, République centrafricaine, Tchad, République du Congo et Guinée équatoriale.</w:t>
      </w:r>
    </w:p>
  </w:footnote>
  <w:footnote w:id="38">
    <w:p w:rsidR="0088350E" w:rsidRPr="002140BE" w:rsidRDefault="0088350E" w:rsidP="001010BC">
      <w:pPr>
        <w:pStyle w:val="FootnoteText"/>
      </w:pPr>
      <w:r w:rsidRPr="002140BE">
        <w:rPr>
          <w:rStyle w:val="FootnoteReference"/>
        </w:rPr>
        <w:footnoteRef/>
      </w:r>
      <w:r w:rsidRPr="002140BE">
        <w:t xml:space="preserve"> </w:t>
      </w:r>
      <w:r w:rsidRPr="002140BE">
        <w:tab/>
        <w:t xml:space="preserve">Directive </w:t>
      </w:r>
      <w:r>
        <w:t>n° </w:t>
      </w:r>
      <w:r w:rsidRPr="002140BE">
        <w:t>02/2018/CM/UEMOA portant sur l’harmonisation des dispositions relatives aux droits d’auteur et aux droits voisins dans le domaine de l’image au sein de l’UEMOA.</w:t>
      </w:r>
    </w:p>
  </w:footnote>
  <w:footnote w:id="39">
    <w:p w:rsidR="0088350E" w:rsidRPr="002140BE" w:rsidRDefault="0088350E" w:rsidP="001010BC">
      <w:pPr>
        <w:pStyle w:val="FootnoteText"/>
      </w:pPr>
      <w:r w:rsidRPr="002140BE">
        <w:rPr>
          <w:rStyle w:val="FootnoteReference"/>
        </w:rPr>
        <w:footnoteRef/>
      </w:r>
      <w:r w:rsidRPr="002140BE">
        <w:t xml:space="preserve"> </w:t>
      </w:r>
      <w:r w:rsidRPr="002140BE">
        <w:tab/>
        <w:t>https://www.wipo.int/edocs/pubdocs/fr/wipo_pub_950.pdf (extrait le 14 mars 2019).</w:t>
      </w:r>
    </w:p>
  </w:footnote>
  <w:footnote w:id="40">
    <w:p w:rsidR="0088350E" w:rsidRPr="002140BE" w:rsidRDefault="0088350E" w:rsidP="001010BC">
      <w:pPr>
        <w:pStyle w:val="FootnoteText"/>
      </w:pPr>
      <w:r w:rsidRPr="002140BE">
        <w:rPr>
          <w:rStyle w:val="FootnoteReference"/>
        </w:rPr>
        <w:footnoteRef/>
      </w:r>
      <w:r w:rsidRPr="002140BE">
        <w:t xml:space="preserve"> </w:t>
      </w:r>
      <w:r w:rsidRPr="002140BE">
        <w:tab/>
        <w:t xml:space="preserve">Ordre de service </w:t>
      </w:r>
      <w:r>
        <w:t>n° </w:t>
      </w:r>
      <w:r w:rsidRPr="002140BE">
        <w:t>6/2019 sur l’Institut judiciaire de l’OMPI, le 15 février 2019.</w:t>
      </w:r>
    </w:p>
  </w:footnote>
  <w:footnote w:id="41">
    <w:p w:rsidR="0088350E" w:rsidRPr="002140BE" w:rsidRDefault="0088350E" w:rsidP="001010BC">
      <w:pPr>
        <w:pStyle w:val="FootnoteText"/>
      </w:pPr>
      <w:r w:rsidRPr="002140BE">
        <w:rPr>
          <w:rStyle w:val="FootnoteReference"/>
        </w:rPr>
        <w:footnoteRef/>
      </w:r>
      <w:r w:rsidRPr="002140BE">
        <w:t xml:space="preserve"> </w:t>
      </w:r>
      <w:r w:rsidRPr="002140BE">
        <w:tab/>
        <w:t xml:space="preserve">Voir l’ordre de service </w:t>
      </w:r>
      <w:r>
        <w:t>n° </w:t>
      </w:r>
      <w:r w:rsidRPr="002140BE">
        <w:t>30/2015 sur la création de la Section de l’économie créative de la Division de l’économie et des statistiques, 13 juillet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Annexe, page </w:t>
    </w:r>
    <w:sdt>
      <w:sdtPr>
        <w:id w:val="-2369443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88350E" w:rsidRDefault="0088350E"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A84154">
    <w:pPr>
      <w:jc w:val="right"/>
    </w:pPr>
    <w:r>
      <w:t>CDIP/23/6</w:t>
    </w:r>
  </w:p>
  <w:p w:rsidR="0088350E" w:rsidRDefault="0088350E" w:rsidP="00A84154">
    <w:pPr>
      <w:jc w:val="right"/>
    </w:pPr>
    <w:r>
      <w:t xml:space="preserve">Appendice IV, page </w:t>
    </w:r>
    <w:sdt>
      <w:sdtPr>
        <w:id w:val="525868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F05D8">
          <w:rPr>
            <w:noProof/>
          </w:rPr>
          <w:t>3</w:t>
        </w:r>
        <w:r>
          <w:rPr>
            <w:noProof/>
          </w:rPr>
          <w:fldChar w:fldCharType="end"/>
        </w:r>
      </w:sdtContent>
    </w:sdt>
  </w:p>
  <w:p w:rsidR="0088350E" w:rsidRDefault="0088350E" w:rsidP="00477D6B">
    <w:pPr>
      <w:jc w:val="right"/>
    </w:pPr>
  </w:p>
  <w:p w:rsidR="0088350E" w:rsidRDefault="0088350E"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APPENDICE IV</w:t>
    </w:r>
  </w:p>
  <w:p w:rsidR="0088350E" w:rsidRDefault="0088350E" w:rsidP="003071A3">
    <w:pPr>
      <w:pStyle w:val="Header"/>
      <w:jc w:val="right"/>
    </w:pPr>
  </w:p>
  <w:p w:rsidR="0088350E" w:rsidRDefault="0088350E" w:rsidP="003071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 xml:space="preserve">Annexe, page </w:t>
    </w:r>
    <w:sdt>
      <w:sdtPr>
        <w:id w:val="-14824551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F05D8">
          <w:rPr>
            <w:noProof/>
          </w:rPr>
          <w:t>21</w:t>
        </w:r>
        <w:r>
          <w:rPr>
            <w:noProof/>
          </w:rPr>
          <w:fldChar w:fldCharType="end"/>
        </w:r>
      </w:sdtContent>
    </w:sdt>
  </w:p>
  <w:p w:rsidR="0088350E" w:rsidRDefault="0088350E" w:rsidP="00477D6B">
    <w:pPr>
      <w:jc w:val="right"/>
    </w:pPr>
  </w:p>
  <w:p w:rsidR="0088350E" w:rsidRDefault="0088350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bookmarkStart w:id="50" w:name="Code2"/>
    <w:bookmarkEnd w:id="50"/>
    <w:r>
      <w:t>CDIP/23/6</w:t>
    </w:r>
  </w:p>
  <w:p w:rsidR="0088350E" w:rsidRDefault="0088350E" w:rsidP="003071A3">
    <w:pPr>
      <w:jc w:val="right"/>
    </w:pPr>
    <w:r>
      <w:t>ANNEXE</w:t>
    </w:r>
  </w:p>
  <w:p w:rsidR="0088350E" w:rsidRDefault="0088350E" w:rsidP="003071A3">
    <w:pPr>
      <w:jc w:val="right"/>
    </w:pPr>
  </w:p>
  <w:p w:rsidR="0088350E" w:rsidRDefault="0088350E" w:rsidP="003071A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Appendix II, page</w:t>
    </w:r>
  </w:p>
  <w:p w:rsidR="0088350E" w:rsidRDefault="0088350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APPENDICE I</w:t>
    </w:r>
  </w:p>
  <w:p w:rsidR="0088350E" w:rsidRDefault="0088350E" w:rsidP="003071A3">
    <w:pPr>
      <w:pStyle w:val="Header"/>
      <w:jc w:val="right"/>
    </w:pPr>
  </w:p>
  <w:p w:rsidR="0088350E" w:rsidRDefault="0088350E" w:rsidP="003071A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A84154">
    <w:pPr>
      <w:jc w:val="right"/>
    </w:pPr>
    <w:r>
      <w:t>CDIP/23/6</w:t>
    </w:r>
  </w:p>
  <w:p w:rsidR="0088350E" w:rsidRDefault="0088350E" w:rsidP="00A84154">
    <w:pPr>
      <w:jc w:val="right"/>
    </w:pPr>
    <w:r>
      <w:t xml:space="preserve">Appendice II, page </w:t>
    </w:r>
    <w:sdt>
      <w:sdtPr>
        <w:id w:val="9677871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F05D8">
          <w:rPr>
            <w:noProof/>
          </w:rPr>
          <w:t>5</w:t>
        </w:r>
        <w:r>
          <w:rPr>
            <w:noProof/>
          </w:rPr>
          <w:fldChar w:fldCharType="end"/>
        </w:r>
      </w:sdtContent>
    </w:sdt>
  </w:p>
  <w:p w:rsidR="0088350E" w:rsidRDefault="0088350E" w:rsidP="00477D6B">
    <w:pPr>
      <w:jc w:val="right"/>
    </w:pPr>
  </w:p>
  <w:p w:rsidR="0088350E" w:rsidRDefault="0088350E"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APPENDICE II</w:t>
    </w:r>
  </w:p>
  <w:p w:rsidR="0088350E" w:rsidRDefault="0088350E" w:rsidP="003071A3">
    <w:pPr>
      <w:pStyle w:val="Header"/>
      <w:jc w:val="right"/>
    </w:pPr>
  </w:p>
  <w:p w:rsidR="0088350E" w:rsidRDefault="0088350E" w:rsidP="003071A3">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A84154">
    <w:pPr>
      <w:jc w:val="right"/>
    </w:pPr>
    <w:r>
      <w:t>CDIP/23/6</w:t>
    </w:r>
  </w:p>
  <w:p w:rsidR="0088350E" w:rsidRDefault="0088350E" w:rsidP="00A84154">
    <w:pPr>
      <w:jc w:val="right"/>
    </w:pPr>
    <w:r>
      <w:t xml:space="preserve">Appendice II, page </w:t>
    </w:r>
    <w:sdt>
      <w:sdtPr>
        <w:id w:val="17685052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8350E" w:rsidRDefault="0088350E" w:rsidP="00477D6B">
    <w:pPr>
      <w:jc w:val="right"/>
    </w:pPr>
  </w:p>
  <w:p w:rsidR="0088350E" w:rsidRDefault="0088350E"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0E" w:rsidRDefault="0088350E" w:rsidP="003071A3">
    <w:pPr>
      <w:jc w:val="right"/>
    </w:pPr>
    <w:r>
      <w:t>CDIP/23/6</w:t>
    </w:r>
  </w:p>
  <w:p w:rsidR="0088350E" w:rsidRDefault="0088350E" w:rsidP="003071A3">
    <w:pPr>
      <w:jc w:val="right"/>
    </w:pPr>
    <w:r>
      <w:t>APPENDICE III</w:t>
    </w:r>
  </w:p>
  <w:p w:rsidR="0088350E" w:rsidRDefault="0088350E" w:rsidP="003071A3">
    <w:pPr>
      <w:pStyle w:val="Header"/>
      <w:jc w:val="right"/>
    </w:pPr>
  </w:p>
  <w:p w:rsidR="0088350E" w:rsidRDefault="0088350E" w:rsidP="003071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8D1170"/>
    <w:multiLevelType w:val="hybridMultilevel"/>
    <w:tmpl w:val="522E4218"/>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9338C2"/>
    <w:multiLevelType w:val="hybridMultilevel"/>
    <w:tmpl w:val="9F26102E"/>
    <w:lvl w:ilvl="0" w:tplc="4F142574">
      <w:start w:val="1"/>
      <w:numFmt w:val="decimal"/>
      <w:pStyle w:val="Heading5"/>
      <w:lvlText w:val="%1."/>
      <w:lvlJc w:val="left"/>
      <w:pPr>
        <w:ind w:left="720" w:hanging="360"/>
      </w:pPr>
      <w:rPr>
        <w:rFonts w:hint="default"/>
        <w:color w:val="auto"/>
      </w:rPr>
    </w:lvl>
    <w:lvl w:ilvl="1" w:tplc="2C76EF10">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103B6"/>
    <w:multiLevelType w:val="multilevel"/>
    <w:tmpl w:val="91EA382E"/>
    <w:lvl w:ilvl="0">
      <w:start w:val="1"/>
      <w:numFmt w:val="decimal"/>
      <w:pStyle w:val="Heading1"/>
      <w:lvlText w:val="%1."/>
      <w:lvlJc w:val="left"/>
      <w:pPr>
        <w:ind w:left="567" w:hanging="567"/>
      </w:pPr>
      <w:rPr>
        <w:rFonts w:hint="default"/>
      </w:rPr>
    </w:lvl>
    <w:lvl w:ilvl="1">
      <w:start w:val="1"/>
      <w:numFmt w:val="upperLetter"/>
      <w:pStyle w:val="Head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67185"/>
    <w:multiLevelType w:val="hybridMultilevel"/>
    <w:tmpl w:val="84F05840"/>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6E3770"/>
    <w:multiLevelType w:val="hybridMultilevel"/>
    <w:tmpl w:val="299824E4"/>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1C40E8"/>
    <w:multiLevelType w:val="hybridMultilevel"/>
    <w:tmpl w:val="92203F4E"/>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44424"/>
    <w:multiLevelType w:val="multilevel"/>
    <w:tmpl w:val="4E6A8DE6"/>
    <w:lvl w:ilvl="0">
      <w:start w:val="1"/>
      <w:numFmt w:val="decimal"/>
      <w:lvlText w:val="%1."/>
      <w:lvlJc w:val="left"/>
      <w:pPr>
        <w:ind w:left="567" w:hanging="567"/>
      </w:pPr>
      <w:rPr>
        <w:rFonts w:hint="default"/>
      </w:rPr>
    </w:lvl>
    <w:lvl w:ilvl="1">
      <w:start w:val="1"/>
      <w:numFmt w:val="upperLetter"/>
      <w:lvlText w:val="%2)"/>
      <w:lvlJc w:val="left"/>
      <w:pPr>
        <w:ind w:left="567" w:firstLine="0"/>
      </w:pPr>
      <w:rPr>
        <w:rFonts w:hint="default"/>
      </w:rPr>
    </w:lvl>
    <w:lvl w:ilvl="2">
      <w:start w:val="1"/>
      <w:numFmt w:val="lowerRoman"/>
      <w:pStyle w:val="Heading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6"/>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9"/>
  </w:num>
  <w:num w:numId="29">
    <w:abstractNumId w:va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ministration &amp; Finance\PBC|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9216A"/>
    <w:rsid w:val="00032BEF"/>
    <w:rsid w:val="00043CAA"/>
    <w:rsid w:val="00047A68"/>
    <w:rsid w:val="0005325E"/>
    <w:rsid w:val="00075432"/>
    <w:rsid w:val="0008172E"/>
    <w:rsid w:val="000968ED"/>
    <w:rsid w:val="000A0A1C"/>
    <w:rsid w:val="000B0EAA"/>
    <w:rsid w:val="000B5722"/>
    <w:rsid w:val="000C1170"/>
    <w:rsid w:val="000D10DF"/>
    <w:rsid w:val="000F2912"/>
    <w:rsid w:val="000F5E56"/>
    <w:rsid w:val="000F680A"/>
    <w:rsid w:val="001010BC"/>
    <w:rsid w:val="0010410B"/>
    <w:rsid w:val="0012235F"/>
    <w:rsid w:val="00122A88"/>
    <w:rsid w:val="001362EE"/>
    <w:rsid w:val="00141EEF"/>
    <w:rsid w:val="001647D5"/>
    <w:rsid w:val="00166496"/>
    <w:rsid w:val="00170F1A"/>
    <w:rsid w:val="00180D7B"/>
    <w:rsid w:val="001832A6"/>
    <w:rsid w:val="001A15D0"/>
    <w:rsid w:val="001E7E59"/>
    <w:rsid w:val="0021217E"/>
    <w:rsid w:val="002140BE"/>
    <w:rsid w:val="0022102F"/>
    <w:rsid w:val="00223647"/>
    <w:rsid w:val="00231D82"/>
    <w:rsid w:val="0024160D"/>
    <w:rsid w:val="00244C87"/>
    <w:rsid w:val="002634C4"/>
    <w:rsid w:val="002765CF"/>
    <w:rsid w:val="002928D3"/>
    <w:rsid w:val="00297BDE"/>
    <w:rsid w:val="002A2F8B"/>
    <w:rsid w:val="002A4652"/>
    <w:rsid w:val="002B65DC"/>
    <w:rsid w:val="002B789B"/>
    <w:rsid w:val="002C07E1"/>
    <w:rsid w:val="002F1FE6"/>
    <w:rsid w:val="002F4BE9"/>
    <w:rsid w:val="002F4E68"/>
    <w:rsid w:val="003071A3"/>
    <w:rsid w:val="00312F7F"/>
    <w:rsid w:val="00361450"/>
    <w:rsid w:val="00362A26"/>
    <w:rsid w:val="003673CF"/>
    <w:rsid w:val="00367DB6"/>
    <w:rsid w:val="003845C1"/>
    <w:rsid w:val="00391671"/>
    <w:rsid w:val="003A1518"/>
    <w:rsid w:val="003A2B05"/>
    <w:rsid w:val="003A6F89"/>
    <w:rsid w:val="003B38C1"/>
    <w:rsid w:val="003B3E1D"/>
    <w:rsid w:val="003D6ED8"/>
    <w:rsid w:val="003E5146"/>
    <w:rsid w:val="003E65D7"/>
    <w:rsid w:val="003F7342"/>
    <w:rsid w:val="0040450A"/>
    <w:rsid w:val="00405410"/>
    <w:rsid w:val="004146CE"/>
    <w:rsid w:val="004167A9"/>
    <w:rsid w:val="004205F8"/>
    <w:rsid w:val="00421966"/>
    <w:rsid w:val="0042254C"/>
    <w:rsid w:val="00423BE0"/>
    <w:rsid w:val="00423E3E"/>
    <w:rsid w:val="00427AF4"/>
    <w:rsid w:val="00437A38"/>
    <w:rsid w:val="004647DA"/>
    <w:rsid w:val="00474062"/>
    <w:rsid w:val="00477D6B"/>
    <w:rsid w:val="0049216A"/>
    <w:rsid w:val="00496F7C"/>
    <w:rsid w:val="004B0432"/>
    <w:rsid w:val="004C71C9"/>
    <w:rsid w:val="004D45E5"/>
    <w:rsid w:val="004E1FCF"/>
    <w:rsid w:val="005019FF"/>
    <w:rsid w:val="00504262"/>
    <w:rsid w:val="00511C24"/>
    <w:rsid w:val="00513CC1"/>
    <w:rsid w:val="0051480C"/>
    <w:rsid w:val="00522D0F"/>
    <w:rsid w:val="0053057A"/>
    <w:rsid w:val="00534131"/>
    <w:rsid w:val="005460E4"/>
    <w:rsid w:val="005464AF"/>
    <w:rsid w:val="005606D8"/>
    <w:rsid w:val="00560A29"/>
    <w:rsid w:val="005664B5"/>
    <w:rsid w:val="00566823"/>
    <w:rsid w:val="00581419"/>
    <w:rsid w:val="005839C0"/>
    <w:rsid w:val="00586D4B"/>
    <w:rsid w:val="005A5FEE"/>
    <w:rsid w:val="005B3063"/>
    <w:rsid w:val="005C6649"/>
    <w:rsid w:val="00600CA2"/>
    <w:rsid w:val="00605827"/>
    <w:rsid w:val="00610DAF"/>
    <w:rsid w:val="00614AC3"/>
    <w:rsid w:val="00614FCB"/>
    <w:rsid w:val="00620CDE"/>
    <w:rsid w:val="0062441C"/>
    <w:rsid w:val="00640821"/>
    <w:rsid w:val="006408BB"/>
    <w:rsid w:val="006415AC"/>
    <w:rsid w:val="00646050"/>
    <w:rsid w:val="006561CF"/>
    <w:rsid w:val="006713CA"/>
    <w:rsid w:val="0067547F"/>
    <w:rsid w:val="00676C5C"/>
    <w:rsid w:val="00682A51"/>
    <w:rsid w:val="00690A4D"/>
    <w:rsid w:val="006B06AB"/>
    <w:rsid w:val="006B2EA8"/>
    <w:rsid w:val="006C60DE"/>
    <w:rsid w:val="006C62D3"/>
    <w:rsid w:val="006E18DD"/>
    <w:rsid w:val="00722908"/>
    <w:rsid w:val="00760583"/>
    <w:rsid w:val="00760CBC"/>
    <w:rsid w:val="007755C4"/>
    <w:rsid w:val="00794222"/>
    <w:rsid w:val="00796035"/>
    <w:rsid w:val="007C18BA"/>
    <w:rsid w:val="007D157B"/>
    <w:rsid w:val="007D1613"/>
    <w:rsid w:val="007E4C0E"/>
    <w:rsid w:val="00823680"/>
    <w:rsid w:val="0082474A"/>
    <w:rsid w:val="008652BC"/>
    <w:rsid w:val="0088350E"/>
    <w:rsid w:val="00883746"/>
    <w:rsid w:val="008A134B"/>
    <w:rsid w:val="008A370C"/>
    <w:rsid w:val="008A771A"/>
    <w:rsid w:val="008B2CC1"/>
    <w:rsid w:val="008B60B2"/>
    <w:rsid w:val="008F5CBD"/>
    <w:rsid w:val="0090731E"/>
    <w:rsid w:val="00916EE2"/>
    <w:rsid w:val="00917E31"/>
    <w:rsid w:val="00935A98"/>
    <w:rsid w:val="009435EC"/>
    <w:rsid w:val="009515A8"/>
    <w:rsid w:val="009616EF"/>
    <w:rsid w:val="00964230"/>
    <w:rsid w:val="00966A22"/>
    <w:rsid w:val="0096722F"/>
    <w:rsid w:val="00980843"/>
    <w:rsid w:val="00991899"/>
    <w:rsid w:val="009A18AE"/>
    <w:rsid w:val="009C7909"/>
    <w:rsid w:val="009C7BC8"/>
    <w:rsid w:val="009D5D4A"/>
    <w:rsid w:val="009E2791"/>
    <w:rsid w:val="009E3F6F"/>
    <w:rsid w:val="009E6677"/>
    <w:rsid w:val="009F499F"/>
    <w:rsid w:val="00A01D97"/>
    <w:rsid w:val="00A03E68"/>
    <w:rsid w:val="00A10BD8"/>
    <w:rsid w:val="00A1244F"/>
    <w:rsid w:val="00A136D5"/>
    <w:rsid w:val="00A34BA1"/>
    <w:rsid w:val="00A35991"/>
    <w:rsid w:val="00A367CD"/>
    <w:rsid w:val="00A37342"/>
    <w:rsid w:val="00A42DAF"/>
    <w:rsid w:val="00A43B3B"/>
    <w:rsid w:val="00A45BD8"/>
    <w:rsid w:val="00A53A7D"/>
    <w:rsid w:val="00A57012"/>
    <w:rsid w:val="00A62C7A"/>
    <w:rsid w:val="00A84154"/>
    <w:rsid w:val="00A869B7"/>
    <w:rsid w:val="00A97D66"/>
    <w:rsid w:val="00AC205C"/>
    <w:rsid w:val="00AD0F4E"/>
    <w:rsid w:val="00AD182D"/>
    <w:rsid w:val="00AE4F0A"/>
    <w:rsid w:val="00AF0A6B"/>
    <w:rsid w:val="00AF7ADE"/>
    <w:rsid w:val="00B05A69"/>
    <w:rsid w:val="00B144C5"/>
    <w:rsid w:val="00B27789"/>
    <w:rsid w:val="00B31189"/>
    <w:rsid w:val="00B4130C"/>
    <w:rsid w:val="00B46EF9"/>
    <w:rsid w:val="00B559E3"/>
    <w:rsid w:val="00B63F99"/>
    <w:rsid w:val="00B82327"/>
    <w:rsid w:val="00B90AA0"/>
    <w:rsid w:val="00B90DA7"/>
    <w:rsid w:val="00B9734B"/>
    <w:rsid w:val="00BA0CEC"/>
    <w:rsid w:val="00BA0FB7"/>
    <w:rsid w:val="00BA30E2"/>
    <w:rsid w:val="00BB112A"/>
    <w:rsid w:val="00BB3401"/>
    <w:rsid w:val="00BB4EB6"/>
    <w:rsid w:val="00BD3DA4"/>
    <w:rsid w:val="00BD3ECD"/>
    <w:rsid w:val="00C11BFE"/>
    <w:rsid w:val="00C16BA4"/>
    <w:rsid w:val="00C2061E"/>
    <w:rsid w:val="00C2708F"/>
    <w:rsid w:val="00C32140"/>
    <w:rsid w:val="00C41E75"/>
    <w:rsid w:val="00C502B9"/>
    <w:rsid w:val="00C5068F"/>
    <w:rsid w:val="00C53C8E"/>
    <w:rsid w:val="00C546AC"/>
    <w:rsid w:val="00C63A62"/>
    <w:rsid w:val="00C80C5D"/>
    <w:rsid w:val="00C86D74"/>
    <w:rsid w:val="00C91B50"/>
    <w:rsid w:val="00CB29BD"/>
    <w:rsid w:val="00CC20CC"/>
    <w:rsid w:val="00CC46F0"/>
    <w:rsid w:val="00CD04F1"/>
    <w:rsid w:val="00CD07BC"/>
    <w:rsid w:val="00CF52D5"/>
    <w:rsid w:val="00CF7FBA"/>
    <w:rsid w:val="00D0591C"/>
    <w:rsid w:val="00D0745A"/>
    <w:rsid w:val="00D20DF9"/>
    <w:rsid w:val="00D37935"/>
    <w:rsid w:val="00D45252"/>
    <w:rsid w:val="00D51636"/>
    <w:rsid w:val="00D536EC"/>
    <w:rsid w:val="00D5536E"/>
    <w:rsid w:val="00D71B4D"/>
    <w:rsid w:val="00D93D55"/>
    <w:rsid w:val="00DA4BBE"/>
    <w:rsid w:val="00DB0985"/>
    <w:rsid w:val="00DD4B98"/>
    <w:rsid w:val="00DD4DC5"/>
    <w:rsid w:val="00DD592B"/>
    <w:rsid w:val="00E04611"/>
    <w:rsid w:val="00E15015"/>
    <w:rsid w:val="00E2717E"/>
    <w:rsid w:val="00E32245"/>
    <w:rsid w:val="00E335FE"/>
    <w:rsid w:val="00E43E9D"/>
    <w:rsid w:val="00E47B8E"/>
    <w:rsid w:val="00E47E70"/>
    <w:rsid w:val="00E5654B"/>
    <w:rsid w:val="00E87788"/>
    <w:rsid w:val="00EA4E47"/>
    <w:rsid w:val="00EA7D6E"/>
    <w:rsid w:val="00EC0D15"/>
    <w:rsid w:val="00EC4E49"/>
    <w:rsid w:val="00EC6BE5"/>
    <w:rsid w:val="00ED1949"/>
    <w:rsid w:val="00ED77FB"/>
    <w:rsid w:val="00EE3B36"/>
    <w:rsid w:val="00EE45FA"/>
    <w:rsid w:val="00EF05D8"/>
    <w:rsid w:val="00F0221A"/>
    <w:rsid w:val="00F075E0"/>
    <w:rsid w:val="00F20D44"/>
    <w:rsid w:val="00F21B7F"/>
    <w:rsid w:val="00F23499"/>
    <w:rsid w:val="00F60C80"/>
    <w:rsid w:val="00F66152"/>
    <w:rsid w:val="00F731B4"/>
    <w:rsid w:val="00F76AB9"/>
    <w:rsid w:val="00F827C4"/>
    <w:rsid w:val="00F82EC3"/>
    <w:rsid w:val="00F84D0D"/>
    <w:rsid w:val="00FA0AB6"/>
    <w:rsid w:val="00FB1EBD"/>
    <w:rsid w:val="00FB4AA9"/>
    <w:rsid w:val="00FB7598"/>
    <w:rsid w:val="00FC36CD"/>
    <w:rsid w:val="00FE5BED"/>
    <w:rsid w:val="00FF0285"/>
    <w:rsid w:val="00FF47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61A276-64AC-47FC-B738-7833E98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E0"/>
    <w:rPr>
      <w:rFonts w:ascii="Arial" w:eastAsia="SimSun" w:hAnsi="Arial" w:cs="Arial"/>
      <w:sz w:val="22"/>
      <w:lang w:eastAsia="zh-CN"/>
    </w:rPr>
  </w:style>
  <w:style w:type="paragraph" w:styleId="Heading1">
    <w:name w:val="heading 1"/>
    <w:basedOn w:val="Normal"/>
    <w:next w:val="Normal"/>
    <w:link w:val="Heading1Char"/>
    <w:qFormat/>
    <w:rsid w:val="00423BE0"/>
    <w:pPr>
      <w:keepNext/>
      <w:numPr>
        <w:numId w:val="8"/>
      </w:numPr>
      <w:spacing w:before="240" w:after="60"/>
      <w:outlineLvl w:val="0"/>
    </w:pPr>
    <w:rPr>
      <w:b/>
      <w:bCs/>
      <w:caps/>
      <w:kern w:val="32"/>
      <w:szCs w:val="32"/>
    </w:rPr>
  </w:style>
  <w:style w:type="paragraph" w:styleId="Heading2">
    <w:name w:val="heading 2"/>
    <w:basedOn w:val="Normal"/>
    <w:next w:val="Normal"/>
    <w:link w:val="Heading2Char"/>
    <w:qFormat/>
    <w:rsid w:val="00367DB6"/>
    <w:pPr>
      <w:keepNext/>
      <w:numPr>
        <w:ilvl w:val="1"/>
        <w:numId w:val="8"/>
      </w:numPr>
      <w:spacing w:before="240" w:after="60"/>
      <w:ind w:left="1134" w:hanging="567"/>
      <w:outlineLvl w:val="1"/>
    </w:pPr>
    <w:rPr>
      <w:bCs/>
      <w:iCs/>
      <w:caps/>
      <w:szCs w:val="28"/>
    </w:rPr>
  </w:style>
  <w:style w:type="paragraph" w:styleId="Heading3">
    <w:name w:val="heading 3"/>
    <w:basedOn w:val="Normal"/>
    <w:next w:val="Normal"/>
    <w:link w:val="Heading3Char"/>
    <w:qFormat/>
    <w:rsid w:val="00423BE0"/>
    <w:pPr>
      <w:keepNext/>
      <w:numPr>
        <w:ilvl w:val="2"/>
        <w:numId w:val="9"/>
      </w:numPr>
      <w:spacing w:before="240" w:after="60"/>
      <w:outlineLvl w:val="2"/>
    </w:pPr>
    <w:rPr>
      <w:bCs/>
      <w:szCs w:val="26"/>
      <w:u w:val="single"/>
    </w:rPr>
  </w:style>
  <w:style w:type="paragraph" w:styleId="Heading4">
    <w:name w:val="heading 4"/>
    <w:basedOn w:val="Heading2"/>
    <w:next w:val="Normal"/>
    <w:link w:val="Heading4Char"/>
    <w:qFormat/>
    <w:rsid w:val="00586D4B"/>
    <w:pPr>
      <w:numPr>
        <w:ilvl w:val="0"/>
        <w:numId w:val="0"/>
      </w:numPr>
      <w:outlineLvl w:val="3"/>
    </w:pPr>
    <w:rPr>
      <w:b/>
      <w:caps w:val="0"/>
    </w:rPr>
  </w:style>
  <w:style w:type="paragraph" w:styleId="Heading5">
    <w:name w:val="heading 5"/>
    <w:basedOn w:val="Normal"/>
    <w:next w:val="Normal"/>
    <w:link w:val="Heading5Char"/>
    <w:unhideWhenUsed/>
    <w:qFormat/>
    <w:rsid w:val="00586D4B"/>
    <w:pPr>
      <w:numPr>
        <w:numId w:val="2"/>
      </w:numPr>
      <w:spacing w:before="240" w:after="60"/>
      <w:ind w:left="567" w:hanging="567"/>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23BE0"/>
    <w:pPr>
      <w:ind w:left="5534"/>
    </w:pPr>
    <w:rPr>
      <w:lang w:val="en-US"/>
    </w:rPr>
  </w:style>
  <w:style w:type="paragraph" w:styleId="BodyText">
    <w:name w:val="Body Text"/>
    <w:basedOn w:val="Normal"/>
    <w:link w:val="BodyTextChar"/>
    <w:rsid w:val="00423BE0"/>
    <w:pPr>
      <w:spacing w:after="220"/>
    </w:pPr>
  </w:style>
  <w:style w:type="paragraph" w:styleId="Caption">
    <w:name w:val="caption"/>
    <w:basedOn w:val="Normal"/>
    <w:next w:val="Normal"/>
    <w:qFormat/>
    <w:rsid w:val="00423BE0"/>
    <w:rPr>
      <w:b/>
      <w:bCs/>
      <w:sz w:val="18"/>
    </w:rPr>
  </w:style>
  <w:style w:type="paragraph" w:styleId="CommentText">
    <w:name w:val="annotation text"/>
    <w:basedOn w:val="Normal"/>
    <w:link w:val="CommentTextChar1"/>
    <w:semiHidden/>
    <w:rsid w:val="00423BE0"/>
    <w:rPr>
      <w:sz w:val="18"/>
    </w:rPr>
  </w:style>
  <w:style w:type="paragraph" w:styleId="EndnoteText">
    <w:name w:val="endnote text"/>
    <w:basedOn w:val="Normal"/>
    <w:link w:val="EndnoteTextChar"/>
    <w:semiHidden/>
    <w:rsid w:val="00423BE0"/>
    <w:rPr>
      <w:sz w:val="18"/>
    </w:rPr>
  </w:style>
  <w:style w:type="paragraph" w:styleId="Footer">
    <w:name w:val="footer"/>
    <w:basedOn w:val="Normal"/>
    <w:link w:val="FooterChar"/>
    <w:uiPriority w:val="99"/>
    <w:rsid w:val="00423BE0"/>
    <w:pPr>
      <w:tabs>
        <w:tab w:val="center" w:pos="4320"/>
        <w:tab w:val="right" w:pos="8640"/>
      </w:tabs>
    </w:pPr>
  </w:style>
  <w:style w:type="paragraph" w:styleId="FootnoteText">
    <w:name w:val="footnote text"/>
    <w:aliases w:val="Footnote"/>
    <w:basedOn w:val="Normal"/>
    <w:link w:val="FootnoteTextChar"/>
    <w:semiHidden/>
    <w:rsid w:val="00423BE0"/>
    <w:rPr>
      <w:sz w:val="18"/>
    </w:rPr>
  </w:style>
  <w:style w:type="paragraph" w:styleId="Header">
    <w:name w:val="header"/>
    <w:basedOn w:val="Normal"/>
    <w:link w:val="HeaderChar"/>
    <w:uiPriority w:val="99"/>
    <w:rsid w:val="00423BE0"/>
    <w:pPr>
      <w:tabs>
        <w:tab w:val="center" w:pos="4536"/>
        <w:tab w:val="right" w:pos="9072"/>
      </w:tabs>
    </w:pPr>
  </w:style>
  <w:style w:type="paragraph" w:styleId="ListNumber">
    <w:name w:val="List Number"/>
    <w:basedOn w:val="Normal"/>
    <w:semiHidden/>
    <w:rsid w:val="00423BE0"/>
    <w:pPr>
      <w:numPr>
        <w:numId w:val="3"/>
      </w:numPr>
    </w:pPr>
  </w:style>
  <w:style w:type="paragraph" w:customStyle="1" w:styleId="ONUME">
    <w:name w:val="ONUM E"/>
    <w:basedOn w:val="BodyText"/>
    <w:link w:val="ONUMEChar"/>
    <w:rsid w:val="00423BE0"/>
    <w:pPr>
      <w:numPr>
        <w:numId w:val="4"/>
      </w:numPr>
    </w:pPr>
  </w:style>
  <w:style w:type="paragraph" w:customStyle="1" w:styleId="ONUMFS">
    <w:name w:val="ONUM FS"/>
    <w:basedOn w:val="BodyText"/>
    <w:rsid w:val="00423BE0"/>
    <w:pPr>
      <w:numPr>
        <w:numId w:val="5"/>
      </w:numPr>
    </w:pPr>
  </w:style>
  <w:style w:type="paragraph" w:styleId="Salutation">
    <w:name w:val="Salutation"/>
    <w:basedOn w:val="Normal"/>
    <w:next w:val="Normal"/>
    <w:link w:val="SalutationChar"/>
    <w:semiHidden/>
    <w:rsid w:val="00423BE0"/>
  </w:style>
  <w:style w:type="paragraph" w:styleId="Signature">
    <w:name w:val="Signature"/>
    <w:basedOn w:val="Normal"/>
    <w:link w:val="SignatureChar"/>
    <w:semiHidden/>
    <w:rsid w:val="00423BE0"/>
    <w:pPr>
      <w:ind w:left="5250"/>
    </w:pPr>
  </w:style>
  <w:style w:type="paragraph" w:styleId="ListParagraph">
    <w:name w:val="List Paragraph"/>
    <w:basedOn w:val="Normal"/>
    <w:uiPriority w:val="34"/>
    <w:qFormat/>
    <w:rsid w:val="00423BE0"/>
    <w:pPr>
      <w:ind w:left="720"/>
      <w:contextualSpacing/>
    </w:pPr>
  </w:style>
  <w:style w:type="character" w:customStyle="1" w:styleId="Heading5Char">
    <w:name w:val="Heading 5 Char"/>
    <w:basedOn w:val="DefaultParagraphFont"/>
    <w:link w:val="Heading5"/>
    <w:rsid w:val="00586D4B"/>
    <w:rPr>
      <w:rFonts w:ascii="Arial" w:eastAsiaTheme="majorEastAsia" w:hAnsi="Arial" w:cs="Arial"/>
      <w:b/>
      <w:sz w:val="22"/>
      <w:lang w:eastAsia="zh-CN"/>
    </w:rPr>
  </w:style>
  <w:style w:type="character" w:customStyle="1" w:styleId="Heading1Char">
    <w:name w:val="Heading 1 Char"/>
    <w:link w:val="Heading1"/>
    <w:rsid w:val="003071A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67DB6"/>
    <w:rPr>
      <w:rFonts w:ascii="Arial" w:eastAsia="SimSun" w:hAnsi="Arial" w:cs="Arial"/>
      <w:bCs/>
      <w:iCs/>
      <w:caps/>
      <w:sz w:val="22"/>
      <w:szCs w:val="28"/>
      <w:lang w:eastAsia="zh-CN"/>
    </w:rPr>
  </w:style>
  <w:style w:type="character" w:customStyle="1" w:styleId="Heading3Char">
    <w:name w:val="Heading 3 Char"/>
    <w:link w:val="Heading3"/>
    <w:rsid w:val="003071A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86D4B"/>
    <w:rPr>
      <w:rFonts w:ascii="Arial" w:eastAsia="SimSun" w:hAnsi="Arial" w:cs="Arial"/>
      <w:b/>
      <w:bCs/>
      <w:iCs/>
      <w:sz w:val="22"/>
      <w:szCs w:val="28"/>
      <w:lang w:eastAsia="zh-CN"/>
    </w:rPr>
  </w:style>
  <w:style w:type="character" w:customStyle="1" w:styleId="CommentTextChar">
    <w:name w:val="Comment Text Char"/>
    <w:uiPriority w:val="99"/>
    <w:semiHidden/>
    <w:rsid w:val="003071A3"/>
    <w:rPr>
      <w:rFonts w:ascii="Arial" w:eastAsia="SimSun" w:hAnsi="Arial" w:cs="Arial"/>
      <w:sz w:val="18"/>
      <w:lang w:eastAsia="zh-CN"/>
    </w:rPr>
  </w:style>
  <w:style w:type="character" w:customStyle="1" w:styleId="EndnoteTextChar">
    <w:name w:val="Endnote Text Char"/>
    <w:basedOn w:val="DefaultParagraphFont"/>
    <w:link w:val="EndnoteText"/>
    <w:semiHidden/>
    <w:rsid w:val="003071A3"/>
    <w:rPr>
      <w:rFonts w:ascii="Arial" w:eastAsia="SimSun" w:hAnsi="Arial" w:cs="Arial"/>
      <w:sz w:val="18"/>
      <w:lang w:eastAsia="zh-CN"/>
    </w:rPr>
  </w:style>
  <w:style w:type="character" w:customStyle="1" w:styleId="FooterChar">
    <w:name w:val="Footer Char"/>
    <w:basedOn w:val="DefaultParagraphFont"/>
    <w:link w:val="Footer"/>
    <w:uiPriority w:val="99"/>
    <w:rsid w:val="003071A3"/>
    <w:rPr>
      <w:rFonts w:ascii="Arial" w:eastAsia="SimSun" w:hAnsi="Arial" w:cs="Arial"/>
      <w:sz w:val="22"/>
      <w:lang w:eastAsia="zh-CN"/>
    </w:rPr>
  </w:style>
  <w:style w:type="character" w:customStyle="1" w:styleId="FootnoteTextChar">
    <w:name w:val="Footnote Text Char"/>
    <w:aliases w:val="Footnote Char"/>
    <w:link w:val="FootnoteText"/>
    <w:semiHidden/>
    <w:locked/>
    <w:rsid w:val="003071A3"/>
    <w:rPr>
      <w:rFonts w:ascii="Arial" w:eastAsia="SimSun" w:hAnsi="Arial" w:cs="Arial"/>
      <w:sz w:val="18"/>
      <w:lang w:eastAsia="zh-CN"/>
    </w:rPr>
  </w:style>
  <w:style w:type="character" w:customStyle="1" w:styleId="HeaderChar">
    <w:name w:val="Header Char"/>
    <w:link w:val="Header"/>
    <w:uiPriority w:val="99"/>
    <w:locked/>
    <w:rsid w:val="003071A3"/>
    <w:rPr>
      <w:rFonts w:ascii="Arial" w:eastAsia="SimSun" w:hAnsi="Arial" w:cs="Arial"/>
      <w:sz w:val="22"/>
      <w:lang w:eastAsia="zh-CN"/>
    </w:rPr>
  </w:style>
  <w:style w:type="character" w:customStyle="1" w:styleId="ONUMEChar">
    <w:name w:val="ONUM E Char"/>
    <w:link w:val="ONUME"/>
    <w:rsid w:val="003071A3"/>
    <w:rPr>
      <w:rFonts w:ascii="Arial" w:eastAsia="SimSun" w:hAnsi="Arial" w:cs="Arial"/>
      <w:sz w:val="22"/>
      <w:lang w:eastAsia="zh-CN"/>
    </w:rPr>
  </w:style>
  <w:style w:type="character" w:customStyle="1" w:styleId="SalutationChar">
    <w:name w:val="Salutation Char"/>
    <w:basedOn w:val="DefaultParagraphFont"/>
    <w:link w:val="Salutation"/>
    <w:semiHidden/>
    <w:rsid w:val="003071A3"/>
    <w:rPr>
      <w:rFonts w:ascii="Arial" w:eastAsia="SimSun" w:hAnsi="Arial" w:cs="Arial"/>
      <w:sz w:val="22"/>
      <w:lang w:eastAsia="zh-CN"/>
    </w:rPr>
  </w:style>
  <w:style w:type="character" w:customStyle="1" w:styleId="SignatureChar">
    <w:name w:val="Signature Char"/>
    <w:basedOn w:val="DefaultParagraphFont"/>
    <w:link w:val="Signature"/>
    <w:semiHidden/>
    <w:rsid w:val="003071A3"/>
    <w:rPr>
      <w:rFonts w:ascii="Arial" w:eastAsia="SimSun" w:hAnsi="Arial" w:cs="Arial"/>
      <w:sz w:val="22"/>
      <w:lang w:eastAsia="zh-CN"/>
    </w:rPr>
  </w:style>
  <w:style w:type="paragraph" w:styleId="TOC3">
    <w:name w:val="toc 3"/>
    <w:basedOn w:val="Normal"/>
    <w:next w:val="Normal"/>
    <w:autoRedefine/>
    <w:uiPriority w:val="39"/>
    <w:rsid w:val="003071A3"/>
    <w:pPr>
      <w:tabs>
        <w:tab w:val="left" w:pos="851"/>
        <w:tab w:val="right" w:leader="dot" w:pos="9345"/>
      </w:tabs>
      <w:ind w:left="440"/>
    </w:pPr>
  </w:style>
  <w:style w:type="paragraph" w:styleId="TOC1">
    <w:name w:val="toc 1"/>
    <w:basedOn w:val="Normal"/>
    <w:next w:val="Normal"/>
    <w:autoRedefine/>
    <w:uiPriority w:val="39"/>
    <w:rsid w:val="003071A3"/>
    <w:pPr>
      <w:spacing w:before="120" w:after="120"/>
    </w:pPr>
    <w:rPr>
      <w:rFonts w:ascii="arial bold" w:hAnsi="arial bold"/>
      <w:b/>
      <w:caps/>
    </w:rPr>
  </w:style>
  <w:style w:type="paragraph" w:styleId="TOC2">
    <w:name w:val="toc 2"/>
    <w:basedOn w:val="Normal"/>
    <w:next w:val="Normal"/>
    <w:autoRedefine/>
    <w:uiPriority w:val="39"/>
    <w:rsid w:val="003071A3"/>
    <w:pPr>
      <w:spacing w:before="120" w:after="120"/>
      <w:ind w:left="221"/>
    </w:pPr>
    <w:rPr>
      <w:caps/>
    </w:rPr>
  </w:style>
  <w:style w:type="character" w:styleId="FootnoteReference">
    <w:name w:val="footnote reference"/>
    <w:uiPriority w:val="99"/>
    <w:rsid w:val="003071A3"/>
    <w:rPr>
      <w:rFonts w:cs="Times New Roman"/>
      <w:vertAlign w:val="superscript"/>
    </w:rPr>
  </w:style>
  <w:style w:type="paragraph" w:styleId="BalloonText">
    <w:name w:val="Balloon Text"/>
    <w:basedOn w:val="Normal"/>
    <w:link w:val="BalloonTextChar"/>
    <w:uiPriority w:val="99"/>
    <w:rsid w:val="003071A3"/>
    <w:rPr>
      <w:rFonts w:ascii="Tahoma" w:hAnsi="Tahoma" w:cs="Tahoma"/>
      <w:sz w:val="16"/>
      <w:szCs w:val="16"/>
    </w:rPr>
  </w:style>
  <w:style w:type="character" w:customStyle="1" w:styleId="BalloonTextChar">
    <w:name w:val="Balloon Text Char"/>
    <w:basedOn w:val="DefaultParagraphFont"/>
    <w:link w:val="BalloonText"/>
    <w:uiPriority w:val="99"/>
    <w:rsid w:val="003071A3"/>
    <w:rPr>
      <w:rFonts w:ascii="Tahoma" w:eastAsia="SimSun" w:hAnsi="Tahoma" w:cs="Tahoma"/>
      <w:sz w:val="16"/>
      <w:szCs w:val="16"/>
      <w:lang w:val="en-US" w:eastAsia="zh-CN"/>
    </w:rPr>
  </w:style>
  <w:style w:type="character" w:styleId="Hyperlink">
    <w:name w:val="Hyperlink"/>
    <w:uiPriority w:val="99"/>
    <w:rsid w:val="003071A3"/>
    <w:rPr>
      <w:color w:val="0000FF"/>
      <w:u w:val="single"/>
    </w:rPr>
  </w:style>
  <w:style w:type="paragraph" w:styleId="BodyText3">
    <w:name w:val="Body Text 3"/>
    <w:basedOn w:val="Normal"/>
    <w:link w:val="BodyText3Char"/>
    <w:rsid w:val="003071A3"/>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3071A3"/>
    <w:rPr>
      <w:rFonts w:ascii="Arial" w:hAnsi="Arial"/>
      <w:sz w:val="16"/>
      <w:szCs w:val="16"/>
      <w:lang w:val="x-none" w:eastAsia="x-none"/>
    </w:rPr>
  </w:style>
  <w:style w:type="paragraph" w:customStyle="1" w:styleId="MediumGrid1-Accent21">
    <w:name w:val="Medium Grid 1 - Accent 21"/>
    <w:basedOn w:val="Normal"/>
    <w:uiPriority w:val="34"/>
    <w:qFormat/>
    <w:rsid w:val="003071A3"/>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3071A3"/>
    <w:rPr>
      <w:sz w:val="18"/>
      <w:szCs w:val="18"/>
    </w:rPr>
  </w:style>
  <w:style w:type="paragraph" w:styleId="CommentSubject">
    <w:name w:val="annotation subject"/>
    <w:basedOn w:val="CommentText"/>
    <w:next w:val="CommentText"/>
    <w:link w:val="CommentSubjectChar"/>
    <w:uiPriority w:val="99"/>
    <w:rsid w:val="003071A3"/>
    <w:rPr>
      <w:rFonts w:cs="Times New Roman"/>
      <w:b/>
      <w:bCs/>
      <w:lang w:val="x-none"/>
    </w:rPr>
  </w:style>
  <w:style w:type="character" w:customStyle="1" w:styleId="CommentTextChar1">
    <w:name w:val="Comment Text Char1"/>
    <w:basedOn w:val="DefaultParagraphFont"/>
    <w:link w:val="CommentText"/>
    <w:semiHidden/>
    <w:rsid w:val="003071A3"/>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3071A3"/>
    <w:rPr>
      <w:rFonts w:ascii="Arial" w:eastAsia="SimSun" w:hAnsi="Arial" w:cs="Arial"/>
      <w:b/>
      <w:bCs/>
      <w:sz w:val="18"/>
      <w:lang w:val="x-none" w:eastAsia="zh-CN"/>
    </w:rPr>
  </w:style>
  <w:style w:type="table" w:styleId="TableGrid">
    <w:name w:val="Table Grid"/>
    <w:basedOn w:val="TableNormal"/>
    <w:rsid w:val="003071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71A3"/>
    <w:rPr>
      <w:rFonts w:ascii="Arial" w:eastAsia="SimSun" w:hAnsi="Arial" w:cs="Arial"/>
      <w:sz w:val="22"/>
      <w:lang w:val="en-US" w:eastAsia="zh-CN"/>
    </w:rPr>
  </w:style>
  <w:style w:type="paragraph" w:styleId="NormalWeb">
    <w:name w:val="Normal (Web)"/>
    <w:basedOn w:val="Normal"/>
    <w:rsid w:val="003071A3"/>
    <w:rPr>
      <w:rFonts w:ascii="Times New Roman" w:hAnsi="Times New Roman" w:cs="Times New Roman"/>
      <w:sz w:val="24"/>
      <w:szCs w:val="24"/>
    </w:rPr>
  </w:style>
  <w:style w:type="character" w:customStyle="1" w:styleId="Mentionnonrsolue1">
    <w:name w:val="Mention non résolue1"/>
    <w:basedOn w:val="DefaultParagraphFont"/>
    <w:uiPriority w:val="99"/>
    <w:semiHidden/>
    <w:unhideWhenUsed/>
    <w:rsid w:val="003071A3"/>
    <w:rPr>
      <w:color w:val="605E5C"/>
      <w:shd w:val="clear" w:color="auto" w:fill="E1DFDD"/>
    </w:rPr>
  </w:style>
  <w:style w:type="paragraph" w:styleId="BodyTextIndent">
    <w:name w:val="Body Text Indent"/>
    <w:basedOn w:val="Normal"/>
    <w:link w:val="BodyTextIndentChar"/>
    <w:semiHidden/>
    <w:unhideWhenUsed/>
    <w:rsid w:val="003071A3"/>
    <w:pPr>
      <w:spacing w:after="120"/>
      <w:ind w:left="360"/>
    </w:pPr>
  </w:style>
  <w:style w:type="character" w:customStyle="1" w:styleId="BodyTextIndentChar">
    <w:name w:val="Body Text Indent Char"/>
    <w:basedOn w:val="DefaultParagraphFont"/>
    <w:link w:val="BodyTextIndent"/>
    <w:semiHidden/>
    <w:rsid w:val="003071A3"/>
    <w:rPr>
      <w:rFonts w:ascii="Arial" w:eastAsia="SimSun" w:hAnsi="Arial" w:cs="Arial"/>
      <w:sz w:val="22"/>
      <w:lang w:val="en-US" w:eastAsia="zh-CN"/>
    </w:rPr>
  </w:style>
  <w:style w:type="character" w:customStyle="1" w:styleId="BodyTextChar">
    <w:name w:val="Body Text Char"/>
    <w:basedOn w:val="DefaultParagraphFont"/>
    <w:link w:val="BodyText"/>
    <w:rsid w:val="003071A3"/>
    <w:rPr>
      <w:rFonts w:ascii="Arial" w:eastAsia="SimSun" w:hAnsi="Arial" w:cs="Arial"/>
      <w:sz w:val="22"/>
      <w:lang w:eastAsia="zh-CN"/>
    </w:rPr>
  </w:style>
  <w:style w:type="character" w:styleId="PageNumber">
    <w:name w:val="page number"/>
    <w:basedOn w:val="DefaultParagraphFont"/>
    <w:rsid w:val="003071A3"/>
  </w:style>
  <w:style w:type="paragraph" w:customStyle="1" w:styleId="CarCar">
    <w:name w:val="Car Car"/>
    <w:basedOn w:val="Normal"/>
    <w:rsid w:val="003071A3"/>
    <w:pPr>
      <w:spacing w:after="160" w:line="240" w:lineRule="exact"/>
    </w:pPr>
    <w:rPr>
      <w:rFonts w:ascii="Verdana" w:eastAsia="Times New Roman" w:hAnsi="Verdana" w:cs="Times New Roman"/>
      <w:sz w:val="20"/>
      <w:lang w:val="en-GB" w:eastAsia="en-US"/>
    </w:rPr>
  </w:style>
  <w:style w:type="paragraph" w:customStyle="1" w:styleId="Default">
    <w:name w:val="Default"/>
    <w:rsid w:val="003071A3"/>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3071A3"/>
    <w:rPr>
      <w:color w:val="800080" w:themeColor="followedHyperlink"/>
      <w:u w:val="single"/>
    </w:rPr>
  </w:style>
  <w:style w:type="paragraph" w:customStyle="1" w:styleId="Meetingplacedate">
    <w:name w:val="Meeting place &amp; date"/>
    <w:basedOn w:val="Normal"/>
    <w:next w:val="Normal"/>
    <w:rsid w:val="00423BE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23BE0"/>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meetings/fr/doc_details.jsp?doc_id=330596" TargetMode="Externa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F1E0-ABF3-48DA-BD56-0E21EA3D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14021</Words>
  <Characters>81296</Characters>
  <Application>Microsoft Office Word</Application>
  <DocSecurity>4</DocSecurity>
  <Lines>677</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CDIP/23/</vt:lpstr>
      <vt:lpstr>CDIP/23/</vt:lpstr>
    </vt:vector>
  </TitlesOfParts>
  <Company>WIPO</Company>
  <LinksUpToDate>false</LinksUpToDate>
  <CharactersWithSpaces>95127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SARKISSOVA Anna</cp:lastModifiedBy>
  <cp:revision>2</cp:revision>
  <cp:lastPrinted>2019-03-07T10:52:00Z</cp:lastPrinted>
  <dcterms:created xsi:type="dcterms:W3CDTF">2019-03-27T16:47:00Z</dcterms:created>
  <dcterms:modified xsi:type="dcterms:W3CDTF">2019-03-27T16:47:00Z</dcterms:modified>
</cp:coreProperties>
</file>