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D4CEC" w:rsidRPr="008B2CC1" w14:paraId="16E7ED10" w14:textId="77777777" w:rsidTr="005056F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15B33D1" w14:textId="77777777" w:rsidR="003D4CEC" w:rsidRPr="008B2CC1" w:rsidRDefault="003D4CEC" w:rsidP="005056F1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2DFB131" w14:textId="77777777" w:rsidR="003D4CEC" w:rsidRPr="008B2CC1" w:rsidRDefault="003D4CEC" w:rsidP="005056F1">
            <w:r>
              <w:rPr>
                <w:noProof/>
                <w:lang w:val="en-US" w:eastAsia="en-US"/>
              </w:rPr>
              <w:drawing>
                <wp:inline distT="0" distB="0" distL="0" distR="0" wp14:anchorId="5B48CCD5" wp14:editId="12E6E23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9D7D97" w14:textId="77777777" w:rsidR="003D4CEC" w:rsidRPr="008B2CC1" w:rsidRDefault="003D4CEC" w:rsidP="005056F1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3D4CEC" w:rsidRPr="001832A6" w14:paraId="393071F7" w14:textId="77777777" w:rsidTr="005056F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A7E452B" w14:textId="77777777" w:rsidR="003D4CEC" w:rsidRPr="0090731E" w:rsidRDefault="003D4CEC" w:rsidP="005056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CDIP/23/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3D4CEC" w:rsidRPr="001832A6" w14:paraId="5C0AFA24" w14:textId="77777777" w:rsidTr="005056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290E76D" w14:textId="36DD42EF" w:rsidR="003D4CEC" w:rsidRPr="0090731E" w:rsidRDefault="003D4CEC" w:rsidP="005056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90337E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3D4CEC" w:rsidRPr="001832A6" w14:paraId="0E14B7F0" w14:textId="77777777" w:rsidTr="005056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C2B241A" w14:textId="2F692BEE" w:rsidR="003D4CEC" w:rsidRPr="0090731E" w:rsidRDefault="003D4CEC" w:rsidP="005056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90337E">
              <w:rPr>
                <w:rFonts w:ascii="Arial Black" w:hAnsi="Arial Black"/>
                <w:caps/>
                <w:sz w:val="15"/>
              </w:rPr>
              <w:t> : 1</w:t>
            </w:r>
            <w:r w:rsidR="0090337E" w:rsidRPr="0090337E">
              <w:rPr>
                <w:rFonts w:ascii="Arial Black" w:hAnsi="Arial Black"/>
                <w:caps/>
                <w:sz w:val="15"/>
                <w:vertAlign w:val="superscript"/>
              </w:rPr>
              <w:t>er</w:t>
            </w:r>
            <w:r w:rsidR="0090337E">
              <w:rPr>
                <w:rFonts w:ascii="Arial Black" w:hAnsi="Arial Black"/>
                <w:caps/>
                <w:sz w:val="15"/>
              </w:rPr>
              <w:t> mars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4BE13865" w14:textId="77777777" w:rsidR="003D4CEC" w:rsidRPr="008B2CC1" w:rsidRDefault="003D4CEC" w:rsidP="003D4CEC"/>
    <w:p w14:paraId="1A3D5C1A" w14:textId="77777777" w:rsidR="003D4CEC" w:rsidRPr="008B2CC1" w:rsidRDefault="003D4CEC" w:rsidP="003D4CEC"/>
    <w:p w14:paraId="3F030A04" w14:textId="77777777" w:rsidR="003D4CEC" w:rsidRPr="008B2CC1" w:rsidRDefault="003D4CEC" w:rsidP="003D4CEC"/>
    <w:p w14:paraId="72A41A9C" w14:textId="77777777" w:rsidR="003D4CEC" w:rsidRPr="008B2CC1" w:rsidRDefault="003D4CEC" w:rsidP="003D4CEC"/>
    <w:p w14:paraId="1C9DC6BD" w14:textId="77777777" w:rsidR="003D4CEC" w:rsidRPr="008B2CC1" w:rsidRDefault="003D4CEC" w:rsidP="003D4CEC"/>
    <w:p w14:paraId="6BDE0212" w14:textId="77777777" w:rsidR="003D4CEC" w:rsidRPr="003845C1" w:rsidRDefault="003D4CEC" w:rsidP="003D4CEC">
      <w:pPr>
        <w:rPr>
          <w:b/>
          <w:sz w:val="28"/>
          <w:szCs w:val="28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14:paraId="3F025C55" w14:textId="77777777" w:rsidR="003D4CEC" w:rsidRDefault="003D4CEC" w:rsidP="003D4CEC"/>
    <w:p w14:paraId="589D0304" w14:textId="77777777" w:rsidR="003D4CEC" w:rsidRDefault="003D4CEC" w:rsidP="003D4CEC"/>
    <w:p w14:paraId="1A899E00" w14:textId="0E616C2B" w:rsidR="003D4CEC" w:rsidRPr="003845C1" w:rsidRDefault="003D4CEC" w:rsidP="003D4CEC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90337E">
        <w:rPr>
          <w:b/>
          <w:sz w:val="24"/>
          <w:szCs w:val="24"/>
          <w:lang w:val="fr-FR"/>
        </w:rPr>
        <w:t>-</w:t>
      </w:r>
      <w:r>
        <w:rPr>
          <w:b/>
          <w:sz w:val="24"/>
          <w:szCs w:val="24"/>
          <w:lang w:val="fr-FR"/>
        </w:rPr>
        <w:t>trois</w:t>
      </w:r>
      <w:r w:rsidR="0090337E">
        <w:rPr>
          <w:b/>
          <w:sz w:val="24"/>
          <w:szCs w:val="24"/>
          <w:lang w:val="fr-FR"/>
        </w:rPr>
        <w:t>ième session</w:t>
      </w:r>
    </w:p>
    <w:p w14:paraId="2C7F2EE8" w14:textId="77777777" w:rsidR="003D4CEC" w:rsidRPr="003845C1" w:rsidRDefault="003D4CEC" w:rsidP="003D4CEC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Genève, 20</w:t>
      </w:r>
      <w:r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24</w:t>
      </w:r>
      <w:r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mai 2019</w:t>
      </w:r>
    </w:p>
    <w:p w14:paraId="26374A02" w14:textId="77777777" w:rsidR="003D4CEC" w:rsidRPr="008B2CC1" w:rsidRDefault="003D4CEC" w:rsidP="003D4CEC"/>
    <w:p w14:paraId="321EEC65" w14:textId="77777777" w:rsidR="003D4CEC" w:rsidRPr="008B2CC1" w:rsidRDefault="003D4CEC" w:rsidP="003D4CEC"/>
    <w:p w14:paraId="675FA4F9" w14:textId="77777777" w:rsidR="003D4CEC" w:rsidRPr="008B2CC1" w:rsidRDefault="003D4CEC" w:rsidP="003D4CEC"/>
    <w:p w14:paraId="3FFC8DC0" w14:textId="0409E386" w:rsidR="00B10BCF" w:rsidRPr="003D4CEC" w:rsidRDefault="00B10BCF" w:rsidP="00B10BCF">
      <w:pPr>
        <w:rPr>
          <w:caps/>
          <w:sz w:val="24"/>
          <w:szCs w:val="24"/>
          <w:lang w:val="fr-FR"/>
        </w:rPr>
      </w:pPr>
      <w:r w:rsidRPr="003D4CEC">
        <w:rPr>
          <w:caps/>
          <w:sz w:val="24"/>
          <w:szCs w:val="24"/>
          <w:lang w:val="fr-FR"/>
        </w:rPr>
        <w:t>Rapport d</w:t>
      </w:r>
      <w:r w:rsidR="0090337E">
        <w:rPr>
          <w:caps/>
          <w:sz w:val="24"/>
          <w:szCs w:val="24"/>
          <w:lang w:val="fr-FR"/>
        </w:rPr>
        <w:t>’</w:t>
      </w:r>
      <w:r w:rsidRPr="003D4CEC">
        <w:rPr>
          <w:caps/>
          <w:sz w:val="24"/>
          <w:szCs w:val="24"/>
          <w:lang w:val="fr-FR"/>
        </w:rPr>
        <w:t>achèvement du projet relatif au renforcement et</w:t>
      </w:r>
      <w:r w:rsidR="003D4CEC">
        <w:rPr>
          <w:caps/>
          <w:sz w:val="24"/>
          <w:szCs w:val="24"/>
          <w:lang w:val="fr-FR"/>
        </w:rPr>
        <w:t> </w:t>
      </w:r>
      <w:r w:rsidRPr="003D4CEC">
        <w:rPr>
          <w:caps/>
          <w:sz w:val="24"/>
          <w:szCs w:val="24"/>
          <w:lang w:val="fr-FR"/>
        </w:rPr>
        <w:t>au</w:t>
      </w:r>
      <w:r w:rsidR="003D4CEC">
        <w:rPr>
          <w:caps/>
          <w:sz w:val="24"/>
          <w:szCs w:val="24"/>
          <w:lang w:val="fr-FR"/>
        </w:rPr>
        <w:t> </w:t>
      </w:r>
      <w:r w:rsidR="003D4CEC" w:rsidRPr="003D4CEC">
        <w:rPr>
          <w:caps/>
          <w:sz w:val="24"/>
          <w:szCs w:val="24"/>
          <w:lang w:val="fr-FR"/>
        </w:rPr>
        <w:t xml:space="preserve">développement </w:t>
      </w:r>
      <w:r w:rsidRPr="003D4CEC">
        <w:rPr>
          <w:caps/>
          <w:sz w:val="24"/>
          <w:szCs w:val="24"/>
          <w:lang w:val="fr-FR"/>
        </w:rPr>
        <w:t>du secteur de l</w:t>
      </w:r>
      <w:r w:rsidR="0090337E">
        <w:rPr>
          <w:caps/>
          <w:sz w:val="24"/>
          <w:szCs w:val="24"/>
          <w:lang w:val="fr-FR"/>
        </w:rPr>
        <w:t>’</w:t>
      </w:r>
      <w:r w:rsidRPr="003D4CEC">
        <w:rPr>
          <w:caps/>
          <w:sz w:val="24"/>
          <w:szCs w:val="24"/>
          <w:lang w:val="fr-FR"/>
        </w:rPr>
        <w:t>audiovisuel au Burkina Faso et</w:t>
      </w:r>
      <w:r w:rsidR="003D4CEC">
        <w:rPr>
          <w:caps/>
          <w:sz w:val="24"/>
          <w:szCs w:val="24"/>
          <w:lang w:val="fr-FR"/>
        </w:rPr>
        <w:t> </w:t>
      </w:r>
      <w:r w:rsidRPr="003D4CEC">
        <w:rPr>
          <w:caps/>
          <w:sz w:val="24"/>
          <w:szCs w:val="24"/>
          <w:lang w:val="fr-FR"/>
        </w:rPr>
        <w:t xml:space="preserve">dans certains pays africains </w:t>
      </w:r>
      <w:r w:rsidR="00755FC2" w:rsidRPr="003D4CEC">
        <w:rPr>
          <w:caps/>
          <w:sz w:val="24"/>
          <w:szCs w:val="24"/>
          <w:lang w:val="fr-FR"/>
        </w:rPr>
        <w:t>–</w:t>
      </w:r>
      <w:r w:rsidRPr="003D4CEC">
        <w:rPr>
          <w:caps/>
          <w:sz w:val="24"/>
          <w:szCs w:val="24"/>
          <w:lang w:val="fr-FR"/>
        </w:rPr>
        <w:t xml:space="preserve"> phase</w:t>
      </w:r>
      <w:r w:rsidR="00755FC2" w:rsidRPr="003D4CEC">
        <w:rPr>
          <w:caps/>
          <w:sz w:val="24"/>
          <w:szCs w:val="24"/>
          <w:lang w:val="fr-FR"/>
        </w:rPr>
        <w:t> </w:t>
      </w:r>
      <w:r w:rsidRPr="003D4CEC">
        <w:rPr>
          <w:caps/>
          <w:sz w:val="24"/>
          <w:szCs w:val="24"/>
          <w:lang w:val="fr-FR"/>
        </w:rPr>
        <w:t>II</w:t>
      </w:r>
    </w:p>
    <w:p w14:paraId="56D6E819" w14:textId="77777777" w:rsidR="00B10BCF" w:rsidRPr="003D4CEC" w:rsidRDefault="00B10BCF" w:rsidP="009D123C">
      <w:pPr>
        <w:rPr>
          <w:szCs w:val="22"/>
          <w:lang w:val="fr-FR"/>
        </w:rPr>
      </w:pPr>
    </w:p>
    <w:p w14:paraId="5904B5CC" w14:textId="6D4BB35D" w:rsidR="00B10BCF" w:rsidRPr="003D4CEC" w:rsidRDefault="00B10BCF" w:rsidP="00B10BCF">
      <w:pPr>
        <w:rPr>
          <w:i/>
          <w:szCs w:val="22"/>
          <w:lang w:val="fr-FR"/>
        </w:rPr>
      </w:pPr>
      <w:bookmarkStart w:id="4" w:name="Prepared"/>
      <w:bookmarkEnd w:id="4"/>
      <w:proofErr w:type="gramStart"/>
      <w:r w:rsidRPr="003D4CEC">
        <w:rPr>
          <w:i/>
          <w:szCs w:val="22"/>
          <w:lang w:val="fr-FR"/>
        </w:rPr>
        <w:t>établi</w:t>
      </w:r>
      <w:proofErr w:type="gramEnd"/>
      <w:r w:rsidRPr="003D4CEC">
        <w:rPr>
          <w:i/>
          <w:szCs w:val="22"/>
          <w:lang w:val="fr-FR"/>
        </w:rPr>
        <w:t xml:space="preserve"> par le Secrétariat</w:t>
      </w:r>
    </w:p>
    <w:p w14:paraId="24BF4886" w14:textId="77777777" w:rsidR="00B10BCF" w:rsidRPr="003D4CEC" w:rsidRDefault="00B10BCF" w:rsidP="009D123C">
      <w:pPr>
        <w:rPr>
          <w:szCs w:val="22"/>
          <w:lang w:val="fr-FR"/>
        </w:rPr>
      </w:pPr>
    </w:p>
    <w:p w14:paraId="594E085B" w14:textId="77777777" w:rsidR="00B10BCF" w:rsidRPr="003D4CEC" w:rsidRDefault="00B10BCF" w:rsidP="009D123C">
      <w:pPr>
        <w:rPr>
          <w:szCs w:val="22"/>
          <w:lang w:val="fr-FR"/>
        </w:rPr>
      </w:pPr>
    </w:p>
    <w:p w14:paraId="21A3766F" w14:textId="77777777" w:rsidR="00B10BCF" w:rsidRPr="003D4CEC" w:rsidRDefault="00B10BCF" w:rsidP="009D123C">
      <w:pPr>
        <w:rPr>
          <w:szCs w:val="22"/>
          <w:lang w:val="fr-FR"/>
        </w:rPr>
      </w:pPr>
    </w:p>
    <w:p w14:paraId="17033EF8" w14:textId="77777777" w:rsidR="00B10BCF" w:rsidRPr="003D4CEC" w:rsidRDefault="00B10BCF" w:rsidP="009D123C">
      <w:pPr>
        <w:rPr>
          <w:szCs w:val="22"/>
          <w:lang w:val="fr-FR"/>
        </w:rPr>
      </w:pPr>
    </w:p>
    <w:p w14:paraId="51152033" w14:textId="7364368A" w:rsidR="0090337E" w:rsidRDefault="00A42F32" w:rsidP="003D4CEC">
      <w:pPr>
        <w:pStyle w:val="ONUMFS"/>
        <w:rPr>
          <w:lang w:val="fr-FR"/>
        </w:rPr>
      </w:pPr>
      <w:r w:rsidRPr="003D4CEC">
        <w:rPr>
          <w:lang w:val="fr-FR"/>
        </w:rPr>
        <w:t>On trouvera dans l</w:t>
      </w:r>
      <w:r w:rsidR="0090337E">
        <w:rPr>
          <w:lang w:val="fr-FR"/>
        </w:rPr>
        <w:t>’</w:t>
      </w:r>
      <w:r w:rsidRPr="003D4CEC">
        <w:rPr>
          <w:lang w:val="fr-FR"/>
        </w:rPr>
        <w:t>annexe au présent document le rapport d</w:t>
      </w:r>
      <w:r w:rsidR="0090337E">
        <w:rPr>
          <w:lang w:val="fr-FR"/>
        </w:rPr>
        <w:t>’</w:t>
      </w:r>
      <w:r w:rsidRPr="003D4CEC">
        <w:rPr>
          <w:lang w:val="fr-FR"/>
        </w:rPr>
        <w:t>achèvement du projet du Plan d</w:t>
      </w:r>
      <w:r w:rsidR="0090337E">
        <w:rPr>
          <w:lang w:val="fr-FR"/>
        </w:rPr>
        <w:t>’</w:t>
      </w:r>
      <w:r w:rsidRPr="003D4CEC">
        <w:rPr>
          <w:lang w:val="fr-FR"/>
        </w:rPr>
        <w:t>action pour le développement intitulé “</w:t>
      </w:r>
      <w:r w:rsidRPr="003D4CEC">
        <w:rPr>
          <w:i/>
          <w:lang w:val="fr-FR"/>
        </w:rPr>
        <w:t>Renforcement et développement du secteur de l</w:t>
      </w:r>
      <w:r w:rsidR="0090337E">
        <w:rPr>
          <w:i/>
          <w:lang w:val="fr-FR"/>
        </w:rPr>
        <w:t>’</w:t>
      </w:r>
      <w:r w:rsidRPr="003D4CEC">
        <w:rPr>
          <w:i/>
          <w:lang w:val="fr-FR"/>
        </w:rPr>
        <w:t>audiovisuel au Burkina Faso et dans certains pays africains – Phase II</w:t>
      </w:r>
      <w:r w:rsidRPr="003D4CEC">
        <w:rPr>
          <w:lang w:val="fr-FR"/>
        </w:rPr>
        <w:t xml:space="preserve">”.  Le rapport porte sur toute la période de mise en </w:t>
      </w:r>
      <w:r w:rsidR="00942D25" w:rsidRPr="003D4CEC">
        <w:rPr>
          <w:lang w:val="fr-FR"/>
        </w:rPr>
        <w:t>œuvre</w:t>
      </w:r>
      <w:r w:rsidRPr="003D4CEC">
        <w:rPr>
          <w:lang w:val="fr-FR"/>
        </w:rPr>
        <w:t xml:space="preserve"> du projet, </w:t>
      </w:r>
      <w:r w:rsidR="008B52AF" w:rsidRPr="003D4CEC">
        <w:rPr>
          <w:lang w:val="fr-FR"/>
        </w:rPr>
        <w:t>qui s</w:t>
      </w:r>
      <w:r w:rsidR="0090337E">
        <w:rPr>
          <w:lang w:val="fr-FR"/>
        </w:rPr>
        <w:t>’</w:t>
      </w:r>
      <w:r w:rsidR="008B52AF" w:rsidRPr="003D4CEC">
        <w:rPr>
          <w:lang w:val="fr-FR"/>
        </w:rPr>
        <w:t xml:space="preserve">étend </w:t>
      </w:r>
      <w:r w:rsidRPr="003D4CEC">
        <w:rPr>
          <w:lang w:val="fr-FR"/>
        </w:rPr>
        <w:t>de juin 2016 à octobre 2018.</w:t>
      </w:r>
    </w:p>
    <w:p w14:paraId="07A0D009" w14:textId="3BA13E0C" w:rsidR="003D4CEC" w:rsidRPr="003D4CEC" w:rsidRDefault="00A42F32" w:rsidP="003D4CEC">
      <w:pPr>
        <w:pStyle w:val="ONUMFS"/>
        <w:rPr>
          <w:lang w:val="fr-FR"/>
        </w:rPr>
      </w:pPr>
      <w:r w:rsidRPr="003D4CEC">
        <w:rPr>
          <w:lang w:val="fr-FR"/>
        </w:rPr>
        <w:t xml:space="preserve">Le </w:t>
      </w:r>
      <w:r w:rsidR="00487005" w:rsidRPr="003D4CEC">
        <w:rPr>
          <w:lang w:val="fr-FR"/>
        </w:rPr>
        <w:t>projet a fait</w:t>
      </w:r>
      <w:r w:rsidRPr="003D4CEC">
        <w:rPr>
          <w:lang w:val="fr-FR"/>
        </w:rPr>
        <w:t xml:space="preserve"> </w:t>
      </w:r>
      <w:r w:rsidR="00487005" w:rsidRPr="003D4CEC">
        <w:rPr>
          <w:lang w:val="fr-FR"/>
        </w:rPr>
        <w:t>l</w:t>
      </w:r>
      <w:r w:rsidR="0090337E">
        <w:rPr>
          <w:lang w:val="fr-FR"/>
        </w:rPr>
        <w:t>’</w:t>
      </w:r>
      <w:r w:rsidR="00487005" w:rsidRPr="003D4CEC">
        <w:rPr>
          <w:lang w:val="fr-FR"/>
        </w:rPr>
        <w:t>objet d</w:t>
      </w:r>
      <w:r w:rsidR="0090337E">
        <w:rPr>
          <w:lang w:val="fr-FR"/>
        </w:rPr>
        <w:t>’</w:t>
      </w:r>
      <w:r w:rsidR="00487005" w:rsidRPr="003D4CEC">
        <w:rPr>
          <w:lang w:val="fr-FR"/>
        </w:rPr>
        <w:t xml:space="preserve">une </w:t>
      </w:r>
      <w:r w:rsidRPr="003D4CEC">
        <w:rPr>
          <w:lang w:val="fr-FR"/>
        </w:rPr>
        <w:t xml:space="preserve">évaluation indépendante </w:t>
      </w:r>
      <w:r w:rsidR="00676F6C" w:rsidRPr="003D4CEC">
        <w:rPr>
          <w:lang w:val="fr-FR"/>
        </w:rPr>
        <w:t xml:space="preserve">dont le rapport figure dans le document </w:t>
      </w:r>
      <w:r w:rsidRPr="003D4CEC">
        <w:rPr>
          <w:lang w:val="fr-FR"/>
        </w:rPr>
        <w:t>CDIP/23/6.</w:t>
      </w:r>
    </w:p>
    <w:p w14:paraId="0CDDCE10" w14:textId="38AA0660" w:rsidR="003D4CEC" w:rsidRPr="003D4CEC" w:rsidRDefault="00A42F32" w:rsidP="003D4CEC">
      <w:pPr>
        <w:pStyle w:val="ONUMFS"/>
        <w:ind w:left="5533"/>
        <w:rPr>
          <w:i/>
          <w:lang w:val="fr-FR"/>
        </w:rPr>
      </w:pPr>
      <w:r w:rsidRPr="003D4CEC">
        <w:rPr>
          <w:i/>
          <w:lang w:val="fr-FR"/>
        </w:rPr>
        <w:t>Le CDIP est invité à prendre note des informations contenues dans l</w:t>
      </w:r>
      <w:r w:rsidR="0090337E">
        <w:rPr>
          <w:i/>
          <w:lang w:val="fr-FR"/>
        </w:rPr>
        <w:t>’</w:t>
      </w:r>
      <w:r w:rsidRPr="003D4CEC">
        <w:rPr>
          <w:i/>
          <w:lang w:val="fr-FR"/>
        </w:rPr>
        <w:t>annexe du présent document.</w:t>
      </w:r>
    </w:p>
    <w:p w14:paraId="5A4862E4" w14:textId="6BD95D51" w:rsidR="00B10BCF" w:rsidRPr="003D4CEC" w:rsidRDefault="00B10BCF" w:rsidP="0017367B">
      <w:pPr>
        <w:rPr>
          <w:szCs w:val="22"/>
          <w:lang w:val="fr-FR"/>
        </w:rPr>
      </w:pPr>
    </w:p>
    <w:p w14:paraId="2606B346" w14:textId="77777777" w:rsidR="00B10BCF" w:rsidRPr="003D4CEC" w:rsidRDefault="00B10BCF" w:rsidP="0017367B">
      <w:pPr>
        <w:rPr>
          <w:szCs w:val="22"/>
          <w:lang w:val="fr-FR"/>
        </w:rPr>
      </w:pPr>
    </w:p>
    <w:p w14:paraId="42642011" w14:textId="7B6C10F6" w:rsidR="00B10BCF" w:rsidRPr="003D4CEC" w:rsidRDefault="00942D25" w:rsidP="00942D25">
      <w:pPr>
        <w:pStyle w:val="Endofdocument-Annex"/>
        <w:rPr>
          <w:szCs w:val="22"/>
          <w:lang w:val="fr-FR"/>
        </w:rPr>
      </w:pPr>
      <w:r w:rsidRPr="003D4CEC">
        <w:rPr>
          <w:szCs w:val="22"/>
          <w:lang w:val="fr-FR"/>
        </w:rPr>
        <w:t>[L</w:t>
      </w:r>
      <w:r w:rsidR="0090337E">
        <w:rPr>
          <w:szCs w:val="22"/>
          <w:lang w:val="fr-FR"/>
        </w:rPr>
        <w:t>’</w:t>
      </w:r>
      <w:r w:rsidRPr="003D4CEC">
        <w:rPr>
          <w:szCs w:val="22"/>
          <w:lang w:val="fr-FR"/>
        </w:rPr>
        <w:t>annexe suit]</w:t>
      </w:r>
    </w:p>
    <w:p w14:paraId="162F14B4" w14:textId="77777777" w:rsidR="00B10BCF" w:rsidRPr="003D4CEC" w:rsidRDefault="00B10BCF" w:rsidP="006050B4">
      <w:pPr>
        <w:pStyle w:val="Endofdocument-Annex"/>
        <w:rPr>
          <w:szCs w:val="22"/>
          <w:lang w:val="fr-FR"/>
        </w:rPr>
      </w:pPr>
    </w:p>
    <w:p w14:paraId="2739FFC7" w14:textId="77777777" w:rsidR="00B10BCF" w:rsidRPr="003D4CEC" w:rsidRDefault="00B10BCF" w:rsidP="006050B4">
      <w:pPr>
        <w:pStyle w:val="Endofdocument-Annex"/>
        <w:rPr>
          <w:szCs w:val="22"/>
          <w:lang w:val="fr-FR"/>
        </w:rPr>
      </w:pPr>
    </w:p>
    <w:p w14:paraId="77164C95" w14:textId="77777777" w:rsidR="00B10BCF" w:rsidRPr="003D4CEC" w:rsidRDefault="00B10BCF" w:rsidP="006050B4">
      <w:pPr>
        <w:pStyle w:val="Endofdocument-Annex"/>
        <w:rPr>
          <w:szCs w:val="22"/>
          <w:lang w:val="fr-FR"/>
        </w:rPr>
      </w:pPr>
    </w:p>
    <w:p w14:paraId="278FD9FD" w14:textId="77777777" w:rsidR="00407BC5" w:rsidRPr="003D4CEC" w:rsidRDefault="00407BC5" w:rsidP="006A4C41">
      <w:pPr>
        <w:pStyle w:val="Endofdocument-Annex"/>
        <w:ind w:left="0"/>
        <w:rPr>
          <w:szCs w:val="22"/>
          <w:lang w:val="fr-FR"/>
        </w:rPr>
        <w:sectPr w:rsidR="00407BC5" w:rsidRPr="003D4CEC" w:rsidSect="003D4CEC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29"/>
        <w:gridCol w:w="6917"/>
      </w:tblGrid>
      <w:tr w:rsidR="003D4CEC" w:rsidRPr="003D4CEC" w14:paraId="2C26784A" w14:textId="77777777" w:rsidTr="00564DE4">
        <w:tc>
          <w:tcPr>
            <w:tcW w:w="936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AA8112" w14:textId="77777777" w:rsidR="006A4C41" w:rsidRPr="003D4CEC" w:rsidRDefault="00942D25" w:rsidP="00564DE4">
            <w:pPr>
              <w:pStyle w:val="Heading2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lastRenderedPageBreak/>
              <w:t>RÉSUMÉ DU PROJET</w:t>
            </w:r>
          </w:p>
        </w:tc>
      </w:tr>
      <w:tr w:rsidR="003D4CEC" w:rsidRPr="003D4CEC" w14:paraId="2C866AD9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5AE1862C" w14:textId="77777777" w:rsidR="006A4C41" w:rsidRPr="003D4CEC" w:rsidRDefault="00942D25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Cote du projet</w:t>
            </w: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E53747" w14:textId="77777777" w:rsidR="006A4C41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DA_1_2_4_10_11</w:t>
            </w:r>
          </w:p>
        </w:tc>
      </w:tr>
      <w:tr w:rsidR="003D4CEC" w:rsidRPr="003D4CEC" w14:paraId="143853A6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7ABAC22F" w14:textId="3F8D9B27" w:rsidR="006A4C41" w:rsidRPr="003D4CEC" w:rsidRDefault="00942D25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Titr</w:t>
            </w:r>
            <w:r w:rsidR="006A4C41" w:rsidRPr="003D4CEC">
              <w:rPr>
                <w:szCs w:val="22"/>
                <w:lang w:val="fr-FR"/>
              </w:rPr>
              <w:t>e</w:t>
            </w: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0C8432" w14:textId="2761745A" w:rsidR="006A4C41" w:rsidRPr="003D4CEC" w:rsidRDefault="00942D25" w:rsidP="00E83B4B">
            <w:pPr>
              <w:pStyle w:val="ListParagraph"/>
              <w:ind w:left="0"/>
              <w:rPr>
                <w:szCs w:val="22"/>
                <w:lang w:val="fr-FR"/>
              </w:rPr>
            </w:pPr>
            <w:r w:rsidRPr="007050C8">
              <w:rPr>
                <w:szCs w:val="22"/>
                <w:lang w:val="fr-FR"/>
              </w:rPr>
              <w:t>Renforcement et développement du secteur de l</w:t>
            </w:r>
            <w:r w:rsidR="0090337E">
              <w:rPr>
                <w:szCs w:val="22"/>
                <w:lang w:val="fr-FR"/>
              </w:rPr>
              <w:t>’</w:t>
            </w:r>
            <w:r w:rsidRPr="007050C8">
              <w:rPr>
                <w:szCs w:val="22"/>
                <w:lang w:val="fr-FR"/>
              </w:rPr>
              <w:t>audiovisuel au Burkina Faso et dans certains pays africains</w:t>
            </w:r>
            <w:r w:rsidR="00676F6C" w:rsidRPr="007050C8">
              <w:rPr>
                <w:szCs w:val="22"/>
                <w:lang w:val="fr-FR"/>
              </w:rPr>
              <w:t xml:space="preserve"> – P</w:t>
            </w:r>
            <w:r w:rsidRPr="007050C8">
              <w:rPr>
                <w:szCs w:val="22"/>
                <w:lang w:val="fr-FR"/>
              </w:rPr>
              <w:t>hase</w:t>
            </w:r>
            <w:r w:rsidR="00676F6C" w:rsidRPr="007050C8">
              <w:rPr>
                <w:szCs w:val="22"/>
                <w:lang w:val="fr-FR"/>
              </w:rPr>
              <w:t> </w:t>
            </w:r>
            <w:r w:rsidRPr="007050C8">
              <w:rPr>
                <w:szCs w:val="22"/>
                <w:lang w:val="fr-FR"/>
              </w:rPr>
              <w:t>II</w:t>
            </w:r>
          </w:p>
        </w:tc>
      </w:tr>
      <w:tr w:rsidR="003D4CEC" w:rsidRPr="003D4CEC" w14:paraId="511EC3B1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2864D7A2" w14:textId="42D03748" w:rsidR="00B10BCF" w:rsidRPr="003D4CEC" w:rsidRDefault="00942D25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Recommandation du Plan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action pour le développement</w:t>
            </w:r>
          </w:p>
          <w:p w14:paraId="6FF50760" w14:textId="0D9F03E3" w:rsidR="006A4C41" w:rsidRPr="003D4CEC" w:rsidRDefault="006A4C41" w:rsidP="00564DE4">
            <w:pPr>
              <w:rPr>
                <w:szCs w:val="22"/>
                <w:lang w:val="fr-FR"/>
              </w:rPr>
            </w:pP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</w:tcPr>
          <w:p w14:paraId="3D08E5D4" w14:textId="23FE55F4" w:rsidR="00B10BCF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Recommandation n°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1</w:t>
            </w:r>
            <w:r w:rsidR="0090337E">
              <w:rPr>
                <w:szCs w:val="22"/>
                <w:lang w:val="fr-FR"/>
              </w:rPr>
              <w:t> :</w:t>
            </w:r>
          </w:p>
          <w:p w14:paraId="71CCD743" w14:textId="2BA00156" w:rsidR="00B10BCF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assistance technique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 xml:space="preserve">OMPI doit notamment être axée sur le développement et la demande et elle doit être </w:t>
            </w:r>
            <w:proofErr w:type="gramStart"/>
            <w:r w:rsidRPr="003D4CEC">
              <w:rPr>
                <w:szCs w:val="22"/>
                <w:lang w:val="fr-FR"/>
              </w:rPr>
              <w:t>transparente;  elle</w:t>
            </w:r>
            <w:proofErr w:type="gramEnd"/>
            <w:r w:rsidRPr="003D4CEC">
              <w:rPr>
                <w:szCs w:val="22"/>
                <w:lang w:val="fr-FR"/>
              </w:rPr>
              <w:t xml:space="preserve"> doit tenir compte des priorités et des besoins particuliers des pays en développement, en particulier des </w:t>
            </w:r>
            <w:r w:rsidR="00676F6C" w:rsidRPr="003D4CEC">
              <w:rPr>
                <w:szCs w:val="22"/>
                <w:lang w:val="fr-FR"/>
              </w:rPr>
              <w:t>pays les moins avancés (</w:t>
            </w:r>
            <w:r w:rsidRPr="003D4CEC">
              <w:rPr>
                <w:szCs w:val="22"/>
                <w:lang w:val="fr-FR"/>
              </w:rPr>
              <w:t>PMA</w:t>
            </w:r>
            <w:r w:rsidR="00676F6C" w:rsidRPr="003D4CEC">
              <w:rPr>
                <w:szCs w:val="22"/>
                <w:lang w:val="fr-FR"/>
              </w:rPr>
              <w:t>)</w:t>
            </w:r>
            <w:r w:rsidRPr="003D4CEC">
              <w:rPr>
                <w:szCs w:val="22"/>
                <w:lang w:val="fr-FR"/>
              </w:rPr>
              <w:t>, ainsi que des différents niveaux de développement des États membr</w:t>
            </w:r>
            <w:r w:rsidR="00CB0FF7" w:rsidRPr="003D4CEC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Le</w:t>
            </w:r>
            <w:r w:rsidRPr="003D4CEC">
              <w:rPr>
                <w:szCs w:val="22"/>
                <w:lang w:val="fr-FR"/>
              </w:rPr>
              <w:t>s activités doivent être menées à bien dans les déla</w:t>
            </w:r>
            <w:r w:rsidR="00CB0FF7" w:rsidRPr="003D4CEC">
              <w:rPr>
                <w:szCs w:val="22"/>
                <w:lang w:val="fr-FR"/>
              </w:rPr>
              <w:t>is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 xml:space="preserve">À </w:t>
            </w:r>
            <w:r w:rsidRPr="003D4CEC">
              <w:rPr>
                <w:szCs w:val="22"/>
                <w:lang w:val="fr-FR"/>
              </w:rPr>
              <w:t>cet égard, les mécanismes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établissement et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exécution et les procédures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évaluation des programmes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assistance technique doivent être ciblés par pays.</w:t>
            </w:r>
          </w:p>
          <w:p w14:paraId="5A6B1FB2" w14:textId="77777777" w:rsidR="00B10BCF" w:rsidRPr="003D4CEC" w:rsidRDefault="00B10BCF" w:rsidP="00564DE4">
            <w:pPr>
              <w:rPr>
                <w:bCs/>
                <w:szCs w:val="22"/>
                <w:lang w:val="fr-FR"/>
              </w:rPr>
            </w:pPr>
          </w:p>
          <w:p w14:paraId="0EF0426A" w14:textId="5CA8D6D9" w:rsidR="00B10BCF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Recommandation n°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2</w:t>
            </w:r>
            <w:r w:rsidR="0090337E">
              <w:rPr>
                <w:szCs w:val="22"/>
                <w:lang w:val="fr-FR"/>
              </w:rPr>
              <w:t> :</w:t>
            </w:r>
          </w:p>
          <w:p w14:paraId="0B13939A" w14:textId="547486A2" w:rsidR="00B10BCF" w:rsidRPr="003D4CEC" w:rsidRDefault="00942D25" w:rsidP="00564DE4">
            <w:pPr>
              <w:rPr>
                <w:bCs/>
                <w:szCs w:val="22"/>
                <w:lang w:val="fr-FR"/>
              </w:rPr>
            </w:pPr>
            <w:r w:rsidRPr="003D4CEC">
              <w:rPr>
                <w:bCs/>
                <w:szCs w:val="22"/>
                <w:lang w:val="fr-FR"/>
              </w:rPr>
              <w:t>Fournir une assistance complémentaire à 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OMPI sous forme de contributions de donateurs et constituer un fonds fiduciaire ou d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autres fonds de contributions volontaires au sein de 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OMPI, destinés plus particulièrement</w:t>
            </w:r>
            <w:r w:rsidR="0090337E" w:rsidRPr="003D4CEC">
              <w:rPr>
                <w:bCs/>
                <w:szCs w:val="22"/>
                <w:lang w:val="fr-FR"/>
              </w:rPr>
              <w:t xml:space="preserve"> aux</w:t>
            </w:r>
            <w:r w:rsidR="0090337E">
              <w:rPr>
                <w:bCs/>
                <w:szCs w:val="22"/>
                <w:lang w:val="fr-FR"/>
              </w:rPr>
              <w:t> </w:t>
            </w:r>
            <w:r w:rsidR="0090337E" w:rsidRPr="003D4CEC">
              <w:rPr>
                <w:bCs/>
                <w:szCs w:val="22"/>
                <w:lang w:val="fr-FR"/>
              </w:rPr>
              <w:t>PMA</w:t>
            </w:r>
            <w:r w:rsidRPr="003D4CEC">
              <w:rPr>
                <w:bCs/>
                <w:szCs w:val="22"/>
                <w:lang w:val="fr-FR"/>
              </w:rPr>
              <w:t>, tout en continuant à accorder une priorité élevée au financement des activités en Afrique par des ressources budgétaires et extrabudgétaires pour promouvoir notamment 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exploitation juridique, commerciale, culturelle et économique de la propriété intellectuelle dans ces pays.</w:t>
            </w:r>
          </w:p>
          <w:p w14:paraId="09123F5C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7A1E36F5" w14:textId="2568C395" w:rsidR="00B10BCF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Recommandation n°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4</w:t>
            </w:r>
            <w:r w:rsidR="0090337E">
              <w:rPr>
                <w:szCs w:val="22"/>
                <w:lang w:val="fr-FR"/>
              </w:rPr>
              <w:t> :</w:t>
            </w:r>
          </w:p>
          <w:p w14:paraId="5657CA69" w14:textId="1C3A86E9" w:rsidR="00B10BCF" w:rsidRPr="003D4CEC" w:rsidRDefault="00942D2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Accorder une attention particulière aux besoins</w:t>
            </w:r>
            <w:r w:rsidR="0090337E" w:rsidRPr="003D4CEC">
              <w:rPr>
                <w:szCs w:val="22"/>
                <w:lang w:val="fr-FR"/>
              </w:rPr>
              <w:t xml:space="preserve"> des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PME</w:t>
            </w:r>
            <w:r w:rsidRPr="003D4CEC">
              <w:rPr>
                <w:szCs w:val="22"/>
                <w:lang w:val="fr-FR"/>
              </w:rPr>
              <w:t>, des institutions chargées de la recherche scientifique et des industries culturelles et aider les États membres, à leur demande, à élaborer des stratégies nationales de propriété intellectuelle.</w:t>
            </w:r>
          </w:p>
          <w:p w14:paraId="00FD0FAA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6F77032E" w14:textId="3F240365" w:rsidR="00B10BCF" w:rsidRPr="003D4CEC" w:rsidRDefault="00942D25" w:rsidP="00564DE4">
            <w:pPr>
              <w:rPr>
                <w:bCs/>
                <w:i/>
                <w:szCs w:val="22"/>
                <w:lang w:val="fr-FR"/>
              </w:rPr>
            </w:pPr>
            <w:r w:rsidRPr="003D4CEC">
              <w:rPr>
                <w:bCs/>
                <w:i/>
                <w:szCs w:val="22"/>
                <w:lang w:val="fr-FR"/>
              </w:rPr>
              <w:t>Recommandation n°</w:t>
            </w:r>
            <w:r w:rsidR="00D22E27">
              <w:rPr>
                <w:bCs/>
                <w:i/>
                <w:szCs w:val="22"/>
                <w:lang w:val="fr-FR"/>
              </w:rPr>
              <w:t> </w:t>
            </w:r>
            <w:r w:rsidRPr="003D4CEC">
              <w:rPr>
                <w:bCs/>
                <w:i/>
                <w:szCs w:val="22"/>
                <w:lang w:val="fr-FR"/>
              </w:rPr>
              <w:t>10</w:t>
            </w:r>
            <w:r w:rsidR="0090337E">
              <w:rPr>
                <w:bCs/>
                <w:i/>
                <w:szCs w:val="22"/>
                <w:lang w:val="fr-FR"/>
              </w:rPr>
              <w:t> :</w:t>
            </w:r>
          </w:p>
          <w:p w14:paraId="04643C3A" w14:textId="263D014C" w:rsidR="00B10BCF" w:rsidRPr="003D4CEC" w:rsidRDefault="008772E3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Aider les États membres à développer et à améliorer les capacités institutionnelles nationales en propriété intellectuelle par le développement des infrastructures et autres moyens en vue de renforcer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efficacité des institutions nationales de propriété intellectuelle et de concilier protection de la propriété intellectuelle et préservation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intérêt génér</w:t>
            </w:r>
            <w:r w:rsidR="00CB0FF7" w:rsidRPr="003D4CEC">
              <w:rPr>
                <w:szCs w:val="22"/>
                <w:lang w:val="fr-FR"/>
              </w:rPr>
              <w:t>al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Ce</w:t>
            </w:r>
            <w:r w:rsidRPr="003D4CEC">
              <w:rPr>
                <w:szCs w:val="22"/>
                <w:lang w:val="fr-FR"/>
              </w:rPr>
              <w:t xml:space="preserve">tte assistance technique devrait également être étendue aux organisations </w:t>
            </w:r>
            <w:proofErr w:type="spellStart"/>
            <w:r w:rsidRPr="003D4CEC">
              <w:rPr>
                <w:szCs w:val="22"/>
                <w:lang w:val="fr-FR"/>
              </w:rPr>
              <w:t>sous</w:t>
            </w:r>
            <w:r w:rsidR="0090337E">
              <w:rPr>
                <w:szCs w:val="22"/>
                <w:lang w:val="fr-FR"/>
              </w:rPr>
              <w:t>-</w:t>
            </w:r>
            <w:r w:rsidRPr="003D4CEC">
              <w:rPr>
                <w:szCs w:val="22"/>
                <w:lang w:val="fr-FR"/>
              </w:rPr>
              <w:t>régionales</w:t>
            </w:r>
            <w:proofErr w:type="spellEnd"/>
            <w:r w:rsidRPr="003D4CEC">
              <w:rPr>
                <w:szCs w:val="22"/>
                <w:lang w:val="fr-FR"/>
              </w:rPr>
              <w:t xml:space="preserve"> et régionales œuvrant dans le domaine de la propriété intellectuelle.</w:t>
            </w:r>
          </w:p>
          <w:p w14:paraId="14671DE4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3BA80805" w14:textId="69CD36D7" w:rsidR="00B10BCF" w:rsidRPr="003D4CEC" w:rsidRDefault="008772E3" w:rsidP="00564DE4">
            <w:pPr>
              <w:rPr>
                <w:szCs w:val="22"/>
                <w:lang w:val="fr-FR"/>
              </w:rPr>
            </w:pPr>
            <w:r w:rsidRPr="003D4CEC">
              <w:rPr>
                <w:i/>
                <w:szCs w:val="22"/>
                <w:lang w:val="fr-FR"/>
              </w:rPr>
              <w:t>Recommandation n°</w:t>
            </w:r>
            <w:r w:rsidR="00D22E27">
              <w:rPr>
                <w:i/>
                <w:szCs w:val="22"/>
                <w:lang w:val="fr-FR"/>
              </w:rPr>
              <w:t> </w:t>
            </w:r>
            <w:r w:rsidRPr="003D4CEC">
              <w:rPr>
                <w:i/>
                <w:szCs w:val="22"/>
                <w:lang w:val="fr-FR"/>
              </w:rPr>
              <w:t>11</w:t>
            </w:r>
            <w:r w:rsidR="0090337E">
              <w:rPr>
                <w:i/>
                <w:szCs w:val="22"/>
                <w:lang w:val="fr-FR"/>
              </w:rPr>
              <w:t> :</w:t>
            </w:r>
          </w:p>
          <w:p w14:paraId="5FC985CC" w14:textId="2435D944" w:rsidR="006A4C41" w:rsidRPr="003D4CEC" w:rsidRDefault="008772E3" w:rsidP="00564DE4">
            <w:pPr>
              <w:rPr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Aider les États membres à renforcer leur capacité nationale de protection des créations, innovations et inventions nationales et soutenir le développement des infrastructures scientifiques et technologiques nationales, le cas échéant, conformément au mandat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OMPI</w:t>
            </w:r>
            <w:r w:rsidR="00564DE4">
              <w:rPr>
                <w:szCs w:val="22"/>
                <w:lang w:val="fr-FR"/>
              </w:rPr>
              <w:t>.</w:t>
            </w:r>
          </w:p>
        </w:tc>
      </w:tr>
      <w:tr w:rsidR="003D4CEC" w:rsidRPr="003D4CEC" w14:paraId="1547C21E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12E59F76" w14:textId="77777777" w:rsidR="00B10BCF" w:rsidRPr="003D4CEC" w:rsidRDefault="00BA1A1E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Budget du projet</w:t>
            </w:r>
          </w:p>
          <w:p w14:paraId="358488D4" w14:textId="283BA2E9" w:rsidR="006A4C41" w:rsidRPr="003D4CEC" w:rsidRDefault="006A4C41" w:rsidP="00564DE4">
            <w:pPr>
              <w:rPr>
                <w:szCs w:val="22"/>
                <w:lang w:val="fr-FR"/>
              </w:rPr>
            </w:pP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</w:tcPr>
          <w:p w14:paraId="0A756AA0" w14:textId="0295A737" w:rsidR="0090337E" w:rsidRDefault="00BA1A1E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Dépenses de personnel</w:t>
            </w:r>
            <w:r w:rsidR="0090337E">
              <w:rPr>
                <w:szCs w:val="22"/>
                <w:lang w:val="fr-FR"/>
              </w:rPr>
              <w:t> :</w:t>
            </w:r>
            <w:r w:rsidRPr="003D4CEC">
              <w:rPr>
                <w:szCs w:val="22"/>
                <w:lang w:val="fr-FR"/>
              </w:rPr>
              <w:t xml:space="preserve"> 110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00</w:t>
            </w:r>
            <w:r w:rsidR="0090337E" w:rsidRPr="003D4CEC">
              <w:rPr>
                <w:szCs w:val="22"/>
                <w:lang w:val="fr-FR"/>
              </w:rPr>
              <w:t>0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franc</w:t>
            </w:r>
            <w:r w:rsidRPr="003D4CEC">
              <w:rPr>
                <w:szCs w:val="22"/>
                <w:lang w:val="fr-FR"/>
              </w:rPr>
              <w:t>s suisses</w:t>
            </w:r>
          </w:p>
          <w:p w14:paraId="743985CD" w14:textId="2E47903E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6596CD1B" w14:textId="0194CAEC" w:rsidR="0090337E" w:rsidRDefault="009F018C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Dépenses hors personnel</w:t>
            </w:r>
            <w:r w:rsidR="0090337E">
              <w:rPr>
                <w:szCs w:val="22"/>
                <w:lang w:val="fr-FR"/>
              </w:rPr>
              <w:t> :</w:t>
            </w:r>
            <w:r w:rsidR="00BA1A1E" w:rsidRPr="003D4CEC">
              <w:rPr>
                <w:szCs w:val="22"/>
                <w:lang w:val="fr-FR"/>
              </w:rPr>
              <w:t xml:space="preserve"> 430</w:t>
            </w:r>
            <w:r w:rsidR="00D22E27">
              <w:rPr>
                <w:szCs w:val="22"/>
                <w:lang w:val="fr-FR"/>
              </w:rPr>
              <w:t> </w:t>
            </w:r>
            <w:r w:rsidR="00BA1A1E" w:rsidRPr="003D4CEC">
              <w:rPr>
                <w:szCs w:val="22"/>
                <w:lang w:val="fr-FR"/>
              </w:rPr>
              <w:t>00</w:t>
            </w:r>
            <w:r w:rsidR="0090337E" w:rsidRPr="003D4CEC">
              <w:rPr>
                <w:szCs w:val="22"/>
                <w:lang w:val="fr-FR"/>
              </w:rPr>
              <w:t>0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franc</w:t>
            </w:r>
            <w:r w:rsidR="00BA1A1E" w:rsidRPr="003D4CEC">
              <w:rPr>
                <w:szCs w:val="22"/>
                <w:lang w:val="fr-FR"/>
              </w:rPr>
              <w:t>s suisses</w:t>
            </w:r>
          </w:p>
          <w:p w14:paraId="2FC689C8" w14:textId="55883645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0FF06B0E" w14:textId="0CE84D3F" w:rsidR="006A4C41" w:rsidRPr="003D4CEC" w:rsidRDefault="009F018C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Total</w:t>
            </w:r>
            <w:r w:rsidR="0090337E">
              <w:rPr>
                <w:szCs w:val="22"/>
                <w:lang w:val="fr-FR"/>
              </w:rPr>
              <w:t> :</w:t>
            </w:r>
            <w:r w:rsidR="00BA1A1E" w:rsidRPr="003D4CEC">
              <w:rPr>
                <w:szCs w:val="22"/>
                <w:lang w:val="fr-FR"/>
              </w:rPr>
              <w:t xml:space="preserve"> 540</w:t>
            </w:r>
            <w:r w:rsidR="00D22E27">
              <w:rPr>
                <w:szCs w:val="22"/>
                <w:lang w:val="fr-FR"/>
              </w:rPr>
              <w:t> </w:t>
            </w:r>
            <w:r w:rsidR="00BA1A1E" w:rsidRPr="003D4CEC">
              <w:rPr>
                <w:szCs w:val="22"/>
                <w:lang w:val="fr-FR"/>
              </w:rPr>
              <w:t>00</w:t>
            </w:r>
            <w:r w:rsidR="0090337E" w:rsidRPr="003D4CEC">
              <w:rPr>
                <w:szCs w:val="22"/>
                <w:lang w:val="fr-FR"/>
              </w:rPr>
              <w:t>0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franc</w:t>
            </w:r>
            <w:r w:rsidR="00BA1A1E" w:rsidRPr="003D4CEC">
              <w:rPr>
                <w:szCs w:val="22"/>
                <w:lang w:val="fr-FR"/>
              </w:rPr>
              <w:t>s suisses</w:t>
            </w:r>
          </w:p>
        </w:tc>
      </w:tr>
      <w:tr w:rsidR="003D4CEC" w:rsidRPr="003D4CEC" w14:paraId="094CC219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2139FC50" w14:textId="77777777" w:rsidR="00B10BCF" w:rsidRPr="003D4CEC" w:rsidRDefault="00BA1A1E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lastRenderedPageBreak/>
              <w:t>Durée du projet</w:t>
            </w:r>
          </w:p>
          <w:p w14:paraId="6DFE1206" w14:textId="6EA09326" w:rsidR="006A4C41" w:rsidRPr="003D4CEC" w:rsidRDefault="006A4C41" w:rsidP="00564DE4">
            <w:pPr>
              <w:rPr>
                <w:szCs w:val="22"/>
                <w:lang w:val="fr-FR"/>
              </w:rPr>
            </w:pP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</w:tcPr>
          <w:p w14:paraId="5B5FE7CE" w14:textId="73C581A5" w:rsidR="006A4C41" w:rsidRPr="003D4CEC" w:rsidRDefault="00BA1A1E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30</w:t>
            </w:r>
            <w:r w:rsidR="009F018C" w:rsidRPr="003D4CEC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mois</w:t>
            </w:r>
          </w:p>
        </w:tc>
      </w:tr>
      <w:tr w:rsidR="003D4CEC" w:rsidRPr="003D4CEC" w14:paraId="14F619C0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60BF0103" w14:textId="3458175D" w:rsidR="006A4C41" w:rsidRPr="003D4CEC" w:rsidRDefault="00BA1A1E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Principaux secteurs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OMPI concernés et liens avec les programmes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OMPI</w:t>
            </w: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</w:tcPr>
          <w:p w14:paraId="2329C84E" w14:textId="21A5EF39" w:rsidR="006A4C41" w:rsidRPr="003D4CEC" w:rsidRDefault="00BA1A1E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Programmes 9, 11, 15 et 16</w:t>
            </w:r>
          </w:p>
        </w:tc>
      </w:tr>
      <w:tr w:rsidR="003D4CEC" w:rsidRPr="003D4CEC" w14:paraId="57F967B9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4046A42E" w14:textId="617459B6" w:rsidR="006A4C41" w:rsidRPr="003D4CEC" w:rsidRDefault="00BA1A1E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Brève description du projet</w:t>
            </w:r>
          </w:p>
        </w:tc>
        <w:tc>
          <w:tcPr>
            <w:tcW w:w="6930" w:type="dxa"/>
            <w:shd w:val="clear" w:color="auto" w:fill="auto"/>
            <w:tcMar>
              <w:top w:w="57" w:type="dxa"/>
              <w:bottom w:w="57" w:type="dxa"/>
            </w:tcMar>
          </w:tcPr>
          <w:p w14:paraId="007C5BA9" w14:textId="2609222A" w:rsidR="0090337E" w:rsidRDefault="00075268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Les industries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audiovisuel peuvent contribuer de manière substantielle au développement économique des pays africains</w:t>
            </w:r>
            <w:r w:rsidR="00811B60" w:rsidRPr="003D4CEC">
              <w:rPr>
                <w:szCs w:val="22"/>
                <w:lang w:val="fr-FR"/>
              </w:rPr>
              <w:t>,</w:t>
            </w:r>
            <w:r w:rsidRPr="003D4CEC">
              <w:rPr>
                <w:szCs w:val="22"/>
                <w:lang w:val="fr-FR"/>
              </w:rPr>
              <w:t xml:space="preserve"> et jouent un rôle important dans la promotion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identité culturel</w:t>
            </w:r>
            <w:r w:rsidR="00CB0FF7" w:rsidRPr="003D4CEC">
              <w:rPr>
                <w:szCs w:val="22"/>
                <w:lang w:val="fr-FR"/>
              </w:rPr>
              <w:t>le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En</w:t>
            </w:r>
            <w:r w:rsidR="00A537B6" w:rsidRPr="003D4CEC">
              <w:rPr>
                <w:szCs w:val="22"/>
                <w:lang w:val="fr-FR"/>
              </w:rPr>
              <w:t xml:space="preserve"> outre, e</w:t>
            </w:r>
            <w:r w:rsidR="00E03741" w:rsidRPr="003D4CEC">
              <w:rPr>
                <w:szCs w:val="22"/>
                <w:lang w:val="fr-FR"/>
              </w:rPr>
              <w:t xml:space="preserve">lles </w:t>
            </w:r>
            <w:r w:rsidR="001A7493" w:rsidRPr="003D4CEC">
              <w:rPr>
                <w:szCs w:val="22"/>
                <w:lang w:val="fr-FR"/>
              </w:rPr>
              <w:t xml:space="preserve">créent </w:t>
            </w:r>
            <w:r w:rsidR="00A537B6" w:rsidRPr="003D4CEC">
              <w:rPr>
                <w:szCs w:val="22"/>
                <w:lang w:val="fr-FR"/>
              </w:rPr>
              <w:t>d</w:t>
            </w:r>
            <w:r w:rsidR="001A7493" w:rsidRPr="003D4CEC">
              <w:rPr>
                <w:szCs w:val="22"/>
                <w:lang w:val="fr-FR"/>
              </w:rPr>
              <w:t xml:space="preserve">es </w:t>
            </w:r>
            <w:r w:rsidR="00A537B6" w:rsidRPr="003D4CEC">
              <w:rPr>
                <w:szCs w:val="22"/>
                <w:lang w:val="fr-FR"/>
              </w:rPr>
              <w:t>emploi</w:t>
            </w:r>
            <w:r w:rsidR="00E03741" w:rsidRPr="003D4CEC">
              <w:rPr>
                <w:szCs w:val="22"/>
                <w:lang w:val="fr-FR"/>
              </w:rPr>
              <w:t xml:space="preserve">s et </w:t>
            </w:r>
            <w:r w:rsidR="00811B60" w:rsidRPr="003D4CEC">
              <w:rPr>
                <w:szCs w:val="22"/>
                <w:lang w:val="fr-FR"/>
              </w:rPr>
              <w:t xml:space="preserve">favorisent </w:t>
            </w:r>
            <w:r w:rsidR="00E03741" w:rsidRPr="003D4CEC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="00E03741" w:rsidRPr="003D4CEC">
              <w:rPr>
                <w:szCs w:val="22"/>
                <w:lang w:val="fr-FR"/>
              </w:rPr>
              <w:t>innovati</w:t>
            </w:r>
            <w:r w:rsidR="00CB0FF7" w:rsidRPr="003D4CEC">
              <w:rPr>
                <w:szCs w:val="22"/>
                <w:lang w:val="fr-FR"/>
              </w:rPr>
              <w:t>on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De</w:t>
            </w:r>
            <w:r w:rsidR="00E03741" w:rsidRPr="003D4CEC">
              <w:rPr>
                <w:szCs w:val="22"/>
                <w:lang w:val="fr-FR"/>
              </w:rPr>
              <w:t xml:space="preserve">s mesures doivent </w:t>
            </w:r>
            <w:r w:rsidR="0076505A" w:rsidRPr="003D4CEC">
              <w:rPr>
                <w:szCs w:val="22"/>
                <w:lang w:val="fr-FR"/>
              </w:rPr>
              <w:t xml:space="preserve">toutefois </w:t>
            </w:r>
            <w:r w:rsidR="00E03741" w:rsidRPr="003D4CEC">
              <w:rPr>
                <w:szCs w:val="22"/>
                <w:lang w:val="fr-FR"/>
              </w:rPr>
              <w:t>être prises pour qu</w:t>
            </w:r>
            <w:r w:rsidR="0090337E">
              <w:rPr>
                <w:szCs w:val="22"/>
                <w:lang w:val="fr-FR"/>
              </w:rPr>
              <w:t>’</w:t>
            </w:r>
            <w:r w:rsidR="00E03741" w:rsidRPr="003D4CEC">
              <w:rPr>
                <w:szCs w:val="22"/>
                <w:lang w:val="fr-FR"/>
              </w:rPr>
              <w:t>elles réalisent pleinement leur potentiel économique.</w:t>
            </w:r>
          </w:p>
          <w:p w14:paraId="07F8232D" w14:textId="65476F0E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63A1A45A" w14:textId="7A6B61DD" w:rsidR="00B10BCF" w:rsidRPr="003D4CEC" w:rsidRDefault="00372E95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La phase II du projet (présentée</w:t>
            </w:r>
            <w:r w:rsidR="0031382B" w:rsidRPr="003D4CEC">
              <w:rPr>
                <w:szCs w:val="22"/>
                <w:lang w:val="fr-FR"/>
              </w:rPr>
              <w:t xml:space="preserve"> dans le document CDIP/17/7) a fait suite à </w:t>
            </w:r>
            <w:r w:rsidR="00BC0EDC" w:rsidRPr="003D4CEC">
              <w:rPr>
                <w:szCs w:val="22"/>
                <w:lang w:val="fr-FR"/>
              </w:rPr>
              <w:t>la</w:t>
            </w:r>
            <w:r w:rsidR="0031382B" w:rsidRPr="003D4CEC">
              <w:rPr>
                <w:szCs w:val="22"/>
                <w:lang w:val="fr-FR"/>
              </w:rPr>
              <w:t xml:space="preserve"> première phase </w:t>
            </w:r>
            <w:r w:rsidR="00BC0EDC" w:rsidRPr="003D4CEC">
              <w:rPr>
                <w:szCs w:val="22"/>
                <w:lang w:val="fr-FR"/>
              </w:rPr>
              <w:t xml:space="preserve">du projet </w:t>
            </w:r>
            <w:r w:rsidR="0031382B" w:rsidRPr="003D4CEC">
              <w:rPr>
                <w:szCs w:val="22"/>
                <w:lang w:val="fr-FR"/>
              </w:rPr>
              <w:t xml:space="preserve">(présentée dans le document CDIP/9/13), </w:t>
            </w:r>
            <w:r w:rsidR="00BC0EDC" w:rsidRPr="003D4CEC">
              <w:rPr>
                <w:szCs w:val="22"/>
                <w:lang w:val="fr-FR"/>
              </w:rPr>
              <w:t xml:space="preserve">lequel </w:t>
            </w:r>
            <w:r w:rsidR="009C2DF6" w:rsidRPr="003D4CEC">
              <w:rPr>
                <w:szCs w:val="22"/>
                <w:lang w:val="fr-FR"/>
              </w:rPr>
              <w:t>a</w:t>
            </w:r>
            <w:r w:rsidR="003A7DA2" w:rsidRPr="003D4CEC">
              <w:rPr>
                <w:szCs w:val="22"/>
                <w:lang w:val="fr-FR"/>
              </w:rPr>
              <w:t>vait</w:t>
            </w:r>
            <w:r w:rsidRPr="003D4CEC">
              <w:rPr>
                <w:szCs w:val="22"/>
                <w:lang w:val="fr-FR"/>
              </w:rPr>
              <w:t xml:space="preserve"> été établi</w:t>
            </w:r>
            <w:r w:rsidR="0031382B" w:rsidRPr="003D4CEC">
              <w:rPr>
                <w:szCs w:val="22"/>
                <w:lang w:val="fr-FR"/>
              </w:rPr>
              <w:t xml:space="preserve"> à partir d</w:t>
            </w:r>
            <w:r w:rsidR="0090337E">
              <w:rPr>
                <w:szCs w:val="22"/>
                <w:lang w:val="fr-FR"/>
              </w:rPr>
              <w:t>’</w:t>
            </w:r>
            <w:r w:rsidR="0031382B" w:rsidRPr="003D4CEC">
              <w:rPr>
                <w:szCs w:val="22"/>
                <w:lang w:val="fr-FR"/>
              </w:rPr>
              <w:t>une proposition faite par la délégation du Burkina Fa</w:t>
            </w:r>
            <w:r w:rsidR="00CB0FF7" w:rsidRPr="003D4CEC">
              <w:rPr>
                <w:szCs w:val="22"/>
                <w:lang w:val="fr-FR"/>
              </w:rPr>
              <w:t>so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La</w:t>
            </w:r>
            <w:r w:rsidR="0001450B" w:rsidRPr="003D4CEC">
              <w:rPr>
                <w:szCs w:val="22"/>
                <w:lang w:val="fr-FR"/>
              </w:rPr>
              <w:t xml:space="preserve"> phase I </w:t>
            </w:r>
            <w:r w:rsidR="0058322F" w:rsidRPr="003D4CEC">
              <w:rPr>
                <w:szCs w:val="22"/>
                <w:lang w:val="fr-FR"/>
              </w:rPr>
              <w:t>s</w:t>
            </w:r>
            <w:r w:rsidR="0090337E">
              <w:rPr>
                <w:szCs w:val="22"/>
                <w:lang w:val="fr-FR"/>
              </w:rPr>
              <w:t>’</w:t>
            </w:r>
            <w:r w:rsidR="0058322F" w:rsidRPr="003D4CEC">
              <w:rPr>
                <w:szCs w:val="22"/>
                <w:lang w:val="fr-FR"/>
              </w:rPr>
              <w:t>est</w:t>
            </w:r>
            <w:r w:rsidR="0031382B" w:rsidRPr="003D4CEC">
              <w:rPr>
                <w:szCs w:val="22"/>
                <w:lang w:val="fr-FR"/>
              </w:rPr>
              <w:t xml:space="preserve"> achevée et </w:t>
            </w:r>
            <w:r w:rsidR="0058322F" w:rsidRPr="003D4CEC">
              <w:rPr>
                <w:szCs w:val="22"/>
                <w:lang w:val="fr-FR"/>
              </w:rPr>
              <w:t>a</w:t>
            </w:r>
            <w:r w:rsidR="0031382B" w:rsidRPr="003D4CEC">
              <w:rPr>
                <w:szCs w:val="22"/>
                <w:lang w:val="fr-FR"/>
              </w:rPr>
              <w:t xml:space="preserve"> fait l</w:t>
            </w:r>
            <w:r w:rsidR="0090337E">
              <w:rPr>
                <w:szCs w:val="22"/>
                <w:lang w:val="fr-FR"/>
              </w:rPr>
              <w:t>’</w:t>
            </w:r>
            <w:r w:rsidR="0031382B" w:rsidRPr="003D4CEC">
              <w:rPr>
                <w:szCs w:val="22"/>
                <w:lang w:val="fr-FR"/>
              </w:rPr>
              <w:t>objet d</w:t>
            </w:r>
            <w:r w:rsidR="0090337E">
              <w:rPr>
                <w:szCs w:val="22"/>
                <w:lang w:val="fr-FR"/>
              </w:rPr>
              <w:t>’</w:t>
            </w:r>
            <w:r w:rsidR="0031382B" w:rsidRPr="003D4CEC">
              <w:rPr>
                <w:szCs w:val="22"/>
                <w:lang w:val="fr-FR"/>
              </w:rPr>
              <w:t xml:space="preserve">une évaluation indépendante à la fin </w:t>
            </w:r>
            <w:r w:rsidR="0090337E" w:rsidRPr="003D4CEC">
              <w:rPr>
                <w:szCs w:val="22"/>
                <w:lang w:val="fr-FR"/>
              </w:rPr>
              <w:t>de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2016</w:t>
            </w:r>
            <w:r w:rsidR="0031382B" w:rsidRPr="003D4CEC">
              <w:rPr>
                <w:szCs w:val="22"/>
                <w:vertAlign w:val="superscript"/>
                <w:lang w:val="fr-FR"/>
              </w:rPr>
              <w:footnoteReference w:id="2"/>
            </w:r>
            <w:r w:rsidR="0031382B" w:rsidRPr="003D4CEC">
              <w:rPr>
                <w:szCs w:val="22"/>
                <w:lang w:val="fr-FR"/>
              </w:rPr>
              <w:t>.</w:t>
            </w:r>
          </w:p>
          <w:p w14:paraId="4B2AE9B6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2F9E6140" w14:textId="2CD8C732" w:rsidR="0090337E" w:rsidRDefault="005C7CFA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 xml:space="preserve">La seconde phase du projet avait pour </w:t>
            </w:r>
            <w:r w:rsidR="0076505A" w:rsidRPr="003D4CEC">
              <w:rPr>
                <w:szCs w:val="22"/>
                <w:lang w:val="fr-FR"/>
              </w:rPr>
              <w:t>objectif</w:t>
            </w:r>
            <w:r w:rsidRPr="003D4CEC">
              <w:rPr>
                <w:szCs w:val="22"/>
                <w:lang w:val="fr-FR"/>
              </w:rPr>
              <w:t xml:space="preserve">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accélérer le développement du secteur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audiovisuel en Afrique grâce à la fourniture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une assistance technique et au renforcement des capacités en vue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améliorer la compréhension et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utilisation du système du droit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auteur.</w:t>
            </w:r>
          </w:p>
          <w:p w14:paraId="6BE2660B" w14:textId="3DD50144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0E0FB1D1" w14:textId="3E5045F4" w:rsidR="00B10BCF" w:rsidRPr="003D4CEC" w:rsidRDefault="005C7CFA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Le projet comprenait trois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grands volets</w:t>
            </w:r>
            <w:r w:rsidR="00D22E27">
              <w:rPr>
                <w:szCs w:val="22"/>
                <w:lang w:val="fr-FR"/>
              </w:rPr>
              <w:t> </w:t>
            </w:r>
            <w:r w:rsidRPr="003D4CEC">
              <w:rPr>
                <w:szCs w:val="22"/>
                <w:lang w:val="fr-FR"/>
              </w:rPr>
              <w:t>:</w:t>
            </w:r>
          </w:p>
          <w:p w14:paraId="0B2547B1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087C2462" w14:textId="2CC35B86" w:rsidR="00B10BCF" w:rsidRPr="003D4CEC" w:rsidRDefault="00FC7190" w:rsidP="00564DE4">
            <w:pPr>
              <w:numPr>
                <w:ilvl w:val="0"/>
                <w:numId w:val="33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3D4CEC">
              <w:rPr>
                <w:szCs w:val="22"/>
                <w:lang w:val="fr-FR"/>
              </w:rPr>
              <w:t>la</w:t>
            </w:r>
            <w:proofErr w:type="gramEnd"/>
            <w:r w:rsidRPr="003D4CEC">
              <w:rPr>
                <w:szCs w:val="22"/>
                <w:lang w:val="fr-FR"/>
              </w:rPr>
              <w:t xml:space="preserve"> r</w:t>
            </w:r>
            <w:r w:rsidR="00B72E41" w:rsidRPr="003D4CEC">
              <w:rPr>
                <w:szCs w:val="22"/>
                <w:lang w:val="fr-FR"/>
              </w:rPr>
              <w:t>éalisation d</w:t>
            </w:r>
            <w:r w:rsidR="0090337E">
              <w:rPr>
                <w:szCs w:val="22"/>
                <w:lang w:val="fr-FR"/>
              </w:rPr>
              <w:t>’</w:t>
            </w:r>
            <w:r w:rsidR="00B72E41" w:rsidRPr="003D4CEC">
              <w:rPr>
                <w:szCs w:val="22"/>
                <w:lang w:val="fr-FR"/>
              </w:rPr>
              <w:t xml:space="preserve">activités </w:t>
            </w:r>
            <w:r w:rsidR="00B011AB" w:rsidRPr="003D4CEC">
              <w:rPr>
                <w:szCs w:val="22"/>
                <w:lang w:val="fr-FR"/>
              </w:rPr>
              <w:t xml:space="preserve">basées sur </w:t>
            </w:r>
            <w:r w:rsidR="009560BA" w:rsidRPr="003D4CEC">
              <w:rPr>
                <w:szCs w:val="22"/>
                <w:lang w:val="fr-FR"/>
              </w:rPr>
              <w:t xml:space="preserve">la </w:t>
            </w:r>
            <w:r w:rsidR="00B72E41" w:rsidRPr="003D4CEC">
              <w:rPr>
                <w:szCs w:val="22"/>
                <w:lang w:val="fr-FR"/>
              </w:rPr>
              <w:t>recherche;</w:t>
            </w:r>
          </w:p>
          <w:p w14:paraId="75F78568" w14:textId="77777777" w:rsidR="0090337E" w:rsidRDefault="00277224" w:rsidP="00564DE4">
            <w:pPr>
              <w:numPr>
                <w:ilvl w:val="0"/>
                <w:numId w:val="33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3D4CEC">
              <w:rPr>
                <w:szCs w:val="22"/>
                <w:lang w:val="fr-FR"/>
              </w:rPr>
              <w:t>le</w:t>
            </w:r>
            <w:proofErr w:type="gramEnd"/>
            <w:r w:rsidRPr="003D4CEC">
              <w:rPr>
                <w:szCs w:val="22"/>
                <w:lang w:val="fr-FR"/>
              </w:rPr>
              <w:t xml:space="preserve"> p</w:t>
            </w:r>
            <w:r w:rsidR="00B72E41" w:rsidRPr="003D4CEC">
              <w:rPr>
                <w:szCs w:val="22"/>
                <w:lang w:val="fr-FR"/>
              </w:rPr>
              <w:t xml:space="preserve">erfectionnement </w:t>
            </w:r>
            <w:r w:rsidR="000A0805" w:rsidRPr="003D4CEC">
              <w:rPr>
                <w:szCs w:val="22"/>
                <w:lang w:val="fr-FR"/>
              </w:rPr>
              <w:t>professionnel</w:t>
            </w:r>
            <w:r w:rsidR="00B72E41" w:rsidRPr="003D4CEC">
              <w:rPr>
                <w:szCs w:val="22"/>
                <w:lang w:val="fr-FR"/>
              </w:rPr>
              <w:t xml:space="preserve"> et</w:t>
            </w:r>
            <w:r w:rsidRPr="003D4CEC">
              <w:rPr>
                <w:szCs w:val="22"/>
                <w:lang w:val="fr-FR"/>
              </w:rPr>
              <w:t xml:space="preserve"> le</w:t>
            </w:r>
            <w:r w:rsidR="00B72E41" w:rsidRPr="003D4CEC">
              <w:rPr>
                <w:szCs w:val="22"/>
                <w:lang w:val="fr-FR"/>
              </w:rPr>
              <w:t xml:space="preserve"> renforcement des capacités;</w:t>
            </w:r>
          </w:p>
          <w:p w14:paraId="38576E38" w14:textId="1DA66CDF" w:rsidR="00B10BCF" w:rsidRPr="003D4CEC" w:rsidRDefault="007A79AA" w:rsidP="00564DE4">
            <w:pPr>
              <w:numPr>
                <w:ilvl w:val="0"/>
                <w:numId w:val="33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3D4CEC">
              <w:rPr>
                <w:szCs w:val="22"/>
                <w:lang w:val="fr-FR"/>
              </w:rPr>
              <w:t>le</w:t>
            </w:r>
            <w:proofErr w:type="gramEnd"/>
            <w:r w:rsidRPr="003D4CEC">
              <w:rPr>
                <w:szCs w:val="22"/>
                <w:lang w:val="fr-FR"/>
              </w:rPr>
              <w:t xml:space="preserve"> c</w:t>
            </w:r>
            <w:r w:rsidR="00B72E41" w:rsidRPr="003D4CEC">
              <w:rPr>
                <w:szCs w:val="22"/>
                <w:lang w:val="fr-FR"/>
              </w:rPr>
              <w:t xml:space="preserve">adre institutionnel et </w:t>
            </w:r>
            <w:r w:rsidRPr="003D4CEC">
              <w:rPr>
                <w:szCs w:val="22"/>
                <w:lang w:val="fr-FR"/>
              </w:rPr>
              <w:t>législatif</w:t>
            </w:r>
            <w:r w:rsidR="0090337E">
              <w:rPr>
                <w:szCs w:val="22"/>
                <w:lang w:val="fr-FR"/>
              </w:rPr>
              <w:t> :</w:t>
            </w:r>
            <w:r w:rsidR="00B72E41" w:rsidRPr="003D4CEC">
              <w:rPr>
                <w:szCs w:val="22"/>
                <w:lang w:val="fr-FR"/>
              </w:rPr>
              <w:t xml:space="preserve"> </w:t>
            </w:r>
            <w:r w:rsidRPr="003D4CEC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="00B72E41" w:rsidRPr="003D4CEC">
              <w:rPr>
                <w:szCs w:val="22"/>
                <w:lang w:val="fr-FR"/>
              </w:rPr>
              <w:t xml:space="preserve">appui au </w:t>
            </w:r>
            <w:r w:rsidRPr="003D4CEC">
              <w:rPr>
                <w:szCs w:val="22"/>
                <w:lang w:val="fr-FR"/>
              </w:rPr>
              <w:t>développement de</w:t>
            </w:r>
            <w:r w:rsidR="004158D2" w:rsidRPr="003D4CEC">
              <w:rPr>
                <w:szCs w:val="22"/>
                <w:lang w:val="fr-FR"/>
              </w:rPr>
              <w:t>s</w:t>
            </w:r>
            <w:r w:rsidRPr="003D4CEC">
              <w:rPr>
                <w:szCs w:val="22"/>
                <w:lang w:val="fr-FR"/>
              </w:rPr>
              <w:t xml:space="preserve"> </w:t>
            </w:r>
            <w:r w:rsidR="00B72E41" w:rsidRPr="003D4CEC">
              <w:rPr>
                <w:szCs w:val="22"/>
                <w:lang w:val="fr-FR"/>
              </w:rPr>
              <w:t xml:space="preserve">compétences et </w:t>
            </w:r>
            <w:r w:rsidRPr="003D4CEC">
              <w:rPr>
                <w:szCs w:val="22"/>
                <w:lang w:val="fr-FR"/>
              </w:rPr>
              <w:t>d</w:t>
            </w:r>
            <w:r w:rsidR="004158D2" w:rsidRPr="003D4CEC">
              <w:rPr>
                <w:szCs w:val="22"/>
                <w:lang w:val="fr-FR"/>
              </w:rPr>
              <w:t xml:space="preserve">es </w:t>
            </w:r>
            <w:r w:rsidR="00B72E41" w:rsidRPr="003D4CEC">
              <w:rPr>
                <w:szCs w:val="22"/>
                <w:lang w:val="fr-FR"/>
              </w:rPr>
              <w:t>instruments.</w:t>
            </w:r>
          </w:p>
          <w:p w14:paraId="0D2C20DB" w14:textId="77777777" w:rsidR="00B10BCF" w:rsidRPr="003D4CEC" w:rsidRDefault="00B10BCF" w:rsidP="00564DE4">
            <w:pPr>
              <w:rPr>
                <w:szCs w:val="22"/>
                <w:lang w:val="fr-FR"/>
              </w:rPr>
            </w:pPr>
          </w:p>
          <w:p w14:paraId="47050848" w14:textId="0D76BD27" w:rsidR="0090337E" w:rsidRDefault="002C5217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 xml:space="preserve">Tous les volets visaient à </w:t>
            </w:r>
            <w:r w:rsidR="004158D2" w:rsidRPr="003D4CEC">
              <w:rPr>
                <w:szCs w:val="22"/>
                <w:lang w:val="fr-FR"/>
              </w:rPr>
              <w:t>accroître</w:t>
            </w:r>
            <w:r w:rsidRPr="003D4CEC">
              <w:rPr>
                <w:szCs w:val="22"/>
                <w:lang w:val="fr-FR"/>
              </w:rPr>
              <w:t xml:space="preserve"> </w:t>
            </w:r>
            <w:r w:rsidR="004158D2" w:rsidRPr="003D4CEC">
              <w:rPr>
                <w:szCs w:val="22"/>
                <w:lang w:val="fr-FR"/>
              </w:rPr>
              <w:t>le recours aux transactions</w:t>
            </w:r>
            <w:r w:rsidRPr="003D4CEC">
              <w:rPr>
                <w:szCs w:val="22"/>
                <w:lang w:val="fr-FR"/>
              </w:rPr>
              <w:t xml:space="preserve"> </w:t>
            </w:r>
            <w:r w:rsidR="004158D2" w:rsidRPr="003D4CEC">
              <w:rPr>
                <w:szCs w:val="22"/>
                <w:lang w:val="fr-FR"/>
              </w:rPr>
              <w:t xml:space="preserve">de propriété intellectuelle dans le secteur </w:t>
            </w:r>
            <w:r w:rsidR="00E7581D" w:rsidRPr="003D4CEC">
              <w:rPr>
                <w:szCs w:val="22"/>
                <w:lang w:val="fr-FR"/>
              </w:rPr>
              <w:t>de l</w:t>
            </w:r>
            <w:r w:rsidR="0090337E">
              <w:rPr>
                <w:szCs w:val="22"/>
                <w:lang w:val="fr-FR"/>
              </w:rPr>
              <w:t>’</w:t>
            </w:r>
            <w:r w:rsidR="004158D2" w:rsidRPr="003D4CEC">
              <w:rPr>
                <w:szCs w:val="22"/>
                <w:lang w:val="fr-FR"/>
              </w:rPr>
              <w:t xml:space="preserve">audiovisuel, et à améliorer leur </w:t>
            </w:r>
            <w:r w:rsidRPr="003D4CEC">
              <w:rPr>
                <w:szCs w:val="22"/>
                <w:lang w:val="fr-FR"/>
              </w:rPr>
              <w:t>rentabili</w:t>
            </w:r>
            <w:r w:rsidR="00CB0FF7" w:rsidRPr="003D4CEC">
              <w:rPr>
                <w:szCs w:val="22"/>
                <w:lang w:val="fr-FR"/>
              </w:rPr>
              <w:t>té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3D4CEC">
              <w:rPr>
                <w:szCs w:val="22"/>
                <w:lang w:val="fr-FR"/>
              </w:rPr>
              <w:t>Le</w:t>
            </w:r>
            <w:r w:rsidRPr="003D4CEC">
              <w:rPr>
                <w:szCs w:val="22"/>
                <w:lang w:val="fr-FR"/>
              </w:rPr>
              <w:t xml:space="preserve">s pays bénéficiaires du projet pilote </w:t>
            </w:r>
            <w:r w:rsidR="0062793D" w:rsidRPr="003D4CEC">
              <w:rPr>
                <w:szCs w:val="22"/>
                <w:lang w:val="fr-FR"/>
              </w:rPr>
              <w:t>étaient</w:t>
            </w:r>
            <w:r w:rsidRPr="003D4CEC">
              <w:rPr>
                <w:szCs w:val="22"/>
                <w:lang w:val="fr-FR"/>
              </w:rPr>
              <w:t xml:space="preserve"> le Burkina Faso</w:t>
            </w:r>
            <w:r w:rsidR="0062793D" w:rsidRPr="003D4CEC">
              <w:rPr>
                <w:szCs w:val="22"/>
                <w:lang w:val="fr-FR"/>
              </w:rPr>
              <w:t>, la Côte d</w:t>
            </w:r>
            <w:r w:rsidR="0090337E">
              <w:rPr>
                <w:szCs w:val="22"/>
                <w:lang w:val="fr-FR"/>
              </w:rPr>
              <w:t>’</w:t>
            </w:r>
            <w:r w:rsidR="0062793D" w:rsidRPr="003D4CEC">
              <w:rPr>
                <w:szCs w:val="22"/>
                <w:lang w:val="fr-FR"/>
              </w:rPr>
              <w:t>Ivoire, le Kenya, le</w:t>
            </w:r>
            <w:r w:rsidRPr="003D4CEC">
              <w:rPr>
                <w:szCs w:val="22"/>
                <w:lang w:val="fr-FR"/>
              </w:rPr>
              <w:t xml:space="preserve"> Maroc et le Sénégal.</w:t>
            </w:r>
          </w:p>
          <w:p w14:paraId="271B87E0" w14:textId="77777777" w:rsidR="0090337E" w:rsidRDefault="0090337E" w:rsidP="00564DE4">
            <w:pPr>
              <w:rPr>
                <w:szCs w:val="22"/>
                <w:lang w:val="fr-FR"/>
              </w:rPr>
            </w:pPr>
          </w:p>
          <w:p w14:paraId="178B599C" w14:textId="1F8CC0B3" w:rsidR="00142EE3" w:rsidRPr="003D4CEC" w:rsidRDefault="009804AC" w:rsidP="00564DE4">
            <w:pPr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S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 xml:space="preserve">appuyant sur la dynamique créée par la phase I, la phase II </w:t>
            </w:r>
            <w:r w:rsidR="00522B44" w:rsidRPr="003D4CEC">
              <w:rPr>
                <w:szCs w:val="22"/>
                <w:lang w:val="fr-FR"/>
              </w:rPr>
              <w:t xml:space="preserve">avait pour </w:t>
            </w:r>
            <w:r w:rsidR="0082691B" w:rsidRPr="003D4CEC">
              <w:rPr>
                <w:szCs w:val="22"/>
                <w:lang w:val="fr-FR"/>
              </w:rPr>
              <w:t>but</w:t>
            </w:r>
            <w:r w:rsidR="00522B44" w:rsidRPr="003D4CEC">
              <w:rPr>
                <w:szCs w:val="22"/>
                <w:lang w:val="fr-FR"/>
              </w:rPr>
              <w:t xml:space="preserve"> de pérenniser les</w:t>
            </w:r>
            <w:r w:rsidRPr="003D4CEC">
              <w:rPr>
                <w:szCs w:val="22"/>
                <w:lang w:val="fr-FR"/>
              </w:rPr>
              <w:t xml:space="preserve"> transformations structurelles</w:t>
            </w:r>
            <w:r w:rsidR="00522B44" w:rsidRPr="003D4CEC">
              <w:rPr>
                <w:szCs w:val="22"/>
                <w:lang w:val="fr-FR"/>
              </w:rPr>
              <w:t xml:space="preserve"> du secteur</w:t>
            </w:r>
            <w:r w:rsidRPr="003D4CEC">
              <w:rPr>
                <w:szCs w:val="22"/>
                <w:lang w:val="fr-FR"/>
              </w:rPr>
              <w:t xml:space="preserve"> </w:t>
            </w:r>
            <w:r w:rsidR="00522B44" w:rsidRPr="003D4CEC">
              <w:rPr>
                <w:szCs w:val="22"/>
                <w:lang w:val="fr-FR"/>
              </w:rPr>
              <w:t>induites par le projet.</w:t>
            </w:r>
          </w:p>
        </w:tc>
      </w:tr>
      <w:tr w:rsidR="003D4CEC" w:rsidRPr="003D4CEC" w14:paraId="36B73DF6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160D0AF0" w14:textId="75CC5444" w:rsidR="00142EE3" w:rsidRPr="003D4CEC" w:rsidRDefault="009804AC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Chef de projet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161174B7" w14:textId="494E8A3F" w:rsidR="00142EE3" w:rsidRPr="003D4CEC" w:rsidRDefault="009804AC" w:rsidP="00564DE4">
            <w:pPr>
              <w:rPr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Mme Carole </w:t>
            </w:r>
            <w:proofErr w:type="spellStart"/>
            <w:r w:rsidRPr="003D4CEC">
              <w:rPr>
                <w:iCs/>
                <w:szCs w:val="22"/>
                <w:lang w:val="fr-FR"/>
              </w:rPr>
              <w:t>Croella</w:t>
            </w:r>
            <w:proofErr w:type="spellEnd"/>
            <w:r w:rsidRPr="003D4CEC">
              <w:rPr>
                <w:iCs/>
                <w:szCs w:val="22"/>
                <w:lang w:val="fr-FR"/>
              </w:rPr>
              <w:t>, conseillère principale, Division du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auteur, Secteur de la culture et des industries de la création</w:t>
            </w:r>
          </w:p>
        </w:tc>
      </w:tr>
      <w:tr w:rsidR="003D4CEC" w:rsidRPr="003D4CEC" w14:paraId="278B51A8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1FAEB1FD" w14:textId="47627BDE" w:rsidR="00142EE3" w:rsidRPr="003D4CEC" w:rsidRDefault="009804AC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Liens avec les résultats escomptés dans le programme et budget</w:t>
            </w:r>
            <w:r w:rsidR="00142EE3" w:rsidRPr="003D4CEC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58A8D43D" w14:textId="4100B64C" w:rsidR="00B10BCF" w:rsidRPr="003D4CEC" w:rsidRDefault="0022530A" w:rsidP="00564DE4">
            <w:pPr>
              <w:rPr>
                <w:iCs/>
                <w:szCs w:val="22"/>
                <w:lang w:val="fr-FR"/>
              </w:rPr>
            </w:pPr>
            <w:r w:rsidRPr="003D4CEC">
              <w:rPr>
                <w:i/>
                <w:iCs/>
                <w:szCs w:val="22"/>
                <w:lang w:val="fr-FR"/>
              </w:rPr>
              <w:t>Objectif stratégique III</w:t>
            </w:r>
            <w:r w:rsidR="0090337E">
              <w:rPr>
                <w:i/>
                <w:iCs/>
                <w:szCs w:val="22"/>
                <w:lang w:val="fr-FR"/>
              </w:rPr>
              <w:t> :</w:t>
            </w:r>
            <w:r w:rsidR="009804AC" w:rsidRPr="003D4CEC">
              <w:rPr>
                <w:i/>
                <w:iCs/>
                <w:szCs w:val="22"/>
                <w:lang w:val="fr-FR"/>
              </w:rPr>
              <w:t xml:space="preserve"> Favoriser l</w:t>
            </w:r>
            <w:r w:rsidR="0090337E">
              <w:rPr>
                <w:i/>
                <w:iCs/>
                <w:szCs w:val="22"/>
                <w:lang w:val="fr-FR"/>
              </w:rPr>
              <w:t>’</w:t>
            </w:r>
            <w:r w:rsidR="009804AC" w:rsidRPr="003D4CEC">
              <w:rPr>
                <w:i/>
                <w:iCs/>
                <w:szCs w:val="22"/>
                <w:lang w:val="fr-FR"/>
              </w:rPr>
              <w:t>utilisation de la propriété intellectuelle au service du développement</w:t>
            </w:r>
          </w:p>
          <w:p w14:paraId="5FE3199A" w14:textId="77777777" w:rsidR="00B10BCF" w:rsidRPr="003D4CEC" w:rsidRDefault="00B10BCF" w:rsidP="00564DE4">
            <w:pPr>
              <w:rPr>
                <w:i/>
                <w:iCs/>
                <w:szCs w:val="22"/>
                <w:lang w:val="fr-FR"/>
              </w:rPr>
            </w:pPr>
          </w:p>
          <w:p w14:paraId="7EBCAED0" w14:textId="0820F57E" w:rsidR="00142EE3" w:rsidRPr="003D4CEC" w:rsidRDefault="0022530A" w:rsidP="00564DE4">
            <w:pPr>
              <w:rPr>
                <w:iCs/>
                <w:szCs w:val="22"/>
                <w:lang w:val="fr-FR"/>
              </w:rPr>
            </w:pPr>
            <w:r w:rsidRPr="003D4CEC">
              <w:rPr>
                <w:i/>
                <w:iCs/>
                <w:szCs w:val="22"/>
                <w:lang w:val="fr-FR"/>
              </w:rPr>
              <w:t>Programme </w:t>
            </w:r>
            <w:r w:rsidR="009804AC" w:rsidRPr="003D4CEC">
              <w:rPr>
                <w:i/>
                <w:iCs/>
                <w:szCs w:val="22"/>
                <w:lang w:val="fr-FR"/>
              </w:rPr>
              <w:t>3</w:t>
            </w:r>
          </w:p>
        </w:tc>
      </w:tr>
      <w:tr w:rsidR="003D4CEC" w:rsidRPr="003D4CEC" w14:paraId="501D0BE4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67E736A5" w14:textId="5317F558" w:rsidR="00B10BCF" w:rsidRPr="003D4CEC" w:rsidRDefault="00354DEB" w:rsidP="00564DE4">
            <w:pPr>
              <w:pStyle w:val="Heading3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lastRenderedPageBreak/>
              <w:t xml:space="preserve">Résumé de la mise en œuvre </w:t>
            </w:r>
            <w:r w:rsidR="00FC1019" w:rsidRPr="003D4CEC">
              <w:rPr>
                <w:szCs w:val="22"/>
                <w:lang w:val="fr-FR"/>
              </w:rPr>
              <w:t>du projet</w:t>
            </w:r>
          </w:p>
          <w:p w14:paraId="718B1545" w14:textId="265A0E66" w:rsidR="006A4C41" w:rsidRPr="003D4CEC" w:rsidRDefault="006A4C41" w:rsidP="00564DE4">
            <w:pPr>
              <w:rPr>
                <w:szCs w:val="22"/>
                <w:lang w:val="fr-FR"/>
              </w:rPr>
            </w:pP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3FF1D9FD" w14:textId="2D14864E" w:rsidR="00B10BCF" w:rsidRPr="00D10A45" w:rsidRDefault="00564DE4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I.</w:t>
            </w:r>
            <w:r w:rsidRPr="00D10A45">
              <w:rPr>
                <w:szCs w:val="22"/>
                <w:lang w:val="fr-FR"/>
              </w:rPr>
              <w:tab/>
            </w:r>
            <w:r w:rsidRPr="00D10A45">
              <w:rPr>
                <w:caps/>
                <w:szCs w:val="22"/>
                <w:lang w:val="fr-FR"/>
              </w:rPr>
              <w:t>Contexte du projet et démarche adoptée</w:t>
            </w:r>
          </w:p>
          <w:p w14:paraId="3C44A796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4E2C21F9" w14:textId="4EBDAE95" w:rsidR="00B10BCF" w:rsidRPr="00D10A45" w:rsidRDefault="00FC1019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La mise en </w:t>
            </w:r>
            <w:r w:rsidR="00EB6A94" w:rsidRPr="00D10A45">
              <w:rPr>
                <w:szCs w:val="22"/>
                <w:lang w:val="fr-FR"/>
              </w:rPr>
              <w:t>œuvre</w:t>
            </w:r>
            <w:r w:rsidRPr="00D10A45">
              <w:rPr>
                <w:szCs w:val="22"/>
                <w:lang w:val="fr-FR"/>
              </w:rPr>
              <w:t xml:space="preserve"> du projet a débuté en juin 2016 et </w:t>
            </w:r>
            <w:r w:rsidR="00EB6A94" w:rsidRPr="00D10A45">
              <w:rPr>
                <w:szCs w:val="22"/>
                <w:lang w:val="fr-FR"/>
              </w:rPr>
              <w:t>s</w:t>
            </w:r>
            <w:r w:rsidR="0090337E">
              <w:rPr>
                <w:szCs w:val="22"/>
                <w:lang w:val="fr-FR"/>
              </w:rPr>
              <w:t>’</w:t>
            </w:r>
            <w:r w:rsidR="00EB6A94" w:rsidRPr="00D10A45">
              <w:rPr>
                <w:szCs w:val="22"/>
                <w:lang w:val="fr-FR"/>
              </w:rPr>
              <w:t xml:space="preserve">est </w:t>
            </w:r>
            <w:r w:rsidRPr="00D10A45">
              <w:rPr>
                <w:szCs w:val="22"/>
                <w:lang w:val="fr-FR"/>
              </w:rPr>
              <w:t>achevée en octobre 2018.</w:t>
            </w:r>
            <w:r w:rsidR="007C050B" w:rsidRPr="00D10A45">
              <w:rPr>
                <w:szCs w:val="22"/>
                <w:lang w:val="fr-FR"/>
              </w:rPr>
              <w:t xml:space="preserve"> </w:t>
            </w:r>
            <w:r w:rsidR="0092517A" w:rsidRPr="00D10A45">
              <w:rPr>
                <w:szCs w:val="22"/>
                <w:lang w:val="fr-FR"/>
              </w:rPr>
              <w:t xml:space="preserve"> </w:t>
            </w:r>
            <w:r w:rsidR="0082369B"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="0082369B" w:rsidRPr="00D10A45">
              <w:rPr>
                <w:szCs w:val="22"/>
                <w:lang w:val="fr-FR"/>
              </w:rPr>
              <w:t>ensemble de</w:t>
            </w:r>
            <w:r w:rsidRPr="00D10A45">
              <w:rPr>
                <w:szCs w:val="22"/>
                <w:lang w:val="fr-FR"/>
              </w:rPr>
              <w:t>s activités programmées</w:t>
            </w:r>
            <w:r w:rsidR="0082369B" w:rsidRPr="00D10A45">
              <w:rPr>
                <w:szCs w:val="22"/>
                <w:lang w:val="fr-FR"/>
              </w:rPr>
              <w:t xml:space="preserve"> et le budget ont été </w:t>
            </w:r>
            <w:r w:rsidR="00511015" w:rsidRPr="00D10A45">
              <w:rPr>
                <w:szCs w:val="22"/>
                <w:lang w:val="fr-FR"/>
              </w:rPr>
              <w:t>exécutés</w:t>
            </w:r>
            <w:r w:rsidR="0082369B" w:rsidRPr="00D10A45">
              <w:rPr>
                <w:szCs w:val="22"/>
                <w:lang w:val="fr-FR"/>
              </w:rPr>
              <w:t xml:space="preserve"> conformément à ce qui avait été pré</w:t>
            </w:r>
            <w:r w:rsidR="00CB0FF7" w:rsidRPr="00D10A45">
              <w:rPr>
                <w:szCs w:val="22"/>
                <w:lang w:val="fr-FR"/>
              </w:rPr>
              <w:t>vu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D5199B" w:rsidRPr="00D10A45">
              <w:rPr>
                <w:szCs w:val="22"/>
                <w:lang w:val="fr-FR"/>
              </w:rPr>
              <w:t xml:space="preserve"> projet a été mené</w:t>
            </w:r>
            <w:r w:rsidRPr="00D10A45">
              <w:rPr>
                <w:szCs w:val="22"/>
                <w:lang w:val="fr-FR"/>
              </w:rPr>
              <w:t xml:space="preserve"> en étroite coordination avec les pays pilot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AB058E" w:rsidRPr="00D10A45">
              <w:rPr>
                <w:szCs w:val="22"/>
                <w:lang w:val="fr-FR"/>
              </w:rPr>
              <w:t xml:space="preserve">s priorités et besoins </w:t>
            </w:r>
            <w:r w:rsidR="009C2DF6" w:rsidRPr="00D10A45">
              <w:rPr>
                <w:szCs w:val="22"/>
                <w:lang w:val="fr-FR"/>
              </w:rPr>
              <w:t>définis par</w:t>
            </w:r>
            <w:r w:rsidR="00AB058E" w:rsidRPr="00D10A45">
              <w:rPr>
                <w:szCs w:val="22"/>
                <w:lang w:val="fr-FR"/>
              </w:rPr>
              <w:t xml:space="preserve"> ces pays ont été pleinement pris en considérati</w:t>
            </w:r>
            <w:r w:rsidR="00CB0FF7" w:rsidRPr="00D10A45">
              <w:rPr>
                <w:szCs w:val="22"/>
                <w:lang w:val="fr-FR"/>
              </w:rPr>
              <w:t>on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C434EC" w:rsidRPr="00D10A45">
              <w:rPr>
                <w:szCs w:val="22"/>
                <w:lang w:val="fr-FR"/>
              </w:rPr>
              <w:t xml:space="preserve"> contenu du projet est présenté en détail dans le descriptif du projet (document CDIP/17/7).</w:t>
            </w:r>
          </w:p>
          <w:p w14:paraId="0E203F80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1DF0FB1B" w14:textId="6D5F360B" w:rsidR="0090337E" w:rsidRDefault="009C2DF6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Comme approuvé par le CDIP, le projet a vu la participation de cinq </w:t>
            </w:r>
            <w:r w:rsidR="00C434EC" w:rsidRPr="00D10A45">
              <w:rPr>
                <w:szCs w:val="22"/>
                <w:lang w:val="fr-FR"/>
              </w:rPr>
              <w:t xml:space="preserve">pays pilotes, </w:t>
            </w:r>
            <w:r w:rsidR="0090337E">
              <w:rPr>
                <w:szCs w:val="22"/>
                <w:lang w:val="fr-FR"/>
              </w:rPr>
              <w:t>à savoir</w:t>
            </w:r>
            <w:r w:rsidR="00C434EC" w:rsidRPr="00D10A45">
              <w:rPr>
                <w:szCs w:val="22"/>
                <w:lang w:val="fr-FR"/>
              </w:rPr>
              <w:t xml:space="preserve"> le Burkina Faso, le Sénégal, le Kenya, la Côte d</w:t>
            </w:r>
            <w:r w:rsidR="0090337E">
              <w:rPr>
                <w:szCs w:val="22"/>
                <w:lang w:val="fr-FR"/>
              </w:rPr>
              <w:t>’</w:t>
            </w:r>
            <w:r w:rsidR="00C434EC" w:rsidRPr="00D10A45">
              <w:rPr>
                <w:szCs w:val="22"/>
                <w:lang w:val="fr-FR"/>
              </w:rPr>
              <w:t>Ivoire et le Maroc.</w:t>
            </w:r>
          </w:p>
          <w:p w14:paraId="586E9194" w14:textId="66386E6B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68AA9124" w14:textId="0FF7F24C" w:rsidR="00B10BCF" w:rsidRPr="00D10A45" w:rsidRDefault="00C434EC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Le projet </w:t>
            </w:r>
            <w:r w:rsidR="00883FFE" w:rsidRPr="00D10A45">
              <w:rPr>
                <w:szCs w:val="22"/>
                <w:lang w:val="fr-FR"/>
              </w:rPr>
              <w:t>s</w:t>
            </w:r>
            <w:r w:rsidR="0090337E">
              <w:rPr>
                <w:szCs w:val="22"/>
                <w:lang w:val="fr-FR"/>
              </w:rPr>
              <w:t>’</w:t>
            </w:r>
            <w:r w:rsidR="00530037" w:rsidRPr="00D10A45">
              <w:rPr>
                <w:szCs w:val="22"/>
                <w:lang w:val="fr-FR"/>
              </w:rPr>
              <w:t>est articulé autour de trois </w:t>
            </w:r>
            <w:r w:rsidR="00883FFE" w:rsidRPr="00D10A45">
              <w:rPr>
                <w:szCs w:val="22"/>
                <w:lang w:val="fr-FR"/>
              </w:rPr>
              <w:t>éléments</w:t>
            </w:r>
            <w:r w:rsidR="0090337E">
              <w:rPr>
                <w:szCs w:val="22"/>
                <w:lang w:val="fr-FR"/>
              </w:rPr>
              <w:t> :</w:t>
            </w:r>
          </w:p>
          <w:p w14:paraId="728F108E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1DF6ED97" w14:textId="77777777" w:rsidR="0090337E" w:rsidRDefault="00E1252E" w:rsidP="00D10A45">
            <w:pPr>
              <w:numPr>
                <w:ilvl w:val="0"/>
                <w:numId w:val="34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les</w:t>
            </w:r>
            <w:proofErr w:type="gramEnd"/>
            <w:r w:rsidRPr="00D10A45">
              <w:rPr>
                <w:szCs w:val="22"/>
                <w:lang w:val="fr-FR"/>
              </w:rPr>
              <w:t xml:space="preserve"> </w:t>
            </w:r>
            <w:r w:rsidR="00A06176" w:rsidRPr="00D10A45">
              <w:rPr>
                <w:szCs w:val="22"/>
                <w:lang w:val="fr-FR"/>
              </w:rPr>
              <w:t>activités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A65020" w:rsidRPr="00D10A45">
              <w:rPr>
                <w:szCs w:val="22"/>
                <w:lang w:val="fr-FR"/>
              </w:rPr>
              <w:t>basées</w:t>
            </w:r>
            <w:r w:rsidRPr="00D10A45">
              <w:rPr>
                <w:szCs w:val="22"/>
                <w:lang w:val="fr-FR"/>
              </w:rPr>
              <w:t xml:space="preserve"> sur </w:t>
            </w:r>
            <w:r w:rsidR="00A65020" w:rsidRPr="00D10A45">
              <w:rPr>
                <w:szCs w:val="22"/>
                <w:lang w:val="fr-FR"/>
              </w:rPr>
              <w:t xml:space="preserve">la </w:t>
            </w:r>
            <w:r w:rsidRPr="00D10A45">
              <w:rPr>
                <w:szCs w:val="22"/>
                <w:lang w:val="fr-FR"/>
              </w:rPr>
              <w:t>recherche;</w:t>
            </w:r>
          </w:p>
          <w:p w14:paraId="3A5323C1" w14:textId="40DDF46E" w:rsidR="00B10BCF" w:rsidRPr="00D10A45" w:rsidRDefault="00E1252E" w:rsidP="00D10A45">
            <w:pPr>
              <w:numPr>
                <w:ilvl w:val="0"/>
                <w:numId w:val="34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les</w:t>
            </w:r>
            <w:proofErr w:type="gramEnd"/>
            <w:r w:rsidRPr="00D10A45">
              <w:rPr>
                <w:szCs w:val="22"/>
                <w:lang w:val="fr-FR"/>
              </w:rPr>
              <w:t xml:space="preserve"> activités de perfectionnement professionnel</w:t>
            </w:r>
            <w:r w:rsidR="00A06176" w:rsidRPr="00D10A45">
              <w:rPr>
                <w:szCs w:val="22"/>
                <w:lang w:val="fr-FR"/>
              </w:rPr>
              <w:t xml:space="preserve"> et de formation</w:t>
            </w:r>
            <w:r w:rsidRPr="00D10A45">
              <w:rPr>
                <w:szCs w:val="22"/>
                <w:lang w:val="fr-FR"/>
              </w:rPr>
              <w:t>;</w:t>
            </w:r>
          </w:p>
          <w:p w14:paraId="7523F509" w14:textId="2A9A45CA" w:rsidR="00B10BCF" w:rsidRPr="00D10A45" w:rsidRDefault="00E1252E" w:rsidP="00D10A45">
            <w:pPr>
              <w:numPr>
                <w:ilvl w:val="0"/>
                <w:numId w:val="34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le</w:t>
            </w:r>
            <w:proofErr w:type="gramEnd"/>
            <w:r w:rsidRPr="00D10A45">
              <w:rPr>
                <w:szCs w:val="22"/>
                <w:lang w:val="fr-FR"/>
              </w:rPr>
              <w:t xml:space="preserve"> renforcement du cadre institutionnel et </w:t>
            </w:r>
            <w:r w:rsidR="008F3AB6" w:rsidRPr="00D10A45">
              <w:rPr>
                <w:szCs w:val="22"/>
                <w:lang w:val="fr-FR"/>
              </w:rPr>
              <w:t>législatif</w:t>
            </w:r>
            <w:r w:rsidR="0090337E">
              <w:rPr>
                <w:szCs w:val="22"/>
                <w:lang w:val="fr-FR"/>
              </w:rPr>
              <w:t> :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C03848"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="00C03848" w:rsidRPr="00D10A45">
              <w:rPr>
                <w:szCs w:val="22"/>
                <w:lang w:val="fr-FR"/>
              </w:rPr>
              <w:t>appui au développement des compétences et des instruments</w:t>
            </w:r>
            <w:r w:rsidRPr="00D10A45">
              <w:rPr>
                <w:szCs w:val="22"/>
                <w:lang w:val="fr-FR"/>
              </w:rPr>
              <w:t>.</w:t>
            </w:r>
          </w:p>
          <w:p w14:paraId="7F7C4A22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5D489BA7" w14:textId="204CA15E" w:rsidR="0090337E" w:rsidRDefault="00E1252E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La phase II du projet avait pour </w:t>
            </w:r>
            <w:r w:rsidR="00883FFE" w:rsidRPr="00D10A45">
              <w:rPr>
                <w:szCs w:val="22"/>
                <w:lang w:val="fr-FR"/>
              </w:rPr>
              <w:t>o</w:t>
            </w:r>
            <w:r w:rsidR="00E00D4C" w:rsidRPr="00D10A45">
              <w:rPr>
                <w:szCs w:val="22"/>
                <w:lang w:val="fr-FR"/>
              </w:rPr>
              <w:t>bjectif</w:t>
            </w:r>
            <w:r w:rsidRPr="00D10A45">
              <w:rPr>
                <w:szCs w:val="22"/>
                <w:lang w:val="fr-FR"/>
              </w:rPr>
              <w:t xml:space="preserve">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accélérer le développement du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en Afrique grâce à la fourniture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une assistance technique et au renforcement des capacités en vue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améliorer la compréhension et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utilisation du système du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</w:t>
            </w:r>
            <w:r w:rsidR="00CB0FF7" w:rsidRPr="00D10A45">
              <w:rPr>
                <w:szCs w:val="22"/>
                <w:lang w:val="fr-FR"/>
              </w:rPr>
              <w:t>ur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El</w:t>
            </w:r>
            <w:r w:rsidR="00F61278" w:rsidRPr="00D10A45">
              <w:rPr>
                <w:szCs w:val="22"/>
                <w:lang w:val="fr-FR"/>
              </w:rPr>
              <w:t>le a pe</w:t>
            </w:r>
            <w:r w:rsidR="005D5A6B" w:rsidRPr="00D10A45">
              <w:rPr>
                <w:szCs w:val="22"/>
                <w:lang w:val="fr-FR"/>
              </w:rPr>
              <w:t>rmis d</w:t>
            </w:r>
            <w:r w:rsidR="0090337E">
              <w:rPr>
                <w:szCs w:val="22"/>
                <w:lang w:val="fr-FR"/>
              </w:rPr>
              <w:t>’</w:t>
            </w:r>
            <w:r w:rsidR="005D5A6B" w:rsidRPr="00D10A45">
              <w:rPr>
                <w:szCs w:val="22"/>
                <w:lang w:val="fr-FR"/>
              </w:rPr>
              <w:t>exploiter les résultats de la phase </w:t>
            </w:r>
            <w:r w:rsidR="00F61278" w:rsidRPr="00D10A45">
              <w:rPr>
                <w:szCs w:val="22"/>
                <w:lang w:val="fr-FR"/>
              </w:rPr>
              <w:t>I, qui a jet</w:t>
            </w:r>
            <w:r w:rsidR="0030130C" w:rsidRPr="00D10A45">
              <w:rPr>
                <w:szCs w:val="22"/>
                <w:lang w:val="fr-FR"/>
              </w:rPr>
              <w:t>é l</w:t>
            </w:r>
            <w:r w:rsidR="00F61278" w:rsidRPr="00D10A45">
              <w:rPr>
                <w:szCs w:val="22"/>
                <w:lang w:val="fr-FR"/>
              </w:rPr>
              <w:t xml:space="preserve">es bases </w:t>
            </w:r>
            <w:r w:rsidR="0030130C" w:rsidRPr="00D10A45">
              <w:rPr>
                <w:szCs w:val="22"/>
                <w:lang w:val="fr-FR"/>
              </w:rPr>
              <w:t xml:space="preserve">nécessaires </w:t>
            </w:r>
            <w:r w:rsidR="00F61278" w:rsidRPr="00D10A45">
              <w:rPr>
                <w:szCs w:val="22"/>
                <w:lang w:val="fr-FR"/>
              </w:rPr>
              <w:t xml:space="preserve">à une meilleure compréhension et </w:t>
            </w:r>
            <w:r w:rsidR="0030130C" w:rsidRPr="00D10A45">
              <w:rPr>
                <w:szCs w:val="22"/>
                <w:lang w:val="fr-FR"/>
              </w:rPr>
              <w:t xml:space="preserve">à </w:t>
            </w:r>
            <w:r w:rsidR="00F61278" w:rsidRPr="00D10A45">
              <w:rPr>
                <w:szCs w:val="22"/>
                <w:lang w:val="fr-FR"/>
              </w:rPr>
              <w:t>une connaissance plus approfondie de l</w:t>
            </w:r>
            <w:r w:rsidR="0090337E">
              <w:rPr>
                <w:szCs w:val="22"/>
                <w:lang w:val="fr-FR"/>
              </w:rPr>
              <w:t>’</w:t>
            </w:r>
            <w:r w:rsidR="00F61278" w:rsidRPr="00D10A45">
              <w:rPr>
                <w:szCs w:val="22"/>
                <w:lang w:val="fr-FR"/>
              </w:rPr>
              <w:t xml:space="preserve">utilisation de la propriété intellectuelle dans ce </w:t>
            </w:r>
            <w:r w:rsidR="0030130C" w:rsidRPr="00D10A45">
              <w:rPr>
                <w:szCs w:val="22"/>
                <w:lang w:val="fr-FR"/>
              </w:rPr>
              <w:t>secteur</w:t>
            </w:r>
            <w:r w:rsidR="00F61278" w:rsidRPr="00D10A45">
              <w:rPr>
                <w:szCs w:val="22"/>
                <w:lang w:val="fr-FR"/>
              </w:rPr>
              <w:t>.</w:t>
            </w:r>
          </w:p>
          <w:p w14:paraId="57518585" w14:textId="2505743A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152E98EB" w14:textId="29F24823" w:rsidR="0090337E" w:rsidRDefault="00F61278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À ses différents stades, la mise en </w:t>
            </w:r>
            <w:r w:rsidR="008C70B0" w:rsidRPr="00D10A45">
              <w:rPr>
                <w:szCs w:val="22"/>
                <w:lang w:val="fr-FR"/>
              </w:rPr>
              <w:t>œuvre</w:t>
            </w:r>
            <w:r w:rsidRPr="00D10A45">
              <w:rPr>
                <w:szCs w:val="22"/>
                <w:lang w:val="fr-FR"/>
              </w:rPr>
              <w:t xml:space="preserve"> pratique du projet a été menée en collaboration avec les parties prenantes ci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après</w:t>
            </w:r>
            <w:r w:rsidR="0090337E">
              <w:rPr>
                <w:szCs w:val="22"/>
                <w:lang w:val="fr-FR"/>
              </w:rPr>
              <w:t> :</w:t>
            </w:r>
          </w:p>
          <w:p w14:paraId="14B2A6D2" w14:textId="4588338E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063C5375" w14:textId="22184DC4" w:rsidR="00B10BCF" w:rsidRPr="00D10A45" w:rsidRDefault="00121D5C" w:rsidP="00D10A45">
            <w:pPr>
              <w:numPr>
                <w:ilvl w:val="0"/>
                <w:numId w:val="6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Coordonnateurs nationaux</w:t>
            </w:r>
            <w:r w:rsidR="0090337E">
              <w:rPr>
                <w:szCs w:val="22"/>
                <w:lang w:val="fr-FR"/>
              </w:rPr>
              <w:t> :</w:t>
            </w:r>
          </w:p>
          <w:p w14:paraId="535A6D3E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46D33DF8" w14:textId="5A2A8EF7" w:rsidR="00B10BCF" w:rsidRPr="00D10A45" w:rsidRDefault="004B2168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La coopération avec les coordonnateurs nationaux a permis de programmer et de coordonner efficacement l</w:t>
            </w:r>
            <w:r w:rsidR="0040724B" w:rsidRPr="00D10A45">
              <w:rPr>
                <w:szCs w:val="22"/>
                <w:lang w:val="fr-FR"/>
              </w:rPr>
              <w:t xml:space="preserve">es activités </w:t>
            </w:r>
            <w:r w:rsidR="00EB60EE" w:rsidRPr="00D10A45">
              <w:rPr>
                <w:szCs w:val="22"/>
                <w:lang w:val="fr-FR"/>
              </w:rPr>
              <w:t xml:space="preserve">du </w:t>
            </w:r>
            <w:r w:rsidR="0040724B" w:rsidRPr="00D10A45">
              <w:rPr>
                <w:szCs w:val="22"/>
                <w:lang w:val="fr-FR"/>
              </w:rPr>
              <w:t xml:space="preserve">projet </w:t>
            </w:r>
            <w:r w:rsidR="00F43DD0" w:rsidRPr="00D10A45">
              <w:rPr>
                <w:szCs w:val="22"/>
                <w:lang w:val="fr-FR"/>
              </w:rPr>
              <w:t>avec les pays participan</w:t>
            </w:r>
            <w:r w:rsidR="00CB0FF7" w:rsidRPr="00D10A45">
              <w:rPr>
                <w:szCs w:val="22"/>
                <w:lang w:val="fr-FR"/>
              </w:rPr>
              <w:t>ts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Ch</w:t>
            </w:r>
            <w:r w:rsidR="0040724B" w:rsidRPr="00D10A45">
              <w:rPr>
                <w:szCs w:val="22"/>
                <w:lang w:val="fr-FR"/>
              </w:rPr>
              <w:t>aque pays pilote a désigné un représenta</w:t>
            </w:r>
            <w:r w:rsidR="00CB0FF7" w:rsidRPr="00D10A45">
              <w:rPr>
                <w:szCs w:val="22"/>
                <w:lang w:val="fr-FR"/>
              </w:rPr>
              <w:t>nt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FD6F07" w:rsidRPr="00D10A45">
              <w:rPr>
                <w:szCs w:val="22"/>
                <w:lang w:val="fr-FR"/>
              </w:rPr>
              <w:t xml:space="preserve">s coordonnateurs ont </w:t>
            </w:r>
            <w:r w:rsidR="00EB60EE" w:rsidRPr="00D10A45">
              <w:rPr>
                <w:szCs w:val="22"/>
                <w:lang w:val="fr-FR"/>
              </w:rPr>
              <w:t xml:space="preserve">joué un rôle essentiel en </w:t>
            </w:r>
            <w:r w:rsidR="00592351" w:rsidRPr="00D10A45">
              <w:rPr>
                <w:szCs w:val="22"/>
                <w:lang w:val="fr-FR"/>
              </w:rPr>
              <w:t xml:space="preserve">assurant que les </w:t>
            </w:r>
            <w:r w:rsidR="00FD6F07" w:rsidRPr="00D10A45">
              <w:rPr>
                <w:szCs w:val="22"/>
                <w:lang w:val="fr-FR"/>
              </w:rPr>
              <w:t xml:space="preserve">activités </w:t>
            </w:r>
            <w:r w:rsidR="00592351" w:rsidRPr="00D10A45">
              <w:rPr>
                <w:szCs w:val="22"/>
                <w:lang w:val="fr-FR"/>
              </w:rPr>
              <w:t xml:space="preserve">prévues étaient adaptées </w:t>
            </w:r>
            <w:r w:rsidR="00FD6F07" w:rsidRPr="00D10A45">
              <w:rPr>
                <w:szCs w:val="22"/>
                <w:lang w:val="fr-FR"/>
              </w:rPr>
              <w:t xml:space="preserve">à </w:t>
            </w:r>
            <w:r w:rsidR="00EB60EE" w:rsidRPr="00D10A45">
              <w:rPr>
                <w:szCs w:val="22"/>
                <w:lang w:val="fr-FR"/>
              </w:rPr>
              <w:t>leur</w:t>
            </w:r>
            <w:r w:rsidR="00FD6F07" w:rsidRPr="00D10A45">
              <w:rPr>
                <w:szCs w:val="22"/>
                <w:lang w:val="fr-FR"/>
              </w:rPr>
              <w:t xml:space="preserve"> pays, </w:t>
            </w:r>
            <w:r w:rsidR="00592351" w:rsidRPr="00D10A45">
              <w:rPr>
                <w:szCs w:val="22"/>
                <w:lang w:val="fr-FR"/>
              </w:rPr>
              <w:t>en contribuant à l</w:t>
            </w:r>
            <w:r w:rsidR="0090337E">
              <w:rPr>
                <w:szCs w:val="22"/>
                <w:lang w:val="fr-FR"/>
              </w:rPr>
              <w:t>’</w:t>
            </w:r>
            <w:r w:rsidR="00592351" w:rsidRPr="00D10A45">
              <w:rPr>
                <w:szCs w:val="22"/>
                <w:lang w:val="fr-FR"/>
              </w:rPr>
              <w:t xml:space="preserve">organisation de </w:t>
            </w:r>
            <w:r w:rsidR="00D92F38" w:rsidRPr="00D10A45">
              <w:rPr>
                <w:szCs w:val="22"/>
                <w:lang w:val="fr-FR"/>
              </w:rPr>
              <w:t xml:space="preserve">ces activités et en sélectionnant </w:t>
            </w:r>
            <w:r w:rsidR="00FD6F07" w:rsidRPr="00D10A45">
              <w:rPr>
                <w:szCs w:val="22"/>
                <w:lang w:val="fr-FR"/>
              </w:rPr>
              <w:t>les participants loca</w:t>
            </w:r>
            <w:r w:rsidR="00CB0FF7" w:rsidRPr="00D10A45">
              <w:rPr>
                <w:szCs w:val="22"/>
                <w:lang w:val="fr-FR"/>
              </w:rPr>
              <w:t>ux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Af</w:t>
            </w:r>
            <w:r w:rsidR="00D92F38" w:rsidRPr="00D10A45">
              <w:rPr>
                <w:szCs w:val="22"/>
                <w:lang w:val="fr-FR"/>
              </w:rPr>
              <w:t>in</w:t>
            </w:r>
            <w:r w:rsidR="00FD6F07" w:rsidRPr="00D10A45">
              <w:rPr>
                <w:szCs w:val="22"/>
                <w:lang w:val="fr-FR"/>
              </w:rPr>
              <w:t xml:space="preserve"> de </w:t>
            </w:r>
            <w:r w:rsidR="00D92F38" w:rsidRPr="00D10A45">
              <w:rPr>
                <w:szCs w:val="22"/>
                <w:lang w:val="fr-FR"/>
              </w:rPr>
              <w:t>promouvoir</w:t>
            </w:r>
            <w:r w:rsidR="00FD6F07" w:rsidRPr="00D10A45">
              <w:rPr>
                <w:szCs w:val="22"/>
                <w:lang w:val="fr-FR"/>
              </w:rPr>
              <w:t xml:space="preserve"> la réalisation de l</w:t>
            </w:r>
            <w:r w:rsidR="0090337E">
              <w:rPr>
                <w:szCs w:val="22"/>
                <w:lang w:val="fr-FR"/>
              </w:rPr>
              <w:t>’</w:t>
            </w:r>
            <w:r w:rsidR="00FD6F07" w:rsidRPr="00D10A45">
              <w:rPr>
                <w:szCs w:val="22"/>
                <w:lang w:val="fr-FR"/>
              </w:rPr>
              <w:t xml:space="preserve">objectif de </w:t>
            </w:r>
            <w:r w:rsidR="006F1A27" w:rsidRPr="00D10A45">
              <w:rPr>
                <w:szCs w:val="22"/>
                <w:lang w:val="fr-FR"/>
              </w:rPr>
              <w:t>viabilité</w:t>
            </w:r>
            <w:r w:rsidR="00FD6F07" w:rsidRPr="00D10A45">
              <w:rPr>
                <w:szCs w:val="22"/>
                <w:lang w:val="fr-FR"/>
              </w:rPr>
              <w:t xml:space="preserve"> du projet, plusieurs réunions de coordination ont été organisées avec les coordonnateurs.</w:t>
            </w:r>
          </w:p>
          <w:p w14:paraId="7BE55C2A" w14:textId="1CA17906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0E9477FF" w14:textId="647E3C0C" w:rsidR="00B10BCF" w:rsidRPr="00D10A45" w:rsidRDefault="00495BA4" w:rsidP="00D10A45">
            <w:pPr>
              <w:numPr>
                <w:ilvl w:val="0"/>
                <w:numId w:val="6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Institutions </w:t>
            </w:r>
            <w:r w:rsidR="00FD6F07" w:rsidRPr="00D10A45">
              <w:rPr>
                <w:szCs w:val="22"/>
                <w:lang w:val="fr-FR"/>
              </w:rPr>
              <w:t>et autorités nationales</w:t>
            </w:r>
            <w:r w:rsidR="0090337E">
              <w:rPr>
                <w:szCs w:val="22"/>
                <w:lang w:val="fr-FR"/>
              </w:rPr>
              <w:t> :</w:t>
            </w:r>
          </w:p>
          <w:p w14:paraId="70CC2B54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1FFB6EA5" w14:textId="6D6014EB" w:rsidR="00B10BCF" w:rsidRPr="00D10A45" w:rsidRDefault="00B42F36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Il </w:t>
            </w:r>
            <w:r w:rsidR="00121D5C" w:rsidRPr="00D10A45">
              <w:rPr>
                <w:szCs w:val="22"/>
                <w:lang w:val="fr-FR"/>
              </w:rPr>
              <w:t>s</w:t>
            </w:r>
            <w:r w:rsidR="0090337E">
              <w:rPr>
                <w:szCs w:val="22"/>
                <w:lang w:val="fr-FR"/>
              </w:rPr>
              <w:t>’</w:t>
            </w:r>
            <w:r w:rsidR="00121D5C" w:rsidRPr="00D10A45">
              <w:rPr>
                <w:szCs w:val="22"/>
                <w:lang w:val="fr-FR"/>
              </w:rPr>
              <w:t xml:space="preserve">est principalement agi </w:t>
            </w:r>
            <w:r w:rsidRPr="00D10A45">
              <w:rPr>
                <w:szCs w:val="22"/>
                <w:lang w:val="fr-FR"/>
              </w:rPr>
              <w:t>des institutions nationales chargées de</w:t>
            </w:r>
            <w:r w:rsidR="00121D5C" w:rsidRPr="00D10A45">
              <w:rPr>
                <w:szCs w:val="22"/>
                <w:lang w:val="fr-FR"/>
              </w:rPr>
              <w:t>s</w:t>
            </w:r>
            <w:r w:rsidRPr="00D10A45">
              <w:rPr>
                <w:szCs w:val="22"/>
                <w:lang w:val="fr-FR"/>
              </w:rPr>
              <w:t xml:space="preserve"> politique</w:t>
            </w:r>
            <w:r w:rsidR="00121D5C" w:rsidRPr="00D10A45">
              <w:rPr>
                <w:szCs w:val="22"/>
                <w:lang w:val="fr-FR"/>
              </w:rPr>
              <w:t>s</w:t>
            </w:r>
            <w:r w:rsidRPr="00D10A45">
              <w:rPr>
                <w:szCs w:val="22"/>
                <w:lang w:val="fr-FR"/>
              </w:rPr>
              <w:t xml:space="preserve"> en matière de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auteur et de </w:t>
            </w:r>
            <w:r w:rsidR="00121D5C" w:rsidRPr="00D10A45">
              <w:rPr>
                <w:szCs w:val="22"/>
                <w:lang w:val="fr-FR"/>
              </w:rPr>
              <w:t>cinéma</w:t>
            </w:r>
            <w:r w:rsidR="00F36F35" w:rsidRPr="00D10A45">
              <w:rPr>
                <w:szCs w:val="22"/>
                <w:lang w:val="fr-FR"/>
              </w:rPr>
              <w:t xml:space="preserve">, </w:t>
            </w:r>
            <w:r w:rsidR="0090337E">
              <w:rPr>
                <w:szCs w:val="22"/>
                <w:lang w:val="fr-FR"/>
              </w:rPr>
              <w:t>à savoir :</w:t>
            </w:r>
          </w:p>
          <w:p w14:paraId="0BD07DDF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48C59E4A" w14:textId="5419281E" w:rsidR="00B10BCF" w:rsidRPr="00D10A45" w:rsidRDefault="00B42F36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Bureau burkinabé du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 (BBDA) (Burkina</w:t>
            </w:r>
            <w:r w:rsidR="00E83B4B">
              <w:rPr>
                <w:szCs w:val="22"/>
                <w:lang w:val="fr-FR"/>
              </w:rPr>
              <w:t> </w:t>
            </w:r>
            <w:r w:rsidRPr="00D10A45">
              <w:rPr>
                <w:szCs w:val="22"/>
                <w:lang w:val="fr-FR"/>
              </w:rPr>
              <w:t>Faso)</w:t>
            </w:r>
            <w:r w:rsidR="00495BA4" w:rsidRPr="00D10A45">
              <w:rPr>
                <w:szCs w:val="22"/>
                <w:lang w:val="fr-FR"/>
              </w:rPr>
              <w:t>;</w:t>
            </w:r>
          </w:p>
          <w:p w14:paraId="6C1E7F4E" w14:textId="1B1F4065" w:rsidR="00B10BCF" w:rsidRPr="00D10A45" w:rsidRDefault="00B42F36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lastRenderedPageBreak/>
              <w:t xml:space="preserve">Le Bureau </w:t>
            </w:r>
            <w:proofErr w:type="spellStart"/>
            <w:r w:rsidRPr="00D10A45">
              <w:rPr>
                <w:szCs w:val="22"/>
                <w:lang w:val="fr-FR"/>
              </w:rPr>
              <w:t>kényen</w:t>
            </w:r>
            <w:proofErr w:type="spellEnd"/>
            <w:r w:rsidRPr="00D10A45">
              <w:rPr>
                <w:szCs w:val="22"/>
                <w:lang w:val="fr-FR"/>
              </w:rPr>
              <w:t xml:space="preserve"> du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 (KECOBO) (Kenya)</w:t>
            </w:r>
            <w:r w:rsidR="00495BA4" w:rsidRPr="00D10A45">
              <w:rPr>
                <w:szCs w:val="22"/>
                <w:lang w:val="fr-FR"/>
              </w:rPr>
              <w:t>;</w:t>
            </w:r>
          </w:p>
          <w:p w14:paraId="4627A44B" w14:textId="382CAE36" w:rsidR="00B10BCF" w:rsidRPr="00D10A45" w:rsidRDefault="00B42F36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La Sénégalaise du </w:t>
            </w:r>
            <w:r w:rsidR="00A06A97" w:rsidRPr="00D10A45">
              <w:rPr>
                <w:szCs w:val="22"/>
                <w:lang w:val="fr-FR"/>
              </w:rPr>
              <w:t>d</w:t>
            </w:r>
            <w:r w:rsidR="00495BA4" w:rsidRPr="00D10A45">
              <w:rPr>
                <w:szCs w:val="22"/>
                <w:lang w:val="fr-FR"/>
              </w:rPr>
              <w:t>roit d</w:t>
            </w:r>
            <w:r w:rsidR="0090337E">
              <w:rPr>
                <w:szCs w:val="22"/>
                <w:lang w:val="fr-FR"/>
              </w:rPr>
              <w:t>’</w:t>
            </w:r>
            <w:r w:rsidR="00A06A97" w:rsidRPr="00D10A45">
              <w:rPr>
                <w:szCs w:val="22"/>
                <w:lang w:val="fr-FR"/>
              </w:rPr>
              <w:t>a</w:t>
            </w:r>
            <w:r w:rsidR="00495BA4" w:rsidRPr="00D10A45">
              <w:rPr>
                <w:szCs w:val="22"/>
                <w:lang w:val="fr-FR"/>
              </w:rPr>
              <w:t>uteur (SODAV) (Sénégal);</w:t>
            </w:r>
          </w:p>
          <w:p w14:paraId="3B8DDB3E" w14:textId="756C3D4F" w:rsidR="00B10BCF" w:rsidRPr="00D10A45" w:rsidRDefault="00B42F36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Les </w:t>
            </w:r>
            <w:r w:rsidR="00961DE2">
              <w:rPr>
                <w:szCs w:val="22"/>
                <w:lang w:val="fr-FR"/>
              </w:rPr>
              <w:t>m</w:t>
            </w:r>
            <w:r w:rsidRPr="00D10A45">
              <w:rPr>
                <w:szCs w:val="22"/>
                <w:lang w:val="fr-FR"/>
              </w:rPr>
              <w:t>inistères de la culture du Sénégal et de la Côte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Ivoire;</w:t>
            </w:r>
          </w:p>
          <w:p w14:paraId="1C741522" w14:textId="77777777" w:rsidR="00B10BCF" w:rsidRPr="00D10A45" w:rsidRDefault="00495BA4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Centre marocain du cinéma (CMC)</w:t>
            </w:r>
            <w:r w:rsidR="007C050B" w:rsidRPr="00D10A45">
              <w:rPr>
                <w:szCs w:val="22"/>
                <w:lang w:val="fr-FR"/>
              </w:rPr>
              <w:t xml:space="preserve"> </w:t>
            </w:r>
            <w:r w:rsidRPr="00D10A45">
              <w:rPr>
                <w:szCs w:val="22"/>
                <w:lang w:val="fr-FR"/>
              </w:rPr>
              <w:t>(Maroc);</w:t>
            </w:r>
          </w:p>
          <w:p w14:paraId="4D61B08C" w14:textId="77777777" w:rsidR="00B10BCF" w:rsidRPr="00D10A45" w:rsidRDefault="00BF1F85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La Commission cinématographique du Kenya</w:t>
            </w:r>
            <w:r w:rsidR="00495BA4" w:rsidRPr="00D10A45">
              <w:rPr>
                <w:szCs w:val="22"/>
                <w:lang w:val="fr-FR"/>
              </w:rPr>
              <w:t xml:space="preserve"> (KFC)</w:t>
            </w:r>
            <w:r w:rsidR="007C050B" w:rsidRPr="00D10A45">
              <w:rPr>
                <w:szCs w:val="22"/>
                <w:lang w:val="fr-FR"/>
              </w:rPr>
              <w:t xml:space="preserve"> </w:t>
            </w:r>
            <w:r w:rsidR="00495BA4" w:rsidRPr="00D10A45">
              <w:rPr>
                <w:szCs w:val="22"/>
                <w:lang w:val="fr-FR"/>
              </w:rPr>
              <w:t>(</w:t>
            </w:r>
            <w:r w:rsidR="007C050B" w:rsidRPr="00D10A45">
              <w:rPr>
                <w:szCs w:val="22"/>
                <w:lang w:val="fr-FR"/>
              </w:rPr>
              <w:t>Kenya</w:t>
            </w:r>
            <w:r w:rsidR="00495BA4" w:rsidRPr="00D10A45">
              <w:rPr>
                <w:szCs w:val="22"/>
                <w:lang w:val="fr-FR"/>
              </w:rPr>
              <w:t>);</w:t>
            </w:r>
          </w:p>
          <w:p w14:paraId="2A6AB146" w14:textId="77777777" w:rsidR="00B10BCF" w:rsidRPr="00D10A45" w:rsidRDefault="007C050B" w:rsidP="00D10A45">
            <w:pPr>
              <w:numPr>
                <w:ilvl w:val="0"/>
                <w:numId w:val="3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La Direction de la </w:t>
            </w:r>
            <w:r w:rsidR="00BF1F85" w:rsidRPr="00D10A45">
              <w:rPr>
                <w:szCs w:val="22"/>
                <w:lang w:val="fr-FR"/>
              </w:rPr>
              <w:t>c</w:t>
            </w:r>
            <w:r w:rsidRPr="00D10A45">
              <w:rPr>
                <w:szCs w:val="22"/>
                <w:lang w:val="fr-FR"/>
              </w:rPr>
              <w:t>iné</w:t>
            </w:r>
            <w:r w:rsidR="00BF1F85" w:rsidRPr="00D10A45">
              <w:rPr>
                <w:szCs w:val="22"/>
                <w:lang w:val="fr-FR"/>
              </w:rPr>
              <w:t>matographie (</w:t>
            </w:r>
            <w:r w:rsidRPr="00D10A45">
              <w:rPr>
                <w:szCs w:val="22"/>
                <w:lang w:val="fr-FR"/>
              </w:rPr>
              <w:t>Sénégal</w:t>
            </w:r>
            <w:r w:rsidR="00BF1F85" w:rsidRPr="00D10A45">
              <w:rPr>
                <w:szCs w:val="22"/>
                <w:lang w:val="fr-FR"/>
              </w:rPr>
              <w:t>)</w:t>
            </w:r>
            <w:r w:rsidRPr="00D10A45">
              <w:rPr>
                <w:szCs w:val="22"/>
                <w:lang w:val="fr-FR"/>
              </w:rPr>
              <w:t>.</w:t>
            </w:r>
          </w:p>
          <w:p w14:paraId="5A1F8D31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30B711BA" w14:textId="78430C59" w:rsidR="00B10BCF" w:rsidRPr="00D10A45" w:rsidRDefault="00A06A97" w:rsidP="00D10A45">
            <w:pPr>
              <w:numPr>
                <w:ilvl w:val="0"/>
                <w:numId w:val="6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Professionnels du cinéma</w:t>
            </w:r>
            <w:r w:rsidR="0090337E">
              <w:rPr>
                <w:szCs w:val="22"/>
                <w:lang w:val="fr-FR"/>
              </w:rPr>
              <w:t> :</w:t>
            </w:r>
          </w:p>
          <w:p w14:paraId="7A2FDA7E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0932A418" w14:textId="68E14369" w:rsidR="0090337E" w:rsidRDefault="004B68F1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projet visait à associer un large éventail de professionnels de la chaîne de valeur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audiovisuel, en particulier des réalisateurs, </w:t>
            </w:r>
            <w:r w:rsidR="00A933A2" w:rsidRPr="00D10A45">
              <w:rPr>
                <w:szCs w:val="22"/>
                <w:lang w:val="fr-FR"/>
              </w:rPr>
              <w:t xml:space="preserve">des </w:t>
            </w:r>
            <w:r w:rsidRPr="00D10A45">
              <w:rPr>
                <w:szCs w:val="22"/>
                <w:lang w:val="fr-FR"/>
              </w:rPr>
              <w:t xml:space="preserve">producteurs </w:t>
            </w:r>
            <w:r w:rsidR="006E75F8" w:rsidRPr="00D10A45">
              <w:rPr>
                <w:szCs w:val="22"/>
                <w:lang w:val="fr-FR"/>
              </w:rPr>
              <w:t>et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A933A2" w:rsidRPr="00D10A45">
              <w:rPr>
                <w:szCs w:val="22"/>
                <w:lang w:val="fr-FR"/>
              </w:rPr>
              <w:t xml:space="preserve">des </w:t>
            </w:r>
            <w:r w:rsidRPr="00D10A45">
              <w:rPr>
                <w:szCs w:val="22"/>
                <w:lang w:val="fr-FR"/>
              </w:rPr>
              <w:t>distributeurs de films, des artistes interprètes ou exécutants, des organis</w:t>
            </w:r>
            <w:r w:rsidR="006E75F8" w:rsidRPr="00D10A45">
              <w:rPr>
                <w:szCs w:val="22"/>
                <w:lang w:val="fr-FR"/>
              </w:rPr>
              <w:t>ations</w:t>
            </w:r>
            <w:r w:rsidRPr="00D10A45">
              <w:rPr>
                <w:szCs w:val="22"/>
                <w:lang w:val="fr-FR"/>
              </w:rPr>
              <w:t xml:space="preserve"> de gestion collective et des </w:t>
            </w:r>
            <w:r w:rsidR="00D22E27">
              <w:rPr>
                <w:szCs w:val="22"/>
                <w:lang w:val="fr-FR"/>
              </w:rPr>
              <w:t>plateformes</w:t>
            </w:r>
            <w:r w:rsidRPr="00D10A45">
              <w:rPr>
                <w:szCs w:val="22"/>
                <w:lang w:val="fr-FR"/>
              </w:rPr>
              <w:t xml:space="preserve"> en lig</w:t>
            </w:r>
            <w:r w:rsidR="00CB0FF7" w:rsidRPr="00D10A45">
              <w:rPr>
                <w:szCs w:val="22"/>
                <w:lang w:val="fr-FR"/>
              </w:rPr>
              <w:t>ne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1B4A8C" w:rsidRPr="00D10A45">
              <w:rPr>
                <w:szCs w:val="22"/>
                <w:lang w:val="fr-FR"/>
              </w:rPr>
              <w:t xml:space="preserve">s besoins des petites et moyennes entreprises (PME) ont également été pris en considération, </w:t>
            </w:r>
            <w:r w:rsidR="006E75F8" w:rsidRPr="00D10A45">
              <w:rPr>
                <w:szCs w:val="22"/>
                <w:lang w:val="fr-FR"/>
              </w:rPr>
              <w:t xml:space="preserve">car </w:t>
            </w:r>
            <w:r w:rsidR="00193D9D" w:rsidRPr="00D10A45">
              <w:rPr>
                <w:szCs w:val="22"/>
                <w:lang w:val="fr-FR"/>
              </w:rPr>
              <w:t xml:space="preserve">elles représentent </w:t>
            </w:r>
            <w:r w:rsidR="001B4A8C" w:rsidRPr="00D10A45">
              <w:rPr>
                <w:szCs w:val="22"/>
                <w:lang w:val="fr-FR"/>
              </w:rPr>
              <w:t xml:space="preserve">une grande partie du secteur </w:t>
            </w:r>
            <w:r w:rsidR="00E7581D" w:rsidRPr="00D10A45">
              <w:rPr>
                <w:szCs w:val="22"/>
                <w:lang w:val="fr-FR"/>
              </w:rPr>
              <w:t>de l</w:t>
            </w:r>
            <w:r w:rsidR="0090337E">
              <w:rPr>
                <w:szCs w:val="22"/>
                <w:lang w:val="fr-FR"/>
              </w:rPr>
              <w:t>’</w:t>
            </w:r>
            <w:r w:rsidR="001B4A8C" w:rsidRPr="00D10A45">
              <w:rPr>
                <w:szCs w:val="22"/>
                <w:lang w:val="fr-FR"/>
              </w:rPr>
              <w:t>audiovisuel des pays pilot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Da</w:t>
            </w:r>
            <w:r w:rsidR="001B4A8C" w:rsidRPr="00D10A45">
              <w:rPr>
                <w:szCs w:val="22"/>
                <w:lang w:val="fr-FR"/>
              </w:rPr>
              <w:t xml:space="preserve">ns quelques cas, le projet a également </w:t>
            </w:r>
            <w:r w:rsidR="000A297D" w:rsidRPr="00D10A45">
              <w:rPr>
                <w:szCs w:val="22"/>
                <w:lang w:val="fr-FR"/>
              </w:rPr>
              <w:t>fait intervenir</w:t>
            </w:r>
            <w:r w:rsidR="001B4A8C" w:rsidRPr="00D10A45">
              <w:rPr>
                <w:szCs w:val="22"/>
                <w:lang w:val="fr-FR"/>
              </w:rPr>
              <w:t xml:space="preserve"> </w:t>
            </w:r>
            <w:r w:rsidR="000A297D" w:rsidRPr="00D10A45">
              <w:rPr>
                <w:szCs w:val="22"/>
                <w:lang w:val="fr-FR"/>
              </w:rPr>
              <w:t xml:space="preserve">des </w:t>
            </w:r>
            <w:r w:rsidR="001B4A8C" w:rsidRPr="00D10A45">
              <w:rPr>
                <w:szCs w:val="22"/>
                <w:lang w:val="fr-FR"/>
              </w:rPr>
              <w:t>représentants d</w:t>
            </w:r>
            <w:r w:rsidR="0090337E">
              <w:rPr>
                <w:szCs w:val="22"/>
                <w:lang w:val="fr-FR"/>
              </w:rPr>
              <w:t>’</w:t>
            </w:r>
            <w:r w:rsidR="001B4A8C" w:rsidRPr="00D10A45">
              <w:rPr>
                <w:szCs w:val="22"/>
                <w:lang w:val="fr-FR"/>
              </w:rPr>
              <w:t>institutions financières et du secteur bancaire.</w:t>
            </w:r>
          </w:p>
          <w:p w14:paraId="6D46D347" w14:textId="37AD2A0A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7910225D" w14:textId="2E591C19" w:rsidR="00B10BCF" w:rsidRPr="00D10A45" w:rsidRDefault="00C1286E" w:rsidP="00D10A45">
            <w:pPr>
              <w:numPr>
                <w:ilvl w:val="0"/>
                <w:numId w:val="6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Autorités de </w:t>
            </w:r>
            <w:r w:rsidR="00D22E27">
              <w:rPr>
                <w:szCs w:val="22"/>
                <w:lang w:val="fr-FR"/>
              </w:rPr>
              <w:t>réglementation</w:t>
            </w:r>
            <w:r w:rsidR="0090337E">
              <w:rPr>
                <w:szCs w:val="22"/>
                <w:lang w:val="fr-FR"/>
              </w:rPr>
              <w:t> :</w:t>
            </w:r>
          </w:p>
          <w:p w14:paraId="7B03372D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5EC29B09" w14:textId="23DD4273" w:rsidR="00B10BCF" w:rsidRPr="00D10A45" w:rsidRDefault="00C1286E" w:rsidP="00D10A45">
            <w:pPr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D</w:t>
            </w:r>
            <w:r w:rsidR="00301DA1" w:rsidRPr="00D10A45">
              <w:rPr>
                <w:szCs w:val="22"/>
                <w:lang w:val="fr-FR"/>
              </w:rPr>
              <w:t>ans le cadre du projet, d</w:t>
            </w:r>
            <w:r w:rsidR="006C229A" w:rsidRPr="00D10A45">
              <w:rPr>
                <w:szCs w:val="22"/>
                <w:lang w:val="fr-FR"/>
              </w:rPr>
              <w:t>es activités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301DA1" w:rsidRPr="00D10A45">
              <w:rPr>
                <w:szCs w:val="22"/>
                <w:lang w:val="fr-FR"/>
              </w:rPr>
              <w:t xml:space="preserve">ont </w:t>
            </w:r>
            <w:r w:rsidR="006C229A" w:rsidRPr="00D10A45">
              <w:rPr>
                <w:szCs w:val="22"/>
                <w:lang w:val="fr-FR"/>
              </w:rPr>
              <w:t xml:space="preserve">également été menées </w:t>
            </w:r>
            <w:r w:rsidR="00911F1E" w:rsidRPr="00D10A45">
              <w:rPr>
                <w:szCs w:val="22"/>
                <w:lang w:val="fr-FR"/>
              </w:rPr>
              <w:t xml:space="preserve">auprès des </w:t>
            </w:r>
            <w:r w:rsidR="00037B0A" w:rsidRPr="00D10A45">
              <w:rPr>
                <w:szCs w:val="22"/>
                <w:lang w:val="fr-FR"/>
              </w:rPr>
              <w:t xml:space="preserve">autorités de </w:t>
            </w:r>
            <w:r w:rsidR="00D22E27">
              <w:rPr>
                <w:szCs w:val="22"/>
                <w:lang w:val="fr-FR"/>
              </w:rPr>
              <w:t>réglementation</w:t>
            </w:r>
            <w:r w:rsidR="00911F1E" w:rsidRPr="00D10A45">
              <w:rPr>
                <w:szCs w:val="22"/>
                <w:lang w:val="fr-FR"/>
              </w:rPr>
              <w:t xml:space="preserve"> des médias, </w:t>
            </w:r>
            <w:r w:rsidR="0090337E">
              <w:rPr>
                <w:szCs w:val="22"/>
                <w:lang w:val="fr-FR"/>
              </w:rPr>
              <w:t>à savoir :</w:t>
            </w:r>
          </w:p>
          <w:p w14:paraId="6AC29284" w14:textId="77777777" w:rsidR="00B10BCF" w:rsidRPr="00D10A45" w:rsidRDefault="00B10BCF" w:rsidP="00D10A45">
            <w:pPr>
              <w:rPr>
                <w:lang w:val="fr-FR"/>
              </w:rPr>
            </w:pPr>
          </w:p>
          <w:p w14:paraId="37BBF6EA" w14:textId="493D4132" w:rsidR="00B10BCF" w:rsidRPr="00D10A45" w:rsidRDefault="000A6842" w:rsidP="00D10A45">
            <w:pPr>
              <w:numPr>
                <w:ilvl w:val="0"/>
                <w:numId w:val="36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6C229A" w:rsidRPr="00D10A45">
              <w:rPr>
                <w:szCs w:val="22"/>
                <w:lang w:val="fr-FR"/>
              </w:rPr>
              <w:t>a</w:t>
            </w:r>
            <w:proofErr w:type="gramEnd"/>
            <w:r w:rsidR="006C229A" w:rsidRPr="00D10A45">
              <w:rPr>
                <w:szCs w:val="22"/>
                <w:lang w:val="fr-FR"/>
              </w:rPr>
              <w:t xml:space="preserve"> Haute autorité de la communication audiovisuelle (HACA) (Côte d</w:t>
            </w:r>
            <w:r w:rsidR="0090337E">
              <w:rPr>
                <w:szCs w:val="22"/>
                <w:lang w:val="fr-FR"/>
              </w:rPr>
              <w:t>’</w:t>
            </w:r>
            <w:r w:rsidR="006C229A" w:rsidRPr="00D10A45">
              <w:rPr>
                <w:szCs w:val="22"/>
                <w:lang w:val="fr-FR"/>
              </w:rPr>
              <w:t>Ivoire);</w:t>
            </w:r>
          </w:p>
          <w:p w14:paraId="2892095E" w14:textId="2FC6D6D7" w:rsidR="00B10BCF" w:rsidRPr="00D10A45" w:rsidRDefault="00037B0A" w:rsidP="00D10A45">
            <w:pPr>
              <w:numPr>
                <w:ilvl w:val="0"/>
                <w:numId w:val="36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Autorité</w:t>
            </w:r>
            <w:proofErr w:type="gramEnd"/>
            <w:r w:rsidRPr="00D10A45">
              <w:rPr>
                <w:szCs w:val="22"/>
                <w:lang w:val="fr-FR"/>
              </w:rPr>
              <w:t xml:space="preserve"> de</w:t>
            </w:r>
            <w:r w:rsidR="000A6842" w:rsidRPr="00D10A45">
              <w:rPr>
                <w:szCs w:val="22"/>
                <w:lang w:val="fr-FR"/>
              </w:rPr>
              <w:t xml:space="preserve"> la</w:t>
            </w:r>
            <w:r w:rsidRPr="00D10A45">
              <w:rPr>
                <w:szCs w:val="22"/>
                <w:lang w:val="fr-FR"/>
              </w:rPr>
              <w:t xml:space="preserve"> communication (Kenya);</w:t>
            </w:r>
          </w:p>
          <w:p w14:paraId="55D4DECE" w14:textId="77777777" w:rsidR="00B10BCF" w:rsidRPr="00D10A45" w:rsidRDefault="00E747A3" w:rsidP="00D10A45">
            <w:pPr>
              <w:numPr>
                <w:ilvl w:val="0"/>
                <w:numId w:val="36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037B0A" w:rsidRPr="00D10A45">
              <w:rPr>
                <w:szCs w:val="22"/>
                <w:lang w:val="fr-FR"/>
              </w:rPr>
              <w:t>a</w:t>
            </w:r>
            <w:proofErr w:type="gramEnd"/>
            <w:r w:rsidR="00037B0A" w:rsidRPr="00D10A45">
              <w:rPr>
                <w:szCs w:val="22"/>
                <w:lang w:val="fr-FR"/>
              </w:rPr>
              <w:t xml:space="preserve"> Haute autorité de </w:t>
            </w:r>
            <w:r w:rsidR="000F30A0" w:rsidRPr="00D10A45">
              <w:rPr>
                <w:szCs w:val="22"/>
                <w:lang w:val="fr-FR"/>
              </w:rPr>
              <w:t xml:space="preserve">la </w:t>
            </w:r>
            <w:r w:rsidR="00037B0A" w:rsidRPr="00D10A45">
              <w:rPr>
                <w:szCs w:val="22"/>
                <w:lang w:val="fr-FR"/>
              </w:rPr>
              <w:t>communication audiovisuelle (HACA) (Maroc);</w:t>
            </w:r>
          </w:p>
          <w:p w14:paraId="275ACDC3" w14:textId="1F612012" w:rsidR="00B10BCF" w:rsidRPr="00D10A45" w:rsidRDefault="00E747A3" w:rsidP="00D10A45">
            <w:pPr>
              <w:numPr>
                <w:ilvl w:val="0"/>
                <w:numId w:val="36"/>
              </w:numPr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037B0A" w:rsidRPr="00D10A45">
              <w:rPr>
                <w:szCs w:val="22"/>
                <w:lang w:val="fr-FR"/>
              </w:rPr>
              <w:t>e</w:t>
            </w:r>
            <w:proofErr w:type="gramEnd"/>
            <w:r w:rsidR="00037B0A" w:rsidRPr="00D10A45">
              <w:rPr>
                <w:szCs w:val="22"/>
                <w:lang w:val="fr-FR"/>
              </w:rPr>
              <w:t xml:space="preserve"> Conseil national de régulation de l</w:t>
            </w:r>
            <w:r w:rsidR="0090337E">
              <w:rPr>
                <w:szCs w:val="22"/>
                <w:lang w:val="fr-FR"/>
              </w:rPr>
              <w:t>’</w:t>
            </w:r>
            <w:r w:rsidR="00037B0A" w:rsidRPr="00D10A45">
              <w:rPr>
                <w:szCs w:val="22"/>
                <w:lang w:val="fr-FR"/>
              </w:rPr>
              <w:t>audiovisuel (CNRA) (Sénégal).</w:t>
            </w:r>
          </w:p>
          <w:p w14:paraId="61946876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5141854E" w14:textId="0C60C8CD" w:rsidR="0090337E" w:rsidRPr="00E83B4B" w:rsidRDefault="00862066" w:rsidP="00D10A45">
            <w:pPr>
              <w:rPr>
                <w:szCs w:val="22"/>
                <w:lang w:val="fr-FR"/>
              </w:rPr>
            </w:pPr>
            <w:r w:rsidRPr="00E83B4B">
              <w:rPr>
                <w:szCs w:val="22"/>
                <w:lang w:val="fr-FR"/>
              </w:rPr>
              <w:t xml:space="preserve">Elles </w:t>
            </w:r>
            <w:r w:rsidR="00684909" w:rsidRPr="00E83B4B">
              <w:rPr>
                <w:szCs w:val="22"/>
                <w:lang w:val="fr-FR"/>
              </w:rPr>
              <w:t xml:space="preserve">ont </w:t>
            </w:r>
            <w:r w:rsidRPr="00E83B4B">
              <w:rPr>
                <w:szCs w:val="22"/>
                <w:lang w:val="fr-FR"/>
              </w:rPr>
              <w:t xml:space="preserve">toutes </w:t>
            </w:r>
            <w:r w:rsidR="00684909" w:rsidRPr="00E83B4B">
              <w:rPr>
                <w:szCs w:val="22"/>
                <w:lang w:val="fr-FR"/>
              </w:rPr>
              <w:t>pris part au projet</w:t>
            </w:r>
            <w:r w:rsidR="00F8107B" w:rsidRPr="00E83B4B">
              <w:rPr>
                <w:szCs w:val="22"/>
                <w:lang w:val="fr-FR"/>
              </w:rPr>
              <w:t>,</w:t>
            </w:r>
            <w:r w:rsidR="00684909" w:rsidRPr="00E83B4B">
              <w:rPr>
                <w:szCs w:val="22"/>
                <w:lang w:val="fr-FR"/>
              </w:rPr>
              <w:t xml:space="preserve"> et</w:t>
            </w:r>
            <w:r w:rsidR="00F8107B" w:rsidRPr="00E83B4B">
              <w:rPr>
                <w:szCs w:val="22"/>
                <w:lang w:val="fr-FR"/>
              </w:rPr>
              <w:t xml:space="preserve"> ont</w:t>
            </w:r>
            <w:r w:rsidR="00684909" w:rsidRPr="00E83B4B">
              <w:rPr>
                <w:szCs w:val="22"/>
                <w:lang w:val="fr-FR"/>
              </w:rPr>
              <w:t xml:space="preserve"> participé à des activités spécifiques consacrées au rôle </w:t>
            </w:r>
            <w:r w:rsidR="009F4D6D" w:rsidRPr="00E83B4B">
              <w:rPr>
                <w:szCs w:val="22"/>
                <w:lang w:val="fr-FR"/>
              </w:rPr>
              <w:t>qu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9F4D6D" w:rsidRPr="00E83B4B">
              <w:rPr>
                <w:szCs w:val="22"/>
                <w:lang w:val="fr-FR"/>
              </w:rPr>
              <w:t>elles</w:t>
            </w:r>
            <w:r w:rsidR="00684909" w:rsidRPr="00E83B4B">
              <w:rPr>
                <w:szCs w:val="22"/>
                <w:lang w:val="fr-FR"/>
              </w:rPr>
              <w:t xml:space="preserve"> peuvent jouer dans les secteurs de l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684909" w:rsidRPr="00E83B4B">
              <w:rPr>
                <w:szCs w:val="22"/>
                <w:lang w:val="fr-FR"/>
              </w:rPr>
              <w:t>audiovisuel et de la radiodiffusi</w:t>
            </w:r>
            <w:r w:rsidR="00CB0FF7" w:rsidRPr="00E83B4B">
              <w:rPr>
                <w:szCs w:val="22"/>
                <w:lang w:val="fr-FR"/>
              </w:rPr>
              <w:t>on.  La</w:t>
            </w:r>
            <w:r w:rsidR="00FE7C44" w:rsidRPr="00E83B4B">
              <w:rPr>
                <w:szCs w:val="22"/>
                <w:lang w:val="fr-FR"/>
              </w:rPr>
              <w:t xml:space="preserve"> mise en place de ce</w:t>
            </w:r>
            <w:r w:rsidR="009F4D6D" w:rsidRPr="00E83B4B">
              <w:rPr>
                <w:szCs w:val="22"/>
                <w:lang w:val="fr-FR"/>
              </w:rPr>
              <w:t>s</w:t>
            </w:r>
            <w:r w:rsidR="00FE7C44" w:rsidRPr="00E83B4B">
              <w:rPr>
                <w:szCs w:val="22"/>
                <w:lang w:val="fr-FR"/>
              </w:rPr>
              <w:t xml:space="preserve"> partenariat</w:t>
            </w:r>
            <w:r w:rsidR="009F4D6D" w:rsidRPr="00E83B4B">
              <w:rPr>
                <w:szCs w:val="22"/>
                <w:lang w:val="fr-FR"/>
              </w:rPr>
              <w:t>s</w:t>
            </w:r>
            <w:r w:rsidR="00FE7C44" w:rsidRPr="00E83B4B">
              <w:rPr>
                <w:szCs w:val="22"/>
                <w:lang w:val="fr-FR"/>
              </w:rPr>
              <w:t xml:space="preserve"> innovant</w:t>
            </w:r>
            <w:r w:rsidR="009F4D6D" w:rsidRPr="00E83B4B">
              <w:rPr>
                <w:szCs w:val="22"/>
                <w:lang w:val="fr-FR"/>
              </w:rPr>
              <w:t>s</w:t>
            </w:r>
            <w:r w:rsidR="00FE7C44" w:rsidRPr="00E83B4B">
              <w:rPr>
                <w:szCs w:val="22"/>
                <w:lang w:val="fr-FR"/>
              </w:rPr>
              <w:t xml:space="preserve"> tient principalement à l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FE7C44" w:rsidRPr="00E83B4B">
              <w:rPr>
                <w:szCs w:val="22"/>
                <w:lang w:val="fr-FR"/>
              </w:rPr>
              <w:t xml:space="preserve">environnement </w:t>
            </w:r>
            <w:r w:rsidR="0075567C" w:rsidRPr="00E83B4B">
              <w:rPr>
                <w:szCs w:val="22"/>
                <w:lang w:val="fr-FR"/>
              </w:rPr>
              <w:t>numérique</w:t>
            </w:r>
            <w:r w:rsidR="00FE7C44" w:rsidRPr="00E83B4B">
              <w:rPr>
                <w:szCs w:val="22"/>
                <w:lang w:val="fr-FR"/>
              </w:rPr>
              <w:t xml:space="preserve"> actuel, qui </w:t>
            </w:r>
            <w:r w:rsidR="00C14245" w:rsidRPr="00E83B4B">
              <w:rPr>
                <w:szCs w:val="22"/>
                <w:lang w:val="fr-FR"/>
              </w:rPr>
              <w:t>voit exploser l</w:t>
            </w:r>
            <w:r w:rsidR="00FE7C44" w:rsidRPr="00E83B4B">
              <w:rPr>
                <w:szCs w:val="22"/>
                <w:lang w:val="fr-FR"/>
              </w:rPr>
              <w:t>es services de radiodiffusion en Afrique.</w:t>
            </w:r>
            <w:r w:rsidR="007C050B" w:rsidRPr="00E83B4B">
              <w:rPr>
                <w:szCs w:val="22"/>
                <w:lang w:val="fr-FR"/>
              </w:rPr>
              <w:t xml:space="preserve">  </w:t>
            </w:r>
            <w:r w:rsidR="001A796F" w:rsidRPr="00E83B4B">
              <w:rPr>
                <w:szCs w:val="22"/>
                <w:lang w:val="fr-FR"/>
              </w:rPr>
              <w:t>Les autorités</w:t>
            </w:r>
            <w:r w:rsidR="00F041D7" w:rsidRPr="00E83B4B">
              <w:rPr>
                <w:szCs w:val="22"/>
                <w:lang w:val="fr-FR"/>
              </w:rPr>
              <w:t xml:space="preserve"> de </w:t>
            </w:r>
            <w:r w:rsidR="00D22E27" w:rsidRPr="00E83B4B">
              <w:rPr>
                <w:szCs w:val="22"/>
                <w:lang w:val="fr-FR"/>
              </w:rPr>
              <w:t>réglementation</w:t>
            </w:r>
            <w:r w:rsidR="00F041D7" w:rsidRPr="00E83B4B">
              <w:rPr>
                <w:szCs w:val="22"/>
                <w:lang w:val="fr-FR"/>
              </w:rPr>
              <w:t xml:space="preserve"> des communications pourraient </w:t>
            </w:r>
            <w:r w:rsidR="001A796F" w:rsidRPr="00E83B4B">
              <w:rPr>
                <w:szCs w:val="22"/>
                <w:lang w:val="fr-FR"/>
              </w:rPr>
              <w:t>jouer un rôle décisif en veillant au respect de</w:t>
            </w:r>
            <w:r w:rsidR="00F041D7" w:rsidRPr="00E83B4B">
              <w:rPr>
                <w:szCs w:val="22"/>
                <w:lang w:val="fr-FR"/>
              </w:rPr>
              <w:t xml:space="preserve"> la </w:t>
            </w:r>
            <w:r w:rsidR="00D22E27" w:rsidRPr="00E83B4B">
              <w:rPr>
                <w:szCs w:val="22"/>
                <w:lang w:val="fr-FR"/>
              </w:rPr>
              <w:t>réglementation</w:t>
            </w:r>
            <w:r w:rsidR="00F041D7" w:rsidRPr="00E83B4B">
              <w:rPr>
                <w:szCs w:val="22"/>
                <w:lang w:val="fr-FR"/>
              </w:rPr>
              <w:t xml:space="preserve"> relative au secteur de l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F041D7" w:rsidRPr="00E83B4B">
              <w:rPr>
                <w:szCs w:val="22"/>
                <w:lang w:val="fr-FR"/>
              </w:rPr>
              <w:t>audiovisuel, notamment en ce qui concerne le droit d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F041D7" w:rsidRPr="00E83B4B">
              <w:rPr>
                <w:szCs w:val="22"/>
                <w:lang w:val="fr-FR"/>
              </w:rPr>
              <w:t>aute</w:t>
            </w:r>
            <w:r w:rsidR="00CB0FF7" w:rsidRPr="00E83B4B">
              <w:rPr>
                <w:szCs w:val="22"/>
                <w:lang w:val="fr-FR"/>
              </w:rPr>
              <w:t>ur.  Le</w:t>
            </w:r>
            <w:r w:rsidR="00D95E66" w:rsidRPr="00E83B4B">
              <w:rPr>
                <w:szCs w:val="22"/>
                <w:lang w:val="fr-FR"/>
              </w:rPr>
              <w:t xml:space="preserve"> projet leur a permis de</w:t>
            </w:r>
            <w:r w:rsidR="00253103" w:rsidRPr="00E83B4B">
              <w:rPr>
                <w:szCs w:val="22"/>
                <w:lang w:val="fr-FR"/>
              </w:rPr>
              <w:t xml:space="preserve"> </w:t>
            </w:r>
            <w:r w:rsidR="00D95E66" w:rsidRPr="00E83B4B">
              <w:rPr>
                <w:szCs w:val="22"/>
                <w:lang w:val="fr-FR"/>
              </w:rPr>
              <w:t>se familiariser</w:t>
            </w:r>
            <w:r w:rsidR="00253103" w:rsidRPr="00E83B4B">
              <w:rPr>
                <w:szCs w:val="22"/>
                <w:lang w:val="fr-FR"/>
              </w:rPr>
              <w:t xml:space="preserve"> </w:t>
            </w:r>
            <w:r w:rsidR="00D95E66" w:rsidRPr="00E83B4B">
              <w:rPr>
                <w:szCs w:val="22"/>
                <w:lang w:val="fr-FR"/>
              </w:rPr>
              <w:t>avec les</w:t>
            </w:r>
            <w:r w:rsidR="00253103" w:rsidRPr="00E83B4B">
              <w:rPr>
                <w:szCs w:val="22"/>
                <w:lang w:val="fr-FR"/>
              </w:rPr>
              <w:t xml:space="preserve"> questions de droit d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253103" w:rsidRPr="00E83B4B">
              <w:rPr>
                <w:szCs w:val="22"/>
                <w:lang w:val="fr-FR"/>
              </w:rPr>
              <w:t xml:space="preserve">auteur, </w:t>
            </w:r>
            <w:r w:rsidR="000A6659" w:rsidRPr="00E83B4B">
              <w:rPr>
                <w:szCs w:val="22"/>
                <w:lang w:val="fr-FR"/>
              </w:rPr>
              <w:t>et ainsi d</w:t>
            </w:r>
            <w:r w:rsidR="0090337E" w:rsidRPr="00E83B4B">
              <w:rPr>
                <w:szCs w:val="22"/>
                <w:lang w:val="fr-FR"/>
              </w:rPr>
              <w:t>’</w:t>
            </w:r>
            <w:r w:rsidR="000A6659" w:rsidRPr="00E83B4B">
              <w:rPr>
                <w:szCs w:val="22"/>
                <w:lang w:val="fr-FR"/>
              </w:rPr>
              <w:t xml:space="preserve">avoir une vision plus claire </w:t>
            </w:r>
            <w:r w:rsidR="00D95E66" w:rsidRPr="00E83B4B">
              <w:rPr>
                <w:szCs w:val="22"/>
                <w:lang w:val="fr-FR"/>
              </w:rPr>
              <w:t xml:space="preserve">de </w:t>
            </w:r>
            <w:r w:rsidR="00253103" w:rsidRPr="00E83B4B">
              <w:rPr>
                <w:szCs w:val="22"/>
                <w:lang w:val="fr-FR"/>
              </w:rPr>
              <w:t>leur rôle.</w:t>
            </w:r>
          </w:p>
          <w:p w14:paraId="0582A6B4" w14:textId="76CDD3C1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7CFA370F" w14:textId="67E91D84" w:rsidR="00B10BCF" w:rsidRPr="00D10A45" w:rsidRDefault="00CB7FAA" w:rsidP="00D10A45">
            <w:pPr>
              <w:numPr>
                <w:ilvl w:val="0"/>
                <w:numId w:val="6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Juges et avocats</w:t>
            </w:r>
            <w:r w:rsidR="0090337E">
              <w:rPr>
                <w:szCs w:val="22"/>
                <w:lang w:val="fr-FR"/>
              </w:rPr>
              <w:t> :</w:t>
            </w:r>
          </w:p>
          <w:p w14:paraId="261F43A5" w14:textId="77777777" w:rsidR="00B10BCF" w:rsidRPr="00D10A45" w:rsidRDefault="00B10BCF" w:rsidP="00D10A45">
            <w:pPr>
              <w:rPr>
                <w:szCs w:val="22"/>
                <w:lang w:val="fr-FR"/>
              </w:rPr>
            </w:pPr>
          </w:p>
          <w:p w14:paraId="7D13AAEA" w14:textId="02B4268E" w:rsidR="0090337E" w:rsidRDefault="00DA2CA0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Des formations ont été dispensées </w:t>
            </w:r>
            <w:r w:rsidR="00CB7FAA" w:rsidRPr="00D10A45">
              <w:rPr>
                <w:szCs w:val="22"/>
                <w:lang w:val="fr-FR"/>
              </w:rPr>
              <w:t>à des</w:t>
            </w:r>
            <w:r w:rsidRPr="00D10A45">
              <w:rPr>
                <w:szCs w:val="22"/>
                <w:lang w:val="fr-FR"/>
              </w:rPr>
              <w:t xml:space="preserve"> professionnels du droit </w:t>
            </w:r>
            <w:r w:rsidR="00CB7FAA" w:rsidRPr="00D10A45">
              <w:rPr>
                <w:szCs w:val="22"/>
                <w:lang w:val="fr-FR"/>
              </w:rPr>
              <w:t>afin</w:t>
            </w:r>
            <w:r w:rsidRPr="00D10A45">
              <w:rPr>
                <w:szCs w:val="22"/>
                <w:lang w:val="fr-FR"/>
              </w:rPr>
              <w:t xml:space="preserve"> qu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ils améliorent leurs compétences et leurs pratiques à la lumière des normes internationales, et qu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ils soient en mesure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aider les parties prenantes du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en ce qui concerne les nouveaux services</w:t>
            </w:r>
            <w:r w:rsidR="00CB7FAA" w:rsidRPr="00D10A45">
              <w:rPr>
                <w:szCs w:val="22"/>
                <w:lang w:val="fr-FR"/>
              </w:rPr>
              <w:t xml:space="preserve"> liés au droit </w:t>
            </w:r>
            <w:r w:rsidRPr="00D10A45">
              <w:rPr>
                <w:szCs w:val="22"/>
                <w:lang w:val="fr-FR"/>
              </w:rPr>
              <w:t>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</w:t>
            </w:r>
            <w:r w:rsidR="00CB0FF7" w:rsidRPr="00D10A45">
              <w:rPr>
                <w:szCs w:val="22"/>
                <w:lang w:val="fr-FR"/>
              </w:rPr>
              <w:t>el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</w:t>
            </w:r>
            <w:r w:rsidR="00CB0FF7">
              <w:rPr>
                <w:szCs w:val="22"/>
                <w:lang w:val="fr-FR"/>
              </w:rPr>
              <w:t>’</w:t>
            </w:r>
            <w:r w:rsidR="00CB0FF7" w:rsidRPr="00D10A45">
              <w:rPr>
                <w:szCs w:val="22"/>
                <w:lang w:val="fr-FR"/>
              </w:rPr>
              <w:t>a</w:t>
            </w:r>
            <w:r w:rsidR="00880F87" w:rsidRPr="00D10A45">
              <w:rPr>
                <w:szCs w:val="22"/>
                <w:lang w:val="fr-FR"/>
              </w:rPr>
              <w:t xml:space="preserve">ccroissement </w:t>
            </w:r>
            <w:r w:rsidRPr="00D10A45">
              <w:rPr>
                <w:szCs w:val="22"/>
                <w:lang w:val="fr-FR"/>
              </w:rPr>
              <w:t xml:space="preserve">du </w:t>
            </w:r>
            <w:r w:rsidRPr="00D10A45">
              <w:rPr>
                <w:szCs w:val="22"/>
                <w:lang w:val="fr-FR"/>
              </w:rPr>
              <w:lastRenderedPageBreak/>
              <w:t>nombre de transactions commerciales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audiovisuel se heurte </w:t>
            </w:r>
            <w:r w:rsidR="00880F87" w:rsidRPr="00D10A45">
              <w:rPr>
                <w:szCs w:val="22"/>
                <w:lang w:val="fr-FR"/>
              </w:rPr>
              <w:t xml:space="preserve">à un </w:t>
            </w:r>
            <w:r w:rsidRPr="00D10A45">
              <w:rPr>
                <w:szCs w:val="22"/>
                <w:lang w:val="fr-FR"/>
              </w:rPr>
              <w:t xml:space="preserve">manque de compétences du corps judiciaire </w:t>
            </w:r>
            <w:r w:rsidR="00880F87" w:rsidRPr="00D10A45">
              <w:rPr>
                <w:szCs w:val="22"/>
                <w:lang w:val="fr-FR"/>
              </w:rPr>
              <w:t>et</w:t>
            </w:r>
            <w:r w:rsidR="004F1952" w:rsidRPr="00D10A45">
              <w:rPr>
                <w:szCs w:val="22"/>
                <w:lang w:val="fr-FR"/>
              </w:rPr>
              <w:t xml:space="preserve"> à un nombre insuffisant</w:t>
            </w:r>
            <w:r w:rsidR="00880F87" w:rsidRPr="00D10A45">
              <w:rPr>
                <w:szCs w:val="22"/>
                <w:lang w:val="fr-FR"/>
              </w:rPr>
              <w:t xml:space="preserve"> </w:t>
            </w:r>
            <w:r w:rsidRPr="00D10A45">
              <w:rPr>
                <w:szCs w:val="22"/>
                <w:lang w:val="fr-FR"/>
              </w:rPr>
              <w:t>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avocats </w:t>
            </w:r>
            <w:r w:rsidR="00880F87" w:rsidRPr="00D10A45">
              <w:rPr>
                <w:szCs w:val="22"/>
                <w:lang w:val="fr-FR"/>
              </w:rPr>
              <w:t>spécialisés disposant d</w:t>
            </w:r>
            <w:r w:rsidR="0090337E">
              <w:rPr>
                <w:szCs w:val="22"/>
                <w:lang w:val="fr-FR"/>
              </w:rPr>
              <w:t>’</w:t>
            </w:r>
            <w:r w:rsidR="00880F87" w:rsidRPr="00D10A45">
              <w:rPr>
                <w:szCs w:val="22"/>
                <w:lang w:val="fr-FR"/>
              </w:rPr>
              <w:t xml:space="preserve">une expérience des aspects contractuels </w:t>
            </w:r>
            <w:r w:rsidR="00343AFA" w:rsidRPr="00D10A45">
              <w:rPr>
                <w:szCs w:val="22"/>
                <w:lang w:val="fr-FR"/>
              </w:rPr>
              <w:t>dans c</w:t>
            </w:r>
            <w:r w:rsidR="00880F87" w:rsidRPr="00D10A45">
              <w:rPr>
                <w:szCs w:val="22"/>
                <w:lang w:val="fr-FR"/>
              </w:rPr>
              <w:t>e secteur</w:t>
            </w:r>
            <w:r w:rsidRPr="00D10A45">
              <w:rPr>
                <w:szCs w:val="22"/>
                <w:lang w:val="fr-FR"/>
              </w:rPr>
              <w:t>.</w:t>
            </w:r>
          </w:p>
          <w:p w14:paraId="62E9B66E" w14:textId="77777777" w:rsidR="0090337E" w:rsidRDefault="0090337E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C45D8E7" w14:textId="255BD161" w:rsidR="0090337E" w:rsidRDefault="00460D1B" w:rsidP="00D10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Spécialistes et experts</w:t>
            </w:r>
            <w:r w:rsidR="0090337E">
              <w:rPr>
                <w:szCs w:val="22"/>
                <w:lang w:val="fr-FR"/>
              </w:rPr>
              <w:t> :</w:t>
            </w:r>
          </w:p>
          <w:p w14:paraId="181CF609" w14:textId="7690CE43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7E222808" w14:textId="3F40A69F" w:rsidR="0090337E" w:rsidRDefault="00722C37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exécution du projet s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est fondée sur une coopération avec des professionnels de premier plan </w:t>
            </w:r>
            <w:r w:rsidR="00343AFA" w:rsidRPr="00D10A45">
              <w:rPr>
                <w:szCs w:val="22"/>
                <w:lang w:val="fr-FR"/>
              </w:rPr>
              <w:t xml:space="preserve">spécialisés dans divers </w:t>
            </w:r>
            <w:r w:rsidR="00460D1B" w:rsidRPr="00D10A45">
              <w:rPr>
                <w:szCs w:val="22"/>
                <w:lang w:val="fr-FR"/>
              </w:rPr>
              <w:t>domain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La</w:t>
            </w:r>
            <w:r w:rsidR="00523C7B" w:rsidRPr="00D10A45">
              <w:rPr>
                <w:szCs w:val="22"/>
                <w:lang w:val="fr-FR"/>
              </w:rPr>
              <w:t xml:space="preserve"> mise en œuvre </w:t>
            </w:r>
            <w:r w:rsidR="00460D1B" w:rsidRPr="00D10A45">
              <w:rPr>
                <w:szCs w:val="22"/>
                <w:lang w:val="fr-FR"/>
              </w:rPr>
              <w:t>du projet</w:t>
            </w:r>
            <w:r w:rsidR="00523C7B" w:rsidRPr="00D10A45">
              <w:rPr>
                <w:szCs w:val="22"/>
                <w:lang w:val="fr-FR"/>
              </w:rPr>
              <w:t xml:space="preserve"> a fait intervenir environ 40 experts/instructeu</w:t>
            </w:r>
            <w:r w:rsidR="00CB0FF7" w:rsidRPr="00D10A45">
              <w:rPr>
                <w:szCs w:val="22"/>
                <w:lang w:val="fr-FR"/>
              </w:rPr>
              <w:t>rs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Il</w:t>
            </w:r>
            <w:r w:rsidR="00530A36" w:rsidRPr="00D10A45">
              <w:rPr>
                <w:szCs w:val="22"/>
                <w:lang w:val="fr-FR"/>
              </w:rPr>
              <w:t xml:space="preserve"> s</w:t>
            </w:r>
            <w:r w:rsidR="0090337E">
              <w:rPr>
                <w:szCs w:val="22"/>
                <w:lang w:val="fr-FR"/>
              </w:rPr>
              <w:t>’</w:t>
            </w:r>
            <w:r w:rsidR="00530A36" w:rsidRPr="00D10A45">
              <w:rPr>
                <w:szCs w:val="22"/>
                <w:lang w:val="fr-FR"/>
              </w:rPr>
              <w:t>agissait, pour la</w:t>
            </w:r>
            <w:r w:rsidR="00523C7B" w:rsidRPr="00D10A45">
              <w:rPr>
                <w:szCs w:val="22"/>
                <w:lang w:val="fr-FR"/>
              </w:rPr>
              <w:t xml:space="preserve"> plupart d</w:t>
            </w:r>
            <w:r w:rsidR="0090337E">
              <w:rPr>
                <w:szCs w:val="22"/>
                <w:lang w:val="fr-FR"/>
              </w:rPr>
              <w:t>’</w:t>
            </w:r>
            <w:r w:rsidR="00523C7B" w:rsidRPr="00D10A45">
              <w:rPr>
                <w:szCs w:val="22"/>
                <w:lang w:val="fr-FR"/>
              </w:rPr>
              <w:t>entre eux</w:t>
            </w:r>
            <w:r w:rsidR="00530A36" w:rsidRPr="00D10A45">
              <w:rPr>
                <w:szCs w:val="22"/>
                <w:lang w:val="fr-FR"/>
              </w:rPr>
              <w:t>,</w:t>
            </w:r>
            <w:r w:rsidR="00523C7B" w:rsidRPr="00D10A45">
              <w:rPr>
                <w:szCs w:val="22"/>
                <w:lang w:val="fr-FR"/>
              </w:rPr>
              <w:t xml:space="preserve"> </w:t>
            </w:r>
            <w:r w:rsidR="00530A36" w:rsidRPr="00D10A45">
              <w:rPr>
                <w:szCs w:val="22"/>
                <w:lang w:val="fr-FR"/>
              </w:rPr>
              <w:t xml:space="preserve">de </w:t>
            </w:r>
            <w:r w:rsidR="00523C7B" w:rsidRPr="00D10A45">
              <w:rPr>
                <w:szCs w:val="22"/>
                <w:lang w:val="fr-FR"/>
              </w:rPr>
              <w:t>spécialistes hautement qualifiés ayant une longue expérience du secteur</w:t>
            </w:r>
            <w:r w:rsidR="00460D1B" w:rsidRPr="00D10A45">
              <w:rPr>
                <w:szCs w:val="22"/>
                <w:lang w:val="fr-FR"/>
              </w:rPr>
              <w:t xml:space="preserve"> de l</w:t>
            </w:r>
            <w:r w:rsidR="0090337E">
              <w:rPr>
                <w:szCs w:val="22"/>
                <w:lang w:val="fr-FR"/>
              </w:rPr>
              <w:t>’</w:t>
            </w:r>
            <w:r w:rsidR="00460D1B" w:rsidRPr="00D10A45">
              <w:rPr>
                <w:szCs w:val="22"/>
                <w:lang w:val="fr-FR"/>
              </w:rPr>
              <w:t>audiovisuel africain ou</w:t>
            </w:r>
            <w:r w:rsidR="00343AFA" w:rsidRPr="00D10A45">
              <w:rPr>
                <w:szCs w:val="22"/>
                <w:lang w:val="fr-FR"/>
              </w:rPr>
              <w:t xml:space="preserve"> </w:t>
            </w:r>
            <w:proofErr w:type="gramStart"/>
            <w:r w:rsidR="00343AFA" w:rsidRPr="00D10A45">
              <w:rPr>
                <w:szCs w:val="22"/>
                <w:lang w:val="fr-FR"/>
              </w:rPr>
              <w:t>international;  ils</w:t>
            </w:r>
            <w:proofErr w:type="gramEnd"/>
            <w:r w:rsidR="00523C7B" w:rsidRPr="00D10A45">
              <w:rPr>
                <w:szCs w:val="22"/>
                <w:lang w:val="fr-FR"/>
              </w:rPr>
              <w:t xml:space="preserve"> ont </w:t>
            </w:r>
            <w:r w:rsidR="00D2511F" w:rsidRPr="00D10A45">
              <w:rPr>
                <w:szCs w:val="22"/>
                <w:lang w:val="fr-FR"/>
              </w:rPr>
              <w:t>été garants</w:t>
            </w:r>
            <w:r w:rsidR="00523C7B" w:rsidRPr="00D10A45">
              <w:rPr>
                <w:szCs w:val="22"/>
                <w:lang w:val="fr-FR"/>
              </w:rPr>
              <w:t xml:space="preserve"> </w:t>
            </w:r>
            <w:r w:rsidR="00D2511F" w:rsidRPr="00D10A45">
              <w:rPr>
                <w:szCs w:val="22"/>
                <w:lang w:val="fr-FR"/>
              </w:rPr>
              <w:t xml:space="preserve">de </w:t>
            </w:r>
            <w:r w:rsidR="00523C7B" w:rsidRPr="00D10A45">
              <w:rPr>
                <w:szCs w:val="22"/>
                <w:lang w:val="fr-FR"/>
              </w:rPr>
              <w:t>la qualité de la formation dispensée.</w:t>
            </w:r>
          </w:p>
          <w:p w14:paraId="34AF3840" w14:textId="0E9ED370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0CF0DD2" w14:textId="17E30082" w:rsidR="0090337E" w:rsidRDefault="00E17707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La priorité a été donnée aux compétences locales et aux services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experts nationaux chaque fois que cela était possib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Pr="00D10A45">
              <w:rPr>
                <w:szCs w:val="22"/>
                <w:lang w:val="fr-FR"/>
              </w:rPr>
              <w:t>s experts internationaux étaient originaires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Afrique (Algérie, Cameroun,</w:t>
            </w:r>
            <w:r w:rsidR="00E41063" w:rsidRPr="00D10A45">
              <w:rPr>
                <w:szCs w:val="22"/>
                <w:lang w:val="fr-FR"/>
              </w:rPr>
              <w:t xml:space="preserve"> Mozambique, Nigéria, Ouganda) ou</w:t>
            </w:r>
            <w:r w:rsidRPr="00D10A45">
              <w:rPr>
                <w:szCs w:val="22"/>
                <w:lang w:val="fr-FR"/>
              </w:rPr>
              <w:t xml:space="preserve">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autres régions du monde (Belgique, Canada, </w:t>
            </w:r>
            <w:r w:rsidR="002C207F" w:rsidRPr="00D10A45">
              <w:rPr>
                <w:szCs w:val="22"/>
                <w:lang w:val="fr-FR"/>
              </w:rPr>
              <w:t>États</w:t>
            </w:r>
            <w:r w:rsidR="0090337E">
              <w:rPr>
                <w:szCs w:val="22"/>
                <w:lang w:val="fr-FR"/>
              </w:rPr>
              <w:t>-</w:t>
            </w:r>
            <w:r w:rsidR="002C207F" w:rsidRPr="00D10A45">
              <w:rPr>
                <w:szCs w:val="22"/>
                <w:lang w:val="fr-FR"/>
              </w:rPr>
              <w:t>Unis d</w:t>
            </w:r>
            <w:r w:rsidR="0090337E">
              <w:rPr>
                <w:szCs w:val="22"/>
                <w:lang w:val="fr-FR"/>
              </w:rPr>
              <w:t>’</w:t>
            </w:r>
            <w:r w:rsidR="002C207F" w:rsidRPr="00D10A45">
              <w:rPr>
                <w:szCs w:val="22"/>
                <w:lang w:val="fr-FR"/>
              </w:rPr>
              <w:t xml:space="preserve">Amérique, </w:t>
            </w:r>
            <w:r w:rsidRPr="00D10A45">
              <w:rPr>
                <w:szCs w:val="22"/>
                <w:lang w:val="fr-FR"/>
              </w:rPr>
              <w:t>France, Italie, Luxembourg, Royaume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Uni, Suisse).</w:t>
            </w:r>
          </w:p>
          <w:p w14:paraId="0E97BFEA" w14:textId="7F66AB85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5DB8E2BB" w14:textId="2EDE9593" w:rsidR="0090337E" w:rsidRDefault="00E17707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La </w:t>
            </w:r>
            <w:r w:rsidR="00743EF6" w:rsidRPr="00D10A45">
              <w:rPr>
                <w:szCs w:val="22"/>
                <w:lang w:val="fr-FR"/>
              </w:rPr>
              <w:t>majorité</w:t>
            </w:r>
            <w:r w:rsidRPr="00D10A45">
              <w:rPr>
                <w:szCs w:val="22"/>
                <w:lang w:val="fr-FR"/>
              </w:rPr>
              <w:t xml:space="preserve">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entre eux </w:t>
            </w:r>
            <w:r w:rsidR="00743EF6" w:rsidRPr="00D10A45">
              <w:rPr>
                <w:szCs w:val="22"/>
                <w:lang w:val="fr-FR"/>
              </w:rPr>
              <w:t xml:space="preserve">a </w:t>
            </w:r>
            <w:r w:rsidRPr="00D10A45">
              <w:rPr>
                <w:szCs w:val="22"/>
                <w:lang w:val="fr-FR"/>
              </w:rPr>
              <w:t>contribué à la conception des programmes de formation, ainsi qu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évaluation des activités.</w:t>
            </w:r>
          </w:p>
          <w:p w14:paraId="7CB43543" w14:textId="4251F88C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5CC90EC2" w14:textId="10A8F17F" w:rsidR="00B10BCF" w:rsidRPr="00D10A45" w:rsidRDefault="00E17707" w:rsidP="00D10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Autres partenaires</w:t>
            </w:r>
            <w:r w:rsidR="0090337E">
              <w:t> :</w:t>
            </w:r>
          </w:p>
          <w:p w14:paraId="284809BC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14BE1EA6" w14:textId="477E5209" w:rsidR="00B10BCF" w:rsidRPr="00D10A45" w:rsidRDefault="00E17707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Certaines activités ont été organisées conjointement a</w:t>
            </w:r>
            <w:r w:rsidR="00A00446" w:rsidRPr="00D10A45">
              <w:rPr>
                <w:szCs w:val="22"/>
                <w:lang w:val="fr-FR"/>
              </w:rPr>
              <w:t>vec les organisations suivantes</w:t>
            </w:r>
            <w:r w:rsidR="0090337E">
              <w:rPr>
                <w:szCs w:val="22"/>
                <w:lang w:val="fr-FR"/>
              </w:rPr>
              <w:t> :</w:t>
            </w:r>
          </w:p>
          <w:p w14:paraId="5CAA9341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D5375BB" w14:textId="14DF40D8" w:rsidR="00B10BCF" w:rsidRPr="00D10A45" w:rsidRDefault="00E17707" w:rsidP="00D10A4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Organisation</w:t>
            </w:r>
            <w:proofErr w:type="gramEnd"/>
            <w:r w:rsidRPr="00D10A45">
              <w:rPr>
                <w:szCs w:val="22"/>
                <w:lang w:val="fr-FR"/>
              </w:rPr>
              <w:t xml:space="preserve"> internationale de la </w:t>
            </w:r>
            <w:r w:rsidR="00961DE2">
              <w:rPr>
                <w:szCs w:val="22"/>
                <w:lang w:val="fr-FR"/>
              </w:rPr>
              <w:t>F</w:t>
            </w:r>
            <w:r w:rsidRPr="00D10A45">
              <w:rPr>
                <w:szCs w:val="22"/>
                <w:lang w:val="fr-FR"/>
              </w:rPr>
              <w:t>rancophonie (OIF);</w:t>
            </w:r>
          </w:p>
          <w:p w14:paraId="091F3C71" w14:textId="46C35A76" w:rsidR="00B10BCF" w:rsidRPr="00D10A45" w:rsidRDefault="00E17707" w:rsidP="00D10A4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la</w:t>
            </w:r>
            <w:proofErr w:type="gramEnd"/>
            <w:r w:rsidRPr="00D10A45">
              <w:rPr>
                <w:szCs w:val="22"/>
                <w:lang w:val="fr-FR"/>
              </w:rPr>
              <w:t xml:space="preserve"> </w:t>
            </w:r>
            <w:r w:rsidR="00A00446" w:rsidRPr="00D10A45">
              <w:rPr>
                <w:szCs w:val="22"/>
                <w:lang w:val="fr-FR"/>
              </w:rPr>
              <w:t>Confédération i</w:t>
            </w:r>
            <w:r w:rsidRPr="00D10A45">
              <w:rPr>
                <w:szCs w:val="22"/>
                <w:lang w:val="fr-FR"/>
              </w:rPr>
              <w:t>nternationale des sociétés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auteurs et compositeurs (CISAC);</w:t>
            </w:r>
          </w:p>
          <w:p w14:paraId="57E58129" w14:textId="6D3D182C" w:rsidR="00B10BCF" w:rsidRPr="00D10A45" w:rsidRDefault="00E17707" w:rsidP="00D10A4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Union</w:t>
            </w:r>
            <w:proofErr w:type="gramEnd"/>
            <w:r w:rsidRPr="00D10A45">
              <w:rPr>
                <w:szCs w:val="22"/>
                <w:lang w:val="fr-FR"/>
              </w:rPr>
              <w:t xml:space="preserve"> africaine de radiodiffusion (UAR);</w:t>
            </w:r>
          </w:p>
          <w:p w14:paraId="79379EAB" w14:textId="1F640AC7" w:rsidR="00B10BCF" w:rsidRPr="00D10A45" w:rsidRDefault="00E17707" w:rsidP="00D10A4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Alliance</w:t>
            </w:r>
            <w:proofErr w:type="gramEnd"/>
            <w:r w:rsidRPr="00D10A45">
              <w:rPr>
                <w:szCs w:val="22"/>
                <w:lang w:val="fr-FR"/>
              </w:rPr>
              <w:t xml:space="preserve"> des producteurs de cinéma et de télévision (PACT);</w:t>
            </w:r>
          </w:p>
          <w:p w14:paraId="4F808EF0" w14:textId="78409D8F" w:rsidR="00B10BCF" w:rsidRPr="00D10A45" w:rsidRDefault="00E17707" w:rsidP="00D10A4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Association</w:t>
            </w:r>
            <w:proofErr w:type="gramEnd"/>
            <w:r w:rsidRPr="00D10A45">
              <w:rPr>
                <w:szCs w:val="22"/>
                <w:lang w:val="fr-FR"/>
              </w:rPr>
              <w:t xml:space="preserve"> européenne des organisations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artistes interprètes</w:t>
            </w:r>
            <w:r w:rsidR="002108EF" w:rsidRPr="00D10A45">
              <w:rPr>
                <w:szCs w:val="22"/>
                <w:lang w:val="fr-FR"/>
              </w:rPr>
              <w:t xml:space="preserve"> ou exécutants</w:t>
            </w:r>
            <w:r w:rsidRPr="00D10A45">
              <w:rPr>
                <w:szCs w:val="22"/>
                <w:lang w:val="fr-FR"/>
              </w:rPr>
              <w:t xml:space="preserve"> (AEPO).</w:t>
            </w:r>
          </w:p>
          <w:p w14:paraId="11F86528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40BE88F5" w14:textId="76989659" w:rsidR="0090337E" w:rsidRDefault="008D5041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La participation de représentants de la Communauté économique des États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Afrique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Ouest (CEDEAO) et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Union économique et monétaire ouest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africaine (UEMOA) à certaines activités (</w:t>
            </w:r>
            <w:r w:rsidR="00A00446" w:rsidRPr="00D10A45">
              <w:rPr>
                <w:szCs w:val="22"/>
                <w:lang w:val="fr-FR"/>
              </w:rPr>
              <w:t xml:space="preserve">au </w:t>
            </w:r>
            <w:r w:rsidRPr="00D10A45">
              <w:rPr>
                <w:szCs w:val="22"/>
                <w:lang w:val="fr-FR"/>
              </w:rPr>
              <w:t xml:space="preserve">Burkina Faso et </w:t>
            </w:r>
            <w:r w:rsidR="00A00446" w:rsidRPr="00D10A45">
              <w:rPr>
                <w:szCs w:val="22"/>
                <w:lang w:val="fr-FR"/>
              </w:rPr>
              <w:t xml:space="preserve">au </w:t>
            </w:r>
            <w:r w:rsidRPr="00D10A45">
              <w:rPr>
                <w:szCs w:val="22"/>
                <w:lang w:val="fr-FR"/>
              </w:rPr>
              <w:t>Sénégal) a permis de coordonner certaines activités liées au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des pays bénéficiaires.</w:t>
            </w:r>
          </w:p>
          <w:p w14:paraId="2CD5E1AC" w14:textId="076A5694" w:rsidR="00B10BCF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15880F0F" w14:textId="003C37D6" w:rsidR="00E83B4B" w:rsidRDefault="00E83B4B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136CD42" w14:textId="65EB280B" w:rsidR="00E83B4B" w:rsidRDefault="00E83B4B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096C267C" w14:textId="77777777" w:rsidR="00E83B4B" w:rsidRPr="00D10A45" w:rsidRDefault="00E83B4B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97B2DF9" w14:textId="4C2CBD29" w:rsidR="00B10BCF" w:rsidRPr="00D10A45" w:rsidRDefault="00564DE4" w:rsidP="00D10A45">
            <w:pPr>
              <w:autoSpaceDE w:val="0"/>
              <w:autoSpaceDN w:val="0"/>
              <w:adjustRightInd w:val="0"/>
              <w:spacing w:line="280" w:lineRule="exact"/>
              <w:rPr>
                <w:caps/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II.</w:t>
            </w:r>
            <w:r w:rsidRPr="00D10A45">
              <w:rPr>
                <w:szCs w:val="22"/>
                <w:lang w:val="fr-FR"/>
              </w:rPr>
              <w:tab/>
            </w:r>
            <w:r w:rsidRPr="00D10A45">
              <w:rPr>
                <w:caps/>
                <w:szCs w:val="22"/>
                <w:lang w:val="fr-FR"/>
              </w:rPr>
              <w:t>Mise en œuvre du projet</w:t>
            </w:r>
          </w:p>
          <w:p w14:paraId="759F8248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/>
                <w:iCs/>
                <w:szCs w:val="22"/>
                <w:lang w:val="fr-FR" w:bidi="th-TH"/>
              </w:rPr>
            </w:pPr>
          </w:p>
          <w:p w14:paraId="391DAD2D" w14:textId="2733824C" w:rsidR="0090337E" w:rsidRDefault="008D5041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D10A45">
              <w:rPr>
                <w:color w:val="auto"/>
                <w:sz w:val="22"/>
                <w:szCs w:val="22"/>
                <w:lang w:val="fr-FR"/>
              </w:rPr>
              <w:t>Le projet a pris du retard au début des activit</w:t>
            </w:r>
            <w:r w:rsidR="00CB0FF7" w:rsidRPr="00D10A45">
              <w:rPr>
                <w:color w:val="auto"/>
                <w:sz w:val="22"/>
                <w:szCs w:val="22"/>
                <w:lang w:val="fr-FR"/>
              </w:rPr>
              <w:t>és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D10A45">
              <w:rPr>
                <w:color w:val="auto"/>
                <w:sz w:val="22"/>
                <w:szCs w:val="22"/>
                <w:lang w:val="fr-FR"/>
              </w:rPr>
              <w:t>To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>us les pays ont pu</w:t>
            </w:r>
            <w:r w:rsidR="00EE4F0F" w:rsidRPr="00D10A45">
              <w:rPr>
                <w:color w:val="auto"/>
                <w:sz w:val="22"/>
                <w:szCs w:val="22"/>
                <w:lang w:val="fr-FR"/>
              </w:rPr>
              <w:t>, avant 2016,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403DCE" w:rsidRPr="00D10A45">
              <w:rPr>
                <w:color w:val="auto"/>
                <w:sz w:val="22"/>
                <w:szCs w:val="22"/>
                <w:lang w:val="fr-FR"/>
              </w:rPr>
              <w:t>désigner leur coordo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>n</w:t>
            </w:r>
            <w:r w:rsidR="00403DCE" w:rsidRPr="00D10A45">
              <w:rPr>
                <w:color w:val="auto"/>
                <w:sz w:val="22"/>
                <w:szCs w:val="22"/>
                <w:lang w:val="fr-FR"/>
              </w:rPr>
              <w:t>n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ateur national pour la mise en œuvre du projet </w:t>
            </w:r>
            <w:r w:rsidR="00D252C2" w:rsidRPr="00D10A45">
              <w:rPr>
                <w:color w:val="auto"/>
                <w:sz w:val="22"/>
                <w:szCs w:val="22"/>
                <w:lang w:val="fr-FR"/>
              </w:rPr>
              <w:t>ou confirmer sa désignation</w:t>
            </w:r>
            <w:r w:rsidR="009625F9" w:rsidRPr="00D10A45">
              <w:rPr>
                <w:color w:val="auto"/>
                <w:sz w:val="22"/>
                <w:szCs w:val="22"/>
                <w:lang w:val="fr-FR"/>
              </w:rPr>
              <w:t>,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 à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exception du Maroc, qui a fourni cette information en </w:t>
            </w:r>
            <w:r w:rsidR="0090337E" w:rsidRPr="00D10A45">
              <w:rPr>
                <w:color w:val="auto"/>
                <w:sz w:val="22"/>
                <w:szCs w:val="22"/>
                <w:lang w:val="fr-FR"/>
              </w:rPr>
              <w:t>juillet</w:t>
            </w:r>
            <w:r w:rsidR="0090337E">
              <w:rPr>
                <w:color w:val="auto"/>
                <w:sz w:val="22"/>
                <w:szCs w:val="22"/>
                <w:lang w:val="fr-FR"/>
              </w:rPr>
              <w:t> </w:t>
            </w:r>
            <w:r w:rsidR="0090337E" w:rsidRPr="00D10A45">
              <w:rPr>
                <w:color w:val="auto"/>
                <w:sz w:val="22"/>
                <w:szCs w:val="22"/>
                <w:lang w:val="fr-FR"/>
              </w:rPr>
              <w:t>20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>17 en raison de certaine</w:t>
            </w:r>
            <w:r w:rsidR="00525B97" w:rsidRPr="00D10A45">
              <w:rPr>
                <w:color w:val="auto"/>
                <w:sz w:val="22"/>
                <w:szCs w:val="22"/>
                <w:lang w:val="fr-FR"/>
              </w:rPr>
              <w:t>s évolutions de la conjoncture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 nationa</w:t>
            </w:r>
            <w:r w:rsidR="00CB0FF7" w:rsidRPr="00D10A45">
              <w:rPr>
                <w:color w:val="auto"/>
                <w:sz w:val="22"/>
                <w:szCs w:val="22"/>
                <w:lang w:val="fr-FR"/>
              </w:rPr>
              <w:t>le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D10A45">
              <w:rPr>
                <w:color w:val="auto"/>
                <w:sz w:val="22"/>
                <w:szCs w:val="22"/>
                <w:lang w:val="fr-FR"/>
              </w:rPr>
              <w:t>Da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ns certains pays, le coordonnateur a été remplacé pendant la mise en </w:t>
            </w:r>
            <w:r w:rsidR="009625F9" w:rsidRPr="00D10A45">
              <w:rPr>
                <w:color w:val="auto"/>
                <w:sz w:val="22"/>
                <w:szCs w:val="22"/>
                <w:lang w:val="fr-FR"/>
              </w:rPr>
              <w:t>œuvre</w:t>
            </w:r>
            <w:r w:rsidR="00261BAF" w:rsidRPr="00D10A45">
              <w:rPr>
                <w:color w:val="auto"/>
                <w:sz w:val="22"/>
                <w:szCs w:val="22"/>
                <w:lang w:val="fr-FR"/>
              </w:rPr>
              <w:t xml:space="preserve"> du projet.</w:t>
            </w:r>
          </w:p>
          <w:p w14:paraId="1C004128" w14:textId="3D6725B0" w:rsidR="00B10BCF" w:rsidRPr="00D10A45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63AA436E" w14:textId="16F66A3F" w:rsidR="00B10BCF" w:rsidRPr="00D10A45" w:rsidRDefault="00261BAF" w:rsidP="00D10A45">
            <w:pPr>
              <w:spacing w:line="280" w:lineRule="exact"/>
              <w:rPr>
                <w:bCs/>
                <w:iCs/>
                <w:szCs w:val="22"/>
                <w:lang w:val="fr-FR" w:bidi="th-TH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 xml:space="preserve">Le projet a été mis en </w:t>
            </w:r>
            <w:r w:rsidR="003F22B6" w:rsidRPr="00D10A45">
              <w:rPr>
                <w:bCs/>
                <w:iCs/>
                <w:szCs w:val="22"/>
                <w:lang w:val="fr-FR" w:bidi="th-TH"/>
              </w:rPr>
              <w:t>œuvre</w:t>
            </w:r>
            <w:r w:rsidRPr="00D10A45">
              <w:rPr>
                <w:bCs/>
                <w:iCs/>
                <w:szCs w:val="22"/>
                <w:lang w:val="fr-FR" w:bidi="th-TH"/>
              </w:rPr>
              <w:t xml:space="preserve"> conformément au calendrier qui avait été approu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vé</w:t>
            </w:r>
            <w:r w:rsidR="00CB0FF7">
              <w:rPr>
                <w:bCs/>
                <w:iCs/>
                <w:szCs w:val="22"/>
                <w:lang w:val="fr-FR" w:bidi="th-TH"/>
              </w:rPr>
              <w:t xml:space="preserve">.  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Le</w:t>
            </w:r>
            <w:r w:rsidR="007C31E8" w:rsidRPr="00D10A45">
              <w:rPr>
                <w:bCs/>
                <w:iCs/>
                <w:szCs w:val="22"/>
                <w:lang w:val="fr-FR" w:bidi="th-TH"/>
              </w:rPr>
              <w:t xml:space="preserve">s ressources ont </w:t>
            </w:r>
            <w:r w:rsidR="003F22B6" w:rsidRPr="00D10A45">
              <w:rPr>
                <w:bCs/>
                <w:iCs/>
                <w:szCs w:val="22"/>
                <w:lang w:val="fr-FR" w:bidi="th-TH"/>
              </w:rPr>
              <w:t xml:space="preserve">également </w:t>
            </w:r>
            <w:r w:rsidR="007C31E8" w:rsidRPr="00D10A45">
              <w:rPr>
                <w:bCs/>
                <w:iCs/>
                <w:szCs w:val="22"/>
                <w:lang w:val="fr-FR" w:bidi="th-TH"/>
              </w:rPr>
              <w:t xml:space="preserve">été utilisées conformément au budget approuvé et, lorsque cela était possible, les réunions devant se tenir dans un même pays </w:t>
            </w:r>
            <w:r w:rsidR="005374CE" w:rsidRPr="00D10A45">
              <w:rPr>
                <w:bCs/>
                <w:iCs/>
                <w:szCs w:val="22"/>
                <w:lang w:val="fr-FR" w:bidi="th-TH"/>
              </w:rPr>
              <w:t>ont été</w:t>
            </w:r>
            <w:r w:rsidR="007C31E8" w:rsidRPr="00D10A45">
              <w:rPr>
                <w:bCs/>
                <w:iCs/>
                <w:szCs w:val="22"/>
                <w:lang w:val="fr-FR" w:bidi="th-TH"/>
              </w:rPr>
              <w:t xml:space="preserve"> organisées de manière consécutive afin de réduire et d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7C31E8" w:rsidRPr="00D10A45">
              <w:rPr>
                <w:bCs/>
                <w:iCs/>
                <w:szCs w:val="22"/>
                <w:lang w:val="fr-FR" w:bidi="th-TH"/>
              </w:rPr>
              <w:t>optimiser les coûts.</w:t>
            </w:r>
          </w:p>
          <w:p w14:paraId="68990820" w14:textId="77777777" w:rsidR="0090337E" w:rsidRDefault="0090337E" w:rsidP="00D10A45">
            <w:pPr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26EBC82A" w14:textId="7B3072D8" w:rsidR="0090337E" w:rsidRDefault="002D0EA4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La plupart des activités ont été organisées suivant une logique transnationale et globale afin de toucher tous les pays bénéficiair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Un</w:t>
            </w:r>
            <w:r w:rsidRPr="00D10A45">
              <w:rPr>
                <w:szCs w:val="22"/>
                <w:lang w:val="fr-FR"/>
              </w:rPr>
              <w:t xml:space="preserve">e grande attention a </w:t>
            </w:r>
            <w:r w:rsidR="00531C08" w:rsidRPr="00D10A45">
              <w:rPr>
                <w:szCs w:val="22"/>
                <w:lang w:val="fr-FR"/>
              </w:rPr>
              <w:t>aussi</w:t>
            </w:r>
            <w:r w:rsidRPr="00D10A45">
              <w:rPr>
                <w:szCs w:val="22"/>
                <w:lang w:val="fr-FR"/>
              </w:rPr>
              <w:t xml:space="preserve"> été accordée à la parité des sex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La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EE4F0F" w:rsidRPr="00D10A45">
              <w:rPr>
                <w:szCs w:val="22"/>
                <w:lang w:val="fr-FR"/>
              </w:rPr>
              <w:t>majorité</w:t>
            </w:r>
            <w:r w:rsidRPr="00D10A45">
              <w:rPr>
                <w:szCs w:val="22"/>
                <w:lang w:val="fr-FR"/>
              </w:rPr>
              <w:t xml:space="preserve"> des activités </w:t>
            </w:r>
            <w:r w:rsidR="00EE4F0F" w:rsidRPr="00D10A45">
              <w:rPr>
                <w:szCs w:val="22"/>
                <w:lang w:val="fr-FR"/>
              </w:rPr>
              <w:t>a été menée</w:t>
            </w:r>
            <w:r w:rsidRPr="00D10A45">
              <w:rPr>
                <w:szCs w:val="22"/>
                <w:lang w:val="fr-FR"/>
              </w:rPr>
              <w:t xml:space="preserve"> en présence de représentants de chacun des autres pays pilotes, dans toute la mesure du possible, afin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élargir la portée des activités mises en </w:t>
            </w:r>
            <w:r w:rsidR="00531C08" w:rsidRPr="00D10A45">
              <w:rPr>
                <w:szCs w:val="22"/>
                <w:lang w:val="fr-FR"/>
              </w:rPr>
              <w:t>œuvre</w:t>
            </w:r>
            <w:r w:rsidRPr="00D10A45">
              <w:rPr>
                <w:szCs w:val="22"/>
                <w:lang w:val="fr-FR"/>
              </w:rPr>
              <w:t>.</w:t>
            </w:r>
          </w:p>
          <w:p w14:paraId="6127701F" w14:textId="51D9ADC2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009916DA" w14:textId="5D753A60" w:rsidR="00B10BCF" w:rsidRPr="00D10A45" w:rsidRDefault="002D0EA4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Les principaux résultats du projet son</w:t>
            </w:r>
            <w:r w:rsidR="00633844" w:rsidRPr="00D10A45">
              <w:rPr>
                <w:szCs w:val="22"/>
                <w:lang w:val="fr-FR"/>
              </w:rPr>
              <w:t>t présentés de façon détaillée</w:t>
            </w:r>
            <w:r w:rsidRPr="00D10A45">
              <w:rPr>
                <w:szCs w:val="22"/>
                <w:lang w:val="fr-FR"/>
              </w:rPr>
              <w:t xml:space="preserve"> ci</w:t>
            </w:r>
            <w:r w:rsidR="0090337E">
              <w:rPr>
                <w:szCs w:val="22"/>
                <w:lang w:val="fr-FR"/>
              </w:rPr>
              <w:t>-</w:t>
            </w:r>
            <w:r w:rsidR="005A5E5A" w:rsidRPr="00D10A45">
              <w:rPr>
                <w:szCs w:val="22"/>
                <w:lang w:val="fr-FR"/>
              </w:rPr>
              <w:t>dessous</w:t>
            </w:r>
            <w:r w:rsidR="001B4FAA" w:rsidRPr="00D10A45">
              <w:rPr>
                <w:szCs w:val="22"/>
                <w:lang w:val="fr-FR"/>
              </w:rPr>
              <w:t>.</w:t>
            </w:r>
          </w:p>
          <w:p w14:paraId="0C0E5C00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07609E69" w14:textId="77777777" w:rsidR="00B10BCF" w:rsidRPr="00D10A45" w:rsidRDefault="00A34488" w:rsidP="00D10A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RECHERCHE</w:t>
            </w:r>
          </w:p>
          <w:p w14:paraId="20A9D549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081FE52" w14:textId="764BD0CF" w:rsidR="0090337E" w:rsidRDefault="00C879D6" w:rsidP="00D10A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Un rapport de faisabilité sur la collecte de données économiques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a été comman</w:t>
            </w:r>
            <w:r w:rsidR="00CB0FF7" w:rsidRPr="00D10A45">
              <w:rPr>
                <w:szCs w:val="22"/>
                <w:lang w:val="fr-FR"/>
              </w:rPr>
              <w:t>dé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Pr="00D10A45">
              <w:rPr>
                <w:szCs w:val="22"/>
                <w:lang w:val="fr-FR"/>
              </w:rPr>
              <w:t xml:space="preserve"> rapport a fait ressortir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importance qu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il y a à connaître les marchés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pour assurer leur développement, et a mis en évidence les obstacles et difficultés qui se posent dans certains pays en ce qui concerne la collecte de ces donné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</w:t>
            </w:r>
            <w:r w:rsidR="00CB0FF7">
              <w:rPr>
                <w:szCs w:val="22"/>
                <w:lang w:val="fr-FR"/>
              </w:rPr>
              <w:t>’</w:t>
            </w:r>
            <w:r w:rsidR="00CB0FF7" w:rsidRPr="00D10A45">
              <w:rPr>
                <w:szCs w:val="22"/>
                <w:lang w:val="fr-FR"/>
              </w:rPr>
              <w:t>u</w:t>
            </w:r>
            <w:r w:rsidRPr="00D10A45">
              <w:rPr>
                <w:szCs w:val="22"/>
                <w:lang w:val="fr-FR"/>
              </w:rPr>
              <w:t>ne des principales conclusions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étude était qu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il était nécessaire de sensibiliser les parties prenantes du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importance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améliorer la collecte de données économiques, aussi bien pour développer les marchés que pour accroître les revenus pouvant être générés par la propriété intellectuelle.</w:t>
            </w:r>
          </w:p>
          <w:p w14:paraId="5F9836CB" w14:textId="3E6AC12F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1EBBE031" w14:textId="4B4F0AF5" w:rsidR="00B10BCF" w:rsidRPr="00D10A45" w:rsidRDefault="0080156B" w:rsidP="00D10A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Une brochure intitulée </w:t>
            </w:r>
            <w:r w:rsidR="0090337E">
              <w:rPr>
                <w:szCs w:val="22"/>
                <w:lang w:val="fr-FR"/>
              </w:rPr>
              <w:t>“</w:t>
            </w:r>
            <w:r w:rsidR="0090337E" w:rsidRPr="00D10A45">
              <w:rPr>
                <w:i/>
                <w:szCs w:val="22"/>
                <w:lang w:val="fr-FR"/>
              </w:rPr>
              <w:t>L</w:t>
            </w:r>
            <w:r w:rsidRPr="00D10A45">
              <w:rPr>
                <w:i/>
                <w:szCs w:val="22"/>
                <w:lang w:val="fr-FR"/>
              </w:rPr>
              <w:t>e droit d</w:t>
            </w:r>
            <w:r w:rsidR="0090337E">
              <w:rPr>
                <w:i/>
                <w:szCs w:val="22"/>
                <w:lang w:val="fr-FR"/>
              </w:rPr>
              <w:t>’</w:t>
            </w:r>
            <w:r w:rsidRPr="00D10A45">
              <w:rPr>
                <w:i/>
                <w:szCs w:val="22"/>
                <w:lang w:val="fr-FR"/>
              </w:rPr>
              <w:t>auteur dans le secteur de l</w:t>
            </w:r>
            <w:r w:rsidR="0090337E">
              <w:rPr>
                <w:i/>
                <w:szCs w:val="22"/>
                <w:lang w:val="fr-FR"/>
              </w:rPr>
              <w:t>’</w:t>
            </w:r>
            <w:r w:rsidRPr="00D10A45">
              <w:rPr>
                <w:i/>
                <w:szCs w:val="22"/>
                <w:lang w:val="fr-FR"/>
              </w:rPr>
              <w:t>audiovisuel du Kenya</w:t>
            </w:r>
            <w:r w:rsidR="0090337E">
              <w:rPr>
                <w:i/>
                <w:szCs w:val="22"/>
                <w:lang w:val="fr-FR"/>
              </w:rPr>
              <w:t> :</w:t>
            </w:r>
            <w:r w:rsidRPr="00D10A45">
              <w:rPr>
                <w:i/>
                <w:szCs w:val="22"/>
                <w:lang w:val="fr-FR"/>
              </w:rPr>
              <w:t xml:space="preserve"> guide pratique à l</w:t>
            </w:r>
            <w:r w:rsidR="0090337E">
              <w:rPr>
                <w:i/>
                <w:szCs w:val="22"/>
                <w:lang w:val="fr-FR"/>
              </w:rPr>
              <w:t>’</w:t>
            </w:r>
            <w:r w:rsidRPr="00D10A45">
              <w:rPr>
                <w:i/>
                <w:szCs w:val="22"/>
                <w:lang w:val="fr-FR"/>
              </w:rPr>
              <w:t>intention des cinéaste</w:t>
            </w:r>
            <w:r w:rsidR="0090337E" w:rsidRPr="00D10A45">
              <w:rPr>
                <w:i/>
                <w:szCs w:val="22"/>
                <w:lang w:val="fr-FR"/>
              </w:rPr>
              <w:t>s</w:t>
            </w:r>
            <w:r w:rsidR="0090337E">
              <w:rPr>
                <w:i/>
                <w:szCs w:val="22"/>
                <w:lang w:val="fr-FR"/>
              </w:rPr>
              <w:t>”</w:t>
            </w:r>
            <w:r w:rsidRPr="00D10A45">
              <w:rPr>
                <w:szCs w:val="22"/>
                <w:lang w:val="fr-FR"/>
              </w:rPr>
              <w:t xml:space="preserve"> a été élaborée et imprimée.</w:t>
            </w:r>
          </w:p>
          <w:p w14:paraId="63E0F210" w14:textId="51EF7B91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9B3F4DA" w14:textId="0C9646BC" w:rsidR="0090337E" w:rsidRDefault="0080156B" w:rsidP="00D10A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Un module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enseignement à distance relatif au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 a été mis au point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intention des professionnels </w:t>
            </w:r>
            <w:proofErr w:type="gramStart"/>
            <w:r w:rsidRPr="00D10A45">
              <w:rPr>
                <w:szCs w:val="22"/>
                <w:lang w:val="fr-FR"/>
              </w:rPr>
              <w:t>du cinéma africai</w:t>
            </w:r>
            <w:r w:rsidR="00CB0FF7" w:rsidRPr="00D10A45">
              <w:rPr>
                <w:szCs w:val="22"/>
                <w:lang w:val="fr-FR"/>
              </w:rPr>
              <w:t>ns</w:t>
            </w:r>
            <w:proofErr w:type="gramEnd"/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</w:t>
            </w:r>
            <w:r w:rsidR="00CB0FF7">
              <w:rPr>
                <w:szCs w:val="22"/>
                <w:lang w:val="fr-FR"/>
              </w:rPr>
              <w:t>’</w:t>
            </w:r>
            <w:r w:rsidR="00CB0FF7" w:rsidRPr="00D10A45">
              <w:rPr>
                <w:szCs w:val="22"/>
                <w:lang w:val="fr-FR"/>
              </w:rPr>
              <w:t>é</w:t>
            </w:r>
            <w:r w:rsidR="00A349F2" w:rsidRPr="00D10A45">
              <w:rPr>
                <w:szCs w:val="22"/>
                <w:lang w:val="fr-FR"/>
              </w:rPr>
              <w:t>laboration des contenus s</w:t>
            </w:r>
            <w:r w:rsidR="0090337E">
              <w:rPr>
                <w:szCs w:val="22"/>
                <w:lang w:val="fr-FR"/>
              </w:rPr>
              <w:t>’</w:t>
            </w:r>
            <w:r w:rsidR="00A349F2" w:rsidRPr="00D10A45">
              <w:rPr>
                <w:szCs w:val="22"/>
                <w:lang w:val="fr-FR"/>
              </w:rPr>
              <w:t>est achevée et le projet doit entrer</w:t>
            </w:r>
            <w:r w:rsidR="006052C3" w:rsidRPr="00D10A45">
              <w:rPr>
                <w:szCs w:val="22"/>
                <w:lang w:val="fr-FR"/>
              </w:rPr>
              <w:t xml:space="preserve"> dans la dernière phase de son exécution, qui consiste </w:t>
            </w:r>
            <w:r w:rsidR="00A349F2" w:rsidRPr="00D10A45">
              <w:rPr>
                <w:szCs w:val="22"/>
                <w:lang w:val="fr-FR"/>
              </w:rPr>
              <w:t>à l</w:t>
            </w:r>
            <w:r w:rsidR="0090337E">
              <w:rPr>
                <w:szCs w:val="22"/>
                <w:lang w:val="fr-FR"/>
              </w:rPr>
              <w:t>’</w:t>
            </w:r>
            <w:r w:rsidR="00A349F2" w:rsidRPr="00D10A45">
              <w:rPr>
                <w:szCs w:val="22"/>
                <w:lang w:val="fr-FR"/>
              </w:rPr>
              <w:t xml:space="preserve">expérimenter et à le mettre en </w:t>
            </w:r>
            <w:r w:rsidR="006052C3" w:rsidRPr="00D10A45">
              <w:rPr>
                <w:szCs w:val="22"/>
                <w:lang w:val="fr-FR"/>
              </w:rPr>
              <w:t>œuvre</w:t>
            </w:r>
            <w:r w:rsidR="00A349F2" w:rsidRPr="00D10A45">
              <w:rPr>
                <w:szCs w:val="22"/>
                <w:lang w:val="fr-FR"/>
              </w:rPr>
              <w:t xml:space="preserve"> en étroite coordination avec l</w:t>
            </w:r>
            <w:r w:rsidR="0090337E">
              <w:rPr>
                <w:szCs w:val="22"/>
                <w:lang w:val="fr-FR"/>
              </w:rPr>
              <w:t>’</w:t>
            </w:r>
            <w:r w:rsidR="00A349F2" w:rsidRPr="00D10A45">
              <w:rPr>
                <w:szCs w:val="22"/>
                <w:lang w:val="fr-FR"/>
              </w:rPr>
              <w:t>Académie de l</w:t>
            </w:r>
            <w:r w:rsidR="0090337E">
              <w:rPr>
                <w:szCs w:val="22"/>
                <w:lang w:val="fr-FR"/>
              </w:rPr>
              <w:t>’</w:t>
            </w:r>
            <w:r w:rsidR="00A349F2" w:rsidRPr="00D10A45">
              <w:rPr>
                <w:szCs w:val="22"/>
                <w:lang w:val="fr-FR"/>
              </w:rPr>
              <w:t>OMPI.</w:t>
            </w:r>
          </w:p>
          <w:p w14:paraId="10293CD2" w14:textId="360645E3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6CEDDB43" w14:textId="77777777" w:rsidR="00B10BCF" w:rsidRPr="00D10A45" w:rsidRDefault="00257A3B" w:rsidP="00D10A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caps/>
                <w:szCs w:val="22"/>
                <w:lang w:val="fr-FR" w:bidi="th-TH"/>
              </w:rPr>
              <w:t>RENFORCEMENT DES CAPACITÉS ET PERFECTIONNEMENT PROFESSIONNEL</w:t>
            </w:r>
          </w:p>
          <w:p w14:paraId="7C0190C6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caps/>
                <w:szCs w:val="22"/>
                <w:lang w:val="fr-FR" w:bidi="th-TH"/>
              </w:rPr>
            </w:pPr>
          </w:p>
          <w:p w14:paraId="40FE149F" w14:textId="3F5D1492" w:rsidR="00B10BCF" w:rsidRPr="00D10A45" w:rsidRDefault="00257A3B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Des séances d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Pr="00D10A45">
              <w:rPr>
                <w:bCs/>
                <w:iCs/>
                <w:szCs w:val="22"/>
                <w:lang w:val="fr-FR" w:bidi="th-TH"/>
              </w:rPr>
              <w:t>enseignement et de formation continus ont été organisées dans tous les pays pilot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es</w:t>
            </w:r>
            <w:r w:rsidR="00CB0FF7">
              <w:rPr>
                <w:bCs/>
                <w:iCs/>
                <w:szCs w:val="22"/>
                <w:lang w:val="fr-FR" w:bidi="th-TH"/>
              </w:rPr>
              <w:t xml:space="preserve">.  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Au</w:t>
            </w:r>
            <w:r w:rsidR="00F45937" w:rsidRPr="00D10A45">
              <w:rPr>
                <w:bCs/>
                <w:iCs/>
                <w:szCs w:val="22"/>
                <w:lang w:val="fr-FR" w:bidi="th-TH"/>
              </w:rPr>
              <w:t xml:space="preserve"> cours de ces séances, qui avaient une visée pratique (réalisation d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F45937" w:rsidRPr="00D10A45">
              <w:rPr>
                <w:bCs/>
                <w:iCs/>
                <w:szCs w:val="22"/>
                <w:lang w:val="fr-FR" w:bidi="th-TH"/>
              </w:rPr>
              <w:t>études de cas réels), des informations détaillées ont été fournies sur les sujets trait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és</w:t>
            </w:r>
            <w:r w:rsidR="00CB0FF7">
              <w:rPr>
                <w:bCs/>
                <w:iCs/>
                <w:szCs w:val="22"/>
                <w:lang w:val="fr-FR" w:bidi="th-TH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0C6630" w:rsidRPr="00D10A45">
              <w:rPr>
                <w:szCs w:val="22"/>
                <w:lang w:val="fr-FR"/>
              </w:rPr>
              <w:t xml:space="preserve"> projet a plus particulièrement été mené auprès de trois</w:t>
            </w:r>
            <w:r w:rsidR="006052C3" w:rsidRPr="00D10A45">
              <w:rPr>
                <w:szCs w:val="22"/>
                <w:lang w:val="fr-FR"/>
              </w:rPr>
              <w:t> catégories de parties prenantes</w:t>
            </w:r>
            <w:r w:rsidR="0090337E">
              <w:rPr>
                <w:szCs w:val="22"/>
                <w:lang w:val="fr-FR"/>
              </w:rPr>
              <w:t> :</w:t>
            </w:r>
          </w:p>
          <w:p w14:paraId="6E69DF3E" w14:textId="77777777" w:rsidR="00B10BCF" w:rsidRPr="00D10A45" w:rsidRDefault="00B10BCF" w:rsidP="00D10A45">
            <w:pPr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78E499A6" w14:textId="0EBC1E7B" w:rsidR="00B10BCF" w:rsidRPr="00D10A45" w:rsidRDefault="000C6630" w:rsidP="00D10A45">
            <w:pPr>
              <w:numPr>
                <w:ilvl w:val="0"/>
                <w:numId w:val="14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des</w:t>
            </w:r>
            <w:proofErr w:type="gramEnd"/>
            <w:r w:rsidRPr="00D10A45">
              <w:rPr>
                <w:szCs w:val="22"/>
                <w:lang w:val="fr-FR"/>
              </w:rPr>
              <w:t xml:space="preserve"> producteurs, des réalisateurs et des distributeurs de films et, dans certains cas, des artistes interprètes ou exécutants ou des </w:t>
            </w:r>
            <w:r w:rsidR="00D22E27">
              <w:rPr>
                <w:szCs w:val="22"/>
                <w:lang w:val="fr-FR"/>
              </w:rPr>
              <w:t>bureaux</w:t>
            </w:r>
            <w:r w:rsidRPr="00D10A45">
              <w:rPr>
                <w:szCs w:val="22"/>
                <w:lang w:val="fr-FR"/>
              </w:rPr>
              <w:t xml:space="preserve"> du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auteur;</w:t>
            </w:r>
          </w:p>
          <w:p w14:paraId="5D54A306" w14:textId="1FD4C0AE" w:rsidR="0090337E" w:rsidRDefault="000C6630" w:rsidP="00D10A45">
            <w:pPr>
              <w:numPr>
                <w:ilvl w:val="0"/>
                <w:numId w:val="14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des</w:t>
            </w:r>
            <w:proofErr w:type="gramEnd"/>
            <w:r w:rsidRPr="00D10A45">
              <w:rPr>
                <w:szCs w:val="22"/>
                <w:lang w:val="fr-FR"/>
              </w:rPr>
              <w:t xml:space="preserve"> organismes de radiodiffusion et de </w:t>
            </w:r>
            <w:r w:rsidR="00D22E27">
              <w:rPr>
                <w:szCs w:val="22"/>
                <w:lang w:val="fr-FR"/>
              </w:rPr>
              <w:t>réglementation</w:t>
            </w:r>
            <w:r w:rsidRPr="00D10A45">
              <w:rPr>
                <w:szCs w:val="22"/>
                <w:lang w:val="fr-FR"/>
              </w:rPr>
              <w:t>;</w:t>
            </w:r>
          </w:p>
          <w:p w14:paraId="72D54BD9" w14:textId="77C50B6F" w:rsidR="00B10BCF" w:rsidRPr="00D10A45" w:rsidRDefault="000C6630" w:rsidP="00D10A45">
            <w:pPr>
              <w:numPr>
                <w:ilvl w:val="0"/>
                <w:numId w:val="14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des</w:t>
            </w:r>
            <w:proofErr w:type="gramEnd"/>
            <w:r w:rsidRPr="00D10A45">
              <w:rPr>
                <w:szCs w:val="22"/>
                <w:lang w:val="fr-FR"/>
              </w:rPr>
              <w:t xml:space="preserve"> magistrats et des avocats.</w:t>
            </w:r>
          </w:p>
          <w:p w14:paraId="7BCBBB1D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5CC4308D" w14:textId="4B0E1D9D" w:rsidR="0090337E" w:rsidRDefault="006052C3" w:rsidP="00D10A45">
            <w:pPr>
              <w:numPr>
                <w:ilvl w:val="0"/>
                <w:numId w:val="4"/>
              </w:numPr>
              <w:ind w:left="1134" w:hanging="567"/>
              <w:rPr>
                <w:bCs/>
                <w:szCs w:val="22"/>
                <w:lang w:val="fr-FR"/>
              </w:rPr>
            </w:pPr>
            <w:r w:rsidRPr="00D10A45">
              <w:rPr>
                <w:bCs/>
                <w:szCs w:val="22"/>
                <w:lang w:val="fr-FR"/>
              </w:rPr>
              <w:t>En outre, le projet a</w:t>
            </w:r>
            <w:r w:rsidR="00FB65F7" w:rsidRPr="00D10A45">
              <w:rPr>
                <w:bCs/>
                <w:szCs w:val="22"/>
                <w:lang w:val="fr-FR"/>
              </w:rPr>
              <w:t xml:space="preserve"> permis aux participants de renforcer leurs compétences </w:t>
            </w:r>
            <w:r w:rsidRPr="00D10A45">
              <w:rPr>
                <w:bCs/>
                <w:szCs w:val="22"/>
                <w:lang w:val="fr-FR"/>
              </w:rPr>
              <w:t xml:space="preserve">en vue </w:t>
            </w:r>
            <w:r w:rsidR="00FB65F7" w:rsidRPr="00D10A45">
              <w:rPr>
                <w:bCs/>
                <w:szCs w:val="22"/>
                <w:lang w:val="fr-FR"/>
              </w:rPr>
              <w:t>d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="00FB65F7" w:rsidRPr="00D10A45">
              <w:rPr>
                <w:bCs/>
                <w:szCs w:val="22"/>
                <w:lang w:val="fr-FR"/>
              </w:rPr>
              <w:t xml:space="preserve">améliorer </w:t>
            </w:r>
            <w:r w:rsidRPr="00D10A45">
              <w:rPr>
                <w:bCs/>
                <w:szCs w:val="22"/>
                <w:lang w:val="fr-FR"/>
              </w:rPr>
              <w:t xml:space="preserve">ou de développer </w:t>
            </w:r>
            <w:r w:rsidR="00FB65F7" w:rsidRPr="00D10A45">
              <w:rPr>
                <w:bCs/>
                <w:szCs w:val="22"/>
                <w:lang w:val="fr-FR"/>
              </w:rPr>
              <w:t>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="00FB65F7" w:rsidRPr="00D10A45">
              <w:rPr>
                <w:bCs/>
                <w:szCs w:val="22"/>
                <w:lang w:val="fr-FR"/>
              </w:rPr>
              <w:t>exercice individuel des droits</w:t>
            </w:r>
            <w:r w:rsidR="00AE5B83" w:rsidRPr="00D10A45">
              <w:rPr>
                <w:bCs/>
                <w:szCs w:val="22"/>
                <w:lang w:val="fr-FR"/>
              </w:rPr>
              <w:t xml:space="preserve">, </w:t>
            </w:r>
            <w:r w:rsidR="00EE4F0F" w:rsidRPr="00D10A45">
              <w:rPr>
                <w:bCs/>
                <w:szCs w:val="22"/>
                <w:lang w:val="fr-FR"/>
              </w:rPr>
              <w:t xml:space="preserve">et </w:t>
            </w:r>
            <w:r w:rsidR="00FB65F7" w:rsidRPr="00D10A45">
              <w:rPr>
                <w:bCs/>
                <w:szCs w:val="22"/>
                <w:lang w:val="fr-FR"/>
              </w:rPr>
              <w:t>la gestion collective des droits audiovisuels</w:t>
            </w:r>
            <w:r w:rsidR="00AE5B83" w:rsidRPr="00D10A45">
              <w:rPr>
                <w:bCs/>
                <w:szCs w:val="22"/>
                <w:lang w:val="fr-FR"/>
              </w:rPr>
              <w:t xml:space="preserve"> lorsque le type d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="00AE5B83" w:rsidRPr="00D10A45">
              <w:rPr>
                <w:bCs/>
                <w:szCs w:val="22"/>
                <w:lang w:val="fr-FR"/>
              </w:rPr>
              <w:t>exploitation se prête davantage à une telle gesti</w:t>
            </w:r>
            <w:r w:rsidR="00CB0FF7" w:rsidRPr="00D10A45">
              <w:rPr>
                <w:bCs/>
                <w:szCs w:val="22"/>
                <w:lang w:val="fr-FR"/>
              </w:rPr>
              <w:t>on</w:t>
            </w:r>
            <w:r w:rsidR="00CB0FF7">
              <w:rPr>
                <w:bCs/>
                <w:szCs w:val="22"/>
                <w:lang w:val="fr-FR"/>
              </w:rPr>
              <w:t xml:space="preserve">.  </w:t>
            </w:r>
            <w:r w:rsidR="00CB0FF7" w:rsidRPr="00D10A45">
              <w:rPr>
                <w:bCs/>
                <w:szCs w:val="22"/>
                <w:lang w:val="fr-FR"/>
              </w:rPr>
              <w:t>La</w:t>
            </w:r>
            <w:r w:rsidR="00474301" w:rsidRPr="00D10A45">
              <w:rPr>
                <w:bCs/>
                <w:szCs w:val="22"/>
                <w:lang w:val="fr-FR"/>
              </w:rPr>
              <w:t xml:space="preserve"> </w:t>
            </w:r>
            <w:r w:rsidR="00D50E63" w:rsidRPr="00D10A45">
              <w:rPr>
                <w:bCs/>
                <w:szCs w:val="22"/>
                <w:lang w:val="fr-FR"/>
              </w:rPr>
              <w:t xml:space="preserve">gestion collective des droits </w:t>
            </w:r>
            <w:r w:rsidR="00474301" w:rsidRPr="00D10A45">
              <w:rPr>
                <w:bCs/>
                <w:szCs w:val="22"/>
                <w:lang w:val="fr-FR"/>
              </w:rPr>
              <w:t>audiovisuels est un domaine nouveau pour la plupart des pays pilot</w:t>
            </w:r>
            <w:r w:rsidR="00CB0FF7" w:rsidRPr="00D10A45">
              <w:rPr>
                <w:bCs/>
                <w:szCs w:val="22"/>
                <w:lang w:val="fr-FR"/>
              </w:rPr>
              <w:t>es</w:t>
            </w:r>
            <w:r w:rsidR="00CB0FF7">
              <w:rPr>
                <w:bCs/>
                <w:szCs w:val="22"/>
                <w:lang w:val="fr-FR"/>
              </w:rPr>
              <w:t xml:space="preserve">.  </w:t>
            </w:r>
            <w:r w:rsidR="00CB0FF7" w:rsidRPr="00D10A45">
              <w:rPr>
                <w:bCs/>
                <w:szCs w:val="22"/>
                <w:lang w:val="fr-FR"/>
              </w:rPr>
              <w:t>De</w:t>
            </w:r>
            <w:r w:rsidR="004532E3" w:rsidRPr="00D10A45">
              <w:rPr>
                <w:bCs/>
                <w:szCs w:val="22"/>
                <w:lang w:val="fr-FR"/>
              </w:rPr>
              <w:t>s enjeux tels que 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="004532E3" w:rsidRPr="00D10A45">
              <w:rPr>
                <w:bCs/>
                <w:szCs w:val="22"/>
                <w:lang w:val="fr-FR"/>
              </w:rPr>
              <w:t xml:space="preserve">aptitude à négocier avec les </w:t>
            </w:r>
            <w:r w:rsidR="00D22E27">
              <w:rPr>
                <w:bCs/>
                <w:szCs w:val="22"/>
                <w:lang w:val="fr-FR"/>
              </w:rPr>
              <w:t>plateformes</w:t>
            </w:r>
            <w:r w:rsidR="004532E3" w:rsidRPr="00D10A45">
              <w:rPr>
                <w:bCs/>
                <w:szCs w:val="22"/>
                <w:lang w:val="fr-FR"/>
              </w:rPr>
              <w:t xml:space="preserve"> numériques et les organismes de radiodiffusion, et la mise en </w:t>
            </w:r>
            <w:r w:rsidR="00176C83" w:rsidRPr="00D10A45">
              <w:rPr>
                <w:bCs/>
                <w:szCs w:val="22"/>
                <w:lang w:val="fr-FR"/>
              </w:rPr>
              <w:t>œuvre</w:t>
            </w:r>
            <w:r w:rsidR="004532E3" w:rsidRPr="00D10A45">
              <w:rPr>
                <w:bCs/>
                <w:szCs w:val="22"/>
                <w:lang w:val="fr-FR"/>
              </w:rPr>
              <w:t xml:space="preserve"> de programmes de copie privée, ont été abordés.</w:t>
            </w:r>
          </w:p>
          <w:p w14:paraId="6943AF84" w14:textId="12FF0735" w:rsidR="00B10BCF" w:rsidRPr="00D10A45" w:rsidRDefault="00B10BCF" w:rsidP="00D10A45">
            <w:pPr>
              <w:spacing w:line="280" w:lineRule="exact"/>
              <w:rPr>
                <w:bCs/>
                <w:szCs w:val="22"/>
                <w:lang w:val="fr-FR"/>
              </w:rPr>
            </w:pPr>
          </w:p>
          <w:p w14:paraId="03A6A280" w14:textId="77777777" w:rsidR="0090337E" w:rsidRDefault="007C050B" w:rsidP="00D10A4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caps/>
                <w:szCs w:val="22"/>
                <w:lang w:val="fr-FR" w:bidi="th-TH"/>
              </w:rPr>
              <w:t>BURKINA FASO</w:t>
            </w:r>
          </w:p>
          <w:p w14:paraId="3CC2EA47" w14:textId="6D87892E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caps/>
                <w:szCs w:val="22"/>
                <w:lang w:val="fr-FR" w:bidi="th-TH"/>
              </w:rPr>
            </w:pPr>
          </w:p>
          <w:p w14:paraId="1F4F6F50" w14:textId="56531196" w:rsidR="00B10BCF" w:rsidRPr="00D10A45" w:rsidRDefault="00D262E3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Les formations</w:t>
            </w:r>
            <w:r w:rsidR="00D84CCC" w:rsidRPr="00D10A45">
              <w:rPr>
                <w:bCs/>
                <w:iCs/>
                <w:szCs w:val="22"/>
                <w:lang w:val="fr-FR" w:bidi="th-TH"/>
              </w:rPr>
              <w:t xml:space="preserve"> suivantes ont été dispensées</w:t>
            </w:r>
            <w:r w:rsidR="0090337E">
              <w:rPr>
                <w:bCs/>
                <w:iCs/>
                <w:szCs w:val="22"/>
                <w:lang w:val="fr-FR" w:bidi="th-TH"/>
              </w:rPr>
              <w:t> :</w:t>
            </w:r>
          </w:p>
          <w:p w14:paraId="456E13CC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caps/>
                <w:szCs w:val="22"/>
                <w:lang w:val="fr-FR" w:bidi="th-TH"/>
              </w:rPr>
            </w:pPr>
          </w:p>
          <w:p w14:paraId="6177F87F" w14:textId="659B9AB1" w:rsidR="00B10BCF" w:rsidRPr="00D10A45" w:rsidRDefault="00176C83" w:rsidP="00D10A45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1134" w:hanging="567"/>
              <w:contextualSpacing w:val="0"/>
              <w:rPr>
                <w:lang w:val="fr-FR"/>
              </w:rPr>
            </w:pPr>
            <w:proofErr w:type="gramStart"/>
            <w:r w:rsidRPr="00D10A45">
              <w:rPr>
                <w:lang w:val="fr-FR"/>
              </w:rPr>
              <w:t>un</w:t>
            </w:r>
            <w:proofErr w:type="gramEnd"/>
            <w:r w:rsidRPr="00D10A45">
              <w:rPr>
                <w:lang w:val="fr-FR"/>
              </w:rPr>
              <w:t xml:space="preserve"> séminaire régional sur le droit d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>auteur et le financement du secteur de l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>audiovisuel, tenu dans le cadre du Festival panafricain du cinéma et d</w:t>
            </w:r>
            <w:r w:rsidR="00D262E3" w:rsidRPr="00D10A45">
              <w:rPr>
                <w:lang w:val="fr-FR"/>
              </w:rPr>
              <w:t>e la télévision de Ouagadougou</w:t>
            </w:r>
            <w:r w:rsidRPr="00D10A45">
              <w:rPr>
                <w:lang w:val="fr-FR"/>
              </w:rPr>
              <w:t xml:space="preserve"> (FESPACO), en février 2017;</w:t>
            </w:r>
          </w:p>
          <w:p w14:paraId="5728476F" w14:textId="25F86C23" w:rsidR="00B10BCF" w:rsidRPr="00D10A45" w:rsidRDefault="007A65AA" w:rsidP="00D10A45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1134" w:hanging="567"/>
              <w:contextualSpacing w:val="0"/>
              <w:rPr>
                <w:lang w:val="fr-FR"/>
              </w:rPr>
            </w:pPr>
            <w:proofErr w:type="gramStart"/>
            <w:r w:rsidRPr="00D10A45">
              <w:rPr>
                <w:lang w:val="fr-FR"/>
              </w:rPr>
              <w:t>une</w:t>
            </w:r>
            <w:proofErr w:type="gramEnd"/>
            <w:r w:rsidRPr="00D10A45">
              <w:rPr>
                <w:lang w:val="fr-FR"/>
              </w:rPr>
              <w:t xml:space="preserve"> formation </w:t>
            </w:r>
            <w:proofErr w:type="spellStart"/>
            <w:r w:rsidRPr="00D10A45">
              <w:rPr>
                <w:lang w:val="fr-FR"/>
              </w:rPr>
              <w:t>sous</w:t>
            </w:r>
            <w:r w:rsidR="0090337E">
              <w:rPr>
                <w:lang w:val="fr-FR"/>
              </w:rPr>
              <w:t>-</w:t>
            </w:r>
            <w:r w:rsidRPr="00D10A45">
              <w:rPr>
                <w:lang w:val="fr-FR"/>
              </w:rPr>
              <w:t>régional</w:t>
            </w:r>
            <w:r w:rsidR="00CC7811" w:rsidRPr="00D10A45">
              <w:rPr>
                <w:lang w:val="fr-FR"/>
              </w:rPr>
              <w:t>e</w:t>
            </w:r>
            <w:proofErr w:type="spellEnd"/>
            <w:r w:rsidRPr="00D10A45">
              <w:rPr>
                <w:lang w:val="fr-FR"/>
              </w:rPr>
              <w:t xml:space="preserve"> intitulée </w:t>
            </w:r>
            <w:r w:rsidR="0090337E">
              <w:rPr>
                <w:lang w:val="fr-FR"/>
              </w:rPr>
              <w:t>“</w:t>
            </w:r>
            <w:r w:rsidR="0090337E" w:rsidRPr="00D10A45">
              <w:rPr>
                <w:lang w:val="fr-FR"/>
              </w:rPr>
              <w:t>L</w:t>
            </w:r>
            <w:r w:rsidRPr="00D10A45">
              <w:rPr>
                <w:lang w:val="fr-FR"/>
              </w:rPr>
              <w:t>e droit d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>auteur et la structuration de l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>économie des séries audiovisuelles en Afriqu</w:t>
            </w:r>
            <w:r w:rsidR="0090337E" w:rsidRPr="00D10A45">
              <w:rPr>
                <w:lang w:val="fr-FR"/>
              </w:rPr>
              <w:t>e</w:t>
            </w:r>
            <w:r w:rsidR="0090337E">
              <w:rPr>
                <w:lang w:val="fr-FR"/>
              </w:rPr>
              <w:t>”</w:t>
            </w:r>
            <w:r w:rsidRPr="00D10A45">
              <w:rPr>
                <w:lang w:val="fr-FR"/>
              </w:rPr>
              <w:t>, tenue dans le cadre du salon des professionnels de l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 xml:space="preserve">audiovisuel </w:t>
            </w:r>
            <w:r w:rsidR="0090337E">
              <w:rPr>
                <w:lang w:val="fr-FR"/>
              </w:rPr>
              <w:t>“</w:t>
            </w:r>
            <w:r w:rsidR="0090337E" w:rsidRPr="00D10A45">
              <w:rPr>
                <w:lang w:val="fr-FR"/>
              </w:rPr>
              <w:t>S</w:t>
            </w:r>
            <w:r w:rsidRPr="00D10A45">
              <w:rPr>
                <w:lang w:val="fr-FR"/>
              </w:rPr>
              <w:t xml:space="preserve">érie </w:t>
            </w:r>
            <w:proofErr w:type="spellStart"/>
            <w:r w:rsidRPr="00D10A45">
              <w:rPr>
                <w:lang w:val="fr-FR"/>
              </w:rPr>
              <w:t>Serie</w:t>
            </w:r>
            <w:r w:rsidR="0090337E" w:rsidRPr="00D10A45">
              <w:rPr>
                <w:lang w:val="fr-FR"/>
              </w:rPr>
              <w:t>s</w:t>
            </w:r>
            <w:proofErr w:type="spellEnd"/>
            <w:r w:rsidR="0090337E">
              <w:rPr>
                <w:lang w:val="fr-FR"/>
              </w:rPr>
              <w:t>”</w:t>
            </w:r>
            <w:r w:rsidRPr="00D10A45">
              <w:rPr>
                <w:lang w:val="fr-FR"/>
              </w:rPr>
              <w:t>, en février 2018;</w:t>
            </w:r>
          </w:p>
          <w:p w14:paraId="79BA623C" w14:textId="49F9D1CF" w:rsidR="00B10BCF" w:rsidRPr="00D10A45" w:rsidRDefault="00D84CCC" w:rsidP="00D10A45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1134" w:hanging="567"/>
              <w:contextualSpacing w:val="0"/>
              <w:rPr>
                <w:lang w:val="fr-FR"/>
              </w:rPr>
            </w:pPr>
            <w:proofErr w:type="gramStart"/>
            <w:r w:rsidRPr="00D10A45">
              <w:rPr>
                <w:lang w:val="fr-FR"/>
              </w:rPr>
              <w:t>un</w:t>
            </w:r>
            <w:proofErr w:type="gramEnd"/>
            <w:r w:rsidRPr="00D10A45">
              <w:rPr>
                <w:lang w:val="fr-FR"/>
              </w:rPr>
              <w:t xml:space="preserve"> atelier de conseil </w:t>
            </w:r>
            <w:r w:rsidR="00991D46" w:rsidRPr="00D10A45">
              <w:rPr>
                <w:lang w:val="fr-FR"/>
              </w:rPr>
              <w:t>législatif</w:t>
            </w:r>
            <w:r w:rsidRPr="00D10A45">
              <w:rPr>
                <w:lang w:val="fr-FR"/>
              </w:rPr>
              <w:t xml:space="preserve"> sur le nouveau cadre du droit d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>auteur, le</w:t>
            </w:r>
            <w:r w:rsidR="00154B6F" w:rsidRPr="00D10A45">
              <w:rPr>
                <w:lang w:val="fr-FR"/>
              </w:rPr>
              <w:t xml:space="preserve"> 1</w:t>
            </w:r>
            <w:r w:rsidR="0090337E" w:rsidRPr="00D10A45">
              <w:rPr>
                <w:lang w:val="fr-FR"/>
              </w:rPr>
              <w:t>9</w:t>
            </w:r>
            <w:r w:rsidR="0090337E">
              <w:rPr>
                <w:lang w:val="fr-FR"/>
              </w:rPr>
              <w:t> </w:t>
            </w:r>
            <w:r w:rsidR="0090337E" w:rsidRPr="00D10A45">
              <w:rPr>
                <w:lang w:val="fr-FR"/>
              </w:rPr>
              <w:t>avril</w:t>
            </w:r>
            <w:r w:rsidR="0090337E">
              <w:rPr>
                <w:lang w:val="fr-FR"/>
              </w:rPr>
              <w:t> </w:t>
            </w:r>
            <w:r w:rsidR="0090337E" w:rsidRPr="00D10A45">
              <w:rPr>
                <w:lang w:val="fr-FR"/>
              </w:rPr>
              <w:t>20</w:t>
            </w:r>
            <w:r w:rsidR="00154B6F" w:rsidRPr="00D10A45">
              <w:rPr>
                <w:lang w:val="fr-FR"/>
              </w:rPr>
              <w:t>1</w:t>
            </w:r>
            <w:r w:rsidR="00B5024C">
              <w:rPr>
                <w:lang w:val="fr-FR"/>
              </w:rPr>
              <w:t>8</w:t>
            </w:r>
            <w:r w:rsidR="00154B6F" w:rsidRPr="00D10A45">
              <w:rPr>
                <w:lang w:val="fr-FR"/>
              </w:rPr>
              <w:t>.</w:t>
            </w:r>
          </w:p>
          <w:p w14:paraId="7E57A209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caps/>
                <w:szCs w:val="22"/>
                <w:lang w:val="fr-FR" w:bidi="th-TH"/>
              </w:rPr>
            </w:pPr>
          </w:p>
          <w:p w14:paraId="54B1322B" w14:textId="23AA66C3" w:rsidR="00B10BCF" w:rsidRPr="00D10A45" w:rsidRDefault="00D84CCC" w:rsidP="00D10A4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caps/>
                <w:szCs w:val="22"/>
                <w:lang w:val="fr-FR" w:bidi="th-TH"/>
              </w:rPr>
              <w:t>CÔTE D</w:t>
            </w:r>
            <w:r w:rsidR="0090337E">
              <w:rPr>
                <w:bCs/>
                <w:iCs/>
                <w:caps/>
                <w:szCs w:val="22"/>
                <w:lang w:val="fr-FR" w:bidi="th-TH"/>
              </w:rPr>
              <w:t>’</w:t>
            </w:r>
            <w:r w:rsidRPr="00D10A45">
              <w:rPr>
                <w:bCs/>
                <w:iCs/>
                <w:caps/>
                <w:szCs w:val="22"/>
                <w:lang w:val="fr-FR" w:bidi="th-TH"/>
              </w:rPr>
              <w:t>IVOIRE</w:t>
            </w:r>
          </w:p>
          <w:p w14:paraId="2CDE7889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6AFA5256" w14:textId="0381F9A3" w:rsidR="00B10BCF" w:rsidRPr="00D10A45" w:rsidRDefault="00154B6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Les formations</w:t>
            </w:r>
            <w:r w:rsidR="002752E5" w:rsidRPr="00D10A45">
              <w:rPr>
                <w:bCs/>
                <w:iCs/>
                <w:szCs w:val="22"/>
                <w:lang w:val="fr-FR" w:bidi="th-TH"/>
              </w:rPr>
              <w:t xml:space="preserve"> suivantes ont été dispens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é</w:t>
            </w:r>
            <w:r w:rsidRPr="00D10A45">
              <w:rPr>
                <w:bCs/>
                <w:iCs/>
                <w:szCs w:val="22"/>
                <w:lang w:val="fr-FR" w:bidi="th-TH"/>
              </w:rPr>
              <w:t>es</w:t>
            </w:r>
            <w:r w:rsidR="0090337E">
              <w:rPr>
                <w:bCs/>
                <w:iCs/>
                <w:szCs w:val="22"/>
                <w:lang w:val="fr-FR" w:bidi="th-TH"/>
              </w:rPr>
              <w:t> :</w:t>
            </w:r>
          </w:p>
          <w:p w14:paraId="20358BBB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0B51A275" w14:textId="4C3E9155" w:rsidR="00B10BCF" w:rsidRPr="00D10A45" w:rsidRDefault="00154B6F" w:rsidP="00D10A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szCs w:val="22"/>
                <w:lang w:val="fr-FR" w:bidi="th-TH"/>
              </w:rPr>
            </w:pPr>
            <w:proofErr w:type="gramStart"/>
            <w:r w:rsidRPr="00D10A45">
              <w:rPr>
                <w:bCs/>
                <w:iCs/>
                <w:szCs w:val="22"/>
                <w:lang w:val="fr-FR" w:bidi="th-TH"/>
              </w:rPr>
              <w:t>u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ne</w:t>
            </w:r>
            <w:proofErr w:type="gramEnd"/>
            <w:r w:rsidR="00966BEE" w:rsidRPr="00D10A45">
              <w:rPr>
                <w:bCs/>
                <w:iCs/>
                <w:szCs w:val="22"/>
                <w:lang w:val="fr-FR" w:bidi="th-TH"/>
              </w:rPr>
              <w:t xml:space="preserve"> conférence internationale intitulée </w:t>
            </w:r>
            <w:r w:rsidR="0090337E">
              <w:rPr>
                <w:bCs/>
                <w:iCs/>
                <w:szCs w:val="22"/>
                <w:lang w:val="fr-FR" w:bidi="th-TH"/>
              </w:rPr>
              <w:t>“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>L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a régulation de l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audiovisuel à l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 xml:space="preserve">ère du </w:t>
            </w:r>
            <w:r w:rsidR="000F30A0" w:rsidRPr="00D10A45">
              <w:rPr>
                <w:bCs/>
                <w:iCs/>
                <w:szCs w:val="22"/>
                <w:lang w:val="fr-FR" w:bidi="th-TH"/>
              </w:rPr>
              <w:t>n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umériqu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>e</w:t>
            </w:r>
            <w:r w:rsidR="0090337E">
              <w:rPr>
                <w:bCs/>
                <w:iCs/>
                <w:szCs w:val="22"/>
                <w:lang w:val="fr-FR" w:bidi="th-TH"/>
              </w:rPr>
              <w:t>”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, organisée avec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 xml:space="preserve"> la</w:t>
            </w:r>
            <w:r w:rsidR="0090337E">
              <w:rPr>
                <w:bCs/>
                <w:iCs/>
                <w:szCs w:val="22"/>
                <w:lang w:val="fr-FR" w:bidi="th-TH"/>
              </w:rPr>
              <w:t> 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>HAC</w:t>
            </w:r>
            <w:r w:rsidR="00FC1422" w:rsidRPr="00D10A45">
              <w:rPr>
                <w:bCs/>
                <w:iCs/>
                <w:szCs w:val="22"/>
                <w:lang w:val="fr-FR" w:bidi="th-TH"/>
              </w:rPr>
              <w:t>A</w:t>
            </w:r>
            <w:r w:rsidR="000F30A0" w:rsidRPr="00D10A45">
              <w:rPr>
                <w:bCs/>
                <w:iCs/>
                <w:szCs w:val="22"/>
                <w:lang w:val="fr-FR" w:bidi="th-TH"/>
              </w:rPr>
              <w:t xml:space="preserve"> en mai </w:t>
            </w:r>
            <w:r w:rsidR="00966BEE" w:rsidRPr="00D10A45">
              <w:rPr>
                <w:bCs/>
                <w:iCs/>
                <w:szCs w:val="22"/>
                <w:lang w:val="fr-FR" w:bidi="th-TH"/>
              </w:rPr>
              <w:t>2017;</w:t>
            </w:r>
          </w:p>
          <w:p w14:paraId="78C182EB" w14:textId="780078BA" w:rsidR="00B10BCF" w:rsidRPr="00D10A45" w:rsidRDefault="00154B6F" w:rsidP="00D10A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szCs w:val="22"/>
                <w:lang w:val="fr-FR" w:bidi="th-TH"/>
              </w:rPr>
            </w:pPr>
            <w:proofErr w:type="gramStart"/>
            <w:r w:rsidRPr="00D10A45">
              <w:rPr>
                <w:bCs/>
                <w:iCs/>
                <w:szCs w:val="22"/>
                <w:lang w:val="fr-FR" w:bidi="th-TH"/>
              </w:rPr>
              <w:t>u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>ne</w:t>
            </w:r>
            <w:proofErr w:type="gramEnd"/>
            <w:r w:rsidR="0013644A" w:rsidRPr="00D10A45">
              <w:rPr>
                <w:bCs/>
                <w:iCs/>
                <w:szCs w:val="22"/>
                <w:lang w:val="fr-FR" w:bidi="th-TH"/>
              </w:rPr>
              <w:t xml:space="preserve"> form</w:t>
            </w:r>
            <w:r w:rsidRPr="00D10A45">
              <w:rPr>
                <w:bCs/>
                <w:iCs/>
                <w:szCs w:val="22"/>
                <w:lang w:val="fr-FR" w:bidi="th-TH"/>
              </w:rPr>
              <w:t xml:space="preserve">ation </w:t>
            </w:r>
            <w:proofErr w:type="spellStart"/>
            <w:r w:rsidR="0013644A" w:rsidRPr="00D10A45">
              <w:rPr>
                <w:bCs/>
                <w:iCs/>
                <w:szCs w:val="22"/>
                <w:lang w:val="fr-FR" w:bidi="th-TH"/>
              </w:rPr>
              <w:t>sous</w:t>
            </w:r>
            <w:r w:rsidR="0090337E">
              <w:rPr>
                <w:bCs/>
                <w:iCs/>
                <w:szCs w:val="22"/>
                <w:lang w:val="fr-FR" w:bidi="th-TH"/>
              </w:rPr>
              <w:t>-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>régional</w:t>
            </w:r>
            <w:r w:rsidRPr="00D10A45">
              <w:rPr>
                <w:bCs/>
                <w:iCs/>
                <w:szCs w:val="22"/>
                <w:lang w:val="fr-FR" w:bidi="th-TH"/>
              </w:rPr>
              <w:t>e</w:t>
            </w:r>
            <w:proofErr w:type="spellEnd"/>
            <w:r w:rsidR="0013644A" w:rsidRPr="00D10A45">
              <w:rPr>
                <w:bCs/>
                <w:iCs/>
                <w:szCs w:val="22"/>
                <w:lang w:val="fr-FR" w:bidi="th-TH"/>
              </w:rPr>
              <w:t xml:space="preserve"> sur les contrats dans le secteur de l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>audiovisuel, organisée à l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 xml:space="preserve">intention des avocats en coopération avec le barreau ivoirien, en 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>juillet</w:t>
            </w:r>
            <w:r w:rsidR="0090337E">
              <w:rPr>
                <w:bCs/>
                <w:iCs/>
                <w:szCs w:val="22"/>
                <w:lang w:val="fr-FR" w:bidi="th-TH"/>
              </w:rPr>
              <w:t> </w:t>
            </w:r>
            <w:r w:rsidR="0090337E" w:rsidRPr="00D10A45">
              <w:rPr>
                <w:bCs/>
                <w:iCs/>
                <w:szCs w:val="22"/>
                <w:lang w:val="fr-FR" w:bidi="th-TH"/>
              </w:rPr>
              <w:t>20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>18.</w:t>
            </w:r>
          </w:p>
          <w:p w14:paraId="32C87B04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13673E64" w14:textId="40FDF6FA" w:rsidR="00B10BCF" w:rsidRPr="00D10A45" w:rsidRDefault="0013644A" w:rsidP="00D10A4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caps/>
                <w:szCs w:val="22"/>
                <w:lang w:val="fr-FR" w:bidi="th-TH"/>
              </w:rPr>
              <w:t>KENYA</w:t>
            </w:r>
          </w:p>
          <w:p w14:paraId="72353BEE" w14:textId="77777777" w:rsidR="00564DE4" w:rsidRPr="00D10A45" w:rsidRDefault="00564DE4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46017D68" w14:textId="74881886" w:rsidR="00B10BCF" w:rsidRPr="00D10A45" w:rsidRDefault="00FD7415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Cs/>
                <w:szCs w:val="22"/>
                <w:lang w:val="fr-FR" w:bidi="th-TH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Les formations</w:t>
            </w:r>
            <w:r w:rsidR="0013644A" w:rsidRPr="00D10A45">
              <w:rPr>
                <w:bCs/>
                <w:iCs/>
                <w:szCs w:val="22"/>
                <w:lang w:val="fr-FR" w:bidi="th-TH"/>
              </w:rPr>
              <w:t xml:space="preserve"> suivantes ont été dispensées</w:t>
            </w:r>
            <w:r w:rsidR="0090337E">
              <w:rPr>
                <w:bCs/>
                <w:iCs/>
                <w:szCs w:val="22"/>
                <w:lang w:val="fr-FR" w:bidi="th-TH"/>
              </w:rPr>
              <w:t> :</w:t>
            </w:r>
          </w:p>
          <w:p w14:paraId="4234D3D3" w14:textId="77777777" w:rsidR="00B10BCF" w:rsidRPr="00D10A45" w:rsidRDefault="00B10BCF" w:rsidP="00D10A45">
            <w:pPr>
              <w:spacing w:line="280" w:lineRule="exact"/>
              <w:rPr>
                <w:bCs/>
                <w:iCs/>
                <w:szCs w:val="22"/>
                <w:lang w:val="fr-FR" w:bidi="th-TH"/>
              </w:rPr>
            </w:pPr>
          </w:p>
          <w:p w14:paraId="7D468BB5" w14:textId="16349E53" w:rsidR="00B10BCF" w:rsidRPr="00D10A45" w:rsidRDefault="00205131" w:rsidP="00D10A45">
            <w:pPr>
              <w:pStyle w:val="ListParagraph"/>
              <w:numPr>
                <w:ilvl w:val="0"/>
                <w:numId w:val="40"/>
              </w:numPr>
              <w:spacing w:line="280" w:lineRule="exact"/>
              <w:ind w:left="1134" w:hanging="567"/>
              <w:rPr>
                <w:lang w:val="fr-FR"/>
              </w:rPr>
            </w:pPr>
            <w:proofErr w:type="gramStart"/>
            <w:r w:rsidRPr="00D10A45">
              <w:rPr>
                <w:lang w:val="fr-FR"/>
              </w:rPr>
              <w:t>un</w:t>
            </w:r>
            <w:proofErr w:type="gramEnd"/>
            <w:r w:rsidRPr="00D10A45">
              <w:rPr>
                <w:lang w:val="fr-FR"/>
              </w:rPr>
              <w:t xml:space="preserve"> séminaire sur le droit d</w:t>
            </w:r>
            <w:r w:rsidR="0090337E">
              <w:rPr>
                <w:lang w:val="fr-FR"/>
              </w:rPr>
              <w:t>’</w:t>
            </w:r>
            <w:r w:rsidRPr="00D10A45">
              <w:rPr>
                <w:lang w:val="fr-FR"/>
              </w:rPr>
              <w:t xml:space="preserve">auteur, le développement, le financement, la </w:t>
            </w:r>
            <w:r w:rsidR="00D22E27">
              <w:rPr>
                <w:lang w:val="fr-FR"/>
              </w:rPr>
              <w:t>réglementation</w:t>
            </w:r>
            <w:r w:rsidRPr="00D10A45">
              <w:rPr>
                <w:lang w:val="fr-FR"/>
              </w:rPr>
              <w:t xml:space="preserve"> et la commercialisation dans le sec</w:t>
            </w:r>
            <w:r w:rsidR="00FD7415" w:rsidRPr="00D10A45">
              <w:rPr>
                <w:lang w:val="fr-FR"/>
              </w:rPr>
              <w:t>teur de l</w:t>
            </w:r>
            <w:r w:rsidR="0090337E">
              <w:rPr>
                <w:lang w:val="fr-FR"/>
              </w:rPr>
              <w:t>’</w:t>
            </w:r>
            <w:r w:rsidR="00FD7415" w:rsidRPr="00D10A45">
              <w:rPr>
                <w:lang w:val="fr-FR"/>
              </w:rPr>
              <w:t>audiovisuel, organisé</w:t>
            </w:r>
            <w:r w:rsidRPr="00D10A45">
              <w:rPr>
                <w:lang w:val="fr-FR"/>
              </w:rPr>
              <w:t xml:space="preserve"> avec </w:t>
            </w:r>
            <w:r w:rsidR="00FD7415" w:rsidRPr="00D10A45">
              <w:rPr>
                <w:lang w:val="fr-FR"/>
              </w:rPr>
              <w:t>le KECOBO et</w:t>
            </w:r>
            <w:r w:rsidR="0090337E" w:rsidRPr="00D10A45">
              <w:rPr>
                <w:lang w:val="fr-FR"/>
              </w:rPr>
              <w:t xml:space="preserve"> la</w:t>
            </w:r>
            <w:r w:rsidR="0090337E">
              <w:rPr>
                <w:lang w:val="fr-FR"/>
              </w:rPr>
              <w:t> </w:t>
            </w:r>
            <w:r w:rsidR="0090337E" w:rsidRPr="00D10A45">
              <w:rPr>
                <w:lang w:val="fr-FR"/>
              </w:rPr>
              <w:t>KFC</w:t>
            </w:r>
            <w:r w:rsidRPr="00D10A45">
              <w:rPr>
                <w:lang w:val="fr-FR"/>
              </w:rPr>
              <w:t xml:space="preserve"> en </w:t>
            </w:r>
            <w:r w:rsidR="0090337E" w:rsidRPr="00D10A45">
              <w:rPr>
                <w:lang w:val="fr-FR"/>
              </w:rPr>
              <w:t>avril</w:t>
            </w:r>
            <w:r w:rsidR="0090337E">
              <w:rPr>
                <w:lang w:val="fr-FR"/>
              </w:rPr>
              <w:t> </w:t>
            </w:r>
            <w:r w:rsidR="0090337E" w:rsidRPr="00D10A45">
              <w:rPr>
                <w:lang w:val="fr-FR"/>
              </w:rPr>
              <w:t>20</w:t>
            </w:r>
            <w:r w:rsidRPr="00D10A45">
              <w:rPr>
                <w:lang w:val="fr-FR"/>
              </w:rPr>
              <w:t>17;</w:t>
            </w:r>
          </w:p>
          <w:p w14:paraId="13CE29D7" w14:textId="5EAA29A5" w:rsidR="00B10BCF" w:rsidRPr="00D10A45" w:rsidRDefault="0040126A" w:rsidP="00D10A45">
            <w:pPr>
              <w:numPr>
                <w:ilvl w:val="0"/>
                <w:numId w:val="4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</w:t>
            </w:r>
            <w:r w:rsidR="00970C85" w:rsidRPr="00D10A45">
              <w:rPr>
                <w:szCs w:val="22"/>
                <w:lang w:val="fr-FR"/>
              </w:rPr>
              <w:t>ne</w:t>
            </w:r>
            <w:proofErr w:type="gramEnd"/>
            <w:r w:rsidR="00970C85" w:rsidRPr="00D10A45">
              <w:rPr>
                <w:szCs w:val="22"/>
                <w:lang w:val="fr-FR"/>
              </w:rPr>
              <w:t xml:space="preserve"> table ronde de haut niveau à laquelle ont participé des experts des industries télévisuelle et cinématographique issus de l</w:t>
            </w:r>
            <w:r w:rsidR="0090337E">
              <w:rPr>
                <w:szCs w:val="22"/>
                <w:lang w:val="fr-FR"/>
              </w:rPr>
              <w:t>’</w:t>
            </w:r>
            <w:r w:rsidR="00970C85" w:rsidRPr="00D10A45">
              <w:rPr>
                <w:szCs w:val="22"/>
                <w:lang w:val="fr-FR"/>
              </w:rPr>
              <w:t>association des producteurs indépendants du Royaume</w:t>
            </w:r>
            <w:r w:rsidR="0090337E">
              <w:rPr>
                <w:szCs w:val="22"/>
                <w:lang w:val="fr-FR"/>
              </w:rPr>
              <w:t>-</w:t>
            </w:r>
            <w:r w:rsidR="00970C85" w:rsidRPr="00D10A45">
              <w:rPr>
                <w:szCs w:val="22"/>
                <w:lang w:val="fr-FR"/>
              </w:rPr>
              <w:t>Uni, le 2</w:t>
            </w:r>
            <w:r w:rsidR="0090337E" w:rsidRPr="00D10A45">
              <w:rPr>
                <w:szCs w:val="22"/>
                <w:lang w:val="fr-FR"/>
              </w:rPr>
              <w:t>4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mars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="00970C85" w:rsidRPr="00D10A45">
              <w:rPr>
                <w:szCs w:val="22"/>
                <w:lang w:val="fr-FR"/>
              </w:rPr>
              <w:t>18;</w:t>
            </w:r>
          </w:p>
          <w:p w14:paraId="7DFB0FFA" w14:textId="1927F409" w:rsidR="00B10BCF" w:rsidRPr="00D10A45" w:rsidRDefault="0040126A" w:rsidP="00D10A45">
            <w:pPr>
              <w:numPr>
                <w:ilvl w:val="0"/>
                <w:numId w:val="4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une</w:t>
            </w:r>
            <w:proofErr w:type="gramEnd"/>
            <w:r w:rsidRPr="00D10A45">
              <w:rPr>
                <w:szCs w:val="22"/>
                <w:lang w:val="fr-FR"/>
              </w:rPr>
              <w:t xml:space="preserve"> table ronde de haut niveau sur la politique cinématog</w:t>
            </w:r>
            <w:r w:rsidR="00A14570" w:rsidRPr="00D10A45">
              <w:rPr>
                <w:szCs w:val="22"/>
                <w:lang w:val="fr-FR"/>
              </w:rPr>
              <w:t>raphique, tenue</w:t>
            </w:r>
            <w:r w:rsidRPr="00D10A45">
              <w:rPr>
                <w:szCs w:val="22"/>
                <w:lang w:val="fr-FR"/>
              </w:rPr>
              <w:t xml:space="preserve"> lors du salon et festival international du film et de la télévis</w:t>
            </w:r>
            <w:r w:rsidR="00151548" w:rsidRPr="00D10A45">
              <w:rPr>
                <w:szCs w:val="22"/>
                <w:lang w:val="fr-FR"/>
              </w:rPr>
              <w:t xml:space="preserve">ion de </w:t>
            </w:r>
            <w:proofErr w:type="spellStart"/>
            <w:r w:rsidR="00151548" w:rsidRPr="00D10A45">
              <w:rPr>
                <w:szCs w:val="22"/>
                <w:lang w:val="fr-FR"/>
              </w:rPr>
              <w:t>Kalasha</w:t>
            </w:r>
            <w:proofErr w:type="spellEnd"/>
            <w:r w:rsidR="00151548" w:rsidRPr="00D10A45">
              <w:rPr>
                <w:szCs w:val="22"/>
                <w:lang w:val="fr-FR"/>
              </w:rPr>
              <w:t>, le 27 mars 2018;</w:t>
            </w:r>
          </w:p>
          <w:p w14:paraId="7021CFC8" w14:textId="67834DA8" w:rsidR="00B10BCF" w:rsidRPr="00D10A45" w:rsidRDefault="0040126A" w:rsidP="00D10A45">
            <w:pPr>
              <w:numPr>
                <w:ilvl w:val="0"/>
                <w:numId w:val="4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une</w:t>
            </w:r>
            <w:proofErr w:type="gramEnd"/>
            <w:r w:rsidRPr="00D10A45">
              <w:rPr>
                <w:szCs w:val="22"/>
                <w:lang w:val="fr-FR"/>
              </w:rPr>
              <w:t xml:space="preserve"> formation sur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arbitrage et la médiation dans le secteur </w:t>
            </w:r>
            <w:r w:rsidR="0018616E" w:rsidRPr="00D10A45">
              <w:rPr>
                <w:szCs w:val="22"/>
                <w:lang w:val="fr-FR"/>
              </w:rPr>
              <w:t>du cinéma</w:t>
            </w:r>
            <w:r w:rsidRPr="00D10A45">
              <w:rPr>
                <w:szCs w:val="22"/>
                <w:lang w:val="fr-FR"/>
              </w:rPr>
              <w:t>, tenue le 2</w:t>
            </w:r>
            <w:r w:rsidR="0090337E" w:rsidRPr="00D10A45">
              <w:rPr>
                <w:szCs w:val="22"/>
                <w:lang w:val="fr-FR"/>
              </w:rPr>
              <w:t>6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mars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Pr="00D10A45">
              <w:rPr>
                <w:szCs w:val="22"/>
                <w:lang w:val="fr-FR"/>
              </w:rPr>
              <w:t>18.</w:t>
            </w:r>
          </w:p>
          <w:p w14:paraId="5C2D26B0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5D5FCBE2" w14:textId="77777777" w:rsidR="00B10BCF" w:rsidRPr="00D10A45" w:rsidRDefault="0040126A" w:rsidP="00D10A45">
            <w:pPr>
              <w:numPr>
                <w:ilvl w:val="0"/>
                <w:numId w:val="15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MAROC</w:t>
            </w:r>
          </w:p>
          <w:p w14:paraId="3F1D8F11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4C270DE4" w14:textId="5416484B" w:rsidR="00B10BCF" w:rsidRPr="00D10A45" w:rsidRDefault="00DD4AD3" w:rsidP="00D10A45">
            <w:pPr>
              <w:numPr>
                <w:ilvl w:val="0"/>
                <w:numId w:val="18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Un séminaire </w:t>
            </w:r>
            <w:proofErr w:type="spellStart"/>
            <w:r w:rsidRPr="00D10A45">
              <w:rPr>
                <w:szCs w:val="22"/>
                <w:lang w:val="fr-FR"/>
              </w:rPr>
              <w:t>sous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régional</w:t>
            </w:r>
            <w:proofErr w:type="spellEnd"/>
            <w:r w:rsidRPr="00D10A45">
              <w:rPr>
                <w:szCs w:val="22"/>
                <w:lang w:val="fr-FR"/>
              </w:rPr>
              <w:t xml:space="preserve"> sur la gestion collective des droits audiovisuels et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adoption des recommandations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El Jadida, </w:t>
            </w:r>
            <w:r w:rsidR="00133EBA" w:rsidRPr="00D10A45">
              <w:rPr>
                <w:szCs w:val="22"/>
                <w:lang w:val="fr-FR"/>
              </w:rPr>
              <w:t xml:space="preserve">tenu </w:t>
            </w:r>
            <w:r w:rsidRPr="00D10A45">
              <w:rPr>
                <w:szCs w:val="22"/>
                <w:lang w:val="fr-FR"/>
              </w:rPr>
              <w:t xml:space="preserve">en </w:t>
            </w:r>
            <w:r w:rsidR="0090337E" w:rsidRPr="00D10A45">
              <w:rPr>
                <w:szCs w:val="22"/>
                <w:lang w:val="fr-FR"/>
              </w:rPr>
              <w:t>janvier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Pr="00D10A45">
              <w:rPr>
                <w:szCs w:val="22"/>
                <w:lang w:val="fr-FR"/>
              </w:rPr>
              <w:t>18.</w:t>
            </w:r>
          </w:p>
          <w:p w14:paraId="114CB7AD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76B09FE1" w14:textId="3C8829EB" w:rsidR="00B10BCF" w:rsidRPr="00D10A45" w:rsidRDefault="00564DE4" w:rsidP="00D10A45">
            <w:pPr>
              <w:numPr>
                <w:ilvl w:val="0"/>
                <w:numId w:val="15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SÉNÉGAL</w:t>
            </w:r>
          </w:p>
          <w:p w14:paraId="70F277B7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71F637DF" w14:textId="40E2FEA8" w:rsidR="00B10BCF" w:rsidRPr="00D10A45" w:rsidRDefault="0047011C" w:rsidP="00D10A45">
            <w:pPr>
              <w:spacing w:line="280" w:lineRule="exact"/>
              <w:rPr>
                <w:bCs/>
                <w:iCs/>
                <w:szCs w:val="22"/>
                <w:lang w:val="fr-FR" w:bidi="th-TH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Les formations</w:t>
            </w:r>
            <w:r w:rsidR="00E6346B" w:rsidRPr="00D10A45">
              <w:rPr>
                <w:bCs/>
                <w:iCs/>
                <w:szCs w:val="22"/>
                <w:lang w:val="fr-FR" w:bidi="th-TH"/>
              </w:rPr>
              <w:t xml:space="preserve"> suivantes ont été dispensées</w:t>
            </w:r>
            <w:r w:rsidR="0090337E">
              <w:rPr>
                <w:bCs/>
                <w:iCs/>
                <w:szCs w:val="22"/>
                <w:lang w:val="fr-FR" w:bidi="th-TH"/>
              </w:rPr>
              <w:t> :</w:t>
            </w:r>
          </w:p>
          <w:p w14:paraId="0DCA5176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1B139516" w14:textId="64058F7A" w:rsidR="00B10BCF" w:rsidRPr="00D10A45" w:rsidRDefault="00E6346B" w:rsidP="00D10A45">
            <w:pPr>
              <w:numPr>
                <w:ilvl w:val="0"/>
                <w:numId w:val="18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une</w:t>
            </w:r>
            <w:proofErr w:type="gramEnd"/>
            <w:r w:rsidRPr="00D10A45">
              <w:rPr>
                <w:szCs w:val="22"/>
                <w:lang w:val="fr-FR"/>
              </w:rPr>
              <w:t xml:space="preserve"> formation </w:t>
            </w:r>
            <w:proofErr w:type="spellStart"/>
            <w:r w:rsidRPr="00D10A45">
              <w:rPr>
                <w:szCs w:val="22"/>
                <w:lang w:val="fr-FR"/>
              </w:rPr>
              <w:t>sous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régionale</w:t>
            </w:r>
            <w:proofErr w:type="spellEnd"/>
            <w:r w:rsidRPr="00D10A45">
              <w:rPr>
                <w:szCs w:val="22"/>
                <w:lang w:val="fr-FR"/>
              </w:rPr>
              <w:t xml:space="preserve"> sur le droit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et les contrats de d</w:t>
            </w:r>
            <w:r w:rsidR="00B127B7" w:rsidRPr="00D10A45">
              <w:rPr>
                <w:szCs w:val="22"/>
                <w:lang w:val="fr-FR"/>
              </w:rPr>
              <w:t>roit d</w:t>
            </w:r>
            <w:r w:rsidR="0090337E">
              <w:rPr>
                <w:szCs w:val="22"/>
                <w:lang w:val="fr-FR"/>
              </w:rPr>
              <w:t>’</w:t>
            </w:r>
            <w:r w:rsidR="00B127B7" w:rsidRPr="00D10A45">
              <w:rPr>
                <w:szCs w:val="22"/>
                <w:lang w:val="fr-FR"/>
              </w:rPr>
              <w:t>auteur, organisée</w:t>
            </w:r>
            <w:r w:rsidRPr="00D10A45">
              <w:rPr>
                <w:szCs w:val="22"/>
                <w:lang w:val="fr-FR"/>
              </w:rPr>
              <w:t xml:space="preserve">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intention du corps judiciaire en décembre 2017;</w:t>
            </w:r>
          </w:p>
          <w:p w14:paraId="36A179CB" w14:textId="237C5A12" w:rsidR="00B10BCF" w:rsidRPr="00D10A45" w:rsidRDefault="00B1216A" w:rsidP="00D10A45">
            <w:pPr>
              <w:numPr>
                <w:ilvl w:val="0"/>
                <w:numId w:val="18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une</w:t>
            </w:r>
            <w:proofErr w:type="gramEnd"/>
            <w:r w:rsidRPr="00D10A45">
              <w:rPr>
                <w:szCs w:val="22"/>
                <w:lang w:val="fr-FR"/>
              </w:rPr>
              <w:t xml:space="preserve"> formation pratique </w:t>
            </w:r>
            <w:proofErr w:type="spellStart"/>
            <w:r w:rsidRPr="00D10A45">
              <w:rPr>
                <w:szCs w:val="22"/>
                <w:lang w:val="fr-FR"/>
              </w:rPr>
              <w:t>sous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régionale</w:t>
            </w:r>
            <w:proofErr w:type="spellEnd"/>
            <w:r w:rsidRPr="00D10A45">
              <w:rPr>
                <w:szCs w:val="22"/>
                <w:lang w:val="fr-FR"/>
              </w:rPr>
              <w:t xml:space="preserve"> sur la gestion des droits dans le sect</w:t>
            </w:r>
            <w:r w:rsidR="00B127B7" w:rsidRPr="00D10A45">
              <w:rPr>
                <w:szCs w:val="22"/>
                <w:lang w:val="fr-FR"/>
              </w:rPr>
              <w:t>eur de la radiodiffusion, dispensée</w:t>
            </w:r>
            <w:r w:rsidRPr="00D10A45">
              <w:rPr>
                <w:szCs w:val="22"/>
                <w:lang w:val="fr-FR"/>
              </w:rPr>
              <w:t xml:space="preserve"> en décembre 2017;</w:t>
            </w:r>
          </w:p>
          <w:p w14:paraId="498F4EA5" w14:textId="0E842D96" w:rsidR="00B10BCF" w:rsidRPr="00D10A45" w:rsidRDefault="00BE1631" w:rsidP="00D10A45">
            <w:pPr>
              <w:numPr>
                <w:ilvl w:val="0"/>
                <w:numId w:val="18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proofErr w:type="gramStart"/>
            <w:r w:rsidRPr="00D10A45">
              <w:rPr>
                <w:szCs w:val="22"/>
                <w:lang w:val="fr-FR"/>
              </w:rPr>
              <w:t>une</w:t>
            </w:r>
            <w:proofErr w:type="gramEnd"/>
            <w:r w:rsidRPr="00D10A45">
              <w:rPr>
                <w:szCs w:val="22"/>
                <w:lang w:val="fr-FR"/>
              </w:rPr>
              <w:t xml:space="preserve"> formation pratique </w:t>
            </w:r>
            <w:proofErr w:type="spellStart"/>
            <w:r w:rsidRPr="00D10A45">
              <w:rPr>
                <w:szCs w:val="22"/>
                <w:lang w:val="fr-FR"/>
              </w:rPr>
              <w:t>sous</w:t>
            </w:r>
            <w:r w:rsidR="0090337E">
              <w:rPr>
                <w:szCs w:val="22"/>
                <w:lang w:val="fr-FR"/>
              </w:rPr>
              <w:t>-</w:t>
            </w:r>
            <w:r w:rsidRPr="00D10A45">
              <w:rPr>
                <w:szCs w:val="22"/>
                <w:lang w:val="fr-FR"/>
              </w:rPr>
              <w:t>régionale</w:t>
            </w:r>
            <w:proofErr w:type="spellEnd"/>
            <w:r w:rsidRPr="00D10A45">
              <w:rPr>
                <w:szCs w:val="22"/>
                <w:lang w:val="fr-FR"/>
              </w:rPr>
              <w:t xml:space="preserve"> sur la mise en </w:t>
            </w:r>
            <w:r w:rsidR="00B127B7" w:rsidRPr="00D10A45">
              <w:rPr>
                <w:szCs w:val="22"/>
                <w:lang w:val="fr-FR"/>
              </w:rPr>
              <w:t>œuvre</w:t>
            </w:r>
            <w:r w:rsidRPr="00D10A45">
              <w:rPr>
                <w:szCs w:val="22"/>
                <w:lang w:val="fr-FR"/>
              </w:rPr>
              <w:t xml:space="preserve"> des programmes de rémunération pour copie privée,</w:t>
            </w:r>
            <w:r w:rsidR="00B127B7" w:rsidRPr="00D10A45">
              <w:rPr>
                <w:szCs w:val="22"/>
                <w:lang w:val="fr-FR"/>
              </w:rPr>
              <w:t xml:space="preserve"> dispensée</w:t>
            </w:r>
            <w:r w:rsidRPr="00D10A45">
              <w:rPr>
                <w:szCs w:val="22"/>
                <w:lang w:val="fr-FR"/>
              </w:rPr>
              <w:t xml:space="preserve"> en septembre 2018.</w:t>
            </w:r>
          </w:p>
          <w:p w14:paraId="19C8EDAE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0916570E" w14:textId="653FE8B8" w:rsidR="00B10BCF" w:rsidRPr="00D10A45" w:rsidRDefault="00474253" w:rsidP="00D10A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0" w:lineRule="exact"/>
              <w:ind w:left="1134" w:hanging="567"/>
              <w:rPr>
                <w:bCs/>
                <w:iCs/>
                <w:caps/>
                <w:szCs w:val="22"/>
                <w:lang w:val="fr-FR" w:bidi="th-TH"/>
              </w:rPr>
            </w:pPr>
            <w:r w:rsidRPr="00D10A45">
              <w:rPr>
                <w:bCs/>
                <w:iCs/>
                <w:caps/>
                <w:szCs w:val="22"/>
                <w:lang w:val="fr-FR" w:bidi="th-TH"/>
              </w:rPr>
              <w:t xml:space="preserve">Appui aux infrastructures et cadres </w:t>
            </w:r>
            <w:r w:rsidR="00B127B7" w:rsidRPr="00D10A45">
              <w:rPr>
                <w:bCs/>
                <w:iCs/>
                <w:caps/>
                <w:szCs w:val="22"/>
                <w:lang w:val="fr-FR" w:bidi="th-TH"/>
              </w:rPr>
              <w:t>législatifs</w:t>
            </w:r>
          </w:p>
          <w:p w14:paraId="3122DAE6" w14:textId="77777777" w:rsidR="00B127B7" w:rsidRPr="00D10A45" w:rsidRDefault="00B127B7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717CC46C" w14:textId="4555EABC" w:rsidR="0090337E" w:rsidRDefault="00016F2C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projet a servi de cadre</w:t>
            </w:r>
            <w:r w:rsidR="003E3069" w:rsidRPr="00D10A45">
              <w:rPr>
                <w:szCs w:val="22"/>
                <w:lang w:val="fr-FR"/>
              </w:rPr>
              <w:t xml:space="preserve"> concret</w:t>
            </w:r>
            <w:r w:rsidRPr="00D10A45">
              <w:rPr>
                <w:szCs w:val="22"/>
                <w:lang w:val="fr-FR"/>
              </w:rPr>
              <w:t xml:space="preserve">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amélioration des compétences et des pratiqu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Il</w:t>
            </w:r>
            <w:r w:rsidR="007E06BD" w:rsidRPr="00D10A45">
              <w:rPr>
                <w:szCs w:val="22"/>
                <w:lang w:val="fr-FR"/>
              </w:rPr>
              <w:t xml:space="preserve"> a également permis aux autorités nationales qui en ont fait la demande de bénéficier d</w:t>
            </w:r>
            <w:r w:rsidR="0090337E">
              <w:rPr>
                <w:szCs w:val="22"/>
                <w:lang w:val="fr-FR"/>
              </w:rPr>
              <w:t>’</w:t>
            </w:r>
            <w:r w:rsidR="007E06BD" w:rsidRPr="00D10A45">
              <w:rPr>
                <w:szCs w:val="22"/>
                <w:lang w:val="fr-FR"/>
              </w:rPr>
              <w:t xml:space="preserve">un appui législatif aux fins de la </w:t>
            </w:r>
            <w:r w:rsidR="00D22E27">
              <w:rPr>
                <w:szCs w:val="22"/>
                <w:lang w:val="fr-FR"/>
              </w:rPr>
              <w:t>réglementation</w:t>
            </w:r>
            <w:r w:rsidR="007E06BD" w:rsidRPr="00D10A45">
              <w:rPr>
                <w:szCs w:val="22"/>
                <w:lang w:val="fr-FR"/>
              </w:rPr>
              <w:t xml:space="preserve"> du secteur de l</w:t>
            </w:r>
            <w:r w:rsidR="0090337E">
              <w:rPr>
                <w:szCs w:val="22"/>
                <w:lang w:val="fr-FR"/>
              </w:rPr>
              <w:t>’</w:t>
            </w:r>
            <w:r w:rsidR="007E06BD" w:rsidRPr="00D10A45">
              <w:rPr>
                <w:szCs w:val="22"/>
                <w:lang w:val="fr-FR"/>
              </w:rPr>
              <w:t>audiovisuel, en vue d</w:t>
            </w:r>
            <w:r w:rsidR="0090337E">
              <w:rPr>
                <w:szCs w:val="22"/>
                <w:lang w:val="fr-FR"/>
              </w:rPr>
              <w:t>’</w:t>
            </w:r>
            <w:r w:rsidR="007E06BD" w:rsidRPr="00D10A45">
              <w:rPr>
                <w:szCs w:val="22"/>
                <w:lang w:val="fr-FR"/>
              </w:rPr>
              <w:t xml:space="preserve">instaurer un cadre </w:t>
            </w:r>
            <w:r w:rsidR="00C1286E" w:rsidRPr="00D10A45">
              <w:rPr>
                <w:szCs w:val="22"/>
                <w:lang w:val="fr-FR"/>
              </w:rPr>
              <w:t>r</w:t>
            </w:r>
            <w:r w:rsidR="00961DE2">
              <w:rPr>
                <w:szCs w:val="22"/>
                <w:lang w:val="fr-FR"/>
              </w:rPr>
              <w:t>é</w:t>
            </w:r>
            <w:r w:rsidR="00C1286E" w:rsidRPr="00D10A45">
              <w:rPr>
                <w:szCs w:val="22"/>
                <w:lang w:val="fr-FR"/>
              </w:rPr>
              <w:t>gle</w:t>
            </w:r>
            <w:r w:rsidR="007E06BD" w:rsidRPr="00D10A45">
              <w:rPr>
                <w:szCs w:val="22"/>
                <w:lang w:val="fr-FR"/>
              </w:rPr>
              <w:t>mentaire sa</w:t>
            </w:r>
            <w:r w:rsidR="00CB0FF7" w:rsidRPr="00D10A45">
              <w:rPr>
                <w:szCs w:val="22"/>
                <w:lang w:val="fr-FR"/>
              </w:rPr>
              <w:t>in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EA1B6F" w:rsidRPr="00D10A45">
              <w:rPr>
                <w:szCs w:val="22"/>
                <w:lang w:val="fr-FR"/>
              </w:rPr>
              <w:t>s gouvernements se sont notamment employés à moderniser les cadres juridiques relatifs au droit d</w:t>
            </w:r>
            <w:r w:rsidR="0090337E">
              <w:rPr>
                <w:szCs w:val="22"/>
                <w:lang w:val="fr-FR"/>
              </w:rPr>
              <w:t>’</w:t>
            </w:r>
            <w:r w:rsidR="00EA1B6F" w:rsidRPr="00D10A45">
              <w:rPr>
                <w:szCs w:val="22"/>
                <w:lang w:val="fr-FR"/>
              </w:rPr>
              <w:t xml:space="preserve">auteur </w:t>
            </w:r>
            <w:r w:rsidR="003E3069" w:rsidRPr="00D10A45">
              <w:rPr>
                <w:szCs w:val="22"/>
                <w:lang w:val="fr-FR"/>
              </w:rPr>
              <w:t>et</w:t>
            </w:r>
            <w:r w:rsidR="00EA1B6F" w:rsidRPr="00D10A45">
              <w:rPr>
                <w:szCs w:val="22"/>
                <w:lang w:val="fr-FR"/>
              </w:rPr>
              <w:t xml:space="preserve"> aux communications.</w:t>
            </w:r>
          </w:p>
          <w:p w14:paraId="438364CF" w14:textId="2AB4B47C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1C0D38B2" w14:textId="409E87A0" w:rsidR="00B10BCF" w:rsidRPr="00D10A45" w:rsidRDefault="00C64C6B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Les résultats obtenus </w:t>
            </w:r>
            <w:r w:rsidR="00EE4F0F" w:rsidRPr="00D10A45">
              <w:rPr>
                <w:szCs w:val="22"/>
                <w:lang w:val="fr-FR"/>
              </w:rPr>
              <w:t>sont présentés ci</w:t>
            </w:r>
            <w:r w:rsidR="0090337E">
              <w:rPr>
                <w:szCs w:val="22"/>
                <w:lang w:val="fr-FR"/>
              </w:rPr>
              <w:t>-</w:t>
            </w:r>
            <w:r w:rsidR="00EE4F0F" w:rsidRPr="00D10A45">
              <w:rPr>
                <w:szCs w:val="22"/>
                <w:lang w:val="fr-FR"/>
              </w:rPr>
              <w:t>dessous.</w:t>
            </w:r>
          </w:p>
          <w:p w14:paraId="4244C40E" w14:textId="77777777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szCs w:val="22"/>
                <w:lang w:val="fr-FR"/>
              </w:rPr>
            </w:pPr>
          </w:p>
          <w:p w14:paraId="2E5379C2" w14:textId="77777777" w:rsidR="00B10BCF" w:rsidRPr="00D10A45" w:rsidRDefault="00C64C6B" w:rsidP="00D10A45">
            <w:pPr>
              <w:numPr>
                <w:ilvl w:val="0"/>
                <w:numId w:val="2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BURKINA FASO</w:t>
            </w:r>
          </w:p>
          <w:p w14:paraId="5372C48B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3BCEE348" w14:textId="6DBE6A9E" w:rsidR="0090337E" w:rsidRDefault="003E3069" w:rsidP="00D10A45">
            <w:pPr>
              <w:numPr>
                <w:ilvl w:val="0"/>
                <w:numId w:val="41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pays</w:t>
            </w:r>
            <w:r w:rsidR="00F752E5" w:rsidRPr="00D10A45">
              <w:rPr>
                <w:szCs w:val="22"/>
                <w:lang w:val="fr-FR"/>
              </w:rPr>
              <w:t xml:space="preserve"> a adopté </w:t>
            </w:r>
            <w:r w:rsidR="00310912" w:rsidRPr="00D10A45">
              <w:rPr>
                <w:szCs w:val="22"/>
                <w:lang w:val="fr-FR"/>
              </w:rPr>
              <w:t>une nouvelle loi relative au droit d</w:t>
            </w:r>
            <w:r w:rsidR="0090337E">
              <w:rPr>
                <w:szCs w:val="22"/>
                <w:lang w:val="fr-FR"/>
              </w:rPr>
              <w:t>’</w:t>
            </w:r>
            <w:r w:rsidR="00310912" w:rsidRPr="00D10A45">
              <w:rPr>
                <w:szCs w:val="22"/>
                <w:lang w:val="fr-FR"/>
              </w:rPr>
              <w:t xml:space="preserve">auteur et aux droits connexes </w:t>
            </w:r>
            <w:r w:rsidR="005A0C86" w:rsidRPr="00D10A45">
              <w:rPr>
                <w:szCs w:val="22"/>
                <w:lang w:val="fr-FR"/>
              </w:rPr>
              <w:t>afin de</w:t>
            </w:r>
            <w:r w:rsidR="00310912" w:rsidRPr="00D10A45">
              <w:rPr>
                <w:szCs w:val="22"/>
                <w:lang w:val="fr-FR"/>
              </w:rPr>
              <w:t xml:space="preserve"> répond</w:t>
            </w:r>
            <w:r w:rsidR="005A0C86" w:rsidRPr="00D10A45">
              <w:rPr>
                <w:szCs w:val="22"/>
                <w:lang w:val="fr-FR"/>
              </w:rPr>
              <w:t>re</w:t>
            </w:r>
            <w:r w:rsidR="00310912" w:rsidRPr="00D10A45">
              <w:rPr>
                <w:szCs w:val="22"/>
                <w:lang w:val="fr-FR"/>
              </w:rPr>
              <w:t xml:space="preserve"> aux exigences de l</w:t>
            </w:r>
            <w:r w:rsidR="0090337E">
              <w:rPr>
                <w:szCs w:val="22"/>
                <w:lang w:val="fr-FR"/>
              </w:rPr>
              <w:t>’</w:t>
            </w:r>
            <w:r w:rsidR="00310912" w:rsidRPr="00D10A45">
              <w:rPr>
                <w:szCs w:val="22"/>
                <w:lang w:val="fr-FR"/>
              </w:rPr>
              <w:t>ère numérique</w:t>
            </w:r>
            <w:r w:rsidR="007A3072" w:rsidRPr="00D10A45">
              <w:rPr>
                <w:szCs w:val="22"/>
                <w:lang w:val="fr-FR"/>
              </w:rPr>
              <w:t xml:space="preserve"> et a ratifié, </w:t>
            </w:r>
            <w:r w:rsidR="00310912" w:rsidRPr="00D10A45">
              <w:rPr>
                <w:szCs w:val="22"/>
                <w:lang w:val="fr-FR"/>
              </w:rPr>
              <w:t xml:space="preserve">en 2018, </w:t>
            </w:r>
            <w:r w:rsidR="00E91AF6" w:rsidRPr="00D10A45">
              <w:rPr>
                <w:szCs w:val="22"/>
                <w:lang w:val="fr-FR"/>
              </w:rPr>
              <w:t>le</w:t>
            </w:r>
            <w:r w:rsidR="00310912" w:rsidRPr="00D10A45">
              <w:rPr>
                <w:szCs w:val="22"/>
                <w:lang w:val="fr-FR"/>
              </w:rPr>
              <w:t xml:space="preserve"> Traité de Beijing sur les interprétations et exécutions audiovisuelles</w:t>
            </w:r>
            <w:r w:rsidR="008D255A" w:rsidRPr="00D10A45">
              <w:rPr>
                <w:szCs w:val="22"/>
                <w:lang w:val="fr-FR"/>
              </w:rPr>
              <w:t xml:space="preserve"> </w:t>
            </w:r>
            <w:r w:rsidR="00310912" w:rsidRPr="00D10A45">
              <w:rPr>
                <w:szCs w:val="22"/>
                <w:lang w:val="fr-FR"/>
              </w:rPr>
              <w:t>administré par l</w:t>
            </w:r>
            <w:r w:rsidR="0090337E">
              <w:rPr>
                <w:szCs w:val="22"/>
                <w:lang w:val="fr-FR"/>
              </w:rPr>
              <w:t>’</w:t>
            </w:r>
            <w:r w:rsidR="00310912" w:rsidRPr="00D10A45">
              <w:rPr>
                <w:szCs w:val="22"/>
                <w:lang w:val="fr-FR"/>
              </w:rPr>
              <w:t>OMPI.</w:t>
            </w:r>
          </w:p>
          <w:p w14:paraId="04F9DAB3" w14:textId="3DABB5B0" w:rsidR="0090337E" w:rsidRDefault="003C7998" w:rsidP="00D10A45">
            <w:pPr>
              <w:numPr>
                <w:ilvl w:val="0"/>
                <w:numId w:val="41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Un important atelier consultatif de haut niveau réunissant toutes les parties prenantes a été organisé en </w:t>
            </w:r>
            <w:r w:rsidR="0090337E" w:rsidRPr="00D10A45">
              <w:rPr>
                <w:szCs w:val="22"/>
                <w:lang w:val="fr-FR"/>
              </w:rPr>
              <w:t>mai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Pr="00D10A45">
              <w:rPr>
                <w:szCs w:val="22"/>
                <w:lang w:val="fr-FR"/>
              </w:rPr>
              <w:t>18 afin de discuter des moyens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appliquer la nouvelle loi et de permettre à toutes les parties prenantes concernées de mi</w:t>
            </w:r>
            <w:r w:rsidR="003E3069" w:rsidRPr="00D10A45">
              <w:rPr>
                <w:szCs w:val="22"/>
                <w:lang w:val="fr-FR"/>
              </w:rPr>
              <w:t>eux comprendre ses dispositions</w:t>
            </w:r>
            <w:r w:rsidRPr="00D10A45">
              <w:rPr>
                <w:szCs w:val="22"/>
                <w:lang w:val="fr-FR"/>
              </w:rPr>
              <w:t>.</w:t>
            </w:r>
          </w:p>
          <w:p w14:paraId="0720F6AF" w14:textId="0AF21AC6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39CE6D27" w14:textId="42CCEE32" w:rsidR="00B10BCF" w:rsidRPr="00D10A45" w:rsidRDefault="007C050B" w:rsidP="00D10A45">
            <w:pPr>
              <w:numPr>
                <w:ilvl w:val="0"/>
                <w:numId w:val="2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KENYA</w:t>
            </w:r>
          </w:p>
          <w:p w14:paraId="4ADAD6FF" w14:textId="77777777" w:rsidR="00564DE4" w:rsidRPr="00D10A45" w:rsidRDefault="00564DE4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5C4709F9" w14:textId="29586C6E" w:rsidR="0090337E" w:rsidRDefault="003C7998" w:rsidP="00D10A45">
            <w:pPr>
              <w:numPr>
                <w:ilvl w:val="0"/>
                <w:numId w:val="42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En </w:t>
            </w:r>
            <w:r w:rsidR="0090337E" w:rsidRPr="00D10A45">
              <w:rPr>
                <w:szCs w:val="22"/>
                <w:lang w:val="fr-FR"/>
              </w:rPr>
              <w:t>septembre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Pr="00D10A45">
              <w:rPr>
                <w:szCs w:val="22"/>
                <w:lang w:val="fr-FR"/>
              </w:rPr>
              <w:t>18,</w:t>
            </w:r>
            <w:r w:rsidR="0090337E" w:rsidRPr="00D10A45">
              <w:rPr>
                <w:szCs w:val="22"/>
                <w:lang w:val="fr-FR"/>
              </w:rPr>
              <w:t xml:space="preserve"> le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KEC</w:t>
            </w:r>
            <w:r w:rsidRPr="00D10A45">
              <w:rPr>
                <w:szCs w:val="22"/>
                <w:lang w:val="fr-FR"/>
              </w:rPr>
              <w:t>OBO a signé un mémorandum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accord avec le Centre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arbitrage et de médiation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OMPI afin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officialiser leur coopération en matière de règlement des litiges liés au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auteur.</w:t>
            </w:r>
          </w:p>
          <w:p w14:paraId="0A717CC0" w14:textId="7932B7FA" w:rsidR="0090337E" w:rsidRDefault="004B6104" w:rsidP="00D10A45">
            <w:pPr>
              <w:numPr>
                <w:ilvl w:val="0"/>
                <w:numId w:val="42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Sur la base des conclusions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Étude sur la négociation collective des droits et la gestion collective des droits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</w:t>
            </w:r>
            <w:r w:rsidRPr="00D10A45">
              <w:rPr>
                <w:rStyle w:val="FootnoteReference"/>
                <w:szCs w:val="22"/>
                <w:lang w:val="fr-FR"/>
              </w:rPr>
              <w:footnoteReference w:id="3"/>
            </w:r>
            <w:r w:rsidRPr="00D10A45">
              <w:rPr>
                <w:szCs w:val="22"/>
                <w:lang w:val="fr-FR"/>
              </w:rPr>
              <w:t>, qui a été menée dans le cadre de la phase</w:t>
            </w:r>
            <w:r w:rsidR="003E3069" w:rsidRPr="00D10A45">
              <w:rPr>
                <w:szCs w:val="22"/>
                <w:lang w:val="fr-FR"/>
              </w:rPr>
              <w:t> </w:t>
            </w:r>
            <w:r w:rsidRPr="00D10A45">
              <w:rPr>
                <w:szCs w:val="22"/>
                <w:lang w:val="fr-FR"/>
              </w:rPr>
              <w:t>I du projet, des mesures ont été prises po</w:t>
            </w:r>
            <w:r w:rsidR="003E3069" w:rsidRPr="00D10A45">
              <w:rPr>
                <w:szCs w:val="22"/>
                <w:lang w:val="fr-FR"/>
              </w:rPr>
              <w:t>ur réunir les parties prenantes</w:t>
            </w:r>
            <w:r w:rsidRPr="00D10A45">
              <w:rPr>
                <w:szCs w:val="22"/>
                <w:lang w:val="fr-FR"/>
              </w:rPr>
              <w:t xml:space="preserve"> des secteurs de la musique et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en vue de mettre en place une gestion collective des droits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</w:t>
            </w:r>
            <w:r w:rsidR="00CB0FF7" w:rsidRPr="00D10A45">
              <w:rPr>
                <w:szCs w:val="22"/>
                <w:lang w:val="fr-FR"/>
              </w:rPr>
              <w:t>el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4D6FEE" w:rsidRPr="00D10A45">
              <w:rPr>
                <w:szCs w:val="22"/>
                <w:lang w:val="fr-FR"/>
              </w:rPr>
              <w:t>s travaux avancent, mais ne sont pas encore entrés dans leur phase finale.</w:t>
            </w:r>
          </w:p>
          <w:p w14:paraId="729B8751" w14:textId="6057BF29" w:rsidR="00B10BCF" w:rsidRPr="00D10A45" w:rsidRDefault="003E3069" w:rsidP="00D10A45">
            <w:pPr>
              <w:numPr>
                <w:ilvl w:val="0"/>
                <w:numId w:val="42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Le projet a donné lieu</w:t>
            </w:r>
            <w:r w:rsidR="004758B1" w:rsidRPr="00D10A45">
              <w:rPr>
                <w:szCs w:val="22"/>
                <w:lang w:val="fr-FR"/>
              </w:rPr>
              <w:t xml:space="preserve"> à une coopér</w:t>
            </w:r>
            <w:r w:rsidRPr="00D10A45">
              <w:rPr>
                <w:szCs w:val="22"/>
                <w:lang w:val="fr-FR"/>
              </w:rPr>
              <w:t>ation avec</w:t>
            </w:r>
            <w:r w:rsidR="0090337E" w:rsidRPr="00D10A45">
              <w:rPr>
                <w:szCs w:val="22"/>
                <w:lang w:val="fr-FR"/>
              </w:rPr>
              <w:t xml:space="preserve"> la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KFC</w:t>
            </w:r>
            <w:r w:rsidRPr="00D10A45">
              <w:rPr>
                <w:szCs w:val="22"/>
                <w:lang w:val="fr-FR"/>
              </w:rPr>
              <w:t xml:space="preserve"> qui bénéficié</w:t>
            </w:r>
            <w:r w:rsidR="004758B1" w:rsidRPr="00D10A45">
              <w:rPr>
                <w:szCs w:val="22"/>
                <w:lang w:val="fr-FR"/>
              </w:rPr>
              <w:t xml:space="preserve">, dans ce cadre, de conseils </w:t>
            </w:r>
            <w:r w:rsidRPr="00D10A45">
              <w:rPr>
                <w:szCs w:val="22"/>
                <w:lang w:val="fr-FR"/>
              </w:rPr>
              <w:t>l</w:t>
            </w:r>
            <w:r w:rsidR="00991D46" w:rsidRPr="00D10A45">
              <w:rPr>
                <w:szCs w:val="22"/>
                <w:lang w:val="fr-FR"/>
              </w:rPr>
              <w:t>égislatifs</w:t>
            </w:r>
            <w:r w:rsidRPr="00D10A45">
              <w:rPr>
                <w:szCs w:val="22"/>
                <w:lang w:val="fr-FR"/>
              </w:rPr>
              <w:t xml:space="preserve"> </w:t>
            </w:r>
            <w:r w:rsidR="00971B16" w:rsidRPr="00D10A45">
              <w:rPr>
                <w:szCs w:val="22"/>
                <w:lang w:val="fr-FR"/>
              </w:rPr>
              <w:t>sur les faits nouveaux intervenus</w:t>
            </w:r>
            <w:r w:rsidR="004758B1" w:rsidRPr="00D10A45">
              <w:rPr>
                <w:szCs w:val="22"/>
                <w:lang w:val="fr-FR"/>
              </w:rPr>
              <w:t xml:space="preserve"> dans le secteur de l</w:t>
            </w:r>
            <w:r w:rsidR="0090337E">
              <w:rPr>
                <w:szCs w:val="22"/>
                <w:lang w:val="fr-FR"/>
              </w:rPr>
              <w:t>’</w:t>
            </w:r>
            <w:r w:rsidR="004758B1" w:rsidRPr="00D10A45">
              <w:rPr>
                <w:szCs w:val="22"/>
                <w:lang w:val="fr-FR"/>
              </w:rPr>
              <w:t>audiovisuel et sur les questions de droit d</w:t>
            </w:r>
            <w:r w:rsidR="0090337E">
              <w:rPr>
                <w:szCs w:val="22"/>
                <w:lang w:val="fr-FR"/>
              </w:rPr>
              <w:t>’</w:t>
            </w:r>
            <w:r w:rsidR="004758B1" w:rsidRPr="00D10A45">
              <w:rPr>
                <w:szCs w:val="22"/>
                <w:lang w:val="fr-FR"/>
              </w:rPr>
              <w:t>auteur</w:t>
            </w:r>
            <w:r w:rsidR="00971B16" w:rsidRPr="00D10A45">
              <w:rPr>
                <w:szCs w:val="22"/>
                <w:lang w:val="fr-FR"/>
              </w:rPr>
              <w:t>, aux fins de l</w:t>
            </w:r>
            <w:r w:rsidR="0090337E">
              <w:rPr>
                <w:szCs w:val="22"/>
                <w:lang w:val="fr-FR"/>
              </w:rPr>
              <w:t>’</w:t>
            </w:r>
            <w:r w:rsidR="00971B16" w:rsidRPr="00D10A45">
              <w:rPr>
                <w:szCs w:val="22"/>
                <w:lang w:val="fr-FR"/>
              </w:rPr>
              <w:t xml:space="preserve">élaboration </w:t>
            </w:r>
            <w:r w:rsidR="004758B1" w:rsidRPr="00D10A45">
              <w:rPr>
                <w:szCs w:val="22"/>
                <w:lang w:val="fr-FR"/>
              </w:rPr>
              <w:t>d</w:t>
            </w:r>
            <w:r w:rsidR="0090337E">
              <w:rPr>
                <w:szCs w:val="22"/>
                <w:lang w:val="fr-FR"/>
              </w:rPr>
              <w:t>’</w:t>
            </w:r>
            <w:r w:rsidR="00971B16" w:rsidRPr="00D10A45">
              <w:rPr>
                <w:szCs w:val="22"/>
                <w:lang w:val="fr-FR"/>
              </w:rPr>
              <w:t xml:space="preserve">une </w:t>
            </w:r>
            <w:r w:rsidR="004758B1" w:rsidRPr="00D10A45">
              <w:rPr>
                <w:szCs w:val="22"/>
                <w:lang w:val="fr-FR"/>
              </w:rPr>
              <w:t>politique cinématographique nationale et d</w:t>
            </w:r>
            <w:r w:rsidR="0090337E">
              <w:rPr>
                <w:szCs w:val="22"/>
                <w:lang w:val="fr-FR"/>
              </w:rPr>
              <w:t>’</w:t>
            </w:r>
            <w:r w:rsidR="004758B1" w:rsidRPr="00D10A45">
              <w:rPr>
                <w:szCs w:val="22"/>
                <w:lang w:val="fr-FR"/>
              </w:rPr>
              <w:t>une stratégie nationale prospective pour le secteur.</w:t>
            </w:r>
          </w:p>
          <w:p w14:paraId="53A334B2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4DC7876D" w14:textId="77777777" w:rsidR="00B10BCF" w:rsidRPr="00D10A45" w:rsidRDefault="006943FF" w:rsidP="00D10A45">
            <w:pPr>
              <w:numPr>
                <w:ilvl w:val="0"/>
                <w:numId w:val="2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MAROC</w:t>
            </w:r>
          </w:p>
          <w:p w14:paraId="7AA34D2A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20417990" w14:textId="7092DF09" w:rsidR="0090337E" w:rsidRDefault="00F03CF0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Une mission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experts a été organisée en Belgique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intention des membres</w:t>
            </w:r>
            <w:r w:rsidR="0090337E" w:rsidRPr="00D10A45">
              <w:rPr>
                <w:szCs w:val="22"/>
                <w:lang w:val="fr-FR"/>
              </w:rPr>
              <w:t xml:space="preserve"> du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BMD</w:t>
            </w:r>
            <w:r w:rsidRPr="00D10A45">
              <w:rPr>
                <w:szCs w:val="22"/>
                <w:lang w:val="fr-FR"/>
              </w:rPr>
              <w:t>A, dans les l</w:t>
            </w:r>
            <w:r w:rsidR="00971B16" w:rsidRPr="00D10A45">
              <w:rPr>
                <w:szCs w:val="22"/>
                <w:lang w:val="fr-FR"/>
              </w:rPr>
              <w:t>ocaux</w:t>
            </w:r>
            <w:r w:rsidRPr="00D10A45">
              <w:rPr>
                <w:szCs w:val="22"/>
                <w:lang w:val="fr-FR"/>
              </w:rPr>
              <w:t xml:space="preserve"> de la Société belge des auteurs (SABAM).</w:t>
            </w:r>
          </w:p>
          <w:p w14:paraId="63DB327A" w14:textId="3ECB81DB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2160A54E" w14:textId="77777777" w:rsidR="00B10BCF" w:rsidRPr="00D10A45" w:rsidRDefault="002949D9" w:rsidP="00D10A45">
            <w:pPr>
              <w:numPr>
                <w:ilvl w:val="0"/>
                <w:numId w:val="20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SÉNÉGAL</w:t>
            </w:r>
          </w:p>
          <w:p w14:paraId="13B263CD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73A96E51" w14:textId="554B5738" w:rsidR="00B10BCF" w:rsidRPr="00D10A45" w:rsidRDefault="006F5B1C" w:rsidP="00D10A45">
            <w:pPr>
              <w:numPr>
                <w:ilvl w:val="0"/>
                <w:numId w:val="43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 xml:space="preserve">Des </w:t>
            </w:r>
            <w:r w:rsidR="00991D46" w:rsidRPr="00D10A45">
              <w:rPr>
                <w:szCs w:val="22"/>
                <w:lang w:val="fr-FR"/>
              </w:rPr>
              <w:t>conseils</w:t>
            </w:r>
            <w:r w:rsidRPr="00D10A45">
              <w:rPr>
                <w:szCs w:val="22"/>
                <w:lang w:val="fr-FR"/>
              </w:rPr>
              <w:t xml:space="preserve"> législatif</w:t>
            </w:r>
            <w:r w:rsidR="00991D46" w:rsidRPr="00D10A45">
              <w:rPr>
                <w:szCs w:val="22"/>
                <w:lang w:val="fr-FR"/>
              </w:rPr>
              <w:t>s</w:t>
            </w:r>
            <w:r w:rsidRPr="00D10A45">
              <w:rPr>
                <w:szCs w:val="22"/>
                <w:lang w:val="fr-FR"/>
              </w:rPr>
              <w:t xml:space="preserve"> ont été donnés sur le projet de loi relatif à la communication et à la presse, de manière à</w:t>
            </w:r>
            <w:r w:rsidR="00250ED0" w:rsidRPr="00D10A45">
              <w:rPr>
                <w:szCs w:val="22"/>
                <w:lang w:val="fr-FR"/>
              </w:rPr>
              <w:t xml:space="preserve"> assurer que la politique menée</w:t>
            </w:r>
            <w:r w:rsidRPr="00D10A45">
              <w:rPr>
                <w:szCs w:val="22"/>
                <w:lang w:val="fr-FR"/>
              </w:rPr>
              <w:t xml:space="preserve">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 soit conforme aux normes internationales régissant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environnement numérique</w:t>
            </w:r>
            <w:r w:rsidR="00250ED0" w:rsidRPr="00D10A45">
              <w:rPr>
                <w:szCs w:val="22"/>
                <w:lang w:val="fr-FR"/>
              </w:rPr>
              <w:t xml:space="preserve"> et </w:t>
            </w:r>
            <w:r w:rsidRPr="00D10A45">
              <w:rPr>
                <w:szCs w:val="22"/>
                <w:lang w:val="fr-FR"/>
              </w:rPr>
              <w:t>à la législation sur le droit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aute</w:t>
            </w:r>
            <w:r w:rsidR="00CB0FF7" w:rsidRPr="00D10A45">
              <w:rPr>
                <w:szCs w:val="22"/>
                <w:lang w:val="fr-FR"/>
              </w:rPr>
              <w:t>ur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Un</w:t>
            </w:r>
            <w:r w:rsidR="00472B8F" w:rsidRPr="00D10A45">
              <w:rPr>
                <w:szCs w:val="22"/>
                <w:lang w:val="fr-FR"/>
              </w:rPr>
              <w:t xml:space="preserve">e consultation intergouvernementale restreinte de haut niveau a été tenue en </w:t>
            </w:r>
            <w:r w:rsidR="0090337E" w:rsidRPr="00D10A45">
              <w:rPr>
                <w:szCs w:val="22"/>
                <w:lang w:val="fr-FR"/>
              </w:rPr>
              <w:t>février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20</w:t>
            </w:r>
            <w:r w:rsidR="00472B8F" w:rsidRPr="00D10A45">
              <w:rPr>
                <w:szCs w:val="22"/>
                <w:lang w:val="fr-FR"/>
              </w:rPr>
              <w:t>17 afin de discuter des propositions de modification du tex</w:t>
            </w:r>
            <w:r w:rsidR="00CB0FF7" w:rsidRPr="00D10A45">
              <w:rPr>
                <w:szCs w:val="22"/>
                <w:lang w:val="fr-FR"/>
              </w:rPr>
              <w:t>te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36533C" w:rsidRPr="00D10A45">
              <w:rPr>
                <w:szCs w:val="22"/>
                <w:lang w:val="fr-FR"/>
              </w:rPr>
              <w:t xml:space="preserve"> projet a également mobilisé des compétences </w:t>
            </w:r>
            <w:r w:rsidR="00250ED0" w:rsidRPr="00D10A45">
              <w:rPr>
                <w:szCs w:val="22"/>
                <w:lang w:val="fr-FR"/>
              </w:rPr>
              <w:t>techniques mises à disposition</w:t>
            </w:r>
            <w:r w:rsidR="0036533C" w:rsidRPr="00D10A45">
              <w:rPr>
                <w:szCs w:val="22"/>
                <w:lang w:val="fr-FR"/>
              </w:rPr>
              <w:t xml:space="preserve"> par le Maroc par l</w:t>
            </w:r>
            <w:r w:rsidR="0090337E">
              <w:rPr>
                <w:szCs w:val="22"/>
                <w:lang w:val="fr-FR"/>
              </w:rPr>
              <w:t>’</w:t>
            </w:r>
            <w:r w:rsidR="0036533C" w:rsidRPr="00D10A45">
              <w:rPr>
                <w:szCs w:val="22"/>
                <w:lang w:val="fr-FR"/>
              </w:rPr>
              <w:t>intermédiaire d</w:t>
            </w:r>
            <w:r w:rsidR="0090337E">
              <w:rPr>
                <w:szCs w:val="22"/>
                <w:lang w:val="fr-FR"/>
              </w:rPr>
              <w:t>’</w:t>
            </w:r>
            <w:r w:rsidR="0036533C" w:rsidRPr="00D10A45">
              <w:rPr>
                <w:szCs w:val="22"/>
                <w:lang w:val="fr-FR"/>
              </w:rPr>
              <w:t>experts de</w:t>
            </w:r>
            <w:r w:rsidR="0090337E" w:rsidRPr="00D10A45">
              <w:rPr>
                <w:szCs w:val="22"/>
                <w:lang w:val="fr-FR"/>
              </w:rPr>
              <w:t xml:space="preserve"> la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H</w:t>
            </w:r>
            <w:r w:rsidR="00CB0FF7" w:rsidRPr="00D10A45">
              <w:rPr>
                <w:szCs w:val="22"/>
                <w:lang w:val="fr-FR"/>
              </w:rPr>
              <w:t>ACA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La</w:t>
            </w:r>
            <w:r w:rsidR="0036533C" w:rsidRPr="00D10A45">
              <w:rPr>
                <w:szCs w:val="22"/>
                <w:lang w:val="fr-FR"/>
              </w:rPr>
              <w:t xml:space="preserve"> loi a été adoptée en juin 2017</w:t>
            </w:r>
            <w:r w:rsidR="00250ED0" w:rsidRPr="00D10A45">
              <w:rPr>
                <w:szCs w:val="22"/>
                <w:lang w:val="fr-FR"/>
              </w:rPr>
              <w:t>,</w:t>
            </w:r>
            <w:r w:rsidR="0036533C" w:rsidRPr="00D10A45">
              <w:rPr>
                <w:szCs w:val="22"/>
                <w:lang w:val="fr-FR"/>
              </w:rPr>
              <w:t xml:space="preserve"> ave</w:t>
            </w:r>
            <w:r w:rsidR="00250ED0" w:rsidRPr="00D10A45">
              <w:rPr>
                <w:szCs w:val="22"/>
                <w:lang w:val="fr-FR"/>
              </w:rPr>
              <w:t xml:space="preserve">c les modifications </w:t>
            </w:r>
            <w:r w:rsidR="0036533C" w:rsidRPr="00D10A45">
              <w:rPr>
                <w:szCs w:val="22"/>
                <w:lang w:val="fr-FR"/>
              </w:rPr>
              <w:t>recommandé</w:t>
            </w:r>
            <w:r w:rsidR="00CB0FF7" w:rsidRPr="00D10A45">
              <w:rPr>
                <w:szCs w:val="22"/>
                <w:lang w:val="fr-FR"/>
              </w:rPr>
              <w:t>es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Le</w:t>
            </w:r>
            <w:r w:rsidR="006B4123" w:rsidRPr="00D10A45">
              <w:rPr>
                <w:szCs w:val="22"/>
                <w:lang w:val="fr-FR"/>
              </w:rPr>
              <w:t xml:space="preserve"> texte </w:t>
            </w:r>
            <w:r w:rsidR="00250ED0" w:rsidRPr="00D10A45">
              <w:rPr>
                <w:szCs w:val="22"/>
                <w:lang w:val="fr-FR"/>
              </w:rPr>
              <w:t>a créé un précédent en ce qui concerne la</w:t>
            </w:r>
            <w:r w:rsidR="006B4123" w:rsidRPr="00D10A45">
              <w:rPr>
                <w:szCs w:val="22"/>
                <w:lang w:val="fr-FR"/>
              </w:rPr>
              <w:t xml:space="preserve"> </w:t>
            </w:r>
            <w:r w:rsidR="00D22E27">
              <w:rPr>
                <w:szCs w:val="22"/>
                <w:lang w:val="fr-FR"/>
              </w:rPr>
              <w:t>réglementation</w:t>
            </w:r>
            <w:r w:rsidR="006B4123" w:rsidRPr="00D10A45">
              <w:rPr>
                <w:szCs w:val="22"/>
                <w:lang w:val="fr-FR"/>
              </w:rPr>
              <w:t xml:space="preserve"> du secteur </w:t>
            </w:r>
            <w:r w:rsidR="00250ED0" w:rsidRPr="00D10A45">
              <w:rPr>
                <w:szCs w:val="22"/>
                <w:lang w:val="fr-FR"/>
              </w:rPr>
              <w:t>de l</w:t>
            </w:r>
            <w:r w:rsidR="0090337E">
              <w:rPr>
                <w:szCs w:val="22"/>
                <w:lang w:val="fr-FR"/>
              </w:rPr>
              <w:t>’</w:t>
            </w:r>
            <w:r w:rsidR="00250ED0" w:rsidRPr="00D10A45">
              <w:rPr>
                <w:szCs w:val="22"/>
                <w:lang w:val="fr-FR"/>
              </w:rPr>
              <w:t xml:space="preserve">audiovisuel en </w:t>
            </w:r>
            <w:r w:rsidR="006B4123" w:rsidRPr="00D10A45">
              <w:rPr>
                <w:szCs w:val="22"/>
                <w:lang w:val="fr-FR"/>
              </w:rPr>
              <w:t>Afrique de l</w:t>
            </w:r>
            <w:r w:rsidR="0090337E">
              <w:rPr>
                <w:szCs w:val="22"/>
                <w:lang w:val="fr-FR"/>
              </w:rPr>
              <w:t>’</w:t>
            </w:r>
            <w:r w:rsidR="006B4123" w:rsidRPr="00D10A45">
              <w:rPr>
                <w:szCs w:val="22"/>
                <w:lang w:val="fr-FR"/>
              </w:rPr>
              <w:t>Ouest.</w:t>
            </w:r>
          </w:p>
          <w:p w14:paraId="15017EDC" w14:textId="39EC0F4B" w:rsidR="00B10BCF" w:rsidRPr="00D10A45" w:rsidRDefault="004470EB" w:rsidP="00D10A45">
            <w:pPr>
              <w:numPr>
                <w:ilvl w:val="0"/>
                <w:numId w:val="43"/>
              </w:numPr>
              <w:spacing w:line="280" w:lineRule="exact"/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Une formation a également été dis</w:t>
            </w:r>
            <w:r w:rsidR="00F2577D" w:rsidRPr="00D10A45">
              <w:rPr>
                <w:szCs w:val="22"/>
                <w:lang w:val="fr-FR"/>
              </w:rPr>
              <w:t>pensée à</w:t>
            </w:r>
            <w:r w:rsidR="0090337E" w:rsidRPr="00D10A45">
              <w:rPr>
                <w:szCs w:val="22"/>
                <w:lang w:val="fr-FR"/>
              </w:rPr>
              <w:t xml:space="preserve"> la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SOD</w:t>
            </w:r>
            <w:r w:rsidR="00F2577D" w:rsidRPr="00D10A45">
              <w:rPr>
                <w:szCs w:val="22"/>
                <w:lang w:val="fr-FR"/>
              </w:rPr>
              <w:t>AV sur le thème</w:t>
            </w:r>
            <w:r w:rsidRPr="00D10A45">
              <w:rPr>
                <w:szCs w:val="22"/>
                <w:lang w:val="fr-FR"/>
              </w:rPr>
              <w:t xml:space="preserve"> des droits audiovisuels et des droits des artistes interprètes ou exécutan</w:t>
            </w:r>
            <w:r w:rsidR="00CB0FF7" w:rsidRPr="00D10A45">
              <w:rPr>
                <w:szCs w:val="22"/>
                <w:lang w:val="fr-FR"/>
              </w:rPr>
              <w:t>ts</w:t>
            </w:r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El</w:t>
            </w:r>
            <w:r w:rsidR="0059367E" w:rsidRPr="00D10A45">
              <w:rPr>
                <w:szCs w:val="22"/>
                <w:lang w:val="fr-FR"/>
              </w:rPr>
              <w:t>le a été réalisée en coopération avec l</w:t>
            </w:r>
            <w:r w:rsidR="0090337E">
              <w:rPr>
                <w:szCs w:val="22"/>
                <w:lang w:val="fr-FR"/>
              </w:rPr>
              <w:t>’</w:t>
            </w:r>
            <w:r w:rsidR="0059367E" w:rsidRPr="00D10A45">
              <w:rPr>
                <w:szCs w:val="22"/>
                <w:lang w:val="fr-FR"/>
              </w:rPr>
              <w:t>A</w:t>
            </w:r>
            <w:r w:rsidR="00F2577D" w:rsidRPr="00D10A45">
              <w:rPr>
                <w:szCs w:val="22"/>
                <w:lang w:val="fr-FR"/>
              </w:rPr>
              <w:t>EPO</w:t>
            </w:r>
            <w:r w:rsidR="0059367E" w:rsidRPr="00D10A45">
              <w:rPr>
                <w:szCs w:val="22"/>
                <w:lang w:val="fr-FR"/>
              </w:rPr>
              <w:t>.</w:t>
            </w:r>
            <w:r w:rsidR="00F2577D" w:rsidRPr="00D10A45">
              <w:rPr>
                <w:szCs w:val="22"/>
                <w:lang w:val="fr-FR"/>
              </w:rPr>
              <w:t xml:space="preserve">  </w:t>
            </w:r>
            <w:r w:rsidR="0059367E" w:rsidRPr="00D10A45">
              <w:rPr>
                <w:szCs w:val="22"/>
                <w:lang w:val="fr-FR"/>
              </w:rPr>
              <w:t>À l</w:t>
            </w:r>
            <w:r w:rsidR="0090337E">
              <w:rPr>
                <w:szCs w:val="22"/>
                <w:lang w:val="fr-FR"/>
              </w:rPr>
              <w:t>’</w:t>
            </w:r>
            <w:r w:rsidR="0059367E" w:rsidRPr="00D10A45">
              <w:rPr>
                <w:szCs w:val="22"/>
                <w:lang w:val="fr-FR"/>
              </w:rPr>
              <w:t>issue d</w:t>
            </w:r>
            <w:r w:rsidR="0090337E">
              <w:rPr>
                <w:szCs w:val="22"/>
                <w:lang w:val="fr-FR"/>
              </w:rPr>
              <w:t>’</w:t>
            </w:r>
            <w:r w:rsidR="0059367E" w:rsidRPr="00D10A45">
              <w:rPr>
                <w:szCs w:val="22"/>
                <w:lang w:val="fr-FR"/>
              </w:rPr>
              <w:t>une mission d</w:t>
            </w:r>
            <w:r w:rsidR="0090337E">
              <w:rPr>
                <w:szCs w:val="22"/>
                <w:lang w:val="fr-FR"/>
              </w:rPr>
              <w:t>’</w:t>
            </w:r>
            <w:r w:rsidR="0059367E" w:rsidRPr="00D10A45">
              <w:rPr>
                <w:szCs w:val="22"/>
                <w:lang w:val="fr-FR"/>
              </w:rPr>
              <w:t xml:space="preserve">experts, un programme de travail a été mis au point pour appuyer le développement de </w:t>
            </w:r>
            <w:r w:rsidR="00F2577D" w:rsidRPr="00D10A45">
              <w:rPr>
                <w:szCs w:val="22"/>
                <w:lang w:val="fr-FR"/>
              </w:rPr>
              <w:t>cette</w:t>
            </w:r>
            <w:r w:rsidR="0059367E" w:rsidRPr="00D10A45">
              <w:rPr>
                <w:szCs w:val="22"/>
                <w:lang w:val="fr-FR"/>
              </w:rPr>
              <w:t xml:space="preserve"> structure.</w:t>
            </w:r>
          </w:p>
          <w:p w14:paraId="756C6F72" w14:textId="77777777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02A00C9D" w14:textId="5F77FB68" w:rsidR="0090337E" w:rsidRDefault="009C0835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Par ailleurs,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infrastructure mondiale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OMPI fournit un appui en matière de gestion collective </w:t>
            </w:r>
            <w:r w:rsidR="00E73D90" w:rsidRPr="00D10A45">
              <w:rPr>
                <w:szCs w:val="22"/>
                <w:lang w:val="fr-FR"/>
              </w:rPr>
              <w:t>grâce au</w:t>
            </w:r>
            <w:r w:rsidRPr="00D10A45">
              <w:rPr>
                <w:szCs w:val="22"/>
                <w:lang w:val="fr-FR"/>
              </w:rPr>
              <w:t xml:space="preserve"> développement du logiciel WIPO </w:t>
            </w:r>
            <w:proofErr w:type="spellStart"/>
            <w:r w:rsidRPr="00D10A45">
              <w:rPr>
                <w:szCs w:val="22"/>
                <w:lang w:val="fr-FR"/>
              </w:rPr>
              <w:t>Conne</w:t>
            </w:r>
            <w:r w:rsidR="00CB0FF7" w:rsidRPr="00D10A45">
              <w:rPr>
                <w:szCs w:val="22"/>
                <w:lang w:val="fr-FR"/>
              </w:rPr>
              <w:t>ct</w:t>
            </w:r>
            <w:proofErr w:type="spellEnd"/>
            <w:r w:rsidR="00CB0FF7">
              <w:rPr>
                <w:szCs w:val="22"/>
                <w:lang w:val="fr-FR"/>
              </w:rPr>
              <w:t xml:space="preserve">.  </w:t>
            </w:r>
            <w:r w:rsidR="00CB0FF7" w:rsidRPr="00D10A45">
              <w:rPr>
                <w:szCs w:val="22"/>
                <w:lang w:val="fr-FR"/>
              </w:rPr>
              <w:t>Mê</w:t>
            </w:r>
            <w:r w:rsidR="00C7636F" w:rsidRPr="00D10A45">
              <w:rPr>
                <w:szCs w:val="22"/>
                <w:lang w:val="fr-FR"/>
              </w:rPr>
              <w:t>me si ce dernier ne couvre pas encore les droits audiovisuels, son développement est suivi par l</w:t>
            </w:r>
            <w:r w:rsidR="0090337E">
              <w:rPr>
                <w:szCs w:val="22"/>
                <w:lang w:val="fr-FR"/>
              </w:rPr>
              <w:t>’</w:t>
            </w:r>
            <w:r w:rsidR="00C7636F" w:rsidRPr="00D10A45">
              <w:rPr>
                <w:szCs w:val="22"/>
                <w:lang w:val="fr-FR"/>
              </w:rPr>
              <w:t>organis</w:t>
            </w:r>
            <w:r w:rsidR="008F62CD" w:rsidRPr="00D10A45">
              <w:rPr>
                <w:szCs w:val="22"/>
                <w:lang w:val="fr-FR"/>
              </w:rPr>
              <w:t>ation</w:t>
            </w:r>
            <w:r w:rsidR="00C7636F" w:rsidRPr="00D10A45">
              <w:rPr>
                <w:szCs w:val="22"/>
                <w:lang w:val="fr-FR"/>
              </w:rPr>
              <w:t xml:space="preserve"> de gestion collective, qui considère le logiciel comme un instrument utile pour mettre en place une gestion efficace des données dans ce domaine.</w:t>
            </w:r>
          </w:p>
          <w:p w14:paraId="4334FD52" w14:textId="0AE15C56" w:rsidR="00B10BCF" w:rsidRPr="00D10A45" w:rsidRDefault="00B10BCF" w:rsidP="00D10A45">
            <w:pPr>
              <w:autoSpaceDE w:val="0"/>
              <w:autoSpaceDN w:val="0"/>
              <w:adjustRightInd w:val="0"/>
              <w:spacing w:line="280" w:lineRule="exact"/>
              <w:rPr>
                <w:bCs/>
                <w:i/>
                <w:iCs/>
                <w:szCs w:val="22"/>
                <w:lang w:val="fr-FR" w:bidi="th-TH"/>
              </w:rPr>
            </w:pPr>
          </w:p>
          <w:p w14:paraId="030F20EB" w14:textId="70E341C1" w:rsidR="0090337E" w:rsidRDefault="00C7636F" w:rsidP="00D10A45">
            <w:pPr>
              <w:spacing w:line="280" w:lineRule="exact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Il est également à signaler que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UEMOA a adopté une directive visant à harmoniser la législation de ses États membres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audiovisuel</w:t>
            </w:r>
            <w:r w:rsidRPr="00D10A45">
              <w:rPr>
                <w:rStyle w:val="FootnoteReference"/>
                <w:szCs w:val="22"/>
                <w:lang w:val="fr-FR"/>
              </w:rPr>
              <w:footnoteReference w:id="4"/>
            </w:r>
            <w:r w:rsidRPr="00D10A45">
              <w:rPr>
                <w:szCs w:val="22"/>
                <w:lang w:val="fr-FR"/>
              </w:rPr>
              <w:t>.</w:t>
            </w:r>
            <w:r w:rsidR="00883347" w:rsidRPr="00D10A45">
              <w:rPr>
                <w:szCs w:val="22"/>
                <w:lang w:val="fr-FR"/>
              </w:rPr>
              <w:t xml:space="preserve">  </w:t>
            </w:r>
            <w:r w:rsidRPr="00D10A45">
              <w:rPr>
                <w:szCs w:val="22"/>
                <w:lang w:val="fr-FR"/>
              </w:rPr>
              <w:t>La plupart des bénéficiaires du projet ont contribué à la négociation et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adoption du texte.</w:t>
            </w:r>
          </w:p>
          <w:p w14:paraId="4DFC4AF9" w14:textId="51108D72" w:rsidR="00B10BCF" w:rsidRPr="00D10A45" w:rsidRDefault="00B10BCF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21347D92" w14:textId="6991A764" w:rsidR="00B10BCF" w:rsidRPr="00D10A45" w:rsidRDefault="003D6AE1" w:rsidP="00D10A45">
            <w:pPr>
              <w:pStyle w:val="Default"/>
              <w:numPr>
                <w:ilvl w:val="0"/>
                <w:numId w:val="13"/>
              </w:numPr>
              <w:ind w:left="1134" w:hanging="567"/>
              <w:rPr>
                <w:bCs/>
                <w:iCs/>
                <w:color w:val="auto"/>
                <w:sz w:val="22"/>
                <w:szCs w:val="22"/>
                <w:lang w:val="fr-FR" w:bidi="th-TH"/>
              </w:rPr>
            </w:pPr>
            <w:r w:rsidRPr="00D10A45">
              <w:rPr>
                <w:bCs/>
                <w:iCs/>
                <w:color w:val="auto"/>
                <w:sz w:val="22"/>
                <w:szCs w:val="22"/>
                <w:lang w:val="fr-FR" w:bidi="th-TH"/>
              </w:rPr>
              <w:t>OBSERVATIONS ET COMMENTAIRES</w:t>
            </w:r>
          </w:p>
          <w:p w14:paraId="13CFA703" w14:textId="77777777" w:rsidR="00D10A45" w:rsidRPr="00D10A45" w:rsidRDefault="00D10A45" w:rsidP="00D10A45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fr-FR" w:bidi="th-TH"/>
              </w:rPr>
            </w:pPr>
          </w:p>
          <w:p w14:paraId="077013ED" w14:textId="1AE938A0" w:rsidR="0090337E" w:rsidRDefault="00A33787" w:rsidP="00D10A45">
            <w:pPr>
              <w:pStyle w:val="Default"/>
              <w:rPr>
                <w:color w:val="auto"/>
                <w:sz w:val="22"/>
                <w:szCs w:val="22"/>
                <w:lang w:val="fr-FR"/>
              </w:rPr>
            </w:pPr>
            <w:r w:rsidRPr="00D10A45">
              <w:rPr>
                <w:color w:val="auto"/>
                <w:sz w:val="22"/>
                <w:szCs w:val="22"/>
                <w:lang w:val="fr-FR"/>
              </w:rPr>
              <w:t xml:space="preserve">Un suivi </w:t>
            </w:r>
            <w:r w:rsidR="000A3DD3" w:rsidRPr="00D10A45">
              <w:rPr>
                <w:color w:val="auto"/>
                <w:sz w:val="22"/>
                <w:szCs w:val="22"/>
                <w:lang w:val="fr-FR"/>
              </w:rPr>
              <w:t>rigoureux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 était indispensable </w:t>
            </w:r>
            <w:r w:rsidR="00541B8E" w:rsidRPr="00D10A45">
              <w:rPr>
                <w:color w:val="auto"/>
                <w:sz w:val="22"/>
                <w:szCs w:val="22"/>
                <w:lang w:val="fr-FR"/>
              </w:rPr>
              <w:t>eu égard à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 la diversité des activités et des parties prenantes au projet, ainsi que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>expérience, des besoins et des particularités de chaque pays pilote.</w:t>
            </w:r>
          </w:p>
          <w:p w14:paraId="1B583320" w14:textId="583299A0" w:rsidR="00B10BCF" w:rsidRPr="00D10A45" w:rsidRDefault="00541B8E" w:rsidP="00D10A45">
            <w:pPr>
              <w:pStyle w:val="Default"/>
              <w:rPr>
                <w:color w:val="auto"/>
                <w:sz w:val="22"/>
                <w:szCs w:val="22"/>
                <w:lang w:val="fr-FR"/>
              </w:rPr>
            </w:pPr>
            <w:r w:rsidRPr="00D10A45">
              <w:rPr>
                <w:color w:val="auto"/>
                <w:sz w:val="22"/>
                <w:szCs w:val="22"/>
                <w:lang w:val="fr-FR"/>
              </w:rPr>
              <w:t xml:space="preserve">Compte tenu des 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 xml:space="preserve">caractéristiques de chaque pays pilote, et 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de 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>la rapidité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>évolution des technologies et des marchés,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 il était nécessaire de faire preuve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une 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 xml:space="preserve">certaine flexibilité 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 xml:space="preserve">dans 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 xml:space="preserve">la mise en </w:t>
            </w:r>
            <w:r w:rsidRPr="00D10A45">
              <w:rPr>
                <w:color w:val="auto"/>
                <w:sz w:val="22"/>
                <w:szCs w:val="22"/>
                <w:lang w:val="fr-FR"/>
              </w:rPr>
              <w:t>œuvre</w:t>
            </w:r>
            <w:r w:rsidR="007267AA" w:rsidRPr="00D10A45">
              <w:rPr>
                <w:color w:val="auto"/>
                <w:sz w:val="22"/>
                <w:szCs w:val="22"/>
                <w:lang w:val="fr-FR"/>
              </w:rPr>
              <w:t xml:space="preserve"> du projet.</w:t>
            </w:r>
          </w:p>
          <w:p w14:paraId="21AE16E3" w14:textId="77777777" w:rsidR="00B10BCF" w:rsidRPr="00D10A45" w:rsidRDefault="00B10BCF" w:rsidP="00D10A45">
            <w:pPr>
              <w:pStyle w:val="Default"/>
              <w:rPr>
                <w:color w:val="auto"/>
                <w:sz w:val="22"/>
                <w:szCs w:val="22"/>
                <w:lang w:val="fr-FR"/>
              </w:rPr>
            </w:pPr>
          </w:p>
          <w:p w14:paraId="4EFB30CC" w14:textId="762A094E" w:rsidR="00B10BCF" w:rsidRPr="00D10A45" w:rsidRDefault="0004505E" w:rsidP="00D10A45">
            <w:pPr>
              <w:numPr>
                <w:ilvl w:val="0"/>
                <w:numId w:val="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Formulaires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évaluation</w:t>
            </w:r>
            <w:r w:rsidR="0090337E">
              <w:rPr>
                <w:szCs w:val="22"/>
                <w:lang w:val="fr-FR"/>
              </w:rPr>
              <w:t> :</w:t>
            </w:r>
            <w:r w:rsidRPr="00D10A45">
              <w:rPr>
                <w:szCs w:val="22"/>
                <w:lang w:val="fr-FR"/>
              </w:rPr>
              <w:t xml:space="preserve"> à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issue de chaque séance de formation et après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 xml:space="preserve">achèvement du projet, les participants </w:t>
            </w:r>
            <w:r w:rsidR="00541B8E" w:rsidRPr="00D10A45">
              <w:rPr>
                <w:szCs w:val="22"/>
                <w:lang w:val="fr-FR"/>
              </w:rPr>
              <w:t>étaient</w:t>
            </w:r>
            <w:r w:rsidRPr="00D10A45">
              <w:rPr>
                <w:szCs w:val="22"/>
                <w:lang w:val="fr-FR"/>
              </w:rPr>
              <w:t xml:space="preserve"> invités à remplir des formulaires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évaluation et à formuler des observations et des suggestions.</w:t>
            </w:r>
          </w:p>
          <w:p w14:paraId="158BD788" w14:textId="77777777" w:rsidR="00B10BCF" w:rsidRPr="00D10A45" w:rsidRDefault="00B10BCF" w:rsidP="00D10A45">
            <w:pPr>
              <w:ind w:left="1134" w:hanging="567"/>
              <w:rPr>
                <w:szCs w:val="22"/>
                <w:lang w:val="fr-FR"/>
              </w:rPr>
            </w:pPr>
          </w:p>
          <w:p w14:paraId="71193E1D" w14:textId="26181A0F" w:rsidR="00B10BCF" w:rsidRPr="00D10A45" w:rsidRDefault="00F533EA" w:rsidP="00D10A45">
            <w:pPr>
              <w:numPr>
                <w:ilvl w:val="0"/>
                <w:numId w:val="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Contacts réguliers</w:t>
            </w:r>
            <w:r w:rsidR="0090337E">
              <w:rPr>
                <w:szCs w:val="22"/>
                <w:lang w:val="fr-FR"/>
              </w:rPr>
              <w:t> :</w:t>
            </w:r>
            <w:r w:rsidRPr="00D10A45">
              <w:rPr>
                <w:szCs w:val="22"/>
                <w:lang w:val="fr-FR"/>
              </w:rPr>
              <w:t xml:space="preserve"> des réunions formelles et informelles, des conférences téléphoniques et des échanges de courriers électroniques ont facilité la gestion du projet.</w:t>
            </w:r>
          </w:p>
          <w:p w14:paraId="7070E361" w14:textId="77777777" w:rsidR="00B10BCF" w:rsidRPr="00D10A45" w:rsidRDefault="00B10BCF" w:rsidP="00D10A45">
            <w:pPr>
              <w:pStyle w:val="ListParagraph"/>
              <w:ind w:left="1134" w:hanging="567"/>
              <w:rPr>
                <w:lang w:val="fr-FR"/>
              </w:rPr>
            </w:pPr>
          </w:p>
          <w:p w14:paraId="67ED6704" w14:textId="3096A364" w:rsidR="0090337E" w:rsidRDefault="00E47EDA" w:rsidP="00D10A45">
            <w:pPr>
              <w:numPr>
                <w:ilvl w:val="0"/>
                <w:numId w:val="5"/>
              </w:numPr>
              <w:ind w:left="1134" w:hanging="567"/>
              <w:rPr>
                <w:szCs w:val="22"/>
                <w:lang w:val="fr-FR"/>
              </w:rPr>
            </w:pPr>
            <w:r w:rsidRPr="00D10A45">
              <w:rPr>
                <w:szCs w:val="22"/>
                <w:lang w:val="fr-FR"/>
              </w:rPr>
              <w:t>Des rapports réguliers sur l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état d</w:t>
            </w:r>
            <w:r w:rsidR="0090337E">
              <w:rPr>
                <w:szCs w:val="22"/>
                <w:lang w:val="fr-FR"/>
              </w:rPr>
              <w:t>’</w:t>
            </w:r>
            <w:r w:rsidRPr="00D10A45">
              <w:rPr>
                <w:szCs w:val="22"/>
                <w:lang w:val="fr-FR"/>
              </w:rPr>
              <w:t>avancement des travaux ont également été présentés</w:t>
            </w:r>
            <w:r w:rsidR="0090337E" w:rsidRPr="00D10A45">
              <w:rPr>
                <w:szCs w:val="22"/>
                <w:lang w:val="fr-FR"/>
              </w:rPr>
              <w:t xml:space="preserve"> au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D10A45">
              <w:rPr>
                <w:szCs w:val="22"/>
                <w:lang w:val="fr-FR"/>
              </w:rPr>
              <w:t>CDI</w:t>
            </w:r>
            <w:r w:rsidRPr="00D10A45">
              <w:rPr>
                <w:szCs w:val="22"/>
                <w:lang w:val="fr-FR"/>
              </w:rPr>
              <w:t>P.</w:t>
            </w:r>
          </w:p>
          <w:p w14:paraId="50BF14F8" w14:textId="71B92C82" w:rsidR="00B10BCF" w:rsidRPr="00D10A45" w:rsidRDefault="00B10BCF" w:rsidP="00D10A45">
            <w:pPr>
              <w:pStyle w:val="Default"/>
              <w:rPr>
                <w:color w:val="auto"/>
                <w:sz w:val="22"/>
                <w:szCs w:val="22"/>
                <w:lang w:val="fr-FR"/>
              </w:rPr>
            </w:pPr>
          </w:p>
          <w:p w14:paraId="497CB448" w14:textId="74E57D59" w:rsidR="006A4C41" w:rsidRPr="00D10A45" w:rsidRDefault="002E4258" w:rsidP="00D10A45">
            <w:pPr>
              <w:rPr>
                <w:szCs w:val="22"/>
                <w:lang w:val="fr-FR"/>
              </w:rPr>
            </w:pPr>
            <w:r w:rsidRPr="00D10A45">
              <w:rPr>
                <w:bCs/>
                <w:iCs/>
                <w:szCs w:val="22"/>
                <w:lang w:val="fr-FR" w:bidi="th-TH"/>
              </w:rPr>
              <w:t>Les avis recueillis par le Secréta</w:t>
            </w:r>
            <w:r w:rsidR="00541B8E" w:rsidRPr="00D10A45">
              <w:rPr>
                <w:bCs/>
                <w:iCs/>
                <w:szCs w:val="22"/>
                <w:lang w:val="fr-FR" w:bidi="th-TH"/>
              </w:rPr>
              <w:t>riat, de même que les résultats</w:t>
            </w:r>
            <w:r w:rsidRPr="00D10A45">
              <w:rPr>
                <w:bCs/>
                <w:iCs/>
                <w:szCs w:val="22"/>
                <w:lang w:val="fr-FR" w:bidi="th-TH"/>
              </w:rPr>
              <w:t xml:space="preserve"> de l</w:t>
            </w:r>
            <w:r w:rsidR="0090337E">
              <w:rPr>
                <w:bCs/>
                <w:iCs/>
                <w:szCs w:val="22"/>
                <w:lang w:val="fr-FR" w:bidi="th-TH"/>
              </w:rPr>
              <w:t>’</w:t>
            </w:r>
            <w:r w:rsidRPr="00D10A45">
              <w:rPr>
                <w:bCs/>
                <w:iCs/>
                <w:szCs w:val="22"/>
                <w:lang w:val="fr-FR" w:bidi="th-TH"/>
              </w:rPr>
              <w:t>étude, ont été très positi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fs</w:t>
            </w:r>
            <w:r w:rsidR="00CB0FF7">
              <w:rPr>
                <w:bCs/>
                <w:iCs/>
                <w:szCs w:val="22"/>
                <w:lang w:val="fr-FR" w:bidi="th-TH"/>
              </w:rPr>
              <w:t xml:space="preserve">.  </w:t>
            </w:r>
            <w:r w:rsidR="00CB0FF7" w:rsidRPr="00D10A45">
              <w:rPr>
                <w:bCs/>
                <w:iCs/>
                <w:szCs w:val="22"/>
                <w:lang w:val="fr-FR" w:bidi="th-TH"/>
              </w:rPr>
              <w:t>Il</w:t>
            </w:r>
            <w:r w:rsidR="0066338E" w:rsidRPr="00D10A45">
              <w:rPr>
                <w:bCs/>
                <w:iCs/>
                <w:szCs w:val="22"/>
                <w:lang w:val="fr-FR" w:bidi="th-TH"/>
              </w:rPr>
              <w:t xml:space="preserve"> en est ressorti que le projet avait présenté un intérêt pour les pays bénéficiaires et les parties prenantes, et que la manière dont i</w:t>
            </w:r>
            <w:r w:rsidR="00541B8E" w:rsidRPr="00D10A45">
              <w:rPr>
                <w:bCs/>
                <w:iCs/>
                <w:szCs w:val="22"/>
                <w:lang w:val="fr-FR" w:bidi="th-TH"/>
              </w:rPr>
              <w:t>l avait été conçu avait permis</w:t>
            </w:r>
            <w:r w:rsidR="0066338E" w:rsidRPr="00D10A45">
              <w:rPr>
                <w:bCs/>
                <w:iCs/>
                <w:szCs w:val="22"/>
                <w:lang w:val="fr-FR" w:bidi="th-TH"/>
              </w:rPr>
              <w:t xml:space="preserve"> de répondre aux besoins des pays bénéficiaires.</w:t>
            </w:r>
          </w:p>
        </w:tc>
      </w:tr>
      <w:tr w:rsidR="003D4CEC" w:rsidRPr="003D4CEC" w14:paraId="6C9DE8B5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055E0C96" w14:textId="3B5B9340" w:rsidR="006A4C41" w:rsidRPr="003D4CEC" w:rsidRDefault="007D50D6" w:rsidP="00D10A45">
            <w:pPr>
              <w:pStyle w:val="Heading3"/>
              <w:keepNext w:val="0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lastRenderedPageBreak/>
              <w:t>Résultats/effets du projet et principaux enseignements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  <w:vAlign w:val="center"/>
          </w:tcPr>
          <w:p w14:paraId="2B48F230" w14:textId="5B979D2C" w:rsidR="0090337E" w:rsidRDefault="00D54D61" w:rsidP="00D10A45">
            <w:pPr>
              <w:numPr>
                <w:ilvl w:val="0"/>
                <w:numId w:val="23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Le projet a fourni un</w:t>
            </w:r>
            <w:r w:rsidR="00541B8E" w:rsidRPr="003D4CEC">
              <w:rPr>
                <w:iCs/>
                <w:szCs w:val="22"/>
                <w:lang w:val="fr-FR"/>
              </w:rPr>
              <w:t>e excellente occasion de donner</w:t>
            </w:r>
            <w:r w:rsidRPr="003D4CEC">
              <w:rPr>
                <w:iCs/>
                <w:szCs w:val="22"/>
                <w:lang w:val="fr-FR"/>
              </w:rPr>
              <w:t xml:space="preserve"> un exemple concret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utilisation du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auteur en Afrique, dans un marché de la création qui connaît un développement rapi</w:t>
            </w:r>
            <w:r w:rsidR="00CB0FF7" w:rsidRPr="003D4CEC">
              <w:rPr>
                <w:iCs/>
                <w:szCs w:val="22"/>
                <w:lang w:val="fr-FR"/>
              </w:rPr>
              <w:t>de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Il</w:t>
            </w:r>
            <w:r w:rsidR="00187468" w:rsidRPr="003D4CEC">
              <w:rPr>
                <w:iCs/>
                <w:szCs w:val="22"/>
                <w:lang w:val="fr-FR"/>
              </w:rPr>
              <w:t xml:space="preserve"> a établi des bases solides en vue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87468" w:rsidRPr="003D4CEC">
              <w:rPr>
                <w:iCs/>
                <w:szCs w:val="22"/>
                <w:lang w:val="fr-FR"/>
              </w:rPr>
              <w:t>une utilisation accrue du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87468" w:rsidRPr="003D4CEC">
              <w:rPr>
                <w:iCs/>
                <w:szCs w:val="22"/>
                <w:lang w:val="fr-FR"/>
              </w:rPr>
              <w:t>auteur dans le secteur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87468" w:rsidRPr="003D4CEC">
              <w:rPr>
                <w:iCs/>
                <w:szCs w:val="22"/>
                <w:lang w:val="fr-FR"/>
              </w:rPr>
              <w:t>audiovisuel.</w:t>
            </w:r>
          </w:p>
          <w:p w14:paraId="7CB5AA33" w14:textId="199604F5" w:rsidR="00B10BCF" w:rsidRPr="003D4CEC" w:rsidRDefault="00B10BCF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4D67D3B1" w14:textId="3498224E" w:rsidR="0090337E" w:rsidRDefault="00187468" w:rsidP="00D10A45">
            <w:pPr>
              <w:numPr>
                <w:ilvl w:val="0"/>
                <w:numId w:val="23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Les modalités de conception et de mise en </w:t>
            </w:r>
            <w:r w:rsidR="00541B8E" w:rsidRPr="003D4CEC">
              <w:rPr>
                <w:iCs/>
                <w:szCs w:val="22"/>
                <w:lang w:val="fr-FR"/>
              </w:rPr>
              <w:t>œuvre</w:t>
            </w:r>
            <w:r w:rsidRPr="003D4CEC">
              <w:rPr>
                <w:iCs/>
                <w:szCs w:val="22"/>
                <w:lang w:val="fr-FR"/>
              </w:rPr>
              <w:t xml:space="preserve"> des objectifs du projet ont été élaborées en étroite consultation avec les pays pilotes et en fonction de leurs besoi</w:t>
            </w:r>
            <w:r w:rsidR="00CB0FF7" w:rsidRPr="003D4CEC">
              <w:rPr>
                <w:iCs/>
                <w:szCs w:val="22"/>
                <w:lang w:val="fr-FR"/>
              </w:rPr>
              <w:t>ns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Un</w:t>
            </w:r>
            <w:r w:rsidR="004F124D" w:rsidRPr="003D4CEC">
              <w:rPr>
                <w:iCs/>
                <w:szCs w:val="22"/>
                <w:lang w:val="fr-FR"/>
              </w:rPr>
              <w:t>e coordination soutenue avec les coordonnateurs locaux a permis de mettre au point une d</w:t>
            </w:r>
            <w:r w:rsidR="00541B8E" w:rsidRPr="003D4CEC">
              <w:rPr>
                <w:iCs/>
                <w:szCs w:val="22"/>
                <w:lang w:val="fr-FR"/>
              </w:rPr>
              <w:t xml:space="preserve">émarche commune et de fixer les </w:t>
            </w:r>
            <w:r w:rsidR="004F124D" w:rsidRPr="003D4CEC">
              <w:rPr>
                <w:iCs/>
                <w:szCs w:val="22"/>
                <w:lang w:val="fr-FR"/>
              </w:rPr>
              <w:t>objecti</w:t>
            </w:r>
            <w:r w:rsidR="00541B8E" w:rsidRPr="003D4CEC">
              <w:rPr>
                <w:iCs/>
                <w:szCs w:val="22"/>
                <w:lang w:val="fr-FR"/>
              </w:rPr>
              <w:t>fs de façon concert</w:t>
            </w:r>
            <w:r w:rsidR="00CB0FF7" w:rsidRPr="003D4CEC">
              <w:rPr>
                <w:iCs/>
                <w:szCs w:val="22"/>
                <w:lang w:val="fr-FR"/>
              </w:rPr>
              <w:t>ée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Ma</w:t>
            </w:r>
            <w:r w:rsidR="00C65A07" w:rsidRPr="003D4CEC">
              <w:rPr>
                <w:iCs/>
                <w:szCs w:val="22"/>
                <w:lang w:val="fr-FR"/>
              </w:rPr>
              <w:t>lgré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C65A07" w:rsidRPr="003D4CEC">
              <w:rPr>
                <w:iCs/>
                <w:szCs w:val="22"/>
                <w:lang w:val="fr-FR"/>
              </w:rPr>
              <w:t>absence de rémunération des coordonnateurs, le projet a bénéficié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C65A07" w:rsidRPr="003D4CEC">
              <w:rPr>
                <w:iCs/>
                <w:szCs w:val="22"/>
                <w:lang w:val="fr-FR"/>
              </w:rPr>
              <w:t>appui efficace et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C65A07" w:rsidRPr="003D4CEC">
              <w:rPr>
                <w:iCs/>
                <w:szCs w:val="22"/>
                <w:lang w:val="fr-FR"/>
              </w:rPr>
              <w:t>adhésion de tous les pays bénéficiair</w:t>
            </w:r>
            <w:r w:rsidR="00CB0FF7" w:rsidRPr="003D4CEC">
              <w:rPr>
                <w:iCs/>
                <w:szCs w:val="22"/>
                <w:lang w:val="fr-FR"/>
              </w:rPr>
              <w:t>es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Il</w:t>
            </w:r>
            <w:r w:rsidR="00947FAD" w:rsidRPr="003D4CEC">
              <w:rPr>
                <w:iCs/>
                <w:szCs w:val="22"/>
                <w:lang w:val="fr-FR"/>
              </w:rPr>
              <w:t xml:space="preserve"> a été mis en </w:t>
            </w:r>
            <w:r w:rsidR="00541B8E" w:rsidRPr="003D4CEC">
              <w:rPr>
                <w:iCs/>
                <w:szCs w:val="22"/>
                <w:lang w:val="fr-FR"/>
              </w:rPr>
              <w:t>œuvre</w:t>
            </w:r>
            <w:r w:rsidR="00947FAD" w:rsidRPr="003D4CEC">
              <w:rPr>
                <w:iCs/>
                <w:szCs w:val="22"/>
                <w:lang w:val="fr-FR"/>
              </w:rPr>
              <w:t xml:space="preserve"> dans les délais, bien que la coordination des </w:t>
            </w:r>
            <w:r w:rsidR="00541B8E" w:rsidRPr="003D4CEC">
              <w:rPr>
                <w:iCs/>
                <w:szCs w:val="22"/>
                <w:lang w:val="fr-FR"/>
              </w:rPr>
              <w:t>questions</w:t>
            </w:r>
            <w:r w:rsidR="00947FAD" w:rsidRPr="003D4CEC">
              <w:rPr>
                <w:iCs/>
                <w:szCs w:val="22"/>
                <w:lang w:val="fr-FR"/>
              </w:rPr>
              <w:t xml:space="preserve"> administ</w:t>
            </w:r>
            <w:r w:rsidR="00541B8E" w:rsidRPr="003D4CEC">
              <w:rPr>
                <w:iCs/>
                <w:szCs w:val="22"/>
                <w:lang w:val="fr-FR"/>
              </w:rPr>
              <w:t>ratives et organisationnelles</w:t>
            </w:r>
            <w:r w:rsidR="00947FAD" w:rsidRPr="003D4CEC">
              <w:rPr>
                <w:iCs/>
                <w:szCs w:val="22"/>
                <w:lang w:val="fr-FR"/>
              </w:rPr>
              <w:t xml:space="preserve"> ait souvent nécessité beaucoup de temps</w:t>
            </w:r>
            <w:r w:rsidR="00EE3BEC" w:rsidRPr="003D4CEC">
              <w:rPr>
                <w:iCs/>
                <w:szCs w:val="22"/>
                <w:lang w:val="fr-FR"/>
              </w:rPr>
              <w:t>.</w:t>
            </w:r>
          </w:p>
          <w:p w14:paraId="343F2DE2" w14:textId="287FE458" w:rsidR="00B10BCF" w:rsidRPr="003D4CEC" w:rsidRDefault="00B10BCF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2C72B02A" w14:textId="4EB4DE4A" w:rsidR="0090337E" w:rsidRDefault="004F14C1" w:rsidP="00D10A45">
            <w:pPr>
              <w:numPr>
                <w:ilvl w:val="0"/>
                <w:numId w:val="23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En ce qui concerne la méthode de formation, le projet s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est heurté à une méconnaissance de la manière dont le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auteur peut être utilisé comme instrument de développement dans le secte</w:t>
            </w:r>
            <w:r w:rsidR="00CB0FF7" w:rsidRPr="003D4CEC">
              <w:rPr>
                <w:iCs/>
                <w:szCs w:val="22"/>
                <w:lang w:val="fr-FR"/>
              </w:rPr>
              <w:t>ur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Un</w:t>
            </w:r>
            <w:r w:rsidR="00590C55" w:rsidRPr="003D4CEC">
              <w:rPr>
                <w:iCs/>
                <w:szCs w:val="22"/>
                <w:lang w:val="fr-FR"/>
              </w:rPr>
              <w:t>e grande partie des professionnels du cinéma travaillent de manière isolée et ont peu de contacts avec les autorités nationales et les autres acteurs du secteur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590C55" w:rsidRPr="003D4CEC">
              <w:rPr>
                <w:iCs/>
                <w:szCs w:val="22"/>
                <w:lang w:val="fr-FR"/>
              </w:rPr>
              <w:t>audiovisu</w:t>
            </w:r>
            <w:r w:rsidR="00CB0FF7" w:rsidRPr="003D4CEC">
              <w:rPr>
                <w:iCs/>
                <w:szCs w:val="22"/>
                <w:lang w:val="fr-FR"/>
              </w:rPr>
              <w:t>el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Le</w:t>
            </w:r>
            <w:r w:rsidR="00E03011" w:rsidRPr="003D4CEC">
              <w:rPr>
                <w:iCs/>
                <w:szCs w:val="22"/>
                <w:lang w:val="fr-FR"/>
              </w:rPr>
              <w:t xml:space="preserve">s séances de formation et le caractère horizontal du projet se sont donc avérés utiles pour créer et structurer un dialogue soutenu entre les professionnels du cinéma et les </w:t>
            </w:r>
            <w:r w:rsidR="00791625" w:rsidRPr="003D4CEC">
              <w:rPr>
                <w:iCs/>
                <w:szCs w:val="22"/>
                <w:lang w:val="fr-FR"/>
              </w:rPr>
              <w:t>agents de l</w:t>
            </w:r>
            <w:r w:rsidR="0090337E">
              <w:rPr>
                <w:iCs/>
                <w:szCs w:val="22"/>
                <w:lang w:val="fr-FR"/>
              </w:rPr>
              <w:t>’État</w:t>
            </w:r>
            <w:r w:rsidR="00E03011" w:rsidRPr="003D4CEC">
              <w:rPr>
                <w:iCs/>
                <w:szCs w:val="22"/>
                <w:lang w:val="fr-FR"/>
              </w:rPr>
              <w:t>.</w:t>
            </w:r>
          </w:p>
          <w:p w14:paraId="4FE77EC8" w14:textId="77777777" w:rsidR="0090337E" w:rsidRDefault="0090337E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07FFF4D4" w14:textId="3E3D4395" w:rsidR="00B10BCF" w:rsidRPr="003D4CEC" w:rsidRDefault="00274703" w:rsidP="00D10A45">
            <w:pPr>
              <w:numPr>
                <w:ilvl w:val="0"/>
                <w:numId w:val="23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Cela a </w:t>
            </w:r>
            <w:r w:rsidR="00791625" w:rsidRPr="003D4CEC">
              <w:rPr>
                <w:iCs/>
                <w:szCs w:val="22"/>
                <w:lang w:val="fr-FR"/>
              </w:rPr>
              <w:t xml:space="preserve">contribué à un accroissement du nombre de </w:t>
            </w:r>
            <w:r w:rsidRPr="003D4CEC">
              <w:rPr>
                <w:iCs/>
                <w:szCs w:val="22"/>
                <w:lang w:val="fr-FR"/>
              </w:rPr>
              <w:t>mesures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aide publique visant à promouvoir le contenu local, le financement du cinéma et le respect du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auteur, et a amélioré le climat des relations entre les différents segments du secte</w:t>
            </w:r>
            <w:r w:rsidR="00CB0FF7" w:rsidRPr="003D4CEC">
              <w:rPr>
                <w:iCs/>
                <w:szCs w:val="22"/>
                <w:lang w:val="fr-FR"/>
              </w:rPr>
              <w:t>ur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Le</w:t>
            </w:r>
            <w:r w:rsidR="001A0DC7" w:rsidRPr="003D4CEC">
              <w:rPr>
                <w:iCs/>
                <w:szCs w:val="22"/>
                <w:lang w:val="fr-FR"/>
              </w:rPr>
              <w:t xml:space="preserve">s </w:t>
            </w:r>
            <w:r w:rsidR="00B25781" w:rsidRPr="003D4CEC">
              <w:rPr>
                <w:iCs/>
                <w:szCs w:val="22"/>
                <w:lang w:val="fr-FR"/>
              </w:rPr>
              <w:t xml:space="preserve">résultats positifs </w:t>
            </w:r>
            <w:r w:rsidR="001A0DC7" w:rsidRPr="003D4CEC">
              <w:rPr>
                <w:iCs/>
                <w:szCs w:val="22"/>
                <w:lang w:val="fr-FR"/>
              </w:rPr>
              <w:t xml:space="preserve">comprennent </w:t>
            </w:r>
            <w:r w:rsidR="00F33DEE" w:rsidRPr="003D4CEC">
              <w:rPr>
                <w:iCs/>
                <w:szCs w:val="22"/>
                <w:lang w:val="fr-FR"/>
              </w:rPr>
              <w:t>notamment</w:t>
            </w:r>
            <w:r w:rsidR="0090337E">
              <w:rPr>
                <w:iCs/>
                <w:szCs w:val="22"/>
                <w:lang w:val="fr-FR"/>
              </w:rPr>
              <w:t> :</w:t>
            </w:r>
          </w:p>
          <w:p w14:paraId="01600F75" w14:textId="77777777" w:rsidR="00B10BCF" w:rsidRPr="003D4CEC" w:rsidRDefault="00B10BCF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2379F8D5" w14:textId="646FB75E" w:rsidR="00B10BCF" w:rsidRPr="003D4CEC" w:rsidRDefault="00C51820" w:rsidP="00D10A45">
            <w:pPr>
              <w:pStyle w:val="Default"/>
              <w:numPr>
                <w:ilvl w:val="0"/>
                <w:numId w:val="44"/>
              </w:numPr>
              <w:spacing w:line="280" w:lineRule="exact"/>
              <w:ind w:left="1701" w:hanging="567"/>
              <w:rPr>
                <w:i/>
                <w:color w:val="auto"/>
                <w:sz w:val="22"/>
                <w:szCs w:val="22"/>
                <w:lang w:val="fr-FR"/>
              </w:rPr>
            </w:pPr>
            <w:proofErr w:type="gramStart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un</w:t>
            </w:r>
            <w:proofErr w:type="gramEnd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recours plus systématique aux contrats de propriété intellectuelle et à l</w:t>
            </w:r>
            <w:r w:rsidR="0090337E">
              <w:rPr>
                <w:i/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enregistrement des </w:t>
            </w:r>
            <w:r w:rsidR="00653A76" w:rsidRPr="003D4CEC">
              <w:rPr>
                <w:i/>
                <w:color w:val="auto"/>
                <w:sz w:val="22"/>
                <w:szCs w:val="22"/>
                <w:lang w:val="fr-FR"/>
              </w:rPr>
              <w:t>œuvres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audiovisuelles;</w:t>
            </w:r>
          </w:p>
          <w:p w14:paraId="7A1B2365" w14:textId="52F0D5F3" w:rsidR="0090337E" w:rsidRDefault="0047202B" w:rsidP="00D10A45">
            <w:pPr>
              <w:pStyle w:val="Default"/>
              <w:numPr>
                <w:ilvl w:val="0"/>
                <w:numId w:val="44"/>
              </w:numPr>
              <w:spacing w:line="280" w:lineRule="exact"/>
              <w:ind w:left="1701" w:hanging="567"/>
              <w:rPr>
                <w:i/>
                <w:color w:val="auto"/>
                <w:sz w:val="22"/>
                <w:szCs w:val="22"/>
                <w:lang w:val="fr-FR"/>
              </w:rPr>
            </w:pPr>
            <w:proofErr w:type="gramStart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une</w:t>
            </w:r>
            <w:proofErr w:type="gramEnd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plus grande clarté de la documentation relative à la chaîne des titres de droit d</w:t>
            </w:r>
            <w:r w:rsidR="0090337E">
              <w:rPr>
                <w:i/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auteur;</w:t>
            </w:r>
          </w:p>
          <w:p w14:paraId="6B5384B2" w14:textId="5C25ACAF" w:rsidR="00B10BCF" w:rsidRPr="003D4CEC" w:rsidRDefault="00DC65C0" w:rsidP="00D10A45">
            <w:pPr>
              <w:pStyle w:val="Default"/>
              <w:numPr>
                <w:ilvl w:val="0"/>
                <w:numId w:val="44"/>
              </w:numPr>
              <w:spacing w:line="280" w:lineRule="exact"/>
              <w:ind w:left="1701" w:hanging="567"/>
              <w:rPr>
                <w:i/>
                <w:color w:val="auto"/>
                <w:sz w:val="22"/>
                <w:szCs w:val="22"/>
                <w:lang w:val="fr-FR"/>
              </w:rPr>
            </w:pPr>
            <w:proofErr w:type="gramStart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des</w:t>
            </w:r>
            <w:proofErr w:type="gramEnd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progrès accomplis aux niveaux national et sous</w:t>
            </w:r>
            <w:r w:rsidR="0090337E">
              <w:rPr>
                <w:i/>
                <w:color w:val="auto"/>
                <w:sz w:val="22"/>
                <w:szCs w:val="22"/>
                <w:lang w:val="fr-FR"/>
              </w:rPr>
              <w:t>-</w:t>
            </w:r>
            <w:proofErr w:type="spellStart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régional.en</w:t>
            </w:r>
            <w:proofErr w:type="spellEnd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matière de politiques et de </w:t>
            </w:r>
            <w:r w:rsidR="00D22E27">
              <w:rPr>
                <w:i/>
                <w:color w:val="auto"/>
                <w:sz w:val="22"/>
                <w:szCs w:val="22"/>
                <w:lang w:val="fr-FR"/>
              </w:rPr>
              <w:t>réglementation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;</w:t>
            </w:r>
          </w:p>
          <w:p w14:paraId="26ED1AE2" w14:textId="6EAD1893" w:rsidR="0090337E" w:rsidRDefault="00382BEE" w:rsidP="00D10A45">
            <w:pPr>
              <w:pStyle w:val="Default"/>
              <w:numPr>
                <w:ilvl w:val="0"/>
                <w:numId w:val="44"/>
              </w:numPr>
              <w:spacing w:line="280" w:lineRule="exact"/>
              <w:ind w:left="1701" w:hanging="567"/>
              <w:rPr>
                <w:i/>
                <w:color w:val="auto"/>
                <w:sz w:val="22"/>
                <w:szCs w:val="22"/>
                <w:lang w:val="fr-FR"/>
              </w:rPr>
            </w:pPr>
            <w:proofErr w:type="gramStart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un</w:t>
            </w:r>
            <w:proofErr w:type="gramEnd"/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recours accru aux avocats et aux juges dans le domaine du droit de l</w:t>
            </w:r>
            <w:r w:rsidR="0090337E">
              <w:rPr>
                <w:i/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audiovisuel et des contrats </w:t>
            </w:r>
            <w:r w:rsidR="00653A76" w:rsidRPr="003D4CEC">
              <w:rPr>
                <w:i/>
                <w:color w:val="auto"/>
                <w:sz w:val="22"/>
                <w:szCs w:val="22"/>
                <w:lang w:val="fr-FR"/>
              </w:rPr>
              <w:t>qui s</w:t>
            </w:r>
            <w:r w:rsidR="0090337E">
              <w:rPr>
                <w:i/>
                <w:color w:val="auto"/>
                <w:sz w:val="22"/>
                <w:szCs w:val="22"/>
                <w:lang w:val="fr-FR"/>
              </w:rPr>
              <w:t>’</w:t>
            </w:r>
            <w:r w:rsidR="00653A76" w:rsidRPr="003D4CEC">
              <w:rPr>
                <w:i/>
                <w:color w:val="auto"/>
                <w:sz w:val="22"/>
                <w:szCs w:val="22"/>
                <w:lang w:val="fr-FR"/>
              </w:rPr>
              <w:t>y rapporte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>nt, et un renforcemen</w:t>
            </w:r>
            <w:r w:rsidR="00C87CE7" w:rsidRPr="003D4CEC">
              <w:rPr>
                <w:i/>
                <w:color w:val="auto"/>
                <w:sz w:val="22"/>
                <w:szCs w:val="22"/>
                <w:lang w:val="fr-FR"/>
              </w:rPr>
              <w:t>t de leurs compétences dans ce</w:t>
            </w:r>
            <w:r w:rsidRPr="003D4CEC">
              <w:rPr>
                <w:i/>
                <w:color w:val="auto"/>
                <w:sz w:val="22"/>
                <w:szCs w:val="22"/>
                <w:lang w:val="fr-FR"/>
              </w:rPr>
              <w:t xml:space="preserve"> domaine.</w:t>
            </w:r>
          </w:p>
          <w:p w14:paraId="40E5CB0E" w14:textId="46DCFD45" w:rsidR="00B10BCF" w:rsidRPr="003D4CEC" w:rsidRDefault="00B10BCF" w:rsidP="00564DE4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67C98C9B" w14:textId="30D86885" w:rsidR="0090337E" w:rsidRDefault="0075688C" w:rsidP="00D10A45">
            <w:pPr>
              <w:pStyle w:val="Default"/>
              <w:numPr>
                <w:ilvl w:val="0"/>
                <w:numId w:val="23"/>
              </w:numPr>
              <w:spacing w:line="280" w:lineRule="exact"/>
              <w:ind w:left="567" w:hanging="567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Les pays bénéficiaires sont des march</w:t>
            </w:r>
            <w:r w:rsidR="00C87CE7" w:rsidRPr="003D4CEC">
              <w:rPr>
                <w:color w:val="auto"/>
                <w:sz w:val="22"/>
                <w:szCs w:val="22"/>
                <w:lang w:val="fr-FR"/>
              </w:rPr>
              <w:t xml:space="preserve">és en transition qui subissent les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conséquences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un passage rapide au numérique et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une expansion de nouveaux modèles </w:t>
            </w:r>
            <w:r w:rsidR="00F26160" w:rsidRPr="003D4CEC">
              <w:rPr>
                <w:color w:val="auto"/>
                <w:sz w:val="22"/>
                <w:szCs w:val="22"/>
                <w:lang w:val="fr-FR"/>
              </w:rPr>
              <w:t>commerciaux</w:t>
            </w:r>
            <w:r w:rsidR="0055538F" w:rsidRPr="003D4CEC">
              <w:rPr>
                <w:color w:val="auto"/>
                <w:sz w:val="22"/>
                <w:szCs w:val="22"/>
                <w:lang w:val="fr-FR"/>
              </w:rPr>
              <w:t>,</w:t>
            </w:r>
            <w:r w:rsidR="00C87CE7" w:rsidRPr="003D4CEC">
              <w:rPr>
                <w:color w:val="auto"/>
                <w:sz w:val="22"/>
                <w:szCs w:val="22"/>
                <w:lang w:val="fr-FR"/>
              </w:rPr>
              <w:t xml:space="preserve"> tels que les </w:t>
            </w:r>
            <w:r w:rsidR="00D22E27">
              <w:rPr>
                <w:color w:val="auto"/>
                <w:sz w:val="22"/>
                <w:szCs w:val="22"/>
                <w:lang w:val="fr-FR"/>
              </w:rPr>
              <w:t>plateformes</w:t>
            </w:r>
            <w:r w:rsidR="00C87CE7" w:rsidRPr="003D4CEC">
              <w:rPr>
                <w:color w:val="auto"/>
                <w:sz w:val="22"/>
                <w:szCs w:val="22"/>
                <w:lang w:val="fr-FR"/>
              </w:rPr>
              <w:t xml:space="preserve"> de diffusion en flux continu</w:t>
            </w:r>
            <w:r w:rsidR="0055538F" w:rsidRPr="003D4CEC">
              <w:rPr>
                <w:color w:val="auto"/>
                <w:sz w:val="22"/>
                <w:szCs w:val="22"/>
                <w:lang w:val="fr-FR"/>
              </w:rPr>
              <w:t xml:space="preserve">, qui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ont</w:t>
            </w:r>
            <w:r w:rsidR="00C87CE7" w:rsidRPr="003D4CEC">
              <w:rPr>
                <w:color w:val="auto"/>
                <w:sz w:val="22"/>
                <w:szCs w:val="22"/>
                <w:lang w:val="fr-FR"/>
              </w:rPr>
              <w:t xml:space="preserve"> profondément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C87CE7" w:rsidRPr="003D4CEC">
              <w:rPr>
                <w:color w:val="auto"/>
                <w:sz w:val="22"/>
                <w:szCs w:val="22"/>
                <w:lang w:val="fr-FR"/>
              </w:rPr>
              <w:t xml:space="preserve">modifié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la don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ne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La</w:t>
            </w:r>
            <w:r w:rsidR="0055538F" w:rsidRPr="003D4CEC">
              <w:rPr>
                <w:color w:val="auto"/>
                <w:sz w:val="22"/>
                <w:szCs w:val="22"/>
                <w:lang w:val="fr-FR"/>
              </w:rPr>
              <w:t xml:space="preserve"> protection des droits et les modalités de leur gestion sont perpétuellement et profondément affecté</w:t>
            </w:r>
            <w:r w:rsidR="00961DE2">
              <w:rPr>
                <w:color w:val="auto"/>
                <w:sz w:val="22"/>
                <w:szCs w:val="22"/>
                <w:lang w:val="fr-FR"/>
              </w:rPr>
              <w:t>es</w:t>
            </w:r>
            <w:r w:rsidR="0055538F" w:rsidRPr="003D4CEC">
              <w:rPr>
                <w:color w:val="auto"/>
                <w:sz w:val="22"/>
                <w:szCs w:val="22"/>
                <w:lang w:val="fr-FR"/>
              </w:rPr>
              <w:t xml:space="preserve"> par ces</w:t>
            </w:r>
            <w:r w:rsidR="005B2249" w:rsidRPr="003D4CEC">
              <w:rPr>
                <w:color w:val="auto"/>
                <w:sz w:val="22"/>
                <w:szCs w:val="22"/>
                <w:lang w:val="fr-FR"/>
              </w:rPr>
              <w:t xml:space="preserve"> évolut</w:t>
            </w:r>
            <w:r w:rsidR="0055538F" w:rsidRPr="003D4CEC">
              <w:rPr>
                <w:color w:val="auto"/>
                <w:sz w:val="22"/>
                <w:szCs w:val="22"/>
                <w:lang w:val="fr-FR"/>
              </w:rPr>
              <w:t xml:space="preserve">ions, </w:t>
            </w:r>
            <w:r w:rsidR="005B2249" w:rsidRPr="003D4CEC">
              <w:rPr>
                <w:color w:val="auto"/>
                <w:sz w:val="22"/>
                <w:szCs w:val="22"/>
                <w:lang w:val="fr-FR"/>
              </w:rPr>
              <w:t xml:space="preserve">et la plupart des pays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peinent à trouver des solutio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ns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Pa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 xml:space="preserve">r conséquent,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 xml:space="preserve">les 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>princ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 xml:space="preserve">ipaux acteurs du marché </w:t>
            </w:r>
            <w:r w:rsidR="008F2D6E" w:rsidRPr="003D4CEC">
              <w:rPr>
                <w:color w:val="auto"/>
                <w:sz w:val="22"/>
                <w:szCs w:val="22"/>
                <w:lang w:val="fr-FR"/>
              </w:rPr>
              <w:t>souhaitent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8F2D6E" w:rsidRPr="003D4CEC">
              <w:rPr>
                <w:color w:val="auto"/>
                <w:sz w:val="22"/>
                <w:szCs w:val="22"/>
                <w:lang w:val="fr-FR"/>
              </w:rPr>
              <w:t xml:space="preserve">toujours autant obtenir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de</w:t>
            </w:r>
            <w:r w:rsidR="008F2D6E" w:rsidRPr="003D4CEC">
              <w:rPr>
                <w:color w:val="auto"/>
                <w:sz w:val="22"/>
                <w:szCs w:val="22"/>
                <w:lang w:val="fr-FR"/>
              </w:rPr>
              <w:t>s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 xml:space="preserve"> conseils et </w:t>
            </w:r>
            <w:r w:rsidR="003D638C" w:rsidRPr="003D4CEC">
              <w:rPr>
                <w:color w:val="auto"/>
                <w:sz w:val="22"/>
                <w:szCs w:val="22"/>
                <w:lang w:val="fr-FR"/>
              </w:rPr>
              <w:t xml:space="preserve">une 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 xml:space="preserve">assistance en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ce qui concerne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>utilisation stratégique du droit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 xml:space="preserve">auteur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au service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 xml:space="preserve">une 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 xml:space="preserve">croissance durable du 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secteur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0A716D" w:rsidRPr="003D4CEC">
              <w:rPr>
                <w:color w:val="auto"/>
                <w:sz w:val="22"/>
                <w:szCs w:val="22"/>
                <w:lang w:val="fr-FR"/>
              </w:rPr>
              <w:t>audiovisuel</w:t>
            </w:r>
            <w:r w:rsidR="008862CF" w:rsidRPr="003D4CEC">
              <w:rPr>
                <w:color w:val="auto"/>
                <w:sz w:val="22"/>
                <w:szCs w:val="22"/>
                <w:lang w:val="fr-FR"/>
              </w:rPr>
              <w:t>.</w:t>
            </w:r>
          </w:p>
          <w:p w14:paraId="13C03572" w14:textId="712D0945" w:rsidR="00B10BCF" w:rsidRPr="003D4CEC" w:rsidRDefault="00B10BCF" w:rsidP="00564DE4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39903715" w14:textId="6B7F291F" w:rsidR="006A4C41" w:rsidRPr="003D4CEC" w:rsidRDefault="008862CF" w:rsidP="00D10A45">
            <w:pPr>
              <w:pStyle w:val="Default"/>
              <w:numPr>
                <w:ilvl w:val="0"/>
                <w:numId w:val="23"/>
              </w:numPr>
              <w:spacing w:line="280" w:lineRule="exact"/>
              <w:ind w:left="567" w:hanging="567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Un projet assorti à des contraintes de temps n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est donc pas suffisant pour </w:t>
            </w:r>
            <w:r w:rsidR="004521E0" w:rsidRPr="003D4CEC">
              <w:rPr>
                <w:color w:val="auto"/>
                <w:sz w:val="22"/>
                <w:szCs w:val="22"/>
                <w:lang w:val="fr-FR"/>
              </w:rPr>
              <w:t xml:space="preserve">induire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des transformations structurelles important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es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Le</w:t>
            </w:r>
            <w:r w:rsidR="00C4545D" w:rsidRPr="003D4CEC">
              <w:rPr>
                <w:color w:val="auto"/>
                <w:sz w:val="22"/>
                <w:szCs w:val="22"/>
                <w:lang w:val="fr-FR"/>
              </w:rPr>
              <w:t xml:space="preserve"> temps nécessaire à </w:t>
            </w:r>
            <w:r w:rsidR="004521E0" w:rsidRPr="003D4CEC">
              <w:rPr>
                <w:color w:val="auto"/>
                <w:sz w:val="22"/>
                <w:szCs w:val="22"/>
                <w:lang w:val="fr-FR"/>
              </w:rPr>
              <w:t>de telles</w:t>
            </w:r>
            <w:r w:rsidR="00C4545D" w:rsidRPr="003D4CEC">
              <w:rPr>
                <w:color w:val="auto"/>
                <w:sz w:val="22"/>
                <w:szCs w:val="22"/>
                <w:lang w:val="fr-FR"/>
              </w:rPr>
              <w:t xml:space="preserve"> transformations excède la durée du projet.</w:t>
            </w:r>
          </w:p>
        </w:tc>
      </w:tr>
      <w:tr w:rsidR="003D4CEC" w:rsidRPr="003D4CEC" w14:paraId="78E0D399" w14:textId="77777777" w:rsidTr="00E83B4B">
        <w:trPr>
          <w:cantSplit/>
        </w:trPr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00F55DEC" w14:textId="1E1701EC" w:rsidR="006A4C41" w:rsidRPr="003D4CEC" w:rsidRDefault="00714B51" w:rsidP="00D10A45">
            <w:pPr>
              <w:pStyle w:val="Heading3"/>
              <w:keepNext w:val="0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 xml:space="preserve">Risques et </w:t>
            </w:r>
            <w:r w:rsidR="003D36DE" w:rsidRPr="003D4CEC">
              <w:rPr>
                <w:szCs w:val="22"/>
                <w:lang w:val="fr-FR"/>
              </w:rPr>
              <w:t>mesures de prévention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57E01D4A" w14:textId="0F6BED52" w:rsidR="00B10BCF" w:rsidRPr="003D4CEC" w:rsidRDefault="00847AD6" w:rsidP="00564DE4">
            <w:pPr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Risques</w:t>
            </w:r>
            <w:r w:rsidR="0090337E">
              <w:rPr>
                <w:iCs/>
                <w:szCs w:val="22"/>
                <w:lang w:val="fr-FR"/>
              </w:rPr>
              <w:t> :</w:t>
            </w:r>
          </w:p>
          <w:p w14:paraId="4BD07646" w14:textId="77777777" w:rsidR="00B10BCF" w:rsidRPr="003D4CEC" w:rsidRDefault="00B10BCF" w:rsidP="00564DE4">
            <w:pPr>
              <w:rPr>
                <w:iCs/>
                <w:szCs w:val="22"/>
                <w:lang w:val="fr-FR"/>
              </w:rPr>
            </w:pPr>
          </w:p>
          <w:p w14:paraId="14837CA5" w14:textId="1562A865" w:rsidR="0090337E" w:rsidRDefault="00B26CD8" w:rsidP="00D10A45">
            <w:pPr>
              <w:numPr>
                <w:ilvl w:val="0"/>
                <w:numId w:val="2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Difficultés</w:t>
            </w:r>
            <w:r w:rsidR="001E7604" w:rsidRPr="003D4CEC">
              <w:rPr>
                <w:iCs/>
                <w:szCs w:val="22"/>
                <w:lang w:val="fr-FR"/>
              </w:rPr>
              <w:t>, en disposant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E7604" w:rsidRPr="003D4CEC">
              <w:rPr>
                <w:iCs/>
                <w:szCs w:val="22"/>
                <w:lang w:val="fr-FR"/>
              </w:rPr>
              <w:t>un temps et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E7604" w:rsidRPr="003D4CEC">
              <w:rPr>
                <w:iCs/>
                <w:szCs w:val="22"/>
                <w:lang w:val="fr-FR"/>
              </w:rPr>
              <w:t>un budget limités,</w:t>
            </w:r>
            <w:r w:rsidRPr="003D4CEC">
              <w:rPr>
                <w:iCs/>
                <w:szCs w:val="22"/>
                <w:lang w:val="fr-FR"/>
              </w:rPr>
              <w:t xml:space="preserve"> à concevoir des activités à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intention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un large éventail de parties prenantes et à prendre consid</w:t>
            </w:r>
            <w:r w:rsidR="001E7604" w:rsidRPr="003D4CEC">
              <w:rPr>
                <w:iCs/>
                <w:szCs w:val="22"/>
                <w:lang w:val="fr-FR"/>
              </w:rPr>
              <w:t>ération les différents intérê</w:t>
            </w:r>
            <w:r w:rsidR="00CB0FF7" w:rsidRPr="003D4CEC">
              <w:rPr>
                <w:iCs/>
                <w:szCs w:val="22"/>
                <w:lang w:val="fr-FR"/>
              </w:rPr>
              <w:t>ts</w:t>
            </w:r>
            <w:r w:rsidR="00CB0FF7">
              <w:rPr>
                <w:iCs/>
                <w:szCs w:val="22"/>
                <w:lang w:val="fr-FR"/>
              </w:rPr>
              <w:t xml:space="preserve">.  </w:t>
            </w:r>
            <w:r w:rsidR="00CB0FF7" w:rsidRPr="003D4CEC">
              <w:rPr>
                <w:iCs/>
                <w:szCs w:val="22"/>
                <w:lang w:val="fr-FR"/>
              </w:rPr>
              <w:t>Il</w:t>
            </w:r>
            <w:r w:rsidRPr="003D4CEC">
              <w:rPr>
                <w:iCs/>
                <w:szCs w:val="22"/>
                <w:lang w:val="fr-FR"/>
              </w:rPr>
              <w:t xml:space="preserve"> a également été nécessaire de répondre aux besoins juridiques de pays pilotes </w:t>
            </w:r>
            <w:r w:rsidR="001E7604" w:rsidRPr="003D4CEC">
              <w:rPr>
                <w:iCs/>
                <w:szCs w:val="22"/>
                <w:lang w:val="fr-FR"/>
              </w:rPr>
              <w:t xml:space="preserve">aussi bien de </w:t>
            </w:r>
            <w:proofErr w:type="spellStart"/>
            <w:r w:rsidRPr="00CB0FF7">
              <w:rPr>
                <w:i/>
                <w:lang w:val="fr-FR"/>
              </w:rPr>
              <w:t>common</w:t>
            </w:r>
            <w:proofErr w:type="spellEnd"/>
            <w:r w:rsidR="00D22E27" w:rsidRPr="00D22E27">
              <w:rPr>
                <w:i/>
                <w:iCs/>
                <w:szCs w:val="22"/>
                <w:lang w:val="fr-FR"/>
              </w:rPr>
              <w:t> </w:t>
            </w:r>
            <w:proofErr w:type="spellStart"/>
            <w:r w:rsidRPr="00CB0FF7">
              <w:rPr>
                <w:i/>
                <w:lang w:val="fr-FR"/>
              </w:rPr>
              <w:t>law</w:t>
            </w:r>
            <w:proofErr w:type="spellEnd"/>
            <w:r w:rsidRPr="003D4CEC">
              <w:rPr>
                <w:iCs/>
                <w:szCs w:val="22"/>
                <w:lang w:val="fr-FR"/>
              </w:rPr>
              <w:t xml:space="preserve"> </w:t>
            </w:r>
            <w:r w:rsidR="001E7604" w:rsidRPr="003D4CEC">
              <w:rPr>
                <w:iCs/>
                <w:szCs w:val="22"/>
                <w:lang w:val="fr-FR"/>
              </w:rPr>
              <w:t xml:space="preserve">que </w:t>
            </w:r>
            <w:r w:rsidRPr="003D4CEC">
              <w:rPr>
                <w:iCs/>
                <w:szCs w:val="22"/>
                <w:lang w:val="fr-FR"/>
              </w:rPr>
              <w:t>de droit romain.</w:t>
            </w:r>
          </w:p>
          <w:p w14:paraId="181CBAE4" w14:textId="3A240FEB" w:rsidR="00B10BCF" w:rsidRPr="003D4CEC" w:rsidRDefault="00B10BCF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2B7ACA9F" w14:textId="6E13970A" w:rsidR="0090337E" w:rsidRDefault="00AD3A53" w:rsidP="00D10A45">
            <w:pPr>
              <w:numPr>
                <w:ilvl w:val="0"/>
                <w:numId w:val="2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Difficultés à répondre de manière </w:t>
            </w:r>
            <w:r w:rsidR="005953E7" w:rsidRPr="003D4CEC">
              <w:rPr>
                <w:iCs/>
                <w:szCs w:val="22"/>
                <w:lang w:val="fr-FR"/>
              </w:rPr>
              <w:t>approfondie</w:t>
            </w:r>
            <w:r w:rsidRPr="003D4CEC">
              <w:rPr>
                <w:iCs/>
                <w:szCs w:val="22"/>
                <w:lang w:val="fr-FR"/>
              </w:rPr>
              <w:t xml:space="preserve"> aux besoins concrets des secteurs financier et juridique</w:t>
            </w:r>
            <w:r w:rsidR="00F13FB4" w:rsidRPr="003D4CEC">
              <w:rPr>
                <w:iCs/>
                <w:szCs w:val="22"/>
                <w:lang w:val="fr-FR"/>
              </w:rPr>
              <w:t>,</w:t>
            </w:r>
            <w:r w:rsidRPr="003D4CEC">
              <w:rPr>
                <w:iCs/>
                <w:szCs w:val="22"/>
                <w:lang w:val="fr-FR"/>
              </w:rPr>
              <w:t xml:space="preserve"> en raison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un accroissement de la demande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activités de projet.</w:t>
            </w:r>
          </w:p>
          <w:p w14:paraId="0177B436" w14:textId="428961D4" w:rsidR="00B10BCF" w:rsidRPr="003D4CEC" w:rsidRDefault="00B10BCF" w:rsidP="00D10A45">
            <w:pPr>
              <w:ind w:left="567" w:hanging="567"/>
              <w:rPr>
                <w:iCs/>
                <w:szCs w:val="22"/>
                <w:lang w:val="fr-FR"/>
              </w:rPr>
            </w:pPr>
          </w:p>
          <w:p w14:paraId="5A7B1F12" w14:textId="3F7B7D0D" w:rsidR="00B10BCF" w:rsidRPr="003D4CEC" w:rsidRDefault="004F1A93" w:rsidP="00D10A45">
            <w:pPr>
              <w:numPr>
                <w:ilvl w:val="0"/>
                <w:numId w:val="2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Difficultés à </w:t>
            </w:r>
            <w:r w:rsidR="00F13FB4" w:rsidRPr="003D4CEC">
              <w:rPr>
                <w:iCs/>
                <w:szCs w:val="22"/>
                <w:lang w:val="fr-FR"/>
              </w:rPr>
              <w:t>s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F13FB4" w:rsidRPr="003D4CEC">
              <w:rPr>
                <w:iCs/>
                <w:szCs w:val="22"/>
                <w:lang w:val="fr-FR"/>
              </w:rPr>
              <w:t>a</w:t>
            </w:r>
            <w:r w:rsidRPr="003D4CEC">
              <w:rPr>
                <w:iCs/>
                <w:szCs w:val="22"/>
                <w:lang w:val="fr-FR"/>
              </w:rPr>
              <w:t>dapt</w:t>
            </w:r>
            <w:r w:rsidR="00F13FB4" w:rsidRPr="003D4CEC">
              <w:rPr>
                <w:iCs/>
                <w:szCs w:val="22"/>
                <w:lang w:val="fr-FR"/>
              </w:rPr>
              <w:t>er</w:t>
            </w:r>
            <w:r w:rsidR="008C2509" w:rsidRPr="003D4CEC">
              <w:rPr>
                <w:iCs/>
                <w:szCs w:val="22"/>
                <w:lang w:val="fr-FR"/>
              </w:rPr>
              <w:t xml:space="preserve"> rapide</w:t>
            </w:r>
            <w:r w:rsidR="00F13FB4" w:rsidRPr="003D4CEC">
              <w:rPr>
                <w:iCs/>
                <w:szCs w:val="22"/>
                <w:lang w:val="fr-FR"/>
              </w:rPr>
              <w:t>ment</w:t>
            </w:r>
            <w:r w:rsidR="008C2509" w:rsidRPr="003D4CEC">
              <w:rPr>
                <w:iCs/>
                <w:szCs w:val="22"/>
                <w:lang w:val="fr-FR"/>
              </w:rPr>
              <w:t xml:space="preserve"> à certains facteurs externes liés à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8C2509" w:rsidRPr="003D4CEC">
              <w:rPr>
                <w:iCs/>
                <w:szCs w:val="22"/>
                <w:lang w:val="fr-FR"/>
              </w:rPr>
              <w:t>évolution de la situation locale en matière de politique et de sécurité qui, dans certain</w:t>
            </w:r>
            <w:r w:rsidR="00961DE2">
              <w:rPr>
                <w:iCs/>
                <w:szCs w:val="22"/>
                <w:lang w:val="fr-FR"/>
              </w:rPr>
              <w:t xml:space="preserve">s </w:t>
            </w:r>
            <w:r w:rsidR="008C2509" w:rsidRPr="003D4CEC">
              <w:rPr>
                <w:iCs/>
                <w:szCs w:val="22"/>
                <w:lang w:val="fr-FR"/>
              </w:rPr>
              <w:t xml:space="preserve">cas, </w:t>
            </w:r>
            <w:r w:rsidRPr="003D4CEC">
              <w:rPr>
                <w:iCs/>
                <w:szCs w:val="22"/>
                <w:lang w:val="fr-FR"/>
              </w:rPr>
              <w:t>ont</w:t>
            </w:r>
            <w:r w:rsidR="008C2509" w:rsidRPr="003D4CEC">
              <w:rPr>
                <w:iCs/>
                <w:szCs w:val="22"/>
                <w:lang w:val="fr-FR"/>
              </w:rPr>
              <w:t xml:space="preserve"> ralenti la bonne exécution du projet.</w:t>
            </w:r>
          </w:p>
          <w:p w14:paraId="4063E99A" w14:textId="77777777" w:rsidR="00B10BCF" w:rsidRPr="003D4CEC" w:rsidRDefault="00B10BCF" w:rsidP="00564DE4">
            <w:pPr>
              <w:rPr>
                <w:iCs/>
                <w:szCs w:val="22"/>
                <w:lang w:val="fr-FR"/>
              </w:rPr>
            </w:pPr>
          </w:p>
          <w:p w14:paraId="76F0C2C3" w14:textId="46635562" w:rsidR="00B10BCF" w:rsidRPr="003D4CEC" w:rsidRDefault="003D36DE" w:rsidP="00564DE4">
            <w:pPr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Mesures de prévention</w:t>
            </w:r>
            <w:r w:rsidR="0090337E">
              <w:rPr>
                <w:iCs/>
                <w:szCs w:val="22"/>
                <w:lang w:val="fr-FR"/>
              </w:rPr>
              <w:t> :</w:t>
            </w:r>
          </w:p>
          <w:p w14:paraId="0D6CB777" w14:textId="77777777" w:rsidR="00B10BCF" w:rsidRPr="003D4CEC" w:rsidRDefault="00B10BCF" w:rsidP="00564DE4">
            <w:pPr>
              <w:rPr>
                <w:iCs/>
                <w:szCs w:val="22"/>
                <w:lang w:val="fr-FR"/>
              </w:rPr>
            </w:pPr>
          </w:p>
          <w:p w14:paraId="3A357251" w14:textId="596F16B8" w:rsidR="0090337E" w:rsidRDefault="003D36DE" w:rsidP="00D10A45">
            <w:pPr>
              <w:numPr>
                <w:ilvl w:val="0"/>
                <w:numId w:val="18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Les responsables de la gestion du projet ont conçu et mis en </w:t>
            </w:r>
            <w:r w:rsidR="00E620D1" w:rsidRPr="003D4CEC">
              <w:rPr>
                <w:iCs/>
                <w:szCs w:val="22"/>
                <w:lang w:val="fr-FR"/>
              </w:rPr>
              <w:t>œuvre</w:t>
            </w:r>
            <w:r w:rsidRPr="003D4CEC">
              <w:rPr>
                <w:iCs/>
                <w:szCs w:val="22"/>
                <w:lang w:val="fr-FR"/>
              </w:rPr>
              <w:t xml:space="preserve"> les activités de façon flexible afin de faire face à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évolution constante des besoins et des contraintes extérieures.</w:t>
            </w:r>
          </w:p>
          <w:p w14:paraId="69BDB7F8" w14:textId="114370D2" w:rsidR="0090337E" w:rsidRDefault="00E620D1" w:rsidP="00D10A45">
            <w:pPr>
              <w:numPr>
                <w:ilvl w:val="0"/>
                <w:numId w:val="18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La prévention</w:t>
            </w:r>
            <w:r w:rsidR="004277EA" w:rsidRPr="003D4CEC">
              <w:rPr>
                <w:iCs/>
                <w:szCs w:val="22"/>
                <w:lang w:val="fr-FR"/>
              </w:rPr>
              <w:t xml:space="preserve"> des risques a fait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277EA" w:rsidRPr="003D4CEC">
              <w:rPr>
                <w:iCs/>
                <w:szCs w:val="22"/>
                <w:lang w:val="fr-FR"/>
              </w:rPr>
              <w:t>objet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277EA" w:rsidRPr="003D4CEC">
              <w:rPr>
                <w:iCs/>
                <w:szCs w:val="22"/>
                <w:lang w:val="fr-FR"/>
              </w:rPr>
              <w:t>une étroite coordination avec les coordonnateurs locaux, qui ont joué un rôle déterminant dans la mobilisation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277EA" w:rsidRPr="003D4CEC">
              <w:rPr>
                <w:iCs/>
                <w:szCs w:val="22"/>
                <w:lang w:val="fr-FR"/>
              </w:rPr>
              <w:t>appui institutionnel et dans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277EA" w:rsidRPr="003D4CEC">
              <w:rPr>
                <w:iCs/>
                <w:szCs w:val="22"/>
                <w:lang w:val="fr-FR"/>
              </w:rPr>
              <w:t xml:space="preserve">avancement de la mise en </w:t>
            </w:r>
            <w:r w:rsidR="000239D9" w:rsidRPr="003D4CEC">
              <w:rPr>
                <w:iCs/>
                <w:szCs w:val="22"/>
                <w:lang w:val="fr-FR"/>
              </w:rPr>
              <w:t>œuvre</w:t>
            </w:r>
            <w:r w:rsidR="004277EA" w:rsidRPr="003D4CEC">
              <w:rPr>
                <w:iCs/>
                <w:szCs w:val="22"/>
                <w:lang w:val="fr-FR"/>
              </w:rPr>
              <w:t>.</w:t>
            </w:r>
          </w:p>
          <w:p w14:paraId="558560D6" w14:textId="717D32BB" w:rsidR="006A4C41" w:rsidRPr="003D4CEC" w:rsidRDefault="00E7656E" w:rsidP="00CB0FF7">
            <w:pPr>
              <w:numPr>
                <w:ilvl w:val="0"/>
                <w:numId w:val="18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En conséquence, la plupart de ces éléments ont eu une incidence limitée sur </w:t>
            </w:r>
            <w:r w:rsidR="000239D9" w:rsidRPr="003D4CEC">
              <w:rPr>
                <w:iCs/>
                <w:szCs w:val="22"/>
                <w:lang w:val="fr-FR"/>
              </w:rPr>
              <w:t xml:space="preserve">les résultats </w:t>
            </w:r>
            <w:r w:rsidRPr="003D4CEC">
              <w:rPr>
                <w:iCs/>
                <w:szCs w:val="22"/>
                <w:lang w:val="fr-FR"/>
              </w:rPr>
              <w:t>du projet.</w:t>
            </w:r>
          </w:p>
        </w:tc>
      </w:tr>
      <w:tr w:rsidR="003D4CEC" w:rsidRPr="003D4CEC" w14:paraId="64984FBA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64228559" w14:textId="70CA7968" w:rsidR="006A4C41" w:rsidRPr="003D4CEC" w:rsidRDefault="00B047EF" w:rsidP="00E83B4B">
            <w:pPr>
              <w:pStyle w:val="Heading3"/>
              <w:keepNext w:val="0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Taux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exécution du projet</w:t>
            </w:r>
            <w:r w:rsidR="006A4C41" w:rsidRPr="003D4CEC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4DEBA7FC" w14:textId="71001B6B" w:rsidR="006A4C41" w:rsidRPr="003D4CEC" w:rsidRDefault="00823F81" w:rsidP="00E83B4B">
            <w:pPr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Le taux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utilisation du budget est</w:t>
            </w:r>
            <w:r w:rsidR="00185362" w:rsidRPr="003D4CEC">
              <w:rPr>
                <w:iCs/>
                <w:szCs w:val="22"/>
                <w:lang w:val="fr-FR"/>
              </w:rPr>
              <w:t xml:space="preserve"> </w:t>
            </w:r>
            <w:r w:rsidRPr="003D4CEC">
              <w:rPr>
                <w:iCs/>
                <w:szCs w:val="22"/>
                <w:lang w:val="fr-FR"/>
              </w:rPr>
              <w:t>de 100%.</w:t>
            </w:r>
          </w:p>
        </w:tc>
      </w:tr>
      <w:tr w:rsidR="003D4CEC" w:rsidRPr="003D4CEC" w14:paraId="56E3190D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423782F7" w14:textId="766B262B" w:rsidR="006A4C41" w:rsidRPr="003D4CEC" w:rsidRDefault="00EA5315" w:rsidP="00E83B4B">
            <w:pPr>
              <w:pStyle w:val="Heading3"/>
              <w:keepNext w:val="0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Rapports/documents précédents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30F501EC" w14:textId="74F6A841" w:rsidR="0090337E" w:rsidRDefault="00641F47" w:rsidP="00E83B4B">
            <w:pPr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Ceci est le troisième rapport sur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85362" w:rsidRPr="003D4CEC">
              <w:rPr>
                <w:iCs/>
                <w:szCs w:val="22"/>
                <w:lang w:val="fr-FR"/>
              </w:rPr>
              <w:t>état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185362" w:rsidRPr="003D4CEC">
              <w:rPr>
                <w:iCs/>
                <w:szCs w:val="22"/>
                <w:lang w:val="fr-FR"/>
              </w:rPr>
              <w:t>avancement des travaux</w:t>
            </w:r>
            <w:r w:rsidRPr="003D4CEC">
              <w:rPr>
                <w:iCs/>
                <w:szCs w:val="22"/>
                <w:lang w:val="fr-FR"/>
              </w:rPr>
              <w:t xml:space="preserve"> présenté</w:t>
            </w:r>
            <w:r w:rsidR="0090337E" w:rsidRPr="003D4CEC">
              <w:rPr>
                <w:iCs/>
                <w:szCs w:val="22"/>
                <w:lang w:val="fr-FR"/>
              </w:rPr>
              <w:t xml:space="preserve"> au</w:t>
            </w:r>
            <w:r w:rsidR="0090337E">
              <w:rPr>
                <w:iCs/>
                <w:szCs w:val="22"/>
                <w:lang w:val="fr-FR"/>
              </w:rPr>
              <w:t> </w:t>
            </w:r>
            <w:r w:rsidR="0090337E" w:rsidRPr="003D4CEC">
              <w:rPr>
                <w:iCs/>
                <w:szCs w:val="22"/>
                <w:lang w:val="fr-FR"/>
              </w:rPr>
              <w:t>CDI</w:t>
            </w:r>
            <w:r w:rsidRPr="003D4CEC">
              <w:rPr>
                <w:iCs/>
                <w:szCs w:val="22"/>
                <w:lang w:val="fr-FR"/>
              </w:rPr>
              <w:t>P.</w:t>
            </w:r>
          </w:p>
          <w:p w14:paraId="4B6704AC" w14:textId="72909D72" w:rsidR="00B10BCF" w:rsidRPr="003D4CEC" w:rsidRDefault="00B10BCF" w:rsidP="00E83B4B">
            <w:pPr>
              <w:rPr>
                <w:iCs/>
                <w:szCs w:val="22"/>
                <w:lang w:val="fr-FR"/>
              </w:rPr>
            </w:pPr>
          </w:p>
          <w:p w14:paraId="60EF497D" w14:textId="47AF141A" w:rsidR="006F3BAC" w:rsidRPr="003D4CEC" w:rsidRDefault="0088425E" w:rsidP="00E83B4B">
            <w:pPr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Les premier et deuxième rapports figurent respectivement dans les documents CDIP/20/2 et CDIP/22/2.</w:t>
            </w:r>
          </w:p>
        </w:tc>
      </w:tr>
      <w:tr w:rsidR="003D4CEC" w:rsidRPr="003D4CEC" w14:paraId="3EB605A1" w14:textId="77777777" w:rsidTr="00564DE4">
        <w:tc>
          <w:tcPr>
            <w:tcW w:w="2430" w:type="dxa"/>
            <w:shd w:val="clear" w:color="auto" w:fill="auto"/>
            <w:tcMar>
              <w:top w:w="57" w:type="dxa"/>
              <w:bottom w:w="57" w:type="dxa"/>
            </w:tcMar>
          </w:tcPr>
          <w:p w14:paraId="6144DCFD" w14:textId="2E69A342" w:rsidR="006A4C41" w:rsidRPr="003D4CEC" w:rsidRDefault="005E7B35" w:rsidP="00E83B4B">
            <w:pPr>
              <w:pStyle w:val="Heading3"/>
              <w:keepNext w:val="0"/>
              <w:spacing w:before="0" w:after="0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Suivi</w:t>
            </w:r>
          </w:p>
        </w:tc>
        <w:tc>
          <w:tcPr>
            <w:tcW w:w="6930" w:type="dxa"/>
            <w:tcMar>
              <w:top w:w="57" w:type="dxa"/>
              <w:bottom w:w="57" w:type="dxa"/>
            </w:tcMar>
          </w:tcPr>
          <w:p w14:paraId="2F10C316" w14:textId="382B0706" w:rsidR="00B10BCF" w:rsidRPr="003D4CEC" w:rsidRDefault="00185362" w:rsidP="00E83B4B">
            <w:pPr>
              <w:numPr>
                <w:ilvl w:val="0"/>
                <w:numId w:val="4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Il conviendrait</w:t>
            </w:r>
            <w:r w:rsidR="004318EA" w:rsidRPr="003D4CEC">
              <w:rPr>
                <w:iCs/>
                <w:szCs w:val="22"/>
                <w:lang w:val="fr-FR"/>
              </w:rPr>
              <w:t xml:space="preserve"> en quelque sorte de pérenniser la demande du marché</w:t>
            </w:r>
            <w:r w:rsidRPr="003D4CEC">
              <w:rPr>
                <w:iCs/>
                <w:szCs w:val="22"/>
                <w:lang w:val="fr-FR"/>
              </w:rPr>
              <w:t xml:space="preserve"> et </w:t>
            </w:r>
            <w:r w:rsidR="004318EA" w:rsidRPr="003D4CEC">
              <w:rPr>
                <w:iCs/>
                <w:szCs w:val="22"/>
                <w:lang w:val="fr-FR"/>
              </w:rPr>
              <w:t xml:space="preserve">les résultats obtenus dans le cadre de la mise en </w:t>
            </w:r>
            <w:r w:rsidRPr="003D4CEC">
              <w:rPr>
                <w:iCs/>
                <w:szCs w:val="22"/>
                <w:lang w:val="fr-FR"/>
              </w:rPr>
              <w:t>œuvre</w:t>
            </w:r>
            <w:r w:rsidR="004318EA" w:rsidRPr="003D4CEC">
              <w:rPr>
                <w:iCs/>
                <w:szCs w:val="22"/>
                <w:lang w:val="fr-FR"/>
              </w:rPr>
              <w:t xml:space="preserve"> du projet, </w:t>
            </w:r>
            <w:r w:rsidRPr="003D4CEC">
              <w:rPr>
                <w:iCs/>
                <w:szCs w:val="22"/>
                <w:lang w:val="fr-FR"/>
              </w:rPr>
              <w:t xml:space="preserve">afin </w:t>
            </w:r>
            <w:r w:rsidR="004318EA" w:rsidRPr="003D4CEC">
              <w:rPr>
                <w:iCs/>
                <w:szCs w:val="22"/>
                <w:lang w:val="fr-FR"/>
              </w:rPr>
              <w:t>que le secteur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318EA" w:rsidRPr="003D4CEC">
              <w:rPr>
                <w:iCs/>
                <w:szCs w:val="22"/>
                <w:lang w:val="fr-FR"/>
              </w:rPr>
              <w:t>audiovisuel connaisse, dans les pays bénéficiaires et au</w:t>
            </w:r>
            <w:r w:rsidR="0090337E">
              <w:rPr>
                <w:iCs/>
                <w:szCs w:val="22"/>
                <w:lang w:val="fr-FR"/>
              </w:rPr>
              <w:t>-</w:t>
            </w:r>
            <w:r w:rsidR="004318EA" w:rsidRPr="003D4CEC">
              <w:rPr>
                <w:iCs/>
                <w:szCs w:val="22"/>
                <w:lang w:val="fr-FR"/>
              </w:rPr>
              <w:t xml:space="preserve">delà, une croissance </w:t>
            </w:r>
            <w:r w:rsidRPr="003D4CEC">
              <w:rPr>
                <w:iCs/>
                <w:szCs w:val="22"/>
                <w:lang w:val="fr-FR"/>
              </w:rPr>
              <w:t xml:space="preserve">solidement </w:t>
            </w:r>
            <w:r w:rsidR="004318EA" w:rsidRPr="003D4CEC">
              <w:rPr>
                <w:iCs/>
                <w:szCs w:val="22"/>
                <w:lang w:val="fr-FR"/>
              </w:rPr>
              <w:t xml:space="preserve">fondée sur </w:t>
            </w:r>
            <w:r w:rsidRPr="003D4CEC">
              <w:rPr>
                <w:iCs/>
                <w:szCs w:val="22"/>
                <w:lang w:val="fr-FR"/>
              </w:rPr>
              <w:t xml:space="preserve">la </w:t>
            </w:r>
            <w:r w:rsidR="004318EA" w:rsidRPr="003D4CEC">
              <w:rPr>
                <w:iCs/>
                <w:szCs w:val="22"/>
                <w:lang w:val="fr-FR"/>
              </w:rPr>
              <w:t>compréhension générale du droit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4318EA" w:rsidRPr="003D4CEC">
              <w:rPr>
                <w:iCs/>
                <w:szCs w:val="22"/>
                <w:lang w:val="fr-FR"/>
              </w:rPr>
              <w:t xml:space="preserve">auteur et </w:t>
            </w:r>
            <w:r w:rsidRPr="003D4CEC">
              <w:rPr>
                <w:iCs/>
                <w:szCs w:val="22"/>
                <w:lang w:val="fr-FR"/>
              </w:rPr>
              <w:t>sur</w:t>
            </w:r>
            <w:r w:rsidR="004318EA" w:rsidRPr="003D4CEC">
              <w:rPr>
                <w:iCs/>
                <w:szCs w:val="22"/>
                <w:lang w:val="fr-FR"/>
              </w:rPr>
              <w:t xml:space="preserve"> le recours systématique aux contrats;</w:t>
            </w:r>
          </w:p>
          <w:p w14:paraId="306DD0CE" w14:textId="02A14360" w:rsidR="0090337E" w:rsidRDefault="00BE3C4B" w:rsidP="00E83B4B">
            <w:pPr>
              <w:numPr>
                <w:ilvl w:val="0"/>
                <w:numId w:val="4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>Il est également nécessaire de sensibiliser davantage les parties prenantes du secteur</w:t>
            </w:r>
            <w:r w:rsidR="00E7581D" w:rsidRPr="003D4CEC">
              <w:rPr>
                <w:iCs/>
                <w:szCs w:val="22"/>
                <w:lang w:val="fr-FR"/>
              </w:rPr>
              <w:t xml:space="preserve"> de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audiovisuel à l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importance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améliorer la collecte de données économiques;</w:t>
            </w:r>
          </w:p>
          <w:p w14:paraId="3FE1A95D" w14:textId="601D59AE" w:rsidR="0090337E" w:rsidRDefault="008C2A10" w:rsidP="00E83B4B">
            <w:pPr>
              <w:numPr>
                <w:ilvl w:val="0"/>
                <w:numId w:val="4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La mise </w:t>
            </w:r>
            <w:r w:rsidR="00A47517" w:rsidRPr="003D4CEC">
              <w:rPr>
                <w:iCs/>
                <w:szCs w:val="22"/>
                <w:lang w:val="fr-FR"/>
              </w:rPr>
              <w:t xml:space="preserve">en </w:t>
            </w:r>
            <w:r w:rsidRPr="003D4CEC">
              <w:rPr>
                <w:iCs/>
                <w:szCs w:val="22"/>
                <w:lang w:val="fr-FR"/>
              </w:rPr>
              <w:t>œuvre</w:t>
            </w:r>
            <w:r w:rsidR="00A47517" w:rsidRPr="003D4CEC">
              <w:rPr>
                <w:iCs/>
                <w:szCs w:val="22"/>
                <w:lang w:val="fr-FR"/>
              </w:rPr>
              <w:t xml:space="preserve"> </w:t>
            </w:r>
            <w:r w:rsidRPr="003D4CEC">
              <w:rPr>
                <w:iCs/>
                <w:szCs w:val="22"/>
                <w:lang w:val="fr-FR"/>
              </w:rPr>
              <w:t>du module</w:t>
            </w:r>
            <w:r w:rsidR="00A47517" w:rsidRPr="003D4CEC">
              <w:rPr>
                <w:iCs/>
                <w:szCs w:val="22"/>
                <w:lang w:val="fr-FR"/>
              </w:rPr>
              <w:t xml:space="preserve">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A47517" w:rsidRPr="003D4CEC">
              <w:rPr>
                <w:iCs/>
                <w:szCs w:val="22"/>
                <w:lang w:val="fr-FR"/>
              </w:rPr>
              <w:t>enseignement à distance du projet</w:t>
            </w:r>
            <w:r w:rsidRPr="003D4CEC">
              <w:rPr>
                <w:iCs/>
                <w:szCs w:val="22"/>
                <w:lang w:val="fr-FR"/>
              </w:rPr>
              <w:t xml:space="preserve"> sera un instrument utile</w:t>
            </w:r>
            <w:r w:rsidR="00A47517" w:rsidRPr="003D4CEC">
              <w:rPr>
                <w:iCs/>
                <w:szCs w:val="22"/>
                <w:lang w:val="fr-FR"/>
              </w:rPr>
              <w:t>, à la condition d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A47517" w:rsidRPr="003D4CEC">
              <w:rPr>
                <w:iCs/>
                <w:szCs w:val="22"/>
                <w:lang w:val="fr-FR"/>
              </w:rPr>
              <w:t xml:space="preserve">actualiser régulièrement </w:t>
            </w:r>
            <w:r w:rsidR="009C44AF" w:rsidRPr="003D4CEC">
              <w:rPr>
                <w:iCs/>
                <w:szCs w:val="22"/>
                <w:lang w:val="fr-FR"/>
              </w:rPr>
              <w:t>ses</w:t>
            </w:r>
            <w:r w:rsidR="00A47517" w:rsidRPr="003D4CEC">
              <w:rPr>
                <w:iCs/>
                <w:szCs w:val="22"/>
                <w:lang w:val="fr-FR"/>
              </w:rPr>
              <w:t xml:space="preserve"> contenu</w:t>
            </w:r>
            <w:r w:rsidR="009C44AF" w:rsidRPr="003D4CEC">
              <w:rPr>
                <w:iCs/>
                <w:szCs w:val="22"/>
                <w:lang w:val="fr-FR"/>
              </w:rPr>
              <w:t>s</w:t>
            </w:r>
            <w:r w:rsidR="00A47517" w:rsidRPr="003D4CEC">
              <w:rPr>
                <w:iCs/>
                <w:szCs w:val="22"/>
                <w:lang w:val="fr-FR"/>
              </w:rPr>
              <w:t xml:space="preserve"> en s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="00A47517" w:rsidRPr="003D4CEC">
              <w:rPr>
                <w:iCs/>
                <w:szCs w:val="22"/>
                <w:lang w:val="fr-FR"/>
              </w:rPr>
              <w:t>appuyant sur un suivi approfondi et sur un dialogue structuré permanent avec les professionnels du cinéma africains;</w:t>
            </w:r>
          </w:p>
          <w:p w14:paraId="1F48962D" w14:textId="7AA14312" w:rsidR="006A4C41" w:rsidRPr="003D4CEC" w:rsidRDefault="001279FB" w:rsidP="00E83B4B">
            <w:pPr>
              <w:numPr>
                <w:ilvl w:val="0"/>
                <w:numId w:val="45"/>
              </w:numPr>
              <w:ind w:left="567" w:hanging="567"/>
              <w:rPr>
                <w:iCs/>
                <w:szCs w:val="22"/>
                <w:lang w:val="fr-FR"/>
              </w:rPr>
            </w:pPr>
            <w:r w:rsidRPr="003D4CEC">
              <w:rPr>
                <w:iCs/>
                <w:szCs w:val="22"/>
                <w:lang w:val="fr-FR"/>
              </w:rPr>
              <w:t xml:space="preserve">En outre, il serait </w:t>
            </w:r>
            <w:r w:rsidR="00E71BE5" w:rsidRPr="003D4CEC">
              <w:rPr>
                <w:iCs/>
                <w:szCs w:val="22"/>
                <w:lang w:val="fr-FR"/>
              </w:rPr>
              <w:t>utile</w:t>
            </w:r>
            <w:r w:rsidRPr="003D4CEC">
              <w:rPr>
                <w:iCs/>
                <w:szCs w:val="22"/>
                <w:lang w:val="fr-FR"/>
              </w:rPr>
              <w:t xml:space="preserve"> de répondre aux besoins liés à la mise en place et au développement de la gestion collective des droits audiovisuels, lorsqu</w:t>
            </w:r>
            <w:r w:rsidR="0090337E">
              <w:rPr>
                <w:iCs/>
                <w:szCs w:val="22"/>
                <w:lang w:val="fr-FR"/>
              </w:rPr>
              <w:t>’</w:t>
            </w:r>
            <w:r w:rsidRPr="003D4CEC">
              <w:rPr>
                <w:iCs/>
                <w:szCs w:val="22"/>
                <w:lang w:val="fr-FR"/>
              </w:rPr>
              <w:t>il y a lieu.</w:t>
            </w:r>
            <w:r w:rsidR="007C050B" w:rsidRPr="003D4CEC">
              <w:rPr>
                <w:iCs/>
                <w:szCs w:val="22"/>
                <w:lang w:val="fr-FR"/>
              </w:rPr>
              <w:t xml:space="preserve"> </w:t>
            </w:r>
            <w:r w:rsidR="00D22E27">
              <w:rPr>
                <w:iCs/>
                <w:szCs w:val="22"/>
                <w:lang w:val="fr-FR"/>
              </w:rPr>
              <w:t xml:space="preserve"> </w:t>
            </w:r>
          </w:p>
        </w:tc>
      </w:tr>
    </w:tbl>
    <w:p w14:paraId="4C33FEB9" w14:textId="38CE77DB" w:rsidR="00D10A45" w:rsidRDefault="00D10A45" w:rsidP="003D4CEC">
      <w:pPr>
        <w:tabs>
          <w:tab w:val="left" w:pos="7935"/>
        </w:tabs>
        <w:rPr>
          <w:szCs w:val="22"/>
          <w:lang w:val="fr-FR"/>
        </w:rPr>
      </w:pPr>
    </w:p>
    <w:p w14:paraId="63D8DC48" w14:textId="539ABFCA" w:rsidR="00D10A45" w:rsidRDefault="00D10A45">
      <w:pPr>
        <w:rPr>
          <w:szCs w:val="22"/>
          <w:lang w:val="fr-F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50"/>
      </w:tblGrid>
      <w:tr w:rsidR="007C050B" w:rsidRPr="003D4CEC" w14:paraId="3B0FCF57" w14:textId="77777777" w:rsidTr="00D10A45">
        <w:tc>
          <w:tcPr>
            <w:tcW w:w="9288" w:type="dxa"/>
            <w:vAlign w:val="center"/>
          </w:tcPr>
          <w:p w14:paraId="01BFEDBB" w14:textId="37978A7E" w:rsidR="007C050B" w:rsidRPr="003D4CEC" w:rsidRDefault="007C050B" w:rsidP="00D10A45">
            <w:pPr>
              <w:spacing w:line="280" w:lineRule="exact"/>
              <w:rPr>
                <w:b/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br w:type="page"/>
            </w:r>
            <w:r w:rsidR="004C317A" w:rsidRPr="003D4CEC">
              <w:rPr>
                <w:b/>
                <w:szCs w:val="22"/>
                <w:lang w:val="fr-FR"/>
              </w:rPr>
              <w:t>AUTO</w:t>
            </w:r>
            <w:r w:rsidR="0090337E">
              <w:rPr>
                <w:b/>
                <w:szCs w:val="22"/>
                <w:lang w:val="fr-FR"/>
              </w:rPr>
              <w:t>-</w:t>
            </w:r>
            <w:r w:rsidR="004C317A" w:rsidRPr="003D4CEC">
              <w:rPr>
                <w:b/>
                <w:szCs w:val="22"/>
                <w:lang w:val="fr-FR"/>
              </w:rPr>
              <w:t>ÉVALUATION DU PROJET</w:t>
            </w:r>
          </w:p>
        </w:tc>
      </w:tr>
    </w:tbl>
    <w:p w14:paraId="5FBDC8C1" w14:textId="77777777" w:rsidR="00B10BCF" w:rsidRPr="003D4CEC" w:rsidRDefault="00B10BCF" w:rsidP="007C050B">
      <w:pPr>
        <w:widowControl w:val="0"/>
        <w:autoSpaceDE w:val="0"/>
        <w:autoSpaceDN w:val="0"/>
        <w:adjustRightInd w:val="0"/>
        <w:spacing w:line="280" w:lineRule="exact"/>
        <w:rPr>
          <w:szCs w:val="22"/>
          <w:lang w:val="fr-FR"/>
        </w:rPr>
      </w:pPr>
    </w:p>
    <w:p w14:paraId="321A03B4" w14:textId="309F6D1E" w:rsidR="00B10BCF" w:rsidRPr="003D4CEC" w:rsidRDefault="009E07B1" w:rsidP="009E07B1">
      <w:pPr>
        <w:widowControl w:val="0"/>
        <w:autoSpaceDE w:val="0"/>
        <w:autoSpaceDN w:val="0"/>
        <w:adjustRightInd w:val="0"/>
        <w:spacing w:line="280" w:lineRule="exact"/>
        <w:rPr>
          <w:szCs w:val="22"/>
          <w:lang w:val="fr-FR"/>
        </w:rPr>
      </w:pPr>
      <w:r w:rsidRPr="003D4CEC">
        <w:rPr>
          <w:szCs w:val="22"/>
          <w:lang w:val="fr-FR"/>
        </w:rPr>
        <w:t>Code d</w:t>
      </w:r>
      <w:r w:rsidR="0090337E">
        <w:rPr>
          <w:szCs w:val="22"/>
          <w:lang w:val="fr-FR"/>
        </w:rPr>
        <w:t>’</w:t>
      </w:r>
      <w:r w:rsidRPr="003D4CEC">
        <w:rPr>
          <w:szCs w:val="22"/>
          <w:lang w:val="fr-FR"/>
        </w:rPr>
        <w:t>évaluation</w:t>
      </w:r>
    </w:p>
    <w:p w14:paraId="2EA2FFA3" w14:textId="0ECB8E2D" w:rsidR="007C050B" w:rsidRPr="003D4CEC" w:rsidRDefault="007C050B" w:rsidP="007C050B">
      <w:pPr>
        <w:widowControl w:val="0"/>
        <w:autoSpaceDE w:val="0"/>
        <w:autoSpaceDN w:val="0"/>
        <w:adjustRightInd w:val="0"/>
        <w:spacing w:line="280" w:lineRule="exact"/>
        <w:rPr>
          <w:szCs w:val="22"/>
          <w:lang w:val="fr-F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82"/>
        <w:gridCol w:w="1639"/>
        <w:gridCol w:w="1756"/>
        <w:gridCol w:w="1850"/>
        <w:gridCol w:w="2723"/>
      </w:tblGrid>
      <w:tr w:rsidR="003D4CEC" w:rsidRPr="003D4CEC" w14:paraId="69A209D8" w14:textId="77777777" w:rsidTr="00D10A45">
        <w:tc>
          <w:tcPr>
            <w:tcW w:w="1372" w:type="dxa"/>
            <w:shd w:val="clear" w:color="auto" w:fill="auto"/>
            <w:vAlign w:val="center"/>
          </w:tcPr>
          <w:p w14:paraId="3E35D3BA" w14:textId="77777777" w:rsidR="007C050B" w:rsidRPr="003D4CEC" w:rsidRDefault="007C050B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noProof/>
                <w:szCs w:val="22"/>
                <w:lang w:val="fr-FR"/>
              </w:rPr>
              <w:t>****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208534C" w14:textId="77777777" w:rsidR="007C050B" w:rsidRPr="003D4CEC" w:rsidRDefault="007C050B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4706474" w14:textId="77777777" w:rsidR="007C050B" w:rsidRPr="003D4CEC" w:rsidRDefault="007C050B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6CA6172" w14:textId="3EFC5FA3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AP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D09522A" w14:textId="7AEE36A4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NE</w:t>
            </w:r>
          </w:p>
        </w:tc>
      </w:tr>
      <w:tr w:rsidR="003D4CEC" w:rsidRPr="003D4CEC" w14:paraId="451B12B8" w14:textId="77777777" w:rsidTr="00D10A45">
        <w:tc>
          <w:tcPr>
            <w:tcW w:w="1372" w:type="dxa"/>
            <w:shd w:val="clear" w:color="auto" w:fill="auto"/>
          </w:tcPr>
          <w:p w14:paraId="08609597" w14:textId="1B54EF04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Objectifs pleinement atteints</w:t>
            </w:r>
          </w:p>
        </w:tc>
        <w:tc>
          <w:tcPr>
            <w:tcW w:w="1628" w:type="dxa"/>
            <w:shd w:val="clear" w:color="auto" w:fill="auto"/>
          </w:tcPr>
          <w:p w14:paraId="7C576777" w14:textId="2BA45509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Progrès considérables</w:t>
            </w:r>
          </w:p>
        </w:tc>
        <w:tc>
          <w:tcPr>
            <w:tcW w:w="1744" w:type="dxa"/>
            <w:shd w:val="clear" w:color="auto" w:fill="auto"/>
          </w:tcPr>
          <w:p w14:paraId="4029477A" w14:textId="278FD0EE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Quelques progrès</w:t>
            </w:r>
          </w:p>
        </w:tc>
        <w:tc>
          <w:tcPr>
            <w:tcW w:w="1838" w:type="dxa"/>
            <w:shd w:val="clear" w:color="auto" w:fill="auto"/>
          </w:tcPr>
          <w:p w14:paraId="0AA7E7EB" w14:textId="7F15421F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Aucun progrès</w:t>
            </w:r>
          </w:p>
        </w:tc>
        <w:tc>
          <w:tcPr>
            <w:tcW w:w="2705" w:type="dxa"/>
            <w:shd w:val="clear" w:color="auto" w:fill="auto"/>
          </w:tcPr>
          <w:p w14:paraId="6678D89E" w14:textId="2AEB01CB" w:rsidR="007C050B" w:rsidRPr="003D4CEC" w:rsidRDefault="009E07B1" w:rsidP="00D10A4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Non évalué/abandonné</w:t>
            </w:r>
          </w:p>
        </w:tc>
      </w:tr>
    </w:tbl>
    <w:p w14:paraId="2B0CE270" w14:textId="77777777" w:rsidR="00B10BCF" w:rsidRPr="003D4CEC" w:rsidRDefault="00B10BCF" w:rsidP="007C050B">
      <w:pPr>
        <w:widowControl w:val="0"/>
        <w:tabs>
          <w:tab w:val="left" w:pos="0"/>
          <w:tab w:val="left" w:pos="3402"/>
          <w:tab w:val="left" w:pos="4111"/>
          <w:tab w:val="left" w:pos="5387"/>
        </w:tabs>
        <w:autoSpaceDE w:val="0"/>
        <w:autoSpaceDN w:val="0"/>
        <w:adjustRightInd w:val="0"/>
        <w:spacing w:line="280" w:lineRule="exact"/>
        <w:rPr>
          <w:szCs w:val="22"/>
          <w:lang w:val="fr-FR"/>
        </w:rPr>
      </w:pPr>
    </w:p>
    <w:p w14:paraId="257D8858" w14:textId="77777777" w:rsidR="007C050B" w:rsidRPr="003D4CEC" w:rsidRDefault="007C050B" w:rsidP="007C050B">
      <w:pPr>
        <w:widowControl w:val="0"/>
        <w:tabs>
          <w:tab w:val="left" w:pos="0"/>
          <w:tab w:val="left" w:pos="3402"/>
          <w:tab w:val="left" w:pos="4111"/>
          <w:tab w:val="left" w:pos="5387"/>
        </w:tabs>
        <w:autoSpaceDE w:val="0"/>
        <w:autoSpaceDN w:val="0"/>
        <w:adjustRightInd w:val="0"/>
        <w:spacing w:line="280" w:lineRule="exact"/>
        <w:rPr>
          <w:szCs w:val="22"/>
          <w:lang w:val="fr-FR"/>
        </w:rPr>
      </w:pPr>
    </w:p>
    <w:tbl>
      <w:tblPr>
        <w:tblW w:w="500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3D4CEC" w:rsidRPr="003D4CEC" w14:paraId="5973D924" w14:textId="77777777" w:rsidTr="00D10A45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14:paraId="5BE45482" w14:textId="38FB1DBD" w:rsidR="007C050B" w:rsidRPr="003D4CEC" w:rsidRDefault="009E07B1" w:rsidP="00D10A45">
            <w:pPr>
              <w:spacing w:line="280" w:lineRule="exact"/>
              <w:jc w:val="center"/>
              <w:rPr>
                <w:b/>
                <w:szCs w:val="22"/>
                <w:lang w:val="fr-FR"/>
              </w:rPr>
            </w:pPr>
            <w:r w:rsidRPr="003D4CEC">
              <w:rPr>
                <w:b/>
                <w:szCs w:val="22"/>
                <w:lang w:val="fr-FR"/>
              </w:rPr>
              <w:t>Résultats du projet</w:t>
            </w:r>
            <w:r w:rsidRPr="003D4CEC">
              <w:rPr>
                <w:rStyle w:val="FootnoteReference"/>
                <w:b/>
                <w:szCs w:val="22"/>
                <w:lang w:val="fr-FR"/>
              </w:rPr>
              <w:footnoteReference w:id="5"/>
            </w:r>
            <w:r w:rsidRPr="003D4CEC">
              <w:rPr>
                <w:b/>
                <w:szCs w:val="22"/>
                <w:lang w:val="fr-FR"/>
              </w:rPr>
              <w:t xml:space="preserve"> (résultat escompté)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9BAD5D" w14:textId="372031DA" w:rsidR="007C050B" w:rsidRPr="003D4CEC" w:rsidRDefault="00B6280A" w:rsidP="00D10A45">
            <w:pPr>
              <w:spacing w:line="280" w:lineRule="exact"/>
              <w:jc w:val="center"/>
              <w:rPr>
                <w:b/>
                <w:szCs w:val="22"/>
                <w:lang w:val="fr-FR"/>
              </w:rPr>
            </w:pPr>
            <w:r w:rsidRPr="003D4CEC">
              <w:rPr>
                <w:b/>
                <w:szCs w:val="22"/>
                <w:lang w:val="fr-FR"/>
              </w:rPr>
              <w:t>Indicateurs d</w:t>
            </w:r>
            <w:r w:rsidR="0090337E">
              <w:rPr>
                <w:b/>
                <w:szCs w:val="22"/>
                <w:lang w:val="fr-FR"/>
              </w:rPr>
              <w:t>’</w:t>
            </w:r>
            <w:r w:rsidRPr="003D4CEC">
              <w:rPr>
                <w:b/>
                <w:szCs w:val="22"/>
                <w:lang w:val="fr-FR"/>
              </w:rPr>
              <w:t>exécution (indicateurs de résultats)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56906A" w14:textId="54761B39" w:rsidR="007C050B" w:rsidRPr="003D4CEC" w:rsidRDefault="005632C7" w:rsidP="00D10A45">
            <w:pPr>
              <w:spacing w:line="280" w:lineRule="exact"/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 w:rsidRPr="003D4CEC">
              <w:rPr>
                <w:rFonts w:eastAsia="MS Mincho"/>
                <w:b/>
                <w:szCs w:val="22"/>
                <w:lang w:val="fr-FR" w:eastAsia="ja-JP"/>
              </w:rPr>
              <w:t>Données relatives à l</w:t>
            </w:r>
            <w:r w:rsidR="0090337E">
              <w:rPr>
                <w:rFonts w:eastAsia="MS Mincho"/>
                <w:b/>
                <w:szCs w:val="22"/>
                <w:lang w:val="fr-FR" w:eastAsia="ja-JP"/>
              </w:rPr>
              <w:t>’</w:t>
            </w:r>
            <w:r w:rsidRPr="003D4CEC">
              <w:rPr>
                <w:rFonts w:eastAsia="MS Mincho"/>
                <w:b/>
                <w:szCs w:val="22"/>
                <w:lang w:val="fr-FR" w:eastAsia="ja-JP"/>
              </w:rPr>
              <w:t>exécution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F253A" w14:textId="3A9B255C" w:rsidR="007C050B" w:rsidRPr="003D4CEC" w:rsidRDefault="003C3FB6" w:rsidP="00D10A45">
            <w:pPr>
              <w:spacing w:line="280" w:lineRule="exact"/>
              <w:jc w:val="center"/>
              <w:rPr>
                <w:b/>
                <w:bCs/>
                <w:szCs w:val="22"/>
                <w:lang w:val="fr-FR"/>
              </w:rPr>
            </w:pPr>
            <w:r w:rsidRPr="003D4CEC">
              <w:rPr>
                <w:b/>
                <w:bCs/>
                <w:szCs w:val="22"/>
                <w:lang w:val="fr-FR"/>
              </w:rPr>
              <w:t>Code</w:t>
            </w:r>
          </w:p>
        </w:tc>
      </w:tr>
      <w:tr w:rsidR="003D4CEC" w:rsidRPr="003D4CEC" w14:paraId="1B44AA55" w14:textId="77777777" w:rsidTr="00D10A45">
        <w:tc>
          <w:tcPr>
            <w:tcW w:w="2410" w:type="dxa"/>
            <w:shd w:val="clear" w:color="auto" w:fill="auto"/>
          </w:tcPr>
          <w:p w14:paraId="53176E8C" w14:textId="4CFE9A95" w:rsidR="007C050B" w:rsidRPr="003D4CEC" w:rsidRDefault="009D3683" w:rsidP="00D10A45">
            <w:pPr>
              <w:pStyle w:val="Default"/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 xml:space="preserve">Étude de faisabilité concernant la collecte de données </w:t>
            </w:r>
            <w:r w:rsidR="00E71BE5" w:rsidRPr="003D4CEC">
              <w:rPr>
                <w:color w:val="auto"/>
                <w:sz w:val="22"/>
                <w:szCs w:val="22"/>
                <w:lang w:val="fr-FR"/>
              </w:rPr>
              <w:t>concernant le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marché</w:t>
            </w:r>
          </w:p>
        </w:tc>
        <w:tc>
          <w:tcPr>
            <w:tcW w:w="2694" w:type="dxa"/>
            <w:shd w:val="clear" w:color="auto" w:fill="auto"/>
          </w:tcPr>
          <w:p w14:paraId="44F8D111" w14:textId="0DC2243E" w:rsidR="007C050B" w:rsidRPr="003D4CEC" w:rsidRDefault="009B226D" w:rsidP="00D10A45">
            <w:pPr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bCs/>
                <w:szCs w:val="22"/>
                <w:lang w:val="fr-FR"/>
              </w:rPr>
              <w:t>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étude de faisabilité a été achevée et a été pu</w:t>
            </w:r>
            <w:r w:rsidR="00E71BE5" w:rsidRPr="003D4CEC">
              <w:rPr>
                <w:bCs/>
                <w:szCs w:val="22"/>
                <w:lang w:val="fr-FR"/>
              </w:rPr>
              <w:t>bliée sur le site</w:t>
            </w:r>
            <w:r w:rsidR="00D22E27">
              <w:rPr>
                <w:bCs/>
                <w:szCs w:val="22"/>
                <w:lang w:val="fr-FR"/>
              </w:rPr>
              <w:t> </w:t>
            </w:r>
            <w:r w:rsidR="00E71BE5" w:rsidRPr="003D4CEC">
              <w:rPr>
                <w:bCs/>
                <w:szCs w:val="22"/>
                <w:lang w:val="fr-FR"/>
              </w:rPr>
              <w:t>Web de l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="00E71BE5" w:rsidRPr="003D4CEC">
              <w:rPr>
                <w:bCs/>
                <w:szCs w:val="22"/>
                <w:lang w:val="fr-FR"/>
              </w:rPr>
              <w:t>OMPI</w:t>
            </w:r>
          </w:p>
        </w:tc>
        <w:tc>
          <w:tcPr>
            <w:tcW w:w="3402" w:type="dxa"/>
            <w:shd w:val="clear" w:color="auto" w:fill="auto"/>
          </w:tcPr>
          <w:p w14:paraId="18795BB6" w14:textId="0511A4FF" w:rsidR="007C050B" w:rsidRPr="003D4CEC" w:rsidRDefault="009B226D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Étude et su</w:t>
            </w:r>
            <w:r w:rsidR="002976BE" w:rsidRPr="003D4CEC">
              <w:rPr>
                <w:szCs w:val="22"/>
                <w:lang w:val="fr-FR"/>
              </w:rPr>
              <w:t>ivi présentés</w:t>
            </w:r>
            <w:r w:rsidR="0090337E" w:rsidRPr="003D4CEC">
              <w:rPr>
                <w:szCs w:val="22"/>
                <w:lang w:val="fr-FR"/>
              </w:rPr>
              <w:t xml:space="preserve"> au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CDI</w:t>
            </w:r>
            <w:r w:rsidR="002976BE" w:rsidRPr="003D4CEC">
              <w:rPr>
                <w:szCs w:val="22"/>
                <w:lang w:val="fr-FR"/>
              </w:rPr>
              <w:t>P</w:t>
            </w:r>
          </w:p>
        </w:tc>
        <w:tc>
          <w:tcPr>
            <w:tcW w:w="850" w:type="dxa"/>
            <w:shd w:val="clear" w:color="auto" w:fill="auto"/>
          </w:tcPr>
          <w:p w14:paraId="02C00321" w14:textId="77777777" w:rsidR="007C050B" w:rsidRPr="003D4CEC" w:rsidRDefault="007C050B" w:rsidP="00D10A45">
            <w:pPr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****</w:t>
            </w:r>
          </w:p>
        </w:tc>
      </w:tr>
      <w:tr w:rsidR="003D4CEC" w:rsidRPr="003D4CEC" w14:paraId="05C1C0D9" w14:textId="77777777" w:rsidTr="00D10A45">
        <w:tc>
          <w:tcPr>
            <w:tcW w:w="2410" w:type="dxa"/>
            <w:shd w:val="clear" w:color="auto" w:fill="auto"/>
          </w:tcPr>
          <w:p w14:paraId="34475234" w14:textId="29B67DB9" w:rsidR="007C050B" w:rsidRPr="003D4CEC" w:rsidRDefault="009B226D" w:rsidP="00D10A45">
            <w:pPr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bCs/>
                <w:szCs w:val="22"/>
                <w:lang w:val="fr-FR"/>
              </w:rPr>
              <w:t>Ateliers d</w:t>
            </w:r>
            <w:r w:rsidR="0090337E">
              <w:rPr>
                <w:bCs/>
                <w:szCs w:val="22"/>
                <w:lang w:val="fr-FR"/>
              </w:rPr>
              <w:t>’</w:t>
            </w:r>
            <w:r w:rsidRPr="003D4CEC">
              <w:rPr>
                <w:bCs/>
                <w:szCs w:val="22"/>
                <w:lang w:val="fr-FR"/>
              </w:rPr>
              <w:t>experts</w:t>
            </w:r>
            <w:r w:rsidR="007C050B" w:rsidRPr="003D4CEC">
              <w:rPr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F295EC5" w14:textId="3082867B" w:rsidR="007C050B" w:rsidRPr="003D4CEC" w:rsidRDefault="009B226D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Ateliers évalués positivement par les participants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0B71FC" w14:textId="795520EB" w:rsidR="007C050B" w:rsidRPr="003D4CEC" w:rsidRDefault="00935614" w:rsidP="00D10A45">
            <w:pPr>
              <w:pStyle w:val="Default"/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Amélioration des compétences professionnelles,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organisation du secteur et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utilisation des normes professionnelles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A20C210" w14:textId="2B541A9F" w:rsidR="007C050B" w:rsidRPr="003D4CEC" w:rsidRDefault="007C050B" w:rsidP="00CB0FF7">
            <w:pPr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****</w:t>
            </w:r>
          </w:p>
        </w:tc>
      </w:tr>
      <w:tr w:rsidR="003D4CEC" w:rsidRPr="003D4CEC" w14:paraId="18975D45" w14:textId="77777777" w:rsidTr="00D10A45">
        <w:tc>
          <w:tcPr>
            <w:tcW w:w="2410" w:type="dxa"/>
            <w:shd w:val="clear" w:color="auto" w:fill="auto"/>
          </w:tcPr>
          <w:p w14:paraId="751000EC" w14:textId="6066B69C" w:rsidR="007C050B" w:rsidRPr="003D4CEC" w:rsidRDefault="00935614" w:rsidP="00D10A45">
            <w:pPr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bCs/>
                <w:szCs w:val="22"/>
                <w:lang w:val="fr-FR"/>
              </w:rPr>
              <w:t>Formation sur place/renforcement des capacités</w:t>
            </w:r>
            <w:r w:rsidR="007C050B" w:rsidRPr="003D4CEC">
              <w:rPr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1436767" w14:textId="56D6C8C4" w:rsidR="00002011" w:rsidRPr="003D4CEC" w:rsidRDefault="00935614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Activités évaluées positivement par les participants</w:t>
            </w:r>
          </w:p>
        </w:tc>
        <w:tc>
          <w:tcPr>
            <w:tcW w:w="3402" w:type="dxa"/>
            <w:shd w:val="clear" w:color="auto" w:fill="auto"/>
          </w:tcPr>
          <w:p w14:paraId="212D1086" w14:textId="290A9CC0" w:rsidR="007C050B" w:rsidRPr="003D4CEC" w:rsidRDefault="008E365D" w:rsidP="00D10A45">
            <w:pPr>
              <w:pStyle w:val="Default"/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Amélioration des compétences liées à la concession de licences aux fins de la diffusion des contenus auprès des utilisateurs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8DFB108" w14:textId="77777777" w:rsidR="007C050B" w:rsidRPr="003D4CEC" w:rsidRDefault="007C050B" w:rsidP="00D10A45">
            <w:pPr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  <w:r w:rsidR="00E821FB" w:rsidRPr="003D4CEC">
              <w:rPr>
                <w:szCs w:val="22"/>
                <w:lang w:val="fr-FR"/>
              </w:rPr>
              <w:t>*</w:t>
            </w:r>
          </w:p>
        </w:tc>
      </w:tr>
      <w:tr w:rsidR="003D4CEC" w:rsidRPr="003D4CEC" w14:paraId="45F168B5" w14:textId="77777777" w:rsidTr="00D10A45">
        <w:tc>
          <w:tcPr>
            <w:tcW w:w="2410" w:type="dxa"/>
            <w:shd w:val="clear" w:color="auto" w:fill="auto"/>
          </w:tcPr>
          <w:p w14:paraId="01E1DFFC" w14:textId="29B23199" w:rsidR="007C050B" w:rsidRPr="003D4CEC" w:rsidRDefault="008E365D" w:rsidP="00D10A45">
            <w:pPr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bCs/>
                <w:szCs w:val="22"/>
                <w:lang w:val="fr-FR"/>
              </w:rPr>
              <w:t>Renforcement du cadre institutionnel et législatif</w:t>
            </w:r>
          </w:p>
        </w:tc>
        <w:tc>
          <w:tcPr>
            <w:tcW w:w="2694" w:type="dxa"/>
            <w:shd w:val="clear" w:color="auto" w:fill="auto"/>
          </w:tcPr>
          <w:p w14:paraId="16AEEDDE" w14:textId="13B90CE0" w:rsidR="00002011" w:rsidRPr="003D4CEC" w:rsidRDefault="008E365D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 xml:space="preserve">Des systèmes, </w:t>
            </w:r>
            <w:r w:rsidR="00E71BE5" w:rsidRPr="003D4CEC">
              <w:rPr>
                <w:szCs w:val="22"/>
                <w:lang w:val="fr-FR"/>
              </w:rPr>
              <w:t xml:space="preserve">des </w:t>
            </w:r>
            <w:r w:rsidRPr="003D4CEC">
              <w:rPr>
                <w:szCs w:val="22"/>
                <w:lang w:val="fr-FR"/>
              </w:rPr>
              <w:t xml:space="preserve">services et </w:t>
            </w:r>
            <w:r w:rsidR="00E71BE5" w:rsidRPr="003D4CEC">
              <w:rPr>
                <w:szCs w:val="22"/>
                <w:lang w:val="fr-FR"/>
              </w:rPr>
              <w:t>des instruments</w:t>
            </w:r>
            <w:r w:rsidRPr="003D4CEC">
              <w:rPr>
                <w:szCs w:val="22"/>
                <w:lang w:val="fr-FR"/>
              </w:rPr>
              <w:t xml:space="preserve"> ont été élaborés, adoptés et mis en </w:t>
            </w:r>
            <w:r w:rsidR="00E71BE5" w:rsidRPr="003D4CEC">
              <w:rPr>
                <w:szCs w:val="22"/>
                <w:lang w:val="fr-FR"/>
              </w:rPr>
              <w:t>application</w:t>
            </w:r>
          </w:p>
        </w:tc>
        <w:tc>
          <w:tcPr>
            <w:tcW w:w="3402" w:type="dxa"/>
            <w:shd w:val="clear" w:color="auto" w:fill="auto"/>
          </w:tcPr>
          <w:p w14:paraId="146D0FBB" w14:textId="11050427" w:rsidR="007C050B" w:rsidRPr="003D4CEC" w:rsidRDefault="008E365D" w:rsidP="00D10A45">
            <w:pPr>
              <w:pStyle w:val="Default"/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Renforcement des infrastructures en matière de gestion collective des droits audiovisuels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7013F98" w14:textId="77777777" w:rsidR="007C050B" w:rsidRPr="003D4CEC" w:rsidRDefault="007C050B" w:rsidP="00D10A45">
            <w:pPr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  <w:r w:rsidR="00E821FB" w:rsidRPr="003D4CEC">
              <w:rPr>
                <w:szCs w:val="22"/>
                <w:lang w:val="fr-FR"/>
              </w:rPr>
              <w:t>*</w:t>
            </w:r>
          </w:p>
        </w:tc>
      </w:tr>
      <w:tr w:rsidR="003D4CEC" w:rsidRPr="003D4CEC" w14:paraId="301ED5A7" w14:textId="77777777" w:rsidTr="00E83B4B">
        <w:trPr>
          <w:cantSplit/>
        </w:trPr>
        <w:tc>
          <w:tcPr>
            <w:tcW w:w="2410" w:type="dxa"/>
            <w:shd w:val="clear" w:color="auto" w:fill="auto"/>
          </w:tcPr>
          <w:p w14:paraId="26C05590" w14:textId="70830DDC" w:rsidR="007C050B" w:rsidRPr="003D4CEC" w:rsidRDefault="009A0AE4" w:rsidP="00D10A45">
            <w:pPr>
              <w:pStyle w:val="Default"/>
              <w:spacing w:line="280" w:lineRule="exact"/>
              <w:rPr>
                <w:bCs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Élaboration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un programme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enseignement à distance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43C1F88" w14:textId="147DF38E" w:rsidR="00E71BE5" w:rsidRDefault="009A0AE4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Les contenus du</w:t>
            </w:r>
            <w:r w:rsidR="00E71BE5" w:rsidRPr="003D4CEC">
              <w:rPr>
                <w:szCs w:val="22"/>
                <w:lang w:val="fr-FR"/>
              </w:rPr>
              <w:t xml:space="preserve"> programme </w:t>
            </w:r>
            <w:r w:rsidRPr="003D4CEC">
              <w:rPr>
                <w:szCs w:val="22"/>
                <w:lang w:val="fr-FR"/>
              </w:rPr>
              <w:t>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 xml:space="preserve">enseignement </w:t>
            </w:r>
            <w:r w:rsidR="00E71BE5" w:rsidRPr="003D4CEC">
              <w:rPr>
                <w:szCs w:val="22"/>
                <w:lang w:val="fr-FR"/>
              </w:rPr>
              <w:t>à distance ont été mis au point.</w:t>
            </w:r>
          </w:p>
          <w:p w14:paraId="6D187F76" w14:textId="77777777" w:rsidR="00D10A45" w:rsidRPr="003D4CEC" w:rsidRDefault="00D10A45" w:rsidP="00D10A45">
            <w:pPr>
              <w:spacing w:line="280" w:lineRule="exact"/>
              <w:rPr>
                <w:szCs w:val="22"/>
                <w:lang w:val="fr-FR"/>
              </w:rPr>
            </w:pPr>
          </w:p>
          <w:p w14:paraId="64B01642" w14:textId="636FA069" w:rsidR="00E821FB" w:rsidRPr="003D4CEC" w:rsidRDefault="009A0AE4" w:rsidP="00D10A45">
            <w:pPr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Le cours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 xml:space="preserve">enseignement à distance devrait débuter au deuxième trimestre </w:t>
            </w:r>
            <w:r w:rsidR="0090337E" w:rsidRPr="003D4CEC">
              <w:rPr>
                <w:szCs w:val="22"/>
                <w:lang w:val="fr-FR"/>
              </w:rPr>
              <w:t>de</w:t>
            </w:r>
            <w:r w:rsidR="0090337E">
              <w:rPr>
                <w:szCs w:val="22"/>
                <w:lang w:val="fr-FR"/>
              </w:rPr>
              <w:t> </w:t>
            </w:r>
            <w:r w:rsidR="0090337E" w:rsidRPr="003D4CEC">
              <w:rPr>
                <w:szCs w:val="22"/>
                <w:lang w:val="fr-FR"/>
              </w:rPr>
              <w:t>2019</w:t>
            </w:r>
            <w:r w:rsidRPr="003D4CEC">
              <w:rPr>
                <w:szCs w:val="22"/>
                <w:lang w:val="fr-FR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EEA2555" w14:textId="0E885D78" w:rsidR="007C050B" w:rsidRPr="003D4CEC" w:rsidRDefault="009A0AE4" w:rsidP="00D10A45">
            <w:pPr>
              <w:pStyle w:val="Default"/>
              <w:spacing w:line="280" w:lineRule="exact"/>
              <w:rPr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Mise en place</w:t>
            </w:r>
            <w:r w:rsidR="00E71BE5" w:rsidRPr="003D4CEC">
              <w:rPr>
                <w:color w:val="auto"/>
                <w:sz w:val="22"/>
                <w:szCs w:val="22"/>
                <w:lang w:val="fr-FR"/>
              </w:rPr>
              <w:t>, sur le long terme,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un volet de formation à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intention des professionnels du cinéma africains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7A716B5" w14:textId="77777777" w:rsidR="007C050B" w:rsidRPr="003D4CEC" w:rsidRDefault="007C050B" w:rsidP="00D10A45">
            <w:pPr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</w:p>
        </w:tc>
      </w:tr>
    </w:tbl>
    <w:p w14:paraId="29F72E7A" w14:textId="77777777" w:rsidR="007C050B" w:rsidRPr="003D4CEC" w:rsidRDefault="007C050B" w:rsidP="007C050B">
      <w:pPr>
        <w:tabs>
          <w:tab w:val="left" w:pos="9060"/>
        </w:tabs>
        <w:spacing w:line="280" w:lineRule="exact"/>
        <w:rPr>
          <w:szCs w:val="22"/>
          <w:lang w:val="fr-FR"/>
        </w:rPr>
      </w:pPr>
    </w:p>
    <w:tbl>
      <w:tblPr>
        <w:tblW w:w="5003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3D4CEC" w:rsidRPr="003D4CEC" w14:paraId="31E218AE" w14:textId="77777777" w:rsidTr="00D10A45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ECAC0" w14:textId="21CF50A7" w:rsidR="007C050B" w:rsidRPr="003D4CEC" w:rsidRDefault="007C050B" w:rsidP="00D10A45">
            <w:pPr>
              <w:keepNext/>
              <w:keepLines/>
              <w:spacing w:line="280" w:lineRule="exact"/>
              <w:jc w:val="center"/>
              <w:rPr>
                <w:b/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br w:type="page"/>
            </w:r>
            <w:r w:rsidR="009A0AE4" w:rsidRPr="003D4CEC">
              <w:rPr>
                <w:b/>
                <w:szCs w:val="22"/>
                <w:lang w:val="fr-FR"/>
              </w:rPr>
              <w:t>Objectif(s) du projet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DEA85" w14:textId="7F86B290" w:rsidR="0090337E" w:rsidRDefault="009A0AE4" w:rsidP="00D10A45">
            <w:pPr>
              <w:keepNext/>
              <w:keepLines/>
              <w:spacing w:line="280" w:lineRule="exact"/>
              <w:jc w:val="center"/>
              <w:rPr>
                <w:b/>
                <w:szCs w:val="22"/>
                <w:lang w:val="fr-FR"/>
              </w:rPr>
            </w:pPr>
            <w:r w:rsidRPr="003D4CEC">
              <w:rPr>
                <w:b/>
                <w:szCs w:val="22"/>
                <w:lang w:val="fr-FR"/>
              </w:rPr>
              <w:t>Indicateur(s) de réussite dans la réalisation de l</w:t>
            </w:r>
            <w:r w:rsidR="0090337E">
              <w:rPr>
                <w:b/>
                <w:szCs w:val="22"/>
                <w:lang w:val="fr-FR"/>
              </w:rPr>
              <w:t>’</w:t>
            </w:r>
            <w:r w:rsidRPr="003D4CEC">
              <w:rPr>
                <w:b/>
                <w:szCs w:val="22"/>
                <w:lang w:val="fr-FR"/>
              </w:rPr>
              <w:t>objectif du projet</w:t>
            </w:r>
          </w:p>
          <w:p w14:paraId="6C36681A" w14:textId="4F2B3C1C" w:rsidR="007C050B" w:rsidRPr="003D4CEC" w:rsidRDefault="009A0AE4" w:rsidP="00D10A45">
            <w:pPr>
              <w:keepNext/>
              <w:keepLines/>
              <w:spacing w:line="280" w:lineRule="exact"/>
              <w:jc w:val="center"/>
              <w:rPr>
                <w:b/>
                <w:szCs w:val="22"/>
                <w:lang w:val="fr-FR"/>
              </w:rPr>
            </w:pPr>
            <w:r w:rsidRPr="003D4CEC">
              <w:rPr>
                <w:b/>
                <w:szCs w:val="22"/>
                <w:lang w:val="fr-FR"/>
              </w:rPr>
              <w:t>(indicateurs de réussite)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4B01E" w14:textId="7B1E8550" w:rsidR="007C050B" w:rsidRPr="003D4CEC" w:rsidRDefault="009A0AE4" w:rsidP="00D10A45">
            <w:pPr>
              <w:keepNext/>
              <w:keepLines/>
              <w:spacing w:line="280" w:lineRule="exact"/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 w:rsidRPr="003D4CEC">
              <w:rPr>
                <w:rFonts w:eastAsia="MS Mincho"/>
                <w:b/>
                <w:szCs w:val="22"/>
                <w:lang w:val="fr-FR" w:eastAsia="ja-JP"/>
              </w:rPr>
              <w:t>Données relatives à l</w:t>
            </w:r>
            <w:r w:rsidR="0090337E">
              <w:rPr>
                <w:rFonts w:eastAsia="MS Mincho"/>
                <w:b/>
                <w:szCs w:val="22"/>
                <w:lang w:val="fr-FR" w:eastAsia="ja-JP"/>
              </w:rPr>
              <w:t>’</w:t>
            </w:r>
            <w:r w:rsidRPr="003D4CEC">
              <w:rPr>
                <w:rFonts w:eastAsia="MS Mincho"/>
                <w:b/>
                <w:szCs w:val="22"/>
                <w:lang w:val="fr-FR" w:eastAsia="ja-JP"/>
              </w:rPr>
              <w:t>exécution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566B6" w14:textId="72E99614" w:rsidR="007C050B" w:rsidRPr="003D4CEC" w:rsidRDefault="009A0AE4" w:rsidP="00D10A45">
            <w:pPr>
              <w:keepNext/>
              <w:keepLines/>
              <w:spacing w:line="280" w:lineRule="exact"/>
              <w:jc w:val="center"/>
              <w:rPr>
                <w:b/>
                <w:bCs/>
                <w:szCs w:val="22"/>
                <w:lang w:val="fr-FR"/>
              </w:rPr>
            </w:pPr>
            <w:r w:rsidRPr="003D4CEC">
              <w:rPr>
                <w:b/>
                <w:bCs/>
                <w:szCs w:val="22"/>
                <w:lang w:val="fr-FR"/>
              </w:rPr>
              <w:t>Code</w:t>
            </w:r>
          </w:p>
        </w:tc>
      </w:tr>
      <w:tr w:rsidR="003D4CEC" w:rsidRPr="003D4CEC" w14:paraId="422E74EC" w14:textId="77777777" w:rsidTr="00D10A45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60A4A" w14:textId="185BC762" w:rsidR="007C050B" w:rsidRPr="003D4CEC" w:rsidRDefault="009A0AE4" w:rsidP="00D10A45">
            <w:pPr>
              <w:pStyle w:val="Default"/>
              <w:spacing w:line="280" w:lineRule="exact"/>
              <w:rPr>
                <w:b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Contribuer à améliorer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utilisation du système de propriété intellectuelle aux fins du financement, de la production et de la distribution des œuvres audiovisuelles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E3AC9" w14:textId="7C1AB0F9" w:rsidR="00B10BCF" w:rsidRDefault="00D904E7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Utilisation accrue par les participants des compétences acquises pour financer, produire et distribuer les œuvres audiovisuelles (à établir au moyen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un questionnaire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évaluation adressé aux participants après la fin de la formation)</w:t>
            </w:r>
            <w:r w:rsidR="00E71BE5" w:rsidRPr="003D4CEC">
              <w:rPr>
                <w:color w:val="auto"/>
                <w:sz w:val="22"/>
                <w:szCs w:val="22"/>
                <w:lang w:val="fr-FR"/>
              </w:rPr>
              <w:t>.</w:t>
            </w:r>
          </w:p>
          <w:p w14:paraId="59E294EC" w14:textId="77777777" w:rsidR="00D10A45" w:rsidRPr="003D4CEC" w:rsidRDefault="00D10A45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312A79EC" w14:textId="1566B1EA" w:rsidR="007C050B" w:rsidRPr="003D4CEC" w:rsidRDefault="00D904E7" w:rsidP="00D10A45">
            <w:pPr>
              <w:keepNext/>
              <w:keepLines/>
              <w:spacing w:line="280" w:lineRule="exact"/>
              <w:rPr>
                <w:b/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Hausse du nombre de transactions de propriété intellectuelle dans le secteur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audiovisuel en ce qui concerne la production et la distribution.</w:t>
            </w:r>
            <w:r w:rsidR="007C050B" w:rsidRPr="003D4CEC">
              <w:rPr>
                <w:szCs w:val="22"/>
                <w:lang w:val="fr-FR"/>
              </w:rPr>
              <w:t xml:space="preserve"> </w:t>
            </w:r>
            <w:r w:rsidR="00D22E27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190E5" w14:textId="0190434A" w:rsidR="00B10BCF" w:rsidRDefault="00E71BE5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Degré élevé de</w:t>
            </w:r>
            <w:r w:rsidR="000764FF" w:rsidRPr="003D4CEC">
              <w:rPr>
                <w:color w:val="auto"/>
                <w:sz w:val="22"/>
                <w:szCs w:val="22"/>
                <w:lang w:val="fr-FR"/>
              </w:rPr>
              <w:t xml:space="preserve"> satisfaction des participants aux ateliers de renforcement des capacités et aux activités de formation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organisées sur le thème d</w:t>
            </w:r>
            <w:r w:rsidR="000764FF" w:rsidRPr="003D4CEC">
              <w:rPr>
                <w:color w:val="auto"/>
                <w:sz w:val="22"/>
                <w:szCs w:val="22"/>
                <w:lang w:val="fr-FR"/>
              </w:rPr>
              <w:t>es pratiques recommandé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es</w:t>
            </w:r>
            <w:r w:rsidR="00CB0FF7">
              <w:rPr>
                <w:color w:val="auto"/>
                <w:sz w:val="22"/>
                <w:szCs w:val="22"/>
                <w:lang w:val="fr-FR"/>
              </w:rPr>
              <w:t xml:space="preserve">.  </w:t>
            </w:r>
            <w:r w:rsidR="00CB0FF7" w:rsidRPr="003D4CEC">
              <w:rPr>
                <w:color w:val="auto"/>
                <w:sz w:val="22"/>
                <w:szCs w:val="22"/>
                <w:lang w:val="fr-FR"/>
              </w:rPr>
              <w:t>Qu</w:t>
            </w:r>
            <w:r w:rsidR="000764FF" w:rsidRPr="003D4CEC">
              <w:rPr>
                <w:color w:val="auto"/>
                <w:sz w:val="22"/>
                <w:szCs w:val="22"/>
                <w:lang w:val="fr-FR"/>
              </w:rPr>
              <w:t>estionnaires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0764FF" w:rsidRPr="003D4CEC">
              <w:rPr>
                <w:color w:val="auto"/>
                <w:sz w:val="22"/>
                <w:szCs w:val="22"/>
                <w:lang w:val="fr-FR"/>
              </w:rPr>
              <w:t>évaluation disponibles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.</w:t>
            </w:r>
          </w:p>
          <w:p w14:paraId="2980114E" w14:textId="77777777" w:rsidR="00D10A45" w:rsidRPr="003D4CEC" w:rsidRDefault="00D10A45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6184694E" w14:textId="42EA90AC" w:rsidR="007C050B" w:rsidRPr="003D4CEC" w:rsidRDefault="000764FF" w:rsidP="00D10A45">
            <w:pPr>
              <w:keepNext/>
              <w:keepLines/>
              <w:spacing w:line="280" w:lineRule="exact"/>
              <w:rPr>
                <w:rFonts w:eastAsia="MS Mincho"/>
                <w:b/>
                <w:szCs w:val="22"/>
                <w:lang w:val="fr-FR" w:eastAsia="ja-JP"/>
              </w:rPr>
            </w:pPr>
            <w:r w:rsidRPr="003D4CEC">
              <w:rPr>
                <w:szCs w:val="22"/>
                <w:lang w:val="fr-FR"/>
              </w:rPr>
              <w:t>Amélioration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intégration et de l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utilisation de la propriété intellectuelle dans les contrats, et de la documentation relative au droit d</w:t>
            </w:r>
            <w:r w:rsidR="0090337E">
              <w:rPr>
                <w:szCs w:val="22"/>
                <w:lang w:val="fr-FR"/>
              </w:rPr>
              <w:t>’</w:t>
            </w:r>
            <w:r w:rsidRPr="003D4CEC">
              <w:rPr>
                <w:szCs w:val="22"/>
                <w:lang w:val="fr-FR"/>
              </w:rPr>
              <w:t>auteur.</w:t>
            </w:r>
            <w:r w:rsidR="007C050B" w:rsidRPr="003D4CEC">
              <w:rPr>
                <w:szCs w:val="22"/>
                <w:lang w:val="fr-FR"/>
              </w:rPr>
              <w:t xml:space="preserve"> </w:t>
            </w:r>
            <w:r w:rsidR="00D22E27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B758" w14:textId="77777777" w:rsidR="007C050B" w:rsidRPr="003D4CEC" w:rsidRDefault="007C050B" w:rsidP="00D10A45">
            <w:pPr>
              <w:keepNext/>
              <w:keepLines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</w:p>
        </w:tc>
      </w:tr>
      <w:tr w:rsidR="003D4CEC" w:rsidRPr="003D4CEC" w14:paraId="0BD079D9" w14:textId="77777777" w:rsidTr="00D10A45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8F594" w14:textId="3BBCEB9A" w:rsidR="007C050B" w:rsidRPr="003D4CEC" w:rsidRDefault="000764FF" w:rsidP="00D16DAC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Promouvoir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élaboration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infrastructures, de compétences et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outils efficaces en ce qui concerne les transactions de propriété intellectuelle et la concession de licences, et renforcer les compétences en la matière afin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accroître les gains financiers réalisés par les créateurs et le secteur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audiovisuel.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D22E27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A8939" w14:textId="77777777" w:rsidR="0090337E" w:rsidRDefault="00FC4C2D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 xml:space="preserve">Augmentation du nombre de transactions de propriété intellectuelle relatives à la concession de licences 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sur l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es droits audiovisuels grâce aux négociations collectives, au recours à la concession de licences collectives, et à la mise en œuvre de lignes directrices.</w:t>
            </w:r>
          </w:p>
          <w:p w14:paraId="7F221165" w14:textId="530ABCD1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46E86B26" w14:textId="47B0482D" w:rsidR="00B10BCF" w:rsidRDefault="006159F3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Développement et renforcement des infrastructures afin de mettre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octroi de licences 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sur l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es droits audiovisuels en conformité avec les normes internationales, notamment par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intermédiaire des organis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 xml:space="preserve">ations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de gestion collective.</w:t>
            </w:r>
          </w:p>
          <w:p w14:paraId="421BBF7F" w14:textId="77777777" w:rsidR="00D16DAC" w:rsidRPr="003D4CE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0841BFB1" w14:textId="59A759F8" w:rsidR="007C050B" w:rsidRPr="003D4CEC" w:rsidRDefault="0076111C" w:rsidP="00D16DAC">
            <w:pPr>
              <w:pStyle w:val="Default"/>
              <w:spacing w:line="280" w:lineRule="exact"/>
              <w:rPr>
                <w:b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Mise en œuvre progressive des instruments et des règles commerciales appropriés en vue d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aligner la gestion des œuvres audiovisuelles sur les normes internationales.</w:t>
            </w:r>
            <w:r w:rsidR="007C050B"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D22E27">
              <w:rPr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B0F30" w14:textId="6877E532" w:rsidR="00B10BCF" w:rsidRPr="003D4CEC" w:rsidRDefault="006E1CB6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 xml:space="preserve">Prise en charge progressive de la gestion des droits audiovisuels par les organisations de gestion collective, et mise en 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œuvre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de programmes de rémunération pour copie privée.</w:t>
            </w:r>
          </w:p>
          <w:p w14:paraId="62525EF4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0D11B187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7AD43752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3A5B363B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583C4F92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1CC58196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173AAA4B" w14:textId="6A7536E5" w:rsidR="0090337E" w:rsidRDefault="00006C94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Le projet a eu une influence positive et concrète sur les réformes menées par autorités et sur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appui que celles</w:t>
            </w:r>
            <w:r w:rsidR="0090337E">
              <w:rPr>
                <w:color w:val="auto"/>
                <w:sz w:val="22"/>
                <w:szCs w:val="22"/>
                <w:lang w:val="fr-FR"/>
              </w:rPr>
              <w:t>-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ci ont apporté au secteur.</w:t>
            </w:r>
          </w:p>
          <w:p w14:paraId="23B98E53" w14:textId="6F6F2DBD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2095CC70" w14:textId="38D109C8" w:rsidR="00B10BCF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46710237" w14:textId="25F1F2C0" w:rsidR="00D16DA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4DFA8099" w14:textId="6CC49A1C" w:rsidR="00D16DA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4D591816" w14:textId="727AA301" w:rsidR="00D16DA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65CC407E" w14:textId="713758C3" w:rsidR="00D16DA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735535AF" w14:textId="77777777" w:rsidR="00D16DAC" w:rsidRPr="003D4CEC" w:rsidRDefault="00D16DAC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2DD0A6B3" w14:textId="77777777" w:rsidR="00B10BCF" w:rsidRPr="003D4CEC" w:rsidRDefault="00B10BCF" w:rsidP="00D10A45">
            <w:pPr>
              <w:pStyle w:val="Default"/>
              <w:spacing w:line="280" w:lineRule="exact"/>
              <w:rPr>
                <w:color w:val="auto"/>
                <w:sz w:val="22"/>
                <w:szCs w:val="22"/>
                <w:lang w:val="fr-FR"/>
              </w:rPr>
            </w:pPr>
          </w:p>
          <w:p w14:paraId="7A8CF0AC" w14:textId="3E5CF504" w:rsidR="007C050B" w:rsidRPr="003D4CEC" w:rsidRDefault="00115814" w:rsidP="00D16DAC">
            <w:pPr>
              <w:pStyle w:val="Default"/>
              <w:spacing w:line="280" w:lineRule="exact"/>
              <w:rPr>
                <w:rFonts w:eastAsia="MS Mincho"/>
                <w:b/>
                <w:szCs w:val="22"/>
                <w:lang w:val="fr-FR" w:eastAsia="ja-JP"/>
              </w:rPr>
            </w:pPr>
            <w:r w:rsidRPr="003D4CEC">
              <w:rPr>
                <w:color w:val="auto"/>
                <w:sz w:val="22"/>
                <w:szCs w:val="22"/>
                <w:lang w:val="fr-FR"/>
              </w:rPr>
              <w:t>Amélioration de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utilisation de la propriété intellectuelle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,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attestée </w:t>
            </w:r>
            <w:r w:rsidR="00C44011" w:rsidRPr="003D4CEC">
              <w:rPr>
                <w:color w:val="auto"/>
                <w:sz w:val="22"/>
                <w:szCs w:val="22"/>
                <w:lang w:val="fr-FR"/>
              </w:rPr>
              <w:t>par la pratique contractuelle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r w:rsidR="00F17FCE" w:rsidRPr="003D4CEC">
              <w:rPr>
                <w:color w:val="auto"/>
                <w:sz w:val="22"/>
                <w:szCs w:val="22"/>
                <w:lang w:val="fr-FR"/>
              </w:rPr>
              <w:t xml:space="preserve">et 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 xml:space="preserve">par la documentation </w:t>
            </w:r>
            <w:r w:rsidR="00F17FCE" w:rsidRPr="003D4CEC">
              <w:rPr>
                <w:color w:val="auto"/>
                <w:sz w:val="22"/>
                <w:szCs w:val="22"/>
                <w:lang w:val="fr-FR"/>
              </w:rPr>
              <w:t>et l</w:t>
            </w:r>
            <w:r w:rsidR="0090337E">
              <w:rPr>
                <w:color w:val="auto"/>
                <w:sz w:val="22"/>
                <w:szCs w:val="22"/>
                <w:lang w:val="fr-FR"/>
              </w:rPr>
              <w:t>’</w:t>
            </w:r>
            <w:r w:rsidR="00F17FCE" w:rsidRPr="003D4CEC">
              <w:rPr>
                <w:color w:val="auto"/>
                <w:sz w:val="22"/>
                <w:szCs w:val="22"/>
                <w:lang w:val="fr-FR"/>
              </w:rPr>
              <w:t>enregistrement des œuvres</w:t>
            </w:r>
            <w:r w:rsidRPr="003D4CEC">
              <w:rPr>
                <w:color w:val="auto"/>
                <w:sz w:val="22"/>
                <w:szCs w:val="22"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9DE43" w14:textId="77777777" w:rsidR="007C050B" w:rsidRPr="003D4CEC" w:rsidRDefault="007C050B" w:rsidP="00D10A45">
            <w:pPr>
              <w:keepNext/>
              <w:keepLines/>
              <w:spacing w:line="280" w:lineRule="exact"/>
              <w:jc w:val="center"/>
              <w:rPr>
                <w:szCs w:val="22"/>
                <w:lang w:val="fr-FR"/>
              </w:rPr>
            </w:pPr>
            <w:r w:rsidRPr="003D4CEC">
              <w:rPr>
                <w:szCs w:val="22"/>
                <w:lang w:val="fr-FR"/>
              </w:rPr>
              <w:t>***</w:t>
            </w:r>
          </w:p>
        </w:tc>
      </w:tr>
    </w:tbl>
    <w:p w14:paraId="34F639D0" w14:textId="2B663A79" w:rsidR="00BF16EC" w:rsidRDefault="00BF16EC" w:rsidP="00D16DAC">
      <w:pPr>
        <w:rPr>
          <w:lang w:val="fr-FR"/>
        </w:rPr>
      </w:pPr>
    </w:p>
    <w:p w14:paraId="0BDDFE97" w14:textId="5BC84AAA" w:rsidR="00D16DAC" w:rsidRDefault="00D16DAC" w:rsidP="00D16DAC">
      <w:pPr>
        <w:rPr>
          <w:lang w:val="fr-FR"/>
        </w:rPr>
      </w:pPr>
    </w:p>
    <w:p w14:paraId="2DE53021" w14:textId="6B2E9443" w:rsidR="00D16DAC" w:rsidRDefault="00D16DAC" w:rsidP="00D16DAC">
      <w:pPr>
        <w:rPr>
          <w:lang w:val="fr-FR"/>
        </w:rPr>
      </w:pPr>
    </w:p>
    <w:p w14:paraId="5954656F" w14:textId="5026BBB6" w:rsidR="00D16DAC" w:rsidRPr="007F1318" w:rsidRDefault="00D16DAC">
      <w:pPr>
        <w:pStyle w:val="Endofdocument-Annex"/>
        <w:rPr>
          <w:lang w:val="fr-CH"/>
        </w:rPr>
      </w:pPr>
      <w:r w:rsidRPr="007F1318">
        <w:rPr>
          <w:lang w:val="fr-CH"/>
        </w:rPr>
        <w:t>[Fin de l</w:t>
      </w:r>
      <w:r w:rsidR="0090337E" w:rsidRPr="007F1318">
        <w:rPr>
          <w:lang w:val="fr-CH"/>
        </w:rPr>
        <w:t>’</w:t>
      </w:r>
      <w:r w:rsidRPr="007F1318">
        <w:rPr>
          <w:lang w:val="fr-CH"/>
        </w:rPr>
        <w:t>annexe et du document]</w:t>
      </w:r>
    </w:p>
    <w:p w14:paraId="74FAC253" w14:textId="70DFEB57" w:rsidR="00D16DAC" w:rsidRPr="003D4CEC" w:rsidRDefault="00D16DAC" w:rsidP="00D16DAC">
      <w:pPr>
        <w:rPr>
          <w:lang w:val="fr-FR"/>
        </w:rPr>
      </w:pPr>
    </w:p>
    <w:sectPr w:rsidR="00D16DAC" w:rsidRPr="003D4CEC" w:rsidSect="003D4CEC">
      <w:headerReference w:type="first" r:id="rId10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D96D6" w14:textId="77777777" w:rsidR="00B57DD4" w:rsidRDefault="00B57DD4">
      <w:r>
        <w:separator/>
      </w:r>
    </w:p>
  </w:endnote>
  <w:endnote w:type="continuationSeparator" w:id="0">
    <w:p w14:paraId="7C479DDE" w14:textId="77777777" w:rsidR="00B57DD4" w:rsidRDefault="00B57DD4" w:rsidP="003B38C1">
      <w:r>
        <w:separator/>
      </w:r>
    </w:p>
    <w:p w14:paraId="628045AF" w14:textId="77777777" w:rsidR="00B57DD4" w:rsidRPr="007F1318" w:rsidRDefault="00B57DD4" w:rsidP="003B38C1">
      <w:pPr>
        <w:spacing w:after="60"/>
        <w:rPr>
          <w:sz w:val="17"/>
          <w:lang w:val="en-US"/>
        </w:rPr>
      </w:pPr>
      <w:r w:rsidRPr="007F1318">
        <w:rPr>
          <w:sz w:val="17"/>
          <w:lang w:val="en-US"/>
        </w:rPr>
        <w:t>[Endnote continued from previous page]</w:t>
      </w:r>
    </w:p>
  </w:endnote>
  <w:endnote w:type="continuationNotice" w:id="1">
    <w:p w14:paraId="49BC48B2" w14:textId="77777777" w:rsidR="00B57DD4" w:rsidRPr="007F1318" w:rsidRDefault="00B57DD4" w:rsidP="003B38C1">
      <w:pPr>
        <w:spacing w:before="60"/>
        <w:jc w:val="right"/>
        <w:rPr>
          <w:sz w:val="17"/>
          <w:szCs w:val="17"/>
          <w:lang w:val="en-US"/>
        </w:rPr>
      </w:pPr>
      <w:r w:rsidRPr="007F131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FCC2E" w14:textId="77777777" w:rsidR="00B57DD4" w:rsidRDefault="00B57DD4">
      <w:r>
        <w:separator/>
      </w:r>
    </w:p>
  </w:footnote>
  <w:footnote w:type="continuationSeparator" w:id="0">
    <w:p w14:paraId="34C099FA" w14:textId="77777777" w:rsidR="00B57DD4" w:rsidRDefault="00B57DD4" w:rsidP="008B60B2">
      <w:r>
        <w:separator/>
      </w:r>
    </w:p>
    <w:p w14:paraId="5BDFD267" w14:textId="77777777" w:rsidR="00B57DD4" w:rsidRPr="007F1318" w:rsidRDefault="00B57DD4" w:rsidP="008B60B2">
      <w:pPr>
        <w:spacing w:after="60"/>
        <w:rPr>
          <w:sz w:val="17"/>
          <w:szCs w:val="17"/>
          <w:lang w:val="en-US"/>
        </w:rPr>
      </w:pPr>
      <w:r w:rsidRPr="007F131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69455AA" w14:textId="77777777" w:rsidR="00B57DD4" w:rsidRPr="007F1318" w:rsidRDefault="00B57DD4" w:rsidP="008B60B2">
      <w:pPr>
        <w:spacing w:before="60"/>
        <w:jc w:val="right"/>
        <w:rPr>
          <w:sz w:val="17"/>
          <w:szCs w:val="17"/>
          <w:lang w:val="en-US"/>
        </w:rPr>
      </w:pPr>
      <w:r w:rsidRPr="007F1318">
        <w:rPr>
          <w:sz w:val="17"/>
          <w:szCs w:val="17"/>
          <w:lang w:val="en-US"/>
        </w:rPr>
        <w:t>[Footnote continued on next page]</w:t>
      </w:r>
    </w:p>
  </w:footnote>
  <w:footnote w:id="2">
    <w:p w14:paraId="40642256" w14:textId="5434F384" w:rsidR="00B57DD4" w:rsidRPr="00D10A45" w:rsidRDefault="00B57DD4" w:rsidP="0031382B">
      <w:pPr>
        <w:pStyle w:val="FootnoteText"/>
        <w:rPr>
          <w:szCs w:val="18"/>
          <w:lang w:val="fr-FR"/>
        </w:rPr>
      </w:pPr>
      <w:r w:rsidRPr="00D10A45">
        <w:rPr>
          <w:rStyle w:val="FootnoteReference"/>
          <w:szCs w:val="18"/>
        </w:rPr>
        <w:footnoteRef/>
      </w:r>
      <w:r w:rsidRPr="00D10A45">
        <w:rPr>
          <w:szCs w:val="18"/>
          <w:lang w:val="fr-FR"/>
        </w:rPr>
        <w:t xml:space="preserve"> </w:t>
      </w:r>
      <w:r w:rsidR="00564DE4" w:rsidRPr="00D10A45">
        <w:rPr>
          <w:szCs w:val="18"/>
          <w:lang w:val="fr-FR"/>
        </w:rPr>
        <w:tab/>
      </w:r>
      <w:r w:rsidRPr="00D10A45">
        <w:rPr>
          <w:szCs w:val="18"/>
          <w:lang w:val="fr-FR"/>
        </w:rPr>
        <w:t>Le rapport d</w:t>
      </w:r>
      <w:r w:rsidR="00211640">
        <w:rPr>
          <w:szCs w:val="18"/>
          <w:lang w:val="fr-FR"/>
        </w:rPr>
        <w:t>’</w:t>
      </w:r>
      <w:r w:rsidRPr="00D10A45">
        <w:rPr>
          <w:szCs w:val="18"/>
          <w:lang w:val="fr-FR"/>
        </w:rPr>
        <w:t>évaluation a été publié sous la cote CDIP/17/3.</w:t>
      </w:r>
    </w:p>
  </w:footnote>
  <w:footnote w:id="3">
    <w:p w14:paraId="05055E6B" w14:textId="251DF716" w:rsidR="00B57DD4" w:rsidRPr="00D10A45" w:rsidRDefault="00B57DD4" w:rsidP="00D5793F">
      <w:pPr>
        <w:pStyle w:val="FootnoteText"/>
        <w:rPr>
          <w:szCs w:val="18"/>
          <w:lang w:val="fr-FR"/>
        </w:rPr>
      </w:pPr>
      <w:r w:rsidRPr="00D10A45">
        <w:rPr>
          <w:rStyle w:val="FootnoteReference"/>
          <w:szCs w:val="18"/>
        </w:rPr>
        <w:footnoteRef/>
      </w:r>
      <w:r w:rsidRPr="00D10A45">
        <w:rPr>
          <w:szCs w:val="18"/>
          <w:lang w:val="fr-FR"/>
        </w:rPr>
        <w:t xml:space="preserve"> </w:t>
      </w:r>
      <w:r w:rsidR="00D10A45" w:rsidRPr="00D10A45">
        <w:rPr>
          <w:szCs w:val="18"/>
          <w:lang w:val="fr-FR"/>
        </w:rPr>
        <w:tab/>
      </w:r>
      <w:r w:rsidRPr="00D10A45">
        <w:rPr>
          <w:szCs w:val="18"/>
          <w:lang w:val="fr-FR"/>
        </w:rPr>
        <w:t>Document CDIP/14/INF/2.</w:t>
      </w:r>
    </w:p>
  </w:footnote>
  <w:footnote w:id="4">
    <w:p w14:paraId="58761786" w14:textId="5631B34C" w:rsidR="00B57DD4" w:rsidRPr="00D10A45" w:rsidRDefault="00B57DD4" w:rsidP="003D6AE1">
      <w:pPr>
        <w:pStyle w:val="FootnoteText"/>
        <w:rPr>
          <w:szCs w:val="18"/>
          <w:lang w:val="fr-FR"/>
        </w:rPr>
      </w:pPr>
      <w:r w:rsidRPr="00D10A45">
        <w:rPr>
          <w:rStyle w:val="FootnoteReference"/>
          <w:szCs w:val="18"/>
        </w:rPr>
        <w:footnoteRef/>
      </w:r>
      <w:r w:rsidRPr="00D10A45">
        <w:rPr>
          <w:szCs w:val="18"/>
          <w:lang w:val="fr-FR"/>
        </w:rPr>
        <w:t xml:space="preserve"> </w:t>
      </w:r>
      <w:r w:rsidR="00D10A45">
        <w:rPr>
          <w:szCs w:val="18"/>
          <w:lang w:val="fr-FR"/>
        </w:rPr>
        <w:tab/>
      </w:r>
      <w:r w:rsidRPr="00D10A45">
        <w:rPr>
          <w:szCs w:val="18"/>
          <w:lang w:val="fr-FR"/>
        </w:rPr>
        <w:t>Directive 02/2018/CM/UEMOA du 2</w:t>
      </w:r>
      <w:r w:rsidR="00211640" w:rsidRPr="00D10A45">
        <w:rPr>
          <w:szCs w:val="18"/>
          <w:lang w:val="fr-FR"/>
        </w:rPr>
        <w:t>1</w:t>
      </w:r>
      <w:r w:rsidR="00211640">
        <w:rPr>
          <w:szCs w:val="18"/>
          <w:lang w:val="fr-FR"/>
        </w:rPr>
        <w:t> </w:t>
      </w:r>
      <w:r w:rsidR="00211640" w:rsidRPr="00D10A45">
        <w:rPr>
          <w:szCs w:val="18"/>
          <w:lang w:val="fr-FR"/>
        </w:rPr>
        <w:t>septembre</w:t>
      </w:r>
      <w:r w:rsidR="00211640">
        <w:rPr>
          <w:szCs w:val="18"/>
          <w:lang w:val="fr-FR"/>
        </w:rPr>
        <w:t> </w:t>
      </w:r>
      <w:r w:rsidR="00211640" w:rsidRPr="00D10A45">
        <w:rPr>
          <w:szCs w:val="18"/>
          <w:lang w:val="fr-FR"/>
        </w:rPr>
        <w:t>20</w:t>
      </w:r>
      <w:r w:rsidRPr="00D10A45">
        <w:rPr>
          <w:szCs w:val="18"/>
          <w:lang w:val="fr-FR"/>
        </w:rPr>
        <w:t xml:space="preserve">18. </w:t>
      </w:r>
      <w:r w:rsidR="00D22E27">
        <w:rPr>
          <w:szCs w:val="18"/>
          <w:lang w:val="fr-FR"/>
        </w:rPr>
        <w:t xml:space="preserve"> </w:t>
      </w:r>
    </w:p>
  </w:footnote>
  <w:footnote w:id="5">
    <w:p w14:paraId="14B0A910" w14:textId="75BD2E89" w:rsidR="00B57DD4" w:rsidRPr="00D10A45" w:rsidRDefault="00B57DD4" w:rsidP="009E07B1">
      <w:pPr>
        <w:pStyle w:val="FootnoteText"/>
        <w:rPr>
          <w:szCs w:val="18"/>
          <w:lang w:val="fr-FR"/>
        </w:rPr>
      </w:pPr>
      <w:r w:rsidRPr="00D10A45">
        <w:rPr>
          <w:rStyle w:val="FootnoteReference"/>
          <w:szCs w:val="18"/>
        </w:rPr>
        <w:footnoteRef/>
      </w:r>
      <w:r w:rsidRPr="00D10A45">
        <w:rPr>
          <w:szCs w:val="18"/>
          <w:lang w:val="fr-FR"/>
        </w:rPr>
        <w:t xml:space="preserve"> </w:t>
      </w:r>
      <w:r w:rsidRPr="00D10A45">
        <w:rPr>
          <w:szCs w:val="18"/>
          <w:lang w:val="fr-FR"/>
        </w:rPr>
        <w:tab/>
        <w:t xml:space="preserve">Conformément au descriptif de projet initial, </w:t>
      </w:r>
      <w:r w:rsidR="00211640" w:rsidRPr="00D10A45">
        <w:rPr>
          <w:szCs w:val="18"/>
          <w:lang w:val="fr-FR"/>
        </w:rPr>
        <w:t>section</w:t>
      </w:r>
      <w:r w:rsidR="00211640">
        <w:rPr>
          <w:szCs w:val="18"/>
          <w:lang w:val="fr-FR"/>
        </w:rPr>
        <w:t> </w:t>
      </w:r>
      <w:r w:rsidR="00211640" w:rsidRPr="00D10A45">
        <w:rPr>
          <w:szCs w:val="18"/>
          <w:lang w:val="fr-FR"/>
        </w:rPr>
        <w:t>3</w:t>
      </w:r>
      <w:r w:rsidRPr="00D10A45">
        <w:rPr>
          <w:szCs w:val="18"/>
          <w:lang w:val="fr-FR"/>
        </w:rPr>
        <w:t>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4099" w14:textId="77777777" w:rsidR="00B57DD4" w:rsidRPr="003D4CEC" w:rsidRDefault="00B57DD4" w:rsidP="003D4CEC">
    <w:pPr>
      <w:jc w:val="right"/>
    </w:pPr>
    <w:r w:rsidRPr="003D4CEC">
      <w:t>CDIP/23/5</w:t>
    </w:r>
  </w:p>
  <w:p w14:paraId="21C0258B" w14:textId="6FACDCC9" w:rsidR="00B57DD4" w:rsidRPr="003D4CEC" w:rsidRDefault="00B57DD4" w:rsidP="003D4CEC">
    <w:pPr>
      <w:jc w:val="right"/>
    </w:pPr>
    <w:r w:rsidRPr="003D4CEC">
      <w:t>Annexe, page</w:t>
    </w:r>
    <w:r w:rsidR="003A7DA2" w:rsidRPr="003D4CEC">
      <w:t xml:space="preserve"> </w:t>
    </w:r>
    <w:sdt>
      <w:sdtPr>
        <w:id w:val="-874003821"/>
        <w:docPartObj>
          <w:docPartGallery w:val="Page Numbers (Top of Page)"/>
          <w:docPartUnique/>
        </w:docPartObj>
      </w:sdtPr>
      <w:sdtEndPr/>
      <w:sdtContent>
        <w:r w:rsidRPr="003D4CEC">
          <w:fldChar w:fldCharType="begin"/>
        </w:r>
        <w:r w:rsidRPr="003D4CEC">
          <w:instrText xml:space="preserve"> PAGE   \* MERGEFORMAT </w:instrText>
        </w:r>
        <w:r w:rsidRPr="003D4CEC">
          <w:fldChar w:fldCharType="separate"/>
        </w:r>
        <w:r w:rsidR="007F1318">
          <w:rPr>
            <w:noProof/>
          </w:rPr>
          <w:t>16</w:t>
        </w:r>
        <w:r w:rsidRPr="003D4CEC">
          <w:fldChar w:fldCharType="end"/>
        </w:r>
      </w:sdtContent>
    </w:sdt>
  </w:p>
  <w:p w14:paraId="636D17FE" w14:textId="77777777" w:rsidR="00B57DD4" w:rsidRPr="003D4CEC" w:rsidRDefault="00B57DD4" w:rsidP="003D4CEC">
    <w:pPr>
      <w:jc w:val="right"/>
    </w:pPr>
  </w:p>
  <w:p w14:paraId="6B3E4496" w14:textId="77777777" w:rsidR="00B57DD4" w:rsidRPr="003D4CEC" w:rsidRDefault="00B57DD4" w:rsidP="003D4CE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906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F9B8B6" w14:textId="77777777" w:rsidR="00B57DD4" w:rsidRDefault="00B57DD4" w:rsidP="003D4CEC">
        <w:pPr>
          <w:jc w:val="right"/>
        </w:pPr>
        <w:r>
          <w:t>CDIP/23/5</w:t>
        </w:r>
      </w:p>
      <w:p w14:paraId="6A2FEE5D" w14:textId="010292C0" w:rsidR="00B57DD4" w:rsidRDefault="00B57DD4" w:rsidP="003D4CEC">
        <w:pPr>
          <w:jc w:val="right"/>
        </w:pPr>
        <w:r>
          <w:t>ANNEX</w:t>
        </w:r>
        <w:r w:rsidR="003D4CEC">
          <w:t>E</w:t>
        </w:r>
      </w:p>
    </w:sdtContent>
  </w:sdt>
  <w:p w14:paraId="4BD8543B" w14:textId="608C70E8" w:rsidR="00B57DD4" w:rsidRDefault="00B57DD4" w:rsidP="003D4CEC">
    <w:pPr>
      <w:jc w:val="right"/>
    </w:pPr>
  </w:p>
  <w:p w14:paraId="06D45B63" w14:textId="77777777" w:rsidR="003D4CEC" w:rsidRDefault="003D4CEC" w:rsidP="003D4CE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955"/>
    <w:multiLevelType w:val="hybridMultilevel"/>
    <w:tmpl w:val="2362D2B8"/>
    <w:lvl w:ilvl="0" w:tplc="FC3E74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F673DE"/>
    <w:multiLevelType w:val="hybridMultilevel"/>
    <w:tmpl w:val="00D2B680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9B5"/>
    <w:multiLevelType w:val="hybridMultilevel"/>
    <w:tmpl w:val="2D1ACB18"/>
    <w:lvl w:ilvl="0" w:tplc="B7803DF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47A"/>
    <w:multiLevelType w:val="hybridMultilevel"/>
    <w:tmpl w:val="99B8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592"/>
    <w:multiLevelType w:val="hybridMultilevel"/>
    <w:tmpl w:val="05E8E2A6"/>
    <w:lvl w:ilvl="0" w:tplc="41327CEA">
      <w:start w:val="1"/>
      <w:numFmt w:val="bullet"/>
      <w:lvlText w:val="-"/>
      <w:lvlJc w:val="left"/>
      <w:pPr>
        <w:ind w:left="86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4152457"/>
    <w:multiLevelType w:val="hybridMultilevel"/>
    <w:tmpl w:val="3CA8561A"/>
    <w:lvl w:ilvl="0" w:tplc="FD601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50223"/>
    <w:multiLevelType w:val="hybridMultilevel"/>
    <w:tmpl w:val="65C6C32C"/>
    <w:lvl w:ilvl="0" w:tplc="EF96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B7779"/>
    <w:multiLevelType w:val="hybridMultilevel"/>
    <w:tmpl w:val="57001A3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3E96008"/>
    <w:multiLevelType w:val="hybridMultilevel"/>
    <w:tmpl w:val="B4D00982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3ADA"/>
    <w:multiLevelType w:val="hybridMultilevel"/>
    <w:tmpl w:val="02D03D24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10BF"/>
    <w:multiLevelType w:val="hybridMultilevel"/>
    <w:tmpl w:val="4C384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513E"/>
    <w:multiLevelType w:val="hybridMultilevel"/>
    <w:tmpl w:val="FCA00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A0C8C"/>
    <w:multiLevelType w:val="hybridMultilevel"/>
    <w:tmpl w:val="18165F3A"/>
    <w:lvl w:ilvl="0" w:tplc="FE64FB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667"/>
    <w:multiLevelType w:val="hybridMultilevel"/>
    <w:tmpl w:val="33269016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01F78"/>
    <w:multiLevelType w:val="hybridMultilevel"/>
    <w:tmpl w:val="EE8ABF5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45859"/>
    <w:multiLevelType w:val="hybridMultilevel"/>
    <w:tmpl w:val="7336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464C1"/>
    <w:multiLevelType w:val="hybridMultilevel"/>
    <w:tmpl w:val="3192F334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85F90"/>
    <w:multiLevelType w:val="hybridMultilevel"/>
    <w:tmpl w:val="B5CA8010"/>
    <w:lvl w:ilvl="0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3B2DFD"/>
    <w:multiLevelType w:val="hybridMultilevel"/>
    <w:tmpl w:val="D9726384"/>
    <w:lvl w:ilvl="0" w:tplc="FC3E7420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086872"/>
    <w:multiLevelType w:val="hybridMultilevel"/>
    <w:tmpl w:val="314E0C5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D41E6"/>
    <w:multiLevelType w:val="hybridMultilevel"/>
    <w:tmpl w:val="A878853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E4180"/>
    <w:multiLevelType w:val="hybridMultilevel"/>
    <w:tmpl w:val="15886F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71825"/>
    <w:multiLevelType w:val="hybridMultilevel"/>
    <w:tmpl w:val="13C003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41C4B"/>
    <w:multiLevelType w:val="hybridMultilevel"/>
    <w:tmpl w:val="35D816B4"/>
    <w:lvl w:ilvl="0" w:tplc="9BCC64E0">
      <w:start w:val="1"/>
      <w:numFmt w:val="bullet"/>
      <w:lvlText w:val="–"/>
      <w:lvlJc w:val="left"/>
      <w:pPr>
        <w:ind w:left="86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5046444"/>
    <w:multiLevelType w:val="hybridMultilevel"/>
    <w:tmpl w:val="88D83FB2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B72AB"/>
    <w:multiLevelType w:val="hybridMultilevel"/>
    <w:tmpl w:val="B64AE602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5F4C"/>
    <w:multiLevelType w:val="hybridMultilevel"/>
    <w:tmpl w:val="593E3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90886"/>
    <w:multiLevelType w:val="hybridMultilevel"/>
    <w:tmpl w:val="42426C8E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2927AB"/>
    <w:multiLevelType w:val="hybridMultilevel"/>
    <w:tmpl w:val="1C14724E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52BC3"/>
    <w:multiLevelType w:val="hybridMultilevel"/>
    <w:tmpl w:val="19E6D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294D"/>
    <w:multiLevelType w:val="hybridMultilevel"/>
    <w:tmpl w:val="771CF720"/>
    <w:lvl w:ilvl="0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0227E0"/>
    <w:multiLevelType w:val="hybridMultilevel"/>
    <w:tmpl w:val="F37C740C"/>
    <w:lvl w:ilvl="0" w:tplc="9BCC64E0">
      <w:start w:val="1"/>
      <w:numFmt w:val="bullet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entury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entury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entury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421168F"/>
    <w:multiLevelType w:val="hybridMultilevel"/>
    <w:tmpl w:val="E638A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63F1A"/>
    <w:multiLevelType w:val="hybridMultilevel"/>
    <w:tmpl w:val="F4BEA664"/>
    <w:lvl w:ilvl="0" w:tplc="41327CE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A81060"/>
    <w:multiLevelType w:val="hybridMultilevel"/>
    <w:tmpl w:val="E696C9BE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124BF"/>
    <w:multiLevelType w:val="hybridMultilevel"/>
    <w:tmpl w:val="C3C013C8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0D9D"/>
    <w:multiLevelType w:val="hybridMultilevel"/>
    <w:tmpl w:val="67B4E176"/>
    <w:lvl w:ilvl="0" w:tplc="9BCC64E0">
      <w:start w:val="1"/>
      <w:numFmt w:val="bullet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entury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entury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entury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4093F59"/>
    <w:multiLevelType w:val="hybridMultilevel"/>
    <w:tmpl w:val="D108D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7B72"/>
    <w:multiLevelType w:val="hybridMultilevel"/>
    <w:tmpl w:val="38EE8570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9"/>
  </w:num>
  <w:num w:numId="4">
    <w:abstractNumId w:val="39"/>
  </w:num>
  <w:num w:numId="5">
    <w:abstractNumId w:val="14"/>
  </w:num>
  <w:num w:numId="6">
    <w:abstractNumId w:val="35"/>
  </w:num>
  <w:num w:numId="7">
    <w:abstractNumId w:val="10"/>
  </w:num>
  <w:num w:numId="8">
    <w:abstractNumId w:val="24"/>
  </w:num>
  <w:num w:numId="9">
    <w:abstractNumId w:val="26"/>
  </w:num>
  <w:num w:numId="10">
    <w:abstractNumId w:val="15"/>
  </w:num>
  <w:num w:numId="11">
    <w:abstractNumId w:val="41"/>
  </w:num>
  <w:num w:numId="12">
    <w:abstractNumId w:val="28"/>
  </w:num>
  <w:num w:numId="13">
    <w:abstractNumId w:val="17"/>
  </w:num>
  <w:num w:numId="14">
    <w:abstractNumId w:val="12"/>
  </w:num>
  <w:num w:numId="15">
    <w:abstractNumId w:val="32"/>
  </w:num>
  <w:num w:numId="16">
    <w:abstractNumId w:val="0"/>
  </w:num>
  <w:num w:numId="17">
    <w:abstractNumId w:val="20"/>
  </w:num>
  <w:num w:numId="18">
    <w:abstractNumId w:val="2"/>
  </w:num>
  <w:num w:numId="19">
    <w:abstractNumId w:val="27"/>
  </w:num>
  <w:num w:numId="20">
    <w:abstractNumId w:val="6"/>
  </w:num>
  <w:num w:numId="21">
    <w:abstractNumId w:val="31"/>
  </w:num>
  <w:num w:numId="22">
    <w:abstractNumId w:val="11"/>
  </w:num>
  <w:num w:numId="23">
    <w:abstractNumId w:val="7"/>
  </w:num>
  <w:num w:numId="24">
    <w:abstractNumId w:val="36"/>
  </w:num>
  <w:num w:numId="25">
    <w:abstractNumId w:val="4"/>
  </w:num>
  <w:num w:numId="26">
    <w:abstractNumId w:val="5"/>
  </w:num>
  <w:num w:numId="27">
    <w:abstractNumId w:val="13"/>
  </w:num>
  <w:num w:numId="28">
    <w:abstractNumId w:val="3"/>
  </w:num>
  <w:num w:numId="29">
    <w:abstractNumId w:val="30"/>
  </w:num>
  <w:num w:numId="30">
    <w:abstractNumId w:val="1"/>
  </w:num>
  <w:num w:numId="31">
    <w:abstractNumId w:val="9"/>
  </w:num>
  <w:num w:numId="32">
    <w:abstractNumId w:val="40"/>
  </w:num>
  <w:num w:numId="33">
    <w:abstractNumId w:val="34"/>
  </w:num>
  <w:num w:numId="34">
    <w:abstractNumId w:val="8"/>
  </w:num>
  <w:num w:numId="35">
    <w:abstractNumId w:val="21"/>
  </w:num>
  <w:num w:numId="36">
    <w:abstractNumId w:val="29"/>
  </w:num>
  <w:num w:numId="37">
    <w:abstractNumId w:val="16"/>
  </w:num>
  <w:num w:numId="38">
    <w:abstractNumId w:val="37"/>
  </w:num>
  <w:num w:numId="39">
    <w:abstractNumId w:val="19"/>
  </w:num>
  <w:num w:numId="40">
    <w:abstractNumId w:val="22"/>
  </w:num>
  <w:num w:numId="41">
    <w:abstractNumId w:val="38"/>
  </w:num>
  <w:num w:numId="42">
    <w:abstractNumId w:val="18"/>
  </w:num>
  <w:num w:numId="43">
    <w:abstractNumId w:val="23"/>
  </w:num>
  <w:num w:numId="44">
    <w:abstractNumId w:val="33"/>
  </w:num>
  <w:num w:numId="4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|Team Server TMs\Default"/>
    <w:docVar w:name="TextBaseURL" w:val="empty"/>
    <w:docVar w:name="UILng" w:val="en"/>
  </w:docVars>
  <w:rsids>
    <w:rsidRoot w:val="0017367B"/>
    <w:rsid w:val="00001E20"/>
    <w:rsid w:val="00002011"/>
    <w:rsid w:val="00006C47"/>
    <w:rsid w:val="00006C94"/>
    <w:rsid w:val="0001450B"/>
    <w:rsid w:val="00016F2C"/>
    <w:rsid w:val="000239D9"/>
    <w:rsid w:val="00037B0A"/>
    <w:rsid w:val="00043CAA"/>
    <w:rsid w:val="0004505E"/>
    <w:rsid w:val="000534DD"/>
    <w:rsid w:val="000734F4"/>
    <w:rsid w:val="00075268"/>
    <w:rsid w:val="00075432"/>
    <w:rsid w:val="000764FF"/>
    <w:rsid w:val="00076651"/>
    <w:rsid w:val="00080778"/>
    <w:rsid w:val="0008512B"/>
    <w:rsid w:val="000968ED"/>
    <w:rsid w:val="00097775"/>
    <w:rsid w:val="000A0805"/>
    <w:rsid w:val="000A297D"/>
    <w:rsid w:val="000A3DD3"/>
    <w:rsid w:val="000A6659"/>
    <w:rsid w:val="000A6842"/>
    <w:rsid w:val="000A716D"/>
    <w:rsid w:val="000A71E4"/>
    <w:rsid w:val="000B1400"/>
    <w:rsid w:val="000B5D38"/>
    <w:rsid w:val="000C6630"/>
    <w:rsid w:val="000D2D55"/>
    <w:rsid w:val="000E6BCF"/>
    <w:rsid w:val="000F30A0"/>
    <w:rsid w:val="000F5E56"/>
    <w:rsid w:val="000F6A6E"/>
    <w:rsid w:val="00102DB2"/>
    <w:rsid w:val="00104484"/>
    <w:rsid w:val="00115814"/>
    <w:rsid w:val="00116906"/>
    <w:rsid w:val="00121614"/>
    <w:rsid w:val="00121D5C"/>
    <w:rsid w:val="001223AA"/>
    <w:rsid w:val="001279FB"/>
    <w:rsid w:val="00133EBA"/>
    <w:rsid w:val="001362EE"/>
    <w:rsid w:val="0013644A"/>
    <w:rsid w:val="00142EE3"/>
    <w:rsid w:val="00151548"/>
    <w:rsid w:val="00154754"/>
    <w:rsid w:val="00154B6F"/>
    <w:rsid w:val="00170EC7"/>
    <w:rsid w:val="00172E16"/>
    <w:rsid w:val="0017367B"/>
    <w:rsid w:val="00176C83"/>
    <w:rsid w:val="00182469"/>
    <w:rsid w:val="0018311E"/>
    <w:rsid w:val="001832A6"/>
    <w:rsid w:val="00185362"/>
    <w:rsid w:val="0018616E"/>
    <w:rsid w:val="00187468"/>
    <w:rsid w:val="00192AD4"/>
    <w:rsid w:val="00193D9D"/>
    <w:rsid w:val="001A0DC7"/>
    <w:rsid w:val="001A6F71"/>
    <w:rsid w:val="001A7493"/>
    <w:rsid w:val="001A796F"/>
    <w:rsid w:val="001B4A8C"/>
    <w:rsid w:val="001B4FAA"/>
    <w:rsid w:val="001B56C5"/>
    <w:rsid w:val="001C24F8"/>
    <w:rsid w:val="001C46E5"/>
    <w:rsid w:val="001C6003"/>
    <w:rsid w:val="001D353E"/>
    <w:rsid w:val="001D3F99"/>
    <w:rsid w:val="001E29F8"/>
    <w:rsid w:val="001E7604"/>
    <w:rsid w:val="001F4F85"/>
    <w:rsid w:val="001F74FE"/>
    <w:rsid w:val="00205131"/>
    <w:rsid w:val="002108EF"/>
    <w:rsid w:val="00211640"/>
    <w:rsid w:val="0021217E"/>
    <w:rsid w:val="00220246"/>
    <w:rsid w:val="0022530A"/>
    <w:rsid w:val="002259B3"/>
    <w:rsid w:val="00232811"/>
    <w:rsid w:val="00247694"/>
    <w:rsid w:val="00250ED0"/>
    <w:rsid w:val="00252446"/>
    <w:rsid w:val="00253103"/>
    <w:rsid w:val="00257A3B"/>
    <w:rsid w:val="00261BAF"/>
    <w:rsid w:val="002634C4"/>
    <w:rsid w:val="002660DA"/>
    <w:rsid w:val="0027373F"/>
    <w:rsid w:val="00274703"/>
    <w:rsid w:val="002752E5"/>
    <w:rsid w:val="00277224"/>
    <w:rsid w:val="00280148"/>
    <w:rsid w:val="002928D3"/>
    <w:rsid w:val="00293338"/>
    <w:rsid w:val="00294792"/>
    <w:rsid w:val="002949D9"/>
    <w:rsid w:val="002976BE"/>
    <w:rsid w:val="002976CA"/>
    <w:rsid w:val="002B363E"/>
    <w:rsid w:val="002C207F"/>
    <w:rsid w:val="002C22A2"/>
    <w:rsid w:val="002C4F0F"/>
    <w:rsid w:val="002C5217"/>
    <w:rsid w:val="002D0EA4"/>
    <w:rsid w:val="002D5355"/>
    <w:rsid w:val="002E4258"/>
    <w:rsid w:val="002E5171"/>
    <w:rsid w:val="002E77EC"/>
    <w:rsid w:val="002F1919"/>
    <w:rsid w:val="002F1AB3"/>
    <w:rsid w:val="002F1FE6"/>
    <w:rsid w:val="002F4E68"/>
    <w:rsid w:val="0030130C"/>
    <w:rsid w:val="00301DA1"/>
    <w:rsid w:val="00303E4E"/>
    <w:rsid w:val="00310912"/>
    <w:rsid w:val="00312F7F"/>
    <w:rsid w:val="0031382B"/>
    <w:rsid w:val="00314FA7"/>
    <w:rsid w:val="00343AFA"/>
    <w:rsid w:val="00350DC1"/>
    <w:rsid w:val="00351410"/>
    <w:rsid w:val="00354DEB"/>
    <w:rsid w:val="0036057D"/>
    <w:rsid w:val="00361450"/>
    <w:rsid w:val="0036533C"/>
    <w:rsid w:val="003673CF"/>
    <w:rsid w:val="00372E95"/>
    <w:rsid w:val="003817DA"/>
    <w:rsid w:val="00382BEE"/>
    <w:rsid w:val="00383FED"/>
    <w:rsid w:val="003845C1"/>
    <w:rsid w:val="00397310"/>
    <w:rsid w:val="003A6F89"/>
    <w:rsid w:val="003A7DA2"/>
    <w:rsid w:val="003B1C51"/>
    <w:rsid w:val="003B38C1"/>
    <w:rsid w:val="003C2DC6"/>
    <w:rsid w:val="003C3FB6"/>
    <w:rsid w:val="003C7998"/>
    <w:rsid w:val="003D36DE"/>
    <w:rsid w:val="003D4CEC"/>
    <w:rsid w:val="003D638C"/>
    <w:rsid w:val="003D6AE1"/>
    <w:rsid w:val="003E3069"/>
    <w:rsid w:val="003F22B6"/>
    <w:rsid w:val="0040126A"/>
    <w:rsid w:val="00403DCE"/>
    <w:rsid w:val="0040724B"/>
    <w:rsid w:val="00407BC5"/>
    <w:rsid w:val="004147EB"/>
    <w:rsid w:val="004158D2"/>
    <w:rsid w:val="00415CFE"/>
    <w:rsid w:val="00416217"/>
    <w:rsid w:val="00423E3E"/>
    <w:rsid w:val="004277EA"/>
    <w:rsid w:val="00427AF4"/>
    <w:rsid w:val="004309E7"/>
    <w:rsid w:val="004318EA"/>
    <w:rsid w:val="00432F4C"/>
    <w:rsid w:val="00441CF9"/>
    <w:rsid w:val="004464AF"/>
    <w:rsid w:val="004470EB"/>
    <w:rsid w:val="00447E4C"/>
    <w:rsid w:val="004521E0"/>
    <w:rsid w:val="004532E3"/>
    <w:rsid w:val="00460D1B"/>
    <w:rsid w:val="00462019"/>
    <w:rsid w:val="004647DA"/>
    <w:rsid w:val="0047011C"/>
    <w:rsid w:val="0047202B"/>
    <w:rsid w:val="00472B8F"/>
    <w:rsid w:val="00474062"/>
    <w:rsid w:val="00474253"/>
    <w:rsid w:val="00474301"/>
    <w:rsid w:val="004758B1"/>
    <w:rsid w:val="00477D6B"/>
    <w:rsid w:val="00483DB4"/>
    <w:rsid w:val="00486F83"/>
    <w:rsid w:val="00487005"/>
    <w:rsid w:val="004909BC"/>
    <w:rsid w:val="00492543"/>
    <w:rsid w:val="00495BA4"/>
    <w:rsid w:val="004B2168"/>
    <w:rsid w:val="004B6104"/>
    <w:rsid w:val="004B68F1"/>
    <w:rsid w:val="004C317A"/>
    <w:rsid w:val="004D4EA1"/>
    <w:rsid w:val="004D6FEE"/>
    <w:rsid w:val="004E7C31"/>
    <w:rsid w:val="004F0C92"/>
    <w:rsid w:val="004F124D"/>
    <w:rsid w:val="004F14C1"/>
    <w:rsid w:val="004F1952"/>
    <w:rsid w:val="004F1A93"/>
    <w:rsid w:val="004F39A8"/>
    <w:rsid w:val="005019FF"/>
    <w:rsid w:val="005039F8"/>
    <w:rsid w:val="0050525D"/>
    <w:rsid w:val="00507671"/>
    <w:rsid w:val="00511015"/>
    <w:rsid w:val="00517F75"/>
    <w:rsid w:val="005219A7"/>
    <w:rsid w:val="00522B44"/>
    <w:rsid w:val="00523C7B"/>
    <w:rsid w:val="00524442"/>
    <w:rsid w:val="00525B97"/>
    <w:rsid w:val="00530037"/>
    <w:rsid w:val="0053057A"/>
    <w:rsid w:val="00530A36"/>
    <w:rsid w:val="00531970"/>
    <w:rsid w:val="00531C08"/>
    <w:rsid w:val="005374CE"/>
    <w:rsid w:val="00540453"/>
    <w:rsid w:val="00541B8E"/>
    <w:rsid w:val="005533E4"/>
    <w:rsid w:val="0055538F"/>
    <w:rsid w:val="00560A29"/>
    <w:rsid w:val="00561C31"/>
    <w:rsid w:val="005632C7"/>
    <w:rsid w:val="00564DE4"/>
    <w:rsid w:val="00567DC4"/>
    <w:rsid w:val="00577E70"/>
    <w:rsid w:val="0058189B"/>
    <w:rsid w:val="00582635"/>
    <w:rsid w:val="0058322F"/>
    <w:rsid w:val="00584ACA"/>
    <w:rsid w:val="005862B0"/>
    <w:rsid w:val="00590C55"/>
    <w:rsid w:val="00592351"/>
    <w:rsid w:val="0059367E"/>
    <w:rsid w:val="00594086"/>
    <w:rsid w:val="005953E7"/>
    <w:rsid w:val="005A0C86"/>
    <w:rsid w:val="005A2486"/>
    <w:rsid w:val="005A5D37"/>
    <w:rsid w:val="005A5E5A"/>
    <w:rsid w:val="005B2249"/>
    <w:rsid w:val="005C6649"/>
    <w:rsid w:val="005C7CFA"/>
    <w:rsid w:val="005D0029"/>
    <w:rsid w:val="005D1335"/>
    <w:rsid w:val="005D5A6B"/>
    <w:rsid w:val="005D73D5"/>
    <w:rsid w:val="005E5F7A"/>
    <w:rsid w:val="005E7B35"/>
    <w:rsid w:val="006027FD"/>
    <w:rsid w:val="006050B4"/>
    <w:rsid w:val="006052C3"/>
    <w:rsid w:val="00605827"/>
    <w:rsid w:val="0060755C"/>
    <w:rsid w:val="006075CA"/>
    <w:rsid w:val="00615592"/>
    <w:rsid w:val="006159F3"/>
    <w:rsid w:val="00616B82"/>
    <w:rsid w:val="00620AB7"/>
    <w:rsid w:val="0062793D"/>
    <w:rsid w:val="00627D80"/>
    <w:rsid w:val="00633844"/>
    <w:rsid w:val="00641F47"/>
    <w:rsid w:val="00646050"/>
    <w:rsid w:val="00653A76"/>
    <w:rsid w:val="0066338E"/>
    <w:rsid w:val="006713CA"/>
    <w:rsid w:val="00676C5C"/>
    <w:rsid w:val="00676F6C"/>
    <w:rsid w:val="0068421A"/>
    <w:rsid w:val="00684909"/>
    <w:rsid w:val="006943FF"/>
    <w:rsid w:val="006952CD"/>
    <w:rsid w:val="006A2090"/>
    <w:rsid w:val="006A3F6E"/>
    <w:rsid w:val="006A450E"/>
    <w:rsid w:val="006A47A4"/>
    <w:rsid w:val="006A4C41"/>
    <w:rsid w:val="006B4123"/>
    <w:rsid w:val="006C1E95"/>
    <w:rsid w:val="006C229A"/>
    <w:rsid w:val="006C44ED"/>
    <w:rsid w:val="006C5CE1"/>
    <w:rsid w:val="006D25E0"/>
    <w:rsid w:val="006E1CB6"/>
    <w:rsid w:val="006E5EB6"/>
    <w:rsid w:val="006E6B6D"/>
    <w:rsid w:val="006E75F8"/>
    <w:rsid w:val="006F1A27"/>
    <w:rsid w:val="006F3BAC"/>
    <w:rsid w:val="006F5B1C"/>
    <w:rsid w:val="006F7283"/>
    <w:rsid w:val="00701209"/>
    <w:rsid w:val="0070226D"/>
    <w:rsid w:val="007050C8"/>
    <w:rsid w:val="00710493"/>
    <w:rsid w:val="00714B51"/>
    <w:rsid w:val="007210D0"/>
    <w:rsid w:val="00722C37"/>
    <w:rsid w:val="007267AA"/>
    <w:rsid w:val="00735202"/>
    <w:rsid w:val="00735329"/>
    <w:rsid w:val="00743EF6"/>
    <w:rsid w:val="0075567C"/>
    <w:rsid w:val="00755FC2"/>
    <w:rsid w:val="0075688C"/>
    <w:rsid w:val="0076111C"/>
    <w:rsid w:val="007618B4"/>
    <w:rsid w:val="00761CF0"/>
    <w:rsid w:val="0076505A"/>
    <w:rsid w:val="007670D4"/>
    <w:rsid w:val="00775CBA"/>
    <w:rsid w:val="00785514"/>
    <w:rsid w:val="00791625"/>
    <w:rsid w:val="00792503"/>
    <w:rsid w:val="007A3072"/>
    <w:rsid w:val="007A593D"/>
    <w:rsid w:val="007A65AA"/>
    <w:rsid w:val="007A79AA"/>
    <w:rsid w:val="007B0E0D"/>
    <w:rsid w:val="007B2B4F"/>
    <w:rsid w:val="007B7DA3"/>
    <w:rsid w:val="007C050B"/>
    <w:rsid w:val="007C0A65"/>
    <w:rsid w:val="007C31E8"/>
    <w:rsid w:val="007C6599"/>
    <w:rsid w:val="007C72EB"/>
    <w:rsid w:val="007D1613"/>
    <w:rsid w:val="007D1BFF"/>
    <w:rsid w:val="007D50D6"/>
    <w:rsid w:val="007E06BD"/>
    <w:rsid w:val="007E4C0E"/>
    <w:rsid w:val="007F1318"/>
    <w:rsid w:val="007F1CFC"/>
    <w:rsid w:val="007F2A85"/>
    <w:rsid w:val="007F3EF9"/>
    <w:rsid w:val="0080156B"/>
    <w:rsid w:val="00803F08"/>
    <w:rsid w:val="00811B60"/>
    <w:rsid w:val="00815BE4"/>
    <w:rsid w:val="0082369B"/>
    <w:rsid w:val="00823F81"/>
    <w:rsid w:val="0082691B"/>
    <w:rsid w:val="00847AD6"/>
    <w:rsid w:val="008575E1"/>
    <w:rsid w:val="00862066"/>
    <w:rsid w:val="00865EC5"/>
    <w:rsid w:val="008772E3"/>
    <w:rsid w:val="00880F87"/>
    <w:rsid w:val="008828F2"/>
    <w:rsid w:val="00883347"/>
    <w:rsid w:val="00883FFE"/>
    <w:rsid w:val="0088425E"/>
    <w:rsid w:val="008862CF"/>
    <w:rsid w:val="00893727"/>
    <w:rsid w:val="008B2CC1"/>
    <w:rsid w:val="008B52AF"/>
    <w:rsid w:val="008B60B2"/>
    <w:rsid w:val="008C2509"/>
    <w:rsid w:val="008C2A10"/>
    <w:rsid w:val="008C70B0"/>
    <w:rsid w:val="008C74F7"/>
    <w:rsid w:val="008C7BF9"/>
    <w:rsid w:val="008D255A"/>
    <w:rsid w:val="008D5041"/>
    <w:rsid w:val="008D5C9B"/>
    <w:rsid w:val="008D6398"/>
    <w:rsid w:val="008E1EC1"/>
    <w:rsid w:val="008E365D"/>
    <w:rsid w:val="008E47FE"/>
    <w:rsid w:val="008F2D6E"/>
    <w:rsid w:val="008F3AB6"/>
    <w:rsid w:val="008F62CD"/>
    <w:rsid w:val="0090337E"/>
    <w:rsid w:val="0090731E"/>
    <w:rsid w:val="00911B2F"/>
    <w:rsid w:val="00911F1E"/>
    <w:rsid w:val="00916EE2"/>
    <w:rsid w:val="0092517A"/>
    <w:rsid w:val="00935614"/>
    <w:rsid w:val="00942D25"/>
    <w:rsid w:val="00946100"/>
    <w:rsid w:val="00947FAD"/>
    <w:rsid w:val="009560BA"/>
    <w:rsid w:val="0096128F"/>
    <w:rsid w:val="00961DE2"/>
    <w:rsid w:val="00961FE0"/>
    <w:rsid w:val="009625F9"/>
    <w:rsid w:val="00962E35"/>
    <w:rsid w:val="009632F3"/>
    <w:rsid w:val="009646BF"/>
    <w:rsid w:val="00966A22"/>
    <w:rsid w:val="00966BEE"/>
    <w:rsid w:val="0096722F"/>
    <w:rsid w:val="00970C85"/>
    <w:rsid w:val="00971B16"/>
    <w:rsid w:val="009731A0"/>
    <w:rsid w:val="009745F7"/>
    <w:rsid w:val="00976B7A"/>
    <w:rsid w:val="009804AC"/>
    <w:rsid w:val="00980843"/>
    <w:rsid w:val="00982FF0"/>
    <w:rsid w:val="00991D46"/>
    <w:rsid w:val="009A0AE4"/>
    <w:rsid w:val="009A3A20"/>
    <w:rsid w:val="009B02B7"/>
    <w:rsid w:val="009B226D"/>
    <w:rsid w:val="009B4B11"/>
    <w:rsid w:val="009C06AF"/>
    <w:rsid w:val="009C0835"/>
    <w:rsid w:val="009C2B03"/>
    <w:rsid w:val="009C2DF6"/>
    <w:rsid w:val="009C44AF"/>
    <w:rsid w:val="009C519F"/>
    <w:rsid w:val="009D123C"/>
    <w:rsid w:val="009D3683"/>
    <w:rsid w:val="009E07B1"/>
    <w:rsid w:val="009E2791"/>
    <w:rsid w:val="009E3F6F"/>
    <w:rsid w:val="009E7FCA"/>
    <w:rsid w:val="009F018C"/>
    <w:rsid w:val="009F2372"/>
    <w:rsid w:val="009F27CB"/>
    <w:rsid w:val="009F499F"/>
    <w:rsid w:val="009F4D6D"/>
    <w:rsid w:val="009F5CC0"/>
    <w:rsid w:val="00A00446"/>
    <w:rsid w:val="00A06176"/>
    <w:rsid w:val="00A06A97"/>
    <w:rsid w:val="00A12726"/>
    <w:rsid w:val="00A14570"/>
    <w:rsid w:val="00A15027"/>
    <w:rsid w:val="00A33787"/>
    <w:rsid w:val="00A341F2"/>
    <w:rsid w:val="00A34488"/>
    <w:rsid w:val="00A349F2"/>
    <w:rsid w:val="00A4216C"/>
    <w:rsid w:val="00A42DAF"/>
    <w:rsid w:val="00A42F32"/>
    <w:rsid w:val="00A45BD8"/>
    <w:rsid w:val="00A46F7B"/>
    <w:rsid w:val="00A47517"/>
    <w:rsid w:val="00A47582"/>
    <w:rsid w:val="00A5324D"/>
    <w:rsid w:val="00A537B6"/>
    <w:rsid w:val="00A61F1E"/>
    <w:rsid w:val="00A65020"/>
    <w:rsid w:val="00A67AF0"/>
    <w:rsid w:val="00A74384"/>
    <w:rsid w:val="00A81C3B"/>
    <w:rsid w:val="00A81F9F"/>
    <w:rsid w:val="00A869B7"/>
    <w:rsid w:val="00A933A2"/>
    <w:rsid w:val="00A93AB1"/>
    <w:rsid w:val="00A94247"/>
    <w:rsid w:val="00AA3972"/>
    <w:rsid w:val="00AA6688"/>
    <w:rsid w:val="00AB058E"/>
    <w:rsid w:val="00AC205C"/>
    <w:rsid w:val="00AC4445"/>
    <w:rsid w:val="00AC6824"/>
    <w:rsid w:val="00AD3A53"/>
    <w:rsid w:val="00AD6501"/>
    <w:rsid w:val="00AD6831"/>
    <w:rsid w:val="00AD6E80"/>
    <w:rsid w:val="00AE0C10"/>
    <w:rsid w:val="00AE1064"/>
    <w:rsid w:val="00AE5B83"/>
    <w:rsid w:val="00AF0A6B"/>
    <w:rsid w:val="00AF3E21"/>
    <w:rsid w:val="00B011AB"/>
    <w:rsid w:val="00B01DC7"/>
    <w:rsid w:val="00B047EF"/>
    <w:rsid w:val="00B05A69"/>
    <w:rsid w:val="00B0709A"/>
    <w:rsid w:val="00B10BCF"/>
    <w:rsid w:val="00B1216A"/>
    <w:rsid w:val="00B127B7"/>
    <w:rsid w:val="00B249E2"/>
    <w:rsid w:val="00B25781"/>
    <w:rsid w:val="00B25E80"/>
    <w:rsid w:val="00B26CD8"/>
    <w:rsid w:val="00B32A46"/>
    <w:rsid w:val="00B37A09"/>
    <w:rsid w:val="00B42656"/>
    <w:rsid w:val="00B42F36"/>
    <w:rsid w:val="00B5024C"/>
    <w:rsid w:val="00B5448E"/>
    <w:rsid w:val="00B55C51"/>
    <w:rsid w:val="00B57DD4"/>
    <w:rsid w:val="00B6280A"/>
    <w:rsid w:val="00B72E41"/>
    <w:rsid w:val="00B7770E"/>
    <w:rsid w:val="00B93DEA"/>
    <w:rsid w:val="00B9734B"/>
    <w:rsid w:val="00B97AF5"/>
    <w:rsid w:val="00BA1A1E"/>
    <w:rsid w:val="00BA30E2"/>
    <w:rsid w:val="00BB0969"/>
    <w:rsid w:val="00BB0D13"/>
    <w:rsid w:val="00BC0EDC"/>
    <w:rsid w:val="00BD7D4A"/>
    <w:rsid w:val="00BE1631"/>
    <w:rsid w:val="00BE3C4B"/>
    <w:rsid w:val="00BE5402"/>
    <w:rsid w:val="00BF16EC"/>
    <w:rsid w:val="00BF1F85"/>
    <w:rsid w:val="00BF2FE1"/>
    <w:rsid w:val="00BF5B92"/>
    <w:rsid w:val="00C03848"/>
    <w:rsid w:val="00C11BFE"/>
    <w:rsid w:val="00C1286E"/>
    <w:rsid w:val="00C12F97"/>
    <w:rsid w:val="00C141D5"/>
    <w:rsid w:val="00C14245"/>
    <w:rsid w:val="00C21355"/>
    <w:rsid w:val="00C434EC"/>
    <w:rsid w:val="00C44011"/>
    <w:rsid w:val="00C4545D"/>
    <w:rsid w:val="00C5068F"/>
    <w:rsid w:val="00C51820"/>
    <w:rsid w:val="00C568D0"/>
    <w:rsid w:val="00C57D65"/>
    <w:rsid w:val="00C60AD3"/>
    <w:rsid w:val="00C64C6B"/>
    <w:rsid w:val="00C65A07"/>
    <w:rsid w:val="00C711D0"/>
    <w:rsid w:val="00C7636F"/>
    <w:rsid w:val="00C879D6"/>
    <w:rsid w:val="00C87CE7"/>
    <w:rsid w:val="00C92290"/>
    <w:rsid w:val="00CB0FF7"/>
    <w:rsid w:val="00CB1DF6"/>
    <w:rsid w:val="00CB7FAA"/>
    <w:rsid w:val="00CC0A97"/>
    <w:rsid w:val="00CC1E33"/>
    <w:rsid w:val="00CC7811"/>
    <w:rsid w:val="00CD04F1"/>
    <w:rsid w:val="00CD2828"/>
    <w:rsid w:val="00CF04CC"/>
    <w:rsid w:val="00D05030"/>
    <w:rsid w:val="00D10A45"/>
    <w:rsid w:val="00D10B47"/>
    <w:rsid w:val="00D121EE"/>
    <w:rsid w:val="00D16DAC"/>
    <w:rsid w:val="00D172EB"/>
    <w:rsid w:val="00D225D2"/>
    <w:rsid w:val="00D22E27"/>
    <w:rsid w:val="00D2511F"/>
    <w:rsid w:val="00D252C2"/>
    <w:rsid w:val="00D2548A"/>
    <w:rsid w:val="00D262E3"/>
    <w:rsid w:val="00D266AC"/>
    <w:rsid w:val="00D30288"/>
    <w:rsid w:val="00D332CA"/>
    <w:rsid w:val="00D339C1"/>
    <w:rsid w:val="00D43F04"/>
    <w:rsid w:val="00D45252"/>
    <w:rsid w:val="00D50E63"/>
    <w:rsid w:val="00D515A7"/>
    <w:rsid w:val="00D5199B"/>
    <w:rsid w:val="00D54D61"/>
    <w:rsid w:val="00D5793F"/>
    <w:rsid w:val="00D65153"/>
    <w:rsid w:val="00D71B4D"/>
    <w:rsid w:val="00D76983"/>
    <w:rsid w:val="00D84CCC"/>
    <w:rsid w:val="00D8609C"/>
    <w:rsid w:val="00D904E7"/>
    <w:rsid w:val="00D92F38"/>
    <w:rsid w:val="00D93D55"/>
    <w:rsid w:val="00D94BDE"/>
    <w:rsid w:val="00D95E66"/>
    <w:rsid w:val="00DA2CA0"/>
    <w:rsid w:val="00DA7E2D"/>
    <w:rsid w:val="00DB28AD"/>
    <w:rsid w:val="00DB70C8"/>
    <w:rsid w:val="00DC65C0"/>
    <w:rsid w:val="00DD4AD3"/>
    <w:rsid w:val="00DE1C1E"/>
    <w:rsid w:val="00DE3538"/>
    <w:rsid w:val="00DE71DF"/>
    <w:rsid w:val="00DF2E76"/>
    <w:rsid w:val="00DF5C0A"/>
    <w:rsid w:val="00E00D4C"/>
    <w:rsid w:val="00E01ED7"/>
    <w:rsid w:val="00E03011"/>
    <w:rsid w:val="00E03741"/>
    <w:rsid w:val="00E11044"/>
    <w:rsid w:val="00E1252E"/>
    <w:rsid w:val="00E15015"/>
    <w:rsid w:val="00E15D29"/>
    <w:rsid w:val="00E16CBE"/>
    <w:rsid w:val="00E17707"/>
    <w:rsid w:val="00E26A4B"/>
    <w:rsid w:val="00E335FE"/>
    <w:rsid w:val="00E408D1"/>
    <w:rsid w:val="00E41063"/>
    <w:rsid w:val="00E413D4"/>
    <w:rsid w:val="00E47EDA"/>
    <w:rsid w:val="00E502D8"/>
    <w:rsid w:val="00E5569A"/>
    <w:rsid w:val="00E57F79"/>
    <w:rsid w:val="00E620D1"/>
    <w:rsid w:val="00E6346B"/>
    <w:rsid w:val="00E64B79"/>
    <w:rsid w:val="00E71BE5"/>
    <w:rsid w:val="00E72D4D"/>
    <w:rsid w:val="00E73D90"/>
    <w:rsid w:val="00E747A3"/>
    <w:rsid w:val="00E7581D"/>
    <w:rsid w:val="00E75934"/>
    <w:rsid w:val="00E7656E"/>
    <w:rsid w:val="00E81257"/>
    <w:rsid w:val="00E821FB"/>
    <w:rsid w:val="00E82917"/>
    <w:rsid w:val="00E83B4B"/>
    <w:rsid w:val="00E91AF6"/>
    <w:rsid w:val="00E92B34"/>
    <w:rsid w:val="00EA1B6F"/>
    <w:rsid w:val="00EA2FC6"/>
    <w:rsid w:val="00EA5315"/>
    <w:rsid w:val="00EB56D4"/>
    <w:rsid w:val="00EB60EE"/>
    <w:rsid w:val="00EB6A94"/>
    <w:rsid w:val="00EB76AC"/>
    <w:rsid w:val="00EC4E49"/>
    <w:rsid w:val="00ED77FB"/>
    <w:rsid w:val="00EE33B0"/>
    <w:rsid w:val="00EE3BEC"/>
    <w:rsid w:val="00EE3CF0"/>
    <w:rsid w:val="00EE45FA"/>
    <w:rsid w:val="00EE4F0F"/>
    <w:rsid w:val="00EF1E81"/>
    <w:rsid w:val="00EF6EF3"/>
    <w:rsid w:val="00F0133A"/>
    <w:rsid w:val="00F03CF0"/>
    <w:rsid w:val="00F041D7"/>
    <w:rsid w:val="00F113DE"/>
    <w:rsid w:val="00F13FB4"/>
    <w:rsid w:val="00F14408"/>
    <w:rsid w:val="00F1718E"/>
    <w:rsid w:val="00F17FCE"/>
    <w:rsid w:val="00F23D5B"/>
    <w:rsid w:val="00F24A83"/>
    <w:rsid w:val="00F2577D"/>
    <w:rsid w:val="00F26160"/>
    <w:rsid w:val="00F33DEE"/>
    <w:rsid w:val="00F36F35"/>
    <w:rsid w:val="00F41705"/>
    <w:rsid w:val="00F425D6"/>
    <w:rsid w:val="00F43DD0"/>
    <w:rsid w:val="00F45937"/>
    <w:rsid w:val="00F47F9D"/>
    <w:rsid w:val="00F533EA"/>
    <w:rsid w:val="00F6103C"/>
    <w:rsid w:val="00F61278"/>
    <w:rsid w:val="00F66152"/>
    <w:rsid w:val="00F746C2"/>
    <w:rsid w:val="00F752E5"/>
    <w:rsid w:val="00F777D4"/>
    <w:rsid w:val="00F8107B"/>
    <w:rsid w:val="00F8575F"/>
    <w:rsid w:val="00F868A4"/>
    <w:rsid w:val="00FA173F"/>
    <w:rsid w:val="00FA4E35"/>
    <w:rsid w:val="00FB31DB"/>
    <w:rsid w:val="00FB35E3"/>
    <w:rsid w:val="00FB65F7"/>
    <w:rsid w:val="00FC0BC6"/>
    <w:rsid w:val="00FC1019"/>
    <w:rsid w:val="00FC1422"/>
    <w:rsid w:val="00FC3B85"/>
    <w:rsid w:val="00FC4C2D"/>
    <w:rsid w:val="00FC59D2"/>
    <w:rsid w:val="00FC7190"/>
    <w:rsid w:val="00FC7BA7"/>
    <w:rsid w:val="00FD46E5"/>
    <w:rsid w:val="00FD6F07"/>
    <w:rsid w:val="00FD7415"/>
    <w:rsid w:val="00FD7DC5"/>
    <w:rsid w:val="00FE634C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50517F"/>
  <w15:docId w15:val="{B45AEDFF-EF4B-46B4-A551-087967A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E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D4CE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CE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3D4CE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D4CE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3D4CEC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3D4CEC"/>
    <w:pPr>
      <w:spacing w:after="220"/>
    </w:pPr>
  </w:style>
  <w:style w:type="paragraph" w:styleId="Caption">
    <w:name w:val="caption"/>
    <w:basedOn w:val="Normal"/>
    <w:next w:val="Normal"/>
    <w:qFormat/>
    <w:rsid w:val="003D4CE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3D4CEC"/>
    <w:rPr>
      <w:sz w:val="18"/>
    </w:rPr>
  </w:style>
  <w:style w:type="paragraph" w:styleId="EndnoteText">
    <w:name w:val="endnote text"/>
    <w:basedOn w:val="Normal"/>
    <w:semiHidden/>
    <w:rsid w:val="003D4CEC"/>
    <w:rPr>
      <w:sz w:val="18"/>
    </w:rPr>
  </w:style>
  <w:style w:type="paragraph" w:styleId="Footer">
    <w:name w:val="footer"/>
    <w:basedOn w:val="Normal"/>
    <w:link w:val="FooterChar"/>
    <w:rsid w:val="003D4CE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3D4CEC"/>
    <w:rPr>
      <w:sz w:val="18"/>
    </w:rPr>
  </w:style>
  <w:style w:type="paragraph" w:styleId="Header">
    <w:name w:val="header"/>
    <w:basedOn w:val="Normal"/>
    <w:link w:val="HeaderChar"/>
    <w:rsid w:val="003D4CE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D4CEC"/>
    <w:pPr>
      <w:numPr>
        <w:numId w:val="29"/>
      </w:numPr>
    </w:pPr>
  </w:style>
  <w:style w:type="paragraph" w:customStyle="1" w:styleId="ONUME">
    <w:name w:val="ONUM E"/>
    <w:basedOn w:val="BodyText"/>
    <w:rsid w:val="003D4CEC"/>
    <w:pPr>
      <w:numPr>
        <w:numId w:val="30"/>
      </w:numPr>
    </w:pPr>
  </w:style>
  <w:style w:type="paragraph" w:customStyle="1" w:styleId="ONUMFS">
    <w:name w:val="ONUM FS"/>
    <w:basedOn w:val="BodyText"/>
    <w:link w:val="ONUMFSChar"/>
    <w:rsid w:val="003D4CEC"/>
    <w:pPr>
      <w:numPr>
        <w:numId w:val="31"/>
      </w:numPr>
    </w:pPr>
  </w:style>
  <w:style w:type="paragraph" w:styleId="Salutation">
    <w:name w:val="Salutation"/>
    <w:basedOn w:val="Normal"/>
    <w:next w:val="Normal"/>
    <w:semiHidden/>
    <w:rsid w:val="003D4CEC"/>
  </w:style>
  <w:style w:type="paragraph" w:styleId="Signature">
    <w:name w:val="Signature"/>
    <w:basedOn w:val="Normal"/>
    <w:semiHidden/>
    <w:rsid w:val="003D4CE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D4CE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rsid w:val="004147EB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4147EB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4147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customStyle="1" w:styleId="Heading3Char">
    <w:name w:val="Heading 3 Char"/>
    <w:link w:val="Heading3"/>
    <w:rsid w:val="006A4C41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6A4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arCar">
    <w:name w:val="Car Car"/>
    <w:basedOn w:val="Normal"/>
    <w:rsid w:val="007C050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7C050B"/>
    <w:rPr>
      <w:rFonts w:ascii="Arial" w:eastAsia="SimSun" w:hAnsi="Arial" w:cs="Arial"/>
      <w:sz w:val="18"/>
      <w:lang w:eastAsia="zh-CN"/>
    </w:rPr>
  </w:style>
  <w:style w:type="paragraph" w:customStyle="1" w:styleId="Meetingplacedate">
    <w:name w:val="Meeting place &amp; date"/>
    <w:basedOn w:val="Normal"/>
    <w:next w:val="Normal"/>
    <w:rsid w:val="003D4CEC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D4CEC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CB0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A8BA-38CB-4D1F-A55D-B2C5381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5026</Words>
  <Characters>28653</Characters>
  <Application>Microsoft Office Word</Application>
  <DocSecurity>4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33612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lastModifiedBy>SARKISSOVA Anna</cp:lastModifiedBy>
  <cp:revision>2</cp:revision>
  <cp:lastPrinted>2019-03-04T17:41:00Z</cp:lastPrinted>
  <dcterms:created xsi:type="dcterms:W3CDTF">2019-03-20T15:29:00Z</dcterms:created>
  <dcterms:modified xsi:type="dcterms:W3CDTF">2019-03-20T15:29:00Z</dcterms:modified>
</cp:coreProperties>
</file>