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A601DF" w:rsidRPr="008B2CC1" w:rsidTr="00485ADF">
        <w:tc>
          <w:tcPr>
            <w:tcW w:w="4513" w:type="dxa"/>
            <w:tcBorders>
              <w:bottom w:val="single" w:sz="4" w:space="0" w:color="auto"/>
            </w:tcBorders>
            <w:tcMar>
              <w:bottom w:w="170" w:type="dxa"/>
            </w:tcMar>
          </w:tcPr>
          <w:p w:rsidR="00A601DF" w:rsidRPr="008B2CC1" w:rsidRDefault="00A601DF" w:rsidP="00485ADF">
            <w:bookmarkStart w:id="0" w:name="TitleOfDoc"/>
            <w:bookmarkStart w:id="1" w:name="_GoBack"/>
            <w:bookmarkEnd w:id="0"/>
            <w:bookmarkEnd w:id="1"/>
          </w:p>
        </w:tc>
        <w:tc>
          <w:tcPr>
            <w:tcW w:w="4337" w:type="dxa"/>
            <w:tcBorders>
              <w:bottom w:val="single" w:sz="4" w:space="0" w:color="auto"/>
            </w:tcBorders>
            <w:tcMar>
              <w:left w:w="0" w:type="dxa"/>
              <w:right w:w="0" w:type="dxa"/>
            </w:tcMar>
          </w:tcPr>
          <w:p w:rsidR="00A601DF" w:rsidRPr="008B2CC1" w:rsidRDefault="00A601DF" w:rsidP="00485ADF">
            <w:r>
              <w:rPr>
                <w:noProof/>
                <w:lang w:val="en-US" w:eastAsia="en-US"/>
              </w:rPr>
              <w:drawing>
                <wp:inline distT="0" distB="0" distL="0" distR="0" wp14:anchorId="677F1B70" wp14:editId="124C8144">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601DF" w:rsidRPr="008B2CC1" w:rsidRDefault="00A601DF" w:rsidP="00485ADF">
            <w:pPr>
              <w:jc w:val="right"/>
            </w:pPr>
            <w:r>
              <w:rPr>
                <w:b/>
                <w:sz w:val="40"/>
                <w:szCs w:val="40"/>
              </w:rPr>
              <w:t>F</w:t>
            </w:r>
          </w:p>
        </w:tc>
      </w:tr>
      <w:tr w:rsidR="00A601DF" w:rsidRPr="001832A6" w:rsidTr="00485ADF">
        <w:trPr>
          <w:trHeight w:hRule="exact" w:val="357"/>
        </w:trPr>
        <w:tc>
          <w:tcPr>
            <w:tcW w:w="9356" w:type="dxa"/>
            <w:gridSpan w:val="3"/>
            <w:tcBorders>
              <w:top w:val="single" w:sz="4" w:space="0" w:color="auto"/>
            </w:tcBorders>
            <w:tcMar>
              <w:top w:w="170" w:type="dxa"/>
              <w:left w:w="0" w:type="dxa"/>
              <w:right w:w="0" w:type="dxa"/>
            </w:tcMar>
            <w:vAlign w:val="bottom"/>
          </w:tcPr>
          <w:p w:rsidR="00A601DF" w:rsidRPr="0090731E" w:rsidRDefault="00A601DF" w:rsidP="00485ADF">
            <w:pPr>
              <w:jc w:val="right"/>
              <w:rPr>
                <w:rFonts w:ascii="Arial Black" w:hAnsi="Arial Black"/>
                <w:caps/>
                <w:sz w:val="15"/>
              </w:rPr>
            </w:pPr>
            <w:r>
              <w:rPr>
                <w:rFonts w:ascii="Arial Black" w:hAnsi="Arial Black"/>
                <w:caps/>
                <w:sz w:val="15"/>
              </w:rPr>
              <w:t>CDIP/23/</w:t>
            </w:r>
            <w:bookmarkStart w:id="2" w:name="Code"/>
            <w:bookmarkEnd w:id="2"/>
            <w:r>
              <w:rPr>
                <w:rFonts w:ascii="Arial Black" w:hAnsi="Arial Black"/>
                <w:caps/>
                <w:sz w:val="15"/>
              </w:rPr>
              <w:t>4</w:t>
            </w:r>
          </w:p>
        </w:tc>
      </w:tr>
      <w:tr w:rsidR="00A601DF" w:rsidRPr="001832A6" w:rsidTr="00485ADF">
        <w:trPr>
          <w:trHeight w:hRule="exact" w:val="170"/>
        </w:trPr>
        <w:tc>
          <w:tcPr>
            <w:tcW w:w="9356" w:type="dxa"/>
            <w:gridSpan w:val="3"/>
            <w:noWrap/>
            <w:tcMar>
              <w:left w:w="0" w:type="dxa"/>
              <w:right w:w="0" w:type="dxa"/>
            </w:tcMar>
            <w:vAlign w:val="bottom"/>
          </w:tcPr>
          <w:p w:rsidR="00A601DF" w:rsidRPr="0090731E" w:rsidRDefault="00A601DF" w:rsidP="00485ADF">
            <w:pPr>
              <w:jc w:val="right"/>
              <w:rPr>
                <w:rFonts w:ascii="Arial Black" w:hAnsi="Arial Black"/>
                <w:caps/>
                <w:sz w:val="15"/>
              </w:rPr>
            </w:pPr>
            <w:r w:rsidRPr="0090731E">
              <w:rPr>
                <w:rFonts w:ascii="Arial Black" w:hAnsi="Arial Black"/>
                <w:caps/>
                <w:sz w:val="15"/>
              </w:rPr>
              <w:t>ORIGINAL</w:t>
            </w:r>
            <w:r w:rsidR="00BF1851">
              <w:rPr>
                <w:rFonts w:ascii="Arial Black" w:hAnsi="Arial Black"/>
                <w:caps/>
                <w:sz w:val="15"/>
              </w:rPr>
              <w:t> :</w:t>
            </w:r>
            <w:r>
              <w:rPr>
                <w:rFonts w:ascii="Arial Black" w:hAnsi="Arial Black"/>
                <w:caps/>
                <w:sz w:val="15"/>
              </w:rPr>
              <w:t xml:space="preserve"> </w:t>
            </w:r>
            <w:bookmarkStart w:id="3" w:name="Original"/>
            <w:bookmarkEnd w:id="3"/>
            <w:r>
              <w:rPr>
                <w:rFonts w:ascii="Arial Black" w:hAnsi="Arial Black"/>
                <w:caps/>
                <w:sz w:val="15"/>
              </w:rPr>
              <w:t>anglais</w:t>
            </w:r>
            <w:r w:rsidRPr="0090731E">
              <w:rPr>
                <w:rFonts w:ascii="Arial Black" w:hAnsi="Arial Black"/>
                <w:caps/>
                <w:sz w:val="15"/>
              </w:rPr>
              <w:t xml:space="preserve"> </w:t>
            </w:r>
          </w:p>
        </w:tc>
      </w:tr>
      <w:tr w:rsidR="00A601DF" w:rsidRPr="001832A6" w:rsidTr="00485ADF">
        <w:trPr>
          <w:trHeight w:hRule="exact" w:val="198"/>
        </w:trPr>
        <w:tc>
          <w:tcPr>
            <w:tcW w:w="9356" w:type="dxa"/>
            <w:gridSpan w:val="3"/>
            <w:tcMar>
              <w:left w:w="0" w:type="dxa"/>
              <w:right w:w="0" w:type="dxa"/>
            </w:tcMar>
            <w:vAlign w:val="bottom"/>
          </w:tcPr>
          <w:p w:rsidR="00A601DF" w:rsidRPr="0090731E" w:rsidRDefault="00A601DF" w:rsidP="00485ADF">
            <w:pPr>
              <w:jc w:val="right"/>
              <w:rPr>
                <w:rFonts w:ascii="Arial Black" w:hAnsi="Arial Black"/>
                <w:caps/>
                <w:sz w:val="15"/>
              </w:rPr>
            </w:pPr>
            <w:r w:rsidRPr="0090731E">
              <w:rPr>
                <w:rFonts w:ascii="Arial Black" w:hAnsi="Arial Black"/>
                <w:caps/>
                <w:sz w:val="15"/>
              </w:rPr>
              <w:t>DATE</w:t>
            </w:r>
            <w:r w:rsidR="00BF1851">
              <w:rPr>
                <w:rFonts w:ascii="Arial Black" w:hAnsi="Arial Black"/>
                <w:caps/>
                <w:sz w:val="15"/>
              </w:rPr>
              <w:t> :</w:t>
            </w:r>
            <w:r>
              <w:rPr>
                <w:rFonts w:ascii="Arial Black" w:hAnsi="Arial Black"/>
                <w:caps/>
                <w:sz w:val="15"/>
              </w:rPr>
              <w:t xml:space="preserve"> </w:t>
            </w:r>
            <w:bookmarkStart w:id="4" w:name="Date"/>
            <w:bookmarkEnd w:id="4"/>
            <w:r>
              <w:rPr>
                <w:rFonts w:ascii="Arial Black" w:hAnsi="Arial Black"/>
                <w:caps/>
                <w:sz w:val="15"/>
              </w:rPr>
              <w:t>1</w:t>
            </w:r>
            <w:r w:rsidR="00BF1851">
              <w:rPr>
                <w:rFonts w:ascii="Arial Black" w:hAnsi="Arial Black"/>
                <w:caps/>
                <w:sz w:val="15"/>
              </w:rPr>
              <w:t>8 février 20</w:t>
            </w:r>
            <w:r>
              <w:rPr>
                <w:rFonts w:ascii="Arial Black" w:hAnsi="Arial Black"/>
                <w:caps/>
                <w:sz w:val="15"/>
              </w:rPr>
              <w:t>19</w:t>
            </w:r>
            <w:r w:rsidRPr="0090731E">
              <w:rPr>
                <w:rFonts w:ascii="Arial Black" w:hAnsi="Arial Black"/>
                <w:caps/>
                <w:sz w:val="15"/>
              </w:rPr>
              <w:t xml:space="preserve"> </w:t>
            </w:r>
          </w:p>
        </w:tc>
      </w:tr>
    </w:tbl>
    <w:p w:rsidR="00A601DF" w:rsidRPr="008B2CC1" w:rsidRDefault="00A601DF" w:rsidP="00A601DF"/>
    <w:p w:rsidR="00A601DF" w:rsidRPr="008B2CC1" w:rsidRDefault="00A601DF" w:rsidP="00A601DF"/>
    <w:p w:rsidR="00A601DF" w:rsidRPr="008B2CC1" w:rsidRDefault="00A601DF" w:rsidP="00A601DF"/>
    <w:p w:rsidR="00A601DF" w:rsidRPr="008B2CC1" w:rsidRDefault="00A601DF" w:rsidP="00A601DF"/>
    <w:p w:rsidR="00A601DF" w:rsidRPr="008B2CC1" w:rsidRDefault="00A601DF" w:rsidP="00A601DF"/>
    <w:p w:rsidR="00A601DF" w:rsidRPr="003845C1" w:rsidRDefault="00A601DF" w:rsidP="00A601DF">
      <w:pPr>
        <w:rPr>
          <w:b/>
          <w:sz w:val="28"/>
          <w:szCs w:val="28"/>
        </w:rPr>
      </w:pPr>
      <w:r w:rsidRPr="00B31DEE">
        <w:rPr>
          <w:b/>
          <w:sz w:val="28"/>
          <w:szCs w:val="28"/>
          <w:lang w:val="fr-FR"/>
        </w:rPr>
        <w:t>Comité du développement et de la propriété intellectuelle (CDIP)</w:t>
      </w:r>
    </w:p>
    <w:p w:rsidR="00A601DF" w:rsidRDefault="00A601DF" w:rsidP="00A601DF"/>
    <w:p w:rsidR="00A601DF" w:rsidRDefault="00A601DF" w:rsidP="00A601DF"/>
    <w:p w:rsidR="00A601DF" w:rsidRPr="003845C1" w:rsidRDefault="00A601DF" w:rsidP="00A601DF">
      <w:pPr>
        <w:rPr>
          <w:b/>
          <w:sz w:val="24"/>
          <w:szCs w:val="24"/>
        </w:rPr>
      </w:pPr>
      <w:r>
        <w:rPr>
          <w:b/>
          <w:sz w:val="24"/>
          <w:szCs w:val="24"/>
          <w:lang w:val="fr-FR"/>
        </w:rPr>
        <w:t>Vingt</w:t>
      </w:r>
      <w:r w:rsidR="005B01A6">
        <w:rPr>
          <w:b/>
          <w:sz w:val="24"/>
          <w:szCs w:val="24"/>
          <w:lang w:val="fr-FR"/>
        </w:rPr>
        <w:noBreakHyphen/>
      </w:r>
      <w:r>
        <w:rPr>
          <w:b/>
          <w:sz w:val="24"/>
          <w:szCs w:val="24"/>
          <w:lang w:val="fr-FR"/>
        </w:rPr>
        <w:t>trois</w:t>
      </w:r>
      <w:r w:rsidR="00BF1851">
        <w:rPr>
          <w:b/>
          <w:sz w:val="24"/>
          <w:szCs w:val="24"/>
          <w:lang w:val="fr-FR"/>
        </w:rPr>
        <w:t>ième session</w:t>
      </w:r>
    </w:p>
    <w:p w:rsidR="00A601DF" w:rsidRPr="003845C1" w:rsidRDefault="00A601DF" w:rsidP="00A601DF">
      <w:pPr>
        <w:rPr>
          <w:b/>
          <w:sz w:val="24"/>
          <w:szCs w:val="24"/>
        </w:rPr>
      </w:pPr>
      <w:r>
        <w:rPr>
          <w:b/>
          <w:sz w:val="24"/>
          <w:szCs w:val="24"/>
          <w:lang w:val="fr-FR"/>
        </w:rPr>
        <w:t>Genève, 20</w:t>
      </w:r>
      <w:r w:rsidRPr="00B31DEE">
        <w:rPr>
          <w:b/>
          <w:sz w:val="24"/>
          <w:szCs w:val="24"/>
          <w:lang w:val="fr-FR"/>
        </w:rPr>
        <w:t xml:space="preserve"> – </w:t>
      </w:r>
      <w:r>
        <w:rPr>
          <w:b/>
          <w:sz w:val="24"/>
          <w:szCs w:val="24"/>
          <w:lang w:val="fr-FR"/>
        </w:rPr>
        <w:t>24</w:t>
      </w:r>
      <w:r w:rsidRPr="00B31DEE">
        <w:rPr>
          <w:b/>
          <w:sz w:val="24"/>
          <w:szCs w:val="24"/>
          <w:lang w:val="fr-FR"/>
        </w:rPr>
        <w:t> </w:t>
      </w:r>
      <w:r>
        <w:rPr>
          <w:b/>
          <w:sz w:val="24"/>
          <w:szCs w:val="24"/>
          <w:lang w:val="fr-FR"/>
        </w:rPr>
        <w:t>mai 2019</w:t>
      </w:r>
    </w:p>
    <w:p w:rsidR="00A601DF" w:rsidRPr="008B2CC1" w:rsidRDefault="00A601DF" w:rsidP="00A601DF"/>
    <w:p w:rsidR="00A601DF" w:rsidRPr="008B2CC1" w:rsidRDefault="00A601DF" w:rsidP="00A601DF"/>
    <w:p w:rsidR="00A601DF" w:rsidRPr="008B2CC1" w:rsidRDefault="00A601DF" w:rsidP="00A601DF"/>
    <w:p w:rsidR="00BF1851" w:rsidRDefault="00C91908" w:rsidP="00C91908">
      <w:pPr>
        <w:rPr>
          <w:caps/>
          <w:sz w:val="24"/>
        </w:rPr>
      </w:pPr>
      <w:r w:rsidRPr="00A601DF">
        <w:rPr>
          <w:caps/>
          <w:sz w:val="24"/>
        </w:rPr>
        <w:t xml:space="preserve">Rapport </w:t>
      </w:r>
      <w:r w:rsidR="00A601DF" w:rsidRPr="00A601DF">
        <w:rPr>
          <w:caps/>
          <w:sz w:val="24"/>
        </w:rPr>
        <w:t>d</w:t>
      </w:r>
      <w:r w:rsidR="00BF1851">
        <w:rPr>
          <w:caps/>
          <w:sz w:val="24"/>
        </w:rPr>
        <w:t>’</w:t>
      </w:r>
      <w:r w:rsidRPr="00A601DF">
        <w:rPr>
          <w:caps/>
          <w:sz w:val="24"/>
        </w:rPr>
        <w:t>achèvement du projet relatif à la coopération avec les</w:t>
      </w:r>
      <w:r w:rsidR="005B01A6">
        <w:rPr>
          <w:caps/>
          <w:sz w:val="24"/>
        </w:rPr>
        <w:t> </w:t>
      </w:r>
      <w:r w:rsidRPr="00A601DF">
        <w:rPr>
          <w:caps/>
          <w:sz w:val="24"/>
        </w:rPr>
        <w:t>instituts de formation judiciaire des pays en développement et</w:t>
      </w:r>
      <w:r w:rsidR="005B01A6">
        <w:rPr>
          <w:caps/>
          <w:sz w:val="24"/>
        </w:rPr>
        <w:t> </w:t>
      </w:r>
      <w:r w:rsidRPr="00A601DF">
        <w:rPr>
          <w:caps/>
          <w:sz w:val="24"/>
        </w:rPr>
        <w:t>des pays les moins avancés dans le domaine du développement et de l</w:t>
      </w:r>
      <w:r w:rsidR="00BF1851">
        <w:rPr>
          <w:caps/>
          <w:sz w:val="24"/>
        </w:rPr>
        <w:t>’</w:t>
      </w:r>
      <w:r w:rsidRPr="00A601DF">
        <w:rPr>
          <w:caps/>
          <w:sz w:val="24"/>
        </w:rPr>
        <w:t>enseignement et de la formation professionnelle en</w:t>
      </w:r>
      <w:r w:rsidR="005B01A6">
        <w:rPr>
          <w:caps/>
          <w:sz w:val="24"/>
        </w:rPr>
        <w:t> </w:t>
      </w:r>
      <w:r w:rsidRPr="00A601DF">
        <w:rPr>
          <w:caps/>
          <w:sz w:val="24"/>
        </w:rPr>
        <w:t>matière de droits de propriété intellectuelle</w:t>
      </w:r>
    </w:p>
    <w:p w:rsidR="00D8371C" w:rsidRPr="00CE2CA5" w:rsidRDefault="00D8371C" w:rsidP="008B2CC1"/>
    <w:p w:rsidR="00D8371C" w:rsidRPr="00CE2CA5" w:rsidRDefault="001F0D7D" w:rsidP="001F0D7D">
      <w:pPr>
        <w:rPr>
          <w:i/>
        </w:rPr>
      </w:pPr>
      <w:bookmarkStart w:id="5" w:name="Prepared"/>
      <w:bookmarkEnd w:id="5"/>
      <w:r w:rsidRPr="00CE2CA5">
        <w:rPr>
          <w:i/>
        </w:rPr>
        <w:t>établi par le Secrétariat</w:t>
      </w:r>
    </w:p>
    <w:p w:rsidR="00D8371C" w:rsidRPr="00CE2CA5" w:rsidRDefault="00D8371C" w:rsidP="008B2CC1">
      <w:pPr>
        <w:rPr>
          <w:i/>
        </w:rPr>
      </w:pPr>
    </w:p>
    <w:p w:rsidR="00D8371C" w:rsidRPr="00CE2CA5" w:rsidRDefault="00D8371C" w:rsidP="008B2CC1">
      <w:pPr>
        <w:rPr>
          <w:i/>
        </w:rPr>
      </w:pPr>
    </w:p>
    <w:p w:rsidR="00D8371C" w:rsidRPr="00CE2CA5" w:rsidRDefault="00D8371C" w:rsidP="008B2CC1">
      <w:pPr>
        <w:rPr>
          <w:i/>
        </w:rPr>
      </w:pPr>
    </w:p>
    <w:p w:rsidR="00D8371C" w:rsidRPr="00CE2CA5" w:rsidRDefault="00D8371C" w:rsidP="008B2CC1">
      <w:pPr>
        <w:rPr>
          <w:i/>
        </w:rPr>
      </w:pPr>
    </w:p>
    <w:p w:rsidR="00A601DF" w:rsidRDefault="00842D1C" w:rsidP="00A601DF">
      <w:pPr>
        <w:pStyle w:val="ONUMFS"/>
      </w:pPr>
      <w:r>
        <w:t>L</w:t>
      </w:r>
      <w:r w:rsidR="00BF1851">
        <w:t>’</w:t>
      </w:r>
      <w:r w:rsidR="001D26CB" w:rsidRPr="00CE2CA5">
        <w:t xml:space="preserve">annexe </w:t>
      </w:r>
      <w:r>
        <w:t>d</w:t>
      </w:r>
      <w:r w:rsidR="001D26CB" w:rsidRPr="00CE2CA5">
        <w:t xml:space="preserve">u présent document </w:t>
      </w:r>
      <w:r>
        <w:t xml:space="preserve">contient </w:t>
      </w:r>
      <w:r w:rsidR="001D26CB" w:rsidRPr="00CE2CA5">
        <w:t>le rapport d</w:t>
      </w:r>
      <w:r w:rsidR="00BF1851">
        <w:t>’</w:t>
      </w:r>
      <w:r w:rsidR="001D26CB" w:rsidRPr="00CE2CA5">
        <w:t>achèvement du projet du Plan d</w:t>
      </w:r>
      <w:r w:rsidR="00BF1851">
        <w:t>’</w:t>
      </w:r>
      <w:r w:rsidR="001D26CB" w:rsidRPr="00CE2CA5">
        <w:t>action pour le développement relatif à la coopération avec les instituts de formation judiciaire des pays en développement et des pays les moins avancés (PMA) dans le domaine du développement et de l</w:t>
      </w:r>
      <w:r w:rsidR="00BF1851">
        <w:t>’</w:t>
      </w:r>
      <w:r w:rsidR="001D26CB" w:rsidRPr="00CE2CA5">
        <w:t>enseignement et de la formation professionnelle en matière de droits de propriété intellectuel</w:t>
      </w:r>
      <w:r w:rsidR="00DF50B4" w:rsidRPr="00CE2CA5">
        <w:t>le</w:t>
      </w:r>
      <w:r w:rsidR="00DF50B4">
        <w:t xml:space="preserve">.  </w:t>
      </w:r>
      <w:r w:rsidR="00DF50B4" w:rsidRPr="00CE2CA5">
        <w:t>La</w:t>
      </w:r>
      <w:r w:rsidR="001D26CB" w:rsidRPr="00CE2CA5">
        <w:t xml:space="preserve"> mise en </w:t>
      </w:r>
      <w:r w:rsidR="00607060" w:rsidRPr="00CE2CA5">
        <w:t xml:space="preserve">œuvre </w:t>
      </w:r>
      <w:r w:rsidR="001D26CB" w:rsidRPr="00CE2CA5">
        <w:t>du projet s</w:t>
      </w:r>
      <w:r w:rsidR="00BF1851">
        <w:t>’</w:t>
      </w:r>
      <w:r w:rsidR="001D26CB" w:rsidRPr="00CE2CA5">
        <w:t>est achevée en décembre</w:t>
      </w:r>
      <w:r w:rsidR="00AB3EC6" w:rsidRPr="00CE2CA5">
        <w:t> </w:t>
      </w:r>
      <w:r w:rsidR="001D26CB" w:rsidRPr="00CE2CA5">
        <w:t>2018 et a été évaluée pour la présente session</w:t>
      </w:r>
      <w:r w:rsidR="00BF1851" w:rsidRPr="00CE2CA5">
        <w:t xml:space="preserve"> du</w:t>
      </w:r>
      <w:r w:rsidR="00BF1851">
        <w:t> </w:t>
      </w:r>
      <w:r w:rsidR="00BF1851" w:rsidRPr="00CE2CA5">
        <w:t>C</w:t>
      </w:r>
      <w:r w:rsidR="00DF50B4" w:rsidRPr="00CE2CA5">
        <w:t>DIP</w:t>
      </w:r>
      <w:r w:rsidR="00DF50B4">
        <w:t xml:space="preserve">.  </w:t>
      </w:r>
      <w:r w:rsidR="00DF50B4" w:rsidRPr="00CE2CA5">
        <w:t>Le</w:t>
      </w:r>
      <w:r w:rsidR="001D26CB" w:rsidRPr="00CE2CA5">
        <w:t xml:space="preserve"> rapport d</w:t>
      </w:r>
      <w:r w:rsidR="00BF1851">
        <w:t>’</w:t>
      </w:r>
      <w:r w:rsidR="001D26CB" w:rsidRPr="00CE2CA5">
        <w:t>achèvement constitue le rapport complet final sur tou</w:t>
      </w:r>
      <w:r w:rsidR="00607060" w:rsidRPr="00CE2CA5">
        <w:t xml:space="preserve">te la période de mise en œuvre </w:t>
      </w:r>
      <w:r w:rsidR="00763365">
        <w:t>du projet qui est</w:t>
      </w:r>
      <w:r w:rsidR="001D26CB" w:rsidRPr="00CE2CA5">
        <w:t xml:space="preserve"> présenté au comité avant l</w:t>
      </w:r>
      <w:r w:rsidR="00BF1851">
        <w:t>’</w:t>
      </w:r>
      <w:r w:rsidR="001D26CB" w:rsidRPr="00CE2CA5">
        <w:t>examen du rapport d</w:t>
      </w:r>
      <w:r w:rsidR="00BF1851">
        <w:t>’</w:t>
      </w:r>
      <w:r w:rsidR="001D26CB" w:rsidRPr="00CE2CA5">
        <w:t>évaluation.</w:t>
      </w:r>
    </w:p>
    <w:p w:rsidR="00BF1851" w:rsidRDefault="001D26CB" w:rsidP="00A601DF">
      <w:pPr>
        <w:pStyle w:val="ONUMFS"/>
        <w:ind w:left="5533"/>
        <w:rPr>
          <w:i/>
        </w:rPr>
      </w:pPr>
      <w:r w:rsidRPr="00A601DF">
        <w:rPr>
          <w:i/>
        </w:rPr>
        <w:t>Le CDIP est invité à prendre note des informations contenues dans l</w:t>
      </w:r>
      <w:r w:rsidR="00BF1851">
        <w:rPr>
          <w:i/>
        </w:rPr>
        <w:t>’</w:t>
      </w:r>
      <w:r w:rsidRPr="00A601DF">
        <w:rPr>
          <w:i/>
        </w:rPr>
        <w:t>annexe du présent document.</w:t>
      </w:r>
    </w:p>
    <w:p w:rsidR="00D8371C" w:rsidRPr="00CE2CA5" w:rsidRDefault="00D8371C"/>
    <w:p w:rsidR="00D8371C" w:rsidRPr="00CE2CA5" w:rsidRDefault="00D8371C"/>
    <w:p w:rsidR="009A14D4" w:rsidRDefault="001D26CB" w:rsidP="00A601DF">
      <w:pPr>
        <w:pStyle w:val="Endofdocument-Annex"/>
      </w:pPr>
      <w:r w:rsidRPr="00CE2CA5">
        <w:t>[L</w:t>
      </w:r>
      <w:r w:rsidR="00BF1851">
        <w:t>’</w:t>
      </w:r>
      <w:r w:rsidRPr="00CE2CA5">
        <w:t>annexe suit]</w:t>
      </w:r>
    </w:p>
    <w:p w:rsidR="00A601DF" w:rsidRDefault="00A601DF"/>
    <w:p w:rsidR="00A601DF" w:rsidRDefault="00A601DF" w:rsidP="001D26CB"/>
    <w:p w:rsidR="00A601DF" w:rsidRPr="00CE2CA5" w:rsidRDefault="00A601DF" w:rsidP="001D26CB">
      <w:pPr>
        <w:sectPr w:rsidR="00A601DF" w:rsidRPr="00CE2CA5" w:rsidSect="00A601DF">
          <w:headerReference w:type="default" r:id="rId9"/>
          <w:endnotePr>
            <w:numFmt w:val="decimal"/>
          </w:endnotePr>
          <w:pgSz w:w="11907" w:h="16840" w:code="9"/>
          <w:pgMar w:top="567" w:right="1134" w:bottom="1417" w:left="1417" w:header="510" w:footer="1020" w:gutter="0"/>
          <w:pgNumType w:start="1"/>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391"/>
        <w:gridCol w:w="6955"/>
      </w:tblGrid>
      <w:tr w:rsidR="007767EE" w:rsidRPr="00CE2CA5" w:rsidTr="00A601DF">
        <w:tc>
          <w:tcPr>
            <w:tcW w:w="9346" w:type="dxa"/>
            <w:gridSpan w:val="2"/>
            <w:shd w:val="clear" w:color="auto" w:fill="auto"/>
            <w:vAlign w:val="center"/>
          </w:tcPr>
          <w:p w:rsidR="007767EE" w:rsidRPr="00CE2CA5" w:rsidRDefault="001D26CB" w:rsidP="00A601DF">
            <w:pPr>
              <w:pStyle w:val="Heading2"/>
              <w:keepNext w:val="0"/>
              <w:spacing w:before="0" w:after="0"/>
            </w:pPr>
            <w:r w:rsidRPr="00CE2CA5">
              <w:lastRenderedPageBreak/>
              <w:t>RÉSUMÉ DU PROJET</w:t>
            </w:r>
          </w:p>
        </w:tc>
      </w:tr>
      <w:tr w:rsidR="007767EE" w:rsidRPr="00CE2CA5" w:rsidTr="00A601DF">
        <w:tc>
          <w:tcPr>
            <w:tcW w:w="2391" w:type="dxa"/>
            <w:shd w:val="clear" w:color="auto" w:fill="auto"/>
          </w:tcPr>
          <w:p w:rsidR="007767EE" w:rsidRPr="00CE2CA5" w:rsidRDefault="00A907AA" w:rsidP="00A601DF">
            <w:pPr>
              <w:pStyle w:val="Heading3"/>
              <w:keepNext w:val="0"/>
              <w:spacing w:before="0" w:after="0"/>
            </w:pPr>
            <w:r w:rsidRPr="00CE2CA5">
              <w:t>Cote du projet</w:t>
            </w:r>
            <w:r w:rsidRPr="00CE2CA5">
              <w:rPr>
                <w:u w:val="none"/>
              </w:rPr>
              <w:t xml:space="preserve"> </w:t>
            </w:r>
          </w:p>
        </w:tc>
        <w:tc>
          <w:tcPr>
            <w:tcW w:w="6955" w:type="dxa"/>
            <w:shd w:val="clear" w:color="auto" w:fill="auto"/>
            <w:vAlign w:val="center"/>
          </w:tcPr>
          <w:p w:rsidR="007767EE" w:rsidRPr="00CE2CA5" w:rsidRDefault="007767EE" w:rsidP="00A601DF">
            <w:pPr>
              <w:rPr>
                <w:i/>
              </w:rPr>
            </w:pPr>
            <w:r w:rsidRPr="00CE2CA5">
              <w:rPr>
                <w:i/>
              </w:rPr>
              <w:t>DA_3_10_45_01</w:t>
            </w:r>
          </w:p>
        </w:tc>
      </w:tr>
      <w:tr w:rsidR="007767EE" w:rsidRPr="00FF3385" w:rsidTr="00A601DF">
        <w:tc>
          <w:tcPr>
            <w:tcW w:w="2391" w:type="dxa"/>
            <w:shd w:val="clear" w:color="auto" w:fill="auto"/>
          </w:tcPr>
          <w:p w:rsidR="007767EE" w:rsidRPr="00CE2CA5" w:rsidRDefault="00A907AA" w:rsidP="00A601DF">
            <w:pPr>
              <w:pStyle w:val="Heading3"/>
              <w:keepNext w:val="0"/>
              <w:spacing w:before="0" w:after="0"/>
            </w:pPr>
            <w:r w:rsidRPr="00CE2CA5">
              <w:t>Titre</w:t>
            </w:r>
          </w:p>
        </w:tc>
        <w:tc>
          <w:tcPr>
            <w:tcW w:w="6955" w:type="dxa"/>
            <w:shd w:val="clear" w:color="auto" w:fill="auto"/>
            <w:vAlign w:val="center"/>
          </w:tcPr>
          <w:p w:rsidR="007767EE" w:rsidRPr="00CE2CA5" w:rsidRDefault="00A907AA" w:rsidP="00A601DF">
            <w:r w:rsidRPr="00CE2CA5">
              <w:rPr>
                <w:i/>
              </w:rPr>
              <w:t>Coopération avec les instituts de formation judiciaire des pays en développement et des pays les moins avancés dans le</w:t>
            </w:r>
            <w:r w:rsidR="00763365">
              <w:rPr>
                <w:i/>
              </w:rPr>
              <w:t xml:space="preserve"> domaine</w:t>
            </w:r>
            <w:r w:rsidRPr="00CE2CA5">
              <w:rPr>
                <w:i/>
              </w:rPr>
              <w:t xml:space="preserve"> du développement et de l</w:t>
            </w:r>
            <w:r w:rsidR="00BF1851">
              <w:rPr>
                <w:i/>
              </w:rPr>
              <w:t>’</w:t>
            </w:r>
            <w:r w:rsidRPr="00CE2CA5">
              <w:rPr>
                <w:i/>
              </w:rPr>
              <w:t>enseignement et de la formation professionnelle en matière de droits de propriété intellectuelle</w:t>
            </w:r>
          </w:p>
        </w:tc>
      </w:tr>
      <w:tr w:rsidR="007767EE" w:rsidRPr="00FF3385" w:rsidTr="00A601DF">
        <w:tc>
          <w:tcPr>
            <w:tcW w:w="2391" w:type="dxa"/>
            <w:shd w:val="clear" w:color="auto" w:fill="auto"/>
          </w:tcPr>
          <w:p w:rsidR="007767EE" w:rsidRPr="00CE2CA5" w:rsidRDefault="00A907AA" w:rsidP="00A601DF">
            <w:pPr>
              <w:pStyle w:val="Heading3"/>
              <w:keepNext w:val="0"/>
              <w:spacing w:before="0" w:after="0"/>
            </w:pPr>
            <w:r w:rsidRPr="00CE2CA5">
              <w:t>Recommandation du Plan d</w:t>
            </w:r>
            <w:r w:rsidR="00BF1851">
              <w:t>’</w:t>
            </w:r>
            <w:r w:rsidRPr="00CE2CA5">
              <w:t>action pour le développement</w:t>
            </w:r>
          </w:p>
        </w:tc>
        <w:tc>
          <w:tcPr>
            <w:tcW w:w="6955" w:type="dxa"/>
            <w:shd w:val="clear" w:color="auto" w:fill="auto"/>
          </w:tcPr>
          <w:p w:rsidR="00D8371C" w:rsidRPr="00CE2CA5" w:rsidRDefault="00A907AA" w:rsidP="00A601DF">
            <w:r w:rsidRPr="00CE2CA5">
              <w:rPr>
                <w:i/>
              </w:rPr>
              <w:t>Recommandation n°</w:t>
            </w:r>
            <w:r w:rsidR="00AB3EC6" w:rsidRPr="00CE2CA5">
              <w:rPr>
                <w:i/>
              </w:rPr>
              <w:t> </w:t>
            </w:r>
            <w:r w:rsidRPr="00CE2CA5">
              <w:rPr>
                <w:i/>
              </w:rPr>
              <w:t>3</w:t>
            </w:r>
            <w:r w:rsidR="00BF1851">
              <w:rPr>
                <w:i/>
              </w:rPr>
              <w:t> :</w:t>
            </w:r>
            <w:r w:rsidRPr="00CE2CA5">
              <w:t xml:space="preserve"> Accroître les ressources humaines et financières en faveur des programmes d</w:t>
            </w:r>
            <w:r w:rsidR="00BF1851">
              <w:t>’</w:t>
            </w:r>
            <w:r w:rsidRPr="00CE2CA5">
              <w:t>assistance technique de l</w:t>
            </w:r>
            <w:r w:rsidR="00BF1851">
              <w:t>’</w:t>
            </w:r>
            <w:r w:rsidRPr="00CE2CA5">
              <w:t>OMPI pour promouvoir notamment une culture de la propriété intellectuelle axée sur le développement, en mettant l</w:t>
            </w:r>
            <w:r w:rsidR="00BF1851">
              <w:t>’</w:t>
            </w:r>
            <w:r w:rsidRPr="00CE2CA5">
              <w:t>accent sur l</w:t>
            </w:r>
            <w:r w:rsidR="00BF1851">
              <w:t>’</w:t>
            </w:r>
            <w:r w:rsidRPr="00CE2CA5">
              <w:t>initiation à la propriété intellectuelle dans les programmes d</w:t>
            </w:r>
            <w:r w:rsidR="00BF1851">
              <w:t>’</w:t>
            </w:r>
            <w:r w:rsidRPr="00CE2CA5">
              <w:t>enseignement de différents niveaux et la sensibilisation accrue de l</w:t>
            </w:r>
            <w:r w:rsidR="00BF1851">
              <w:t>’</w:t>
            </w:r>
            <w:r w:rsidRPr="00CE2CA5">
              <w:t>opinion publique à la propriété intellectuelle</w:t>
            </w:r>
            <w:r w:rsidRPr="00CE2CA5">
              <w:rPr>
                <w:i/>
              </w:rPr>
              <w:t>.</w:t>
            </w:r>
          </w:p>
          <w:p w:rsidR="00D8371C" w:rsidRPr="00CE2CA5" w:rsidRDefault="00D8371C" w:rsidP="00A601DF"/>
          <w:p w:rsidR="00D8371C" w:rsidRPr="00CE2CA5" w:rsidRDefault="00A907AA" w:rsidP="00A601DF">
            <w:r w:rsidRPr="00CE2CA5">
              <w:rPr>
                <w:i/>
              </w:rPr>
              <w:t>Recommandation n°</w:t>
            </w:r>
            <w:r w:rsidR="00AB3EC6" w:rsidRPr="00CE2CA5">
              <w:rPr>
                <w:i/>
              </w:rPr>
              <w:t> </w:t>
            </w:r>
            <w:r w:rsidRPr="00CE2CA5">
              <w:rPr>
                <w:i/>
              </w:rPr>
              <w:t>10</w:t>
            </w:r>
            <w:r w:rsidR="00BF1851">
              <w:rPr>
                <w:i/>
              </w:rPr>
              <w:t> :</w:t>
            </w:r>
            <w:r w:rsidRPr="00CE2CA5">
              <w:t xml:space="preserve"> Aider les États membres à développer et à améliorer les capacités institutionnelles nationales en propriété intellectuelle par le développement des infrastructures et autres moyens en vue de renforcer l</w:t>
            </w:r>
            <w:r w:rsidR="00BF1851">
              <w:t>’</w:t>
            </w:r>
            <w:r w:rsidRPr="00CE2CA5">
              <w:t>efficacité des institutions nationales de propriété intellectuelle et de concilier protection de la propriété intellectuelle et préservation de l</w:t>
            </w:r>
            <w:r w:rsidR="00BF1851">
              <w:t>’</w:t>
            </w:r>
            <w:r w:rsidRPr="00CE2CA5">
              <w:t>intérêt génér</w:t>
            </w:r>
            <w:r w:rsidR="00DF50B4" w:rsidRPr="00CE2CA5">
              <w:t>al</w:t>
            </w:r>
            <w:r w:rsidR="00DF50B4">
              <w:t xml:space="preserve">.  </w:t>
            </w:r>
            <w:r w:rsidR="00DF50B4" w:rsidRPr="00CE2CA5">
              <w:t>Ce</w:t>
            </w:r>
            <w:r w:rsidRPr="00CE2CA5">
              <w:t>tte assistance technique devrait également être étendue aux organisations sous</w:t>
            </w:r>
            <w:r w:rsidR="005B01A6">
              <w:noBreakHyphen/>
            </w:r>
            <w:r w:rsidRPr="00CE2CA5">
              <w:t>régionales et régionales œuvrant dans le domaine de la propriété intellectuelle.</w:t>
            </w:r>
          </w:p>
          <w:p w:rsidR="00D8371C" w:rsidRPr="00CE2CA5" w:rsidRDefault="00D8371C" w:rsidP="00A601DF"/>
          <w:p w:rsidR="007767EE" w:rsidRPr="00CE2CA5" w:rsidRDefault="00A907AA" w:rsidP="00A601DF">
            <w:r w:rsidRPr="00CE2CA5">
              <w:rPr>
                <w:i/>
              </w:rPr>
              <w:t>Recommandation n°</w:t>
            </w:r>
            <w:r w:rsidR="00AB3EC6" w:rsidRPr="00CE2CA5">
              <w:rPr>
                <w:i/>
              </w:rPr>
              <w:t> </w:t>
            </w:r>
            <w:r w:rsidRPr="00CE2CA5">
              <w:rPr>
                <w:i/>
              </w:rPr>
              <w:t>45</w:t>
            </w:r>
            <w:r w:rsidR="00BF1851">
              <w:rPr>
                <w:i/>
              </w:rPr>
              <w:t> :</w:t>
            </w:r>
            <w:r w:rsidRPr="00CE2CA5">
              <w:t xml:space="preserve"> Replacer l</w:t>
            </w:r>
            <w:r w:rsidR="00BF1851">
              <w:t>’</w:t>
            </w:r>
            <w:r w:rsidRPr="00CE2CA5">
              <w:t>application des droits de propriété intellectuelle dans le contexte plus large de l</w:t>
            </w:r>
            <w:r w:rsidR="00BF1851">
              <w:t>’</w:t>
            </w:r>
            <w:r w:rsidRPr="00CE2CA5">
              <w:t>intérêt général et en particulier des préoccupations relatives au développement, étant donné que, conformément à l</w:t>
            </w:r>
            <w:r w:rsidR="00BF1851">
              <w:t>’</w:t>
            </w:r>
            <w:r w:rsidRPr="00CE2CA5">
              <w:t>article</w:t>
            </w:r>
            <w:r w:rsidR="00AB3EC6" w:rsidRPr="00CE2CA5">
              <w:t> </w:t>
            </w:r>
            <w:r w:rsidRPr="00CE2CA5">
              <w:t>7 de l</w:t>
            </w:r>
            <w:r w:rsidR="00BF1851">
              <w:t>’</w:t>
            </w:r>
            <w:r w:rsidRPr="00CE2CA5">
              <w:t>Accord sur</w:t>
            </w:r>
            <w:r w:rsidR="00BF1851" w:rsidRPr="00CE2CA5">
              <w:t xml:space="preserve"> les</w:t>
            </w:r>
            <w:r w:rsidR="00BF1851">
              <w:t> </w:t>
            </w:r>
            <w:r w:rsidR="00BF1851" w:rsidRPr="00CE2CA5">
              <w:t>ADP</w:t>
            </w:r>
            <w:r w:rsidRPr="00CE2CA5">
              <w:t>IC, “la protection et le respect des droits de propriété intellectuelle devraient contribuer à la promotion de l</w:t>
            </w:r>
            <w:r w:rsidR="00BF1851">
              <w:t>’</w:t>
            </w:r>
            <w:r w:rsidRPr="00CE2CA5">
              <w:t>innovation technologique et au transfert et à la diffusion de la technologie, à l</w:t>
            </w:r>
            <w:r w:rsidR="00BF1851">
              <w:t>’</w:t>
            </w:r>
            <w:r w:rsidRPr="00CE2CA5">
              <w:t>avantage mutuel de ceux qui génèrent et de ceux qui utilisent des connaissances techniques et d</w:t>
            </w:r>
            <w:r w:rsidR="00BF1851">
              <w:t>’</w:t>
            </w:r>
            <w:r w:rsidRPr="00CE2CA5">
              <w:t>une manière propice au bien</w:t>
            </w:r>
            <w:r w:rsidR="005B01A6">
              <w:noBreakHyphen/>
            </w:r>
            <w:r w:rsidRPr="00CE2CA5">
              <w:t>être social et économique, et à assurer un équilibre de droits et d</w:t>
            </w:r>
            <w:r w:rsidR="00BF1851">
              <w:t>’</w:t>
            </w:r>
            <w:r w:rsidRPr="00CE2CA5">
              <w:t>obligations”.</w:t>
            </w:r>
          </w:p>
        </w:tc>
      </w:tr>
      <w:tr w:rsidR="007767EE" w:rsidRPr="00FF3385" w:rsidTr="00A601DF">
        <w:tc>
          <w:tcPr>
            <w:tcW w:w="2391" w:type="dxa"/>
            <w:shd w:val="clear" w:color="auto" w:fill="auto"/>
          </w:tcPr>
          <w:p w:rsidR="007767EE" w:rsidRPr="00CE2CA5" w:rsidRDefault="00871D9F" w:rsidP="00A601DF">
            <w:pPr>
              <w:pStyle w:val="Heading3"/>
              <w:keepNext w:val="0"/>
              <w:spacing w:before="0" w:after="0"/>
            </w:pPr>
            <w:r w:rsidRPr="00CE2CA5">
              <w:t>Budget du projet</w:t>
            </w:r>
          </w:p>
        </w:tc>
        <w:tc>
          <w:tcPr>
            <w:tcW w:w="6955" w:type="dxa"/>
            <w:shd w:val="clear" w:color="auto" w:fill="auto"/>
          </w:tcPr>
          <w:p w:rsidR="007767EE" w:rsidRPr="00CE2CA5" w:rsidRDefault="0071353D" w:rsidP="00A601DF">
            <w:r w:rsidRPr="00CE2CA5">
              <w:t>Total hors dépenses de personnel</w:t>
            </w:r>
            <w:r w:rsidR="00BF1851">
              <w:t> :</w:t>
            </w:r>
            <w:r w:rsidRPr="00CE2CA5">
              <w:t xml:space="preserve"> 500 000 francs suisses</w:t>
            </w:r>
            <w:r w:rsidR="00842D1C">
              <w:t>.</w:t>
            </w:r>
          </w:p>
        </w:tc>
      </w:tr>
      <w:tr w:rsidR="007767EE" w:rsidRPr="00FF3385" w:rsidTr="00A601DF">
        <w:tc>
          <w:tcPr>
            <w:tcW w:w="2391" w:type="dxa"/>
            <w:shd w:val="clear" w:color="auto" w:fill="auto"/>
          </w:tcPr>
          <w:p w:rsidR="007767EE" w:rsidRPr="00CE2CA5" w:rsidRDefault="0071353D" w:rsidP="00A601DF">
            <w:pPr>
              <w:pStyle w:val="Heading3"/>
              <w:keepNext w:val="0"/>
              <w:spacing w:before="0" w:after="0"/>
            </w:pPr>
            <w:r w:rsidRPr="00CE2CA5">
              <w:t>Durée du projet</w:t>
            </w:r>
          </w:p>
        </w:tc>
        <w:tc>
          <w:tcPr>
            <w:tcW w:w="6955" w:type="dxa"/>
            <w:shd w:val="clear" w:color="auto" w:fill="auto"/>
          </w:tcPr>
          <w:p w:rsidR="00D8371C" w:rsidRPr="00CE2CA5" w:rsidRDefault="0071353D" w:rsidP="00A601DF">
            <w:r w:rsidRPr="00CE2CA5">
              <w:t>24 mois</w:t>
            </w:r>
          </w:p>
          <w:p w:rsidR="00D8371C" w:rsidRPr="00CE2CA5" w:rsidRDefault="00D8371C" w:rsidP="00A601DF"/>
          <w:p w:rsidR="003947C2" w:rsidRPr="00CE2CA5" w:rsidRDefault="0071353D" w:rsidP="00A601DF">
            <w:r w:rsidRPr="00CE2CA5">
              <w:t xml:space="preserve">La plupart des résultats </w:t>
            </w:r>
            <w:r w:rsidR="00842D1C" w:rsidRPr="00763365">
              <w:t>attendus</w:t>
            </w:r>
            <w:r w:rsidRPr="00CE2CA5">
              <w:t xml:space="preserve"> étaient atteints en juillet</w:t>
            </w:r>
            <w:r w:rsidR="00AB3EC6" w:rsidRPr="00CE2CA5">
              <w:t> </w:t>
            </w:r>
            <w:r w:rsidRPr="00CE2CA5">
              <w:t>2018 comme pré</w:t>
            </w:r>
            <w:r w:rsidR="00DF50B4" w:rsidRPr="00CE2CA5">
              <w:t>vu</w:t>
            </w:r>
            <w:r w:rsidR="00DF50B4">
              <w:t xml:space="preserve">.  </w:t>
            </w:r>
            <w:r w:rsidR="00DF50B4" w:rsidRPr="00CE2CA5">
              <w:t>To</w:t>
            </w:r>
            <w:r w:rsidRPr="00CE2CA5">
              <w:t>utefois, une prorogation de cinq</w:t>
            </w:r>
            <w:r w:rsidR="0009127F">
              <w:t> </w:t>
            </w:r>
            <w:r w:rsidRPr="00CE2CA5">
              <w:t xml:space="preserve">mois a été jugée nécessaire pour </w:t>
            </w:r>
            <w:r w:rsidR="00763365">
              <w:t>mener les activités nécessaires en matière d</w:t>
            </w:r>
            <w:r w:rsidR="00BF1851">
              <w:t>’</w:t>
            </w:r>
            <w:r w:rsidR="00763365">
              <w:t>évaluation</w:t>
            </w:r>
            <w:r w:rsidRPr="00CE2CA5">
              <w:t xml:space="preserve"> et veiller à la qualité optimale des résultats du projet.</w:t>
            </w:r>
          </w:p>
        </w:tc>
      </w:tr>
      <w:tr w:rsidR="007767EE" w:rsidRPr="00FF3385" w:rsidTr="00A601DF">
        <w:tc>
          <w:tcPr>
            <w:tcW w:w="2391" w:type="dxa"/>
            <w:shd w:val="clear" w:color="auto" w:fill="auto"/>
          </w:tcPr>
          <w:p w:rsidR="007767EE" w:rsidRPr="00CE2CA5" w:rsidRDefault="0071353D" w:rsidP="00A601DF">
            <w:pPr>
              <w:pStyle w:val="Heading3"/>
              <w:keepNext w:val="0"/>
              <w:spacing w:before="0" w:after="0"/>
            </w:pPr>
            <w:r w:rsidRPr="00CE2CA5">
              <w:t>Principaux secteurs de l</w:t>
            </w:r>
            <w:r w:rsidR="00BF1851">
              <w:t>’</w:t>
            </w:r>
            <w:r w:rsidRPr="00CE2CA5">
              <w:t>OMPI concernés et liens avec les programmes de l</w:t>
            </w:r>
            <w:r w:rsidR="00BF1851">
              <w:t>’</w:t>
            </w:r>
            <w:r w:rsidRPr="00CE2CA5">
              <w:t>OMPI</w:t>
            </w:r>
          </w:p>
        </w:tc>
        <w:tc>
          <w:tcPr>
            <w:tcW w:w="6955" w:type="dxa"/>
            <w:shd w:val="clear" w:color="auto" w:fill="auto"/>
          </w:tcPr>
          <w:p w:rsidR="007767EE" w:rsidRPr="00CE2CA5" w:rsidRDefault="0071353D" w:rsidP="00A601DF">
            <w:r w:rsidRPr="00CE2CA5">
              <w:t>Liens avec les programmes</w:t>
            </w:r>
            <w:r w:rsidR="00AB3EC6" w:rsidRPr="00CE2CA5">
              <w:t> </w:t>
            </w:r>
            <w:r w:rsidRPr="00CE2CA5">
              <w:t>9, 10 et 17.</w:t>
            </w:r>
          </w:p>
        </w:tc>
      </w:tr>
      <w:tr w:rsidR="007767EE" w:rsidRPr="00FF3385" w:rsidTr="00A601DF">
        <w:tc>
          <w:tcPr>
            <w:tcW w:w="2391" w:type="dxa"/>
            <w:shd w:val="clear" w:color="auto" w:fill="auto"/>
          </w:tcPr>
          <w:p w:rsidR="007767EE" w:rsidRPr="00CE2CA5" w:rsidRDefault="0071353D" w:rsidP="00A601DF">
            <w:pPr>
              <w:pStyle w:val="Heading3"/>
              <w:keepNext w:val="0"/>
              <w:spacing w:before="0" w:after="0"/>
            </w:pPr>
            <w:r w:rsidRPr="00CE2CA5">
              <w:t>Brève description du projet</w:t>
            </w:r>
          </w:p>
        </w:tc>
        <w:tc>
          <w:tcPr>
            <w:tcW w:w="6955" w:type="dxa"/>
            <w:shd w:val="clear" w:color="auto" w:fill="auto"/>
          </w:tcPr>
          <w:p w:rsidR="00BF1851" w:rsidRDefault="003B2905" w:rsidP="00A601DF">
            <w:r w:rsidRPr="00CE2CA5">
              <w:t>Le projet, décrit</w:t>
            </w:r>
            <w:r w:rsidR="00763365">
              <w:t xml:space="preserve"> en détail dans le descriptif de</w:t>
            </w:r>
            <w:r w:rsidRPr="00CE2CA5">
              <w:t xml:space="preserve"> projet</w:t>
            </w:r>
            <w:r w:rsidR="00A601DF">
              <w:t xml:space="preserve"> </w:t>
            </w:r>
            <w:r w:rsidRPr="00CE2CA5">
              <w:t>CDIP/16/7</w:t>
            </w:r>
            <w:r w:rsidR="00A601DF">
              <w:t> </w:t>
            </w:r>
            <w:r w:rsidR="00A601DF" w:rsidRPr="00CE2CA5">
              <w:t>Rev</w:t>
            </w:r>
            <w:r w:rsidRPr="00CE2CA5">
              <w:t xml:space="preserve">.2, vise à renforcer les capacités des institutions de formation judiciaire à dispenser des programmes de formation </w:t>
            </w:r>
            <w:r w:rsidRPr="00CE2CA5">
              <w:lastRenderedPageBreak/>
              <w:t>continue sur les droits de propriété intellectuelle et, par conséquent, à renforcer les capacités et les compétences des juges en matière de règlement efficace des litiges de propriété intellectuelle.</w:t>
            </w:r>
          </w:p>
          <w:p w:rsidR="00D8371C" w:rsidRPr="00CE2CA5" w:rsidRDefault="00D8371C" w:rsidP="00A601DF"/>
          <w:p w:rsidR="00D8371C" w:rsidRPr="00CE2CA5" w:rsidRDefault="003B2905" w:rsidP="00A601DF">
            <w:r w:rsidRPr="00CE2CA5">
              <w:t xml:space="preserve">Quatre pays pilotes, </w:t>
            </w:r>
            <w:r w:rsidR="00BF1851">
              <w:t>à savoir</w:t>
            </w:r>
            <w:r w:rsidRPr="00CE2CA5">
              <w:t xml:space="preserve"> le Costa</w:t>
            </w:r>
            <w:r w:rsidR="0009127F">
              <w:t> </w:t>
            </w:r>
            <w:r w:rsidRPr="00CE2CA5">
              <w:t>Rica, le Liban, le Népal et le Nigéria, ont participé au proj</w:t>
            </w:r>
            <w:r w:rsidR="00DF50B4" w:rsidRPr="00CE2CA5">
              <w:t>et</w:t>
            </w:r>
            <w:r w:rsidR="00DF50B4">
              <w:t xml:space="preserve">.  </w:t>
            </w:r>
            <w:r w:rsidR="00DF50B4" w:rsidRPr="00CE2CA5">
              <w:t>Il</w:t>
            </w:r>
            <w:r w:rsidRPr="00CE2CA5">
              <w:t>s représentaient respectivement les régions suivantes</w:t>
            </w:r>
            <w:r w:rsidR="00BF1851">
              <w:t> :</w:t>
            </w:r>
            <w:r w:rsidRPr="00CE2CA5">
              <w:t xml:space="preserve"> Amérique latine et Caraïbes, pays arabes, Asie et Pacifique, et Afriq</w:t>
            </w:r>
            <w:r w:rsidR="00DF50B4" w:rsidRPr="00CE2CA5">
              <w:t>ue</w:t>
            </w:r>
            <w:r w:rsidR="00DF50B4">
              <w:t xml:space="preserve">.  </w:t>
            </w:r>
            <w:r w:rsidR="00DF50B4" w:rsidRPr="00CE2CA5">
              <w:t>Le</w:t>
            </w:r>
            <w:r w:rsidRPr="00CE2CA5">
              <w:t xml:space="preserve"> Népal représentait également le groupe des pays les moins avancés (PMA).</w:t>
            </w:r>
          </w:p>
          <w:p w:rsidR="00D8371C" w:rsidRPr="00CE2CA5" w:rsidRDefault="00D8371C" w:rsidP="00A601DF"/>
          <w:p w:rsidR="00D8371C" w:rsidRPr="00CE2CA5" w:rsidRDefault="00992EA0" w:rsidP="00A601DF">
            <w:r w:rsidRPr="00CE2CA5">
              <w:t>Le projet portait sur l</w:t>
            </w:r>
            <w:r w:rsidR="00BF1851">
              <w:t>’</w:t>
            </w:r>
            <w:r w:rsidRPr="00CE2CA5">
              <w:t>élaboration de modules et de manuels adaptés et sur l</w:t>
            </w:r>
            <w:r w:rsidR="00BF1851">
              <w:t>’</w:t>
            </w:r>
            <w:r w:rsidRPr="00CE2CA5">
              <w:t xml:space="preserve">offre de programmes </w:t>
            </w:r>
            <w:r w:rsidR="00763365" w:rsidRPr="00CE2CA5">
              <w:t xml:space="preserve">complets </w:t>
            </w:r>
            <w:r w:rsidRPr="00CE2CA5">
              <w:t>de formation continue en présentiel et à distan</w:t>
            </w:r>
            <w:r w:rsidR="00DF50B4" w:rsidRPr="00CE2CA5">
              <w:t>ce</w:t>
            </w:r>
            <w:r w:rsidR="00DF50B4">
              <w:t>.  Il</w:t>
            </w:r>
            <w:r w:rsidR="00842D1C">
              <w:t xml:space="preserve"> </w:t>
            </w:r>
            <w:r w:rsidR="00BF1107" w:rsidRPr="00CE2CA5">
              <w:t>a également permis la création de réseaux en ligne pour l</w:t>
            </w:r>
            <w:r w:rsidR="00BF1851">
              <w:t>’</w:t>
            </w:r>
            <w:r w:rsidR="00BF1107" w:rsidRPr="00CE2CA5">
              <w:t>échange d</w:t>
            </w:r>
            <w:r w:rsidR="00BF1851">
              <w:t>’</w:t>
            </w:r>
            <w:r w:rsidR="00BF1107" w:rsidRPr="00CE2CA5">
              <w:t>informations et l</w:t>
            </w:r>
            <w:r w:rsidR="00BF1851">
              <w:t>’</w:t>
            </w:r>
            <w:r w:rsidR="00BF1107" w:rsidRPr="00CE2CA5">
              <w:t>apprentissage entre pairs</w:t>
            </w:r>
            <w:r w:rsidR="00842D1C">
              <w:t>, ainsi que l</w:t>
            </w:r>
            <w:r w:rsidR="00BF1851">
              <w:t>’</w:t>
            </w:r>
            <w:r w:rsidR="00842D1C">
              <w:t xml:space="preserve">accès à une sélection de documents </w:t>
            </w:r>
            <w:r w:rsidR="00BF1107" w:rsidRPr="00CE2CA5">
              <w:t xml:space="preserve">de référence et à une base de données spécialisée </w:t>
            </w:r>
            <w:r w:rsidR="00842D1C">
              <w:t xml:space="preserve">relative aux </w:t>
            </w:r>
            <w:r w:rsidR="00BF1107" w:rsidRPr="00CE2CA5">
              <w:t>affaires judiciaires.</w:t>
            </w:r>
          </w:p>
          <w:p w:rsidR="00D8371C" w:rsidRPr="00CE2CA5" w:rsidRDefault="00D8371C" w:rsidP="00A601DF"/>
          <w:p w:rsidR="00D8371C" w:rsidRPr="00CE2CA5" w:rsidRDefault="00BF1107" w:rsidP="00A601DF">
            <w:r w:rsidRPr="00CE2CA5">
              <w:t>Le projet</w:t>
            </w:r>
            <w:r w:rsidR="00607060" w:rsidRPr="00CE2CA5">
              <w:t xml:space="preserve"> a été pleinement mis en œuvre </w:t>
            </w:r>
            <w:r w:rsidRPr="00CE2CA5">
              <w:t>et achevé en décembre</w:t>
            </w:r>
            <w:r w:rsidR="00AB3EC6" w:rsidRPr="00CE2CA5">
              <w:t> </w:t>
            </w:r>
            <w:r w:rsidRPr="00CE2CA5">
              <w:t>2018, en étroite coordination avec les pays pilotes et compte tenu de leurs priorités et besoins identifiés.</w:t>
            </w:r>
          </w:p>
          <w:p w:rsidR="00D8371C" w:rsidRPr="00CE2CA5" w:rsidRDefault="00D8371C" w:rsidP="00A601DF"/>
          <w:p w:rsidR="00D1323C" w:rsidRPr="00CE2CA5" w:rsidRDefault="007B32D6" w:rsidP="00A601DF">
            <w:r w:rsidRPr="00CE2CA5">
              <w:t>Tous les objectifs du projet ont été pleinement atteints, comme le montrent les indicateurs de réussite très positifs.</w:t>
            </w:r>
          </w:p>
        </w:tc>
      </w:tr>
      <w:tr w:rsidR="006D20ED" w:rsidRPr="00FF3385" w:rsidTr="00A601DF">
        <w:tc>
          <w:tcPr>
            <w:tcW w:w="2391" w:type="dxa"/>
            <w:shd w:val="clear" w:color="auto" w:fill="auto"/>
          </w:tcPr>
          <w:p w:rsidR="003947C2" w:rsidRPr="00CE2CA5" w:rsidRDefault="007B32D6" w:rsidP="00A601DF">
            <w:pPr>
              <w:pStyle w:val="Heading3"/>
              <w:keepNext w:val="0"/>
              <w:spacing w:before="0" w:after="0"/>
            </w:pPr>
            <w:r w:rsidRPr="00CE2CA5">
              <w:lastRenderedPageBreak/>
              <w:t>Chef de projet</w:t>
            </w:r>
            <w:r w:rsidR="003947C2" w:rsidRPr="00CE2CA5">
              <w:t xml:space="preserve"> </w:t>
            </w:r>
          </w:p>
        </w:tc>
        <w:tc>
          <w:tcPr>
            <w:tcW w:w="6955" w:type="dxa"/>
            <w:vAlign w:val="center"/>
          </w:tcPr>
          <w:p w:rsidR="006D20ED" w:rsidRPr="00CE2CA5" w:rsidRDefault="007B32D6" w:rsidP="00A601DF">
            <w:pPr>
              <w:rPr>
                <w:iCs/>
              </w:rPr>
            </w:pPr>
            <w:r w:rsidRPr="00FF3385">
              <w:t>M.</w:t>
            </w:r>
            <w:r w:rsidR="00AB3EC6" w:rsidRPr="00CE2CA5">
              <w:rPr>
                <w:iCs/>
              </w:rPr>
              <w:t> </w:t>
            </w:r>
            <w:r w:rsidRPr="00CE2CA5">
              <w:rPr>
                <w:iCs/>
              </w:rPr>
              <w:t>Mohamed Abderraouf Bdioui, conseiller principal auprès de l</w:t>
            </w:r>
            <w:r w:rsidR="00BF1851">
              <w:rPr>
                <w:iCs/>
              </w:rPr>
              <w:t>’</w:t>
            </w:r>
            <w:r w:rsidRPr="00CE2CA5">
              <w:rPr>
                <w:iCs/>
              </w:rPr>
              <w:t>Académie de l</w:t>
            </w:r>
            <w:r w:rsidR="00BF1851">
              <w:rPr>
                <w:iCs/>
              </w:rPr>
              <w:t>’</w:t>
            </w:r>
            <w:r w:rsidRPr="00CE2CA5">
              <w:rPr>
                <w:iCs/>
              </w:rPr>
              <w:t>OMPI</w:t>
            </w:r>
          </w:p>
        </w:tc>
      </w:tr>
      <w:tr w:rsidR="006D20ED" w:rsidRPr="00FF3385" w:rsidTr="00A601DF">
        <w:tc>
          <w:tcPr>
            <w:tcW w:w="2391" w:type="dxa"/>
            <w:shd w:val="clear" w:color="auto" w:fill="auto"/>
          </w:tcPr>
          <w:p w:rsidR="006D20ED" w:rsidRPr="00CE2CA5" w:rsidDel="00196374" w:rsidRDefault="007B32D6" w:rsidP="00A601DF">
            <w:pPr>
              <w:pStyle w:val="Heading3"/>
              <w:keepNext w:val="0"/>
              <w:spacing w:before="0" w:after="0"/>
            </w:pPr>
            <w:r w:rsidRPr="00CE2CA5">
              <w:t>Liens avec les résultats escomptés dans le programme et budget</w:t>
            </w:r>
            <w:r w:rsidR="006D20ED" w:rsidRPr="00CE2CA5">
              <w:t xml:space="preserve"> </w:t>
            </w:r>
          </w:p>
        </w:tc>
        <w:tc>
          <w:tcPr>
            <w:tcW w:w="6955" w:type="dxa"/>
          </w:tcPr>
          <w:p w:rsidR="0065603C" w:rsidRPr="00CE2CA5" w:rsidRDefault="008E0E35" w:rsidP="00A601DF">
            <w:pPr>
              <w:rPr>
                <w:iCs/>
              </w:rPr>
            </w:pPr>
            <w:r w:rsidRPr="00CE2CA5">
              <w:rPr>
                <w:i/>
                <w:iCs/>
              </w:rPr>
              <w:t>Résultat escompté</w:t>
            </w:r>
            <w:r w:rsidR="00AB3EC6" w:rsidRPr="00CE2CA5">
              <w:rPr>
                <w:i/>
                <w:iCs/>
              </w:rPr>
              <w:t> </w:t>
            </w:r>
            <w:r w:rsidRPr="00CE2CA5">
              <w:rPr>
                <w:i/>
                <w:iCs/>
              </w:rPr>
              <w:t>III.2</w:t>
            </w:r>
            <w:r w:rsidR="00BF1851">
              <w:rPr>
                <w:iCs/>
              </w:rPr>
              <w:t> :</w:t>
            </w:r>
            <w:r w:rsidRPr="00CE2CA5">
              <w:rPr>
                <w:iCs/>
              </w:rPr>
              <w:t xml:space="preserve"> Mise en valeur des ressources humaines pour répondre aux diverses exigences en matière d</w:t>
            </w:r>
            <w:r w:rsidR="00BF1851">
              <w:rPr>
                <w:iCs/>
              </w:rPr>
              <w:t>’</w:t>
            </w:r>
            <w:r w:rsidRPr="00CE2CA5">
              <w:rPr>
                <w:iCs/>
              </w:rPr>
              <w:t>utilisation efficace de la propriété intellectuelle au service du développement dans les pays en développement, les PMA et les pays en transition</w:t>
            </w:r>
          </w:p>
        </w:tc>
      </w:tr>
      <w:tr w:rsidR="006D20ED" w:rsidRPr="00FF3385" w:rsidTr="00A601DF">
        <w:tc>
          <w:tcPr>
            <w:tcW w:w="2391" w:type="dxa"/>
            <w:shd w:val="clear" w:color="auto" w:fill="auto"/>
          </w:tcPr>
          <w:p w:rsidR="006D20ED" w:rsidRPr="00CE2CA5" w:rsidRDefault="008E0E35" w:rsidP="00A601DF">
            <w:pPr>
              <w:pStyle w:val="Heading3"/>
              <w:keepNext w:val="0"/>
              <w:spacing w:before="0" w:after="0"/>
            </w:pPr>
            <w:r w:rsidRPr="00CE2CA5">
              <w:t>État d</w:t>
            </w:r>
            <w:r w:rsidR="00BF1851">
              <w:t>’</w:t>
            </w:r>
            <w:r w:rsidRPr="00CE2CA5">
              <w:t>avancement du projet</w:t>
            </w:r>
          </w:p>
        </w:tc>
        <w:tc>
          <w:tcPr>
            <w:tcW w:w="6955" w:type="dxa"/>
          </w:tcPr>
          <w:p w:rsidR="00D8371C" w:rsidRPr="00CE2CA5" w:rsidRDefault="008E0E35" w:rsidP="00A601DF">
            <w:pPr>
              <w:numPr>
                <w:ilvl w:val="0"/>
                <w:numId w:val="14"/>
              </w:numPr>
              <w:ind w:left="1134" w:hanging="567"/>
            </w:pPr>
            <w:r w:rsidRPr="00CE2CA5">
              <w:t>PRINCIPAUX PARTENAIRES</w:t>
            </w:r>
          </w:p>
          <w:p w:rsidR="00D8371C" w:rsidRPr="00CE2CA5" w:rsidRDefault="00D8371C" w:rsidP="00A601DF">
            <w:pPr>
              <w:ind w:left="1134" w:hanging="567"/>
            </w:pPr>
          </w:p>
          <w:p w:rsidR="00D8371C" w:rsidRPr="00CE2CA5" w:rsidRDefault="008E0E35" w:rsidP="00A601DF">
            <w:pPr>
              <w:numPr>
                <w:ilvl w:val="0"/>
                <w:numId w:val="7"/>
              </w:numPr>
              <w:ind w:left="1134" w:hanging="567"/>
            </w:pPr>
            <w:r w:rsidRPr="00CE2CA5">
              <w:t>Institutions nationales</w:t>
            </w:r>
          </w:p>
          <w:p w:rsidR="00D8371C" w:rsidRPr="00CE2CA5" w:rsidRDefault="00D8371C" w:rsidP="00A601DF"/>
          <w:p w:rsidR="00D8371C" w:rsidRPr="00CE2CA5" w:rsidRDefault="00607060" w:rsidP="00A601DF">
            <w:r w:rsidRPr="00CE2CA5">
              <w:t xml:space="preserve">Le projet a été mis en œuvre </w:t>
            </w:r>
            <w:r w:rsidR="007E4035" w:rsidRPr="00CE2CA5">
              <w:t>en étroite coopération avec les institutions nationales chargées de mettre en place des programmes de formation continue à l</w:t>
            </w:r>
            <w:r w:rsidR="00BF1851">
              <w:t>’</w:t>
            </w:r>
            <w:r w:rsidR="007E4035" w:rsidRPr="00CE2CA5">
              <w:t xml:space="preserve">intention des juges des pays pilotes, </w:t>
            </w:r>
            <w:r w:rsidR="00BF1851">
              <w:t>à savoir :</w:t>
            </w:r>
          </w:p>
          <w:p w:rsidR="00D8371C" w:rsidRPr="00CE2CA5" w:rsidRDefault="00D8371C" w:rsidP="00A601DF"/>
          <w:p w:rsidR="00D8371C" w:rsidRPr="00CE2CA5" w:rsidRDefault="007E4035" w:rsidP="00A601DF">
            <w:pPr>
              <w:numPr>
                <w:ilvl w:val="0"/>
                <w:numId w:val="28"/>
              </w:numPr>
              <w:ind w:left="1134" w:hanging="567"/>
            </w:pPr>
            <w:r w:rsidRPr="00CE2CA5">
              <w:t>L</w:t>
            </w:r>
            <w:r w:rsidR="00F27B4E" w:rsidRPr="00CE2CA5">
              <w:t>e</w:t>
            </w:r>
            <w:r w:rsidRPr="00CE2CA5">
              <w:t xml:space="preserve"> </w:t>
            </w:r>
            <w:r w:rsidR="00F27B4E" w:rsidRPr="00CE2CA5">
              <w:t xml:space="preserve">pouvoir </w:t>
            </w:r>
            <w:r w:rsidRPr="00CE2CA5">
              <w:t>judiciaire du Costa</w:t>
            </w:r>
            <w:r w:rsidR="0009127F">
              <w:t> </w:t>
            </w:r>
            <w:r w:rsidRPr="00CE2CA5">
              <w:t>Rica avec l</w:t>
            </w:r>
            <w:r w:rsidR="00BF1851">
              <w:t>’</w:t>
            </w:r>
            <w:r w:rsidRPr="00CE2CA5">
              <w:t>École de la magistrature Edgar Cervantes Villalta</w:t>
            </w:r>
          </w:p>
          <w:p w:rsidR="00BF1851" w:rsidRDefault="008108AE" w:rsidP="00A601DF">
            <w:pPr>
              <w:numPr>
                <w:ilvl w:val="0"/>
                <w:numId w:val="28"/>
              </w:numPr>
              <w:ind w:left="1134" w:hanging="567"/>
            </w:pPr>
            <w:r w:rsidRPr="00CE2CA5">
              <w:t>Le Ministère de la Justice de la République du Liban</w:t>
            </w:r>
          </w:p>
          <w:p w:rsidR="00D8371C" w:rsidRPr="00CE2CA5" w:rsidRDefault="006C6C35" w:rsidP="00A601DF">
            <w:pPr>
              <w:numPr>
                <w:ilvl w:val="0"/>
                <w:numId w:val="28"/>
              </w:numPr>
              <w:ind w:left="1134" w:hanging="567"/>
            </w:pPr>
            <w:r w:rsidRPr="00CE2CA5">
              <w:rPr>
                <w:rFonts w:ascii="Arial Unicode MS" w:eastAsia="Times New Roman" w:hAnsi="Arial Unicode MS" w:cs="Arial Unicode MS"/>
                <w:szCs w:val="22"/>
                <w:lang w:eastAsia="fr-CH"/>
              </w:rPr>
              <w:t>L</w:t>
            </w:r>
            <w:r w:rsidR="00BF1851">
              <w:rPr>
                <w:rFonts w:ascii="Arial Unicode MS" w:eastAsia="Times New Roman" w:hAnsi="Arial Unicode MS" w:cs="Arial Unicode MS"/>
                <w:szCs w:val="22"/>
                <w:lang w:eastAsia="fr-CH"/>
              </w:rPr>
              <w:t>’</w:t>
            </w:r>
            <w:r w:rsidRPr="00CE2CA5">
              <w:rPr>
                <w:rFonts w:ascii="Arial Unicode MS" w:eastAsia="Times New Roman" w:hAnsi="Arial Unicode MS" w:cs="Arial Unicode MS"/>
                <w:szCs w:val="22"/>
                <w:lang w:eastAsia="fr-CH"/>
              </w:rPr>
              <w:t xml:space="preserve">École nationale de la magistrature du </w:t>
            </w:r>
            <w:r w:rsidR="008108AE" w:rsidRPr="00CE2CA5">
              <w:t>Népal</w:t>
            </w:r>
          </w:p>
          <w:p w:rsidR="00BF1851" w:rsidRDefault="00EC17B8" w:rsidP="00A601DF">
            <w:pPr>
              <w:numPr>
                <w:ilvl w:val="0"/>
                <w:numId w:val="28"/>
              </w:numPr>
              <w:ind w:left="1134" w:hanging="567"/>
            </w:pPr>
            <w:r w:rsidRPr="00CE2CA5">
              <w:t>L</w:t>
            </w:r>
            <w:r w:rsidR="00BF1851">
              <w:t>’</w:t>
            </w:r>
            <w:r w:rsidR="00F27B4E" w:rsidRPr="00CE2CA5">
              <w:t>Institut judiciaire national de la République fédérale du Nigéria avec la collaboration avec la Commission nigériane du droit d</w:t>
            </w:r>
            <w:r w:rsidR="00BF1851">
              <w:t>’</w:t>
            </w:r>
            <w:r w:rsidR="00F27B4E" w:rsidRPr="00CE2CA5">
              <w:t>auteur</w:t>
            </w:r>
          </w:p>
          <w:p w:rsidR="00D8371C" w:rsidRPr="00CE2CA5" w:rsidRDefault="00D8371C" w:rsidP="00A601DF">
            <w:pPr>
              <w:tabs>
                <w:tab w:val="left" w:pos="4530"/>
              </w:tabs>
            </w:pPr>
          </w:p>
          <w:p w:rsidR="00D8371C" w:rsidRPr="00CE2CA5" w:rsidRDefault="0021341E" w:rsidP="00A601DF">
            <w:pPr>
              <w:numPr>
                <w:ilvl w:val="0"/>
                <w:numId w:val="7"/>
              </w:numPr>
              <w:ind w:left="1134" w:hanging="567"/>
            </w:pPr>
            <w:r w:rsidRPr="00CE2CA5">
              <w:t>Consultants nationaux du projet</w:t>
            </w:r>
          </w:p>
          <w:p w:rsidR="00D8371C" w:rsidRPr="00CE2CA5" w:rsidRDefault="00D8371C" w:rsidP="00A601DF"/>
          <w:p w:rsidR="00D8371C" w:rsidRPr="00A601DF" w:rsidRDefault="00B950EF" w:rsidP="00A601DF">
            <w:r w:rsidRPr="00A601DF">
              <w:t xml:space="preserve">Chaque pays pilote a nommé un consultant national de projet pour faciliter la mise en </w:t>
            </w:r>
            <w:r w:rsidR="00AB3EC6" w:rsidRPr="00A601DF">
              <w:t>œ</w:t>
            </w:r>
            <w:r w:rsidRPr="00A601DF">
              <w:t xml:space="preserve">uvre </w:t>
            </w:r>
            <w:r w:rsidR="00763365" w:rsidRPr="00A601DF">
              <w:t>technique</w:t>
            </w:r>
            <w:r w:rsidRPr="00A601DF">
              <w:t xml:space="preserve"> du projet au niveau nation</w:t>
            </w:r>
            <w:r w:rsidR="00DF50B4" w:rsidRPr="00A601DF">
              <w:t>al</w:t>
            </w:r>
            <w:r w:rsidR="00DF50B4">
              <w:t xml:space="preserve">.  </w:t>
            </w:r>
            <w:r w:rsidR="00DF50B4" w:rsidRPr="00A601DF">
              <w:t>Le</w:t>
            </w:r>
            <w:r w:rsidR="005213F5" w:rsidRPr="00A601DF">
              <w:t xml:space="preserve">s consultants ont joué un rôle essentiel en veillant à ce que le </w:t>
            </w:r>
            <w:r w:rsidR="005213F5" w:rsidRPr="00A601DF">
              <w:lastRenderedPageBreak/>
              <w:t>programme de formation continue soit adapté aux juges concernés</w:t>
            </w:r>
            <w:r w:rsidR="001205AC" w:rsidRPr="00A601DF">
              <w:t xml:space="preserve"> et à</w:t>
            </w:r>
            <w:r w:rsidR="005213F5" w:rsidRPr="00A601DF">
              <w:t xml:space="preserve"> leurs besoins précis</w:t>
            </w:r>
            <w:r w:rsidR="00763365" w:rsidRPr="00A601DF">
              <w:t>,</w:t>
            </w:r>
            <w:r w:rsidR="005213F5" w:rsidRPr="00A601DF">
              <w:t xml:space="preserve"> et conforme aux priorités national</w:t>
            </w:r>
            <w:r w:rsidR="00DF50B4" w:rsidRPr="00A601DF">
              <w:t>es</w:t>
            </w:r>
            <w:r w:rsidR="00DF50B4">
              <w:t xml:space="preserve">.  </w:t>
            </w:r>
            <w:r w:rsidR="00DF50B4" w:rsidRPr="00A601DF">
              <w:t>Il</w:t>
            </w:r>
            <w:r w:rsidR="008D6512" w:rsidRPr="00A601DF">
              <w:t>s ont participé à toutes les phases du projet</w:t>
            </w:r>
            <w:r w:rsidR="00BF1851">
              <w:t> :</w:t>
            </w:r>
            <w:r w:rsidR="008D6512" w:rsidRPr="00A601DF">
              <w:t xml:space="preserve"> évaluation des besoins, conception des programmes de formation, élaboration et adaptation du contenu de la formation, participation aux sessions de formation continue et évaluation</w:t>
            </w:r>
            <w:r w:rsidR="001205AC" w:rsidRPr="00A601DF">
              <w:t>s</w:t>
            </w:r>
            <w:r w:rsidR="008D6512" w:rsidRPr="00A601DF">
              <w:t xml:space="preserve"> de la mise en </w:t>
            </w:r>
            <w:r w:rsidR="00AB3EC6" w:rsidRPr="00A601DF">
              <w:t>œ</w:t>
            </w:r>
            <w:r w:rsidR="008D6512" w:rsidRPr="00A601DF">
              <w:t>uvre et de l</w:t>
            </w:r>
            <w:r w:rsidR="00BF1851">
              <w:t>’</w:t>
            </w:r>
            <w:r w:rsidR="008D6512" w:rsidRPr="00A601DF">
              <w:t>avancement du projet.</w:t>
            </w:r>
          </w:p>
          <w:p w:rsidR="00D8371C" w:rsidRPr="00CE2CA5" w:rsidRDefault="00D8371C" w:rsidP="00A601DF"/>
          <w:p w:rsidR="00D8371C" w:rsidRPr="00CE2CA5" w:rsidRDefault="008D6512" w:rsidP="00A601DF">
            <w:pPr>
              <w:numPr>
                <w:ilvl w:val="0"/>
                <w:numId w:val="7"/>
              </w:numPr>
              <w:ind w:left="1134" w:hanging="567"/>
            </w:pPr>
            <w:r w:rsidRPr="00CE2CA5">
              <w:t>Coordonnateurs nationaux</w:t>
            </w:r>
          </w:p>
          <w:p w:rsidR="00D8371C" w:rsidRPr="00CE2CA5" w:rsidRDefault="00D8371C" w:rsidP="00A601DF"/>
          <w:p w:rsidR="00D8371C" w:rsidRPr="00CE2CA5" w:rsidRDefault="00F53554" w:rsidP="00A601DF">
            <w:r w:rsidRPr="00CE2CA5">
              <w:t xml:space="preserve">Les juges et les hauts fonctionnaires désignés par les autorités nationales ont joué le rôle de coordonnateurs nationaux pour veiller à ce que toutes les activités prévues soient bien coordonnées et mises en </w:t>
            </w:r>
            <w:r w:rsidR="00AB3EC6" w:rsidRPr="00CE2CA5">
              <w:t>œ</w:t>
            </w:r>
            <w:r w:rsidRPr="00CE2CA5">
              <w:t>uvre.</w:t>
            </w:r>
          </w:p>
          <w:p w:rsidR="00D8371C" w:rsidRPr="00CE2CA5" w:rsidRDefault="00D8371C" w:rsidP="00A601DF"/>
          <w:p w:rsidR="00D8371C" w:rsidRPr="00CE2CA5" w:rsidRDefault="001205AC" w:rsidP="00A601DF">
            <w:pPr>
              <w:numPr>
                <w:ilvl w:val="0"/>
                <w:numId w:val="7"/>
              </w:numPr>
              <w:ind w:left="1134" w:hanging="567"/>
            </w:pPr>
            <w:r>
              <w:t>Consultant i</w:t>
            </w:r>
            <w:r w:rsidR="00F53554" w:rsidRPr="00CE2CA5">
              <w:t>nternational de projet</w:t>
            </w:r>
          </w:p>
          <w:p w:rsidR="00D8371C" w:rsidRPr="00CE2CA5" w:rsidRDefault="00D8371C" w:rsidP="00A601DF"/>
          <w:p w:rsidR="00D8371C" w:rsidRPr="00CE2CA5" w:rsidRDefault="00B017E7" w:rsidP="00A601DF">
            <w:r w:rsidRPr="00CE2CA5">
              <w:t xml:space="preserve">Un professeur </w:t>
            </w:r>
            <w:r w:rsidR="001205AC">
              <w:t xml:space="preserve">de droit </w:t>
            </w:r>
            <w:r w:rsidRPr="00CE2CA5">
              <w:t xml:space="preserve">de la propriété intellectuelle </w:t>
            </w:r>
            <w:r w:rsidR="001205AC" w:rsidRPr="00CE2CA5">
              <w:t xml:space="preserve">expérimenté et juge égyptien </w:t>
            </w:r>
            <w:r w:rsidRPr="00CE2CA5">
              <w:t>a été invité à élaborer, en étroite collaboration avec le groupe de juges mentionné ci</w:t>
            </w:r>
            <w:r w:rsidR="005B01A6">
              <w:noBreakHyphen/>
            </w:r>
            <w:r w:rsidRPr="00CE2CA5">
              <w:t>dessous, le contenu des modules d</w:t>
            </w:r>
            <w:r w:rsidR="00BF1851">
              <w:t>’</w:t>
            </w:r>
            <w:r w:rsidRPr="00CE2CA5">
              <w:t>enseignement à distance sur la propriété intellectuelle.</w:t>
            </w:r>
          </w:p>
          <w:p w:rsidR="00D8371C" w:rsidRPr="00CE2CA5" w:rsidRDefault="00D8371C" w:rsidP="00A601DF"/>
          <w:p w:rsidR="00D8371C" w:rsidRPr="00CE2CA5" w:rsidRDefault="00B017E7" w:rsidP="00A601DF">
            <w:pPr>
              <w:numPr>
                <w:ilvl w:val="0"/>
                <w:numId w:val="7"/>
              </w:numPr>
              <w:ind w:left="1134" w:hanging="567"/>
            </w:pPr>
            <w:r w:rsidRPr="00CE2CA5">
              <w:t>Groupe de juges</w:t>
            </w:r>
          </w:p>
          <w:p w:rsidR="00D8371C" w:rsidRPr="00CE2CA5" w:rsidRDefault="00D8371C" w:rsidP="00A601DF"/>
          <w:p w:rsidR="00D8371C" w:rsidRPr="00CE2CA5" w:rsidRDefault="00B017E7" w:rsidP="00A601DF">
            <w:r w:rsidRPr="00CE2CA5">
              <w:t xml:space="preserve">En vue de la conception et de la mise en </w:t>
            </w:r>
            <w:r w:rsidR="00AB3EC6" w:rsidRPr="00CE2CA5">
              <w:t>œ</w:t>
            </w:r>
            <w:r w:rsidRPr="00CE2CA5">
              <w:t>uvre du projet, l</w:t>
            </w:r>
            <w:r w:rsidR="00BF1851">
              <w:t>’</w:t>
            </w:r>
            <w:r w:rsidRPr="00CE2CA5">
              <w:t>Académie de l</w:t>
            </w:r>
            <w:r w:rsidR="00BF1851">
              <w:t>’</w:t>
            </w:r>
            <w:r w:rsidRPr="00CE2CA5">
              <w:t>OMPI a réuni un groupe de juges renommés pour recueillir leurs avis et leurs idées sur la manière la plus efficace d</w:t>
            </w:r>
            <w:r w:rsidR="00BF1851">
              <w:t>’</w:t>
            </w:r>
            <w:r w:rsidRPr="00CE2CA5">
              <w:t>atteindre les objectifs du proj</w:t>
            </w:r>
            <w:r w:rsidR="00DF50B4" w:rsidRPr="00CE2CA5">
              <w:t>et</w:t>
            </w:r>
            <w:r w:rsidR="00DF50B4">
              <w:t>.  C</w:t>
            </w:r>
            <w:r w:rsidR="00DF50B4" w:rsidRPr="00CE2CA5">
              <w:t>e</w:t>
            </w:r>
            <w:r w:rsidR="009A32E8" w:rsidRPr="00CE2CA5">
              <w:t xml:space="preserve"> groupe était composé de juges </w:t>
            </w:r>
            <w:r w:rsidR="001205AC" w:rsidRPr="00CE2CA5">
              <w:t>d</w:t>
            </w:r>
            <w:r w:rsidR="00BF1851">
              <w:t>’</w:t>
            </w:r>
            <w:r w:rsidR="001205AC" w:rsidRPr="00CE2CA5">
              <w:t>Afrique du Sud</w:t>
            </w:r>
            <w:r w:rsidR="001205AC">
              <w:t>,</w:t>
            </w:r>
            <w:r w:rsidR="001205AC" w:rsidRPr="00CE2CA5">
              <w:t xml:space="preserve"> </w:t>
            </w:r>
            <w:r w:rsidR="009A32E8" w:rsidRPr="00CE2CA5">
              <w:t>d</w:t>
            </w:r>
            <w:r w:rsidR="00BF1851">
              <w:t>’</w:t>
            </w:r>
            <w:r w:rsidR="009A32E8" w:rsidRPr="00CE2CA5">
              <w:t>Australie, de Belgique, de Chine, d</w:t>
            </w:r>
            <w:r w:rsidR="00BF1851">
              <w:t>’</w:t>
            </w:r>
            <w:r w:rsidR="009A32E8" w:rsidRPr="00CE2CA5">
              <w:t>Égyp</w:t>
            </w:r>
            <w:r w:rsidR="001205AC">
              <w:t>te, du Pérou et des Philippin</w:t>
            </w:r>
            <w:r w:rsidR="00DF50B4">
              <w:t xml:space="preserve">es.  </w:t>
            </w:r>
            <w:r w:rsidR="00DF50B4" w:rsidRPr="00CE2CA5">
              <w:t xml:space="preserve">À </w:t>
            </w:r>
            <w:r w:rsidR="00490F96" w:rsidRPr="00CE2CA5">
              <w:t>la suite d</w:t>
            </w:r>
            <w:r w:rsidR="00BF1851">
              <w:t>’</w:t>
            </w:r>
            <w:r w:rsidR="00490F96" w:rsidRPr="00CE2CA5">
              <w:t>une réunion tenue à Genève du 17 au 19</w:t>
            </w:r>
            <w:r w:rsidR="00AB3EC6" w:rsidRPr="00CE2CA5">
              <w:t> </w:t>
            </w:r>
            <w:r w:rsidR="00490F96" w:rsidRPr="00CE2CA5">
              <w:t>juillet</w:t>
            </w:r>
            <w:r w:rsidR="00AB3EC6" w:rsidRPr="00CE2CA5">
              <w:t> </w:t>
            </w:r>
            <w:r w:rsidR="00490F96" w:rsidRPr="00CE2CA5">
              <w:t>2017, les juges ont formulé des recommandations concrètes sur les méthodes à mettre au point pour les programmes de formation continue proposés dans le cadre du proj</w:t>
            </w:r>
            <w:r w:rsidR="00DF50B4" w:rsidRPr="00CE2CA5">
              <w:t>et</w:t>
            </w:r>
            <w:r w:rsidR="00DF50B4">
              <w:t xml:space="preserve">.  </w:t>
            </w:r>
            <w:r w:rsidR="00DF50B4" w:rsidRPr="00CE2CA5">
              <w:t>Il</w:t>
            </w:r>
            <w:r w:rsidR="00490F96" w:rsidRPr="00CE2CA5">
              <w:t>s ont également participé activement à l</w:t>
            </w:r>
            <w:r w:rsidR="00BF1851">
              <w:t>’</w:t>
            </w:r>
            <w:r w:rsidR="00490F96" w:rsidRPr="00CE2CA5">
              <w:t>élaboration du cours d</w:t>
            </w:r>
            <w:r w:rsidR="00BF1851">
              <w:t>’</w:t>
            </w:r>
            <w:r w:rsidR="00490F96" w:rsidRPr="00CE2CA5">
              <w:t xml:space="preserve">enseignement à distance </w:t>
            </w:r>
            <w:r w:rsidR="001205AC">
              <w:t xml:space="preserve">sur le plan </w:t>
            </w:r>
            <w:r w:rsidR="001205AC" w:rsidRPr="00CE2CA5">
              <w:t>de la forme et du contenu</w:t>
            </w:r>
            <w:r w:rsidR="00490F96" w:rsidRPr="00CE2CA5">
              <w:t>.</w:t>
            </w:r>
          </w:p>
          <w:p w:rsidR="00D8371C" w:rsidRPr="00CE2CA5" w:rsidRDefault="00D8371C" w:rsidP="00A601DF"/>
          <w:p w:rsidR="00D8371C" w:rsidRPr="00CE2CA5" w:rsidRDefault="00490F96" w:rsidP="00A601DF">
            <w:pPr>
              <w:numPr>
                <w:ilvl w:val="0"/>
                <w:numId w:val="7"/>
              </w:numPr>
              <w:ind w:left="1134" w:hanging="567"/>
            </w:pPr>
            <w:r w:rsidRPr="00CE2CA5">
              <w:t>Instructeurs</w:t>
            </w:r>
          </w:p>
          <w:p w:rsidR="00D8371C" w:rsidRPr="00CE2CA5" w:rsidRDefault="00D8371C" w:rsidP="00A601DF"/>
          <w:p w:rsidR="00D8371C" w:rsidRPr="00CE2CA5" w:rsidRDefault="00D52DDD" w:rsidP="00A601DF">
            <w:r w:rsidRPr="00CE2CA5">
              <w:t>Environ 35</w:t>
            </w:r>
            <w:r w:rsidR="00AB3EC6" w:rsidRPr="00CE2CA5">
              <w:t> </w:t>
            </w:r>
            <w:r w:rsidRPr="00CE2CA5">
              <w:t xml:space="preserve">formateurs et instructeurs </w:t>
            </w:r>
            <w:r w:rsidR="001205AC" w:rsidRPr="00CE2CA5">
              <w:t xml:space="preserve">nationaux et internationaux </w:t>
            </w:r>
            <w:r w:rsidRPr="00CE2CA5">
              <w:t>(juges et professeurs) ont participé activement aux différentes activités de formation contin</w:t>
            </w:r>
            <w:r w:rsidR="00DF50B4" w:rsidRPr="00CE2CA5">
              <w:t>ue</w:t>
            </w:r>
            <w:r w:rsidR="00DF50B4">
              <w:t>.  La</w:t>
            </w:r>
            <w:r w:rsidR="001205AC">
              <w:t xml:space="preserve"> priorité a été </w:t>
            </w:r>
            <w:r w:rsidR="00763365">
              <w:t>donnée</w:t>
            </w:r>
            <w:r w:rsidR="001205AC">
              <w:t xml:space="preserve"> aux</w:t>
            </w:r>
            <w:r w:rsidR="00F179CB" w:rsidRPr="00CE2CA5">
              <w:t xml:space="preserve"> instructeurs locaux afin d</w:t>
            </w:r>
            <w:r w:rsidR="00BF1851">
              <w:t>’</w:t>
            </w:r>
            <w:r w:rsidR="00F179CB" w:rsidRPr="00CE2CA5">
              <w:t>utiliser les connaissances et les compétences nationales pour mettre l</w:t>
            </w:r>
            <w:r w:rsidR="00BF1851">
              <w:t>’</w:t>
            </w:r>
            <w:r w:rsidR="00F179CB" w:rsidRPr="00CE2CA5">
              <w:t>accent sur les situations propres à chaque pays pilote.</w:t>
            </w:r>
          </w:p>
          <w:p w:rsidR="00D8371C" w:rsidRPr="00CE2CA5" w:rsidRDefault="00D8371C" w:rsidP="00A601DF"/>
          <w:p w:rsidR="00D8371C" w:rsidRPr="00CE2CA5" w:rsidRDefault="00F179CB" w:rsidP="00A601DF">
            <w:pPr>
              <w:numPr>
                <w:ilvl w:val="0"/>
                <w:numId w:val="14"/>
              </w:numPr>
              <w:ind w:left="1134" w:hanging="567"/>
            </w:pPr>
            <w:r w:rsidRPr="00CE2CA5">
              <w:t>LANCEMENT DU PROJET</w:t>
            </w:r>
          </w:p>
          <w:p w:rsidR="00D8371C" w:rsidRPr="00CE2CA5" w:rsidRDefault="00D8371C" w:rsidP="00A601DF">
            <w:pPr>
              <w:ind w:left="1134" w:hanging="567"/>
            </w:pPr>
          </w:p>
          <w:p w:rsidR="00D8371C" w:rsidRPr="00CE2CA5" w:rsidRDefault="00EE15E7" w:rsidP="00A601DF">
            <w:pPr>
              <w:numPr>
                <w:ilvl w:val="0"/>
                <w:numId w:val="11"/>
              </w:numPr>
              <w:ind w:left="1134" w:hanging="567"/>
            </w:pPr>
            <w:r w:rsidRPr="00CE2CA5">
              <w:t>Séances d</w:t>
            </w:r>
            <w:r w:rsidR="00BF1851">
              <w:t>’</w:t>
            </w:r>
            <w:r w:rsidRPr="00CE2CA5">
              <w:t>information et prises de contact préliminaires</w:t>
            </w:r>
          </w:p>
          <w:p w:rsidR="00D8371C" w:rsidRPr="00CE2CA5" w:rsidRDefault="00D8371C" w:rsidP="00A601DF"/>
          <w:p w:rsidR="00D8371C" w:rsidRPr="00CE2CA5" w:rsidRDefault="006A7B33" w:rsidP="00A601DF">
            <w:r w:rsidRPr="00CE2CA5">
              <w:t>Lors de la phase initiale, le Secrétariat a tenu des réunions</w:t>
            </w:r>
            <w:r w:rsidR="00763365" w:rsidRPr="00CE2CA5">
              <w:t xml:space="preserve"> bilatérales</w:t>
            </w:r>
            <w:r w:rsidR="00763365">
              <w:t xml:space="preserve"> et</w:t>
            </w:r>
            <w:r w:rsidRPr="00CE2CA5">
              <w:t xml:space="preserve"> de groupe avec des représentants des missions permanentes à Genève des pays pilotes</w:t>
            </w:r>
            <w:r w:rsidR="00763365">
              <w:t xml:space="preserve">; </w:t>
            </w:r>
            <w:r w:rsidR="0046127A">
              <w:t xml:space="preserve"> i</w:t>
            </w:r>
            <w:r w:rsidR="001205AC">
              <w:t xml:space="preserve">l </w:t>
            </w:r>
            <w:r w:rsidRPr="00CE2CA5">
              <w:t xml:space="preserve">les a informés de la portée et des objectifs du projet et a examiné avec eux la </w:t>
            </w:r>
            <w:r w:rsidRPr="00CE2CA5">
              <w:lastRenderedPageBreak/>
              <w:t xml:space="preserve">contribution attendue de chaque pays pilote et les étapes de mise en </w:t>
            </w:r>
            <w:r w:rsidR="00AB3EC6" w:rsidRPr="00CE2CA5">
              <w:t>œ</w:t>
            </w:r>
            <w:r w:rsidRPr="00CE2CA5">
              <w:t>uvre proposées.</w:t>
            </w:r>
          </w:p>
          <w:p w:rsidR="00D8371C" w:rsidRPr="00CE2CA5" w:rsidRDefault="00D8371C" w:rsidP="00A601DF"/>
          <w:p w:rsidR="00D8371C" w:rsidRPr="00CE2CA5" w:rsidRDefault="002C1206" w:rsidP="00A601DF">
            <w:pPr>
              <w:pStyle w:val="Default"/>
              <w:rPr>
                <w:color w:val="auto"/>
                <w:sz w:val="22"/>
                <w:szCs w:val="22"/>
                <w:lang w:val="fr-CH"/>
              </w:rPr>
            </w:pPr>
            <w:r w:rsidRPr="00CE2CA5">
              <w:rPr>
                <w:color w:val="auto"/>
                <w:sz w:val="22"/>
                <w:szCs w:val="22"/>
                <w:lang w:val="fr-CH"/>
              </w:rPr>
              <w:t>Le Secrétariat a également établi</w:t>
            </w:r>
            <w:r w:rsidR="001205AC">
              <w:rPr>
                <w:color w:val="auto"/>
                <w:sz w:val="22"/>
                <w:szCs w:val="22"/>
                <w:lang w:val="fr-CH"/>
              </w:rPr>
              <w:t>,</w:t>
            </w:r>
            <w:r w:rsidRPr="00CE2CA5">
              <w:rPr>
                <w:color w:val="auto"/>
                <w:sz w:val="22"/>
                <w:szCs w:val="22"/>
                <w:lang w:val="fr-CH"/>
              </w:rPr>
              <w:t xml:space="preserve"> avec l</w:t>
            </w:r>
            <w:r w:rsidR="00BF1851">
              <w:rPr>
                <w:color w:val="auto"/>
                <w:sz w:val="22"/>
                <w:szCs w:val="22"/>
                <w:lang w:val="fr-CH"/>
              </w:rPr>
              <w:t>’</w:t>
            </w:r>
            <w:r w:rsidRPr="00CE2CA5">
              <w:rPr>
                <w:color w:val="auto"/>
                <w:sz w:val="22"/>
                <w:szCs w:val="22"/>
                <w:lang w:val="fr-CH"/>
              </w:rPr>
              <w:t>accord des missions permanentes à Genève</w:t>
            </w:r>
            <w:r w:rsidR="001205AC">
              <w:rPr>
                <w:color w:val="auto"/>
                <w:sz w:val="22"/>
                <w:szCs w:val="22"/>
                <w:lang w:val="fr-CH"/>
              </w:rPr>
              <w:t>,</w:t>
            </w:r>
            <w:r w:rsidRPr="00CE2CA5">
              <w:rPr>
                <w:color w:val="auto"/>
                <w:sz w:val="22"/>
                <w:szCs w:val="22"/>
                <w:lang w:val="fr-CH"/>
              </w:rPr>
              <w:t xml:space="preserve"> des voies de communication directes avec les instituts de formation judiciaire par l</w:t>
            </w:r>
            <w:r w:rsidR="00BF1851">
              <w:rPr>
                <w:color w:val="auto"/>
                <w:sz w:val="22"/>
                <w:szCs w:val="22"/>
                <w:lang w:val="fr-CH"/>
              </w:rPr>
              <w:t>’</w:t>
            </w:r>
            <w:r w:rsidRPr="00CE2CA5">
              <w:rPr>
                <w:color w:val="auto"/>
                <w:sz w:val="22"/>
                <w:szCs w:val="22"/>
                <w:lang w:val="fr-CH"/>
              </w:rPr>
              <w:t>intermédiaire des consultants nationaux du projet et des coordonnateurs nationaux.</w:t>
            </w:r>
          </w:p>
          <w:p w:rsidR="00D8371C" w:rsidRPr="00CE2CA5" w:rsidRDefault="00D8371C" w:rsidP="00A601DF">
            <w:pPr>
              <w:pStyle w:val="Default"/>
              <w:rPr>
                <w:color w:val="auto"/>
                <w:sz w:val="22"/>
                <w:szCs w:val="22"/>
                <w:lang w:val="fr-CH"/>
              </w:rPr>
            </w:pPr>
          </w:p>
          <w:p w:rsidR="00D8371C" w:rsidRPr="00CE2CA5" w:rsidRDefault="002C1206" w:rsidP="00A601DF">
            <w:pPr>
              <w:pStyle w:val="Default"/>
              <w:numPr>
                <w:ilvl w:val="0"/>
                <w:numId w:val="11"/>
              </w:numPr>
              <w:ind w:left="1134" w:hanging="567"/>
              <w:rPr>
                <w:color w:val="auto"/>
                <w:sz w:val="22"/>
                <w:szCs w:val="22"/>
                <w:lang w:val="fr-CH"/>
              </w:rPr>
            </w:pPr>
            <w:r w:rsidRPr="00CE2CA5">
              <w:rPr>
                <w:color w:val="auto"/>
                <w:sz w:val="22"/>
                <w:szCs w:val="22"/>
                <w:lang w:val="fr-CH"/>
              </w:rPr>
              <w:t>Évaluation des besoins</w:t>
            </w:r>
          </w:p>
          <w:p w:rsidR="00D8371C" w:rsidRPr="00CE2CA5" w:rsidRDefault="00D8371C" w:rsidP="00A601DF">
            <w:pPr>
              <w:pStyle w:val="Default"/>
              <w:rPr>
                <w:color w:val="auto"/>
                <w:sz w:val="22"/>
                <w:szCs w:val="22"/>
                <w:lang w:val="fr-CH"/>
              </w:rPr>
            </w:pPr>
          </w:p>
          <w:p w:rsidR="00D8371C" w:rsidRPr="00CE2CA5" w:rsidRDefault="002C1206" w:rsidP="00A601DF">
            <w:pPr>
              <w:pStyle w:val="Default"/>
              <w:rPr>
                <w:color w:val="auto"/>
                <w:sz w:val="22"/>
                <w:szCs w:val="22"/>
                <w:lang w:val="fr-CH"/>
              </w:rPr>
            </w:pPr>
            <w:r w:rsidRPr="00CE2CA5">
              <w:rPr>
                <w:color w:val="auto"/>
                <w:sz w:val="22"/>
                <w:szCs w:val="22"/>
                <w:lang w:val="fr-CH"/>
              </w:rPr>
              <w:t>Comme prévu dans le descriptif de projet, les besoins de chaque pays pilote ont été évalués de manière indépendante au moyen de questionnaires et de missio</w:t>
            </w:r>
            <w:r w:rsidR="00DF50B4" w:rsidRPr="00CE2CA5">
              <w:rPr>
                <w:color w:val="auto"/>
                <w:sz w:val="22"/>
                <w:szCs w:val="22"/>
                <w:lang w:val="fr-CH"/>
              </w:rPr>
              <w:t>ns</w:t>
            </w:r>
            <w:r w:rsidR="00DF50B4">
              <w:rPr>
                <w:color w:val="auto"/>
                <w:sz w:val="22"/>
                <w:szCs w:val="22"/>
                <w:lang w:val="fr-CH"/>
              </w:rPr>
              <w:t xml:space="preserve">.  </w:t>
            </w:r>
            <w:r w:rsidR="00DF50B4" w:rsidRPr="00CE2CA5">
              <w:rPr>
                <w:color w:val="auto"/>
                <w:sz w:val="22"/>
                <w:szCs w:val="22"/>
                <w:lang w:val="fr-CH"/>
              </w:rPr>
              <w:t>Le</w:t>
            </w:r>
            <w:r w:rsidR="00B44B3B" w:rsidRPr="00CE2CA5">
              <w:rPr>
                <w:color w:val="auto"/>
                <w:sz w:val="22"/>
                <w:szCs w:val="22"/>
                <w:lang w:val="fr-CH"/>
              </w:rPr>
              <w:t>s mesures combinées ont non seulement permis de définir les priorités,</w:t>
            </w:r>
            <w:r w:rsidR="00763365">
              <w:rPr>
                <w:color w:val="auto"/>
                <w:sz w:val="22"/>
                <w:szCs w:val="22"/>
                <w:lang w:val="fr-CH"/>
              </w:rPr>
              <w:t xml:space="preserve"> les</w:t>
            </w:r>
            <w:r w:rsidR="00B44B3B" w:rsidRPr="00CE2CA5">
              <w:rPr>
                <w:color w:val="auto"/>
                <w:sz w:val="22"/>
                <w:szCs w:val="22"/>
                <w:lang w:val="fr-CH"/>
              </w:rPr>
              <w:t xml:space="preserve"> exigences et </w:t>
            </w:r>
            <w:r w:rsidR="00763365">
              <w:rPr>
                <w:color w:val="auto"/>
                <w:sz w:val="22"/>
                <w:szCs w:val="22"/>
                <w:lang w:val="fr-CH"/>
              </w:rPr>
              <w:t xml:space="preserve">les </w:t>
            </w:r>
            <w:r w:rsidR="00B44B3B" w:rsidRPr="00CE2CA5">
              <w:rPr>
                <w:color w:val="auto"/>
                <w:sz w:val="22"/>
                <w:szCs w:val="22"/>
                <w:lang w:val="fr-CH"/>
              </w:rPr>
              <w:t xml:space="preserve">besoins nationaux, mais </w:t>
            </w:r>
            <w:r w:rsidR="00763365">
              <w:rPr>
                <w:color w:val="auto"/>
                <w:sz w:val="22"/>
                <w:szCs w:val="22"/>
                <w:lang w:val="fr-CH"/>
              </w:rPr>
              <w:t>également</w:t>
            </w:r>
            <w:r w:rsidR="00B44B3B" w:rsidRPr="00CE2CA5">
              <w:rPr>
                <w:color w:val="auto"/>
                <w:sz w:val="22"/>
                <w:szCs w:val="22"/>
                <w:lang w:val="fr-CH"/>
              </w:rPr>
              <w:t xml:space="preserve"> de faire mieux comprendre les éléments du projet aux autorités nationales compétentes et de convenir des objectifs à atteindre conjointement et des modalités de mise en </w:t>
            </w:r>
            <w:r w:rsidR="00AB3EC6" w:rsidRPr="00CE2CA5">
              <w:rPr>
                <w:color w:val="auto"/>
                <w:sz w:val="22"/>
                <w:szCs w:val="22"/>
                <w:lang w:val="fr-CH"/>
              </w:rPr>
              <w:t>œ</w:t>
            </w:r>
            <w:r w:rsidR="00B44B3B" w:rsidRPr="00CE2CA5">
              <w:rPr>
                <w:color w:val="auto"/>
                <w:sz w:val="22"/>
                <w:szCs w:val="22"/>
                <w:lang w:val="fr-CH"/>
              </w:rPr>
              <w:t>uvre.</w:t>
            </w:r>
          </w:p>
          <w:p w:rsidR="00D8371C" w:rsidRPr="00CE2CA5" w:rsidRDefault="00D8371C" w:rsidP="00A601DF">
            <w:pPr>
              <w:pStyle w:val="Default"/>
              <w:rPr>
                <w:color w:val="auto"/>
                <w:sz w:val="22"/>
                <w:szCs w:val="22"/>
                <w:lang w:val="fr-CH"/>
              </w:rPr>
            </w:pPr>
          </w:p>
          <w:p w:rsidR="00D8371C" w:rsidRPr="00CE2CA5" w:rsidRDefault="00B44B3B" w:rsidP="00A601DF">
            <w:pPr>
              <w:pStyle w:val="Default"/>
              <w:numPr>
                <w:ilvl w:val="0"/>
                <w:numId w:val="11"/>
              </w:numPr>
              <w:ind w:left="1134" w:hanging="567"/>
              <w:rPr>
                <w:color w:val="auto"/>
                <w:sz w:val="22"/>
                <w:szCs w:val="22"/>
                <w:lang w:val="fr-CH"/>
              </w:rPr>
            </w:pPr>
            <w:r w:rsidRPr="00CE2CA5">
              <w:rPr>
                <w:color w:val="auto"/>
                <w:sz w:val="22"/>
                <w:szCs w:val="22"/>
                <w:lang w:val="fr-CH"/>
              </w:rPr>
              <w:t>Engagements formels</w:t>
            </w:r>
          </w:p>
          <w:p w:rsidR="00D8371C" w:rsidRPr="00CE2CA5" w:rsidRDefault="00D8371C" w:rsidP="00A601DF">
            <w:pPr>
              <w:pStyle w:val="Default"/>
              <w:rPr>
                <w:color w:val="auto"/>
                <w:sz w:val="22"/>
                <w:szCs w:val="22"/>
                <w:lang w:val="fr-CH"/>
              </w:rPr>
            </w:pPr>
          </w:p>
          <w:p w:rsidR="00D8371C" w:rsidRPr="00CE2CA5" w:rsidRDefault="00FD4324" w:rsidP="00A601DF">
            <w:pPr>
              <w:pStyle w:val="Default"/>
              <w:rPr>
                <w:color w:val="auto"/>
                <w:sz w:val="22"/>
                <w:szCs w:val="22"/>
                <w:lang w:val="fr-CH"/>
              </w:rPr>
            </w:pPr>
            <w:r w:rsidRPr="00CE2CA5">
              <w:rPr>
                <w:color w:val="auto"/>
                <w:sz w:val="22"/>
                <w:szCs w:val="22"/>
                <w:lang w:val="fr-CH"/>
              </w:rPr>
              <w:t xml:space="preserve">Pour une coopération dans des cadres structurés et bien planifiés, les accords de coopération, les descriptifs de projet, les calendriers de mise en </w:t>
            </w:r>
            <w:r w:rsidR="00AB3EC6" w:rsidRPr="00CE2CA5">
              <w:rPr>
                <w:color w:val="auto"/>
                <w:sz w:val="22"/>
                <w:szCs w:val="22"/>
                <w:lang w:val="fr-CH"/>
              </w:rPr>
              <w:t>œ</w:t>
            </w:r>
            <w:r w:rsidRPr="00CE2CA5">
              <w:rPr>
                <w:color w:val="auto"/>
                <w:sz w:val="22"/>
                <w:szCs w:val="22"/>
                <w:lang w:val="fr-CH"/>
              </w:rPr>
              <w:t xml:space="preserve">uvre et le </w:t>
            </w:r>
            <w:r w:rsidR="001205AC">
              <w:rPr>
                <w:color w:val="auto"/>
                <w:sz w:val="22"/>
                <w:szCs w:val="22"/>
                <w:lang w:val="fr-CH"/>
              </w:rPr>
              <w:t>mandat</w:t>
            </w:r>
            <w:r w:rsidRPr="00CE2CA5">
              <w:rPr>
                <w:color w:val="auto"/>
                <w:sz w:val="22"/>
                <w:szCs w:val="22"/>
                <w:lang w:val="fr-CH"/>
              </w:rPr>
              <w:t xml:space="preserve"> des consultants nationaux </w:t>
            </w:r>
            <w:r w:rsidR="001205AC">
              <w:rPr>
                <w:color w:val="auto"/>
                <w:sz w:val="22"/>
                <w:szCs w:val="22"/>
                <w:lang w:val="fr-CH"/>
              </w:rPr>
              <w:t xml:space="preserve">du projet </w:t>
            </w:r>
            <w:r w:rsidRPr="00CE2CA5">
              <w:rPr>
                <w:color w:val="auto"/>
                <w:sz w:val="22"/>
                <w:szCs w:val="22"/>
                <w:lang w:val="fr-CH"/>
              </w:rPr>
              <w:t>ont été examinés et finalisés avec chaque pays pilo</w:t>
            </w:r>
            <w:r w:rsidR="00DF50B4" w:rsidRPr="00CE2CA5">
              <w:rPr>
                <w:color w:val="auto"/>
                <w:sz w:val="22"/>
                <w:szCs w:val="22"/>
                <w:lang w:val="fr-CH"/>
              </w:rPr>
              <w:t>te</w:t>
            </w:r>
            <w:r w:rsidR="00DF50B4">
              <w:rPr>
                <w:color w:val="auto"/>
                <w:sz w:val="22"/>
                <w:szCs w:val="22"/>
                <w:lang w:val="fr-CH"/>
              </w:rPr>
              <w:t xml:space="preserve">.  </w:t>
            </w:r>
            <w:r w:rsidR="00DF50B4" w:rsidRPr="00CE2CA5">
              <w:rPr>
                <w:color w:val="auto"/>
                <w:sz w:val="22"/>
                <w:szCs w:val="22"/>
                <w:lang w:val="fr-CH"/>
              </w:rPr>
              <w:t>Ce</w:t>
            </w:r>
            <w:r w:rsidR="005C4B85" w:rsidRPr="00CE2CA5">
              <w:rPr>
                <w:color w:val="auto"/>
                <w:sz w:val="22"/>
                <w:szCs w:val="22"/>
                <w:lang w:val="fr-CH"/>
              </w:rPr>
              <w:t xml:space="preserve">s instruments et le descriptif de projet global constituaient le cadre principal du processus de mise en </w:t>
            </w:r>
            <w:r w:rsidR="00AB3EC6" w:rsidRPr="00CE2CA5">
              <w:rPr>
                <w:color w:val="auto"/>
                <w:sz w:val="22"/>
                <w:szCs w:val="22"/>
                <w:lang w:val="fr-CH"/>
              </w:rPr>
              <w:t>œ</w:t>
            </w:r>
            <w:r w:rsidR="005C4B85" w:rsidRPr="00CE2CA5">
              <w:rPr>
                <w:color w:val="auto"/>
                <w:sz w:val="22"/>
                <w:szCs w:val="22"/>
                <w:lang w:val="fr-CH"/>
              </w:rPr>
              <w:t>uvre.</w:t>
            </w:r>
          </w:p>
          <w:p w:rsidR="00D8371C" w:rsidRPr="00CE2CA5" w:rsidRDefault="00D8371C" w:rsidP="00A601DF"/>
          <w:p w:rsidR="00D8371C" w:rsidRPr="00CE2CA5" w:rsidRDefault="005C4B85" w:rsidP="00A601DF">
            <w:pPr>
              <w:numPr>
                <w:ilvl w:val="0"/>
                <w:numId w:val="14"/>
              </w:numPr>
              <w:ind w:left="1134" w:hanging="567"/>
            </w:pPr>
            <w:r w:rsidRPr="00CE2CA5">
              <w:t>MISE EN ŒUVRE DU PROJET</w:t>
            </w:r>
          </w:p>
          <w:p w:rsidR="00D8371C" w:rsidRPr="00CE2CA5" w:rsidRDefault="00D8371C" w:rsidP="00A601DF">
            <w:pPr>
              <w:ind w:left="1134" w:hanging="567"/>
            </w:pPr>
          </w:p>
          <w:p w:rsidR="00D8371C" w:rsidRPr="00CE2CA5" w:rsidRDefault="00006477" w:rsidP="00A601DF">
            <w:pPr>
              <w:numPr>
                <w:ilvl w:val="0"/>
                <w:numId w:val="12"/>
              </w:numPr>
              <w:ind w:left="1134" w:hanging="567"/>
            </w:pPr>
            <w:r w:rsidRPr="00CE2CA5">
              <w:t>Principes directeurs</w:t>
            </w:r>
          </w:p>
          <w:p w:rsidR="00D8371C" w:rsidRPr="00CE2CA5" w:rsidRDefault="00D8371C" w:rsidP="00A601DF"/>
          <w:p w:rsidR="00BF1851" w:rsidRDefault="00117B56" w:rsidP="00A601DF">
            <w:r w:rsidRPr="00CE2CA5">
              <w:t xml:space="preserve">Tout au long du processus de mise en </w:t>
            </w:r>
            <w:r w:rsidR="00AB3EC6" w:rsidRPr="00CE2CA5">
              <w:t>œ</w:t>
            </w:r>
            <w:r w:rsidRPr="00CE2CA5">
              <w:t>uvre, l</w:t>
            </w:r>
            <w:r w:rsidR="00BF1851">
              <w:t>’</w:t>
            </w:r>
            <w:r w:rsidRPr="00CE2CA5">
              <w:t>Académie de l</w:t>
            </w:r>
            <w:r w:rsidR="00BF1851">
              <w:t>’</w:t>
            </w:r>
            <w:r w:rsidRPr="00CE2CA5">
              <w:t>OMPI a accordé une importance primordiale au respect de certains principes fondamentaux, tels que</w:t>
            </w:r>
            <w:r w:rsidR="00BF1851">
              <w:t> :</w:t>
            </w:r>
            <w:r w:rsidRPr="00CE2CA5">
              <w:t xml:space="preserve"> i)</w:t>
            </w:r>
            <w:r w:rsidR="0009127F">
              <w:t> </w:t>
            </w:r>
            <w:r w:rsidRPr="00CE2CA5">
              <w:t xml:space="preserve">planifier et coordonner les activités </w:t>
            </w:r>
            <w:r w:rsidR="00B8074B">
              <w:t xml:space="preserve">en étroite consultation </w:t>
            </w:r>
            <w:r w:rsidRPr="00CE2CA5">
              <w:t>avec les bénéficiaires, ii)</w:t>
            </w:r>
            <w:r w:rsidR="0009127F">
              <w:t> </w:t>
            </w:r>
            <w:r w:rsidRPr="00CE2CA5">
              <w:t>répondre aux besoins et priorités qu</w:t>
            </w:r>
            <w:r w:rsidR="00BF1851">
              <w:t>’</w:t>
            </w:r>
            <w:r w:rsidRPr="00CE2CA5">
              <w:t>ils auront définis, iii)</w:t>
            </w:r>
            <w:r w:rsidR="0009127F">
              <w:t> </w:t>
            </w:r>
            <w:r w:rsidRPr="00CE2CA5">
              <w:t>utiliser les capacités et compétences nationales, le cas échéant, et iv)</w:t>
            </w:r>
            <w:r w:rsidR="0009127F">
              <w:t> </w:t>
            </w:r>
            <w:r w:rsidRPr="00CE2CA5">
              <w:t xml:space="preserve">veiller à la </w:t>
            </w:r>
            <w:r w:rsidR="00763365">
              <w:t>viabilité</w:t>
            </w:r>
            <w:r w:rsidRPr="00CE2CA5">
              <w:t xml:space="preserve"> du projet au niveau national.</w:t>
            </w:r>
          </w:p>
          <w:p w:rsidR="00D8371C" w:rsidRPr="00CE2CA5" w:rsidRDefault="00D8371C" w:rsidP="00A601DF"/>
          <w:p w:rsidR="00D8371C" w:rsidRPr="00CE2CA5" w:rsidRDefault="00B8074B" w:rsidP="00A601DF">
            <w:r>
              <w:t>En préparant</w:t>
            </w:r>
            <w:r w:rsidR="00C65443" w:rsidRPr="00CE2CA5">
              <w:t xml:space="preserve"> le terrain pour la </w:t>
            </w:r>
            <w:r>
              <w:t xml:space="preserve">viabilité </w:t>
            </w:r>
            <w:r w:rsidR="00C65443" w:rsidRPr="00CE2CA5">
              <w:t>du projet, le Secrétariat s</w:t>
            </w:r>
            <w:r w:rsidR="00BF1851">
              <w:t>’</w:t>
            </w:r>
            <w:r w:rsidR="00C65443" w:rsidRPr="00CE2CA5">
              <w:t>est concentré sur les points suivants</w:t>
            </w:r>
            <w:r w:rsidR="00BF1851">
              <w:t> :</w:t>
            </w:r>
          </w:p>
          <w:p w:rsidR="00D8371C" w:rsidRPr="00CE2CA5" w:rsidRDefault="00D8371C" w:rsidP="00A601DF"/>
          <w:p w:rsidR="00D8371C" w:rsidRPr="00CE2CA5" w:rsidRDefault="00DD5A94" w:rsidP="00A601DF">
            <w:pPr>
              <w:numPr>
                <w:ilvl w:val="0"/>
                <w:numId w:val="29"/>
              </w:numPr>
              <w:tabs>
                <w:tab w:val="left" w:pos="511"/>
              </w:tabs>
              <w:ind w:left="1134" w:hanging="567"/>
            </w:pPr>
            <w:r w:rsidRPr="00CE2CA5">
              <w:t xml:space="preserve">Définir des résultats </w:t>
            </w:r>
            <w:r w:rsidR="00B8074B">
              <w:t xml:space="preserve">attendus </w:t>
            </w:r>
            <w:r w:rsidRPr="00CE2CA5">
              <w:t xml:space="preserve">génériques et </w:t>
            </w:r>
            <w:r w:rsidR="00B8074B">
              <w:t xml:space="preserve">modifiables </w:t>
            </w:r>
            <w:r w:rsidRPr="00CE2CA5">
              <w:t>afin de pouvoir répondre rapidement aux nouvelles demandes d</w:t>
            </w:r>
            <w:r w:rsidR="00BF1851">
              <w:t>’</w:t>
            </w:r>
            <w:r w:rsidRPr="00CE2CA5">
              <w:t>assistance</w:t>
            </w:r>
            <w:r w:rsidR="00B8074B">
              <w:t xml:space="preserve"> </w:t>
            </w:r>
            <w:r w:rsidR="00763365">
              <w:t>qui pourraient émaner</w:t>
            </w:r>
            <w:r w:rsidR="00B8074B">
              <w:t xml:space="preserve"> </w:t>
            </w:r>
            <w:r w:rsidRPr="00CE2CA5">
              <w:t>d</w:t>
            </w:r>
            <w:r w:rsidR="00BF1851">
              <w:t>’</w:t>
            </w:r>
            <w:r w:rsidRPr="00CE2CA5">
              <w:t>autres pays dans l</w:t>
            </w:r>
            <w:r w:rsidR="00BF1851">
              <w:t>’</w:t>
            </w:r>
            <w:r w:rsidRPr="00CE2CA5">
              <w:t>avenir;</w:t>
            </w:r>
          </w:p>
          <w:p w:rsidR="00D8371C" w:rsidRPr="00CE2CA5" w:rsidRDefault="00DD5A94" w:rsidP="00A601DF">
            <w:pPr>
              <w:numPr>
                <w:ilvl w:val="0"/>
                <w:numId w:val="29"/>
              </w:numPr>
              <w:tabs>
                <w:tab w:val="left" w:pos="511"/>
              </w:tabs>
              <w:ind w:left="1134" w:hanging="567"/>
            </w:pPr>
            <w:r w:rsidRPr="00CE2CA5">
              <w:t>Adopter la méthode fondée sur la formation des formateurs qui encourage les talents locaux et permet de transmettre les connaissances acquises.</w:t>
            </w:r>
          </w:p>
          <w:p w:rsidR="00D8371C" w:rsidRDefault="00D8371C" w:rsidP="00A601DF"/>
          <w:p w:rsidR="00A601DF" w:rsidRDefault="00A601DF" w:rsidP="00A601DF"/>
          <w:p w:rsidR="00A601DF" w:rsidRDefault="00A601DF" w:rsidP="00A601DF"/>
          <w:p w:rsidR="00A601DF" w:rsidRPr="00CE2CA5" w:rsidRDefault="00A601DF" w:rsidP="00A601DF"/>
          <w:p w:rsidR="00D8371C" w:rsidRPr="00CE2CA5" w:rsidRDefault="00DD5A94" w:rsidP="00A601DF">
            <w:pPr>
              <w:numPr>
                <w:ilvl w:val="0"/>
                <w:numId w:val="12"/>
              </w:numPr>
              <w:ind w:left="1134" w:hanging="567"/>
            </w:pPr>
            <w:r w:rsidRPr="00CE2CA5">
              <w:lastRenderedPageBreak/>
              <w:t>Ca</w:t>
            </w:r>
            <w:r w:rsidR="00A601DF">
              <w:t>lendrier de mise en œuvre</w:t>
            </w:r>
          </w:p>
          <w:p w:rsidR="00D8371C" w:rsidRPr="00CE2CA5" w:rsidRDefault="00D8371C" w:rsidP="00A601DF"/>
          <w:p w:rsidR="00D8371C" w:rsidRPr="00CE2CA5" w:rsidRDefault="00DD5A94" w:rsidP="00A601DF">
            <w:r w:rsidRPr="00CE2CA5">
              <w:t xml:space="preserve">La mise en </w:t>
            </w:r>
            <w:r w:rsidR="00AB3EC6" w:rsidRPr="00CE2CA5">
              <w:t>œ</w:t>
            </w:r>
            <w:r w:rsidRPr="00CE2CA5">
              <w:t>uvre du projet a débuté en juillet</w:t>
            </w:r>
            <w:r w:rsidR="00AB3EC6" w:rsidRPr="00CE2CA5">
              <w:t> </w:t>
            </w:r>
            <w:r w:rsidRPr="00CE2CA5">
              <w:t>2016, après la désignation des pays pilotes par les groupes régionaux à Genève, et s</w:t>
            </w:r>
            <w:r w:rsidR="00BF1851">
              <w:t>’</w:t>
            </w:r>
            <w:r w:rsidRPr="00CE2CA5">
              <w:t>est achevée en décembre</w:t>
            </w:r>
            <w:r w:rsidR="00AB3EC6" w:rsidRPr="00CE2CA5">
              <w:t> </w:t>
            </w:r>
            <w:r w:rsidRPr="00CE2CA5">
              <w:t>2018.</w:t>
            </w:r>
          </w:p>
          <w:p w:rsidR="00D8371C" w:rsidRPr="00CE2CA5" w:rsidRDefault="00D8371C" w:rsidP="00A601DF"/>
          <w:p w:rsidR="00BF1851" w:rsidRDefault="00DD5A94" w:rsidP="00A601DF">
            <w:pPr>
              <w:numPr>
                <w:ilvl w:val="0"/>
                <w:numId w:val="12"/>
              </w:numPr>
              <w:ind w:left="1134" w:hanging="567"/>
            </w:pPr>
            <w:r w:rsidRPr="00CE2CA5">
              <w:t>Principaux résultats</w:t>
            </w:r>
          </w:p>
          <w:p w:rsidR="00D8371C" w:rsidRPr="00CE2CA5" w:rsidRDefault="00D8371C" w:rsidP="00A601DF"/>
          <w:p w:rsidR="00D8371C" w:rsidRPr="00CE2CA5" w:rsidRDefault="00DD5A94" w:rsidP="00A601DF">
            <w:r w:rsidRPr="00CE2CA5">
              <w:t>Les principaux résultats ci</w:t>
            </w:r>
            <w:r w:rsidR="005B01A6">
              <w:noBreakHyphen/>
            </w:r>
            <w:r w:rsidRPr="00CE2CA5">
              <w:t>après ont été obtenus.</w:t>
            </w:r>
          </w:p>
          <w:p w:rsidR="00D8371C" w:rsidRPr="00CE2CA5" w:rsidRDefault="00D8371C" w:rsidP="00A601DF"/>
          <w:p w:rsidR="00D8371C" w:rsidRPr="00CE2CA5" w:rsidRDefault="00DD5A94" w:rsidP="00A601DF">
            <w:r w:rsidRPr="00CE2CA5">
              <w:t>3.1.</w:t>
            </w:r>
            <w:r w:rsidR="00A601DF">
              <w:tab/>
            </w:r>
            <w:r w:rsidRPr="00CE2CA5">
              <w:t>Matériel de formation</w:t>
            </w:r>
          </w:p>
          <w:p w:rsidR="00D8371C" w:rsidRPr="00CE2CA5" w:rsidRDefault="00D8371C" w:rsidP="00A601DF"/>
          <w:p w:rsidR="00D8371C" w:rsidRPr="00CE2CA5" w:rsidRDefault="00DD5A94" w:rsidP="00A601DF">
            <w:pPr>
              <w:numPr>
                <w:ilvl w:val="0"/>
                <w:numId w:val="30"/>
              </w:numPr>
              <w:ind w:left="1134" w:hanging="567"/>
            </w:pPr>
            <w:r w:rsidRPr="00CE2CA5">
              <w:t>Un cours d</w:t>
            </w:r>
            <w:r w:rsidR="00BF1851">
              <w:t>’</w:t>
            </w:r>
            <w:r w:rsidRPr="00CE2CA5">
              <w:t>enseignement à distance sur la propriété intellectuelle à l</w:t>
            </w:r>
            <w:r w:rsidR="00BF1851">
              <w:t>’</w:t>
            </w:r>
            <w:r w:rsidRPr="00CE2CA5">
              <w:t>intention d</w:t>
            </w:r>
            <w:r w:rsidR="00B8074B">
              <w:t xml:space="preserve">es magistrats </w:t>
            </w:r>
            <w:r w:rsidRPr="00CE2CA5">
              <w:t xml:space="preserve">a été mis au point par le groupe de juges avec le professeur et juge </w:t>
            </w:r>
            <w:r w:rsidR="00763365">
              <w:t>égyptien</w:t>
            </w:r>
            <w:r w:rsidRPr="00CE2CA5">
              <w:t xml:space="preserve"> qui a pris </w:t>
            </w:r>
            <w:r w:rsidR="00B8074B">
              <w:t>la direction de l</w:t>
            </w:r>
            <w:r w:rsidR="00BF1851">
              <w:t>’</w:t>
            </w:r>
            <w:r w:rsidR="00B8074B">
              <w:t>élaboration du</w:t>
            </w:r>
            <w:r w:rsidR="00531C8D" w:rsidRPr="00CE2CA5">
              <w:t xml:space="preserve"> cours;</w:t>
            </w:r>
          </w:p>
          <w:p w:rsidR="00D8371C" w:rsidRPr="00CE2CA5" w:rsidRDefault="00D8371C" w:rsidP="00A601DF">
            <w:pPr>
              <w:ind w:left="1134" w:hanging="567"/>
            </w:pPr>
          </w:p>
          <w:p w:rsidR="00D8371C" w:rsidRPr="00CE2CA5" w:rsidRDefault="00DD5A94" w:rsidP="00A601DF">
            <w:pPr>
              <w:numPr>
                <w:ilvl w:val="0"/>
                <w:numId w:val="30"/>
              </w:numPr>
              <w:ind w:left="1134" w:hanging="567"/>
            </w:pPr>
            <w:r w:rsidRPr="00CE2CA5">
              <w:t>Sur la base du cours d</w:t>
            </w:r>
            <w:r w:rsidR="00BF1851">
              <w:t>’</w:t>
            </w:r>
            <w:r w:rsidRPr="00CE2CA5">
              <w:t>enseignement à distance susmentionné, quatre</w:t>
            </w:r>
            <w:r w:rsidR="0009127F">
              <w:t> </w:t>
            </w:r>
            <w:r w:rsidRPr="00CE2CA5">
              <w:t>cours nationaux ont été adaptés, examinés et traduits à l</w:t>
            </w:r>
            <w:r w:rsidR="00BF1851">
              <w:t>’</w:t>
            </w:r>
            <w:r w:rsidRPr="00CE2CA5">
              <w:t>intention des pays pilot</w:t>
            </w:r>
            <w:r w:rsidR="00DF50B4" w:rsidRPr="00CE2CA5">
              <w:t>es</w:t>
            </w:r>
            <w:r w:rsidR="00DF50B4">
              <w:t xml:space="preserve">.  </w:t>
            </w:r>
            <w:r w:rsidR="00DF50B4" w:rsidRPr="00CE2CA5">
              <w:t>Af</w:t>
            </w:r>
            <w:r w:rsidR="00531C8D" w:rsidRPr="00CE2CA5">
              <w:t>in de tenir compte des besoins, priorités et contextes juridiques propres à chaque pays, le processus d</w:t>
            </w:r>
            <w:r w:rsidR="00BF1851">
              <w:t>’</w:t>
            </w:r>
            <w:r w:rsidR="00531C8D" w:rsidRPr="00CE2CA5">
              <w:t xml:space="preserve">adaptation a été </w:t>
            </w:r>
            <w:r w:rsidR="00B8074B">
              <w:t>mené</w:t>
            </w:r>
            <w:r w:rsidR="00531C8D" w:rsidRPr="00CE2CA5">
              <w:t xml:space="preserve"> par des experts nationaux désignés par les pays bénéficiaires;</w:t>
            </w:r>
          </w:p>
          <w:p w:rsidR="00D8371C" w:rsidRPr="00CE2CA5" w:rsidRDefault="00D8371C" w:rsidP="00A601DF">
            <w:pPr>
              <w:pStyle w:val="ListParagraph"/>
              <w:ind w:left="1134" w:hanging="567"/>
            </w:pPr>
          </w:p>
          <w:p w:rsidR="00D8371C" w:rsidRPr="00CE2CA5" w:rsidRDefault="00531C8D" w:rsidP="00A601DF">
            <w:pPr>
              <w:numPr>
                <w:ilvl w:val="0"/>
                <w:numId w:val="30"/>
              </w:numPr>
              <w:ind w:left="1134" w:hanging="567"/>
            </w:pPr>
            <w:r w:rsidRPr="00CE2CA5">
              <w:t>Élaboration d</w:t>
            </w:r>
            <w:r w:rsidR="00BF1851">
              <w:t>’</w:t>
            </w:r>
            <w:r w:rsidRPr="00CE2CA5">
              <w:t>un manuel générique pour aider les formateurs et les instructeurs à élaborer et à dispenser des cours de formation continue;</w:t>
            </w:r>
          </w:p>
          <w:p w:rsidR="00D8371C" w:rsidRPr="00CE2CA5" w:rsidRDefault="00D8371C" w:rsidP="00A601DF">
            <w:pPr>
              <w:pStyle w:val="ListParagraph"/>
              <w:ind w:left="1134" w:hanging="567"/>
            </w:pPr>
          </w:p>
          <w:p w:rsidR="00D8371C" w:rsidRPr="00CE2CA5" w:rsidRDefault="00615AA4" w:rsidP="00A601DF">
            <w:pPr>
              <w:numPr>
                <w:ilvl w:val="0"/>
                <w:numId w:val="30"/>
              </w:numPr>
              <w:ind w:left="1134" w:hanging="567"/>
            </w:pPr>
            <w:r w:rsidRPr="00CE2CA5">
              <w:t>Élaboration d</w:t>
            </w:r>
            <w:r w:rsidR="00BF1851">
              <w:t>’</w:t>
            </w:r>
            <w:r w:rsidRPr="00CE2CA5">
              <w:t>un manuel adapté à chaque pays pilote en fonction de son cours d</w:t>
            </w:r>
            <w:r w:rsidR="00BF1851">
              <w:t>’</w:t>
            </w:r>
            <w:r w:rsidRPr="00CE2CA5">
              <w:t>enseignement à distance personnalisé.</w:t>
            </w:r>
          </w:p>
          <w:p w:rsidR="00D8371C" w:rsidRPr="00CE2CA5" w:rsidRDefault="00D8371C" w:rsidP="00A601DF">
            <w:pPr>
              <w:pStyle w:val="ListParagraph"/>
              <w:ind w:left="0"/>
            </w:pPr>
          </w:p>
          <w:p w:rsidR="00D8371C" w:rsidRPr="00CE2CA5" w:rsidRDefault="00A601DF" w:rsidP="00A601DF">
            <w:r>
              <w:t>3.2</w:t>
            </w:r>
            <w:r>
              <w:tab/>
            </w:r>
            <w:r w:rsidR="00615AA4" w:rsidRPr="00CE2CA5">
              <w:t>Accès aux documents de référence</w:t>
            </w:r>
          </w:p>
          <w:p w:rsidR="00D8371C" w:rsidRPr="00CE2CA5" w:rsidRDefault="00D8371C" w:rsidP="00A601DF"/>
          <w:p w:rsidR="00BF1851" w:rsidRDefault="00B5599F" w:rsidP="00A601DF">
            <w:pPr>
              <w:numPr>
                <w:ilvl w:val="0"/>
                <w:numId w:val="31"/>
              </w:numPr>
              <w:ind w:left="1134" w:hanging="567"/>
            </w:pPr>
            <w:r w:rsidRPr="00CE2CA5">
              <w:t xml:space="preserve">Des ressources bibliographiques sur les droits de propriété intellectuelle ont été </w:t>
            </w:r>
            <w:r w:rsidR="00B8074B">
              <w:t>réunies</w:t>
            </w:r>
            <w:r w:rsidRPr="00CE2CA5">
              <w:t xml:space="preserve"> et envoyées </w:t>
            </w:r>
            <w:r w:rsidR="00B8074B">
              <w:t xml:space="preserve">à </w:t>
            </w:r>
            <w:r w:rsidRPr="00CE2CA5">
              <w:t>tous les instituts de formation judiciaire avec des publications pertinentes de l</w:t>
            </w:r>
            <w:r w:rsidR="00BF1851">
              <w:t>’</w:t>
            </w:r>
            <w:r w:rsidRPr="00CE2CA5">
              <w:t>O</w:t>
            </w:r>
            <w:r w:rsidR="00DF50B4" w:rsidRPr="00CE2CA5">
              <w:t>MPI</w:t>
            </w:r>
            <w:r w:rsidR="00DF50B4">
              <w:t xml:space="preserve">.  </w:t>
            </w:r>
            <w:r w:rsidR="00DF50B4" w:rsidRPr="00CE2CA5">
              <w:t>La</w:t>
            </w:r>
            <w:r w:rsidRPr="00CE2CA5">
              <w:t xml:space="preserve"> sélection des publications a été réalisée en coordination </w:t>
            </w:r>
            <w:r w:rsidR="00B8074B">
              <w:t xml:space="preserve">totale </w:t>
            </w:r>
            <w:r w:rsidRPr="00CE2CA5">
              <w:t>avec les pays pilotes</w:t>
            </w:r>
            <w:r w:rsidR="00763365">
              <w:t>;</w:t>
            </w:r>
          </w:p>
          <w:p w:rsidR="00D8371C" w:rsidRPr="00CE2CA5" w:rsidRDefault="00D8371C" w:rsidP="00A601DF">
            <w:pPr>
              <w:pStyle w:val="ListParagraph"/>
              <w:ind w:left="1134" w:hanging="567"/>
            </w:pPr>
          </w:p>
          <w:p w:rsidR="00D8371C" w:rsidRPr="00CE2CA5" w:rsidRDefault="00B5599F" w:rsidP="00A601DF">
            <w:pPr>
              <w:numPr>
                <w:ilvl w:val="0"/>
                <w:numId w:val="31"/>
              </w:numPr>
              <w:ind w:left="1134" w:hanging="567"/>
            </w:pPr>
            <w:r w:rsidRPr="00CE2CA5">
              <w:t>Le Secrétariat a conclu un contrat avec un prestataire de services spécialisé permettant aux formateurs au bénéfice d</w:t>
            </w:r>
            <w:r w:rsidR="00BF1851">
              <w:t>’</w:t>
            </w:r>
            <w:r w:rsidRPr="00CE2CA5">
              <w:t>une formation d</w:t>
            </w:r>
            <w:r w:rsidR="00BF1851">
              <w:t>’</w:t>
            </w:r>
            <w:r w:rsidRPr="00CE2CA5">
              <w:t>accéder gratuitement pendant trois</w:t>
            </w:r>
            <w:r w:rsidR="0009127F">
              <w:t> </w:t>
            </w:r>
            <w:r w:rsidRPr="00CE2CA5">
              <w:t>ans à une base de données de quelque 3,5</w:t>
            </w:r>
            <w:r w:rsidR="00AB3EC6" w:rsidRPr="00CE2CA5">
              <w:t> </w:t>
            </w:r>
            <w:r w:rsidRPr="00CE2CA5">
              <w:t>millions d</w:t>
            </w:r>
            <w:r w:rsidR="00BF1851">
              <w:t>’</w:t>
            </w:r>
            <w:r w:rsidRPr="00CE2CA5">
              <w:t>affaires judiciaires relatives aux droits de propriété intellectuelle dans plus de 110</w:t>
            </w:r>
            <w:r w:rsidR="00AB3EC6" w:rsidRPr="00CE2CA5">
              <w:t> </w:t>
            </w:r>
            <w:r w:rsidRPr="00CE2CA5">
              <w:t>pa</w:t>
            </w:r>
            <w:r w:rsidR="00DF50B4" w:rsidRPr="00CE2CA5">
              <w:t>ys</w:t>
            </w:r>
            <w:r w:rsidR="00DF50B4">
              <w:t xml:space="preserve">.  </w:t>
            </w:r>
            <w:r w:rsidR="00DF50B4" w:rsidRPr="00CE2CA5">
              <w:t>Da</w:t>
            </w:r>
            <w:r w:rsidRPr="00CE2CA5">
              <w:t xml:space="preserve">ns le cadre de ce contrat, les juges de chaque pays pilote ont également reçu une formation spéciale </w:t>
            </w:r>
            <w:r w:rsidR="00763365">
              <w:t>pour être en mesure d</w:t>
            </w:r>
            <w:r w:rsidR="00BF1851">
              <w:t>’</w:t>
            </w:r>
            <w:r w:rsidR="00763365">
              <w:t xml:space="preserve">utiliser pleinement </w:t>
            </w:r>
            <w:r w:rsidRPr="00CE2CA5">
              <w:t>la base de données (deux à quatre</w:t>
            </w:r>
            <w:r w:rsidR="0009127F">
              <w:t> </w:t>
            </w:r>
            <w:r w:rsidRPr="00CE2CA5">
              <w:t>jours entre août et novembre</w:t>
            </w:r>
            <w:r w:rsidR="00AB3EC6" w:rsidRPr="00CE2CA5">
              <w:t> </w:t>
            </w:r>
            <w:r w:rsidRPr="00CE2CA5">
              <w:t>2018).</w:t>
            </w:r>
          </w:p>
          <w:p w:rsidR="00D8371C" w:rsidRDefault="00D8371C" w:rsidP="00A601DF">
            <w:pPr>
              <w:pStyle w:val="ListParagraph"/>
              <w:ind w:left="0"/>
            </w:pPr>
          </w:p>
          <w:p w:rsidR="00A601DF" w:rsidRDefault="00A601DF" w:rsidP="00A601DF">
            <w:pPr>
              <w:pStyle w:val="ListParagraph"/>
              <w:ind w:left="0"/>
            </w:pPr>
          </w:p>
          <w:p w:rsidR="00A601DF" w:rsidRPr="00CE2CA5" w:rsidRDefault="00A601DF" w:rsidP="00A601DF">
            <w:pPr>
              <w:pStyle w:val="ListParagraph"/>
              <w:ind w:left="0"/>
            </w:pPr>
          </w:p>
          <w:p w:rsidR="00D8371C" w:rsidRPr="00CE2CA5" w:rsidRDefault="00B5599F" w:rsidP="00A601DF">
            <w:pPr>
              <w:pStyle w:val="ListParagraph"/>
              <w:ind w:left="0"/>
            </w:pPr>
            <w:r w:rsidRPr="00CE2CA5">
              <w:lastRenderedPageBreak/>
              <w:t>3.3</w:t>
            </w:r>
            <w:r w:rsidR="00A601DF">
              <w:tab/>
            </w:r>
            <w:r w:rsidRPr="00CE2CA5">
              <w:t>Assistance électronique</w:t>
            </w:r>
          </w:p>
          <w:p w:rsidR="00D8371C" w:rsidRPr="00CE2CA5" w:rsidRDefault="00D8371C" w:rsidP="00A601DF">
            <w:pPr>
              <w:pStyle w:val="ListParagraph"/>
              <w:ind w:left="0"/>
            </w:pPr>
          </w:p>
          <w:p w:rsidR="00D8371C" w:rsidRPr="00CE2CA5" w:rsidRDefault="00B5599F" w:rsidP="00A601DF">
            <w:pPr>
              <w:numPr>
                <w:ilvl w:val="0"/>
                <w:numId w:val="32"/>
              </w:numPr>
              <w:ind w:left="1134" w:hanging="567"/>
            </w:pPr>
            <w:r w:rsidRPr="00CE2CA5">
              <w:t xml:space="preserve">Mise à disposition de la </w:t>
            </w:r>
            <w:r w:rsidR="0009127F">
              <w:t>plateforme</w:t>
            </w:r>
            <w:r w:rsidRPr="00CE2CA5">
              <w:t xml:space="preserve"> d</w:t>
            </w:r>
            <w:r w:rsidR="00BF1851">
              <w:t>’</w:t>
            </w:r>
            <w:r w:rsidR="00B8074B">
              <w:t xml:space="preserve">enseignement </w:t>
            </w:r>
            <w:r w:rsidRPr="00CE2CA5">
              <w:t>à distance de l</w:t>
            </w:r>
            <w:r w:rsidR="00BF1851">
              <w:t>’</w:t>
            </w:r>
            <w:r w:rsidRPr="00CE2CA5">
              <w:t>Académie de l</w:t>
            </w:r>
            <w:r w:rsidR="00BF1851">
              <w:t>’</w:t>
            </w:r>
            <w:r w:rsidRPr="00CE2CA5">
              <w:t>OMPI pour les sessions de formation continue que les instituts de formation judiciaire souhaiteraient organiser à l</w:t>
            </w:r>
            <w:r w:rsidR="00BF1851">
              <w:t>’</w:t>
            </w:r>
            <w:r w:rsidRPr="00CE2CA5">
              <w:t>avenir;</w:t>
            </w:r>
          </w:p>
          <w:p w:rsidR="00D8371C" w:rsidRPr="00CE2CA5" w:rsidRDefault="00D8371C" w:rsidP="00A601DF">
            <w:pPr>
              <w:pStyle w:val="ListParagraph"/>
              <w:ind w:left="1134" w:hanging="567"/>
            </w:pPr>
          </w:p>
          <w:p w:rsidR="00D8371C" w:rsidRPr="00CE2CA5" w:rsidRDefault="00F73DBF" w:rsidP="00A601DF">
            <w:pPr>
              <w:numPr>
                <w:ilvl w:val="0"/>
                <w:numId w:val="32"/>
              </w:numPr>
              <w:ind w:left="1134" w:hanging="567"/>
            </w:pPr>
            <w:r w:rsidRPr="00CE2CA5">
              <w:t>Création de quatre</w:t>
            </w:r>
            <w:r w:rsidR="0009127F">
              <w:t> </w:t>
            </w:r>
            <w:r w:rsidRPr="00CE2CA5">
              <w:t xml:space="preserve">forums nationaux </w:t>
            </w:r>
            <w:r w:rsidRPr="00B8074B">
              <w:t>sécurisés</w:t>
            </w:r>
            <w:r w:rsidRPr="00CE2CA5">
              <w:t xml:space="preserve"> pour </w:t>
            </w:r>
            <w:r w:rsidR="00B8074B">
              <w:t>l</w:t>
            </w:r>
            <w:r w:rsidR="00BF1851">
              <w:t>’</w:t>
            </w:r>
            <w:r w:rsidR="00B8074B">
              <w:t>échange d</w:t>
            </w:r>
            <w:r w:rsidR="00BF1851">
              <w:t>’</w:t>
            </w:r>
            <w:r w:rsidR="00B8074B">
              <w:t>informations et l</w:t>
            </w:r>
            <w:r w:rsidR="00BF1851">
              <w:t>’</w:t>
            </w:r>
            <w:r w:rsidR="00B8074B">
              <w:t xml:space="preserve">apprentissage </w:t>
            </w:r>
            <w:r w:rsidRPr="00CE2CA5">
              <w:t>entre pairs au sein du corps judiciaire de chaque pays pilo</w:t>
            </w:r>
            <w:r w:rsidR="00DF50B4" w:rsidRPr="00CE2CA5">
              <w:t>te</w:t>
            </w:r>
            <w:r w:rsidR="00DF50B4">
              <w:t xml:space="preserve">.  </w:t>
            </w:r>
            <w:r w:rsidR="00DF50B4" w:rsidRPr="00CE2CA5">
              <w:t>Le</w:t>
            </w:r>
            <w:r w:rsidRPr="00CE2CA5">
              <w:t>s forums resteront ouverts et accessibles une fois le projet achevé, à la discrétion des pays pilotes;</w:t>
            </w:r>
          </w:p>
          <w:p w:rsidR="00D8371C" w:rsidRPr="00CE2CA5" w:rsidRDefault="00D8371C" w:rsidP="00A601DF">
            <w:pPr>
              <w:pStyle w:val="ListParagraph"/>
              <w:ind w:left="1134" w:hanging="567"/>
            </w:pPr>
          </w:p>
          <w:p w:rsidR="00D8371C" w:rsidRPr="00CE2CA5" w:rsidRDefault="00F73DBF" w:rsidP="00A601DF">
            <w:pPr>
              <w:numPr>
                <w:ilvl w:val="0"/>
                <w:numId w:val="32"/>
              </w:numPr>
              <w:ind w:left="1134" w:hanging="567"/>
            </w:pPr>
            <w:r w:rsidRPr="00CE2CA5">
              <w:t>Création d</w:t>
            </w:r>
            <w:r w:rsidR="00BF1851">
              <w:t>’</w:t>
            </w:r>
            <w:r w:rsidRPr="00CE2CA5">
              <w:t xml:space="preserve">un réseau mondial </w:t>
            </w:r>
            <w:r w:rsidR="00B8074B">
              <w:t>accessible</w:t>
            </w:r>
            <w:r w:rsidRPr="00CE2CA5">
              <w:t xml:space="preserve"> libre</w:t>
            </w:r>
            <w:r w:rsidR="00B8074B">
              <w:t xml:space="preserve">ment </w:t>
            </w:r>
            <w:r w:rsidRPr="00CE2CA5">
              <w:t>à l</w:t>
            </w:r>
            <w:r w:rsidR="00BF1851">
              <w:t>’</w:t>
            </w:r>
            <w:r w:rsidRPr="00CE2CA5">
              <w:t>intention des juges, comprenant les traités de l</w:t>
            </w:r>
            <w:r w:rsidR="00BF1851">
              <w:t>’</w:t>
            </w:r>
            <w:r w:rsidRPr="00CE2CA5">
              <w:t>OMPI, des recueils de jurisprudence et des bases de données relatives aux lois nationales;</w:t>
            </w:r>
          </w:p>
          <w:p w:rsidR="00D8371C" w:rsidRPr="00CE2CA5" w:rsidRDefault="00D8371C" w:rsidP="00A601DF">
            <w:pPr>
              <w:pStyle w:val="ListParagraph"/>
              <w:ind w:left="1134" w:hanging="567"/>
            </w:pPr>
          </w:p>
          <w:p w:rsidR="00D8371C" w:rsidRPr="00CE2CA5" w:rsidRDefault="00944143" w:rsidP="00A601DF">
            <w:pPr>
              <w:numPr>
                <w:ilvl w:val="0"/>
                <w:numId w:val="32"/>
              </w:numPr>
              <w:ind w:left="1134" w:hanging="567"/>
            </w:pPr>
            <w:r w:rsidRPr="00CE2CA5">
              <w:t>Pour faciliter la tâche des juges, le matériel, les réseaux et les bases de données utilisés pour la formation continue sont compatibles avec les mobiles et donc facilement accessibles avec des smartphones et des tablettes.</w:t>
            </w:r>
          </w:p>
          <w:p w:rsidR="00D8371C" w:rsidRPr="00CE2CA5" w:rsidRDefault="00D8371C" w:rsidP="00A601DF">
            <w:pPr>
              <w:pStyle w:val="ListParagraph"/>
              <w:ind w:left="0"/>
            </w:pPr>
          </w:p>
          <w:p w:rsidR="00BF1851" w:rsidRDefault="00944143" w:rsidP="00A601DF">
            <w:r w:rsidRPr="00CE2CA5">
              <w:t xml:space="preserve">Tous les </w:t>
            </w:r>
            <w:r w:rsidRPr="00B61F9D">
              <w:t>outils</w:t>
            </w:r>
            <w:r w:rsidRPr="00CE2CA5">
              <w:t xml:space="preserve"> de référence et de formation susmentionnés constituent l</w:t>
            </w:r>
            <w:r w:rsidR="00BF1851">
              <w:t>’</w:t>
            </w:r>
            <w:r w:rsidRPr="00CE2CA5">
              <w:t>instrument de l</w:t>
            </w:r>
            <w:r w:rsidR="00BF1851">
              <w:t>’</w:t>
            </w:r>
            <w:r w:rsidRPr="00CE2CA5">
              <w:t>OMPI relatif à la formation continue à l</w:t>
            </w:r>
            <w:r w:rsidR="00BF1851">
              <w:t>’</w:t>
            </w:r>
            <w:r w:rsidRPr="00CE2CA5">
              <w:t xml:space="preserve">intention des juges </w:t>
            </w:r>
            <w:r w:rsidR="00B61F9D">
              <w:t xml:space="preserve">qui est </w:t>
            </w:r>
            <w:r w:rsidRPr="00CE2CA5">
              <w:t>décrit dans le descriptif de projet</w:t>
            </w:r>
            <w:r w:rsidR="00AB3EC6" w:rsidRPr="00CE2CA5">
              <w:t> </w:t>
            </w:r>
            <w:r w:rsidRPr="00CE2CA5">
              <w:t>CDIP/16/7 REV2.</w:t>
            </w:r>
          </w:p>
          <w:p w:rsidR="00D8371C" w:rsidRPr="00CE2CA5" w:rsidRDefault="00D8371C" w:rsidP="00A601DF"/>
          <w:p w:rsidR="00D8371C" w:rsidRPr="00CE2CA5" w:rsidRDefault="00C15BAB" w:rsidP="00A601DF">
            <w:r w:rsidRPr="00CE2CA5">
              <w:t xml:space="preserve">Bien que tous les objectifs aient été atteints de la même </w:t>
            </w:r>
            <w:r w:rsidR="00B61F9D">
              <w:t>façon</w:t>
            </w:r>
            <w:r w:rsidRPr="00CE2CA5">
              <w:t xml:space="preserve"> dans tous les pays, l</w:t>
            </w:r>
            <w:r w:rsidR="00BF1851">
              <w:t>’</w:t>
            </w:r>
            <w:r w:rsidRPr="00CE2CA5">
              <w:t>Académie de l</w:t>
            </w:r>
            <w:r w:rsidR="00BF1851">
              <w:t>’</w:t>
            </w:r>
            <w:r w:rsidRPr="00CE2CA5">
              <w:t>OMPI les a adaptés aux besoins, priorités et pratiques spécifiques de chaque pays pilote.</w:t>
            </w:r>
          </w:p>
          <w:p w:rsidR="00D8371C" w:rsidRPr="00CE2CA5" w:rsidRDefault="00D8371C" w:rsidP="00A601DF"/>
          <w:p w:rsidR="00D8371C" w:rsidRPr="00CE2CA5" w:rsidRDefault="002124FF" w:rsidP="00A601DF">
            <w:r w:rsidRPr="00CE2CA5">
              <w:t>Outre les résultats énumérés ci</w:t>
            </w:r>
            <w:r w:rsidR="005B01A6">
              <w:noBreakHyphen/>
            </w:r>
            <w:r w:rsidRPr="00CE2CA5">
              <w:t xml:space="preserve">dessus, le Secrétariat a présenté </w:t>
            </w:r>
            <w:r w:rsidR="00B8074B">
              <w:t xml:space="preserve">à </w:t>
            </w:r>
            <w:r w:rsidRPr="00CE2CA5">
              <w:t>la vingt</w:t>
            </w:r>
            <w:r w:rsidR="005B01A6">
              <w:noBreakHyphen/>
            </w:r>
            <w:r w:rsidRPr="00CE2CA5">
              <w:t>deux</w:t>
            </w:r>
            <w:r w:rsidR="00BF1851">
              <w:t>ième session</w:t>
            </w:r>
            <w:r w:rsidR="00BF1851" w:rsidRPr="00CE2CA5">
              <w:t xml:space="preserve"> du</w:t>
            </w:r>
            <w:r w:rsidR="00BF1851">
              <w:t> </w:t>
            </w:r>
            <w:r w:rsidR="00BF1851" w:rsidRPr="00CE2CA5">
              <w:t>CDI</w:t>
            </w:r>
            <w:r w:rsidRPr="00CE2CA5">
              <w:t>P les conclusions préliminaires d</w:t>
            </w:r>
            <w:r w:rsidR="00BF1851">
              <w:t>’</w:t>
            </w:r>
            <w:r w:rsidRPr="00CE2CA5">
              <w:t>une enquête sur les instituts de formation judiciaire existants qui offrent des cours sur les droits de propriété intellectuelle à l</w:t>
            </w:r>
            <w:r w:rsidR="00BF1851">
              <w:t>’</w:t>
            </w:r>
            <w:r w:rsidRPr="00CE2CA5">
              <w:t>intention d</w:t>
            </w:r>
            <w:r w:rsidR="00B8074B">
              <w:t>es magistrats</w:t>
            </w:r>
            <w:r w:rsidRPr="00CE2CA5">
              <w:t>.</w:t>
            </w:r>
          </w:p>
          <w:p w:rsidR="00D8371C" w:rsidRPr="00CE2CA5" w:rsidRDefault="00D8371C" w:rsidP="00A601DF"/>
          <w:p w:rsidR="00D8371C" w:rsidRPr="00CE2CA5" w:rsidRDefault="0076163E" w:rsidP="00A601DF">
            <w:pPr>
              <w:numPr>
                <w:ilvl w:val="0"/>
                <w:numId w:val="12"/>
              </w:numPr>
              <w:ind w:left="1134" w:hanging="567"/>
            </w:pPr>
            <w:r w:rsidRPr="00CE2CA5">
              <w:t>Formation des formateurs</w:t>
            </w:r>
          </w:p>
          <w:p w:rsidR="00D8371C" w:rsidRPr="00CE2CA5" w:rsidRDefault="00D8371C" w:rsidP="00A601DF"/>
          <w:p w:rsidR="00D8371C" w:rsidRPr="00CE2CA5" w:rsidRDefault="0076163E" w:rsidP="00A601DF">
            <w:r w:rsidRPr="00CE2CA5">
              <w:t xml:space="preserve">Comme prévu et convenu avec les pays pilotes, le Secrétariat a conçu un programme de formation des formateurs pour chaque pays, </w:t>
            </w:r>
            <w:r w:rsidR="00FF3385">
              <w:t>qui comprend</w:t>
            </w:r>
            <w:r w:rsidRPr="00CE2CA5">
              <w:t xml:space="preserve"> des sessions spéciales de formation continue à distance et en présenti</w:t>
            </w:r>
            <w:r w:rsidR="00DF50B4" w:rsidRPr="00CE2CA5">
              <w:t>el</w:t>
            </w:r>
            <w:r w:rsidR="00DF50B4">
              <w:t xml:space="preserve">.  </w:t>
            </w:r>
            <w:r w:rsidR="00DF50B4" w:rsidRPr="00CE2CA5">
              <w:t>Le</w:t>
            </w:r>
            <w:r w:rsidRPr="00CE2CA5">
              <w:t>s sessions ont été organisées en coordination avec les instituts nationaux de formation judiciaire et avec l</w:t>
            </w:r>
            <w:r w:rsidR="00BF1851">
              <w:t>’</w:t>
            </w:r>
            <w:r w:rsidRPr="00CE2CA5">
              <w:t xml:space="preserve">aide de juges et </w:t>
            </w:r>
            <w:r w:rsidR="00FF3385">
              <w:t xml:space="preserve">de </w:t>
            </w:r>
            <w:r w:rsidRPr="00CE2CA5">
              <w:t>professeurs nationaux et internationaux chevronnés.</w:t>
            </w:r>
          </w:p>
          <w:p w:rsidR="00D8371C" w:rsidRPr="00CE2CA5" w:rsidRDefault="00D8371C" w:rsidP="00A601DF"/>
          <w:p w:rsidR="00D8371C" w:rsidRPr="00CE2CA5" w:rsidRDefault="0076163E" w:rsidP="00A601DF">
            <w:r w:rsidRPr="00CE2CA5">
              <w:t>Au total, 74</w:t>
            </w:r>
            <w:r w:rsidR="00AB3EC6" w:rsidRPr="00CE2CA5">
              <w:t> </w:t>
            </w:r>
            <w:r w:rsidRPr="00CE2CA5">
              <w:t>juges et autres formateurs, dont 21</w:t>
            </w:r>
            <w:r w:rsidR="00AB3EC6" w:rsidRPr="00CE2CA5">
              <w:t> </w:t>
            </w:r>
            <w:r w:rsidRPr="00CE2CA5">
              <w:t>femmes, ont suivi en moyenne 120</w:t>
            </w:r>
            <w:r w:rsidR="00AB3EC6" w:rsidRPr="00CE2CA5">
              <w:t> </w:t>
            </w:r>
            <w:r w:rsidRPr="00CE2CA5">
              <w:t>heures de formation continue théorique et pratique sur les droits de propriété intellectuelle.</w:t>
            </w:r>
          </w:p>
          <w:p w:rsidR="00D8371C" w:rsidRDefault="00D8371C" w:rsidP="00A601DF"/>
          <w:p w:rsidR="00A601DF" w:rsidRPr="00CE2CA5" w:rsidRDefault="00A601DF" w:rsidP="00A601DF"/>
          <w:p w:rsidR="00D8371C" w:rsidRPr="00CE2CA5" w:rsidRDefault="00705347" w:rsidP="00A601DF">
            <w:r w:rsidRPr="00CE2CA5">
              <w:lastRenderedPageBreak/>
              <w:t>4.1</w:t>
            </w:r>
            <w:r w:rsidR="00A601DF">
              <w:tab/>
            </w:r>
            <w:r w:rsidRPr="00CE2CA5">
              <w:t>Costa</w:t>
            </w:r>
            <w:r w:rsidR="0009127F">
              <w:t> </w:t>
            </w:r>
            <w:r w:rsidRPr="00CE2CA5">
              <w:t>Rica</w:t>
            </w:r>
          </w:p>
          <w:p w:rsidR="00D8371C" w:rsidRPr="00CE2CA5" w:rsidRDefault="00D8371C" w:rsidP="00A601DF"/>
          <w:p w:rsidR="00D8371C" w:rsidRPr="00CE2CA5" w:rsidRDefault="00705347" w:rsidP="00A601DF">
            <w:r w:rsidRPr="00CE2CA5">
              <w:t>Conformément à l</w:t>
            </w:r>
            <w:r w:rsidR="00BF1851">
              <w:t>’</w:t>
            </w:r>
            <w:r w:rsidRPr="00CE2CA5">
              <w:t>accord de coopération conclu avec l</w:t>
            </w:r>
            <w:r w:rsidR="00BF1851">
              <w:t>’</w:t>
            </w:r>
            <w:r w:rsidRPr="00CE2CA5">
              <w:t xml:space="preserve">École de la magistrature Edgar Cervantes Villalta, un programme spécial de formation des formateurs a été mis en </w:t>
            </w:r>
            <w:r w:rsidR="00AB3EC6" w:rsidRPr="00CE2CA5">
              <w:t>œ</w:t>
            </w:r>
            <w:r w:rsidRPr="00CE2CA5">
              <w:t>uvre.</w:t>
            </w:r>
          </w:p>
          <w:p w:rsidR="00D8371C" w:rsidRPr="00CE2CA5" w:rsidRDefault="00D8371C" w:rsidP="00A601DF"/>
          <w:p w:rsidR="00D8371C" w:rsidRPr="00CE2CA5" w:rsidRDefault="00771311" w:rsidP="00A601DF">
            <w:r w:rsidRPr="00CE2CA5">
              <w:t>Un groupe de 24</w:t>
            </w:r>
            <w:r w:rsidR="00AB3EC6" w:rsidRPr="00CE2CA5">
              <w:t> </w:t>
            </w:r>
            <w:r w:rsidRPr="00CE2CA5">
              <w:t xml:space="preserve">juges a suivi le programme de formation continue et participé à des sessions de formation </w:t>
            </w:r>
            <w:r w:rsidR="00FF3385" w:rsidRPr="00CE2CA5">
              <w:t xml:space="preserve">en ligne et en présentiel </w:t>
            </w:r>
            <w:r w:rsidRPr="00CE2CA5">
              <w:t>qui portaient tant s</w:t>
            </w:r>
            <w:r w:rsidR="00FF3385">
              <w:t>ur le fond que sur la pratique</w:t>
            </w:r>
            <w:r w:rsidRPr="00CE2CA5">
              <w:t xml:space="preserve"> et qui étaient animées par un éminent professeur colombien et un haut magistrat espagn</w:t>
            </w:r>
            <w:r w:rsidR="00DF50B4" w:rsidRPr="00CE2CA5">
              <w:t>ol</w:t>
            </w:r>
            <w:r w:rsidR="00DF50B4">
              <w:t xml:space="preserve">.  </w:t>
            </w:r>
            <w:r w:rsidR="00DF50B4" w:rsidRPr="00CE2CA5">
              <w:t>De</w:t>
            </w:r>
            <w:r w:rsidR="007E014D" w:rsidRPr="00CE2CA5">
              <w:t xml:space="preserve">s professeurs et </w:t>
            </w:r>
            <w:r w:rsidR="00FF3385">
              <w:t xml:space="preserve">des </w:t>
            </w:r>
            <w:r w:rsidR="007E014D" w:rsidRPr="00CE2CA5">
              <w:t>juges nationaux ont également joué le rôle d</w:t>
            </w:r>
            <w:r w:rsidR="00BF1851">
              <w:t>’</w:t>
            </w:r>
            <w:r w:rsidR="007E014D" w:rsidRPr="00CE2CA5">
              <w:t>instructeurs et de formateurs dans le cadre du programme.</w:t>
            </w:r>
          </w:p>
          <w:p w:rsidR="00D8371C" w:rsidRPr="00CE2CA5" w:rsidRDefault="00D8371C" w:rsidP="00A601DF"/>
          <w:p w:rsidR="00D8371C" w:rsidRPr="00CE2CA5" w:rsidRDefault="007E014D" w:rsidP="00A601DF">
            <w:r w:rsidRPr="00CE2CA5">
              <w:t>Les formations suivantes ont été dispensées</w:t>
            </w:r>
            <w:r w:rsidR="00BF1851">
              <w:t> :</w:t>
            </w:r>
          </w:p>
          <w:p w:rsidR="00D8371C" w:rsidRPr="00CE2CA5" w:rsidRDefault="00D8371C" w:rsidP="00A601DF"/>
          <w:p w:rsidR="00D8371C" w:rsidRPr="00CE2CA5" w:rsidRDefault="007E014D" w:rsidP="00A601DF">
            <w:pPr>
              <w:numPr>
                <w:ilvl w:val="0"/>
                <w:numId w:val="33"/>
              </w:numPr>
              <w:ind w:left="1134" w:hanging="567"/>
            </w:pPr>
            <w:r w:rsidRPr="00CE2CA5">
              <w:t>Enseignement à distance</w:t>
            </w:r>
            <w:r w:rsidR="00BF1851">
              <w:t> :</w:t>
            </w:r>
            <w:r w:rsidRPr="00CE2CA5">
              <w:t xml:space="preserve"> 28</w:t>
            </w:r>
            <w:r w:rsidR="00AB3EC6" w:rsidRPr="00CE2CA5">
              <w:t> </w:t>
            </w:r>
            <w:r w:rsidRPr="00CE2CA5">
              <w:t xml:space="preserve">mai </w:t>
            </w:r>
            <w:r w:rsidR="00AB3EC6" w:rsidRPr="00CE2CA5">
              <w:t>–</w:t>
            </w:r>
            <w:r w:rsidRPr="00CE2CA5">
              <w:t xml:space="preserve"> 31</w:t>
            </w:r>
            <w:r w:rsidR="00AB3EC6" w:rsidRPr="00CE2CA5">
              <w:t> </w:t>
            </w:r>
            <w:r w:rsidRPr="00CE2CA5">
              <w:t>juillet</w:t>
            </w:r>
            <w:r w:rsidR="00AB3EC6" w:rsidRPr="00CE2CA5">
              <w:t> </w:t>
            </w:r>
            <w:r w:rsidRPr="00CE2CA5">
              <w:t>2018</w:t>
            </w:r>
          </w:p>
          <w:p w:rsidR="00D8371C" w:rsidRPr="00CE2CA5" w:rsidRDefault="007E014D" w:rsidP="00A601DF">
            <w:pPr>
              <w:numPr>
                <w:ilvl w:val="0"/>
                <w:numId w:val="33"/>
              </w:numPr>
              <w:ind w:left="1134" w:hanging="567"/>
            </w:pPr>
            <w:r w:rsidRPr="00CE2CA5">
              <w:t>Session en présentiel</w:t>
            </w:r>
            <w:r w:rsidR="00BF1851">
              <w:t> :</w:t>
            </w:r>
            <w:r w:rsidRPr="00CE2CA5">
              <w:t xml:space="preserve"> San José (Costa</w:t>
            </w:r>
            <w:r w:rsidR="0009127F">
              <w:t> </w:t>
            </w:r>
            <w:r w:rsidRPr="00CE2CA5">
              <w:t>Rica)</w:t>
            </w:r>
            <w:r w:rsidR="00BF1851">
              <w:t> :</w:t>
            </w:r>
            <w:r w:rsidRPr="00CE2CA5">
              <w:t xml:space="preserve"> 11</w:t>
            </w:r>
            <w:r w:rsidR="00BF1851">
              <w:t xml:space="preserve"> – </w:t>
            </w:r>
            <w:r w:rsidRPr="00CE2CA5">
              <w:t>15</w:t>
            </w:r>
            <w:r w:rsidR="00AB3EC6" w:rsidRPr="00CE2CA5">
              <w:t> </w:t>
            </w:r>
            <w:r w:rsidRPr="00CE2CA5">
              <w:t>juin</w:t>
            </w:r>
            <w:r w:rsidR="00AB3EC6" w:rsidRPr="00CE2CA5">
              <w:t> </w:t>
            </w:r>
            <w:r w:rsidRPr="00CE2CA5">
              <w:t>2018</w:t>
            </w:r>
          </w:p>
          <w:p w:rsidR="00D8371C" w:rsidRPr="00CE2CA5" w:rsidRDefault="000D7A57" w:rsidP="00A601DF">
            <w:pPr>
              <w:numPr>
                <w:ilvl w:val="0"/>
                <w:numId w:val="33"/>
              </w:numPr>
              <w:ind w:left="1134" w:hanging="567"/>
            </w:pPr>
            <w:r w:rsidRPr="00CE2CA5">
              <w:t>Session de suivi en présentiel</w:t>
            </w:r>
            <w:r w:rsidR="00BF1851">
              <w:t> :</w:t>
            </w:r>
            <w:r w:rsidRPr="00CE2CA5">
              <w:t xml:space="preserve"> San José (Costa</w:t>
            </w:r>
            <w:r w:rsidR="0009127F">
              <w:t> </w:t>
            </w:r>
            <w:r w:rsidRPr="00CE2CA5">
              <w:t>Rica)</w:t>
            </w:r>
            <w:r w:rsidR="00BF1851">
              <w:t> :</w:t>
            </w:r>
            <w:r w:rsidRPr="00CE2CA5">
              <w:t xml:space="preserve"> 31</w:t>
            </w:r>
            <w:r w:rsidR="00AB3EC6" w:rsidRPr="00CE2CA5">
              <w:t> </w:t>
            </w:r>
            <w:r w:rsidRPr="00CE2CA5">
              <w:t xml:space="preserve">octobre </w:t>
            </w:r>
            <w:r w:rsidR="00AB3EC6" w:rsidRPr="00CE2CA5">
              <w:t>–</w:t>
            </w:r>
            <w:r w:rsidRPr="00CE2CA5">
              <w:t xml:space="preserve"> 2</w:t>
            </w:r>
            <w:r w:rsidR="00AB3EC6" w:rsidRPr="00CE2CA5">
              <w:t> </w:t>
            </w:r>
            <w:r w:rsidRPr="00CE2CA5">
              <w:t>novembre</w:t>
            </w:r>
            <w:r w:rsidR="00AB3EC6" w:rsidRPr="00CE2CA5">
              <w:t> </w:t>
            </w:r>
            <w:r w:rsidRPr="00CE2CA5">
              <w:t>2018</w:t>
            </w:r>
          </w:p>
          <w:p w:rsidR="00D8371C" w:rsidRPr="00CE2CA5" w:rsidRDefault="000D7A57" w:rsidP="00A601DF">
            <w:pPr>
              <w:numPr>
                <w:ilvl w:val="0"/>
                <w:numId w:val="33"/>
              </w:numPr>
              <w:ind w:left="1134" w:hanging="567"/>
            </w:pPr>
            <w:r w:rsidRPr="00CE2CA5">
              <w:t>Formation en ligne en direct sur l</w:t>
            </w:r>
            <w:r w:rsidR="00BF1851">
              <w:t>’</w:t>
            </w:r>
            <w:r w:rsidRPr="00CE2CA5">
              <w:t>utilisation de la base de données relative aux affaires judiciaires (quatre sessions)</w:t>
            </w:r>
            <w:r w:rsidR="00BF1851">
              <w:t> :</w:t>
            </w:r>
            <w:r w:rsidRPr="00CE2CA5">
              <w:t xml:space="preserve"> 10</w:t>
            </w:r>
            <w:r w:rsidR="00AB3EC6" w:rsidRPr="00CE2CA5">
              <w:t> </w:t>
            </w:r>
            <w:r w:rsidRPr="00CE2CA5">
              <w:t>octobre et 8, 15 et 19</w:t>
            </w:r>
            <w:r w:rsidR="00AB3EC6" w:rsidRPr="00CE2CA5">
              <w:t> </w:t>
            </w:r>
            <w:r w:rsidRPr="00CE2CA5">
              <w:t>novembre</w:t>
            </w:r>
            <w:r w:rsidR="00AB3EC6" w:rsidRPr="00CE2CA5">
              <w:t> </w:t>
            </w:r>
            <w:r w:rsidRPr="00CE2CA5">
              <w:t>2018.</w:t>
            </w:r>
          </w:p>
          <w:p w:rsidR="00D8371C" w:rsidRPr="00CE2CA5" w:rsidRDefault="00D8371C" w:rsidP="00A601DF"/>
          <w:p w:rsidR="00D8371C" w:rsidRPr="00CE2CA5" w:rsidRDefault="000D7A57" w:rsidP="00A601DF">
            <w:r w:rsidRPr="00CE2CA5">
              <w:t>4.2</w:t>
            </w:r>
            <w:r w:rsidR="00A601DF">
              <w:tab/>
            </w:r>
            <w:r w:rsidRPr="00CE2CA5">
              <w:t>Liban</w:t>
            </w:r>
          </w:p>
          <w:p w:rsidR="00D8371C" w:rsidRPr="00CE2CA5" w:rsidRDefault="00D8371C" w:rsidP="00A601DF"/>
          <w:p w:rsidR="00D8371C" w:rsidRPr="00CE2CA5" w:rsidRDefault="000D7A57" w:rsidP="00A601DF">
            <w:r w:rsidRPr="00CE2CA5">
              <w:t>Conformément à l</w:t>
            </w:r>
            <w:r w:rsidR="00BF1851">
              <w:t>’</w:t>
            </w:r>
            <w:r w:rsidRPr="00CE2CA5">
              <w:t xml:space="preserve">accord de coopération conclu avec le Ministère de la justice de la République libanaise, un programme spécial de formation des formateurs a été mis en </w:t>
            </w:r>
            <w:r w:rsidR="00AB3EC6" w:rsidRPr="00CE2CA5">
              <w:t>œ</w:t>
            </w:r>
            <w:r w:rsidRPr="00CE2CA5">
              <w:t>uvre.</w:t>
            </w:r>
          </w:p>
          <w:p w:rsidR="00D8371C" w:rsidRPr="00CE2CA5" w:rsidRDefault="00D8371C" w:rsidP="00A601DF"/>
          <w:p w:rsidR="00D8371C" w:rsidRPr="00CE2CA5" w:rsidRDefault="000D7A57" w:rsidP="00A601DF">
            <w:r w:rsidRPr="00CE2CA5">
              <w:t>Un groupe de 20</w:t>
            </w:r>
            <w:r w:rsidR="00AB3EC6" w:rsidRPr="00CE2CA5">
              <w:t> </w:t>
            </w:r>
            <w:r w:rsidRPr="00CE2CA5">
              <w:t xml:space="preserve">magistrats a </w:t>
            </w:r>
            <w:r w:rsidR="00FF3385">
              <w:t>suivi le</w:t>
            </w:r>
            <w:r w:rsidRPr="00CE2CA5">
              <w:t xml:space="preserve"> programme de formation continue </w:t>
            </w:r>
            <w:r w:rsidR="00FF3385">
              <w:t>et assisté</w:t>
            </w:r>
            <w:r w:rsidRPr="00CE2CA5">
              <w:t xml:space="preserve"> à des sessions de formation </w:t>
            </w:r>
            <w:r w:rsidR="00FF3385" w:rsidRPr="00CE2CA5">
              <w:t xml:space="preserve">en ligne et en présentiel </w:t>
            </w:r>
            <w:r w:rsidRPr="00CE2CA5">
              <w:t>qui portaient tant sur le fond que sur la pratique et qui étaient animées par d</w:t>
            </w:r>
            <w:r w:rsidR="00BF1851">
              <w:t>’</w:t>
            </w:r>
            <w:r w:rsidRPr="00CE2CA5">
              <w:t xml:space="preserve">éminents professeurs et juges </w:t>
            </w:r>
            <w:r w:rsidR="00B61F9D">
              <w:t xml:space="preserve">venus </w:t>
            </w:r>
            <w:r w:rsidRPr="00CE2CA5">
              <w:t>d</w:t>
            </w:r>
            <w:r w:rsidR="00BF1851">
              <w:t>’</w:t>
            </w:r>
            <w:r w:rsidRPr="00CE2CA5">
              <w:t>Égypte, de Jordanie et de Syrie</w:t>
            </w:r>
            <w:r w:rsidR="00FF3385">
              <w:t xml:space="preserve"> et par </w:t>
            </w:r>
            <w:r w:rsidRPr="00CE2CA5">
              <w:t>des juges expérimentés et des experts libanais.</w:t>
            </w:r>
          </w:p>
          <w:p w:rsidR="00D8371C" w:rsidRPr="00CE2CA5" w:rsidRDefault="00D8371C" w:rsidP="00A601DF"/>
          <w:p w:rsidR="00D8371C" w:rsidRPr="00CE2CA5" w:rsidRDefault="000D7A57" w:rsidP="00A601DF">
            <w:pPr>
              <w:numPr>
                <w:ilvl w:val="0"/>
                <w:numId w:val="34"/>
              </w:numPr>
              <w:ind w:left="1134" w:hanging="567"/>
            </w:pPr>
            <w:r w:rsidRPr="00CE2CA5">
              <w:t>Premier cours d</w:t>
            </w:r>
            <w:r w:rsidR="00BF1851">
              <w:t>’</w:t>
            </w:r>
            <w:r w:rsidRPr="00CE2CA5">
              <w:t>enseignement à distance (général)</w:t>
            </w:r>
            <w:r w:rsidR="00BF1851">
              <w:t> :</w:t>
            </w:r>
            <w:r w:rsidRPr="00CE2CA5">
              <w:t xml:space="preserve"> 21</w:t>
            </w:r>
            <w:r w:rsidR="00AB3EC6" w:rsidRPr="00CE2CA5">
              <w:t> </w:t>
            </w:r>
            <w:r w:rsidRPr="00CE2CA5">
              <w:t>mai – 18</w:t>
            </w:r>
            <w:r w:rsidR="00AB3EC6" w:rsidRPr="00CE2CA5">
              <w:t> </w:t>
            </w:r>
            <w:r w:rsidRPr="00CE2CA5">
              <w:t>juillet</w:t>
            </w:r>
            <w:r w:rsidR="00AB3EC6" w:rsidRPr="00CE2CA5">
              <w:t> </w:t>
            </w:r>
            <w:r w:rsidRPr="00CE2CA5">
              <w:t>2018</w:t>
            </w:r>
          </w:p>
          <w:p w:rsidR="00D8371C" w:rsidRPr="00CE2CA5" w:rsidRDefault="000D7A57" w:rsidP="00A601DF">
            <w:pPr>
              <w:numPr>
                <w:ilvl w:val="0"/>
                <w:numId w:val="34"/>
              </w:numPr>
              <w:ind w:left="1134" w:hanging="567"/>
            </w:pPr>
            <w:r w:rsidRPr="00CE2CA5">
              <w:t>Deuxième cours d</w:t>
            </w:r>
            <w:r w:rsidR="00BF1851">
              <w:t>’</w:t>
            </w:r>
            <w:r w:rsidRPr="00CE2CA5">
              <w:t>enseignement à distance (personnalisé)</w:t>
            </w:r>
            <w:r w:rsidR="00BF1851">
              <w:t> :</w:t>
            </w:r>
            <w:r w:rsidRPr="00CE2CA5">
              <w:t xml:space="preserve"> 15</w:t>
            </w:r>
            <w:r w:rsidR="00AB3EC6" w:rsidRPr="00CE2CA5">
              <w:t> </w:t>
            </w:r>
            <w:r w:rsidRPr="00CE2CA5">
              <w:t>juillet – 10</w:t>
            </w:r>
            <w:r w:rsidR="00AB3EC6" w:rsidRPr="00CE2CA5">
              <w:t> </w:t>
            </w:r>
            <w:r w:rsidRPr="00CE2CA5">
              <w:t>novembre</w:t>
            </w:r>
            <w:r w:rsidR="00AB3EC6" w:rsidRPr="00CE2CA5">
              <w:t> </w:t>
            </w:r>
            <w:r w:rsidRPr="00CE2CA5">
              <w:t>2018</w:t>
            </w:r>
          </w:p>
          <w:p w:rsidR="00D8371C" w:rsidRPr="00CE2CA5" w:rsidRDefault="000D7A57" w:rsidP="00A601DF">
            <w:pPr>
              <w:numPr>
                <w:ilvl w:val="0"/>
                <w:numId w:val="34"/>
              </w:numPr>
              <w:ind w:left="1134" w:hanging="567"/>
            </w:pPr>
            <w:r w:rsidRPr="00CE2CA5">
              <w:t>Session en présentiel</w:t>
            </w:r>
            <w:r w:rsidR="00BF1851">
              <w:t> :</w:t>
            </w:r>
            <w:r w:rsidRPr="00CE2CA5">
              <w:t xml:space="preserve"> Beyrouth (Liban)</w:t>
            </w:r>
            <w:r w:rsidR="00BF1851">
              <w:t> :</w:t>
            </w:r>
            <w:r w:rsidRPr="00CE2CA5">
              <w:t xml:space="preserve"> 2 au 4</w:t>
            </w:r>
            <w:r w:rsidR="00AB3EC6" w:rsidRPr="00CE2CA5">
              <w:t> </w:t>
            </w:r>
            <w:r w:rsidRPr="00CE2CA5">
              <w:t>juillet</w:t>
            </w:r>
            <w:r w:rsidR="00AB3EC6" w:rsidRPr="00CE2CA5">
              <w:t> </w:t>
            </w:r>
            <w:r w:rsidRPr="00CE2CA5">
              <w:t>2018</w:t>
            </w:r>
          </w:p>
          <w:p w:rsidR="00D8371C" w:rsidRPr="00CE2CA5" w:rsidRDefault="000D7A57" w:rsidP="00A601DF">
            <w:pPr>
              <w:numPr>
                <w:ilvl w:val="0"/>
                <w:numId w:val="34"/>
              </w:numPr>
              <w:ind w:left="1134" w:hanging="567"/>
            </w:pPr>
            <w:r w:rsidRPr="00CE2CA5">
              <w:t>Session en présentiel</w:t>
            </w:r>
            <w:r w:rsidR="00BF1851">
              <w:t> :</w:t>
            </w:r>
            <w:r w:rsidRPr="00CE2CA5">
              <w:t xml:space="preserve"> Beyrouth (Liban)</w:t>
            </w:r>
            <w:r w:rsidR="00BF1851">
              <w:t> :</w:t>
            </w:r>
            <w:r w:rsidRPr="00CE2CA5">
              <w:t xml:space="preserve"> 9 et 10</w:t>
            </w:r>
            <w:r w:rsidR="00AB3EC6" w:rsidRPr="00CE2CA5">
              <w:t> </w:t>
            </w:r>
            <w:r w:rsidRPr="00CE2CA5">
              <w:t>novembre</w:t>
            </w:r>
            <w:r w:rsidR="00AB3EC6" w:rsidRPr="00CE2CA5">
              <w:t> </w:t>
            </w:r>
            <w:r w:rsidRPr="00CE2CA5">
              <w:t>2018</w:t>
            </w:r>
          </w:p>
          <w:p w:rsidR="00D8371C" w:rsidRPr="00CE2CA5" w:rsidRDefault="00C332C8" w:rsidP="00A601DF">
            <w:pPr>
              <w:numPr>
                <w:ilvl w:val="0"/>
                <w:numId w:val="34"/>
              </w:numPr>
              <w:ind w:left="1134" w:hanging="567"/>
            </w:pPr>
            <w:r w:rsidRPr="00CE2CA5">
              <w:t>Formation en ligne en direct sur l</w:t>
            </w:r>
            <w:r w:rsidR="00BF1851">
              <w:t>’</w:t>
            </w:r>
            <w:r w:rsidRPr="00CE2CA5">
              <w:t>utilisation de la base de données relative aux affaires judiciaires (quatre sessions)</w:t>
            </w:r>
            <w:r w:rsidR="00BF1851">
              <w:t> :</w:t>
            </w:r>
            <w:r w:rsidRPr="00CE2CA5">
              <w:t xml:space="preserve"> 5 et 12</w:t>
            </w:r>
            <w:r w:rsidR="00AB3EC6" w:rsidRPr="00CE2CA5">
              <w:t> </w:t>
            </w:r>
            <w:r w:rsidRPr="00CE2CA5">
              <w:t>octobre</w:t>
            </w:r>
            <w:r w:rsidR="00AB3EC6" w:rsidRPr="00CE2CA5">
              <w:t> </w:t>
            </w:r>
            <w:r w:rsidRPr="00CE2CA5">
              <w:t>2018 (deux sessions</w:t>
            </w:r>
            <w:r w:rsidR="00FF3385">
              <w:t xml:space="preserve"> à chaque fois</w:t>
            </w:r>
            <w:r w:rsidRPr="00CE2CA5">
              <w:t>).</w:t>
            </w:r>
          </w:p>
          <w:p w:rsidR="00A601DF" w:rsidRDefault="00A601DF" w:rsidP="00A601DF"/>
          <w:p w:rsidR="00A601DF" w:rsidRDefault="00A601DF" w:rsidP="00A601DF"/>
          <w:p w:rsidR="00A601DF" w:rsidRDefault="00A601DF" w:rsidP="00A601DF"/>
          <w:p w:rsidR="00A601DF" w:rsidRDefault="00A601DF" w:rsidP="00A601DF"/>
          <w:p w:rsidR="00A601DF" w:rsidRDefault="00A601DF" w:rsidP="00A601DF"/>
          <w:p w:rsidR="00D8371C" w:rsidRPr="00CE2CA5" w:rsidRDefault="00A601DF" w:rsidP="00A601DF">
            <w:r>
              <w:lastRenderedPageBreak/>
              <w:t>4.3</w:t>
            </w:r>
            <w:r>
              <w:tab/>
            </w:r>
            <w:r w:rsidR="00C332C8" w:rsidRPr="00CE2CA5">
              <w:t>Népal</w:t>
            </w:r>
          </w:p>
          <w:p w:rsidR="00D8371C" w:rsidRPr="00CE2CA5" w:rsidRDefault="00D8371C" w:rsidP="00A601DF"/>
          <w:p w:rsidR="00D8371C" w:rsidRPr="00CE2CA5" w:rsidRDefault="006C6C35" w:rsidP="00A601DF">
            <w:r w:rsidRPr="00CE2CA5">
              <w:t>Conformément à l</w:t>
            </w:r>
            <w:r w:rsidR="00BF1851">
              <w:t>’</w:t>
            </w:r>
            <w:r w:rsidRPr="00CE2CA5">
              <w:t>accord de coopération conclu avec l</w:t>
            </w:r>
            <w:r w:rsidR="00BF1851">
              <w:t>’</w:t>
            </w:r>
            <w:r w:rsidRPr="00CE2CA5">
              <w:t>École nati</w:t>
            </w:r>
            <w:r w:rsidR="00FF3385">
              <w:t>onale de la magistrature du Népal</w:t>
            </w:r>
            <w:r w:rsidRPr="00CE2CA5">
              <w:t xml:space="preserve">, un programme spécial de formation des formateurs a été mis en </w:t>
            </w:r>
            <w:r w:rsidR="00AB3EC6" w:rsidRPr="00CE2CA5">
              <w:t>œ</w:t>
            </w:r>
            <w:r w:rsidRPr="00CE2CA5">
              <w:t>uvre.</w:t>
            </w:r>
          </w:p>
          <w:p w:rsidR="00D8371C" w:rsidRPr="00CE2CA5" w:rsidRDefault="00D8371C" w:rsidP="00A601DF"/>
          <w:p w:rsidR="00BF1851" w:rsidRDefault="00E551BB" w:rsidP="00A601DF">
            <w:r w:rsidRPr="00CE2CA5">
              <w:t>Un groupe composé de 14</w:t>
            </w:r>
            <w:r w:rsidR="00AB3EC6" w:rsidRPr="00CE2CA5">
              <w:t> </w:t>
            </w:r>
            <w:r w:rsidRPr="00CE2CA5">
              <w:t>juges de la Haute Cour et de district</w:t>
            </w:r>
            <w:r w:rsidR="00FF3385">
              <w:t xml:space="preserve"> et </w:t>
            </w:r>
            <w:r w:rsidRPr="00CE2CA5">
              <w:t>des procureurs ont participé au programme de formation continue dispensé en ligne et en présenti</w:t>
            </w:r>
            <w:r w:rsidR="00DF50B4" w:rsidRPr="00CE2CA5">
              <w:t>el</w:t>
            </w:r>
            <w:r w:rsidR="00DF50B4">
              <w:t xml:space="preserve">.  </w:t>
            </w:r>
            <w:r w:rsidR="00DF50B4" w:rsidRPr="00CE2CA5">
              <w:t>Un</w:t>
            </w:r>
            <w:r w:rsidRPr="00CE2CA5">
              <w:t xml:space="preserve"> juge </w:t>
            </w:r>
            <w:r w:rsidR="00FF3385">
              <w:t>philippin expérimenté</w:t>
            </w:r>
            <w:r w:rsidRPr="00CE2CA5">
              <w:t xml:space="preserve"> et des professeurs de droit de la propriété intellectuelle </w:t>
            </w:r>
            <w:r w:rsidR="00FF3385">
              <w:t xml:space="preserve">venus </w:t>
            </w:r>
            <w:r w:rsidRPr="00CE2CA5">
              <w:t>d</w:t>
            </w:r>
            <w:r w:rsidR="00BF1851">
              <w:t>’</w:t>
            </w:r>
            <w:r w:rsidRPr="00CE2CA5">
              <w:t>Inde et du Royaume</w:t>
            </w:r>
            <w:r w:rsidR="005B01A6">
              <w:noBreakHyphen/>
            </w:r>
            <w:r w:rsidRPr="00CE2CA5">
              <w:t xml:space="preserve">Uni ont </w:t>
            </w:r>
            <w:r w:rsidR="00FF3385">
              <w:t xml:space="preserve">animé les séances </w:t>
            </w:r>
            <w:r w:rsidRPr="00CE2CA5">
              <w:t xml:space="preserve">et </w:t>
            </w:r>
            <w:r w:rsidR="00B61F9D">
              <w:t xml:space="preserve">participé à des débats </w:t>
            </w:r>
            <w:r w:rsidRPr="00CE2CA5">
              <w:t xml:space="preserve">avec les participants sur </w:t>
            </w:r>
            <w:r w:rsidR="00FF3385">
              <w:t xml:space="preserve">des </w:t>
            </w:r>
            <w:r w:rsidRPr="00CE2CA5">
              <w:t>affaires liées à la propriété intellectuel</w:t>
            </w:r>
            <w:r w:rsidR="00DF50B4" w:rsidRPr="00CE2CA5">
              <w:t>le</w:t>
            </w:r>
            <w:r w:rsidR="00DF50B4">
              <w:t xml:space="preserve">.  </w:t>
            </w:r>
            <w:r w:rsidR="00DF50B4" w:rsidRPr="00CE2CA5">
              <w:t>De</w:t>
            </w:r>
            <w:r w:rsidRPr="00CE2CA5">
              <w:t>ux</w:t>
            </w:r>
            <w:r w:rsidR="0009127F">
              <w:t> </w:t>
            </w:r>
            <w:r w:rsidRPr="00CE2CA5">
              <w:t>juges de la Cour suprême et d</w:t>
            </w:r>
            <w:r w:rsidR="00BF1851">
              <w:t>’</w:t>
            </w:r>
            <w:r w:rsidRPr="00CE2CA5">
              <w:t>autres experts népalais ont présenté des exposés et fait part de données d</w:t>
            </w:r>
            <w:r w:rsidR="00BF1851">
              <w:t>’</w:t>
            </w:r>
            <w:r w:rsidRPr="00CE2CA5">
              <w:t>expérience nationales concrètes.</w:t>
            </w:r>
          </w:p>
          <w:p w:rsidR="00D8371C" w:rsidRPr="00CE2CA5" w:rsidRDefault="00D8371C" w:rsidP="00A601DF"/>
          <w:p w:rsidR="00D8371C" w:rsidRPr="00CE2CA5" w:rsidRDefault="00E551BB" w:rsidP="00A601DF">
            <w:pPr>
              <w:numPr>
                <w:ilvl w:val="0"/>
                <w:numId w:val="35"/>
              </w:numPr>
              <w:ind w:left="1134" w:hanging="567"/>
            </w:pPr>
            <w:r w:rsidRPr="00CE2CA5">
              <w:t>Enseignement à distance</w:t>
            </w:r>
            <w:r w:rsidR="00BF1851">
              <w:t> :</w:t>
            </w:r>
            <w:r w:rsidRPr="00CE2CA5">
              <w:t xml:space="preserve"> 28</w:t>
            </w:r>
            <w:r w:rsidR="00AB3EC6" w:rsidRPr="00CE2CA5">
              <w:t> </w:t>
            </w:r>
            <w:r w:rsidRPr="00CE2CA5">
              <w:t>mai – 3</w:t>
            </w:r>
            <w:r w:rsidR="00AB3EC6" w:rsidRPr="00CE2CA5">
              <w:t> </w:t>
            </w:r>
            <w:r w:rsidRPr="00CE2CA5">
              <w:t>août</w:t>
            </w:r>
            <w:r w:rsidR="00AB3EC6" w:rsidRPr="00CE2CA5">
              <w:t> </w:t>
            </w:r>
            <w:r w:rsidRPr="00CE2CA5">
              <w:t>2018</w:t>
            </w:r>
          </w:p>
          <w:p w:rsidR="00D8371C" w:rsidRPr="00CE2CA5" w:rsidRDefault="00E551BB" w:rsidP="00A601DF">
            <w:pPr>
              <w:numPr>
                <w:ilvl w:val="0"/>
                <w:numId w:val="35"/>
              </w:numPr>
              <w:ind w:left="1134" w:hanging="567"/>
            </w:pPr>
            <w:r w:rsidRPr="00CE2CA5">
              <w:t>Session en présentiel</w:t>
            </w:r>
            <w:r w:rsidR="00BF1851">
              <w:t> :</w:t>
            </w:r>
            <w:r w:rsidRPr="00CE2CA5">
              <w:t xml:space="preserve"> Katmandou (Népal)</w:t>
            </w:r>
            <w:r w:rsidR="00BF1851">
              <w:t> :</w:t>
            </w:r>
            <w:r w:rsidRPr="00CE2CA5">
              <w:t xml:space="preserve"> 30</w:t>
            </w:r>
            <w:r w:rsidR="00AB3EC6" w:rsidRPr="00CE2CA5">
              <w:t> </w:t>
            </w:r>
            <w:r w:rsidRPr="00CE2CA5">
              <w:t>juillet –</w:t>
            </w:r>
            <w:r w:rsidR="00BF1851">
              <w:t xml:space="preserve"> 1</w:t>
            </w:r>
            <w:r w:rsidR="00BF1851" w:rsidRPr="00BF1851">
              <w:rPr>
                <w:vertAlign w:val="superscript"/>
              </w:rPr>
              <w:t>er</w:t>
            </w:r>
            <w:r w:rsidR="00BF1851">
              <w:t> </w:t>
            </w:r>
            <w:r w:rsidRPr="00CE2CA5">
              <w:t>août</w:t>
            </w:r>
            <w:r w:rsidR="00AB3EC6" w:rsidRPr="00CE2CA5">
              <w:t> </w:t>
            </w:r>
            <w:r w:rsidRPr="00CE2CA5">
              <w:t>2018</w:t>
            </w:r>
          </w:p>
          <w:p w:rsidR="00D8371C" w:rsidRPr="00CE2CA5" w:rsidRDefault="00E551BB" w:rsidP="00A601DF">
            <w:pPr>
              <w:numPr>
                <w:ilvl w:val="0"/>
                <w:numId w:val="35"/>
              </w:numPr>
              <w:ind w:left="1134" w:hanging="567"/>
            </w:pPr>
            <w:r w:rsidRPr="00CE2CA5">
              <w:t>Session en présentiel</w:t>
            </w:r>
            <w:r w:rsidR="00BF1851">
              <w:t> :</w:t>
            </w:r>
            <w:r w:rsidRPr="00CE2CA5">
              <w:t xml:space="preserve"> Katmandou (Népal)</w:t>
            </w:r>
            <w:r w:rsidR="00BF1851">
              <w:t> :</w:t>
            </w:r>
            <w:r w:rsidRPr="00CE2CA5">
              <w:t xml:space="preserve"> 2 et 3</w:t>
            </w:r>
            <w:r w:rsidR="00AB3EC6" w:rsidRPr="00CE2CA5">
              <w:t> </w:t>
            </w:r>
            <w:r w:rsidRPr="00CE2CA5">
              <w:t>décembre</w:t>
            </w:r>
            <w:r w:rsidR="00AB3EC6" w:rsidRPr="00CE2CA5">
              <w:t> </w:t>
            </w:r>
            <w:r w:rsidRPr="00CE2CA5">
              <w:t>2018</w:t>
            </w:r>
          </w:p>
          <w:p w:rsidR="00D8371C" w:rsidRPr="00CE2CA5" w:rsidRDefault="00971403" w:rsidP="00A601DF">
            <w:pPr>
              <w:numPr>
                <w:ilvl w:val="0"/>
                <w:numId w:val="35"/>
              </w:numPr>
              <w:ind w:left="1134" w:hanging="567"/>
              <w:rPr>
                <w:b/>
                <w:bCs/>
              </w:rPr>
            </w:pPr>
            <w:r w:rsidRPr="00CE2CA5">
              <w:t>Formation à l</w:t>
            </w:r>
            <w:r w:rsidR="00BF1851">
              <w:t>’</w:t>
            </w:r>
            <w:r w:rsidRPr="00CE2CA5">
              <w:t xml:space="preserve">utilisation de la base de données </w:t>
            </w:r>
            <w:r w:rsidR="00FF3385">
              <w:t>relative aux</w:t>
            </w:r>
            <w:r w:rsidRPr="00CE2CA5">
              <w:t xml:space="preserve"> affaires judiciair</w:t>
            </w:r>
            <w:r w:rsidR="00DF50B4" w:rsidRPr="00CE2CA5">
              <w:t>es</w:t>
            </w:r>
            <w:r w:rsidR="00DF50B4">
              <w:t xml:space="preserve">.  </w:t>
            </w:r>
            <w:r w:rsidR="00DF50B4" w:rsidRPr="00CE2CA5">
              <w:t>Co</w:t>
            </w:r>
            <w:r w:rsidRPr="00CE2CA5">
              <w:t>mme il était difficile d</w:t>
            </w:r>
            <w:r w:rsidR="00BF1851">
              <w:t>’</w:t>
            </w:r>
            <w:r w:rsidRPr="00CE2CA5">
              <w:t xml:space="preserve">organiser des séances de groupe en ligne pour les juges en raison de leurs calendriers chargés, une </w:t>
            </w:r>
            <w:r w:rsidR="00BF1851" w:rsidRPr="00CE2CA5">
              <w:t>page</w:t>
            </w:r>
            <w:r w:rsidR="00BF1851">
              <w:t> </w:t>
            </w:r>
            <w:r w:rsidR="00BF1851" w:rsidRPr="00CE2CA5">
              <w:t>W</w:t>
            </w:r>
            <w:r w:rsidRPr="00CE2CA5">
              <w:t xml:space="preserve">eb spéciale contenant le matériel didactique pertinent a été créée à leur intention pour </w:t>
            </w:r>
            <w:r w:rsidR="00FF3385">
              <w:t>qu</w:t>
            </w:r>
            <w:r w:rsidR="00BF1851">
              <w:t>’</w:t>
            </w:r>
            <w:r w:rsidR="00FF3385">
              <w:t xml:space="preserve">ils puissent consulter et utiliser les outils </w:t>
            </w:r>
            <w:r w:rsidRPr="00CE2CA5">
              <w:t>à leur convenance.</w:t>
            </w:r>
          </w:p>
          <w:p w:rsidR="00D8371C" w:rsidRPr="00CE2CA5" w:rsidRDefault="00D8371C" w:rsidP="00A601DF">
            <w:pPr>
              <w:rPr>
                <w:b/>
                <w:bCs/>
              </w:rPr>
            </w:pPr>
          </w:p>
          <w:p w:rsidR="00D8371C" w:rsidRPr="00CE2CA5" w:rsidRDefault="00971403" w:rsidP="00A601DF">
            <w:r w:rsidRPr="00CE2CA5">
              <w:t>4.4</w:t>
            </w:r>
            <w:r w:rsidR="00A601DF">
              <w:tab/>
            </w:r>
            <w:r w:rsidRPr="00CE2CA5">
              <w:t>Nigéria</w:t>
            </w:r>
          </w:p>
          <w:p w:rsidR="00D8371C" w:rsidRPr="00CE2CA5" w:rsidRDefault="00D8371C" w:rsidP="00A601DF"/>
          <w:p w:rsidR="00D8371C" w:rsidRPr="00CE2CA5" w:rsidRDefault="00971403" w:rsidP="00A601DF">
            <w:r w:rsidRPr="00CE2CA5">
              <w:t>Conformément à l</w:t>
            </w:r>
            <w:r w:rsidR="00BF1851">
              <w:t>’</w:t>
            </w:r>
            <w:r w:rsidRPr="00CE2CA5">
              <w:t>accord de coopération conclu avec l</w:t>
            </w:r>
            <w:r w:rsidR="00BF1851">
              <w:t>’</w:t>
            </w:r>
            <w:r w:rsidRPr="00CE2CA5">
              <w:t>Institut judiciaire national et la Commission nationale du droit d</w:t>
            </w:r>
            <w:r w:rsidR="00BF1851">
              <w:t>’</w:t>
            </w:r>
            <w:r w:rsidRPr="00CE2CA5">
              <w:t xml:space="preserve">auteur, un programme spécial de formation des formateurs a été mis en </w:t>
            </w:r>
            <w:r w:rsidR="00AB3EC6" w:rsidRPr="00CE2CA5">
              <w:t>œ</w:t>
            </w:r>
            <w:r w:rsidRPr="00CE2CA5">
              <w:t>uvre.</w:t>
            </w:r>
          </w:p>
          <w:p w:rsidR="00D8371C" w:rsidRPr="00CE2CA5" w:rsidRDefault="00D8371C" w:rsidP="00A601DF"/>
          <w:p w:rsidR="00BF1851" w:rsidRDefault="00971403" w:rsidP="00A601DF">
            <w:r w:rsidRPr="00CE2CA5">
              <w:t>Un groupe de 18</w:t>
            </w:r>
            <w:r w:rsidR="00AB3EC6" w:rsidRPr="00CE2CA5">
              <w:t> </w:t>
            </w:r>
            <w:r w:rsidRPr="00CE2CA5">
              <w:t>professeurs et spécialistes du droit a participé au programme de formation continue dispensé en ligne et en présenti</w:t>
            </w:r>
            <w:r w:rsidR="00DF50B4" w:rsidRPr="00CE2CA5">
              <w:t>el</w:t>
            </w:r>
            <w:r w:rsidR="00DF50B4">
              <w:t xml:space="preserve">.  </w:t>
            </w:r>
            <w:r w:rsidR="00DF50B4" w:rsidRPr="00CE2CA5">
              <w:t>De</w:t>
            </w:r>
            <w:r w:rsidR="00493E3A" w:rsidRPr="00CE2CA5">
              <w:t xml:space="preserve">s professeurs de droit </w:t>
            </w:r>
            <w:r w:rsidR="00FF3385">
              <w:t xml:space="preserve">kényens et éthiopiens expérimentés </w:t>
            </w:r>
            <w:r w:rsidR="00493E3A" w:rsidRPr="00CE2CA5">
              <w:t xml:space="preserve">ont apporté leur assistance et leur </w:t>
            </w:r>
            <w:r w:rsidR="00FF3385">
              <w:t>savoir</w:t>
            </w:r>
            <w:r w:rsidR="005B01A6">
              <w:noBreakHyphen/>
            </w:r>
            <w:r w:rsidR="00FF3385">
              <w:t>faire pour</w:t>
            </w:r>
            <w:r w:rsidR="00493E3A" w:rsidRPr="00CE2CA5">
              <w:t xml:space="preserve"> la mise en œuvre des activités de formati</w:t>
            </w:r>
            <w:r w:rsidR="00DF50B4" w:rsidRPr="00CE2CA5">
              <w:t>on</w:t>
            </w:r>
            <w:r w:rsidR="00DF50B4">
              <w:t xml:space="preserve">.  </w:t>
            </w:r>
            <w:r w:rsidR="00DF50B4" w:rsidRPr="00CE2CA5">
              <w:t>Le</w:t>
            </w:r>
            <w:r w:rsidR="00493E3A" w:rsidRPr="00CE2CA5">
              <w:t xml:space="preserve"> Nigéria a choisi de renforcer les capacités des experts </w:t>
            </w:r>
            <w:r w:rsidR="00FF3385">
              <w:t xml:space="preserve">en </w:t>
            </w:r>
            <w:r w:rsidR="00493E3A" w:rsidRPr="00CE2CA5">
              <w:t>propriété intellectuelle qui</w:t>
            </w:r>
            <w:r w:rsidR="00FF3385">
              <w:t xml:space="preserve"> seraient</w:t>
            </w:r>
            <w:r w:rsidR="00493E3A" w:rsidRPr="00CE2CA5">
              <w:t xml:space="preserve"> à leur tour</w:t>
            </w:r>
            <w:r w:rsidR="00FF3385">
              <w:t xml:space="preserve"> </w:t>
            </w:r>
            <w:r w:rsidR="00493E3A" w:rsidRPr="00CE2CA5">
              <w:t>chargés de partager leurs connaissances avec les juges au niveau national.</w:t>
            </w:r>
          </w:p>
          <w:p w:rsidR="00D8371C" w:rsidRPr="00CE2CA5" w:rsidRDefault="00D8371C" w:rsidP="00A601DF"/>
          <w:p w:rsidR="00D8371C" w:rsidRPr="00CE2CA5" w:rsidRDefault="00493E3A" w:rsidP="00A601DF">
            <w:pPr>
              <w:numPr>
                <w:ilvl w:val="0"/>
                <w:numId w:val="36"/>
              </w:numPr>
              <w:ind w:left="1134" w:hanging="567"/>
            </w:pPr>
            <w:r w:rsidRPr="00CE2CA5">
              <w:t>Enseignement à distance</w:t>
            </w:r>
            <w:r w:rsidR="00BF1851">
              <w:t> :</w:t>
            </w:r>
            <w:r w:rsidRPr="00CE2CA5">
              <w:t xml:space="preserve"> 28</w:t>
            </w:r>
            <w:r w:rsidR="00AB3EC6" w:rsidRPr="00CE2CA5">
              <w:t> </w:t>
            </w:r>
            <w:r w:rsidRPr="00CE2CA5">
              <w:t>mai – 3</w:t>
            </w:r>
            <w:r w:rsidR="00AB3EC6" w:rsidRPr="00CE2CA5">
              <w:t> </w:t>
            </w:r>
            <w:r w:rsidRPr="00CE2CA5">
              <w:t>août</w:t>
            </w:r>
            <w:r w:rsidR="00AB3EC6" w:rsidRPr="00CE2CA5">
              <w:t> </w:t>
            </w:r>
            <w:r w:rsidRPr="00CE2CA5">
              <w:t>2018</w:t>
            </w:r>
          </w:p>
          <w:p w:rsidR="00D8371C" w:rsidRPr="00CE2CA5" w:rsidRDefault="00493E3A" w:rsidP="00A601DF">
            <w:pPr>
              <w:numPr>
                <w:ilvl w:val="0"/>
                <w:numId w:val="36"/>
              </w:numPr>
              <w:ind w:left="1134" w:hanging="567"/>
            </w:pPr>
            <w:r w:rsidRPr="00CE2CA5">
              <w:t>Session en présentiel</w:t>
            </w:r>
            <w:r w:rsidR="00BF1851">
              <w:t> :</w:t>
            </w:r>
            <w:r w:rsidRPr="00CE2CA5">
              <w:t xml:space="preserve"> Abuja (Nigéria)</w:t>
            </w:r>
            <w:r w:rsidR="00BF1851">
              <w:t> :</w:t>
            </w:r>
            <w:r w:rsidRPr="00CE2CA5">
              <w:t xml:space="preserve"> 17</w:t>
            </w:r>
            <w:r w:rsidR="00BF1851">
              <w:t xml:space="preserve"> – </w:t>
            </w:r>
            <w:r w:rsidRPr="00CE2CA5">
              <w:t>19</w:t>
            </w:r>
            <w:r w:rsidR="00AB3EC6" w:rsidRPr="00CE2CA5">
              <w:t> </w:t>
            </w:r>
            <w:r w:rsidRPr="00CE2CA5">
              <w:t>juillet</w:t>
            </w:r>
            <w:r w:rsidR="00AB3EC6" w:rsidRPr="00CE2CA5">
              <w:t> </w:t>
            </w:r>
            <w:r w:rsidRPr="00CE2CA5">
              <w:t>2018</w:t>
            </w:r>
          </w:p>
          <w:p w:rsidR="00BF1851" w:rsidRDefault="00493E3A" w:rsidP="00A601DF">
            <w:pPr>
              <w:numPr>
                <w:ilvl w:val="0"/>
                <w:numId w:val="36"/>
              </w:numPr>
              <w:ind w:left="1134" w:hanging="567"/>
            </w:pPr>
            <w:r w:rsidRPr="00CE2CA5">
              <w:t>Session de suivi en présentiel</w:t>
            </w:r>
            <w:r w:rsidR="00BF1851">
              <w:t> :</w:t>
            </w:r>
            <w:r w:rsidRPr="00CE2CA5">
              <w:t xml:space="preserve"> Abuja (Nigéria)</w:t>
            </w:r>
            <w:r w:rsidR="00BF1851">
              <w:t> :</w:t>
            </w:r>
            <w:r w:rsidRPr="00CE2CA5">
              <w:t xml:space="preserve"> 26 et 27</w:t>
            </w:r>
            <w:r w:rsidR="00AB3EC6" w:rsidRPr="00CE2CA5">
              <w:t> </w:t>
            </w:r>
            <w:r w:rsidRPr="00CE2CA5">
              <w:t>novembre</w:t>
            </w:r>
            <w:r w:rsidR="00AB3EC6" w:rsidRPr="00CE2CA5">
              <w:t> </w:t>
            </w:r>
            <w:r w:rsidRPr="00CE2CA5">
              <w:t>2018</w:t>
            </w:r>
          </w:p>
          <w:p w:rsidR="00D8371C" w:rsidRPr="00CE2CA5" w:rsidRDefault="00493E3A" w:rsidP="00A601DF">
            <w:pPr>
              <w:numPr>
                <w:ilvl w:val="0"/>
                <w:numId w:val="36"/>
              </w:numPr>
              <w:ind w:left="1134" w:hanging="567"/>
            </w:pPr>
            <w:r w:rsidRPr="00CE2CA5">
              <w:t>Formation en ligne en direct sur l</w:t>
            </w:r>
            <w:r w:rsidR="00BF1851">
              <w:t>’</w:t>
            </w:r>
            <w:r w:rsidRPr="00CE2CA5">
              <w:t>utilisation de la base de données relative aux affaires judiciaires (quatre sessions)</w:t>
            </w:r>
            <w:r w:rsidR="00BF1851">
              <w:t> :</w:t>
            </w:r>
            <w:r w:rsidRPr="00CE2CA5">
              <w:t xml:space="preserve"> 23, 24, 27 et 28</w:t>
            </w:r>
            <w:r w:rsidR="00AB3EC6" w:rsidRPr="00CE2CA5">
              <w:t> </w:t>
            </w:r>
            <w:r w:rsidRPr="00CE2CA5">
              <w:t>août</w:t>
            </w:r>
            <w:r w:rsidR="00AB3EC6" w:rsidRPr="00CE2CA5">
              <w:t> </w:t>
            </w:r>
            <w:r w:rsidRPr="00CE2CA5">
              <w:t>2018</w:t>
            </w:r>
          </w:p>
          <w:p w:rsidR="00D8371C" w:rsidRDefault="00D8371C" w:rsidP="00A601DF"/>
          <w:p w:rsidR="00A601DF" w:rsidRPr="00CE2CA5" w:rsidRDefault="00A601DF" w:rsidP="00A601DF"/>
          <w:p w:rsidR="00D8371C" w:rsidRPr="00CE2CA5" w:rsidRDefault="00FF3385" w:rsidP="00A601DF">
            <w:pPr>
              <w:numPr>
                <w:ilvl w:val="0"/>
                <w:numId w:val="14"/>
              </w:numPr>
              <w:ind w:left="1134" w:hanging="567"/>
            </w:pPr>
            <w:r w:rsidRPr="00CE2CA5">
              <w:lastRenderedPageBreak/>
              <w:t>SUIVI RÉGULIER</w:t>
            </w:r>
          </w:p>
          <w:p w:rsidR="00D8371C" w:rsidRPr="00CE2CA5" w:rsidRDefault="00D8371C" w:rsidP="00A601DF"/>
          <w:p w:rsidR="00D8371C" w:rsidRPr="00CE2CA5" w:rsidRDefault="00005A90" w:rsidP="00A601DF">
            <w:r w:rsidRPr="00CE2CA5">
              <w:t xml:space="preserve">Pendant la mise en </w:t>
            </w:r>
            <w:r w:rsidR="00AB3EC6" w:rsidRPr="00CE2CA5">
              <w:t>œ</w:t>
            </w:r>
            <w:r w:rsidRPr="00CE2CA5">
              <w:t>uvre du projet, les progrès concernant chaque élément ont fait l</w:t>
            </w:r>
            <w:r w:rsidR="00BF1851">
              <w:t>’</w:t>
            </w:r>
            <w:r w:rsidRPr="00CE2CA5">
              <w:t>objet d</w:t>
            </w:r>
            <w:r w:rsidR="00BF1851">
              <w:t>’</w:t>
            </w:r>
            <w:r w:rsidRPr="00CE2CA5">
              <w:t xml:space="preserve">un suivi régulier par rapport aux étapes clés figurant dans le descriptif de projet initial, </w:t>
            </w:r>
            <w:r w:rsidR="00FF3385">
              <w:t xml:space="preserve">dans </w:t>
            </w:r>
            <w:r w:rsidRPr="00CE2CA5">
              <w:t>le descriptif de projet national et</w:t>
            </w:r>
            <w:r w:rsidR="00FF3385">
              <w:t xml:space="preserve"> dans</w:t>
            </w:r>
            <w:r w:rsidRPr="00CE2CA5">
              <w:t xml:space="preserve"> les accords de coopérati</w:t>
            </w:r>
            <w:r w:rsidR="00DF50B4" w:rsidRPr="00CE2CA5">
              <w:t>on</w:t>
            </w:r>
            <w:r w:rsidR="00DF50B4">
              <w:t xml:space="preserve">.  </w:t>
            </w:r>
            <w:r w:rsidR="00DF50B4" w:rsidRPr="00CE2CA5">
              <w:t>Le</w:t>
            </w:r>
            <w:r w:rsidRPr="00CE2CA5">
              <w:t xml:space="preserve"> suivi a été effectué à toutes les étapes du projet</w:t>
            </w:r>
            <w:r w:rsidR="00BF1851">
              <w:t> :</w:t>
            </w:r>
            <w:r w:rsidRPr="00CE2CA5">
              <w:t xml:space="preserve"> planification, conception, mise en </w:t>
            </w:r>
            <w:r w:rsidR="00AB3EC6" w:rsidRPr="00CE2CA5">
              <w:t>œ</w:t>
            </w:r>
            <w:r w:rsidRPr="00CE2CA5">
              <w:t>uvre et évaluation.</w:t>
            </w:r>
          </w:p>
          <w:p w:rsidR="00D8371C" w:rsidRPr="00CE2CA5" w:rsidRDefault="00D8371C" w:rsidP="00A601DF"/>
          <w:p w:rsidR="00BF1851" w:rsidRDefault="00D8371C" w:rsidP="00A601DF">
            <w:r w:rsidRPr="00CE2CA5">
              <w:t>Le suivi a permis de mieux comprendre les besoins et les attentes des pays pilotes, de fournir des précisions supplémentaires, le cas échéant, sur certains éléments du projet, d</w:t>
            </w:r>
            <w:r w:rsidR="00BF1851">
              <w:t>’</w:t>
            </w:r>
            <w:r w:rsidRPr="00CE2CA5">
              <w:t xml:space="preserve">affiner les activités de mise en </w:t>
            </w:r>
            <w:r w:rsidR="00AB3EC6" w:rsidRPr="00CE2CA5">
              <w:t>œ</w:t>
            </w:r>
            <w:r w:rsidRPr="00CE2CA5">
              <w:t>uvre prévues, de s</w:t>
            </w:r>
            <w:r w:rsidR="00BF1851">
              <w:t>’</w:t>
            </w:r>
            <w:r w:rsidRPr="00CE2CA5">
              <w:t xml:space="preserve">adapter aux conditions et </w:t>
            </w:r>
            <w:r w:rsidR="002315CA">
              <w:t xml:space="preserve">aux </w:t>
            </w:r>
            <w:r w:rsidRPr="00CE2CA5">
              <w:t>circonstances réelles, d</w:t>
            </w:r>
            <w:r w:rsidR="00BF1851">
              <w:t>’</w:t>
            </w:r>
            <w:r w:rsidRPr="00CE2CA5">
              <w:t xml:space="preserve">ajuster les méthodes de mise en </w:t>
            </w:r>
            <w:r w:rsidR="00AB3EC6" w:rsidRPr="00CE2CA5">
              <w:t>œ</w:t>
            </w:r>
            <w:r w:rsidRPr="00CE2CA5">
              <w:t>uvre et les délais si nécessaire, de suivre de près les résultats attendus et les risques potentiels et d</w:t>
            </w:r>
            <w:r w:rsidR="00BF1851">
              <w:t>’</w:t>
            </w:r>
            <w:r w:rsidRPr="00CE2CA5">
              <w:t>améliorer le rapport coût</w:t>
            </w:r>
            <w:r w:rsidR="005B01A6">
              <w:noBreakHyphen/>
            </w:r>
            <w:r w:rsidRPr="00CE2CA5">
              <w:t>efficacité et la qualité des résultats du projet.</w:t>
            </w:r>
          </w:p>
          <w:p w:rsidR="00D8371C" w:rsidRPr="00CE2CA5" w:rsidRDefault="00D8371C" w:rsidP="00A601DF"/>
          <w:p w:rsidR="00D8371C" w:rsidRPr="00CE2CA5" w:rsidRDefault="008562B8" w:rsidP="00A601DF">
            <w:r w:rsidRPr="00CE2CA5">
              <w:t xml:space="preserve">Un suivi </w:t>
            </w:r>
            <w:r w:rsidR="00FF3385">
              <w:t xml:space="preserve">très </w:t>
            </w:r>
            <w:r w:rsidRPr="00CE2CA5">
              <w:t>rigoureux était indispensable eu égard à la diversité des activités menées et à la spécificité de l</w:t>
            </w:r>
            <w:r w:rsidR="00BF1851">
              <w:t>’</w:t>
            </w:r>
            <w:r w:rsidRPr="00CE2CA5">
              <w:t>expérience, des besoins et des particularités de chaque pays pilo</w:t>
            </w:r>
            <w:r w:rsidR="00DF50B4" w:rsidRPr="00CE2CA5">
              <w:t>te</w:t>
            </w:r>
            <w:r w:rsidR="00DF50B4">
              <w:t xml:space="preserve">.  </w:t>
            </w:r>
            <w:r w:rsidR="00DF50B4" w:rsidRPr="00CE2CA5">
              <w:t>Co</w:t>
            </w:r>
            <w:r w:rsidR="00B505DD" w:rsidRPr="00CE2CA5">
              <w:t>mpte tenu du caractère unique de chaque pays pilote, il était nécessaire de faire preuve d</w:t>
            </w:r>
            <w:r w:rsidR="00BF1851">
              <w:t>’</w:t>
            </w:r>
            <w:r w:rsidR="00B505DD" w:rsidRPr="00CE2CA5">
              <w:t>une certaine flexibilité dans la mise en œuvre du projet sans pour autant perdre de vue les objectifs finaux du projet et sa durée.</w:t>
            </w:r>
          </w:p>
          <w:p w:rsidR="00D8371C" w:rsidRPr="00CE2CA5" w:rsidRDefault="00D8371C" w:rsidP="00A601DF"/>
          <w:p w:rsidR="00D8371C" w:rsidRPr="00CE2CA5" w:rsidRDefault="00B505DD" w:rsidP="00A601DF">
            <w:r w:rsidRPr="00CE2CA5">
              <w:t xml:space="preserve">Différents outils ont été utilisés pour assurer un suivi régulier de la mise en </w:t>
            </w:r>
            <w:r w:rsidR="00AB3EC6" w:rsidRPr="00CE2CA5">
              <w:t>œ</w:t>
            </w:r>
            <w:r w:rsidRPr="00CE2CA5">
              <w:t>uvre du projet</w:t>
            </w:r>
            <w:r w:rsidR="00BF1851">
              <w:t> :</w:t>
            </w:r>
          </w:p>
          <w:p w:rsidR="00D8371C" w:rsidRPr="00CE2CA5" w:rsidRDefault="00D8371C" w:rsidP="00A601DF"/>
          <w:p w:rsidR="00D8371C" w:rsidRPr="00CE2CA5" w:rsidRDefault="00B505DD" w:rsidP="00A601DF">
            <w:pPr>
              <w:numPr>
                <w:ilvl w:val="0"/>
                <w:numId w:val="18"/>
              </w:numPr>
              <w:ind w:left="1134" w:hanging="567"/>
            </w:pPr>
            <w:r w:rsidRPr="00CE2CA5">
              <w:t>Rapports sur l</w:t>
            </w:r>
            <w:r w:rsidR="00BF1851">
              <w:t>’</w:t>
            </w:r>
            <w:r w:rsidRPr="00CE2CA5">
              <w:t>état d</w:t>
            </w:r>
            <w:r w:rsidR="00BF1851">
              <w:t>’</w:t>
            </w:r>
            <w:r w:rsidRPr="00CE2CA5">
              <w:t>avancement</w:t>
            </w:r>
            <w:r w:rsidR="00BF1851">
              <w:t> :</w:t>
            </w:r>
            <w:r w:rsidRPr="00CE2CA5">
              <w:t xml:space="preserve"> trois</w:t>
            </w:r>
            <w:r w:rsidR="0009127F">
              <w:t> </w:t>
            </w:r>
            <w:r w:rsidRPr="00CE2CA5">
              <w:t>rapports sur l</w:t>
            </w:r>
            <w:r w:rsidR="00BF1851">
              <w:t>’</w:t>
            </w:r>
            <w:r w:rsidRPr="00CE2CA5">
              <w:t>état d</w:t>
            </w:r>
            <w:r w:rsidR="00BF1851">
              <w:t>’</w:t>
            </w:r>
            <w:r w:rsidRPr="00CE2CA5">
              <w:t>avancement ont été soumis</w:t>
            </w:r>
            <w:r w:rsidR="00BF1851" w:rsidRPr="00CE2CA5">
              <w:t xml:space="preserve"> au</w:t>
            </w:r>
            <w:r w:rsidR="00BF1851">
              <w:t> </w:t>
            </w:r>
            <w:r w:rsidR="00BF1851" w:rsidRPr="00CE2CA5">
              <w:t>CDI</w:t>
            </w:r>
            <w:r w:rsidRPr="00CE2CA5">
              <w:t>P pour exam</w:t>
            </w:r>
            <w:r w:rsidR="00DF50B4" w:rsidRPr="00CE2CA5">
              <w:t>en</w:t>
            </w:r>
            <w:r w:rsidR="00DF50B4">
              <w:t xml:space="preserve">.  </w:t>
            </w:r>
            <w:r w:rsidR="00DF50B4" w:rsidRPr="00CE2CA5">
              <w:t>Le</w:t>
            </w:r>
            <w:r w:rsidRPr="00CE2CA5">
              <w:t xml:space="preserve"> premier figure à l</w:t>
            </w:r>
            <w:r w:rsidR="00BF1851">
              <w:t>’</w:t>
            </w:r>
            <w:r w:rsidRPr="00CE2CA5">
              <w:t>annexe</w:t>
            </w:r>
            <w:r w:rsidR="00AB3EC6" w:rsidRPr="00CE2CA5">
              <w:t> </w:t>
            </w:r>
            <w:r w:rsidRPr="00CE2CA5">
              <w:t>VI du document CDIP/18/2, le deuxième à l</w:t>
            </w:r>
            <w:r w:rsidR="00BF1851">
              <w:t>’</w:t>
            </w:r>
            <w:r w:rsidRPr="00CE2CA5">
              <w:t>annexe</w:t>
            </w:r>
            <w:r w:rsidR="00AB3EC6" w:rsidRPr="00CE2CA5">
              <w:t> </w:t>
            </w:r>
            <w:r w:rsidRPr="00CE2CA5">
              <w:t xml:space="preserve">VI du </w:t>
            </w:r>
            <w:r w:rsidR="00BF1851" w:rsidRPr="00CE2CA5">
              <w:t>document</w:t>
            </w:r>
            <w:r w:rsidR="00BF1851">
              <w:t xml:space="preserve"> </w:t>
            </w:r>
            <w:r w:rsidR="00BF1851" w:rsidRPr="00CE2CA5">
              <w:t>CD</w:t>
            </w:r>
            <w:r w:rsidRPr="00CE2CA5">
              <w:t>IP/20/2 et le troisième à l</w:t>
            </w:r>
            <w:r w:rsidR="00BF1851">
              <w:t>’</w:t>
            </w:r>
            <w:r w:rsidRPr="00CE2CA5">
              <w:t>annexe</w:t>
            </w:r>
            <w:r w:rsidR="00AB3EC6" w:rsidRPr="00CE2CA5">
              <w:t> </w:t>
            </w:r>
            <w:r w:rsidRPr="00CE2CA5">
              <w:t xml:space="preserve">III du </w:t>
            </w:r>
            <w:r w:rsidR="00BF1851" w:rsidRPr="00CE2CA5">
              <w:t>document</w:t>
            </w:r>
            <w:r w:rsidR="00BF1851">
              <w:t xml:space="preserve"> </w:t>
            </w:r>
            <w:r w:rsidR="00BF1851" w:rsidRPr="00CE2CA5">
              <w:t>CD</w:t>
            </w:r>
            <w:r w:rsidRPr="00CE2CA5">
              <w:t xml:space="preserve">IP/22/2. </w:t>
            </w:r>
            <w:r w:rsidR="00AB3EC6" w:rsidRPr="00CE2CA5">
              <w:t xml:space="preserve"> D</w:t>
            </w:r>
            <w:r w:rsidRPr="00CE2CA5">
              <w:t>es rapports verbaux ont également été présentés aux dix</w:t>
            </w:r>
            <w:r w:rsidR="005B01A6">
              <w:noBreakHyphen/>
            </w:r>
            <w:r w:rsidRPr="00CE2CA5">
              <w:t>huitième, vingtième et vingt</w:t>
            </w:r>
            <w:r w:rsidR="005B01A6">
              <w:noBreakHyphen/>
            </w:r>
            <w:r w:rsidRPr="00CE2CA5">
              <w:t>deux</w:t>
            </w:r>
            <w:r w:rsidR="00BF1851">
              <w:t>ième session</w:t>
            </w:r>
            <w:r w:rsidRPr="00CE2CA5">
              <w:t>s</w:t>
            </w:r>
            <w:r w:rsidR="00BF1851" w:rsidRPr="00CE2CA5">
              <w:t xml:space="preserve"> du</w:t>
            </w:r>
            <w:r w:rsidR="00BF1851">
              <w:t> </w:t>
            </w:r>
            <w:r w:rsidR="00BF1851" w:rsidRPr="00CE2CA5">
              <w:t>CDI</w:t>
            </w:r>
            <w:r w:rsidRPr="00CE2CA5">
              <w:t>P.</w:t>
            </w:r>
          </w:p>
          <w:p w:rsidR="00D8371C" w:rsidRPr="00CE2CA5" w:rsidRDefault="00D8371C" w:rsidP="00A601DF">
            <w:pPr>
              <w:ind w:left="1134" w:hanging="567"/>
            </w:pPr>
          </w:p>
          <w:p w:rsidR="00D8371C" w:rsidRPr="00CE2CA5" w:rsidRDefault="002315CA" w:rsidP="00A601DF">
            <w:pPr>
              <w:numPr>
                <w:ilvl w:val="0"/>
                <w:numId w:val="18"/>
              </w:numPr>
              <w:ind w:left="1134" w:hanging="567"/>
            </w:pPr>
            <w:r>
              <w:t>Questionnaire</w:t>
            </w:r>
            <w:r w:rsidR="00B505DD" w:rsidRPr="00CE2CA5">
              <w:t xml:space="preserve"> d</w:t>
            </w:r>
            <w:r w:rsidR="00BF1851">
              <w:t>’</w:t>
            </w:r>
            <w:r w:rsidR="00B505DD" w:rsidRPr="00CE2CA5">
              <w:t>évaluation</w:t>
            </w:r>
            <w:r w:rsidR="00BF1851">
              <w:t> :</w:t>
            </w:r>
            <w:r w:rsidR="00FF3385">
              <w:t xml:space="preserve"> à l</w:t>
            </w:r>
            <w:r w:rsidR="00BF1851">
              <w:t>’</w:t>
            </w:r>
            <w:r w:rsidR="00FF3385">
              <w:t xml:space="preserve">issue de chaque session </w:t>
            </w:r>
            <w:r w:rsidR="00B505DD" w:rsidRPr="00CE2CA5">
              <w:t>de formation et après l</w:t>
            </w:r>
            <w:r w:rsidR="00BF1851">
              <w:t>’</w:t>
            </w:r>
            <w:r w:rsidR="00B505DD" w:rsidRPr="00CE2CA5">
              <w:t xml:space="preserve">achèvement du projet, les participants </w:t>
            </w:r>
            <w:r w:rsidR="00FF3385">
              <w:t>ont été</w:t>
            </w:r>
            <w:r w:rsidR="00B505DD" w:rsidRPr="00CE2CA5">
              <w:t xml:space="preserve"> invités à remplir des </w:t>
            </w:r>
            <w:r>
              <w:t>questionnaires</w:t>
            </w:r>
            <w:r w:rsidR="00B505DD" w:rsidRPr="00CE2CA5">
              <w:t xml:space="preserve"> d</w:t>
            </w:r>
            <w:r w:rsidR="00BF1851">
              <w:t>’</w:t>
            </w:r>
            <w:r w:rsidR="00B505DD" w:rsidRPr="00CE2CA5">
              <w:t>évaluation et à formuler des observations et des suggestions.</w:t>
            </w:r>
          </w:p>
          <w:p w:rsidR="00D8371C" w:rsidRPr="00CE2CA5" w:rsidRDefault="00D8371C" w:rsidP="00A601DF">
            <w:pPr>
              <w:ind w:left="1134" w:hanging="567"/>
            </w:pPr>
          </w:p>
          <w:p w:rsidR="00D8371C" w:rsidRPr="00CE2CA5" w:rsidRDefault="00B505DD" w:rsidP="00A601DF">
            <w:pPr>
              <w:numPr>
                <w:ilvl w:val="0"/>
                <w:numId w:val="18"/>
              </w:numPr>
              <w:ind w:left="1134" w:hanging="567"/>
            </w:pPr>
            <w:r w:rsidRPr="00CE2CA5">
              <w:t>Contacts réguliers</w:t>
            </w:r>
            <w:r w:rsidR="00BF1851">
              <w:t> :</w:t>
            </w:r>
            <w:r w:rsidRPr="00CE2CA5">
              <w:t xml:space="preserve"> des réunions formelles et informelles, des conférences téléphoniques et des échanges de courriers électroniques ont facilité la gestion quotidienne du projet.</w:t>
            </w:r>
          </w:p>
          <w:p w:rsidR="00D8371C" w:rsidRPr="00CE2CA5" w:rsidRDefault="00D8371C" w:rsidP="00A601DF"/>
          <w:p w:rsidR="00D8371C" w:rsidRPr="00CE2CA5" w:rsidRDefault="00E34483" w:rsidP="00A601DF">
            <w:pPr>
              <w:numPr>
                <w:ilvl w:val="0"/>
                <w:numId w:val="14"/>
              </w:numPr>
              <w:ind w:left="0" w:firstLine="0"/>
            </w:pPr>
            <w:r w:rsidRPr="00CE2CA5">
              <w:t>PARITÉ FEMMES</w:t>
            </w:r>
            <w:r w:rsidR="005B01A6">
              <w:noBreakHyphen/>
            </w:r>
            <w:r w:rsidRPr="00CE2CA5">
              <w:t>HOMMES</w:t>
            </w:r>
          </w:p>
          <w:p w:rsidR="00D0493E" w:rsidRPr="00CE2CA5" w:rsidRDefault="00D0493E" w:rsidP="00A601DF"/>
          <w:p w:rsidR="00D8371C" w:rsidRPr="00CE2CA5" w:rsidRDefault="00E34483" w:rsidP="00A601DF">
            <w:r w:rsidRPr="00CE2CA5">
              <w:t xml:space="preserve">Des dispositions spécifiques </w:t>
            </w:r>
            <w:r w:rsidR="00FF3385">
              <w:t>visant à promouvoir</w:t>
            </w:r>
            <w:r w:rsidRPr="00CE2CA5">
              <w:t xml:space="preserve"> la participation égale des formateurs et des formatrices ont été incluses dans les descriptifs de projet approuvés et conclus avec les pays pilotes.</w:t>
            </w:r>
          </w:p>
          <w:p w:rsidR="00A601DF" w:rsidRPr="00CE2CA5" w:rsidRDefault="00A601DF" w:rsidP="00A601DF"/>
          <w:p w:rsidR="00D8371C" w:rsidRPr="00CE2CA5" w:rsidRDefault="00E34483" w:rsidP="00A601DF">
            <w:pPr>
              <w:numPr>
                <w:ilvl w:val="0"/>
                <w:numId w:val="14"/>
              </w:numPr>
              <w:ind w:left="0" w:firstLine="0"/>
            </w:pPr>
            <w:r w:rsidRPr="00CE2CA5">
              <w:lastRenderedPageBreak/>
              <w:t>PREMIERS COMMENTAIRES ET SUIVI</w:t>
            </w:r>
          </w:p>
          <w:p w:rsidR="00D8371C" w:rsidRPr="00CE2CA5" w:rsidRDefault="00D8371C" w:rsidP="00A601DF"/>
          <w:p w:rsidR="00BF1851" w:rsidRDefault="00E34483" w:rsidP="00A601DF">
            <w:r w:rsidRPr="00CE2CA5">
              <w:t>Les premiers rapports transmis au Secrétariat par les pays pilotes étaient très positi</w:t>
            </w:r>
            <w:r w:rsidR="00DF50B4" w:rsidRPr="00CE2CA5">
              <w:t>fs</w:t>
            </w:r>
            <w:r w:rsidR="00DF50B4">
              <w:t xml:space="preserve">.  </w:t>
            </w:r>
            <w:r w:rsidR="00DF50B4" w:rsidRPr="00CE2CA5">
              <w:t>Ce</w:t>
            </w:r>
            <w:r w:rsidR="00B75642" w:rsidRPr="00CE2CA5">
              <w:t>rtains d</w:t>
            </w:r>
            <w:r w:rsidR="00BF1851">
              <w:t>’</w:t>
            </w:r>
            <w:r w:rsidR="00B75642" w:rsidRPr="00CE2CA5">
              <w:t>entre eux ont estimé que les bénéfices tirés du projet avaient dépassé leurs attentes.</w:t>
            </w:r>
          </w:p>
          <w:p w:rsidR="00D8371C" w:rsidRPr="00CE2CA5" w:rsidRDefault="00D8371C" w:rsidP="00A601DF"/>
          <w:p w:rsidR="00D8371C" w:rsidRPr="00CE2CA5" w:rsidRDefault="00B75642" w:rsidP="00A601DF">
            <w:r w:rsidRPr="00CE2CA5">
              <w:t>Tous les instituts de formation continue bénéficiaires du projet ont fait savoir qu</w:t>
            </w:r>
            <w:r w:rsidR="00BF1851">
              <w:t>’</w:t>
            </w:r>
            <w:r w:rsidRPr="00CE2CA5">
              <w:t>ils incluraient les droits de propriété intellectuelle dans leurs programmes de formation continue habituels en utilisant les modules récemment mis au point aux fins du proj</w:t>
            </w:r>
            <w:r w:rsidR="00DF50B4" w:rsidRPr="00CE2CA5">
              <w:t>et</w:t>
            </w:r>
            <w:r w:rsidR="00DF50B4">
              <w:t>.  D</w:t>
            </w:r>
            <w:r w:rsidR="00DF50B4" w:rsidRPr="00CE2CA5">
              <w:t>è</w:t>
            </w:r>
            <w:r w:rsidR="00FF3385" w:rsidRPr="00CE2CA5">
              <w:t>s octobre 2018</w:t>
            </w:r>
            <w:r w:rsidR="00FF3385">
              <w:t>, l</w:t>
            </w:r>
            <w:r w:rsidR="00BF1851">
              <w:t>’</w:t>
            </w:r>
            <w:r w:rsidRPr="00CE2CA5">
              <w:t>École de la magistrature Edgar Cervantes Villalta (Costa</w:t>
            </w:r>
            <w:r w:rsidR="0009127F">
              <w:t> </w:t>
            </w:r>
            <w:r w:rsidRPr="00CE2CA5">
              <w:t>Rica) a lancé un nouveau programme de formation à l</w:t>
            </w:r>
            <w:r w:rsidR="00BF1851">
              <w:t>’</w:t>
            </w:r>
            <w:r w:rsidRPr="00CE2CA5">
              <w:t xml:space="preserve">intention des juges fondé sur </w:t>
            </w:r>
            <w:r w:rsidR="00FF3385">
              <w:t>les modules personnalisés et le manuel</w:t>
            </w:r>
            <w:r w:rsidR="002315CA">
              <w:t xml:space="preserve"> de l</w:t>
            </w:r>
            <w:r w:rsidR="00BF1851">
              <w:t>’</w:t>
            </w:r>
            <w:r w:rsidR="002315CA">
              <w:t>instructe</w:t>
            </w:r>
            <w:r w:rsidR="00DF50B4">
              <w:t xml:space="preserve">ur.  </w:t>
            </w:r>
            <w:r w:rsidR="00DF50B4" w:rsidRPr="00CE2CA5">
              <w:t>Ce</w:t>
            </w:r>
            <w:r w:rsidR="005943CA" w:rsidRPr="00CE2CA5">
              <w:t>t engagement est une bonne garantie de la viabilité du projet au niveau national.</w:t>
            </w:r>
          </w:p>
          <w:p w:rsidR="00D8371C" w:rsidRPr="00CE2CA5" w:rsidRDefault="00D8371C" w:rsidP="00A601DF"/>
          <w:p w:rsidR="006D20ED" w:rsidRPr="00CE2CA5" w:rsidRDefault="00FF3385" w:rsidP="00A601DF">
            <w:r>
              <w:t>Les pays pilotes ont demandé</w:t>
            </w:r>
            <w:r w:rsidR="005943CA" w:rsidRPr="00CE2CA5">
              <w:t xml:space="preserve"> à l</w:t>
            </w:r>
            <w:r w:rsidR="00BF1851">
              <w:t>’</w:t>
            </w:r>
            <w:r w:rsidR="005943CA" w:rsidRPr="00CE2CA5">
              <w:t xml:space="preserve">OMPI de poursuivre </w:t>
            </w:r>
            <w:r>
              <w:t>l</w:t>
            </w:r>
            <w:r w:rsidR="005943CA" w:rsidRPr="00CE2CA5">
              <w:t>a coopération après l</w:t>
            </w:r>
            <w:r w:rsidR="00BF1851">
              <w:t>’</w:t>
            </w:r>
            <w:r w:rsidR="005943CA" w:rsidRPr="00CE2CA5">
              <w:t>achèvement du projet afin de consolider les résultats obtenus.</w:t>
            </w:r>
          </w:p>
        </w:tc>
      </w:tr>
      <w:tr w:rsidR="006D20ED" w:rsidRPr="00FF3385" w:rsidTr="00A601DF">
        <w:tc>
          <w:tcPr>
            <w:tcW w:w="2391" w:type="dxa"/>
            <w:shd w:val="clear" w:color="auto" w:fill="auto"/>
          </w:tcPr>
          <w:p w:rsidR="006D20ED" w:rsidRPr="00CE2CA5" w:rsidRDefault="005943CA" w:rsidP="00A601DF">
            <w:pPr>
              <w:pStyle w:val="Heading3"/>
              <w:keepNext w:val="0"/>
              <w:spacing w:before="0" w:after="0"/>
            </w:pPr>
            <w:r w:rsidRPr="00CE2CA5">
              <w:lastRenderedPageBreak/>
              <w:t>Exemples de réussite ou d</w:t>
            </w:r>
            <w:r w:rsidR="00BF1851">
              <w:t>’</w:t>
            </w:r>
            <w:r w:rsidRPr="00CE2CA5">
              <w:t>effets positifs et principaux enseignements</w:t>
            </w:r>
          </w:p>
        </w:tc>
        <w:tc>
          <w:tcPr>
            <w:tcW w:w="6955" w:type="dxa"/>
            <w:vAlign w:val="center"/>
          </w:tcPr>
          <w:p w:rsidR="00D8371C" w:rsidRPr="00CE2CA5" w:rsidRDefault="005943CA" w:rsidP="00A601DF">
            <w:pPr>
              <w:rPr>
                <w:iCs/>
              </w:rPr>
            </w:pPr>
            <w:r w:rsidRPr="00CE2CA5">
              <w:rPr>
                <w:iCs/>
              </w:rPr>
              <w:t>PRINCIPAUX ENSEIGNEMENTS TIRÉS</w:t>
            </w:r>
          </w:p>
          <w:p w:rsidR="00D8371C" w:rsidRPr="00CE2CA5" w:rsidRDefault="00D8371C" w:rsidP="00A601DF">
            <w:pPr>
              <w:rPr>
                <w:iCs/>
              </w:rPr>
            </w:pPr>
          </w:p>
          <w:p w:rsidR="00D8371C" w:rsidRPr="00CE2CA5" w:rsidRDefault="00825FC8" w:rsidP="00A601DF">
            <w:pPr>
              <w:numPr>
                <w:ilvl w:val="0"/>
                <w:numId w:val="19"/>
              </w:numPr>
              <w:ind w:left="1134" w:hanging="567"/>
              <w:rPr>
                <w:iCs/>
              </w:rPr>
            </w:pPr>
            <w:r w:rsidRPr="00CE2CA5">
              <w:rPr>
                <w:iCs/>
              </w:rPr>
              <w:t xml:space="preserve">Les modalités de conception et de mise en </w:t>
            </w:r>
            <w:r w:rsidR="00AB3EC6" w:rsidRPr="00CE2CA5">
              <w:rPr>
                <w:iCs/>
              </w:rPr>
              <w:t>œ</w:t>
            </w:r>
            <w:r w:rsidRPr="00CE2CA5">
              <w:rPr>
                <w:iCs/>
              </w:rPr>
              <w:t>uvre des objectifs du projet ont été élaborées en étroite consultation avec l</w:t>
            </w:r>
            <w:r w:rsidR="00BF1851">
              <w:rPr>
                <w:iCs/>
              </w:rPr>
              <w:t>’</w:t>
            </w:r>
            <w:r w:rsidRPr="00CE2CA5">
              <w:rPr>
                <w:iCs/>
              </w:rPr>
              <w:t xml:space="preserve">État membre concerné et en fonction des priorités et </w:t>
            </w:r>
            <w:r w:rsidR="00656A8C">
              <w:rPr>
                <w:iCs/>
              </w:rPr>
              <w:t xml:space="preserve">des </w:t>
            </w:r>
            <w:r w:rsidRPr="00CE2CA5">
              <w:rPr>
                <w:iCs/>
              </w:rPr>
              <w:t>besoins nationaux identifiés de chaque pays pilo</w:t>
            </w:r>
            <w:r w:rsidR="00DF50B4" w:rsidRPr="00CE2CA5">
              <w:rPr>
                <w:iCs/>
              </w:rPr>
              <w:t>te</w:t>
            </w:r>
            <w:r w:rsidR="00DF50B4">
              <w:rPr>
                <w:iCs/>
              </w:rPr>
              <w:t xml:space="preserve">.  </w:t>
            </w:r>
            <w:r w:rsidR="00DF50B4" w:rsidRPr="00CE2CA5">
              <w:rPr>
                <w:iCs/>
              </w:rPr>
              <w:t>Ce</w:t>
            </w:r>
            <w:r w:rsidRPr="00CE2CA5">
              <w:rPr>
                <w:iCs/>
              </w:rPr>
              <w:t>la a permis l</w:t>
            </w:r>
            <w:r w:rsidR="00BF1851">
              <w:rPr>
                <w:iCs/>
              </w:rPr>
              <w:t>’</w:t>
            </w:r>
            <w:r w:rsidRPr="00CE2CA5">
              <w:rPr>
                <w:iCs/>
              </w:rPr>
              <w:t>élaboration d</w:t>
            </w:r>
            <w:r w:rsidR="00BF1851">
              <w:rPr>
                <w:iCs/>
              </w:rPr>
              <w:t>’</w:t>
            </w:r>
            <w:r w:rsidRPr="00CE2CA5">
              <w:rPr>
                <w:iCs/>
              </w:rPr>
              <w:t>une démarche commune et d</w:t>
            </w:r>
            <w:r w:rsidR="00BF1851">
              <w:rPr>
                <w:iCs/>
              </w:rPr>
              <w:t>’</w:t>
            </w:r>
            <w:r w:rsidRPr="00CE2CA5">
              <w:rPr>
                <w:iCs/>
              </w:rPr>
              <w:t xml:space="preserve">objectifs convenus avec chaque pays pilote quant aux résultats à atteindre grâce à la mise en </w:t>
            </w:r>
            <w:r w:rsidR="00AB3EC6" w:rsidRPr="00CE2CA5">
              <w:rPr>
                <w:iCs/>
              </w:rPr>
              <w:t>œ</w:t>
            </w:r>
            <w:r w:rsidRPr="00CE2CA5">
              <w:rPr>
                <w:iCs/>
              </w:rPr>
              <w:t>uvre du projet;</w:t>
            </w:r>
          </w:p>
          <w:p w:rsidR="00D8371C" w:rsidRPr="00CE2CA5" w:rsidRDefault="00D8371C" w:rsidP="00A601DF">
            <w:pPr>
              <w:ind w:left="1134" w:hanging="567"/>
              <w:rPr>
                <w:iCs/>
              </w:rPr>
            </w:pPr>
          </w:p>
          <w:p w:rsidR="00D8371C" w:rsidRPr="00CE2CA5" w:rsidRDefault="00825FC8" w:rsidP="00A601DF">
            <w:pPr>
              <w:numPr>
                <w:ilvl w:val="0"/>
                <w:numId w:val="19"/>
              </w:numPr>
              <w:ind w:left="1134" w:hanging="567"/>
              <w:rPr>
                <w:iCs/>
              </w:rPr>
            </w:pPr>
            <w:r w:rsidRPr="00CE2CA5">
              <w:rPr>
                <w:iCs/>
              </w:rPr>
              <w:t>Le recours à des conseils d</w:t>
            </w:r>
            <w:r w:rsidR="00BF1851">
              <w:rPr>
                <w:iCs/>
              </w:rPr>
              <w:t>’</w:t>
            </w:r>
            <w:r w:rsidRPr="00CE2CA5">
              <w:rPr>
                <w:iCs/>
              </w:rPr>
              <w:t xml:space="preserve">experts et </w:t>
            </w:r>
            <w:r w:rsidR="002315CA">
              <w:rPr>
                <w:iCs/>
              </w:rPr>
              <w:t>a savoir</w:t>
            </w:r>
            <w:r w:rsidR="005B01A6">
              <w:rPr>
                <w:iCs/>
              </w:rPr>
              <w:noBreakHyphen/>
            </w:r>
            <w:r w:rsidR="002315CA">
              <w:rPr>
                <w:iCs/>
              </w:rPr>
              <w:t>faire</w:t>
            </w:r>
            <w:r w:rsidRPr="00CE2CA5">
              <w:rPr>
                <w:iCs/>
              </w:rPr>
              <w:t xml:space="preserve"> des membres du groupe de juges </w:t>
            </w:r>
            <w:r w:rsidR="002315CA">
              <w:rPr>
                <w:iCs/>
              </w:rPr>
              <w:t xml:space="preserve">issus </w:t>
            </w:r>
            <w:r w:rsidRPr="00CE2CA5">
              <w:rPr>
                <w:iCs/>
              </w:rPr>
              <w:t xml:space="preserve">de différentes </w:t>
            </w:r>
            <w:r w:rsidR="00656A8C">
              <w:rPr>
                <w:iCs/>
              </w:rPr>
              <w:t>parties</w:t>
            </w:r>
            <w:r w:rsidRPr="00CE2CA5">
              <w:rPr>
                <w:iCs/>
              </w:rPr>
              <w:t xml:space="preserve"> du monde et représentant différents systèmes et pratiques juridiques a été extrêmement utile pour identifier et concevoir les résultats </w:t>
            </w:r>
            <w:r w:rsidR="00293CBB" w:rsidRPr="00CE2CA5">
              <w:rPr>
                <w:iCs/>
              </w:rPr>
              <w:t>attendus</w:t>
            </w:r>
            <w:r w:rsidRPr="00CE2CA5">
              <w:rPr>
                <w:iCs/>
              </w:rPr>
              <w:t xml:space="preserve"> du projet et les méthodes à utiliser pour </w:t>
            </w:r>
            <w:r w:rsidR="00656A8C">
              <w:rPr>
                <w:iCs/>
              </w:rPr>
              <w:t>dispenser</w:t>
            </w:r>
            <w:r w:rsidRPr="00CE2CA5">
              <w:rPr>
                <w:iCs/>
              </w:rPr>
              <w:t xml:space="preserve"> aux juges des programmes de formation continue;</w:t>
            </w:r>
          </w:p>
          <w:p w:rsidR="00D8371C" w:rsidRPr="00CE2CA5" w:rsidRDefault="00D8371C" w:rsidP="00A601DF">
            <w:pPr>
              <w:ind w:left="1134" w:hanging="567"/>
              <w:rPr>
                <w:iCs/>
              </w:rPr>
            </w:pPr>
          </w:p>
          <w:p w:rsidR="00D8371C" w:rsidRPr="00CE2CA5" w:rsidRDefault="000E3BCA" w:rsidP="00A601DF">
            <w:pPr>
              <w:numPr>
                <w:ilvl w:val="0"/>
                <w:numId w:val="19"/>
              </w:numPr>
              <w:ind w:left="1134" w:hanging="567"/>
              <w:rPr>
                <w:iCs/>
              </w:rPr>
            </w:pPr>
            <w:r w:rsidRPr="00CE2CA5">
              <w:rPr>
                <w:iCs/>
              </w:rPr>
              <w:t>La conception et la mise au point de documents de référence et de formation à l</w:t>
            </w:r>
            <w:r w:rsidR="00BF1851">
              <w:rPr>
                <w:iCs/>
              </w:rPr>
              <w:t>’</w:t>
            </w:r>
            <w:r w:rsidRPr="00CE2CA5">
              <w:rPr>
                <w:iCs/>
              </w:rPr>
              <w:t>intention des juges par d</w:t>
            </w:r>
            <w:r w:rsidR="00BF1851">
              <w:rPr>
                <w:iCs/>
              </w:rPr>
              <w:t>’</w:t>
            </w:r>
            <w:r w:rsidRPr="00CE2CA5">
              <w:rPr>
                <w:iCs/>
              </w:rPr>
              <w:t xml:space="preserve">autres juges, principalement les membres du groupe susmentionné, ont permis de tenir compte des </w:t>
            </w:r>
            <w:r w:rsidR="00656A8C">
              <w:rPr>
                <w:iCs/>
              </w:rPr>
              <w:t>particularités</w:t>
            </w:r>
            <w:r w:rsidRPr="00CE2CA5">
              <w:rPr>
                <w:iCs/>
              </w:rPr>
              <w:t xml:space="preserve"> des bénéficiaires visés et de répondre à leurs besoins dans le domaine de la propriété intellectuelle;</w:t>
            </w:r>
          </w:p>
          <w:p w:rsidR="00D8371C" w:rsidRPr="00CE2CA5" w:rsidRDefault="00D8371C" w:rsidP="00A601DF">
            <w:pPr>
              <w:ind w:left="1134" w:hanging="567"/>
              <w:rPr>
                <w:iCs/>
              </w:rPr>
            </w:pPr>
          </w:p>
          <w:p w:rsidR="00D8371C" w:rsidRPr="00CE2CA5" w:rsidRDefault="000E3BCA" w:rsidP="00A601DF">
            <w:pPr>
              <w:numPr>
                <w:ilvl w:val="0"/>
                <w:numId w:val="19"/>
              </w:numPr>
              <w:ind w:left="1134" w:hanging="567"/>
              <w:rPr>
                <w:iCs/>
              </w:rPr>
            </w:pPr>
            <w:r w:rsidRPr="00CE2CA5">
              <w:rPr>
                <w:iCs/>
              </w:rPr>
              <w:t>Le recours à des méthodes de formation mixtes pour atteindre les objectifs du public visé en matière d</w:t>
            </w:r>
            <w:r w:rsidR="00BF1851">
              <w:rPr>
                <w:iCs/>
              </w:rPr>
              <w:t>’</w:t>
            </w:r>
            <w:r w:rsidRPr="00CE2CA5">
              <w:rPr>
                <w:iCs/>
              </w:rPr>
              <w:t>apprentissage a été extrêmement utile et effica</w:t>
            </w:r>
            <w:r w:rsidR="00DF50B4" w:rsidRPr="00CE2CA5">
              <w:rPr>
                <w:iCs/>
              </w:rPr>
              <w:t>ce</w:t>
            </w:r>
            <w:r w:rsidR="00DF50B4">
              <w:rPr>
                <w:iCs/>
              </w:rPr>
              <w:t xml:space="preserve">.  </w:t>
            </w:r>
            <w:r w:rsidR="00DF50B4" w:rsidRPr="00CE2CA5">
              <w:rPr>
                <w:iCs/>
              </w:rPr>
              <w:t>Le</w:t>
            </w:r>
            <w:r w:rsidRPr="00CE2CA5">
              <w:rPr>
                <w:iCs/>
              </w:rPr>
              <w:t>s participants du projet ont vivement apprécié les cours d</w:t>
            </w:r>
            <w:r w:rsidR="00BF1851">
              <w:rPr>
                <w:iCs/>
              </w:rPr>
              <w:t>’</w:t>
            </w:r>
            <w:r w:rsidRPr="00CE2CA5">
              <w:rPr>
                <w:iCs/>
              </w:rPr>
              <w:t>enseignement à distance suivis de séances de formation en présentiel et d</w:t>
            </w:r>
            <w:r w:rsidR="00BF1851">
              <w:rPr>
                <w:iCs/>
              </w:rPr>
              <w:t>’</w:t>
            </w:r>
            <w:r w:rsidRPr="00CE2CA5">
              <w:rPr>
                <w:iCs/>
              </w:rPr>
              <w:t>activités pédagogiques;</w:t>
            </w:r>
          </w:p>
          <w:p w:rsidR="00D8371C" w:rsidRPr="00CE2CA5" w:rsidRDefault="00D8371C" w:rsidP="00A601DF">
            <w:pPr>
              <w:ind w:left="1134" w:hanging="567"/>
              <w:rPr>
                <w:iCs/>
              </w:rPr>
            </w:pPr>
          </w:p>
          <w:p w:rsidR="00D8371C" w:rsidRPr="00CE2CA5" w:rsidRDefault="00326EDA" w:rsidP="00A601DF">
            <w:pPr>
              <w:numPr>
                <w:ilvl w:val="0"/>
                <w:numId w:val="19"/>
              </w:numPr>
              <w:ind w:left="1134" w:hanging="567"/>
              <w:rPr>
                <w:iCs/>
              </w:rPr>
            </w:pPr>
            <w:r w:rsidRPr="00CE2CA5">
              <w:rPr>
                <w:iCs/>
              </w:rPr>
              <w:lastRenderedPageBreak/>
              <w:t>L</w:t>
            </w:r>
            <w:r w:rsidR="00BF1851">
              <w:rPr>
                <w:iCs/>
              </w:rPr>
              <w:t>’</w:t>
            </w:r>
            <w:r w:rsidRPr="00CE2CA5">
              <w:rPr>
                <w:iCs/>
              </w:rPr>
              <w:t xml:space="preserve">utilisation des connaissances et compétences nationales pour mener à bien les activités a permis de </w:t>
            </w:r>
            <w:r w:rsidR="00656A8C">
              <w:rPr>
                <w:iCs/>
              </w:rPr>
              <w:t>faire en sorte</w:t>
            </w:r>
            <w:r w:rsidRPr="00CE2CA5">
              <w:rPr>
                <w:iCs/>
              </w:rPr>
              <w:t xml:space="preserve"> que le contenu du projet soit toujours axé sur les </w:t>
            </w:r>
            <w:r w:rsidR="002315CA">
              <w:rPr>
                <w:iCs/>
              </w:rPr>
              <w:t xml:space="preserve">priorités et </w:t>
            </w:r>
            <w:r w:rsidRPr="00CE2CA5">
              <w:rPr>
                <w:iCs/>
              </w:rPr>
              <w:t xml:space="preserve">besoins nationaux et de promouvoir une plus grande maîtrise du projet et des résultats </w:t>
            </w:r>
            <w:r w:rsidR="00293CBB" w:rsidRPr="00CE2CA5">
              <w:rPr>
                <w:iCs/>
              </w:rPr>
              <w:t>attendus</w:t>
            </w:r>
            <w:r w:rsidRPr="00CE2CA5">
              <w:rPr>
                <w:iCs/>
              </w:rPr>
              <w:t>;</w:t>
            </w:r>
          </w:p>
          <w:p w:rsidR="00D8371C" w:rsidRPr="00CE2CA5" w:rsidRDefault="00D8371C" w:rsidP="00A601DF">
            <w:pPr>
              <w:ind w:left="1134" w:hanging="567"/>
              <w:rPr>
                <w:iCs/>
              </w:rPr>
            </w:pPr>
          </w:p>
          <w:p w:rsidR="006D20ED" w:rsidRPr="00CE2CA5" w:rsidRDefault="0017433A" w:rsidP="00A601DF">
            <w:pPr>
              <w:numPr>
                <w:ilvl w:val="0"/>
                <w:numId w:val="19"/>
              </w:numPr>
              <w:ind w:left="1134" w:hanging="567"/>
              <w:rPr>
                <w:iCs/>
              </w:rPr>
            </w:pPr>
            <w:r w:rsidRPr="00CE2CA5">
              <w:rPr>
                <w:iCs/>
              </w:rPr>
              <w:t>L</w:t>
            </w:r>
            <w:r w:rsidR="00BF1851">
              <w:rPr>
                <w:iCs/>
              </w:rPr>
              <w:t>’</w:t>
            </w:r>
            <w:r w:rsidRPr="00CE2CA5">
              <w:rPr>
                <w:iCs/>
              </w:rPr>
              <w:t>engagement et l</w:t>
            </w:r>
            <w:r w:rsidR="00BF1851">
              <w:rPr>
                <w:iCs/>
              </w:rPr>
              <w:t>’</w:t>
            </w:r>
            <w:r w:rsidRPr="00CE2CA5">
              <w:rPr>
                <w:iCs/>
              </w:rPr>
              <w:t>appui sans réserve des quatre</w:t>
            </w:r>
            <w:r w:rsidR="0009127F">
              <w:rPr>
                <w:iCs/>
              </w:rPr>
              <w:t> </w:t>
            </w:r>
            <w:r w:rsidRPr="00CE2CA5">
              <w:rPr>
                <w:iCs/>
              </w:rPr>
              <w:t xml:space="preserve">États membres et de leurs autorités judiciaires ont été la </w:t>
            </w:r>
            <w:r w:rsidR="002315CA">
              <w:rPr>
                <w:iCs/>
              </w:rPr>
              <w:t xml:space="preserve">clé </w:t>
            </w:r>
            <w:r w:rsidRPr="00CE2CA5">
              <w:rPr>
                <w:iCs/>
              </w:rPr>
              <w:t>de la réussite et de l</w:t>
            </w:r>
            <w:r w:rsidR="00BF1851">
              <w:rPr>
                <w:iCs/>
              </w:rPr>
              <w:t>’</w:t>
            </w:r>
            <w:r w:rsidRPr="00CE2CA5">
              <w:rPr>
                <w:iCs/>
              </w:rPr>
              <w:t>achèvement du projet dans les délais.</w:t>
            </w:r>
            <w:r w:rsidR="002D7AB2" w:rsidRPr="00CE2CA5">
              <w:rPr>
                <w:iCs/>
              </w:rPr>
              <w:t xml:space="preserve"> </w:t>
            </w:r>
            <w:r w:rsidR="0009127F">
              <w:rPr>
                <w:iCs/>
              </w:rPr>
              <w:t xml:space="preserve"> </w:t>
            </w:r>
          </w:p>
        </w:tc>
      </w:tr>
      <w:tr w:rsidR="006D20ED" w:rsidRPr="00FF3385" w:rsidTr="00A601DF">
        <w:tc>
          <w:tcPr>
            <w:tcW w:w="2391" w:type="dxa"/>
            <w:shd w:val="clear" w:color="auto" w:fill="auto"/>
          </w:tcPr>
          <w:p w:rsidR="006D20ED" w:rsidRPr="00CE2CA5" w:rsidRDefault="0017433A" w:rsidP="00A601DF">
            <w:pPr>
              <w:pStyle w:val="Heading3"/>
              <w:keepNext w:val="0"/>
              <w:spacing w:before="0" w:after="0"/>
            </w:pPr>
            <w:r w:rsidRPr="00CE2CA5">
              <w:lastRenderedPageBreak/>
              <w:t>Risques et atténuation des risques</w:t>
            </w:r>
          </w:p>
        </w:tc>
        <w:tc>
          <w:tcPr>
            <w:tcW w:w="6955" w:type="dxa"/>
          </w:tcPr>
          <w:p w:rsidR="00D8371C" w:rsidRPr="00CE2CA5" w:rsidRDefault="0017433A" w:rsidP="00A601DF">
            <w:pPr>
              <w:rPr>
                <w:iCs/>
              </w:rPr>
            </w:pPr>
            <w:r w:rsidRPr="00CE2CA5">
              <w:rPr>
                <w:iCs/>
              </w:rPr>
              <w:t>Les risques ont fait l</w:t>
            </w:r>
            <w:r w:rsidR="00BF1851">
              <w:rPr>
                <w:iCs/>
              </w:rPr>
              <w:t>’</w:t>
            </w:r>
            <w:r w:rsidRPr="00CE2CA5">
              <w:rPr>
                <w:iCs/>
              </w:rPr>
              <w:t>objet d</w:t>
            </w:r>
            <w:r w:rsidR="00BF1851">
              <w:rPr>
                <w:iCs/>
              </w:rPr>
              <w:t>’</w:t>
            </w:r>
            <w:r w:rsidRPr="00CE2CA5">
              <w:rPr>
                <w:iCs/>
              </w:rPr>
              <w:t>un suivi régulier et ont été examinés en étroite collaboration avec les institutions partenaires des quatre</w:t>
            </w:r>
            <w:r w:rsidR="0009127F">
              <w:rPr>
                <w:iCs/>
              </w:rPr>
              <w:t> </w:t>
            </w:r>
            <w:r w:rsidRPr="00CE2CA5">
              <w:rPr>
                <w:iCs/>
              </w:rPr>
              <w:t>pa</w:t>
            </w:r>
            <w:r w:rsidR="00DF50B4" w:rsidRPr="00CE2CA5">
              <w:rPr>
                <w:iCs/>
              </w:rPr>
              <w:t>ys</w:t>
            </w:r>
            <w:r w:rsidR="00DF50B4">
              <w:rPr>
                <w:iCs/>
              </w:rPr>
              <w:t xml:space="preserve">.  </w:t>
            </w:r>
            <w:r w:rsidR="00DF50B4" w:rsidRPr="00CE2CA5">
              <w:rPr>
                <w:iCs/>
              </w:rPr>
              <w:t>L</w:t>
            </w:r>
            <w:r w:rsidR="00DF50B4">
              <w:rPr>
                <w:iCs/>
              </w:rPr>
              <w:t>’</w:t>
            </w:r>
            <w:r w:rsidR="00DF50B4" w:rsidRPr="00CE2CA5">
              <w:rPr>
                <w:iCs/>
              </w:rPr>
              <w:t>é</w:t>
            </w:r>
            <w:r w:rsidRPr="00CE2CA5">
              <w:rPr>
                <w:iCs/>
              </w:rPr>
              <w:t>valuation des risques et l</w:t>
            </w:r>
            <w:r w:rsidR="00BF1851">
              <w:rPr>
                <w:iCs/>
              </w:rPr>
              <w:t>’</w:t>
            </w:r>
            <w:r w:rsidRPr="00CE2CA5">
              <w:rPr>
                <w:iCs/>
              </w:rPr>
              <w:t>analyse des mesures d</w:t>
            </w:r>
            <w:r w:rsidR="00BF1851">
              <w:rPr>
                <w:iCs/>
              </w:rPr>
              <w:t>’</w:t>
            </w:r>
            <w:r w:rsidRPr="00CE2CA5">
              <w:rPr>
                <w:iCs/>
              </w:rPr>
              <w:t>atténuation ont été essentielles pour établir une base solide pour le projet.</w:t>
            </w:r>
          </w:p>
          <w:p w:rsidR="00D8371C" w:rsidRPr="00CE2CA5" w:rsidRDefault="00D8371C" w:rsidP="00A601DF">
            <w:pPr>
              <w:rPr>
                <w:iCs/>
              </w:rPr>
            </w:pPr>
          </w:p>
          <w:p w:rsidR="00D8371C" w:rsidRPr="00CE2CA5" w:rsidRDefault="0017433A" w:rsidP="00A601DF">
            <w:pPr>
              <w:rPr>
                <w:iCs/>
              </w:rPr>
            </w:pPr>
            <w:r w:rsidRPr="00CE2CA5">
              <w:rPr>
                <w:iCs/>
              </w:rPr>
              <w:t>Les principaux risques et mesures d</w:t>
            </w:r>
            <w:r w:rsidR="00BF1851">
              <w:rPr>
                <w:iCs/>
              </w:rPr>
              <w:t>’</w:t>
            </w:r>
            <w:r w:rsidRPr="00CE2CA5">
              <w:rPr>
                <w:iCs/>
              </w:rPr>
              <w:t xml:space="preserve">atténuation envisagés sont </w:t>
            </w:r>
            <w:r w:rsidR="00656A8C">
              <w:rPr>
                <w:iCs/>
              </w:rPr>
              <w:t>indiqués ci</w:t>
            </w:r>
            <w:r w:rsidR="005B01A6">
              <w:rPr>
                <w:iCs/>
              </w:rPr>
              <w:noBreakHyphen/>
            </w:r>
            <w:r w:rsidR="00656A8C">
              <w:rPr>
                <w:iCs/>
              </w:rPr>
              <w:t>après.</w:t>
            </w:r>
          </w:p>
          <w:p w:rsidR="00D8371C" w:rsidRPr="00CE2CA5" w:rsidRDefault="00D8371C" w:rsidP="00A601DF">
            <w:pPr>
              <w:rPr>
                <w:iCs/>
              </w:rPr>
            </w:pPr>
          </w:p>
          <w:p w:rsidR="00D8371C" w:rsidRPr="00CE2CA5" w:rsidRDefault="00ED324F" w:rsidP="00A601DF">
            <w:pPr>
              <w:rPr>
                <w:iCs/>
              </w:rPr>
            </w:pPr>
            <w:r w:rsidRPr="00CE2CA5">
              <w:rPr>
                <w:iCs/>
              </w:rPr>
              <w:t>Risque a)</w:t>
            </w:r>
            <w:r w:rsidR="00BF1851">
              <w:rPr>
                <w:iCs/>
              </w:rPr>
              <w:t> :</w:t>
            </w:r>
            <w:r w:rsidRPr="00CE2CA5">
              <w:rPr>
                <w:iCs/>
              </w:rPr>
              <w:t xml:space="preserve"> </w:t>
            </w:r>
            <w:r w:rsidR="00B17093">
              <w:rPr>
                <w:iCs/>
              </w:rPr>
              <w:t>D</w:t>
            </w:r>
            <w:r w:rsidRPr="00CE2CA5">
              <w:rPr>
                <w:iCs/>
              </w:rPr>
              <w:t xml:space="preserve">ifficultés à organiser une formation continue pour des magistrats </w:t>
            </w:r>
            <w:r w:rsidR="00B17093">
              <w:rPr>
                <w:iCs/>
              </w:rPr>
              <w:t xml:space="preserve">qui ont une </w:t>
            </w:r>
            <w:r w:rsidR="0046127A">
              <w:rPr>
                <w:iCs/>
              </w:rPr>
              <w:t>importante c</w:t>
            </w:r>
            <w:r w:rsidRPr="00CE2CA5">
              <w:rPr>
                <w:iCs/>
              </w:rPr>
              <w:t>harge de trava</w:t>
            </w:r>
            <w:r w:rsidR="00DF50B4" w:rsidRPr="00CE2CA5">
              <w:rPr>
                <w:iCs/>
              </w:rPr>
              <w:t>il</w:t>
            </w:r>
            <w:r w:rsidR="00DF50B4">
              <w:rPr>
                <w:iCs/>
              </w:rPr>
              <w:t>.  Un</w:t>
            </w:r>
            <w:r w:rsidR="0046127A">
              <w:rPr>
                <w:iCs/>
              </w:rPr>
              <w:t>e mesure d</w:t>
            </w:r>
            <w:r w:rsidR="00BF1851">
              <w:rPr>
                <w:iCs/>
              </w:rPr>
              <w:t>’</w:t>
            </w:r>
            <w:r w:rsidR="0046127A">
              <w:rPr>
                <w:iCs/>
              </w:rPr>
              <w:t>atténuation essentielle pour écarter ce risque consiste à s</w:t>
            </w:r>
            <w:r w:rsidR="00BF1851">
              <w:rPr>
                <w:iCs/>
              </w:rPr>
              <w:t>’</w:t>
            </w:r>
            <w:r w:rsidR="0046127A">
              <w:rPr>
                <w:iCs/>
              </w:rPr>
              <w:t>assurer l</w:t>
            </w:r>
            <w:r w:rsidR="00BF1851">
              <w:rPr>
                <w:iCs/>
              </w:rPr>
              <w:t>’</w:t>
            </w:r>
            <w:r w:rsidR="0046127A">
              <w:rPr>
                <w:iCs/>
              </w:rPr>
              <w:t>engagement et l</w:t>
            </w:r>
            <w:r w:rsidR="00BF1851">
              <w:rPr>
                <w:iCs/>
              </w:rPr>
              <w:t>’</w:t>
            </w:r>
            <w:r w:rsidR="0046127A">
              <w:rPr>
                <w:iCs/>
              </w:rPr>
              <w:t>appui sans réserve de l</w:t>
            </w:r>
            <w:r w:rsidR="00BF1851">
              <w:rPr>
                <w:iCs/>
              </w:rPr>
              <w:t>’</w:t>
            </w:r>
            <w:r w:rsidR="0046127A">
              <w:rPr>
                <w:iCs/>
              </w:rPr>
              <w:t xml:space="preserve">institut de formation judiciaire ou des autorités </w:t>
            </w:r>
            <w:r w:rsidRPr="00CE2CA5">
              <w:rPr>
                <w:iCs/>
              </w:rPr>
              <w:t>compétente</w:t>
            </w:r>
            <w:r w:rsidR="00B17093">
              <w:rPr>
                <w:iCs/>
              </w:rPr>
              <w:t>s à toutes les étapes du projet.</w:t>
            </w:r>
          </w:p>
          <w:p w:rsidR="00D8371C" w:rsidRPr="00CE2CA5" w:rsidRDefault="00D8371C" w:rsidP="00A601DF">
            <w:pPr>
              <w:rPr>
                <w:iCs/>
              </w:rPr>
            </w:pPr>
          </w:p>
          <w:p w:rsidR="00D8371C" w:rsidRPr="00CE2CA5" w:rsidRDefault="00ED324F" w:rsidP="00A601DF">
            <w:pPr>
              <w:rPr>
                <w:szCs w:val="22"/>
              </w:rPr>
            </w:pPr>
            <w:r w:rsidRPr="00CE2CA5">
              <w:rPr>
                <w:szCs w:val="22"/>
              </w:rPr>
              <w:t>Atténuation a)</w:t>
            </w:r>
            <w:r w:rsidR="00BF1851">
              <w:rPr>
                <w:szCs w:val="22"/>
              </w:rPr>
              <w:t> :</w:t>
            </w:r>
            <w:r w:rsidRPr="00CE2CA5">
              <w:rPr>
                <w:szCs w:val="22"/>
              </w:rPr>
              <w:t xml:space="preserve"> </w:t>
            </w:r>
            <w:r w:rsidR="00B17093">
              <w:rPr>
                <w:szCs w:val="22"/>
              </w:rPr>
              <w:t>L</w:t>
            </w:r>
            <w:r w:rsidRPr="00CE2CA5">
              <w:rPr>
                <w:szCs w:val="22"/>
              </w:rPr>
              <w:t>es instituts de formation judiciaire et les autorités concernées des pays bénéficiaires ont pleinement appuyé la mise en œuvre du projet</w:t>
            </w:r>
            <w:r w:rsidR="00B17093">
              <w:rPr>
                <w:szCs w:val="22"/>
              </w:rPr>
              <w:t>,</w:t>
            </w:r>
            <w:r w:rsidRPr="00CE2CA5">
              <w:rPr>
                <w:szCs w:val="22"/>
              </w:rPr>
              <w:t xml:space="preserve"> de sorte que les risques envisagés ont été évités et qu</w:t>
            </w:r>
            <w:r w:rsidR="00BF1851">
              <w:rPr>
                <w:szCs w:val="22"/>
              </w:rPr>
              <w:t>’</w:t>
            </w:r>
            <w:r w:rsidRPr="00CE2CA5">
              <w:rPr>
                <w:szCs w:val="22"/>
              </w:rPr>
              <w:t>aucune incidence négative n</w:t>
            </w:r>
            <w:r w:rsidR="00BF1851">
              <w:rPr>
                <w:szCs w:val="22"/>
              </w:rPr>
              <w:t>’</w:t>
            </w:r>
            <w:r w:rsidRPr="00CE2CA5">
              <w:rPr>
                <w:szCs w:val="22"/>
              </w:rPr>
              <w:t>a été constat</w:t>
            </w:r>
            <w:r w:rsidR="00DF50B4" w:rsidRPr="00CE2CA5">
              <w:rPr>
                <w:szCs w:val="22"/>
              </w:rPr>
              <w:t>ée</w:t>
            </w:r>
            <w:r w:rsidR="00DF50B4">
              <w:rPr>
                <w:szCs w:val="22"/>
              </w:rPr>
              <w:t xml:space="preserve">.  </w:t>
            </w:r>
            <w:r w:rsidR="00DF50B4" w:rsidRPr="00CE2CA5">
              <w:rPr>
                <w:szCs w:val="22"/>
              </w:rPr>
              <w:t>En</w:t>
            </w:r>
            <w:r w:rsidRPr="00CE2CA5">
              <w:rPr>
                <w:szCs w:val="22"/>
              </w:rPr>
              <w:t xml:space="preserve"> outre, l</w:t>
            </w:r>
            <w:r w:rsidR="00BF1851">
              <w:rPr>
                <w:szCs w:val="22"/>
              </w:rPr>
              <w:t>’</w:t>
            </w:r>
            <w:r w:rsidRPr="00CE2CA5">
              <w:rPr>
                <w:szCs w:val="22"/>
              </w:rPr>
              <w:t>utilisation des outils d</w:t>
            </w:r>
            <w:r w:rsidR="00BF1851">
              <w:rPr>
                <w:szCs w:val="22"/>
              </w:rPr>
              <w:t>’</w:t>
            </w:r>
            <w:r w:rsidRPr="00CE2CA5">
              <w:rPr>
                <w:szCs w:val="22"/>
              </w:rPr>
              <w:t>enseignement à distance pour une formation continue permet une approche plus souple et personnalisée.</w:t>
            </w:r>
          </w:p>
          <w:p w:rsidR="00D8371C" w:rsidRPr="00CE2CA5" w:rsidRDefault="00D8371C" w:rsidP="00A601DF">
            <w:pPr>
              <w:rPr>
                <w:iCs/>
              </w:rPr>
            </w:pPr>
          </w:p>
          <w:p w:rsidR="00D8371C" w:rsidRPr="00CE2CA5" w:rsidRDefault="00ED324F" w:rsidP="00A601DF">
            <w:pPr>
              <w:rPr>
                <w:iCs/>
              </w:rPr>
            </w:pPr>
            <w:r w:rsidRPr="00CE2CA5">
              <w:rPr>
                <w:iCs/>
              </w:rPr>
              <w:t>Risque b)</w:t>
            </w:r>
            <w:r w:rsidR="00BF1851">
              <w:rPr>
                <w:iCs/>
              </w:rPr>
              <w:t> :</w:t>
            </w:r>
            <w:r w:rsidRPr="00CE2CA5">
              <w:rPr>
                <w:iCs/>
              </w:rPr>
              <w:t xml:space="preserve"> Les conditions </w:t>
            </w:r>
            <w:r w:rsidR="00B17093">
              <w:rPr>
                <w:iCs/>
              </w:rPr>
              <w:t>propres à</w:t>
            </w:r>
            <w:r w:rsidRPr="00CE2CA5">
              <w:rPr>
                <w:iCs/>
              </w:rPr>
              <w:t xml:space="preserve"> un pays pilote </w:t>
            </w:r>
            <w:r w:rsidR="00B17093">
              <w:rPr>
                <w:iCs/>
              </w:rPr>
              <w:t xml:space="preserve">peuvent </w:t>
            </w:r>
            <w:r w:rsidRPr="00CE2CA5">
              <w:rPr>
                <w:iCs/>
              </w:rPr>
              <w:t>entraver le projet, auquel cas les discussions devraient se poursuiv</w:t>
            </w:r>
            <w:r w:rsidR="00DF50B4" w:rsidRPr="00CE2CA5">
              <w:rPr>
                <w:iCs/>
              </w:rPr>
              <w:t>re</w:t>
            </w:r>
            <w:r w:rsidR="00DF50B4">
              <w:rPr>
                <w:iCs/>
              </w:rPr>
              <w:t xml:space="preserve">.  </w:t>
            </w:r>
            <w:r w:rsidR="00DF50B4" w:rsidRPr="00CE2CA5">
              <w:rPr>
                <w:iCs/>
              </w:rPr>
              <w:t>Si</w:t>
            </w:r>
            <w:r w:rsidRPr="00CE2CA5">
              <w:rPr>
                <w:iCs/>
              </w:rPr>
              <w:t xml:space="preserve"> ces discussions devaient se révéler infructueuses, le projet dans le pays pourrait être suspendu ou reporté.</w:t>
            </w:r>
          </w:p>
          <w:p w:rsidR="00D8371C" w:rsidRPr="00CE2CA5" w:rsidRDefault="00D8371C" w:rsidP="00A601DF">
            <w:pPr>
              <w:rPr>
                <w:iCs/>
              </w:rPr>
            </w:pPr>
          </w:p>
          <w:p w:rsidR="00D8371C" w:rsidRPr="00CE2CA5" w:rsidRDefault="00ED324F" w:rsidP="00A601DF">
            <w:pPr>
              <w:rPr>
                <w:iCs/>
              </w:rPr>
            </w:pPr>
            <w:r w:rsidRPr="00CE2CA5">
              <w:rPr>
                <w:iCs/>
              </w:rPr>
              <w:t>Atténuation b)</w:t>
            </w:r>
            <w:r w:rsidR="00BF1851">
              <w:rPr>
                <w:iCs/>
              </w:rPr>
              <w:t> :</w:t>
            </w:r>
            <w:r w:rsidR="00B17093">
              <w:rPr>
                <w:iCs/>
              </w:rPr>
              <w:t xml:space="preserve"> L</w:t>
            </w:r>
            <w:r w:rsidRPr="00CE2CA5">
              <w:rPr>
                <w:iCs/>
              </w:rPr>
              <w:t xml:space="preserve">es conditions dans les pays retenus étaient globalement propices à la mise en </w:t>
            </w:r>
            <w:r w:rsidR="00AB3EC6" w:rsidRPr="00CE2CA5">
              <w:rPr>
                <w:iCs/>
              </w:rPr>
              <w:t>œ</w:t>
            </w:r>
            <w:r w:rsidRPr="00CE2CA5">
              <w:rPr>
                <w:iCs/>
              </w:rPr>
              <w:t>uvre du proj</w:t>
            </w:r>
            <w:r w:rsidR="00DF50B4" w:rsidRPr="00CE2CA5">
              <w:rPr>
                <w:iCs/>
              </w:rPr>
              <w:t>et</w:t>
            </w:r>
            <w:r w:rsidR="00DF50B4">
              <w:rPr>
                <w:iCs/>
              </w:rPr>
              <w:t xml:space="preserve">.  </w:t>
            </w:r>
            <w:r w:rsidR="00DF50B4" w:rsidRPr="00CE2CA5">
              <w:rPr>
                <w:iCs/>
              </w:rPr>
              <w:t>L</w:t>
            </w:r>
            <w:r w:rsidR="00DF50B4">
              <w:rPr>
                <w:iCs/>
              </w:rPr>
              <w:t>’</w:t>
            </w:r>
            <w:r w:rsidR="00DF50B4" w:rsidRPr="00CE2CA5">
              <w:rPr>
                <w:iCs/>
              </w:rPr>
              <w:t>a</w:t>
            </w:r>
            <w:r w:rsidRPr="00CE2CA5">
              <w:rPr>
                <w:iCs/>
              </w:rPr>
              <w:t>ppui fourni par les institutions partenaires a contribué à atténuer tous les risques qui auraient pu se matérialis</w:t>
            </w:r>
            <w:r w:rsidR="00DF50B4" w:rsidRPr="00CE2CA5">
              <w:rPr>
                <w:iCs/>
              </w:rPr>
              <w:t>er</w:t>
            </w:r>
            <w:r w:rsidR="00DF50B4">
              <w:rPr>
                <w:iCs/>
              </w:rPr>
              <w:t xml:space="preserve">.  </w:t>
            </w:r>
            <w:r w:rsidR="00DF50B4" w:rsidRPr="00CE2CA5">
              <w:rPr>
                <w:iCs/>
              </w:rPr>
              <w:t>Le</w:t>
            </w:r>
            <w:r w:rsidR="00B5114D" w:rsidRPr="00CE2CA5">
              <w:rPr>
                <w:iCs/>
              </w:rPr>
              <w:t xml:space="preserve"> risque a été évité et aucune incidence négative n</w:t>
            </w:r>
            <w:r w:rsidR="00BF1851">
              <w:rPr>
                <w:iCs/>
              </w:rPr>
              <w:t>’</w:t>
            </w:r>
            <w:r w:rsidR="00B5114D" w:rsidRPr="00CE2CA5">
              <w:rPr>
                <w:iCs/>
              </w:rPr>
              <w:t>a été constatée.</w:t>
            </w:r>
          </w:p>
          <w:p w:rsidR="00D8371C" w:rsidRPr="00CE2CA5" w:rsidRDefault="00D8371C" w:rsidP="00A601DF">
            <w:pPr>
              <w:rPr>
                <w:iCs/>
              </w:rPr>
            </w:pPr>
          </w:p>
          <w:p w:rsidR="00D8371C" w:rsidRPr="00CE2CA5" w:rsidRDefault="00B5114D" w:rsidP="00A601DF">
            <w:pPr>
              <w:rPr>
                <w:iCs/>
              </w:rPr>
            </w:pPr>
            <w:r w:rsidRPr="00CE2CA5">
              <w:rPr>
                <w:iCs/>
              </w:rPr>
              <w:t>Risque c)</w:t>
            </w:r>
            <w:r w:rsidR="00BF1851">
              <w:rPr>
                <w:iCs/>
              </w:rPr>
              <w:t> :</w:t>
            </w:r>
            <w:r w:rsidRPr="00CE2CA5">
              <w:rPr>
                <w:iCs/>
              </w:rPr>
              <w:t xml:space="preserve"> L</w:t>
            </w:r>
            <w:r w:rsidR="00BF1851">
              <w:rPr>
                <w:iCs/>
              </w:rPr>
              <w:t>’</w:t>
            </w:r>
            <w:r w:rsidRPr="00CE2CA5">
              <w:rPr>
                <w:iCs/>
              </w:rPr>
              <w:t>utilisation des technologies de l</w:t>
            </w:r>
            <w:r w:rsidR="00BF1851">
              <w:rPr>
                <w:iCs/>
              </w:rPr>
              <w:t>’</w:t>
            </w:r>
            <w:r w:rsidRPr="00CE2CA5">
              <w:rPr>
                <w:iCs/>
              </w:rPr>
              <w:t>information et de la communication (TIC) pourrait se heurter aux limitations existant dans les pays en développement et les pays les moins avancés</w:t>
            </w:r>
            <w:r w:rsidR="00B17093">
              <w:rPr>
                <w:iCs/>
              </w:rPr>
              <w:t>,</w:t>
            </w:r>
            <w:r w:rsidRPr="00CE2CA5">
              <w:rPr>
                <w:iCs/>
              </w:rPr>
              <w:t xml:space="preserve"> par exemple l</w:t>
            </w:r>
            <w:r w:rsidR="00BF1851">
              <w:rPr>
                <w:iCs/>
              </w:rPr>
              <w:t>’</w:t>
            </w:r>
            <w:r w:rsidRPr="00CE2CA5">
              <w:rPr>
                <w:iCs/>
              </w:rPr>
              <w:t>absence de l</w:t>
            </w:r>
            <w:r w:rsidR="00BF1851">
              <w:rPr>
                <w:iCs/>
              </w:rPr>
              <w:t>’</w:t>
            </w:r>
            <w:r w:rsidRPr="00CE2CA5">
              <w:rPr>
                <w:iCs/>
              </w:rPr>
              <w:t>Internet ou l</w:t>
            </w:r>
            <w:r w:rsidR="00BF1851">
              <w:rPr>
                <w:iCs/>
              </w:rPr>
              <w:t>’</w:t>
            </w:r>
            <w:r w:rsidRPr="00CE2CA5">
              <w:rPr>
                <w:iCs/>
              </w:rPr>
              <w:t>Internet à faible déb</w:t>
            </w:r>
            <w:r w:rsidR="00DF50B4" w:rsidRPr="00CE2CA5">
              <w:rPr>
                <w:iCs/>
              </w:rPr>
              <w:t>it</w:t>
            </w:r>
            <w:r w:rsidR="00DF50B4">
              <w:rPr>
                <w:iCs/>
              </w:rPr>
              <w:t xml:space="preserve">.  </w:t>
            </w:r>
            <w:r w:rsidR="00DF50B4" w:rsidRPr="00CE2CA5">
              <w:rPr>
                <w:iCs/>
              </w:rPr>
              <w:t>Un</w:t>
            </w:r>
            <w:r w:rsidRPr="00CE2CA5">
              <w:rPr>
                <w:iCs/>
              </w:rPr>
              <w:t>e mesure d</w:t>
            </w:r>
            <w:r w:rsidR="00BF1851">
              <w:rPr>
                <w:iCs/>
              </w:rPr>
              <w:t>’</w:t>
            </w:r>
            <w:r w:rsidRPr="00CE2CA5">
              <w:rPr>
                <w:iCs/>
              </w:rPr>
              <w:t>atténuation essentielle pour écarter ce risque consisterait à assurer la publication sur support imprimé de l</w:t>
            </w:r>
            <w:r w:rsidR="00BF1851">
              <w:rPr>
                <w:iCs/>
              </w:rPr>
              <w:t>’</w:t>
            </w:r>
            <w:r w:rsidRPr="00CE2CA5">
              <w:rPr>
                <w:iCs/>
              </w:rPr>
              <w:t>instrument relatif aux droits de la propriété intellectuelle à l</w:t>
            </w:r>
            <w:r w:rsidR="00BF1851">
              <w:rPr>
                <w:iCs/>
              </w:rPr>
              <w:t>’</w:t>
            </w:r>
            <w:r w:rsidRPr="00CE2CA5">
              <w:rPr>
                <w:iCs/>
              </w:rPr>
              <w:t>intention des juges.</w:t>
            </w:r>
          </w:p>
          <w:p w:rsidR="00D8371C" w:rsidRPr="00CE2CA5" w:rsidRDefault="00D8371C" w:rsidP="00A601DF">
            <w:pPr>
              <w:rPr>
                <w:iCs/>
              </w:rPr>
            </w:pPr>
          </w:p>
          <w:p w:rsidR="006D20ED" w:rsidRPr="00CE2CA5" w:rsidRDefault="00B17093" w:rsidP="00A601DF">
            <w:pPr>
              <w:rPr>
                <w:iCs/>
              </w:rPr>
            </w:pPr>
            <w:r>
              <w:rPr>
                <w:iCs/>
              </w:rPr>
              <w:t>Atténuation c)</w:t>
            </w:r>
            <w:r w:rsidR="00BF1851">
              <w:rPr>
                <w:iCs/>
              </w:rPr>
              <w:t> :</w:t>
            </w:r>
            <w:r>
              <w:rPr>
                <w:iCs/>
              </w:rPr>
              <w:t xml:space="preserve"> L</w:t>
            </w:r>
            <w:r w:rsidR="00BF1851">
              <w:rPr>
                <w:iCs/>
              </w:rPr>
              <w:t>’</w:t>
            </w:r>
            <w:r w:rsidR="00B5114D" w:rsidRPr="00CE2CA5">
              <w:rPr>
                <w:iCs/>
              </w:rPr>
              <w:t>utilisation</w:t>
            </w:r>
            <w:r w:rsidR="00BF1851" w:rsidRPr="00CE2CA5">
              <w:rPr>
                <w:iCs/>
              </w:rPr>
              <w:t xml:space="preserve"> des</w:t>
            </w:r>
            <w:r w:rsidR="00BF1851">
              <w:rPr>
                <w:iCs/>
              </w:rPr>
              <w:t> </w:t>
            </w:r>
            <w:r w:rsidR="00BF1851" w:rsidRPr="00CE2CA5">
              <w:rPr>
                <w:iCs/>
              </w:rPr>
              <w:t>TIC</w:t>
            </w:r>
            <w:r w:rsidR="00B5114D" w:rsidRPr="00CE2CA5">
              <w:rPr>
                <w:iCs/>
              </w:rPr>
              <w:t xml:space="preserve"> n</w:t>
            </w:r>
            <w:r w:rsidR="00BF1851">
              <w:rPr>
                <w:iCs/>
              </w:rPr>
              <w:t>’</w:t>
            </w:r>
            <w:r w:rsidR="00B5114D" w:rsidRPr="00CE2CA5">
              <w:rPr>
                <w:iCs/>
              </w:rPr>
              <w:t xml:space="preserve">a </w:t>
            </w:r>
            <w:r>
              <w:rPr>
                <w:iCs/>
              </w:rPr>
              <w:t xml:space="preserve">connu aucune </w:t>
            </w:r>
            <w:r w:rsidR="00B5114D" w:rsidRPr="00CE2CA5">
              <w:rPr>
                <w:iCs/>
              </w:rPr>
              <w:t>limitati</w:t>
            </w:r>
            <w:r>
              <w:rPr>
                <w:iCs/>
              </w:rPr>
              <w:t xml:space="preserve">on importante </w:t>
            </w:r>
            <w:r w:rsidR="00B5114D" w:rsidRPr="00CE2CA5">
              <w:rPr>
                <w:iCs/>
              </w:rPr>
              <w:t xml:space="preserve">dans les pays bénéficiaires car les supports de formation ont été mis à disposition sous une forme facilement accessible et </w:t>
            </w:r>
            <w:r w:rsidR="00B5114D" w:rsidRPr="00CE2CA5">
              <w:rPr>
                <w:iCs/>
              </w:rPr>
              <w:lastRenderedPageBreak/>
              <w:t>imprimab</w:t>
            </w:r>
            <w:r w:rsidR="00DF50B4" w:rsidRPr="00CE2CA5">
              <w:rPr>
                <w:iCs/>
              </w:rPr>
              <w:t>le</w:t>
            </w:r>
            <w:r w:rsidR="00DF50B4">
              <w:rPr>
                <w:iCs/>
              </w:rPr>
              <w:t xml:space="preserve">.  </w:t>
            </w:r>
            <w:r w:rsidR="00DF50B4" w:rsidRPr="00CE2CA5">
              <w:rPr>
                <w:iCs/>
              </w:rPr>
              <w:t>Le</w:t>
            </w:r>
            <w:r w:rsidR="00B5114D" w:rsidRPr="00CE2CA5">
              <w:rPr>
                <w:iCs/>
              </w:rPr>
              <w:t xml:space="preserve">s communications électroniques régulières et les cours en ligne prévus </w:t>
            </w:r>
            <w:r>
              <w:rPr>
                <w:iCs/>
              </w:rPr>
              <w:t>n</w:t>
            </w:r>
            <w:r w:rsidR="00BF1851">
              <w:rPr>
                <w:iCs/>
              </w:rPr>
              <w:t>’</w:t>
            </w:r>
            <w:r w:rsidR="00B5114D" w:rsidRPr="00CE2CA5">
              <w:rPr>
                <w:iCs/>
              </w:rPr>
              <w:t xml:space="preserve">ont </w:t>
            </w:r>
            <w:r>
              <w:rPr>
                <w:iCs/>
              </w:rPr>
              <w:t xml:space="preserve">posé aucune </w:t>
            </w:r>
            <w:r w:rsidR="00B5114D" w:rsidRPr="00CE2CA5">
              <w:rPr>
                <w:iCs/>
              </w:rPr>
              <w:t>difficul</w:t>
            </w:r>
            <w:r w:rsidR="00DF50B4" w:rsidRPr="00CE2CA5">
              <w:rPr>
                <w:iCs/>
              </w:rPr>
              <w:t>té</w:t>
            </w:r>
            <w:r w:rsidR="00DF50B4">
              <w:rPr>
                <w:iCs/>
              </w:rPr>
              <w:t xml:space="preserve">.  </w:t>
            </w:r>
            <w:r w:rsidR="00DF50B4" w:rsidRPr="00CE2CA5">
              <w:rPr>
                <w:iCs/>
              </w:rPr>
              <w:t>La</w:t>
            </w:r>
            <w:r w:rsidR="00B5114D" w:rsidRPr="00CE2CA5">
              <w:rPr>
                <w:iCs/>
              </w:rPr>
              <w:t xml:space="preserve"> formation mixte (en ligne et en présentiel) a atténué tout risque de perte d</w:t>
            </w:r>
            <w:r w:rsidR="00BF1851">
              <w:rPr>
                <w:iCs/>
              </w:rPr>
              <w:t>’</w:t>
            </w:r>
            <w:r w:rsidR="00B5114D" w:rsidRPr="00CE2CA5">
              <w:rPr>
                <w:iCs/>
              </w:rPr>
              <w:t>informatio</w:t>
            </w:r>
            <w:r w:rsidR="00DF50B4" w:rsidRPr="00CE2CA5">
              <w:rPr>
                <w:iCs/>
              </w:rPr>
              <w:t>ns</w:t>
            </w:r>
            <w:r w:rsidR="00DF50B4">
              <w:rPr>
                <w:iCs/>
              </w:rPr>
              <w:t xml:space="preserve">.  </w:t>
            </w:r>
            <w:r w:rsidR="00DF50B4" w:rsidRPr="00CE2CA5">
              <w:rPr>
                <w:iCs/>
              </w:rPr>
              <w:t>Le</w:t>
            </w:r>
            <w:r w:rsidR="00B5114D" w:rsidRPr="00CE2CA5">
              <w:rPr>
                <w:iCs/>
              </w:rPr>
              <w:t xml:space="preserve"> risque a donc été évité et aucune incidence négative n</w:t>
            </w:r>
            <w:r w:rsidR="00BF1851">
              <w:rPr>
                <w:iCs/>
              </w:rPr>
              <w:t>’</w:t>
            </w:r>
            <w:r w:rsidR="00B5114D" w:rsidRPr="00CE2CA5">
              <w:rPr>
                <w:iCs/>
              </w:rPr>
              <w:t>a été constatée.</w:t>
            </w:r>
          </w:p>
        </w:tc>
      </w:tr>
      <w:tr w:rsidR="006D20ED" w:rsidRPr="00FF3385" w:rsidTr="00A601DF">
        <w:tc>
          <w:tcPr>
            <w:tcW w:w="2391" w:type="dxa"/>
            <w:shd w:val="clear" w:color="auto" w:fill="auto"/>
          </w:tcPr>
          <w:p w:rsidR="006D20ED" w:rsidRPr="00CE2CA5" w:rsidRDefault="00B5114D" w:rsidP="00A601DF">
            <w:pPr>
              <w:pStyle w:val="Heading3"/>
              <w:keepNext w:val="0"/>
              <w:spacing w:before="0" w:after="0"/>
            </w:pPr>
            <w:r w:rsidRPr="00CE2CA5">
              <w:lastRenderedPageBreak/>
              <w:t>Taux d</w:t>
            </w:r>
            <w:r w:rsidR="00BF1851">
              <w:t>’</w:t>
            </w:r>
            <w:r w:rsidRPr="00CE2CA5">
              <w:t>exécution du projet</w:t>
            </w:r>
            <w:r w:rsidR="006D20ED" w:rsidRPr="00CE2CA5">
              <w:t xml:space="preserve"> </w:t>
            </w:r>
          </w:p>
        </w:tc>
        <w:tc>
          <w:tcPr>
            <w:tcW w:w="6955" w:type="dxa"/>
          </w:tcPr>
          <w:p w:rsidR="00A601DF" w:rsidRPr="00CE2CA5" w:rsidRDefault="00A601DF" w:rsidP="00A601DF">
            <w:pPr>
              <w:rPr>
                <w:iCs/>
              </w:rPr>
            </w:pPr>
            <w:r w:rsidRPr="00CE2CA5">
              <w:rPr>
                <w:iCs/>
              </w:rPr>
              <w:t>Le taux d</w:t>
            </w:r>
            <w:r w:rsidR="00BF1851">
              <w:rPr>
                <w:iCs/>
              </w:rPr>
              <w:t>’</w:t>
            </w:r>
            <w:r w:rsidRPr="00CE2CA5">
              <w:rPr>
                <w:iCs/>
              </w:rPr>
              <w:t>utilisation du budget au 31 décembre 2018 était de 90%.  Le projet a été mis en œuvre avec moins de ressources que prévu initialement.</w:t>
            </w:r>
          </w:p>
          <w:p w:rsidR="00A601DF" w:rsidRPr="00CE2CA5" w:rsidRDefault="00A601DF" w:rsidP="00A601DF">
            <w:pPr>
              <w:rPr>
                <w:iCs/>
              </w:rPr>
            </w:pPr>
          </w:p>
          <w:p w:rsidR="006D20ED" w:rsidRPr="00CE2CA5" w:rsidRDefault="00A601DF" w:rsidP="00A601DF">
            <w:pPr>
              <w:rPr>
                <w:iCs/>
              </w:rPr>
            </w:pPr>
            <w:r w:rsidRPr="00CE2CA5">
              <w:t>Le projet ne bénéficiait d</w:t>
            </w:r>
            <w:r w:rsidR="00BF1851">
              <w:t>’</w:t>
            </w:r>
            <w:r w:rsidRPr="00CE2CA5">
              <w:t>aucune allocation budgétaire destinée aux ressources humain</w:t>
            </w:r>
            <w:r w:rsidR="00DF50B4" w:rsidRPr="00CE2CA5">
              <w:t>es</w:t>
            </w:r>
            <w:r w:rsidR="00DF50B4">
              <w:t xml:space="preserve">.  </w:t>
            </w:r>
            <w:r w:rsidR="00DF50B4" w:rsidRPr="00CE2CA5">
              <w:t>To</w:t>
            </w:r>
            <w:r w:rsidRPr="00CE2CA5">
              <w:t>utefois, un certain nombre de fonctionnaires et de stagiaires de l</w:t>
            </w:r>
            <w:r w:rsidR="00BF1851">
              <w:t>’</w:t>
            </w:r>
            <w:r w:rsidRPr="00CE2CA5">
              <w:t>OMPI, en particulier au sein de l</w:t>
            </w:r>
            <w:r w:rsidR="00BF1851">
              <w:t>’</w:t>
            </w:r>
            <w:r w:rsidRPr="00CE2CA5">
              <w:t>Académie de l</w:t>
            </w:r>
            <w:r w:rsidR="00BF1851">
              <w:t>’</w:t>
            </w:r>
            <w:r w:rsidRPr="00CE2CA5">
              <w:t>OMPI, ont participé à la mise en œuvre des activités du projet, en plus de leurs tâches et missions habituelles.</w:t>
            </w:r>
          </w:p>
        </w:tc>
      </w:tr>
      <w:tr w:rsidR="006D20ED" w:rsidRPr="00FF3385" w:rsidTr="00A601DF">
        <w:tc>
          <w:tcPr>
            <w:tcW w:w="2391" w:type="dxa"/>
            <w:shd w:val="clear" w:color="auto" w:fill="auto"/>
          </w:tcPr>
          <w:p w:rsidR="006D20ED" w:rsidRPr="00CE2CA5" w:rsidRDefault="00AE074E" w:rsidP="00A601DF">
            <w:pPr>
              <w:pStyle w:val="Heading3"/>
              <w:keepNext w:val="0"/>
              <w:spacing w:before="0" w:after="0"/>
            </w:pPr>
            <w:r w:rsidRPr="00CE2CA5">
              <w:t>Rapports précédents</w:t>
            </w:r>
          </w:p>
        </w:tc>
        <w:tc>
          <w:tcPr>
            <w:tcW w:w="6955" w:type="dxa"/>
          </w:tcPr>
          <w:p w:rsidR="00BF1851" w:rsidRDefault="00B17093" w:rsidP="00A601DF">
            <w:r>
              <w:t>Il s</w:t>
            </w:r>
            <w:r w:rsidR="00BF1851">
              <w:t>’</w:t>
            </w:r>
            <w:r>
              <w:t xml:space="preserve">agit du </w:t>
            </w:r>
            <w:r w:rsidR="00AE074E" w:rsidRPr="00CE2CA5">
              <w:t>quatrième rapport présenté</w:t>
            </w:r>
            <w:r w:rsidR="00BF1851" w:rsidRPr="00CE2CA5">
              <w:t xml:space="preserve"> au</w:t>
            </w:r>
            <w:r w:rsidR="00BF1851">
              <w:t> </w:t>
            </w:r>
            <w:r w:rsidR="00BF1851" w:rsidRPr="00CE2CA5">
              <w:t>CDI</w:t>
            </w:r>
            <w:r w:rsidR="00AE074E" w:rsidRPr="00CE2CA5">
              <w:t>P.</w:t>
            </w:r>
          </w:p>
          <w:p w:rsidR="00D8371C" w:rsidRPr="00CE2CA5" w:rsidRDefault="00D8371C" w:rsidP="00A601DF"/>
          <w:p w:rsidR="006D20ED" w:rsidRPr="00CE2CA5" w:rsidRDefault="00585CCF" w:rsidP="00A601DF">
            <w:pPr>
              <w:rPr>
                <w:iCs/>
              </w:rPr>
            </w:pPr>
            <w:r w:rsidRPr="00CE2CA5">
              <w:t>Le premier rapport figure à l</w:t>
            </w:r>
            <w:r w:rsidR="00BF1851">
              <w:t>’</w:t>
            </w:r>
            <w:r w:rsidRPr="00CE2CA5">
              <w:t>annexe</w:t>
            </w:r>
            <w:r w:rsidR="00AB3EC6" w:rsidRPr="00CE2CA5">
              <w:t> </w:t>
            </w:r>
            <w:r w:rsidRPr="00CE2CA5">
              <w:t xml:space="preserve">VI du </w:t>
            </w:r>
            <w:r w:rsidR="00BF1851" w:rsidRPr="00CE2CA5">
              <w:t>document</w:t>
            </w:r>
            <w:r w:rsidR="00BF1851">
              <w:t xml:space="preserve"> CD</w:t>
            </w:r>
            <w:r w:rsidR="00B17093">
              <w:t>IP/18/2 et</w:t>
            </w:r>
            <w:r w:rsidRPr="00CE2CA5">
              <w:t xml:space="preserve"> a été présenté</w:t>
            </w:r>
            <w:r w:rsidR="00BF1851" w:rsidRPr="00CE2CA5">
              <w:t xml:space="preserve"> au</w:t>
            </w:r>
            <w:r w:rsidR="00BF1851">
              <w:t> </w:t>
            </w:r>
            <w:r w:rsidR="00BF1851" w:rsidRPr="00CE2CA5">
              <w:t>CDI</w:t>
            </w:r>
            <w:r w:rsidRPr="00CE2CA5">
              <w:t>P à sa dix</w:t>
            </w:r>
            <w:r w:rsidR="005B01A6">
              <w:noBreakHyphen/>
            </w:r>
            <w:r w:rsidRPr="00CE2CA5">
              <w:t>huit</w:t>
            </w:r>
            <w:r w:rsidR="00BF1851">
              <w:t>ième sessi</w:t>
            </w:r>
            <w:r w:rsidR="00DF50B4">
              <w:t xml:space="preserve">on.  </w:t>
            </w:r>
            <w:r w:rsidR="00DF50B4" w:rsidRPr="00CE2CA5">
              <w:t>Le</w:t>
            </w:r>
            <w:r w:rsidRPr="00CE2CA5">
              <w:t xml:space="preserve"> deuxième</w:t>
            </w:r>
            <w:r w:rsidR="00B17093">
              <w:t xml:space="preserve"> </w:t>
            </w:r>
            <w:r w:rsidRPr="00CE2CA5">
              <w:t>figure à l</w:t>
            </w:r>
            <w:r w:rsidR="00BF1851">
              <w:t>’</w:t>
            </w:r>
            <w:r w:rsidRPr="00CE2CA5">
              <w:t>annexe</w:t>
            </w:r>
            <w:r w:rsidR="00AB3EC6" w:rsidRPr="00CE2CA5">
              <w:t> </w:t>
            </w:r>
            <w:r w:rsidRPr="00CE2CA5">
              <w:t xml:space="preserve">VI du </w:t>
            </w:r>
            <w:r w:rsidR="00BF1851" w:rsidRPr="00CE2CA5">
              <w:t>document</w:t>
            </w:r>
            <w:r w:rsidR="00BF1851">
              <w:t xml:space="preserve"> CD</w:t>
            </w:r>
            <w:r w:rsidR="00B17093">
              <w:t>IP/20/2 et</w:t>
            </w:r>
            <w:r w:rsidRPr="00CE2CA5">
              <w:t xml:space="preserve"> a été présenté</w:t>
            </w:r>
            <w:r w:rsidR="00BF1851" w:rsidRPr="00CE2CA5">
              <w:t xml:space="preserve"> au</w:t>
            </w:r>
            <w:r w:rsidR="00BF1851">
              <w:t> </w:t>
            </w:r>
            <w:r w:rsidR="00BF1851" w:rsidRPr="00CE2CA5">
              <w:t>CDI</w:t>
            </w:r>
            <w:r w:rsidRPr="00CE2CA5">
              <w:t>P à sa vingt</w:t>
            </w:r>
            <w:r w:rsidR="00BF1851">
              <w:t>ième sessi</w:t>
            </w:r>
            <w:r w:rsidR="00DF50B4">
              <w:t xml:space="preserve">on.  </w:t>
            </w:r>
            <w:r w:rsidR="00DF50B4" w:rsidRPr="00CE2CA5">
              <w:t>Le</w:t>
            </w:r>
            <w:r w:rsidRPr="00CE2CA5">
              <w:t xml:space="preserve"> troisième figure à l</w:t>
            </w:r>
            <w:r w:rsidR="00BF1851">
              <w:t>’</w:t>
            </w:r>
            <w:r w:rsidRPr="00CE2CA5">
              <w:t>annexe</w:t>
            </w:r>
            <w:r w:rsidR="00AB3EC6" w:rsidRPr="00CE2CA5">
              <w:t> </w:t>
            </w:r>
            <w:r w:rsidRPr="00CE2CA5">
              <w:t xml:space="preserve">III du </w:t>
            </w:r>
            <w:r w:rsidR="00BF1851" w:rsidRPr="00CE2CA5">
              <w:t>document</w:t>
            </w:r>
            <w:r w:rsidR="00BF1851">
              <w:t xml:space="preserve"> </w:t>
            </w:r>
            <w:r w:rsidR="00BF1851" w:rsidRPr="00CE2CA5">
              <w:t>CD</w:t>
            </w:r>
            <w:r w:rsidRPr="00CE2CA5">
              <w:t>IP/22/2</w:t>
            </w:r>
            <w:r w:rsidR="00B17093">
              <w:t xml:space="preserve"> et</w:t>
            </w:r>
            <w:r w:rsidRPr="00CE2CA5">
              <w:t xml:space="preserve"> a été présenté au comité à sa vingt</w:t>
            </w:r>
            <w:r w:rsidR="005B01A6">
              <w:noBreakHyphen/>
            </w:r>
            <w:r w:rsidRPr="00CE2CA5">
              <w:t>deux</w:t>
            </w:r>
            <w:r w:rsidR="00BF1851">
              <w:t>ième session</w:t>
            </w:r>
            <w:r w:rsidRPr="00CE2CA5">
              <w:t>.</w:t>
            </w:r>
          </w:p>
        </w:tc>
      </w:tr>
      <w:tr w:rsidR="006D20ED" w:rsidRPr="00FF3385" w:rsidTr="00A601DF">
        <w:tc>
          <w:tcPr>
            <w:tcW w:w="2391" w:type="dxa"/>
            <w:shd w:val="clear" w:color="auto" w:fill="auto"/>
          </w:tcPr>
          <w:p w:rsidR="006D20ED" w:rsidRPr="00CE2CA5" w:rsidRDefault="00585CCF" w:rsidP="00A601DF">
            <w:pPr>
              <w:pStyle w:val="Heading3"/>
              <w:keepNext w:val="0"/>
              <w:spacing w:before="0" w:after="0"/>
            </w:pPr>
            <w:r w:rsidRPr="00CE2CA5">
              <w:t>Suivi</w:t>
            </w:r>
          </w:p>
        </w:tc>
        <w:tc>
          <w:tcPr>
            <w:tcW w:w="6955" w:type="dxa"/>
          </w:tcPr>
          <w:p w:rsidR="00D8371C" w:rsidRPr="00CE2CA5" w:rsidRDefault="00585CCF" w:rsidP="00A601DF">
            <w:pPr>
              <w:rPr>
                <w:iCs/>
              </w:rPr>
            </w:pPr>
            <w:r w:rsidRPr="00CE2CA5">
              <w:rPr>
                <w:iCs/>
              </w:rPr>
              <w:t>Les activités de suivi suivantes sont suggérées</w:t>
            </w:r>
            <w:r w:rsidR="00BF1851">
              <w:rPr>
                <w:iCs/>
              </w:rPr>
              <w:t> :</w:t>
            </w:r>
          </w:p>
          <w:p w:rsidR="00D8371C" w:rsidRPr="00CE2CA5" w:rsidRDefault="00D8371C" w:rsidP="00A601DF">
            <w:pPr>
              <w:rPr>
                <w:iCs/>
              </w:rPr>
            </w:pPr>
          </w:p>
          <w:p w:rsidR="00D8371C" w:rsidRPr="00CE2CA5" w:rsidRDefault="00E234C1" w:rsidP="00E23BF9">
            <w:pPr>
              <w:numPr>
                <w:ilvl w:val="0"/>
                <w:numId w:val="37"/>
              </w:numPr>
              <w:ind w:left="567" w:hanging="567"/>
              <w:rPr>
                <w:iCs/>
              </w:rPr>
            </w:pPr>
            <w:r w:rsidRPr="00CE2CA5">
              <w:rPr>
                <w:iCs/>
              </w:rPr>
              <w:t>Pérenniser les résultats obtenus dans les pays pilotes en leur fournissant une assistance supplémentaire.</w:t>
            </w:r>
          </w:p>
          <w:p w:rsidR="00D8371C" w:rsidRPr="00CE2CA5" w:rsidRDefault="00D8371C" w:rsidP="00E23BF9">
            <w:pPr>
              <w:ind w:left="567" w:hanging="567"/>
              <w:rPr>
                <w:iCs/>
              </w:rPr>
            </w:pPr>
          </w:p>
          <w:p w:rsidR="001E1A94" w:rsidRPr="00CE2CA5" w:rsidRDefault="005C20AF" w:rsidP="00E23BF9">
            <w:pPr>
              <w:numPr>
                <w:ilvl w:val="0"/>
                <w:numId w:val="37"/>
              </w:numPr>
              <w:ind w:left="567" w:hanging="567"/>
              <w:rPr>
                <w:iCs/>
              </w:rPr>
            </w:pPr>
            <w:r w:rsidRPr="00CE2CA5">
              <w:rPr>
                <w:iCs/>
              </w:rPr>
              <w:t>Répondre aux besoins d</w:t>
            </w:r>
            <w:r w:rsidR="00BF1851">
              <w:rPr>
                <w:iCs/>
              </w:rPr>
              <w:t>’</w:t>
            </w:r>
            <w:r w:rsidRPr="00CE2CA5">
              <w:rPr>
                <w:iCs/>
              </w:rPr>
              <w:t>autres pays ayant demandé à bénéficier d</w:t>
            </w:r>
            <w:r w:rsidR="00BF1851">
              <w:rPr>
                <w:iCs/>
              </w:rPr>
              <w:t>’</w:t>
            </w:r>
            <w:r w:rsidRPr="00CE2CA5">
              <w:rPr>
                <w:iCs/>
              </w:rPr>
              <w:t>une assistance similaire.</w:t>
            </w:r>
            <w:r w:rsidR="006D20ED" w:rsidRPr="00CE2CA5">
              <w:rPr>
                <w:iCs/>
              </w:rPr>
              <w:t xml:space="preserve"> </w:t>
            </w:r>
            <w:r w:rsidR="0009127F">
              <w:rPr>
                <w:iCs/>
              </w:rPr>
              <w:t xml:space="preserve"> </w:t>
            </w:r>
          </w:p>
        </w:tc>
      </w:tr>
    </w:tbl>
    <w:p w:rsidR="00D8371C" w:rsidRPr="00CE2CA5" w:rsidRDefault="00D8371C"/>
    <w:p w:rsidR="00A601DF" w:rsidRDefault="00A601DF">
      <w:r>
        <w:br w:type="page"/>
      </w:r>
    </w:p>
    <w:tbl>
      <w:tblPr>
        <w:tblW w:w="0" w:type="auto"/>
        <w:tblLook w:val="01E0" w:firstRow="1" w:lastRow="1" w:firstColumn="1" w:lastColumn="1" w:noHBand="0" w:noVBand="0"/>
      </w:tblPr>
      <w:tblGrid>
        <w:gridCol w:w="9287"/>
      </w:tblGrid>
      <w:tr w:rsidR="006D20ED" w:rsidRPr="00CE2CA5" w:rsidTr="009F61DC">
        <w:trPr>
          <w:trHeight w:val="494"/>
        </w:trPr>
        <w:tc>
          <w:tcPr>
            <w:tcW w:w="9287" w:type="dxa"/>
            <w:vAlign w:val="center"/>
          </w:tcPr>
          <w:p w:rsidR="001E1A94" w:rsidRPr="00CE2CA5" w:rsidRDefault="006D20ED" w:rsidP="005C20AF">
            <w:r w:rsidRPr="00CE2CA5">
              <w:lastRenderedPageBreak/>
              <w:br w:type="page"/>
            </w:r>
            <w:r w:rsidR="005C20AF" w:rsidRPr="00CE2CA5">
              <w:t>AUTO</w:t>
            </w:r>
            <w:r w:rsidR="005B01A6">
              <w:noBreakHyphen/>
            </w:r>
            <w:r w:rsidR="005C20AF" w:rsidRPr="00CE2CA5">
              <w:t>ÉVALUATION DU PROJET</w:t>
            </w:r>
          </w:p>
        </w:tc>
      </w:tr>
    </w:tbl>
    <w:p w:rsidR="00D8371C" w:rsidRPr="00CE2CA5" w:rsidRDefault="00D8371C" w:rsidP="006D20ED"/>
    <w:p w:rsidR="00D8371C" w:rsidRPr="00CE2CA5" w:rsidRDefault="005C20AF" w:rsidP="005C20AF">
      <w:r w:rsidRPr="00CE2CA5">
        <w:t>Code d</w:t>
      </w:r>
      <w:r w:rsidR="00BF1851">
        <w:t>’</w:t>
      </w:r>
      <w:r w:rsidRPr="00CE2CA5">
        <w:t>évaluation</w:t>
      </w:r>
    </w:p>
    <w:p w:rsidR="006D20ED" w:rsidRPr="00CE2CA5" w:rsidRDefault="006D20ED" w:rsidP="006D20ED"/>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1E0" w:firstRow="1" w:lastRow="1" w:firstColumn="1" w:lastColumn="1" w:noHBand="0" w:noVBand="0"/>
      </w:tblPr>
      <w:tblGrid>
        <w:gridCol w:w="1417"/>
        <w:gridCol w:w="1677"/>
        <w:gridCol w:w="1797"/>
        <w:gridCol w:w="1895"/>
        <w:gridCol w:w="2564"/>
      </w:tblGrid>
      <w:tr w:rsidR="006D20ED" w:rsidRPr="00CE2CA5" w:rsidTr="00E23BF9">
        <w:tc>
          <w:tcPr>
            <w:tcW w:w="1416" w:type="dxa"/>
            <w:shd w:val="clear" w:color="auto" w:fill="auto"/>
            <w:vAlign w:val="center"/>
          </w:tcPr>
          <w:p w:rsidR="006D20ED" w:rsidRPr="00CE2CA5" w:rsidRDefault="006D20ED" w:rsidP="00E23BF9">
            <w:r w:rsidRPr="00CE2CA5">
              <w:t>****</w:t>
            </w:r>
          </w:p>
        </w:tc>
        <w:tc>
          <w:tcPr>
            <w:tcW w:w="1677" w:type="dxa"/>
            <w:shd w:val="clear" w:color="auto" w:fill="auto"/>
            <w:vAlign w:val="center"/>
          </w:tcPr>
          <w:p w:rsidR="006D20ED" w:rsidRPr="00CE2CA5" w:rsidRDefault="006D20ED" w:rsidP="00E23BF9">
            <w:r w:rsidRPr="00CE2CA5">
              <w:t>***</w:t>
            </w:r>
          </w:p>
        </w:tc>
        <w:tc>
          <w:tcPr>
            <w:tcW w:w="1797" w:type="dxa"/>
            <w:shd w:val="clear" w:color="auto" w:fill="auto"/>
            <w:vAlign w:val="center"/>
          </w:tcPr>
          <w:p w:rsidR="006D20ED" w:rsidRPr="00CE2CA5" w:rsidRDefault="006D20ED" w:rsidP="00E23BF9">
            <w:r w:rsidRPr="00CE2CA5">
              <w:t>**</w:t>
            </w:r>
          </w:p>
        </w:tc>
        <w:tc>
          <w:tcPr>
            <w:tcW w:w="1895" w:type="dxa"/>
            <w:shd w:val="clear" w:color="auto" w:fill="auto"/>
            <w:vAlign w:val="center"/>
          </w:tcPr>
          <w:p w:rsidR="006D20ED" w:rsidRPr="00CE2CA5" w:rsidRDefault="005C20AF" w:rsidP="00E23BF9">
            <w:r w:rsidRPr="00CE2CA5">
              <w:t>AP</w:t>
            </w:r>
          </w:p>
        </w:tc>
        <w:tc>
          <w:tcPr>
            <w:tcW w:w="2563" w:type="dxa"/>
            <w:shd w:val="clear" w:color="auto" w:fill="auto"/>
            <w:vAlign w:val="center"/>
          </w:tcPr>
          <w:p w:rsidR="006D20ED" w:rsidRPr="00CE2CA5" w:rsidRDefault="005C20AF" w:rsidP="00E23BF9">
            <w:r w:rsidRPr="00CE2CA5">
              <w:t>s.o.</w:t>
            </w:r>
          </w:p>
        </w:tc>
      </w:tr>
      <w:tr w:rsidR="006D20ED" w:rsidRPr="00CE2CA5" w:rsidTr="00E23BF9">
        <w:tc>
          <w:tcPr>
            <w:tcW w:w="1416" w:type="dxa"/>
            <w:shd w:val="clear" w:color="auto" w:fill="auto"/>
          </w:tcPr>
          <w:p w:rsidR="006D20ED" w:rsidRPr="00CE2CA5" w:rsidRDefault="005C20AF" w:rsidP="00E23BF9">
            <w:r w:rsidRPr="00CE2CA5">
              <w:t>Objectifs pleinement atteints</w:t>
            </w:r>
          </w:p>
        </w:tc>
        <w:tc>
          <w:tcPr>
            <w:tcW w:w="1677" w:type="dxa"/>
            <w:shd w:val="clear" w:color="auto" w:fill="auto"/>
          </w:tcPr>
          <w:p w:rsidR="006D20ED" w:rsidRPr="00CE2CA5" w:rsidRDefault="005C20AF" w:rsidP="00E23BF9">
            <w:r w:rsidRPr="00CE2CA5">
              <w:t>Progrès considérables</w:t>
            </w:r>
          </w:p>
        </w:tc>
        <w:tc>
          <w:tcPr>
            <w:tcW w:w="1797" w:type="dxa"/>
            <w:shd w:val="clear" w:color="auto" w:fill="auto"/>
          </w:tcPr>
          <w:p w:rsidR="006D20ED" w:rsidRPr="00CE2CA5" w:rsidRDefault="005C20AF" w:rsidP="00E23BF9">
            <w:r w:rsidRPr="00CE2CA5">
              <w:t>Quelques progrès</w:t>
            </w:r>
          </w:p>
        </w:tc>
        <w:tc>
          <w:tcPr>
            <w:tcW w:w="1895" w:type="dxa"/>
            <w:shd w:val="clear" w:color="auto" w:fill="auto"/>
          </w:tcPr>
          <w:p w:rsidR="006D20ED" w:rsidRPr="00CE2CA5" w:rsidRDefault="005C20AF" w:rsidP="00E23BF9">
            <w:r w:rsidRPr="00CE2CA5">
              <w:t>Aucun progrès</w:t>
            </w:r>
          </w:p>
        </w:tc>
        <w:tc>
          <w:tcPr>
            <w:tcW w:w="2563" w:type="dxa"/>
            <w:shd w:val="clear" w:color="auto" w:fill="auto"/>
          </w:tcPr>
          <w:p w:rsidR="006D20ED" w:rsidRPr="00CE2CA5" w:rsidRDefault="005C20AF" w:rsidP="00E23BF9">
            <w:r w:rsidRPr="00CE2CA5">
              <w:t>Non évalué/abandonné</w:t>
            </w:r>
          </w:p>
        </w:tc>
      </w:tr>
    </w:tbl>
    <w:p w:rsidR="00D8371C" w:rsidRPr="00CE2CA5" w:rsidRDefault="00D8371C" w:rsidP="0053057A"/>
    <w:p w:rsidR="006D20ED" w:rsidRPr="00CE2CA5" w:rsidRDefault="006D20ED" w:rsidP="0053057A"/>
    <w:tbl>
      <w:tblPr>
        <w:tblW w:w="5000" w:type="pct"/>
        <w:tblCellMar>
          <w:top w:w="57" w:type="dxa"/>
          <w:bottom w:w="57" w:type="dxa"/>
        </w:tblCellMar>
        <w:tblLook w:val="01E0" w:firstRow="1" w:lastRow="1" w:firstColumn="1" w:lastColumn="1" w:noHBand="0" w:noVBand="0"/>
      </w:tblPr>
      <w:tblGrid>
        <w:gridCol w:w="2315"/>
        <w:gridCol w:w="2527"/>
        <w:gridCol w:w="3113"/>
        <w:gridCol w:w="1395"/>
      </w:tblGrid>
      <w:tr w:rsidR="006D20ED" w:rsidRPr="00CE2CA5" w:rsidTr="00E23BF9">
        <w:trPr>
          <w:tblHeader/>
        </w:trPr>
        <w:tc>
          <w:tcPr>
            <w:tcW w:w="2315" w:type="dxa"/>
            <w:tcBorders>
              <w:top w:val="single" w:sz="2" w:space="0" w:color="000000"/>
              <w:left w:val="single" w:sz="2" w:space="0" w:color="000000"/>
              <w:bottom w:val="single" w:sz="2" w:space="0" w:color="000000"/>
              <w:right w:val="single" w:sz="2" w:space="0" w:color="000000"/>
            </w:tcBorders>
            <w:shd w:val="clear" w:color="auto" w:fill="auto"/>
          </w:tcPr>
          <w:p w:rsidR="006D20ED" w:rsidRPr="00CE2CA5" w:rsidRDefault="006C029B" w:rsidP="00E23BF9">
            <w:r w:rsidRPr="00CE2CA5">
              <w:rPr>
                <w:u w:val="single"/>
              </w:rPr>
              <w:t>Résultats du projet</w:t>
            </w:r>
            <w:r w:rsidRPr="00CE2CA5">
              <w:rPr>
                <w:rStyle w:val="FootnoteReference"/>
                <w:u w:val="single"/>
              </w:rPr>
              <w:footnoteReference w:id="2"/>
            </w:r>
            <w:r w:rsidRPr="00CE2CA5">
              <w:rPr>
                <w:u w:val="single"/>
              </w:rPr>
              <w:t xml:space="preserve"> </w:t>
            </w:r>
            <w:r w:rsidRPr="00CE2CA5">
              <w:t>(résultat escompté)</w:t>
            </w:r>
          </w:p>
        </w:tc>
        <w:tc>
          <w:tcPr>
            <w:tcW w:w="2527" w:type="dxa"/>
            <w:tcBorders>
              <w:top w:val="single" w:sz="2" w:space="0" w:color="000000"/>
              <w:left w:val="single" w:sz="2" w:space="0" w:color="000000"/>
              <w:bottom w:val="single" w:sz="2" w:space="0" w:color="000000"/>
              <w:right w:val="single" w:sz="2" w:space="0" w:color="000000"/>
            </w:tcBorders>
            <w:shd w:val="clear" w:color="auto" w:fill="auto"/>
          </w:tcPr>
          <w:p w:rsidR="006D20ED" w:rsidRPr="00CE2CA5" w:rsidRDefault="006C029B" w:rsidP="00E23BF9">
            <w:r w:rsidRPr="00CE2CA5">
              <w:rPr>
                <w:u w:val="single"/>
              </w:rPr>
              <w:t>Indicateurs d</w:t>
            </w:r>
            <w:r w:rsidR="00BF1851">
              <w:rPr>
                <w:u w:val="single"/>
              </w:rPr>
              <w:t>’</w:t>
            </w:r>
            <w:r w:rsidRPr="00CE2CA5">
              <w:rPr>
                <w:u w:val="single"/>
              </w:rPr>
              <w:t>exécution</w:t>
            </w:r>
            <w:r w:rsidRPr="00CE2CA5">
              <w:t xml:space="preserve"> (indicateurs de résultats)</w:t>
            </w:r>
          </w:p>
        </w:tc>
        <w:tc>
          <w:tcPr>
            <w:tcW w:w="3113" w:type="dxa"/>
            <w:tcBorders>
              <w:top w:val="single" w:sz="2" w:space="0" w:color="000000"/>
              <w:left w:val="single" w:sz="2" w:space="0" w:color="000000"/>
              <w:bottom w:val="single" w:sz="2" w:space="0" w:color="000000"/>
              <w:right w:val="single" w:sz="2" w:space="0" w:color="000000"/>
            </w:tcBorders>
            <w:shd w:val="clear" w:color="auto" w:fill="auto"/>
          </w:tcPr>
          <w:p w:rsidR="006D20ED" w:rsidRPr="00CE2CA5" w:rsidRDefault="006C029B" w:rsidP="00E23BF9">
            <w:pPr>
              <w:pStyle w:val="Heading3"/>
              <w:spacing w:before="0" w:after="0"/>
            </w:pPr>
            <w:r w:rsidRPr="00CE2CA5">
              <w:t>Données relatives à</w:t>
            </w:r>
            <w:r w:rsidR="00E23BF9">
              <w:t> </w:t>
            </w:r>
            <w:r w:rsidRPr="00CE2CA5">
              <w:t>l</w:t>
            </w:r>
            <w:r w:rsidR="00BF1851">
              <w:t>’</w:t>
            </w:r>
            <w:r w:rsidRPr="00CE2CA5">
              <w:t>exécution</w:t>
            </w:r>
          </w:p>
        </w:tc>
        <w:tc>
          <w:tcPr>
            <w:tcW w:w="1395" w:type="dxa"/>
            <w:tcBorders>
              <w:top w:val="single" w:sz="2" w:space="0" w:color="000000"/>
              <w:left w:val="single" w:sz="2" w:space="0" w:color="000000"/>
              <w:bottom w:val="single" w:sz="2" w:space="0" w:color="000000"/>
              <w:right w:val="single" w:sz="2" w:space="0" w:color="000000"/>
            </w:tcBorders>
            <w:shd w:val="clear" w:color="auto" w:fill="auto"/>
          </w:tcPr>
          <w:p w:rsidR="006D20ED" w:rsidRPr="00CE2CA5" w:rsidRDefault="006C029B" w:rsidP="00E23BF9">
            <w:pPr>
              <w:pStyle w:val="Heading3"/>
              <w:spacing w:before="0" w:after="0"/>
              <w:jc w:val="center"/>
            </w:pPr>
            <w:r w:rsidRPr="00CE2CA5">
              <w:t>Code d</w:t>
            </w:r>
            <w:r w:rsidR="00BF1851">
              <w:t>’</w:t>
            </w:r>
            <w:r w:rsidRPr="00CE2CA5">
              <w:t>évaluation</w:t>
            </w:r>
          </w:p>
        </w:tc>
      </w:tr>
      <w:tr w:rsidR="006D20ED" w:rsidRPr="00CE2CA5" w:rsidTr="00E23BF9">
        <w:tc>
          <w:tcPr>
            <w:tcW w:w="2315" w:type="dxa"/>
            <w:tcBorders>
              <w:top w:val="single" w:sz="2" w:space="0" w:color="000000"/>
              <w:left w:val="single" w:sz="2" w:space="0" w:color="000000"/>
              <w:bottom w:val="single" w:sz="2" w:space="0" w:color="000000"/>
              <w:right w:val="single" w:sz="6" w:space="0" w:color="000000"/>
            </w:tcBorders>
            <w:shd w:val="clear" w:color="auto" w:fill="auto"/>
          </w:tcPr>
          <w:p w:rsidR="006D20ED" w:rsidRPr="00CE2CA5" w:rsidRDefault="007A459E" w:rsidP="00E23BF9">
            <w:pPr>
              <w:rPr>
                <w:bCs/>
              </w:rPr>
            </w:pPr>
            <w:r w:rsidRPr="00CE2CA5">
              <w:rPr>
                <w:bCs/>
              </w:rPr>
              <w:t>Inventaire des institutions de formation aux droits de propriété intellectuelle et des autres initiatives dans ce domaine à l</w:t>
            </w:r>
            <w:r w:rsidR="00BF1851">
              <w:rPr>
                <w:bCs/>
              </w:rPr>
              <w:t>’</w:t>
            </w:r>
            <w:r w:rsidRPr="00CE2CA5">
              <w:rPr>
                <w:bCs/>
              </w:rPr>
              <w:t>intention du corps judiciaire existant dans le monde</w:t>
            </w:r>
            <w:r w:rsidR="00D0493E" w:rsidRPr="00CE2CA5">
              <w:rPr>
                <w:bCs/>
              </w:rPr>
              <w:t>.</w:t>
            </w:r>
            <w:r w:rsidRPr="00CE2CA5">
              <w:rPr>
                <w:bCs/>
              </w:rPr>
              <w:t xml:space="preserve"> </w:t>
            </w:r>
            <w:r w:rsidR="0009127F">
              <w:rPr>
                <w:bCs/>
              </w:rPr>
              <w:t xml:space="preserve"> </w:t>
            </w:r>
          </w:p>
        </w:tc>
        <w:tc>
          <w:tcPr>
            <w:tcW w:w="2527" w:type="dxa"/>
            <w:tcBorders>
              <w:top w:val="single" w:sz="2" w:space="0" w:color="000000"/>
              <w:left w:val="single" w:sz="6" w:space="0" w:color="000000"/>
              <w:bottom w:val="single" w:sz="2" w:space="0" w:color="000000"/>
              <w:right w:val="single" w:sz="2" w:space="0" w:color="000000"/>
            </w:tcBorders>
            <w:shd w:val="clear" w:color="auto" w:fill="auto"/>
          </w:tcPr>
          <w:p w:rsidR="00D8371C" w:rsidRPr="00CE2CA5" w:rsidRDefault="007A459E" w:rsidP="00E23BF9">
            <w:pPr>
              <w:numPr>
                <w:ilvl w:val="0"/>
                <w:numId w:val="38"/>
              </w:numPr>
              <w:ind w:left="0" w:firstLine="0"/>
            </w:pPr>
            <w:r w:rsidRPr="00CE2CA5">
              <w:t>Inventaire achevé</w:t>
            </w:r>
            <w:r w:rsidR="00465753">
              <w:t>.</w:t>
            </w:r>
          </w:p>
          <w:p w:rsidR="00D8371C" w:rsidRPr="00CE2CA5" w:rsidRDefault="00D8371C" w:rsidP="00E23BF9"/>
          <w:p w:rsidR="006D20ED" w:rsidRPr="00CE2CA5" w:rsidRDefault="007A459E" w:rsidP="00E23BF9">
            <w:pPr>
              <w:numPr>
                <w:ilvl w:val="0"/>
                <w:numId w:val="38"/>
              </w:numPr>
              <w:ind w:left="0" w:firstLine="0"/>
            </w:pPr>
            <w:r w:rsidRPr="00CE2CA5">
              <w:t>Analyse préliminaire effectuée</w:t>
            </w:r>
            <w:r w:rsidR="00D0493E" w:rsidRPr="00CE2CA5">
              <w:t>.</w:t>
            </w:r>
          </w:p>
        </w:tc>
        <w:tc>
          <w:tcPr>
            <w:tcW w:w="3113" w:type="dxa"/>
            <w:tcBorders>
              <w:top w:val="single" w:sz="2" w:space="0" w:color="000000"/>
              <w:left w:val="single" w:sz="2" w:space="0" w:color="000000"/>
              <w:bottom w:val="single" w:sz="2" w:space="0" w:color="000000"/>
              <w:right w:val="single" w:sz="2" w:space="0" w:color="000000"/>
            </w:tcBorders>
            <w:shd w:val="clear" w:color="auto" w:fill="auto"/>
          </w:tcPr>
          <w:p w:rsidR="006D20ED" w:rsidRPr="00CE2CA5" w:rsidRDefault="007A459E" w:rsidP="00E23BF9">
            <w:r w:rsidRPr="00CE2CA5">
              <w:t>Un questionnaire a été adressé aux États membres et une analyse des résultats obtenus a été présentée à la vingt</w:t>
            </w:r>
            <w:r w:rsidR="005B01A6">
              <w:noBreakHyphen/>
            </w:r>
            <w:r w:rsidRPr="00CE2CA5">
              <w:t>deux</w:t>
            </w:r>
            <w:r w:rsidR="00BF1851">
              <w:t>ième session</w:t>
            </w:r>
            <w:r w:rsidR="00BF1851" w:rsidRPr="00CE2CA5">
              <w:t xml:space="preserve"> du</w:t>
            </w:r>
            <w:r w:rsidR="00BF1851">
              <w:t> </w:t>
            </w:r>
            <w:r w:rsidR="00BF1851" w:rsidRPr="00CE2CA5">
              <w:t>CDI</w:t>
            </w:r>
            <w:r w:rsidRPr="00CE2CA5">
              <w:t>P.</w:t>
            </w:r>
          </w:p>
        </w:tc>
        <w:tc>
          <w:tcPr>
            <w:tcW w:w="1395" w:type="dxa"/>
            <w:tcBorders>
              <w:top w:val="single" w:sz="2" w:space="0" w:color="000000"/>
              <w:left w:val="single" w:sz="2" w:space="0" w:color="000000"/>
              <w:bottom w:val="single" w:sz="2" w:space="0" w:color="000000"/>
              <w:right w:val="single" w:sz="2" w:space="0" w:color="000000"/>
            </w:tcBorders>
            <w:shd w:val="clear" w:color="auto" w:fill="auto"/>
          </w:tcPr>
          <w:p w:rsidR="00D8371C" w:rsidRPr="00CE2CA5" w:rsidRDefault="00D8371C" w:rsidP="00E23BF9">
            <w:pPr>
              <w:jc w:val="center"/>
            </w:pPr>
          </w:p>
          <w:p w:rsidR="006D20ED" w:rsidRPr="00CE2CA5" w:rsidRDefault="006D20ED" w:rsidP="00E23BF9">
            <w:pPr>
              <w:jc w:val="center"/>
            </w:pPr>
            <w:r w:rsidRPr="00CE2CA5">
              <w:t>****</w:t>
            </w:r>
          </w:p>
        </w:tc>
      </w:tr>
      <w:tr w:rsidR="006D20ED" w:rsidRPr="00CE2CA5" w:rsidTr="00E23BF9">
        <w:tc>
          <w:tcPr>
            <w:tcW w:w="2315" w:type="dxa"/>
            <w:tcBorders>
              <w:top w:val="single" w:sz="2" w:space="0" w:color="000000"/>
              <w:left w:val="single" w:sz="2" w:space="0" w:color="000000"/>
              <w:bottom w:val="single" w:sz="2" w:space="0" w:color="000000"/>
              <w:right w:val="single" w:sz="6" w:space="0" w:color="000000"/>
            </w:tcBorders>
            <w:shd w:val="clear" w:color="auto" w:fill="auto"/>
          </w:tcPr>
          <w:p w:rsidR="006D20ED" w:rsidRPr="00CE2CA5" w:rsidRDefault="00D2716E" w:rsidP="00E23BF9">
            <w:pPr>
              <w:rPr>
                <w:bCs/>
              </w:rPr>
            </w:pPr>
            <w:r w:rsidRPr="00CE2CA5">
              <w:rPr>
                <w:bCs/>
              </w:rPr>
              <w:t>Des modules de formation à la propriété intellectuelle adaptés aux besoins des juges et des magistrats pour chaque projet pilote</w:t>
            </w:r>
            <w:r w:rsidR="00D0493E" w:rsidRPr="00CE2CA5">
              <w:rPr>
                <w:bCs/>
              </w:rPr>
              <w:t>.</w:t>
            </w:r>
          </w:p>
        </w:tc>
        <w:tc>
          <w:tcPr>
            <w:tcW w:w="2527" w:type="dxa"/>
            <w:tcBorders>
              <w:top w:val="single" w:sz="2" w:space="0" w:color="000000"/>
              <w:left w:val="single" w:sz="6" w:space="0" w:color="000000"/>
              <w:bottom w:val="single" w:sz="2" w:space="0" w:color="000000"/>
              <w:right w:val="single" w:sz="2" w:space="0" w:color="000000"/>
            </w:tcBorders>
            <w:shd w:val="clear" w:color="auto" w:fill="auto"/>
          </w:tcPr>
          <w:p w:rsidR="00D8371C" w:rsidRPr="00CE2CA5" w:rsidRDefault="00D2716E" w:rsidP="00E23BF9">
            <w:pPr>
              <w:numPr>
                <w:ilvl w:val="0"/>
                <w:numId w:val="39"/>
              </w:numPr>
              <w:ind w:left="0" w:firstLine="0"/>
            </w:pPr>
            <w:r w:rsidRPr="00CE2CA5">
              <w:t>Modules achevés et approuvés par les autorités nationales ou régionales compétentes.</w:t>
            </w:r>
          </w:p>
          <w:p w:rsidR="00D8371C" w:rsidRPr="00CE2CA5" w:rsidRDefault="00D8371C" w:rsidP="00E23BF9"/>
          <w:p w:rsidR="001E1A94" w:rsidRPr="00CE2CA5" w:rsidRDefault="00D2716E" w:rsidP="00E23BF9">
            <w:pPr>
              <w:numPr>
                <w:ilvl w:val="0"/>
                <w:numId w:val="39"/>
              </w:numPr>
              <w:ind w:left="0" w:firstLine="0"/>
            </w:pPr>
            <w:r w:rsidRPr="00CE2CA5">
              <w:t>Au moins une session de formation (en ligne, mixte ou sur place) organisée en coopération avec chaque institut de formation bénéficiaire sur la base des nouveaux modules, des programmes de cours et d</w:t>
            </w:r>
            <w:r w:rsidR="00BF1851">
              <w:t>’</w:t>
            </w:r>
            <w:r w:rsidRPr="00CE2CA5">
              <w:t>une technique de formation qui permet d</w:t>
            </w:r>
            <w:r w:rsidR="00BF1851">
              <w:t>’</w:t>
            </w:r>
            <w:r w:rsidRPr="00CE2CA5">
              <w:t>atteindre les résultats pédagogiques souhaités.</w:t>
            </w:r>
          </w:p>
        </w:tc>
        <w:tc>
          <w:tcPr>
            <w:tcW w:w="3113" w:type="dxa"/>
            <w:tcBorders>
              <w:top w:val="single" w:sz="2" w:space="0" w:color="000000"/>
              <w:left w:val="single" w:sz="2" w:space="0" w:color="000000"/>
              <w:bottom w:val="single" w:sz="2" w:space="0" w:color="000000"/>
              <w:right w:val="single" w:sz="2" w:space="0" w:color="000000"/>
            </w:tcBorders>
            <w:shd w:val="clear" w:color="auto" w:fill="auto"/>
          </w:tcPr>
          <w:p w:rsidR="00D8371C" w:rsidRPr="00CE2CA5" w:rsidRDefault="00D2716E" w:rsidP="00E23BF9">
            <w:pPr>
              <w:numPr>
                <w:ilvl w:val="0"/>
                <w:numId w:val="39"/>
              </w:numPr>
              <w:ind w:left="0" w:firstLine="0"/>
            </w:pPr>
            <w:r w:rsidRPr="00CE2CA5">
              <w:t>Tous les modules ont été adaptés, achevés et approuvés par les autorités nationales des quatre</w:t>
            </w:r>
            <w:r w:rsidR="0009127F">
              <w:t> </w:t>
            </w:r>
            <w:r w:rsidRPr="00CE2CA5">
              <w:t>pays.</w:t>
            </w:r>
          </w:p>
          <w:p w:rsidR="00D8371C" w:rsidRPr="00CE2CA5" w:rsidRDefault="00D8371C" w:rsidP="00E23BF9"/>
          <w:p w:rsidR="006D20ED" w:rsidRPr="00CE2CA5" w:rsidRDefault="00D2716E" w:rsidP="00E23BF9">
            <w:pPr>
              <w:numPr>
                <w:ilvl w:val="0"/>
                <w:numId w:val="39"/>
              </w:numPr>
              <w:ind w:left="0" w:firstLine="0"/>
            </w:pPr>
            <w:r w:rsidRPr="00CE2CA5">
              <w:t>Au moins trois</w:t>
            </w:r>
            <w:r w:rsidR="0009127F">
              <w:t> </w:t>
            </w:r>
            <w:r w:rsidRPr="00CE2CA5">
              <w:t>sessions de formation (une en ligne et deux en présentiel) ont été organisées pour chaque pays pilote en coopération avec les instituts de formation judiciaire bénéficiaires sur la base des modules mis au point.</w:t>
            </w:r>
          </w:p>
        </w:tc>
        <w:tc>
          <w:tcPr>
            <w:tcW w:w="1395" w:type="dxa"/>
            <w:tcBorders>
              <w:top w:val="single" w:sz="2" w:space="0" w:color="000000"/>
              <w:left w:val="single" w:sz="2" w:space="0" w:color="000000"/>
              <w:bottom w:val="single" w:sz="2" w:space="0" w:color="000000"/>
              <w:right w:val="single" w:sz="2" w:space="0" w:color="000000"/>
            </w:tcBorders>
            <w:shd w:val="clear" w:color="auto" w:fill="auto"/>
          </w:tcPr>
          <w:p w:rsidR="006D20ED" w:rsidRPr="00CE2CA5" w:rsidRDefault="006D20ED" w:rsidP="00E23BF9">
            <w:pPr>
              <w:jc w:val="center"/>
            </w:pPr>
            <w:r w:rsidRPr="00CE2CA5">
              <w:t>****</w:t>
            </w:r>
          </w:p>
        </w:tc>
      </w:tr>
      <w:tr w:rsidR="006D20ED" w:rsidRPr="00CE2CA5" w:rsidTr="00E23BF9">
        <w:trPr>
          <w:cantSplit/>
        </w:trPr>
        <w:tc>
          <w:tcPr>
            <w:tcW w:w="2315" w:type="dxa"/>
            <w:tcBorders>
              <w:top w:val="single" w:sz="2" w:space="0" w:color="000000"/>
              <w:left w:val="single" w:sz="2" w:space="0" w:color="000000"/>
              <w:bottom w:val="single" w:sz="4" w:space="0" w:color="auto"/>
              <w:right w:val="single" w:sz="6" w:space="0" w:color="000000"/>
            </w:tcBorders>
            <w:shd w:val="clear" w:color="auto" w:fill="auto"/>
          </w:tcPr>
          <w:p w:rsidR="006D20ED" w:rsidRPr="00CE2CA5" w:rsidRDefault="00D2716E" w:rsidP="00E23BF9">
            <w:pPr>
              <w:rPr>
                <w:bCs/>
              </w:rPr>
            </w:pPr>
            <w:r w:rsidRPr="00CE2CA5">
              <w:rPr>
                <w:bCs/>
              </w:rPr>
              <w:lastRenderedPageBreak/>
              <w:t>Un groupe de juges, comprenant des formateurs potentiels, formés sur la ba</w:t>
            </w:r>
            <w:r w:rsidR="00D0493E" w:rsidRPr="00CE2CA5">
              <w:rPr>
                <w:bCs/>
              </w:rPr>
              <w:t>se des modules mis au point.</w:t>
            </w:r>
          </w:p>
        </w:tc>
        <w:tc>
          <w:tcPr>
            <w:tcW w:w="2527" w:type="dxa"/>
            <w:tcBorders>
              <w:top w:val="single" w:sz="2" w:space="0" w:color="000000"/>
              <w:left w:val="single" w:sz="6" w:space="0" w:color="000000"/>
              <w:bottom w:val="single" w:sz="4" w:space="0" w:color="auto"/>
              <w:right w:val="single" w:sz="2" w:space="0" w:color="000000"/>
            </w:tcBorders>
            <w:shd w:val="clear" w:color="auto" w:fill="auto"/>
          </w:tcPr>
          <w:p w:rsidR="006D20ED" w:rsidRPr="00CE2CA5" w:rsidRDefault="00D2716E" w:rsidP="00E23BF9">
            <w:r w:rsidRPr="00CE2CA5">
              <w:t>Les bénéficiaires ont achevé la session de formation</w:t>
            </w:r>
            <w:r w:rsidR="00D0493E" w:rsidRPr="00CE2CA5">
              <w:t>.</w:t>
            </w:r>
          </w:p>
        </w:tc>
        <w:tc>
          <w:tcPr>
            <w:tcW w:w="3113" w:type="dxa"/>
            <w:tcBorders>
              <w:top w:val="single" w:sz="2" w:space="0" w:color="000000"/>
              <w:left w:val="single" w:sz="2" w:space="0" w:color="000000"/>
              <w:bottom w:val="single" w:sz="4" w:space="0" w:color="auto"/>
              <w:right w:val="single" w:sz="2" w:space="0" w:color="000000"/>
            </w:tcBorders>
            <w:shd w:val="clear" w:color="auto" w:fill="auto"/>
          </w:tcPr>
          <w:p w:rsidR="006D20ED" w:rsidRPr="00CE2CA5" w:rsidRDefault="00D2716E" w:rsidP="00E23BF9">
            <w:r w:rsidRPr="00CE2CA5">
              <w:t>Tous les juges et formateurs des quatre</w:t>
            </w:r>
            <w:r w:rsidR="0009127F">
              <w:t> </w:t>
            </w:r>
            <w:r w:rsidRPr="00CE2CA5">
              <w:t>pays pilotes ont achevé les sessions de formation sur la base des modules mis au point.</w:t>
            </w:r>
            <w:r w:rsidR="006D20ED" w:rsidRPr="00CE2CA5">
              <w:t xml:space="preserve"> </w:t>
            </w:r>
            <w:r w:rsidR="0009127F">
              <w:t xml:space="preserve"> </w:t>
            </w:r>
          </w:p>
        </w:tc>
        <w:tc>
          <w:tcPr>
            <w:tcW w:w="1395" w:type="dxa"/>
            <w:tcBorders>
              <w:top w:val="single" w:sz="2" w:space="0" w:color="000000"/>
              <w:left w:val="single" w:sz="2" w:space="0" w:color="000000"/>
              <w:bottom w:val="single" w:sz="4" w:space="0" w:color="auto"/>
              <w:right w:val="single" w:sz="2" w:space="0" w:color="000000"/>
            </w:tcBorders>
            <w:shd w:val="clear" w:color="auto" w:fill="auto"/>
          </w:tcPr>
          <w:p w:rsidR="006D20ED" w:rsidRPr="00CE2CA5" w:rsidRDefault="006D20ED" w:rsidP="00E23BF9">
            <w:pPr>
              <w:jc w:val="center"/>
            </w:pPr>
            <w:r w:rsidRPr="00CE2CA5">
              <w:t>****</w:t>
            </w:r>
          </w:p>
        </w:tc>
      </w:tr>
      <w:tr w:rsidR="006D20ED" w:rsidRPr="00CE2CA5" w:rsidTr="00E23BF9">
        <w:tc>
          <w:tcPr>
            <w:tcW w:w="2315" w:type="dxa"/>
            <w:tcBorders>
              <w:top w:val="single" w:sz="4" w:space="0" w:color="auto"/>
              <w:left w:val="single" w:sz="4" w:space="0" w:color="auto"/>
              <w:bottom w:val="single" w:sz="4" w:space="0" w:color="auto"/>
              <w:right w:val="single" w:sz="4" w:space="0" w:color="auto"/>
            </w:tcBorders>
            <w:shd w:val="clear" w:color="auto" w:fill="auto"/>
          </w:tcPr>
          <w:p w:rsidR="006D20ED" w:rsidRPr="00CE2CA5" w:rsidRDefault="00D2716E" w:rsidP="00E23BF9">
            <w:pPr>
              <w:rPr>
                <w:bCs/>
              </w:rPr>
            </w:pPr>
            <w:r w:rsidRPr="00CE2CA5">
              <w:rPr>
                <w:bCs/>
              </w:rPr>
              <w:t>Un réseau reliant les instituts de formation judiciaire créés</w:t>
            </w:r>
            <w:r w:rsidR="00D0493E" w:rsidRPr="00CE2CA5">
              <w:rPr>
                <w:bCs/>
              </w:rPr>
              <w:t>.</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6D20ED" w:rsidRPr="00CE2CA5" w:rsidRDefault="00D2716E" w:rsidP="00E23BF9">
            <w:r w:rsidRPr="00CE2CA5">
              <w:t>Au moins deux</w:t>
            </w:r>
            <w:r w:rsidR="0009127F">
              <w:t> </w:t>
            </w:r>
            <w:r w:rsidRPr="00CE2CA5">
              <w:t>instituts de formation judiciaire ont fait part de leur souhait d</w:t>
            </w:r>
            <w:r w:rsidR="00BF1851">
              <w:t>’</w:t>
            </w:r>
            <w:r w:rsidRPr="00CE2CA5">
              <w:t>établir des contacts et de coopérer plus étroitement dans le domaine de la formation spécialisée.</w:t>
            </w:r>
          </w:p>
        </w:tc>
        <w:tc>
          <w:tcPr>
            <w:tcW w:w="3113" w:type="dxa"/>
            <w:tcBorders>
              <w:top w:val="single" w:sz="4" w:space="0" w:color="auto"/>
              <w:left w:val="single" w:sz="4" w:space="0" w:color="auto"/>
              <w:bottom w:val="single" w:sz="4" w:space="0" w:color="auto"/>
              <w:right w:val="single" w:sz="4" w:space="0" w:color="auto"/>
            </w:tcBorders>
            <w:shd w:val="clear" w:color="auto" w:fill="auto"/>
          </w:tcPr>
          <w:p w:rsidR="006D20ED" w:rsidRPr="00CE2CA5" w:rsidRDefault="00D2716E" w:rsidP="00E23BF9">
            <w:r w:rsidRPr="00CE2CA5">
              <w:t>Tous les instituts de formation judiciaire ont exprimé le souhait d</w:t>
            </w:r>
            <w:r w:rsidR="00BF1851">
              <w:t>’</w:t>
            </w:r>
            <w:r w:rsidRPr="00CE2CA5">
              <w:t>établir des contacts avec d</w:t>
            </w:r>
            <w:r w:rsidR="00BF1851">
              <w:t>’</w:t>
            </w:r>
            <w:r w:rsidRPr="00CE2CA5">
              <w:t>autres instituts similaires et de coopérer plus étroitement dans le domaine de la formation spécialisée.</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D20ED" w:rsidRPr="00CE2CA5" w:rsidRDefault="006D20ED" w:rsidP="00E23BF9">
            <w:pPr>
              <w:jc w:val="center"/>
            </w:pPr>
            <w:r w:rsidRPr="00CE2CA5">
              <w:t>****</w:t>
            </w:r>
          </w:p>
        </w:tc>
      </w:tr>
    </w:tbl>
    <w:p w:rsidR="007C022C" w:rsidRPr="00CE2CA5" w:rsidRDefault="007C022C" w:rsidP="00E23BF9">
      <w:pPr>
        <w:tabs>
          <w:tab w:val="left" w:pos="2426"/>
          <w:tab w:val="left" w:pos="4953"/>
          <w:tab w:val="left" w:pos="8066"/>
        </w:tabs>
        <w:ind w:left="111"/>
      </w:pPr>
    </w:p>
    <w:tbl>
      <w:tblPr>
        <w:tblW w:w="5000" w:type="pct"/>
        <w:tblCellMar>
          <w:top w:w="57" w:type="dxa"/>
          <w:bottom w:w="57" w:type="dxa"/>
        </w:tblCellMar>
        <w:tblLook w:val="01E0" w:firstRow="1" w:lastRow="1" w:firstColumn="1" w:lastColumn="1" w:noHBand="0" w:noVBand="0"/>
      </w:tblPr>
      <w:tblGrid>
        <w:gridCol w:w="2314"/>
        <w:gridCol w:w="2526"/>
        <w:gridCol w:w="3111"/>
        <w:gridCol w:w="1395"/>
      </w:tblGrid>
      <w:tr w:rsidR="006D20ED" w:rsidRPr="00CE2CA5" w:rsidTr="007C022C">
        <w:trPr>
          <w:tblHeader/>
        </w:trPr>
        <w:tc>
          <w:tcPr>
            <w:tcW w:w="2315" w:type="dxa"/>
            <w:tcBorders>
              <w:top w:val="single" w:sz="4" w:space="0" w:color="auto"/>
              <w:left w:val="single" w:sz="4" w:space="0" w:color="auto"/>
              <w:bottom w:val="single" w:sz="4" w:space="0" w:color="auto"/>
              <w:right w:val="single" w:sz="4" w:space="0" w:color="auto"/>
            </w:tcBorders>
            <w:shd w:val="clear" w:color="auto" w:fill="auto"/>
          </w:tcPr>
          <w:p w:rsidR="006D20ED" w:rsidRPr="007C022C" w:rsidRDefault="00D2716E" w:rsidP="00E23BF9">
            <w:pPr>
              <w:rPr>
                <w:bCs/>
                <w:u w:val="single"/>
              </w:rPr>
            </w:pPr>
            <w:r w:rsidRPr="007C022C">
              <w:rPr>
                <w:bCs/>
                <w:u w:val="single"/>
              </w:rPr>
              <w:t>Objectifs du projet</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D8371C" w:rsidRPr="007C022C" w:rsidRDefault="00D2716E" w:rsidP="00E23BF9">
            <w:pPr>
              <w:rPr>
                <w:u w:val="single"/>
              </w:rPr>
            </w:pPr>
            <w:r w:rsidRPr="007C022C">
              <w:rPr>
                <w:u w:val="single"/>
              </w:rPr>
              <w:t>Indicateurs de réussite dans la réalisation de l</w:t>
            </w:r>
            <w:r w:rsidR="00BF1851" w:rsidRPr="007C022C">
              <w:rPr>
                <w:u w:val="single"/>
              </w:rPr>
              <w:t>’</w:t>
            </w:r>
            <w:r w:rsidRPr="007C022C">
              <w:rPr>
                <w:u w:val="single"/>
              </w:rPr>
              <w:t>objectif du projet</w:t>
            </w:r>
          </w:p>
          <w:p w:rsidR="006D20ED" w:rsidRPr="00CE2CA5" w:rsidRDefault="00D2716E" w:rsidP="00E23BF9">
            <w:r w:rsidRPr="00CE2CA5">
              <w:t>(Indicateurs de réussite)</w:t>
            </w:r>
          </w:p>
        </w:tc>
        <w:tc>
          <w:tcPr>
            <w:tcW w:w="3113" w:type="dxa"/>
            <w:tcBorders>
              <w:top w:val="single" w:sz="4" w:space="0" w:color="auto"/>
              <w:left w:val="single" w:sz="4" w:space="0" w:color="auto"/>
              <w:bottom w:val="single" w:sz="4" w:space="0" w:color="auto"/>
              <w:right w:val="single" w:sz="4" w:space="0" w:color="auto"/>
            </w:tcBorders>
            <w:shd w:val="clear" w:color="auto" w:fill="auto"/>
          </w:tcPr>
          <w:p w:rsidR="00D8371C" w:rsidRPr="007C022C" w:rsidRDefault="00D2716E" w:rsidP="00E23BF9">
            <w:pPr>
              <w:rPr>
                <w:u w:val="single"/>
              </w:rPr>
            </w:pPr>
            <w:r w:rsidRPr="007C022C">
              <w:rPr>
                <w:u w:val="single"/>
              </w:rPr>
              <w:t>Données relatives à l</w:t>
            </w:r>
            <w:r w:rsidR="00BF1851" w:rsidRPr="007C022C">
              <w:rPr>
                <w:u w:val="single"/>
              </w:rPr>
              <w:t>’</w:t>
            </w:r>
            <w:r w:rsidRPr="007C022C">
              <w:rPr>
                <w:u w:val="single"/>
              </w:rPr>
              <w:t>exécution</w:t>
            </w:r>
          </w:p>
          <w:p w:rsidR="006D20ED" w:rsidRPr="00CE2CA5" w:rsidRDefault="00D2716E" w:rsidP="00E23BF9">
            <w:r w:rsidRPr="00CE2CA5">
              <w:t xml:space="preserve">(sur la base des réponses aux </w:t>
            </w:r>
            <w:r w:rsidR="00465753">
              <w:t>questionnaires</w:t>
            </w:r>
            <w:r w:rsidRPr="00CE2CA5">
              <w:t>)</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D20ED" w:rsidRPr="007C022C" w:rsidRDefault="00D2716E" w:rsidP="00E23BF9">
            <w:pPr>
              <w:jc w:val="center"/>
              <w:rPr>
                <w:u w:val="single"/>
              </w:rPr>
            </w:pPr>
            <w:r w:rsidRPr="007C022C">
              <w:rPr>
                <w:u w:val="single"/>
              </w:rPr>
              <w:t>Code d</w:t>
            </w:r>
            <w:r w:rsidR="00BF1851" w:rsidRPr="007C022C">
              <w:rPr>
                <w:u w:val="single"/>
              </w:rPr>
              <w:t>’</w:t>
            </w:r>
            <w:r w:rsidRPr="007C022C">
              <w:rPr>
                <w:u w:val="single"/>
              </w:rPr>
              <w:t>évaluation</w:t>
            </w:r>
          </w:p>
        </w:tc>
      </w:tr>
      <w:tr w:rsidR="006D20ED" w:rsidRPr="00CE2CA5" w:rsidTr="00E23BF9">
        <w:tc>
          <w:tcPr>
            <w:tcW w:w="2315" w:type="dxa"/>
            <w:tcBorders>
              <w:top w:val="single" w:sz="4" w:space="0" w:color="auto"/>
              <w:left w:val="single" w:sz="4" w:space="0" w:color="auto"/>
              <w:bottom w:val="single" w:sz="4" w:space="0" w:color="auto"/>
              <w:right w:val="single" w:sz="4" w:space="0" w:color="auto"/>
            </w:tcBorders>
            <w:shd w:val="clear" w:color="auto" w:fill="auto"/>
          </w:tcPr>
          <w:p w:rsidR="006D20ED" w:rsidRPr="00CE2CA5" w:rsidRDefault="00EB1737" w:rsidP="00E23BF9">
            <w:pPr>
              <w:rPr>
                <w:bCs/>
              </w:rPr>
            </w:pPr>
            <w:r w:rsidRPr="00CE2CA5">
              <w:rPr>
                <w:bCs/>
              </w:rPr>
              <w:t xml:space="preserve">Capacités et compétences renforcées des magistrats, juges et procureurs dans les pays en développement et les pays les moins avancés pour régler efficacement les litiges de propriété intellectuelle en cohésion avec les </w:t>
            </w:r>
            <w:r w:rsidR="0046127A">
              <w:rPr>
                <w:bCs/>
              </w:rPr>
              <w:t>besoins et les priorités r</w:t>
            </w:r>
            <w:r w:rsidRPr="00CE2CA5">
              <w:rPr>
                <w:bCs/>
              </w:rPr>
              <w:t>ecensés du pays concerné en termes de développement</w:t>
            </w:r>
            <w:r w:rsidR="00D0493E" w:rsidRPr="00CE2CA5">
              <w:rPr>
                <w:bCs/>
              </w:rPr>
              <w:t>.</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6D20ED" w:rsidRPr="00CE2CA5" w:rsidRDefault="00EB1737" w:rsidP="00E23BF9">
            <w:r w:rsidRPr="00CE2CA5">
              <w:t>Au moins 50% des juges, magistrats et procureurs bénéficiaires indiquent qu</w:t>
            </w:r>
            <w:r w:rsidR="00BF1851">
              <w:t>’</w:t>
            </w:r>
            <w:r w:rsidRPr="00CE2CA5">
              <w:t>ils ont acquis de nouvelles compétences pour régler efficacement les litiges de propriété intellectuelle</w:t>
            </w:r>
            <w:r w:rsidR="00D0493E" w:rsidRPr="00CE2CA5">
              <w:t>.</w:t>
            </w:r>
          </w:p>
        </w:tc>
        <w:tc>
          <w:tcPr>
            <w:tcW w:w="3113" w:type="dxa"/>
            <w:tcBorders>
              <w:top w:val="single" w:sz="4" w:space="0" w:color="auto"/>
              <w:left w:val="single" w:sz="4" w:space="0" w:color="auto"/>
              <w:bottom w:val="single" w:sz="4" w:space="0" w:color="auto"/>
              <w:right w:val="single" w:sz="4" w:space="0" w:color="auto"/>
            </w:tcBorders>
            <w:shd w:val="clear" w:color="auto" w:fill="auto"/>
          </w:tcPr>
          <w:p w:rsidR="006D20ED" w:rsidRPr="00CE2CA5" w:rsidRDefault="00466A29" w:rsidP="00E23BF9">
            <w:r w:rsidRPr="00CE2CA5">
              <w:t>100</w:t>
            </w:r>
            <w:r w:rsidR="00EB1737" w:rsidRPr="00CE2CA5">
              <w:t>% des personnes interrogées ont indiqué qu</w:t>
            </w:r>
            <w:r w:rsidR="00BF1851">
              <w:t>’</w:t>
            </w:r>
            <w:r w:rsidR="00EB1737" w:rsidRPr="00CE2CA5">
              <w:t>elles avaient acquis de nouvelles connaissances et compétences pour régler efficacement les litiges de propriété intellectuelle</w:t>
            </w:r>
            <w:r w:rsidR="00D0493E" w:rsidRPr="00CE2CA5">
              <w:t>.</w:t>
            </w:r>
            <w:r w:rsidR="006D20ED" w:rsidRPr="00CE2CA5">
              <w:t xml:space="preserve"> </w:t>
            </w:r>
            <w:r w:rsidR="0009127F">
              <w:t xml:space="preserve">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D20ED" w:rsidRPr="00CE2CA5" w:rsidRDefault="006D20ED" w:rsidP="00E23BF9">
            <w:pPr>
              <w:jc w:val="center"/>
            </w:pPr>
            <w:r w:rsidRPr="00CE2CA5">
              <w:t>****</w:t>
            </w:r>
          </w:p>
        </w:tc>
      </w:tr>
      <w:tr w:rsidR="006D20ED" w:rsidRPr="00CE2CA5" w:rsidTr="00E23BF9">
        <w:trPr>
          <w:cantSplit/>
        </w:trPr>
        <w:tc>
          <w:tcPr>
            <w:tcW w:w="2315" w:type="dxa"/>
            <w:tcBorders>
              <w:top w:val="single" w:sz="4" w:space="0" w:color="auto"/>
              <w:left w:val="single" w:sz="4" w:space="0" w:color="auto"/>
              <w:bottom w:val="single" w:sz="4" w:space="0" w:color="auto"/>
              <w:right w:val="single" w:sz="4" w:space="0" w:color="auto"/>
            </w:tcBorders>
            <w:shd w:val="clear" w:color="auto" w:fill="auto"/>
          </w:tcPr>
          <w:p w:rsidR="00075FC9" w:rsidRPr="00CE2CA5" w:rsidRDefault="00EB1737" w:rsidP="00E23BF9">
            <w:pPr>
              <w:rPr>
                <w:bCs/>
              </w:rPr>
            </w:pPr>
            <w:r w:rsidRPr="00CE2CA5">
              <w:rPr>
                <w:bCs/>
              </w:rPr>
              <w:lastRenderedPageBreak/>
              <w:t>Une culture de la propriété intellectuelle axée sur le développement dans le corps judiciaire qui encourage l</w:t>
            </w:r>
            <w:r w:rsidR="00BF1851">
              <w:rPr>
                <w:bCs/>
              </w:rPr>
              <w:t>’</w:t>
            </w:r>
            <w:r w:rsidRPr="00CE2CA5">
              <w:rPr>
                <w:bCs/>
              </w:rPr>
              <w:t>innovation et la créativité locales et améliore l</w:t>
            </w:r>
            <w:r w:rsidR="00BF1851">
              <w:rPr>
                <w:bCs/>
              </w:rPr>
              <w:t>’</w:t>
            </w:r>
            <w:r w:rsidRPr="00CE2CA5">
              <w:rPr>
                <w:bCs/>
              </w:rPr>
              <w:t>environnement pour la collaboration internationale, le transfert de technologie et l</w:t>
            </w:r>
            <w:r w:rsidR="00BF1851">
              <w:rPr>
                <w:bCs/>
              </w:rPr>
              <w:t>’</w:t>
            </w:r>
            <w:r w:rsidRPr="00CE2CA5">
              <w:rPr>
                <w:bCs/>
              </w:rPr>
              <w:t>investissement.</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6D20ED" w:rsidRPr="00CE2CA5" w:rsidRDefault="00EB1737" w:rsidP="00E23BF9">
            <w:r w:rsidRPr="00CE2CA5">
              <w:t>Au moins 50% des juges, magistrats et procureurs bénéficiaires reconnaissent la corrélation entre un jugement efficace et efficient et l</w:t>
            </w:r>
            <w:r w:rsidR="00BF1851">
              <w:t>’</w:t>
            </w:r>
            <w:r w:rsidRPr="00CE2CA5">
              <w:t>innovation et la créativité locales</w:t>
            </w:r>
            <w:r w:rsidR="00D0493E" w:rsidRPr="00CE2CA5">
              <w:t>.</w:t>
            </w:r>
          </w:p>
        </w:tc>
        <w:tc>
          <w:tcPr>
            <w:tcW w:w="3113" w:type="dxa"/>
            <w:tcBorders>
              <w:top w:val="single" w:sz="4" w:space="0" w:color="auto"/>
              <w:left w:val="single" w:sz="4" w:space="0" w:color="auto"/>
              <w:bottom w:val="single" w:sz="4" w:space="0" w:color="auto"/>
              <w:right w:val="single" w:sz="4" w:space="0" w:color="auto"/>
            </w:tcBorders>
            <w:shd w:val="clear" w:color="auto" w:fill="auto"/>
          </w:tcPr>
          <w:p w:rsidR="006D20ED" w:rsidRPr="00CE2CA5" w:rsidRDefault="00466A29" w:rsidP="00E23BF9">
            <w:r w:rsidRPr="00CE2CA5">
              <w:t>100</w:t>
            </w:r>
            <w:r w:rsidR="00EB1737" w:rsidRPr="00CE2CA5">
              <w:t>% des personnes interrogées ont indiqué qu</w:t>
            </w:r>
            <w:r w:rsidR="00BF1851">
              <w:t>’</w:t>
            </w:r>
            <w:r w:rsidR="00EB1737" w:rsidRPr="00CE2CA5">
              <w:t>elles comprenaient la corr</w:t>
            </w:r>
            <w:r w:rsidR="00D0493E" w:rsidRPr="00CE2CA5">
              <w:t>é</w:t>
            </w:r>
            <w:r w:rsidR="00EB1737" w:rsidRPr="00CE2CA5">
              <w:t>lation entre un jugement efficace et efficient et l</w:t>
            </w:r>
            <w:r w:rsidR="00BF1851">
              <w:t>’</w:t>
            </w:r>
            <w:r w:rsidR="00EB1737" w:rsidRPr="00CE2CA5">
              <w:t>innovation et la créativité locales.</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D20ED" w:rsidRPr="00CE2CA5" w:rsidRDefault="006D20ED" w:rsidP="00E23BF9">
            <w:pPr>
              <w:jc w:val="center"/>
            </w:pPr>
            <w:r w:rsidRPr="00CE2CA5">
              <w:t>****</w:t>
            </w:r>
          </w:p>
        </w:tc>
      </w:tr>
      <w:tr w:rsidR="006D20ED" w:rsidRPr="00CE2CA5" w:rsidTr="00E23BF9">
        <w:tc>
          <w:tcPr>
            <w:tcW w:w="2315" w:type="dxa"/>
            <w:tcBorders>
              <w:top w:val="single" w:sz="4" w:space="0" w:color="auto"/>
              <w:left w:val="single" w:sz="4" w:space="0" w:color="auto"/>
              <w:bottom w:val="single" w:sz="4" w:space="0" w:color="auto"/>
              <w:right w:val="single" w:sz="4" w:space="0" w:color="auto"/>
            </w:tcBorders>
            <w:shd w:val="clear" w:color="auto" w:fill="auto"/>
          </w:tcPr>
          <w:p w:rsidR="006D20ED" w:rsidRPr="00CE2CA5" w:rsidRDefault="00EB1737" w:rsidP="00E23BF9">
            <w:pPr>
              <w:rPr>
                <w:bCs/>
              </w:rPr>
            </w:pPr>
            <w:r w:rsidRPr="00CE2CA5">
              <w:rPr>
                <w:bCs/>
              </w:rPr>
              <w:t>Des instituts nationaux de règlement des litiges de propriété intellectuelle plus efficaces et un juste équilibre entre la protection des droits de propriété intellectuelle et l</w:t>
            </w:r>
            <w:r w:rsidR="00BF1851">
              <w:rPr>
                <w:bCs/>
              </w:rPr>
              <w:t>’</w:t>
            </w:r>
            <w:r w:rsidRPr="00CE2CA5">
              <w:rPr>
                <w:bCs/>
              </w:rPr>
              <w:t>intérêt général.</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D8371C" w:rsidRPr="00CE2CA5" w:rsidRDefault="00EB1737" w:rsidP="00E23BF9">
            <w:r w:rsidRPr="00CE2CA5">
              <w:t>Au moins 50% des juges, magistrats et procureurs bénéficiaires reconnaissent la corrélation entre le jugement et l</w:t>
            </w:r>
            <w:r w:rsidR="00BF1851">
              <w:t>’</w:t>
            </w:r>
            <w:r w:rsidRPr="00CE2CA5">
              <w:t>intérêt général.</w:t>
            </w:r>
          </w:p>
          <w:p w:rsidR="00D8371C" w:rsidRPr="00CE2CA5" w:rsidRDefault="00D8371C" w:rsidP="00E23BF9"/>
          <w:p w:rsidR="006D20ED" w:rsidRPr="00CE2CA5" w:rsidRDefault="00EB1737" w:rsidP="00E23BF9">
            <w:r w:rsidRPr="00CE2CA5">
              <w:t>Au moins 50% des juges, magistrats et procureurs bénéficiaires indiquent que la formation a amélioré leurs compétences en matière de règlement des litiges.</w:t>
            </w:r>
          </w:p>
        </w:tc>
        <w:tc>
          <w:tcPr>
            <w:tcW w:w="3113" w:type="dxa"/>
            <w:tcBorders>
              <w:top w:val="single" w:sz="4" w:space="0" w:color="auto"/>
              <w:left w:val="single" w:sz="4" w:space="0" w:color="auto"/>
              <w:bottom w:val="single" w:sz="4" w:space="0" w:color="auto"/>
              <w:right w:val="single" w:sz="4" w:space="0" w:color="auto"/>
            </w:tcBorders>
            <w:shd w:val="clear" w:color="auto" w:fill="auto"/>
          </w:tcPr>
          <w:p w:rsidR="00D8371C" w:rsidRPr="00CE2CA5" w:rsidRDefault="00EB1737" w:rsidP="00E23BF9">
            <w:r w:rsidRPr="00CE2CA5">
              <w:t>98% des participants ont reconnu la corrélation entre le jugement et l</w:t>
            </w:r>
            <w:r w:rsidR="00BF1851">
              <w:t>’</w:t>
            </w:r>
            <w:r w:rsidRPr="00CE2CA5">
              <w:t>intérêt public.</w:t>
            </w:r>
          </w:p>
          <w:p w:rsidR="00D8371C" w:rsidRPr="00CE2CA5" w:rsidRDefault="00D8371C" w:rsidP="00E23BF9"/>
          <w:p w:rsidR="00D8371C" w:rsidRDefault="00D8371C" w:rsidP="00E23BF9"/>
          <w:p w:rsidR="00E23BF9" w:rsidRPr="00CE2CA5" w:rsidRDefault="00E23BF9" w:rsidP="00E23BF9"/>
          <w:p w:rsidR="00D8371C" w:rsidRPr="00CE2CA5" w:rsidRDefault="00D8371C" w:rsidP="00E23BF9"/>
          <w:p w:rsidR="00D8371C" w:rsidRPr="00CE2CA5" w:rsidRDefault="00D8371C" w:rsidP="00E23BF9"/>
          <w:p w:rsidR="00D8371C" w:rsidRPr="00CE2CA5" w:rsidRDefault="00D8371C" w:rsidP="00E23BF9"/>
          <w:p w:rsidR="006D20ED" w:rsidRPr="00CE2CA5" w:rsidRDefault="00466A29" w:rsidP="00E23BF9">
            <w:r w:rsidRPr="00CE2CA5">
              <w:t>100% des participants ont indiqué que la formation avait amélioré leurs compétences en matière de règlement des litiges.</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D20ED" w:rsidRPr="00CE2CA5" w:rsidRDefault="006D20ED" w:rsidP="00E23BF9">
            <w:pPr>
              <w:jc w:val="center"/>
            </w:pPr>
            <w:r w:rsidRPr="00CE2CA5">
              <w:t>****</w:t>
            </w:r>
          </w:p>
        </w:tc>
      </w:tr>
      <w:tr w:rsidR="006D20ED" w:rsidRPr="00CE2CA5" w:rsidTr="00E23BF9">
        <w:tc>
          <w:tcPr>
            <w:tcW w:w="2315" w:type="dxa"/>
            <w:tcBorders>
              <w:top w:val="single" w:sz="4" w:space="0" w:color="auto"/>
              <w:left w:val="single" w:sz="4" w:space="0" w:color="auto"/>
              <w:bottom w:val="single" w:sz="4" w:space="0" w:color="auto"/>
              <w:right w:val="single" w:sz="4" w:space="0" w:color="auto"/>
            </w:tcBorders>
            <w:shd w:val="clear" w:color="auto" w:fill="auto"/>
          </w:tcPr>
          <w:p w:rsidR="006D20ED" w:rsidRPr="00CE2CA5" w:rsidRDefault="00466A29" w:rsidP="00E23BF9">
            <w:pPr>
              <w:rPr>
                <w:bCs/>
              </w:rPr>
            </w:pPr>
            <w:r w:rsidRPr="00CE2CA5">
              <w:rPr>
                <w:bCs/>
              </w:rPr>
              <w:t xml:space="preserve">Une orientation du corps judiciaire en faveur du développement en vue de créer, en matière de droits de propriété intellectuelle, un système équilibré, efficient et efficace de règlement des litiges qui soutienne les talents locaux, </w:t>
            </w:r>
            <w:r w:rsidRPr="00CE2CA5">
              <w:rPr>
                <w:bCs/>
              </w:rPr>
              <w:lastRenderedPageBreak/>
              <w:t>l</w:t>
            </w:r>
            <w:r w:rsidR="00BF1851">
              <w:rPr>
                <w:bCs/>
              </w:rPr>
              <w:t>’</w:t>
            </w:r>
            <w:r w:rsidRPr="00CE2CA5">
              <w:rPr>
                <w:bCs/>
              </w:rPr>
              <w:t>innovation et la créativité tout en promouvant, récompensant et protégeant, de manière équitable et équilibrée, les droits et les intérêts de tous les titulaires et utilisateurs de droits de propriété intellectuelle, ainsi que l</w:t>
            </w:r>
            <w:r w:rsidR="00BF1851">
              <w:rPr>
                <w:bCs/>
              </w:rPr>
              <w:t>’</w:t>
            </w:r>
            <w:r w:rsidRPr="00CE2CA5">
              <w:rPr>
                <w:bCs/>
              </w:rPr>
              <w:t>intérêt général.</w:t>
            </w:r>
          </w:p>
        </w:tc>
        <w:tc>
          <w:tcPr>
            <w:tcW w:w="2527" w:type="dxa"/>
            <w:tcBorders>
              <w:top w:val="single" w:sz="4" w:space="0" w:color="auto"/>
              <w:left w:val="single" w:sz="4" w:space="0" w:color="auto"/>
              <w:bottom w:val="single" w:sz="4" w:space="0" w:color="auto"/>
              <w:right w:val="single" w:sz="4" w:space="0" w:color="auto"/>
            </w:tcBorders>
            <w:shd w:val="clear" w:color="auto" w:fill="auto"/>
          </w:tcPr>
          <w:p w:rsidR="006D20ED" w:rsidRPr="00CE2CA5" w:rsidRDefault="00466A29" w:rsidP="00E23BF9">
            <w:r w:rsidRPr="00CE2CA5">
              <w:lastRenderedPageBreak/>
              <w:t>Au moins 50% des juges, magistrats et procureurs bénéficiaires reconnaissent l</w:t>
            </w:r>
            <w:r w:rsidR="00BF1851">
              <w:t>’</w:t>
            </w:r>
            <w:r w:rsidRPr="00CE2CA5">
              <w:t>importance d</w:t>
            </w:r>
            <w:r w:rsidR="00BF1851">
              <w:t>’</w:t>
            </w:r>
            <w:r w:rsidRPr="00CE2CA5">
              <w:t xml:space="preserve">établir un équilibre entre les droits et les intérêts des titulaires de droits de propriété intellectuelle, des utilisateurs de droits de </w:t>
            </w:r>
            <w:r w:rsidRPr="00CE2CA5">
              <w:lastRenderedPageBreak/>
              <w:t>propriété intellectuelle et l</w:t>
            </w:r>
            <w:r w:rsidR="00BF1851">
              <w:t>’</w:t>
            </w:r>
            <w:r w:rsidRPr="00CE2CA5">
              <w:t>intérêt général.</w:t>
            </w:r>
          </w:p>
        </w:tc>
        <w:tc>
          <w:tcPr>
            <w:tcW w:w="3113" w:type="dxa"/>
            <w:tcBorders>
              <w:top w:val="single" w:sz="4" w:space="0" w:color="auto"/>
              <w:left w:val="single" w:sz="4" w:space="0" w:color="auto"/>
              <w:bottom w:val="single" w:sz="4" w:space="0" w:color="auto"/>
              <w:right w:val="single" w:sz="4" w:space="0" w:color="auto"/>
            </w:tcBorders>
            <w:shd w:val="clear" w:color="auto" w:fill="auto"/>
          </w:tcPr>
          <w:p w:rsidR="006D20ED" w:rsidRPr="00CE2CA5" w:rsidRDefault="00466A29" w:rsidP="00E23BF9">
            <w:r w:rsidRPr="00CE2CA5">
              <w:lastRenderedPageBreak/>
              <w:t>96% des participants ont reconnu l</w:t>
            </w:r>
            <w:r w:rsidR="00BF1851">
              <w:t>’</w:t>
            </w:r>
            <w:r w:rsidRPr="00CE2CA5">
              <w:t>importance d</w:t>
            </w:r>
            <w:r w:rsidR="00BF1851">
              <w:t>’</w:t>
            </w:r>
            <w:r w:rsidRPr="00CE2CA5">
              <w:t>établir un équilibre entre les droits et les intérêts des titulaires et des utilisateurs des droits de propriété intellectuelle et l</w:t>
            </w:r>
            <w:r w:rsidR="00BF1851">
              <w:t>’</w:t>
            </w:r>
            <w:r w:rsidRPr="00CE2CA5">
              <w:t>intérêt général.</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D20ED" w:rsidRPr="00CE2CA5" w:rsidRDefault="006D20ED" w:rsidP="00E23BF9">
            <w:pPr>
              <w:jc w:val="center"/>
            </w:pPr>
            <w:r w:rsidRPr="00CE2CA5">
              <w:t>****</w:t>
            </w:r>
          </w:p>
        </w:tc>
      </w:tr>
    </w:tbl>
    <w:p w:rsidR="00D8371C" w:rsidRPr="00CE2CA5" w:rsidRDefault="00D8371C"/>
    <w:p w:rsidR="00D8371C" w:rsidRPr="00CE2CA5" w:rsidRDefault="00D8371C"/>
    <w:p w:rsidR="00D8371C" w:rsidRPr="00CE2CA5" w:rsidRDefault="00D8371C"/>
    <w:p w:rsidR="00D8371C" w:rsidRPr="009F5AD6" w:rsidRDefault="00A83219" w:rsidP="00E23BF9">
      <w:pPr>
        <w:pStyle w:val="Endofdocument-Annex"/>
        <w:rPr>
          <w:lang w:val="fr-CH"/>
        </w:rPr>
      </w:pPr>
      <w:r w:rsidRPr="009F5AD6">
        <w:rPr>
          <w:lang w:val="fr-CH"/>
        </w:rPr>
        <w:t>[Fin de l</w:t>
      </w:r>
      <w:r w:rsidR="00BF1851" w:rsidRPr="009F5AD6">
        <w:rPr>
          <w:lang w:val="fr-CH"/>
        </w:rPr>
        <w:t>’</w:t>
      </w:r>
      <w:r w:rsidRPr="009F5AD6">
        <w:rPr>
          <w:lang w:val="fr-CH"/>
        </w:rPr>
        <w:t>annexe et du document]</w:t>
      </w:r>
    </w:p>
    <w:sectPr w:rsidR="00D8371C" w:rsidRPr="009F5AD6" w:rsidSect="00A601DF">
      <w:headerReference w:type="default" r:id="rId10"/>
      <w:headerReference w:type="first" r:id="rId11"/>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EC6" w:rsidRDefault="00AB3EC6">
      <w:r>
        <w:separator/>
      </w:r>
    </w:p>
  </w:endnote>
  <w:endnote w:type="continuationSeparator" w:id="0">
    <w:p w:rsidR="00AB3EC6" w:rsidRDefault="00AB3EC6" w:rsidP="003B38C1">
      <w:r>
        <w:separator/>
      </w:r>
    </w:p>
    <w:p w:rsidR="00AB3EC6" w:rsidRPr="003B38C1" w:rsidRDefault="00AB3EC6" w:rsidP="003B38C1">
      <w:pPr>
        <w:spacing w:after="60"/>
        <w:rPr>
          <w:sz w:val="17"/>
        </w:rPr>
      </w:pPr>
      <w:r>
        <w:rPr>
          <w:sz w:val="17"/>
        </w:rPr>
        <w:t>[Endnote continued from previous page]</w:t>
      </w:r>
    </w:p>
  </w:endnote>
  <w:endnote w:type="continuationNotice" w:id="1">
    <w:p w:rsidR="00AB3EC6" w:rsidRPr="003B38C1" w:rsidRDefault="00AB3EC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EC6" w:rsidRDefault="00AB3EC6">
      <w:r>
        <w:separator/>
      </w:r>
    </w:p>
  </w:footnote>
  <w:footnote w:type="continuationSeparator" w:id="0">
    <w:p w:rsidR="00AB3EC6" w:rsidRDefault="00AB3EC6" w:rsidP="008B60B2">
      <w:r>
        <w:separator/>
      </w:r>
    </w:p>
    <w:p w:rsidR="00AB3EC6" w:rsidRPr="00ED77FB" w:rsidRDefault="00AB3EC6" w:rsidP="008B60B2">
      <w:pPr>
        <w:spacing w:after="60"/>
        <w:rPr>
          <w:sz w:val="17"/>
          <w:szCs w:val="17"/>
        </w:rPr>
      </w:pPr>
      <w:r w:rsidRPr="00ED77FB">
        <w:rPr>
          <w:sz w:val="17"/>
          <w:szCs w:val="17"/>
        </w:rPr>
        <w:t>[Footnote continued from previous page]</w:t>
      </w:r>
    </w:p>
  </w:footnote>
  <w:footnote w:type="continuationNotice" w:id="1">
    <w:p w:rsidR="00AB3EC6" w:rsidRPr="00ED77FB" w:rsidRDefault="00AB3EC6" w:rsidP="008B60B2">
      <w:pPr>
        <w:spacing w:before="60"/>
        <w:jc w:val="right"/>
        <w:rPr>
          <w:sz w:val="17"/>
          <w:szCs w:val="17"/>
        </w:rPr>
      </w:pPr>
      <w:r w:rsidRPr="00ED77FB">
        <w:rPr>
          <w:sz w:val="17"/>
          <w:szCs w:val="17"/>
        </w:rPr>
        <w:t>[Footnote continued on next page]</w:t>
      </w:r>
    </w:p>
  </w:footnote>
  <w:footnote w:id="2">
    <w:p w:rsidR="00AB3EC6" w:rsidRPr="00E23BF9" w:rsidRDefault="00AB3EC6" w:rsidP="006C029B">
      <w:pPr>
        <w:pStyle w:val="FootnoteText"/>
      </w:pPr>
      <w:r w:rsidRPr="00E23BF9">
        <w:rPr>
          <w:rStyle w:val="FootnoteReference"/>
        </w:rPr>
        <w:footnoteRef/>
      </w:r>
      <w:r w:rsidRPr="00E23BF9">
        <w:t xml:space="preserve"> </w:t>
      </w:r>
      <w:r w:rsidRPr="00E23BF9">
        <w:tab/>
        <w:t>Conformément au descriptif de projet initial, section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EC6" w:rsidRDefault="00AB3EC6" w:rsidP="00477D6B">
    <w:pPr>
      <w:jc w:val="right"/>
    </w:pPr>
    <w:r>
      <w:t>CDIP/23/4</w:t>
    </w:r>
  </w:p>
  <w:p w:rsidR="00AB3EC6" w:rsidRDefault="00AB3EC6" w:rsidP="00477D6B">
    <w:pPr>
      <w:jc w:val="right"/>
    </w:pPr>
    <w:r>
      <w:rPr>
        <w:rStyle w:val="PageNumber"/>
      </w:rPr>
      <w:t>page</w:t>
    </w:r>
    <w:r>
      <w:t> </w:t>
    </w:r>
    <w:sdt>
      <w:sdtPr>
        <w:id w:val="15828164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601DF">
          <w:rPr>
            <w:noProof/>
          </w:rPr>
          <w:t>2</w:t>
        </w:r>
        <w:r>
          <w:rPr>
            <w:noProof/>
          </w:rPr>
          <w:fldChar w:fldCharType="end"/>
        </w:r>
      </w:sdtContent>
    </w:sdt>
  </w:p>
  <w:p w:rsidR="00AB3EC6" w:rsidRDefault="00AB3EC6" w:rsidP="00477D6B">
    <w:pPr>
      <w:jc w:val="right"/>
    </w:pPr>
  </w:p>
  <w:p w:rsidR="00AB3EC6" w:rsidRDefault="00AB3EC6"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1DF" w:rsidRDefault="00A601DF" w:rsidP="00477D6B">
    <w:pPr>
      <w:jc w:val="right"/>
    </w:pPr>
    <w:r>
      <w:t>CDIP/23/4</w:t>
    </w:r>
  </w:p>
  <w:p w:rsidR="00A601DF" w:rsidRDefault="00A601DF" w:rsidP="00477D6B">
    <w:pPr>
      <w:jc w:val="right"/>
    </w:pPr>
    <w:r>
      <w:rPr>
        <w:rStyle w:val="PageNumber"/>
      </w:rPr>
      <w:t>Annexe, page</w:t>
    </w:r>
    <w:r>
      <w:t> </w:t>
    </w:r>
    <w:sdt>
      <w:sdtPr>
        <w:id w:val="8230128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F5AD6">
          <w:rPr>
            <w:noProof/>
          </w:rPr>
          <w:t>16</w:t>
        </w:r>
        <w:r>
          <w:rPr>
            <w:noProof/>
          </w:rPr>
          <w:fldChar w:fldCharType="end"/>
        </w:r>
      </w:sdtContent>
    </w:sdt>
  </w:p>
  <w:p w:rsidR="00A601DF" w:rsidRDefault="00A601DF" w:rsidP="00477D6B">
    <w:pPr>
      <w:jc w:val="right"/>
    </w:pPr>
  </w:p>
  <w:p w:rsidR="00A601DF" w:rsidRDefault="00A601D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EC6" w:rsidRDefault="00AB3EC6" w:rsidP="00D21FA7">
    <w:pPr>
      <w:jc w:val="right"/>
    </w:pPr>
    <w:r>
      <w:t>CDIP/23/4</w:t>
    </w:r>
  </w:p>
  <w:p w:rsidR="00AB3EC6" w:rsidRDefault="00AB3EC6" w:rsidP="00D21FA7">
    <w:pPr>
      <w:pStyle w:val="Header"/>
      <w:jc w:val="right"/>
      <w:rPr>
        <w:rStyle w:val="PageNumber"/>
      </w:rPr>
    </w:pPr>
    <w:r>
      <w:rPr>
        <w:rStyle w:val="PageNumber"/>
      </w:rPr>
      <w:t>ANNEXE</w:t>
    </w:r>
  </w:p>
  <w:p w:rsidR="00A601DF" w:rsidRDefault="00A601DF" w:rsidP="00D21FA7">
    <w:pPr>
      <w:pStyle w:val="Header"/>
      <w:jc w:val="right"/>
      <w:rPr>
        <w:rStyle w:val="PageNumber"/>
      </w:rPr>
    </w:pPr>
  </w:p>
  <w:p w:rsidR="00A601DF" w:rsidRDefault="00A601DF" w:rsidP="00D21FA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56205D"/>
    <w:multiLevelType w:val="hybridMultilevel"/>
    <w:tmpl w:val="9A52E9BE"/>
    <w:lvl w:ilvl="0" w:tplc="9BCC64E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C2460F"/>
    <w:multiLevelType w:val="hybridMultilevel"/>
    <w:tmpl w:val="EE608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A3D87"/>
    <w:multiLevelType w:val="hybridMultilevel"/>
    <w:tmpl w:val="3476DBF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37050"/>
    <w:multiLevelType w:val="hybridMultilevel"/>
    <w:tmpl w:val="F848AD6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585B3E"/>
    <w:multiLevelType w:val="hybridMultilevel"/>
    <w:tmpl w:val="9B720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7769BA"/>
    <w:multiLevelType w:val="hybridMultilevel"/>
    <w:tmpl w:val="99B6444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07DD65F3"/>
    <w:multiLevelType w:val="hybridMultilevel"/>
    <w:tmpl w:val="F658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A0493C"/>
    <w:multiLevelType w:val="hybridMultilevel"/>
    <w:tmpl w:val="831AF390"/>
    <w:lvl w:ilvl="0" w:tplc="A0349C88">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6F187E"/>
    <w:multiLevelType w:val="hybridMultilevel"/>
    <w:tmpl w:val="A350E0FE"/>
    <w:lvl w:ilvl="0" w:tplc="10248390">
      <w:start w:val="1"/>
      <w:numFmt w:val="decimal"/>
      <w:lvlText w:val="%1."/>
      <w:lvlJc w:val="left"/>
      <w:pPr>
        <w:ind w:left="6238" w:hanging="705"/>
      </w:pPr>
      <w:rPr>
        <w:rFonts w:hint="default"/>
      </w:rPr>
    </w:lvl>
    <w:lvl w:ilvl="1" w:tplc="040C0019" w:tentative="1">
      <w:start w:val="1"/>
      <w:numFmt w:val="lowerLetter"/>
      <w:lvlText w:val="%2."/>
      <w:lvlJc w:val="left"/>
      <w:pPr>
        <w:ind w:left="6613" w:hanging="360"/>
      </w:pPr>
    </w:lvl>
    <w:lvl w:ilvl="2" w:tplc="040C001B" w:tentative="1">
      <w:start w:val="1"/>
      <w:numFmt w:val="lowerRoman"/>
      <w:lvlText w:val="%3."/>
      <w:lvlJc w:val="right"/>
      <w:pPr>
        <w:ind w:left="7333" w:hanging="180"/>
      </w:pPr>
    </w:lvl>
    <w:lvl w:ilvl="3" w:tplc="040C000F" w:tentative="1">
      <w:start w:val="1"/>
      <w:numFmt w:val="decimal"/>
      <w:lvlText w:val="%4."/>
      <w:lvlJc w:val="left"/>
      <w:pPr>
        <w:ind w:left="8053" w:hanging="360"/>
      </w:pPr>
    </w:lvl>
    <w:lvl w:ilvl="4" w:tplc="040C0019" w:tentative="1">
      <w:start w:val="1"/>
      <w:numFmt w:val="lowerLetter"/>
      <w:lvlText w:val="%5."/>
      <w:lvlJc w:val="left"/>
      <w:pPr>
        <w:ind w:left="8773" w:hanging="360"/>
      </w:pPr>
    </w:lvl>
    <w:lvl w:ilvl="5" w:tplc="040C001B" w:tentative="1">
      <w:start w:val="1"/>
      <w:numFmt w:val="lowerRoman"/>
      <w:lvlText w:val="%6."/>
      <w:lvlJc w:val="right"/>
      <w:pPr>
        <w:ind w:left="9493" w:hanging="180"/>
      </w:pPr>
    </w:lvl>
    <w:lvl w:ilvl="6" w:tplc="040C000F" w:tentative="1">
      <w:start w:val="1"/>
      <w:numFmt w:val="decimal"/>
      <w:lvlText w:val="%7."/>
      <w:lvlJc w:val="left"/>
      <w:pPr>
        <w:ind w:left="10213" w:hanging="360"/>
      </w:pPr>
    </w:lvl>
    <w:lvl w:ilvl="7" w:tplc="040C0019" w:tentative="1">
      <w:start w:val="1"/>
      <w:numFmt w:val="lowerLetter"/>
      <w:lvlText w:val="%8."/>
      <w:lvlJc w:val="left"/>
      <w:pPr>
        <w:ind w:left="10933" w:hanging="360"/>
      </w:pPr>
    </w:lvl>
    <w:lvl w:ilvl="8" w:tplc="040C001B" w:tentative="1">
      <w:start w:val="1"/>
      <w:numFmt w:val="lowerRoman"/>
      <w:lvlText w:val="%9."/>
      <w:lvlJc w:val="right"/>
      <w:pPr>
        <w:ind w:left="11653" w:hanging="180"/>
      </w:pPr>
    </w:lvl>
  </w:abstractNum>
  <w:abstractNum w:abstractNumId="11" w15:restartNumberingAfterBreak="0">
    <w:nsid w:val="14B05D4A"/>
    <w:multiLevelType w:val="hybridMultilevel"/>
    <w:tmpl w:val="3E4E8E02"/>
    <w:lvl w:ilvl="0" w:tplc="9BCC64E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6B14A0"/>
    <w:multiLevelType w:val="hybridMultilevel"/>
    <w:tmpl w:val="C5BAF6F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C9414A1"/>
    <w:multiLevelType w:val="hybridMultilevel"/>
    <w:tmpl w:val="3FACF4FA"/>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BE1B9E"/>
    <w:multiLevelType w:val="hybridMultilevel"/>
    <w:tmpl w:val="42D2F864"/>
    <w:lvl w:ilvl="0" w:tplc="9BCC64E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2DAA0C8C"/>
    <w:multiLevelType w:val="hybridMultilevel"/>
    <w:tmpl w:val="D210623A"/>
    <w:lvl w:ilvl="0" w:tplc="FE780B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2560F"/>
    <w:multiLevelType w:val="hybridMultilevel"/>
    <w:tmpl w:val="A29A9916"/>
    <w:lvl w:ilvl="0" w:tplc="9BCC64E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33BD1"/>
    <w:multiLevelType w:val="hybridMultilevel"/>
    <w:tmpl w:val="1286E32A"/>
    <w:lvl w:ilvl="0" w:tplc="A0349C88">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1656E"/>
    <w:multiLevelType w:val="hybridMultilevel"/>
    <w:tmpl w:val="15EC7680"/>
    <w:lvl w:ilvl="0" w:tplc="9BCC64E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77F88"/>
    <w:multiLevelType w:val="hybridMultilevel"/>
    <w:tmpl w:val="92D8F260"/>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6216AC"/>
    <w:multiLevelType w:val="hybridMultilevel"/>
    <w:tmpl w:val="DF987A5A"/>
    <w:lvl w:ilvl="0" w:tplc="9BCC64E0">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5E5621"/>
    <w:multiLevelType w:val="hybridMultilevel"/>
    <w:tmpl w:val="E43A08EC"/>
    <w:lvl w:ilvl="0" w:tplc="746A649A">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7430A1"/>
    <w:multiLevelType w:val="hybridMultilevel"/>
    <w:tmpl w:val="B560B71C"/>
    <w:lvl w:ilvl="0" w:tplc="9BCC64E0">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7C1974"/>
    <w:multiLevelType w:val="hybridMultilevel"/>
    <w:tmpl w:val="85487E04"/>
    <w:lvl w:ilvl="0" w:tplc="7A06C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93397F"/>
    <w:multiLevelType w:val="hybridMultilevel"/>
    <w:tmpl w:val="07D601D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3A4B65"/>
    <w:multiLevelType w:val="hybridMultilevel"/>
    <w:tmpl w:val="5FC4551C"/>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405180"/>
    <w:multiLevelType w:val="hybridMultilevel"/>
    <w:tmpl w:val="E8E08886"/>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D16E52"/>
    <w:multiLevelType w:val="hybridMultilevel"/>
    <w:tmpl w:val="39A60716"/>
    <w:lvl w:ilvl="0" w:tplc="040C000F">
      <w:start w:val="1"/>
      <w:numFmt w:val="decimal"/>
      <w:lvlText w:val="%1."/>
      <w:lvlJc w:val="left"/>
      <w:pPr>
        <w:ind w:left="6253" w:hanging="360"/>
      </w:pPr>
    </w:lvl>
    <w:lvl w:ilvl="1" w:tplc="040C0019" w:tentative="1">
      <w:start w:val="1"/>
      <w:numFmt w:val="lowerLetter"/>
      <w:lvlText w:val="%2."/>
      <w:lvlJc w:val="left"/>
      <w:pPr>
        <w:ind w:left="6973" w:hanging="360"/>
      </w:pPr>
    </w:lvl>
    <w:lvl w:ilvl="2" w:tplc="040C001B" w:tentative="1">
      <w:start w:val="1"/>
      <w:numFmt w:val="lowerRoman"/>
      <w:lvlText w:val="%3."/>
      <w:lvlJc w:val="right"/>
      <w:pPr>
        <w:ind w:left="7693" w:hanging="180"/>
      </w:pPr>
    </w:lvl>
    <w:lvl w:ilvl="3" w:tplc="040C000F" w:tentative="1">
      <w:start w:val="1"/>
      <w:numFmt w:val="decimal"/>
      <w:lvlText w:val="%4."/>
      <w:lvlJc w:val="left"/>
      <w:pPr>
        <w:ind w:left="8413" w:hanging="360"/>
      </w:pPr>
    </w:lvl>
    <w:lvl w:ilvl="4" w:tplc="040C0019" w:tentative="1">
      <w:start w:val="1"/>
      <w:numFmt w:val="lowerLetter"/>
      <w:lvlText w:val="%5."/>
      <w:lvlJc w:val="left"/>
      <w:pPr>
        <w:ind w:left="9133" w:hanging="360"/>
      </w:pPr>
    </w:lvl>
    <w:lvl w:ilvl="5" w:tplc="040C001B" w:tentative="1">
      <w:start w:val="1"/>
      <w:numFmt w:val="lowerRoman"/>
      <w:lvlText w:val="%6."/>
      <w:lvlJc w:val="right"/>
      <w:pPr>
        <w:ind w:left="9853" w:hanging="180"/>
      </w:pPr>
    </w:lvl>
    <w:lvl w:ilvl="6" w:tplc="040C000F" w:tentative="1">
      <w:start w:val="1"/>
      <w:numFmt w:val="decimal"/>
      <w:lvlText w:val="%7."/>
      <w:lvlJc w:val="left"/>
      <w:pPr>
        <w:ind w:left="10573" w:hanging="360"/>
      </w:pPr>
    </w:lvl>
    <w:lvl w:ilvl="7" w:tplc="040C0019" w:tentative="1">
      <w:start w:val="1"/>
      <w:numFmt w:val="lowerLetter"/>
      <w:lvlText w:val="%8."/>
      <w:lvlJc w:val="left"/>
      <w:pPr>
        <w:ind w:left="11293" w:hanging="360"/>
      </w:pPr>
    </w:lvl>
    <w:lvl w:ilvl="8" w:tplc="040C001B" w:tentative="1">
      <w:start w:val="1"/>
      <w:numFmt w:val="lowerRoman"/>
      <w:lvlText w:val="%9."/>
      <w:lvlJc w:val="right"/>
      <w:pPr>
        <w:ind w:left="12013" w:hanging="180"/>
      </w:pPr>
    </w:lvl>
  </w:abstractNum>
  <w:abstractNum w:abstractNumId="32" w15:restartNumberingAfterBreak="0">
    <w:nsid w:val="663300FE"/>
    <w:multiLevelType w:val="hybridMultilevel"/>
    <w:tmpl w:val="6018F006"/>
    <w:lvl w:ilvl="0" w:tplc="9BCC64E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A8527D"/>
    <w:multiLevelType w:val="hybridMultilevel"/>
    <w:tmpl w:val="87624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A3078"/>
    <w:multiLevelType w:val="hybridMultilevel"/>
    <w:tmpl w:val="48929A0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35373E"/>
    <w:multiLevelType w:val="hybridMultilevel"/>
    <w:tmpl w:val="0C4E5EF0"/>
    <w:lvl w:ilvl="0" w:tplc="A0349C88">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0"/>
  </w:num>
  <w:num w:numId="4">
    <w:abstractNumId w:val="30"/>
  </w:num>
  <w:num w:numId="5">
    <w:abstractNumId w:val="7"/>
  </w:num>
  <w:num w:numId="6">
    <w:abstractNumId w:val="16"/>
  </w:num>
  <w:num w:numId="7">
    <w:abstractNumId w:val="2"/>
  </w:num>
  <w:num w:numId="8">
    <w:abstractNumId w:val="27"/>
  </w:num>
  <w:num w:numId="9">
    <w:abstractNumId w:val="34"/>
  </w:num>
  <w:num w:numId="10">
    <w:abstractNumId w:val="23"/>
  </w:num>
  <w:num w:numId="11">
    <w:abstractNumId w:val="5"/>
  </w:num>
  <w:num w:numId="12">
    <w:abstractNumId w:val="33"/>
  </w:num>
  <w:num w:numId="13">
    <w:abstractNumId w:val="6"/>
  </w:num>
  <w:num w:numId="14">
    <w:abstractNumId w:val="26"/>
  </w:num>
  <w:num w:numId="15">
    <w:abstractNumId w:val="4"/>
  </w:num>
  <w:num w:numId="16">
    <w:abstractNumId w:val="12"/>
  </w:num>
  <w:num w:numId="17">
    <w:abstractNumId w:val="21"/>
  </w:num>
  <w:num w:numId="18">
    <w:abstractNumId w:val="17"/>
  </w:num>
  <w:num w:numId="19">
    <w:abstractNumId w:val="8"/>
  </w:num>
  <w:num w:numId="20">
    <w:abstractNumId w:val="14"/>
  </w:num>
  <w:num w:numId="21">
    <w:abstractNumId w:val="28"/>
  </w:num>
  <w:num w:numId="22">
    <w:abstractNumId w:val="3"/>
  </w:num>
  <w:num w:numId="23">
    <w:abstractNumId w:val="30"/>
  </w:num>
  <w:num w:numId="24">
    <w:abstractNumId w:val="7"/>
  </w:num>
  <w:num w:numId="25">
    <w:abstractNumId w:val="16"/>
  </w:num>
  <w:num w:numId="26">
    <w:abstractNumId w:val="31"/>
  </w:num>
  <w:num w:numId="27">
    <w:abstractNumId w:val="10"/>
  </w:num>
  <w:num w:numId="28">
    <w:abstractNumId w:val="22"/>
  </w:num>
  <w:num w:numId="29">
    <w:abstractNumId w:val="24"/>
  </w:num>
  <w:num w:numId="30">
    <w:abstractNumId w:val="35"/>
  </w:num>
  <w:num w:numId="31">
    <w:abstractNumId w:val="19"/>
  </w:num>
  <w:num w:numId="32">
    <w:abstractNumId w:val="9"/>
  </w:num>
  <w:num w:numId="33">
    <w:abstractNumId w:val="11"/>
  </w:num>
  <w:num w:numId="34">
    <w:abstractNumId w:val="20"/>
  </w:num>
  <w:num w:numId="35">
    <w:abstractNumId w:val="15"/>
  </w:num>
  <w:num w:numId="36">
    <w:abstractNumId w:val="32"/>
  </w:num>
  <w:num w:numId="37">
    <w:abstractNumId w:val="18"/>
  </w:num>
  <w:num w:numId="38">
    <w:abstractNumId w:val="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
    <w:docVar w:name="TextBaseURL" w:val="empty"/>
    <w:docVar w:name="UILng" w:val="en"/>
  </w:docVars>
  <w:rsids>
    <w:rsidRoot w:val="00204FED"/>
    <w:rsid w:val="00005A90"/>
    <w:rsid w:val="00006477"/>
    <w:rsid w:val="00043CAA"/>
    <w:rsid w:val="00075432"/>
    <w:rsid w:val="00075FC9"/>
    <w:rsid w:val="0009127F"/>
    <w:rsid w:val="000968ED"/>
    <w:rsid w:val="000D0C60"/>
    <w:rsid w:val="000D7A57"/>
    <w:rsid w:val="000E3BCA"/>
    <w:rsid w:val="000F5E56"/>
    <w:rsid w:val="00117B56"/>
    <w:rsid w:val="001205AC"/>
    <w:rsid w:val="001362EE"/>
    <w:rsid w:val="001647D5"/>
    <w:rsid w:val="0017433A"/>
    <w:rsid w:val="001832A6"/>
    <w:rsid w:val="001D26CB"/>
    <w:rsid w:val="001E1A94"/>
    <w:rsid w:val="001F0D7D"/>
    <w:rsid w:val="001F5D57"/>
    <w:rsid w:val="00204FED"/>
    <w:rsid w:val="0021217E"/>
    <w:rsid w:val="002124FF"/>
    <w:rsid w:val="0021341E"/>
    <w:rsid w:val="002315CA"/>
    <w:rsid w:val="002634C4"/>
    <w:rsid w:val="00272241"/>
    <w:rsid w:val="002928D3"/>
    <w:rsid w:val="00293CBB"/>
    <w:rsid w:val="002C1206"/>
    <w:rsid w:val="002D7AB2"/>
    <w:rsid w:val="002F1FE6"/>
    <w:rsid w:val="002F4E68"/>
    <w:rsid w:val="00312F7F"/>
    <w:rsid w:val="00326EDA"/>
    <w:rsid w:val="0035439C"/>
    <w:rsid w:val="00361450"/>
    <w:rsid w:val="003673CF"/>
    <w:rsid w:val="003845C1"/>
    <w:rsid w:val="003947C2"/>
    <w:rsid w:val="003A6F89"/>
    <w:rsid w:val="003B2905"/>
    <w:rsid w:val="003B38C1"/>
    <w:rsid w:val="003C0D79"/>
    <w:rsid w:val="00412E66"/>
    <w:rsid w:val="00423E3E"/>
    <w:rsid w:val="00427AF4"/>
    <w:rsid w:val="004338B3"/>
    <w:rsid w:val="0046127A"/>
    <w:rsid w:val="004647DA"/>
    <w:rsid w:val="00465753"/>
    <w:rsid w:val="00466A29"/>
    <w:rsid w:val="00474062"/>
    <w:rsid w:val="0047465E"/>
    <w:rsid w:val="00477D6B"/>
    <w:rsid w:val="0048595B"/>
    <w:rsid w:val="00490F96"/>
    <w:rsid w:val="004932F5"/>
    <w:rsid w:val="00493E3A"/>
    <w:rsid w:val="00495CA9"/>
    <w:rsid w:val="005019FF"/>
    <w:rsid w:val="005213F5"/>
    <w:rsid w:val="0053057A"/>
    <w:rsid w:val="00531C8D"/>
    <w:rsid w:val="00560A29"/>
    <w:rsid w:val="00585CCF"/>
    <w:rsid w:val="005943CA"/>
    <w:rsid w:val="005B01A6"/>
    <w:rsid w:val="005C20AF"/>
    <w:rsid w:val="005C4B85"/>
    <w:rsid w:val="005C6649"/>
    <w:rsid w:val="005E7ABD"/>
    <w:rsid w:val="00603248"/>
    <w:rsid w:val="00605827"/>
    <w:rsid w:val="00607060"/>
    <w:rsid w:val="00615AA4"/>
    <w:rsid w:val="00646050"/>
    <w:rsid w:val="0065603C"/>
    <w:rsid w:val="00656A8C"/>
    <w:rsid w:val="006713CA"/>
    <w:rsid w:val="00676C5C"/>
    <w:rsid w:val="006A7B33"/>
    <w:rsid w:val="006C029B"/>
    <w:rsid w:val="006C6C35"/>
    <w:rsid w:val="006D20ED"/>
    <w:rsid w:val="00705347"/>
    <w:rsid w:val="0071353D"/>
    <w:rsid w:val="0072406D"/>
    <w:rsid w:val="0073742C"/>
    <w:rsid w:val="00754DBA"/>
    <w:rsid w:val="0076163E"/>
    <w:rsid w:val="00763365"/>
    <w:rsid w:val="00771311"/>
    <w:rsid w:val="007767EE"/>
    <w:rsid w:val="007A459E"/>
    <w:rsid w:val="007B32D6"/>
    <w:rsid w:val="007C022C"/>
    <w:rsid w:val="007D1613"/>
    <w:rsid w:val="007E014D"/>
    <w:rsid w:val="007E4035"/>
    <w:rsid w:val="007E4C0E"/>
    <w:rsid w:val="008108AE"/>
    <w:rsid w:val="00825FC8"/>
    <w:rsid w:val="00842D1C"/>
    <w:rsid w:val="00855596"/>
    <w:rsid w:val="008562B8"/>
    <w:rsid w:val="00871D9F"/>
    <w:rsid w:val="008A134B"/>
    <w:rsid w:val="008B2CC1"/>
    <w:rsid w:val="008B60B2"/>
    <w:rsid w:val="008D6512"/>
    <w:rsid w:val="008E0E35"/>
    <w:rsid w:val="0090731E"/>
    <w:rsid w:val="00916EE2"/>
    <w:rsid w:val="00944143"/>
    <w:rsid w:val="00945F69"/>
    <w:rsid w:val="00966A22"/>
    <w:rsid w:val="0096722F"/>
    <w:rsid w:val="00971403"/>
    <w:rsid w:val="00980843"/>
    <w:rsid w:val="00992EA0"/>
    <w:rsid w:val="009A14D4"/>
    <w:rsid w:val="009A32E8"/>
    <w:rsid w:val="009B7104"/>
    <w:rsid w:val="009D59BC"/>
    <w:rsid w:val="009E2791"/>
    <w:rsid w:val="009E3F6F"/>
    <w:rsid w:val="009F499F"/>
    <w:rsid w:val="009F5AD6"/>
    <w:rsid w:val="009F61DC"/>
    <w:rsid w:val="00A172BC"/>
    <w:rsid w:val="00A37342"/>
    <w:rsid w:val="00A42DAF"/>
    <w:rsid w:val="00A45BD8"/>
    <w:rsid w:val="00A601DF"/>
    <w:rsid w:val="00A83219"/>
    <w:rsid w:val="00A869B7"/>
    <w:rsid w:val="00A907AA"/>
    <w:rsid w:val="00AB3EC6"/>
    <w:rsid w:val="00AC205C"/>
    <w:rsid w:val="00AC772A"/>
    <w:rsid w:val="00AE074E"/>
    <w:rsid w:val="00AF0A6B"/>
    <w:rsid w:val="00AF0EF6"/>
    <w:rsid w:val="00B017E7"/>
    <w:rsid w:val="00B05A69"/>
    <w:rsid w:val="00B17093"/>
    <w:rsid w:val="00B44B3B"/>
    <w:rsid w:val="00B505DD"/>
    <w:rsid w:val="00B5114D"/>
    <w:rsid w:val="00B5599F"/>
    <w:rsid w:val="00B61F9D"/>
    <w:rsid w:val="00B71D78"/>
    <w:rsid w:val="00B75642"/>
    <w:rsid w:val="00B8074B"/>
    <w:rsid w:val="00B950EF"/>
    <w:rsid w:val="00B9734B"/>
    <w:rsid w:val="00BA30E2"/>
    <w:rsid w:val="00BF1107"/>
    <w:rsid w:val="00BF1851"/>
    <w:rsid w:val="00C11BFE"/>
    <w:rsid w:val="00C15BAB"/>
    <w:rsid w:val="00C31DDB"/>
    <w:rsid w:val="00C332C8"/>
    <w:rsid w:val="00C5068F"/>
    <w:rsid w:val="00C61A92"/>
    <w:rsid w:val="00C65443"/>
    <w:rsid w:val="00C72D64"/>
    <w:rsid w:val="00C86D74"/>
    <w:rsid w:val="00C91908"/>
    <w:rsid w:val="00CD04F1"/>
    <w:rsid w:val="00CE2CA5"/>
    <w:rsid w:val="00D0461D"/>
    <w:rsid w:val="00D0493E"/>
    <w:rsid w:val="00D1323C"/>
    <w:rsid w:val="00D172D8"/>
    <w:rsid w:val="00D21FA7"/>
    <w:rsid w:val="00D2716E"/>
    <w:rsid w:val="00D32D78"/>
    <w:rsid w:val="00D45252"/>
    <w:rsid w:val="00D52DDD"/>
    <w:rsid w:val="00D71B4D"/>
    <w:rsid w:val="00D8371C"/>
    <w:rsid w:val="00D83F10"/>
    <w:rsid w:val="00D93D55"/>
    <w:rsid w:val="00DD5A94"/>
    <w:rsid w:val="00DF50B4"/>
    <w:rsid w:val="00E06F4C"/>
    <w:rsid w:val="00E15015"/>
    <w:rsid w:val="00E234C1"/>
    <w:rsid w:val="00E23BF9"/>
    <w:rsid w:val="00E335FE"/>
    <w:rsid w:val="00E34483"/>
    <w:rsid w:val="00E551BB"/>
    <w:rsid w:val="00EA7D6E"/>
    <w:rsid w:val="00EB1737"/>
    <w:rsid w:val="00EC06DF"/>
    <w:rsid w:val="00EC17B8"/>
    <w:rsid w:val="00EC42CB"/>
    <w:rsid w:val="00EC4E49"/>
    <w:rsid w:val="00ED324F"/>
    <w:rsid w:val="00ED77FB"/>
    <w:rsid w:val="00EE15E7"/>
    <w:rsid w:val="00EE45FA"/>
    <w:rsid w:val="00F179CB"/>
    <w:rsid w:val="00F27B4E"/>
    <w:rsid w:val="00F53554"/>
    <w:rsid w:val="00F563C1"/>
    <w:rsid w:val="00F66152"/>
    <w:rsid w:val="00F73DBF"/>
    <w:rsid w:val="00F77502"/>
    <w:rsid w:val="00FD4324"/>
    <w:rsid w:val="00FF33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C7539C9A-D843-47A5-AF38-FCE332BF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DF"/>
    <w:rPr>
      <w:rFonts w:ascii="Arial" w:eastAsia="SimSun" w:hAnsi="Arial" w:cs="Arial"/>
      <w:sz w:val="22"/>
      <w:lang w:eastAsia="zh-CN"/>
    </w:rPr>
  </w:style>
  <w:style w:type="paragraph" w:styleId="Heading1">
    <w:name w:val="heading 1"/>
    <w:basedOn w:val="Normal"/>
    <w:next w:val="Normal"/>
    <w:qFormat/>
    <w:rsid w:val="00A601DF"/>
    <w:pPr>
      <w:keepNext/>
      <w:spacing w:before="240" w:after="60"/>
      <w:outlineLvl w:val="0"/>
    </w:pPr>
    <w:rPr>
      <w:b/>
      <w:bCs/>
      <w:caps/>
      <w:kern w:val="32"/>
      <w:szCs w:val="32"/>
    </w:rPr>
  </w:style>
  <w:style w:type="paragraph" w:styleId="Heading2">
    <w:name w:val="heading 2"/>
    <w:basedOn w:val="Normal"/>
    <w:next w:val="Normal"/>
    <w:qFormat/>
    <w:rsid w:val="00A601DF"/>
    <w:pPr>
      <w:keepNext/>
      <w:spacing w:before="240" w:after="60"/>
      <w:outlineLvl w:val="1"/>
    </w:pPr>
    <w:rPr>
      <w:bCs/>
      <w:iCs/>
      <w:caps/>
      <w:szCs w:val="28"/>
    </w:rPr>
  </w:style>
  <w:style w:type="paragraph" w:styleId="Heading3">
    <w:name w:val="heading 3"/>
    <w:basedOn w:val="Normal"/>
    <w:next w:val="Normal"/>
    <w:link w:val="Heading3Char"/>
    <w:qFormat/>
    <w:rsid w:val="00A601DF"/>
    <w:pPr>
      <w:keepNext/>
      <w:spacing w:before="240" w:after="60"/>
      <w:outlineLvl w:val="2"/>
    </w:pPr>
    <w:rPr>
      <w:bCs/>
      <w:szCs w:val="26"/>
      <w:u w:val="single"/>
    </w:rPr>
  </w:style>
  <w:style w:type="paragraph" w:styleId="Heading4">
    <w:name w:val="heading 4"/>
    <w:basedOn w:val="Normal"/>
    <w:next w:val="Normal"/>
    <w:qFormat/>
    <w:rsid w:val="00A601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A601DF"/>
    <w:pPr>
      <w:ind w:left="5534"/>
    </w:pPr>
    <w:rPr>
      <w:lang w:val="en-US"/>
    </w:rPr>
  </w:style>
  <w:style w:type="paragraph" w:styleId="BodyText">
    <w:name w:val="Body Text"/>
    <w:basedOn w:val="Normal"/>
    <w:rsid w:val="00A601DF"/>
    <w:pPr>
      <w:spacing w:after="220"/>
    </w:pPr>
  </w:style>
  <w:style w:type="paragraph" w:styleId="Caption">
    <w:name w:val="caption"/>
    <w:basedOn w:val="Normal"/>
    <w:next w:val="Normal"/>
    <w:qFormat/>
    <w:rsid w:val="00A601DF"/>
    <w:rPr>
      <w:b/>
      <w:bCs/>
      <w:sz w:val="18"/>
    </w:rPr>
  </w:style>
  <w:style w:type="paragraph" w:styleId="CommentText">
    <w:name w:val="annotation text"/>
    <w:basedOn w:val="Normal"/>
    <w:semiHidden/>
    <w:rsid w:val="00A601DF"/>
    <w:rPr>
      <w:sz w:val="18"/>
    </w:rPr>
  </w:style>
  <w:style w:type="paragraph" w:styleId="EndnoteText">
    <w:name w:val="endnote text"/>
    <w:basedOn w:val="Normal"/>
    <w:semiHidden/>
    <w:rsid w:val="00A601DF"/>
    <w:rPr>
      <w:sz w:val="18"/>
    </w:rPr>
  </w:style>
  <w:style w:type="paragraph" w:styleId="Footer">
    <w:name w:val="footer"/>
    <w:basedOn w:val="Normal"/>
    <w:semiHidden/>
    <w:rsid w:val="00A601DF"/>
    <w:pPr>
      <w:tabs>
        <w:tab w:val="center" w:pos="4320"/>
        <w:tab w:val="right" w:pos="8640"/>
      </w:tabs>
    </w:pPr>
  </w:style>
  <w:style w:type="paragraph" w:styleId="FootnoteText">
    <w:name w:val="footnote text"/>
    <w:basedOn w:val="Normal"/>
    <w:semiHidden/>
    <w:rsid w:val="00A601DF"/>
    <w:rPr>
      <w:sz w:val="18"/>
    </w:rPr>
  </w:style>
  <w:style w:type="paragraph" w:styleId="Header">
    <w:name w:val="header"/>
    <w:basedOn w:val="Normal"/>
    <w:link w:val="HeaderChar"/>
    <w:rsid w:val="00A601DF"/>
    <w:pPr>
      <w:tabs>
        <w:tab w:val="center" w:pos="4536"/>
        <w:tab w:val="right" w:pos="9072"/>
      </w:tabs>
    </w:pPr>
  </w:style>
  <w:style w:type="paragraph" w:styleId="ListNumber">
    <w:name w:val="List Number"/>
    <w:basedOn w:val="Normal"/>
    <w:semiHidden/>
    <w:rsid w:val="00A601DF"/>
    <w:pPr>
      <w:numPr>
        <w:numId w:val="23"/>
      </w:numPr>
    </w:pPr>
  </w:style>
  <w:style w:type="paragraph" w:customStyle="1" w:styleId="ONUME">
    <w:name w:val="ONUM E"/>
    <w:basedOn w:val="BodyText"/>
    <w:rsid w:val="00A601DF"/>
    <w:pPr>
      <w:numPr>
        <w:numId w:val="24"/>
      </w:numPr>
    </w:pPr>
  </w:style>
  <w:style w:type="paragraph" w:customStyle="1" w:styleId="ONUMFS">
    <w:name w:val="ONUM FS"/>
    <w:basedOn w:val="BodyText"/>
    <w:rsid w:val="00A601DF"/>
    <w:pPr>
      <w:numPr>
        <w:numId w:val="25"/>
      </w:numPr>
    </w:pPr>
  </w:style>
  <w:style w:type="paragraph" w:styleId="Salutation">
    <w:name w:val="Salutation"/>
    <w:basedOn w:val="Normal"/>
    <w:next w:val="Normal"/>
    <w:semiHidden/>
    <w:rsid w:val="00A601DF"/>
  </w:style>
  <w:style w:type="paragraph" w:styleId="Signature">
    <w:name w:val="Signature"/>
    <w:basedOn w:val="Normal"/>
    <w:semiHidden/>
    <w:rsid w:val="00A601DF"/>
    <w:pPr>
      <w:ind w:left="5250"/>
    </w:pPr>
  </w:style>
  <w:style w:type="character" w:customStyle="1" w:styleId="Heading3Char">
    <w:name w:val="Heading 3 Char"/>
    <w:link w:val="Heading3"/>
    <w:rsid w:val="007767EE"/>
    <w:rPr>
      <w:rFonts w:ascii="Arial" w:eastAsia="SimSun" w:hAnsi="Arial" w:cs="Arial"/>
      <w:bCs/>
      <w:sz w:val="22"/>
      <w:szCs w:val="26"/>
      <w:u w:val="single"/>
      <w:lang w:eastAsia="zh-CN"/>
    </w:rPr>
  </w:style>
  <w:style w:type="paragraph" w:customStyle="1" w:styleId="Default">
    <w:name w:val="Default"/>
    <w:rsid w:val="006D20ED"/>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A601DF"/>
    <w:pPr>
      <w:ind w:left="720"/>
      <w:contextualSpacing/>
    </w:pPr>
  </w:style>
  <w:style w:type="character" w:styleId="FootnoteReference">
    <w:name w:val="footnote reference"/>
    <w:semiHidden/>
    <w:rsid w:val="006D20ED"/>
    <w:rPr>
      <w:vertAlign w:val="superscript"/>
    </w:rPr>
  </w:style>
  <w:style w:type="character" w:customStyle="1" w:styleId="HeaderChar">
    <w:name w:val="Header Char"/>
    <w:basedOn w:val="DefaultParagraphFont"/>
    <w:link w:val="Header"/>
    <w:rsid w:val="00D172D8"/>
    <w:rPr>
      <w:rFonts w:ascii="Arial" w:eastAsia="SimSun" w:hAnsi="Arial" w:cs="Arial"/>
      <w:sz w:val="22"/>
      <w:lang w:eastAsia="zh-CN"/>
    </w:rPr>
  </w:style>
  <w:style w:type="paragraph" w:styleId="BalloonText">
    <w:name w:val="Balloon Text"/>
    <w:basedOn w:val="Normal"/>
    <w:link w:val="BalloonTextChar"/>
    <w:semiHidden/>
    <w:unhideWhenUsed/>
    <w:rsid w:val="00A172BC"/>
    <w:rPr>
      <w:rFonts w:ascii="Segoe UI" w:hAnsi="Segoe UI" w:cs="Segoe UI"/>
      <w:sz w:val="18"/>
      <w:szCs w:val="18"/>
    </w:rPr>
  </w:style>
  <w:style w:type="character" w:customStyle="1" w:styleId="BalloonTextChar">
    <w:name w:val="Balloon Text Char"/>
    <w:basedOn w:val="DefaultParagraphFont"/>
    <w:link w:val="BalloonText"/>
    <w:semiHidden/>
    <w:rsid w:val="00A172BC"/>
    <w:rPr>
      <w:rFonts w:ascii="Segoe UI" w:eastAsia="SimSun" w:hAnsi="Segoe UI" w:cs="Segoe UI"/>
      <w:sz w:val="18"/>
      <w:szCs w:val="18"/>
      <w:lang w:val="en-US" w:eastAsia="zh-CN"/>
    </w:rPr>
  </w:style>
  <w:style w:type="character" w:styleId="PageNumber">
    <w:name w:val="page number"/>
    <w:basedOn w:val="DefaultParagraphFont"/>
    <w:rsid w:val="00C72D64"/>
  </w:style>
  <w:style w:type="paragraph" w:customStyle="1" w:styleId="Meetingplacedate">
    <w:name w:val="Meeting place &amp; date"/>
    <w:basedOn w:val="Normal"/>
    <w:next w:val="Normal"/>
    <w:rsid w:val="00A601DF"/>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A601DF"/>
    <w:pPr>
      <w:spacing w:line="336" w:lineRule="exact"/>
      <w:ind w:left="1021"/>
    </w:pPr>
    <w:rPr>
      <w:rFonts w:eastAsia="Times New Roman" w:cs="Times New Roman"/>
      <w:b/>
      <w:sz w:val="28"/>
      <w:lang w:val="fr-FR" w:eastAsia="en-US"/>
    </w:rPr>
  </w:style>
  <w:style w:type="character" w:styleId="Hyperlink">
    <w:name w:val="Hyperlink"/>
    <w:basedOn w:val="DefaultParagraphFont"/>
    <w:semiHidden/>
    <w:unhideWhenUsed/>
    <w:rsid w:val="00DF50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C3F16-33AA-41BE-AF8B-61639AEE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5214</Words>
  <Characters>28895</Characters>
  <Application>Microsoft Office Word</Application>
  <DocSecurity>4</DocSecurity>
  <Lines>240</Lines>
  <Paragraphs>68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CERBARI Mihaela</dc:creator>
  <cp:lastModifiedBy>SARKISSOVA Anna</cp:lastModifiedBy>
  <cp:revision>2</cp:revision>
  <cp:lastPrinted>2019-04-01T08:34:00Z</cp:lastPrinted>
  <dcterms:created xsi:type="dcterms:W3CDTF">2019-04-04T12:26:00Z</dcterms:created>
  <dcterms:modified xsi:type="dcterms:W3CDTF">2019-04-04T12:26:00Z</dcterms:modified>
</cp:coreProperties>
</file>