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90CB2" w:rsidRPr="008B2CC1" w:rsidTr="0002593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90CB2" w:rsidRPr="008B2CC1" w:rsidRDefault="00F90CB2" w:rsidP="0002593F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90CB2" w:rsidRPr="008B2CC1" w:rsidRDefault="00F90CB2" w:rsidP="0002593F">
            <w:r>
              <w:rPr>
                <w:noProof/>
                <w:lang w:val="en-US" w:eastAsia="en-US"/>
              </w:rPr>
              <w:drawing>
                <wp:inline distT="0" distB="0" distL="0" distR="0" wp14:anchorId="33976442" wp14:editId="51EE0407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90CB2" w:rsidRPr="008B2CC1" w:rsidRDefault="00F90CB2" w:rsidP="0002593F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F90CB2" w:rsidRPr="001832A6" w:rsidTr="0002593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90CB2" w:rsidRPr="0090731E" w:rsidRDefault="00F90CB2" w:rsidP="0002593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CDIP/23/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12</w:t>
            </w:r>
          </w:p>
        </w:tc>
      </w:tr>
      <w:tr w:rsidR="00F90CB2" w:rsidRPr="001832A6" w:rsidTr="0002593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90CB2" w:rsidRPr="0090731E" w:rsidRDefault="00F90CB2" w:rsidP="00025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6E4D4B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F90CB2" w:rsidRPr="001832A6" w:rsidTr="0002593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90CB2" w:rsidRPr="0090731E" w:rsidRDefault="00F90CB2" w:rsidP="00025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6E4D4B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15 mars 2019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F90CB2" w:rsidRPr="008B2CC1" w:rsidRDefault="00F90CB2" w:rsidP="00F90CB2"/>
    <w:p w:rsidR="00F90CB2" w:rsidRPr="008B2CC1" w:rsidRDefault="00F90CB2" w:rsidP="00F90CB2"/>
    <w:p w:rsidR="00F90CB2" w:rsidRPr="008B2CC1" w:rsidRDefault="00F90CB2" w:rsidP="00F90CB2"/>
    <w:p w:rsidR="00F90CB2" w:rsidRPr="008B2CC1" w:rsidRDefault="00F90CB2" w:rsidP="00F90CB2"/>
    <w:p w:rsidR="00F90CB2" w:rsidRPr="008B2CC1" w:rsidRDefault="00F90CB2" w:rsidP="00F90CB2"/>
    <w:p w:rsidR="00F90CB2" w:rsidRPr="003845C1" w:rsidRDefault="00F90CB2" w:rsidP="00F90CB2">
      <w:pPr>
        <w:rPr>
          <w:b/>
          <w:sz w:val="28"/>
          <w:szCs w:val="28"/>
        </w:rPr>
      </w:pPr>
      <w:r w:rsidRPr="00B31DEE">
        <w:rPr>
          <w:b/>
          <w:sz w:val="28"/>
          <w:szCs w:val="28"/>
          <w:lang w:val="fr-FR"/>
        </w:rPr>
        <w:t>Comité du développement et de la propriété intellectuelle (CDIP)</w:t>
      </w:r>
    </w:p>
    <w:p w:rsidR="00F90CB2" w:rsidRDefault="00F90CB2" w:rsidP="00F90CB2"/>
    <w:p w:rsidR="00F90CB2" w:rsidRDefault="00F90CB2" w:rsidP="00F90CB2"/>
    <w:p w:rsidR="00F90CB2" w:rsidRPr="003845C1" w:rsidRDefault="00F90CB2" w:rsidP="00F90CB2">
      <w:pPr>
        <w:rPr>
          <w:b/>
          <w:sz w:val="24"/>
          <w:szCs w:val="24"/>
        </w:rPr>
      </w:pPr>
      <w:r>
        <w:rPr>
          <w:b/>
          <w:sz w:val="24"/>
          <w:szCs w:val="24"/>
          <w:lang w:val="fr-FR"/>
        </w:rPr>
        <w:t>Vingt</w:t>
      </w:r>
      <w:r w:rsidR="006E4D4B">
        <w:rPr>
          <w:b/>
          <w:sz w:val="24"/>
          <w:szCs w:val="24"/>
          <w:lang w:val="fr-FR"/>
        </w:rPr>
        <w:t>-</w:t>
      </w:r>
      <w:r>
        <w:rPr>
          <w:b/>
          <w:sz w:val="24"/>
          <w:szCs w:val="24"/>
          <w:lang w:val="fr-FR"/>
        </w:rPr>
        <w:t>trois</w:t>
      </w:r>
      <w:r w:rsidR="006E4D4B">
        <w:rPr>
          <w:b/>
          <w:sz w:val="24"/>
          <w:szCs w:val="24"/>
          <w:lang w:val="fr-FR"/>
        </w:rPr>
        <w:t>ième session</w:t>
      </w:r>
    </w:p>
    <w:p w:rsidR="00F90CB2" w:rsidRPr="003845C1" w:rsidRDefault="00F90CB2" w:rsidP="00F90CB2">
      <w:pPr>
        <w:rPr>
          <w:b/>
          <w:sz w:val="24"/>
          <w:szCs w:val="24"/>
        </w:rPr>
      </w:pPr>
      <w:r>
        <w:rPr>
          <w:b/>
          <w:sz w:val="24"/>
          <w:szCs w:val="24"/>
          <w:lang w:val="fr-FR"/>
        </w:rPr>
        <w:t>Genève, 20</w:t>
      </w:r>
      <w:r w:rsidRPr="00B31DEE">
        <w:rPr>
          <w:b/>
          <w:sz w:val="24"/>
          <w:szCs w:val="24"/>
          <w:lang w:val="fr-FR"/>
        </w:rPr>
        <w:t xml:space="preserve"> – </w:t>
      </w:r>
      <w:r>
        <w:rPr>
          <w:b/>
          <w:sz w:val="24"/>
          <w:szCs w:val="24"/>
          <w:lang w:val="fr-FR"/>
        </w:rPr>
        <w:t>24</w:t>
      </w:r>
      <w:r w:rsidRPr="00B31DEE">
        <w:rPr>
          <w:b/>
          <w:sz w:val="24"/>
          <w:szCs w:val="24"/>
          <w:lang w:val="fr-FR"/>
        </w:rPr>
        <w:t> </w:t>
      </w:r>
      <w:r>
        <w:rPr>
          <w:b/>
          <w:sz w:val="24"/>
          <w:szCs w:val="24"/>
          <w:lang w:val="fr-FR"/>
        </w:rPr>
        <w:t>mai 2019</w:t>
      </w:r>
    </w:p>
    <w:p w:rsidR="00F90CB2" w:rsidRPr="008B2CC1" w:rsidRDefault="00F90CB2" w:rsidP="00F90CB2"/>
    <w:p w:rsidR="00F90CB2" w:rsidRPr="008B2CC1" w:rsidRDefault="00F90CB2" w:rsidP="00F90CB2"/>
    <w:p w:rsidR="00F90CB2" w:rsidRPr="008B2CC1" w:rsidRDefault="00F90CB2" w:rsidP="00F90CB2"/>
    <w:p w:rsidR="009E5CE8" w:rsidRPr="00F90CB2" w:rsidRDefault="009E5CE8" w:rsidP="009E5CE8">
      <w:pPr>
        <w:rPr>
          <w:caps/>
          <w:sz w:val="24"/>
        </w:rPr>
      </w:pPr>
      <w:r w:rsidRPr="00F90CB2">
        <w:rPr>
          <w:caps/>
          <w:sz w:val="24"/>
        </w:rPr>
        <w:t>Proposition de suivi du résumé de l</w:t>
      </w:r>
      <w:r w:rsidR="006E4D4B">
        <w:rPr>
          <w:caps/>
          <w:sz w:val="24"/>
        </w:rPr>
        <w:t>’</w:t>
      </w:r>
      <w:r w:rsidRPr="00F90CB2">
        <w:rPr>
          <w:caps/>
          <w:sz w:val="24"/>
        </w:rPr>
        <w:t>étude de faisabilité sur l</w:t>
      </w:r>
      <w:r w:rsidR="006E4D4B">
        <w:rPr>
          <w:caps/>
          <w:sz w:val="24"/>
        </w:rPr>
        <w:t>’</w:t>
      </w:r>
      <w:r w:rsidRPr="00F90CB2">
        <w:rPr>
          <w:caps/>
          <w:sz w:val="24"/>
        </w:rPr>
        <w:t>amélioration de la collecte de données économiques sur le secteur de l</w:t>
      </w:r>
      <w:r w:rsidR="006E4D4B">
        <w:rPr>
          <w:caps/>
          <w:sz w:val="24"/>
        </w:rPr>
        <w:t>’</w:t>
      </w:r>
      <w:r w:rsidRPr="00F90CB2">
        <w:rPr>
          <w:caps/>
          <w:sz w:val="24"/>
        </w:rPr>
        <w:t>audiovisuel dans plusieurs pays africains</w:t>
      </w:r>
    </w:p>
    <w:p w:rsidR="009E5CE8" w:rsidRPr="007052E5" w:rsidRDefault="009E5CE8" w:rsidP="008B2CC1">
      <w:bookmarkStart w:id="4" w:name="Prepared"/>
      <w:bookmarkEnd w:id="4"/>
    </w:p>
    <w:p w:rsidR="009E5CE8" w:rsidRPr="007052E5" w:rsidRDefault="009E5CE8" w:rsidP="009E5CE8">
      <w:pPr>
        <w:rPr>
          <w:i/>
        </w:rPr>
      </w:pPr>
      <w:proofErr w:type="gramStart"/>
      <w:r w:rsidRPr="007052E5">
        <w:rPr>
          <w:i/>
        </w:rPr>
        <w:t>établie</w:t>
      </w:r>
      <w:proofErr w:type="gramEnd"/>
      <w:r w:rsidRPr="007052E5">
        <w:rPr>
          <w:i/>
        </w:rPr>
        <w:t xml:space="preserve"> par le Secrétariat</w:t>
      </w:r>
    </w:p>
    <w:p w:rsidR="009E5CE8" w:rsidRPr="007052E5" w:rsidRDefault="009E5CE8"/>
    <w:p w:rsidR="009E5CE8" w:rsidRPr="009E5CE8" w:rsidRDefault="009E5CE8"/>
    <w:p w:rsidR="009E5CE8" w:rsidRPr="009E5CE8" w:rsidRDefault="009E5CE8"/>
    <w:p w:rsidR="009E5CE8" w:rsidRPr="007052E5" w:rsidRDefault="009E5CE8" w:rsidP="00695EAA">
      <w:pPr>
        <w:pStyle w:val="ListParagraph"/>
        <w:ind w:left="0"/>
      </w:pPr>
    </w:p>
    <w:p w:rsidR="00F90CB2" w:rsidRDefault="009E5CE8" w:rsidP="00F90CB2">
      <w:pPr>
        <w:pStyle w:val="ONUMFS"/>
      </w:pPr>
      <w:r w:rsidRPr="007052E5">
        <w:t>Une Étude de faisabilité sur l</w:t>
      </w:r>
      <w:r w:rsidR="006E4D4B">
        <w:t>’</w:t>
      </w:r>
      <w:r w:rsidRPr="007052E5">
        <w:t>amélioration de la collecte de données économiques sur le secteur de l</w:t>
      </w:r>
      <w:r w:rsidR="006E4D4B">
        <w:t>’</w:t>
      </w:r>
      <w:r w:rsidRPr="007052E5">
        <w:t>audiovisuel dans plusieurs pays africains, figurant dans le document CDIP/21/INF/2, a été établie dans le cadre du projet relatif au renforcement et au développement du secteur de l</w:t>
      </w:r>
      <w:r w:rsidR="006E4D4B">
        <w:t>’</w:t>
      </w:r>
      <w:r w:rsidRPr="007052E5">
        <w:t>audiovisuel au Burkina Faso et dans certains pays africains – Phase</w:t>
      </w:r>
      <w:r w:rsidR="007052E5" w:rsidRPr="007052E5">
        <w:t> </w:t>
      </w:r>
      <w:r w:rsidRPr="007052E5">
        <w:t>II (document CDIP/17/7).</w:t>
      </w:r>
    </w:p>
    <w:p w:rsidR="00F90CB2" w:rsidRDefault="009E5CE8" w:rsidP="00F90CB2">
      <w:pPr>
        <w:pStyle w:val="ONUMFS"/>
      </w:pPr>
      <w:r w:rsidRPr="007052E5">
        <w:t>L</w:t>
      </w:r>
      <w:r w:rsidR="006E4D4B">
        <w:t>’</w:t>
      </w:r>
      <w:r w:rsidR="00FE2F3B">
        <w:t>é</w:t>
      </w:r>
      <w:r w:rsidR="007052E5" w:rsidRPr="007052E5">
        <w:t>tude</w:t>
      </w:r>
      <w:r w:rsidRPr="007052E5">
        <w:t xml:space="preserve"> de faisabilité a été réalisée par deux</w:t>
      </w:r>
      <w:r w:rsidR="00251966">
        <w:t> </w:t>
      </w:r>
      <w:r w:rsidRPr="007052E5">
        <w:t>consultantes indépendantes, Mmes</w:t>
      </w:r>
      <w:r w:rsidR="007052E5" w:rsidRPr="007052E5">
        <w:t> </w:t>
      </w:r>
      <w:proofErr w:type="spellStart"/>
      <w:r w:rsidRPr="007052E5">
        <w:t>Deirdre</w:t>
      </w:r>
      <w:proofErr w:type="spellEnd"/>
      <w:r w:rsidR="00C31663">
        <w:t> </w:t>
      </w:r>
      <w:r w:rsidRPr="007052E5">
        <w:t>Kevin et</w:t>
      </w:r>
      <w:r w:rsidR="00C31663">
        <w:t> </w:t>
      </w:r>
      <w:proofErr w:type="spellStart"/>
      <w:r w:rsidRPr="007052E5">
        <w:t>Sahar</w:t>
      </w:r>
      <w:proofErr w:type="spellEnd"/>
      <w:r w:rsidR="00C31663">
        <w:t> </w:t>
      </w:r>
      <w:r w:rsidRPr="007052E5">
        <w:t>Ali, et présentée à la vingt</w:t>
      </w:r>
      <w:r w:rsidR="006E4D4B">
        <w:t> et unième session</w:t>
      </w:r>
      <w:r w:rsidRPr="007052E5">
        <w:t xml:space="preserve"> du CDIP. </w:t>
      </w:r>
      <w:r w:rsidR="00251966">
        <w:t xml:space="preserve"> </w:t>
      </w:r>
      <w:r w:rsidRPr="007052E5">
        <w:t xml:space="preserve">Le comité a prié le Secrétariat de déterminer </w:t>
      </w:r>
      <w:r w:rsidR="007052E5" w:rsidRPr="007052E5">
        <w:t>“</w:t>
      </w:r>
      <w:r w:rsidRPr="007052E5">
        <w:t>si des travaux complémentaires sont nécessaires et peuvent être réalisés à l</w:t>
      </w:r>
      <w:r w:rsidR="006E4D4B">
        <w:t>’</w:t>
      </w:r>
      <w:r w:rsidRPr="007052E5">
        <w:t>avenir dans ce domaine</w:t>
      </w:r>
      <w:r w:rsidR="007052E5" w:rsidRPr="007052E5">
        <w:t>”</w:t>
      </w:r>
      <w:r w:rsidRPr="007052E5">
        <w:t>.</w:t>
      </w:r>
    </w:p>
    <w:p w:rsidR="00F90CB2" w:rsidRDefault="009E5CE8" w:rsidP="00F90CB2">
      <w:pPr>
        <w:pStyle w:val="ONUMFS"/>
      </w:pPr>
      <w:r w:rsidRPr="007052E5">
        <w:t>L</w:t>
      </w:r>
      <w:r w:rsidR="006E4D4B">
        <w:t>’</w:t>
      </w:r>
      <w:r w:rsidRPr="007052E5">
        <w:t xml:space="preserve">annexe du présent document contient un plan de mise en </w:t>
      </w:r>
      <w:r w:rsidR="007052E5">
        <w:t>œ</w:t>
      </w:r>
      <w:r w:rsidRPr="007052E5">
        <w:t>uvre des activités de suivi visant à généraliser les résultats du projet.</w:t>
      </w:r>
    </w:p>
    <w:p w:rsidR="00F90CB2" w:rsidRPr="00F90CB2" w:rsidRDefault="009E5CE8" w:rsidP="00F90CB2">
      <w:pPr>
        <w:pStyle w:val="ONUMFS"/>
        <w:ind w:left="5533"/>
        <w:rPr>
          <w:i/>
        </w:rPr>
      </w:pPr>
      <w:r w:rsidRPr="00F90CB2">
        <w:rPr>
          <w:i/>
        </w:rPr>
        <w:t xml:space="preserve">Le </w:t>
      </w:r>
      <w:r w:rsidR="007052E5" w:rsidRPr="00F90CB2">
        <w:rPr>
          <w:i/>
        </w:rPr>
        <w:t>c</w:t>
      </w:r>
      <w:r w:rsidRPr="00F90CB2">
        <w:rPr>
          <w:i/>
        </w:rPr>
        <w:t>omité est prié d</w:t>
      </w:r>
      <w:r w:rsidR="006E4D4B">
        <w:rPr>
          <w:i/>
        </w:rPr>
        <w:t>’</w:t>
      </w:r>
      <w:r w:rsidRPr="00F90CB2">
        <w:rPr>
          <w:i/>
        </w:rPr>
        <w:t>examiner l</w:t>
      </w:r>
      <w:r w:rsidR="006E4D4B">
        <w:rPr>
          <w:i/>
        </w:rPr>
        <w:t>’</w:t>
      </w:r>
      <w:r w:rsidRPr="00F90CB2">
        <w:rPr>
          <w:i/>
        </w:rPr>
        <w:t>annexe du présent document.</w:t>
      </w:r>
    </w:p>
    <w:p w:rsidR="009E5CE8" w:rsidRPr="007052E5" w:rsidRDefault="009E5CE8" w:rsidP="00F90CB2"/>
    <w:p w:rsidR="009E5CE8" w:rsidRPr="007052E5" w:rsidRDefault="009E5CE8" w:rsidP="00F90CB2"/>
    <w:p w:rsidR="009E5CE8" w:rsidRPr="007052E5" w:rsidRDefault="009E5CE8" w:rsidP="00F90CB2">
      <w:pPr>
        <w:pStyle w:val="Endofdocument-Annex"/>
      </w:pPr>
      <w:r w:rsidRPr="007052E5">
        <w:t>[</w:t>
      </w:r>
      <w:proofErr w:type="spellStart"/>
      <w:r w:rsidRPr="007052E5">
        <w:t>L</w:t>
      </w:r>
      <w:r w:rsidR="006E4D4B">
        <w:t>’</w:t>
      </w:r>
      <w:r w:rsidRPr="007052E5">
        <w:t>annexe</w:t>
      </w:r>
      <w:proofErr w:type="spellEnd"/>
      <w:r w:rsidRPr="007052E5">
        <w:t xml:space="preserve"> suit]</w:t>
      </w:r>
    </w:p>
    <w:p w:rsidR="009E5CE8" w:rsidRDefault="009E5CE8" w:rsidP="00F90CB2"/>
    <w:p w:rsidR="00F90CB2" w:rsidRDefault="00F90CB2" w:rsidP="00981F54">
      <w:pPr>
        <w:sectPr w:rsidR="00F90CB2" w:rsidSect="00F90C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55"/>
        <w:gridCol w:w="7191"/>
      </w:tblGrid>
      <w:tr w:rsidR="00F962F4" w:rsidRPr="0048431A" w:rsidTr="00F90CB2">
        <w:tc>
          <w:tcPr>
            <w:tcW w:w="9345" w:type="dxa"/>
            <w:gridSpan w:val="2"/>
          </w:tcPr>
          <w:p w:rsidR="00F962F4" w:rsidRPr="0048431A" w:rsidRDefault="0048431A" w:rsidP="00F90CB2">
            <w:pPr>
              <w:jc w:val="center"/>
              <w:rPr>
                <w:caps/>
              </w:rPr>
            </w:pPr>
            <w:r w:rsidRPr="0048431A">
              <w:rPr>
                <w:b/>
                <w:caps/>
              </w:rPr>
              <w:lastRenderedPageBreak/>
              <w:t>Plan de mise en œuvre des activités de suivi</w:t>
            </w:r>
          </w:p>
        </w:tc>
      </w:tr>
      <w:tr w:rsidR="00F962F4" w:rsidRPr="00103AF7" w:rsidTr="00F90CB2">
        <w:tc>
          <w:tcPr>
            <w:tcW w:w="2155" w:type="dxa"/>
          </w:tcPr>
          <w:p w:rsidR="00F962F4" w:rsidRPr="007052E5" w:rsidRDefault="00103AF7" w:rsidP="00F90CB2">
            <w:r w:rsidRPr="007052E5">
              <w:t>Intitulé de l</w:t>
            </w:r>
            <w:r w:rsidR="006E4D4B">
              <w:t>’</w:t>
            </w:r>
            <w:r w:rsidRPr="007052E5">
              <w:t>activité/initiative</w:t>
            </w:r>
          </w:p>
        </w:tc>
        <w:tc>
          <w:tcPr>
            <w:tcW w:w="7190" w:type="dxa"/>
          </w:tcPr>
          <w:p w:rsidR="00F962F4" w:rsidRPr="007052E5" w:rsidRDefault="00103AF7" w:rsidP="00F90CB2">
            <w:r w:rsidRPr="007052E5">
              <w:t>Amélioration de la collecte de données en Afrique dans le secteur de l</w:t>
            </w:r>
            <w:r w:rsidR="006E4D4B">
              <w:t>’</w:t>
            </w:r>
            <w:r w:rsidRPr="007052E5">
              <w:t>audiovisuel</w:t>
            </w:r>
          </w:p>
        </w:tc>
      </w:tr>
      <w:tr w:rsidR="00F962F4" w:rsidRPr="00103AF7" w:rsidTr="00F90CB2">
        <w:tc>
          <w:tcPr>
            <w:tcW w:w="2155" w:type="dxa"/>
          </w:tcPr>
          <w:p w:rsidR="00EE6077" w:rsidRPr="00130C42" w:rsidRDefault="00103AF7" w:rsidP="00F90CB2">
            <w:r w:rsidRPr="00130C42">
              <w:rPr>
                <w:i/>
                <w:szCs w:val="22"/>
              </w:rPr>
              <w:t>Brève description de l</w:t>
            </w:r>
            <w:r w:rsidR="006E4D4B">
              <w:rPr>
                <w:i/>
                <w:szCs w:val="22"/>
              </w:rPr>
              <w:t>’</w:t>
            </w:r>
            <w:r w:rsidRPr="00130C42">
              <w:rPr>
                <w:i/>
                <w:szCs w:val="22"/>
              </w:rPr>
              <w:t>activité/</w:t>
            </w:r>
            <w:r w:rsidR="00F90CB2">
              <w:rPr>
                <w:i/>
                <w:szCs w:val="22"/>
              </w:rPr>
              <w:t xml:space="preserve"> </w:t>
            </w:r>
            <w:r w:rsidRPr="00130C42">
              <w:rPr>
                <w:i/>
                <w:szCs w:val="22"/>
              </w:rPr>
              <w:t>initiative</w:t>
            </w:r>
          </w:p>
        </w:tc>
        <w:tc>
          <w:tcPr>
            <w:tcW w:w="7190" w:type="dxa"/>
            <w:shd w:val="clear" w:color="auto" w:fill="auto"/>
          </w:tcPr>
          <w:p w:rsidR="009E5CE8" w:rsidRPr="007052E5" w:rsidRDefault="007052E5" w:rsidP="00F90CB2">
            <w:pPr>
              <w:numPr>
                <w:ilvl w:val="0"/>
                <w:numId w:val="10"/>
              </w:numPr>
              <w:ind w:left="567" w:hanging="567"/>
              <w:rPr>
                <w:rFonts w:eastAsia="Times New Roman"/>
                <w:szCs w:val="22"/>
                <w:lang w:eastAsia="en-US"/>
              </w:rPr>
            </w:pPr>
            <w:r w:rsidRPr="007052E5">
              <w:rPr>
                <w:rFonts w:eastAsia="Times New Roman"/>
                <w:szCs w:val="22"/>
                <w:lang w:eastAsia="en-US"/>
              </w:rPr>
              <w:t>Rappel</w:t>
            </w:r>
          </w:p>
          <w:p w:rsidR="009E5CE8" w:rsidRPr="007052E5" w:rsidRDefault="009E5CE8" w:rsidP="00F90CB2">
            <w:pPr>
              <w:rPr>
                <w:rFonts w:eastAsia="Times New Roman"/>
                <w:szCs w:val="22"/>
                <w:lang w:eastAsia="en-US"/>
              </w:rPr>
            </w:pPr>
          </w:p>
          <w:p w:rsidR="009E5CE8" w:rsidRPr="007052E5" w:rsidRDefault="00103AF7" w:rsidP="00F90CB2">
            <w:pPr>
              <w:rPr>
                <w:rFonts w:eastAsia="Times New Roman"/>
                <w:szCs w:val="22"/>
                <w:lang w:eastAsia="en-US"/>
              </w:rPr>
            </w:pPr>
            <w:r w:rsidRPr="007052E5">
              <w:rPr>
                <w:rFonts w:eastAsia="Times New Roman"/>
                <w:szCs w:val="22"/>
                <w:lang w:eastAsia="en-US"/>
              </w:rPr>
              <w:t xml:space="preserve">Dans le cadre du projet intitulé </w:t>
            </w:r>
            <w:r w:rsidR="007052E5" w:rsidRPr="007052E5">
              <w:rPr>
                <w:rFonts w:eastAsia="Times New Roman"/>
                <w:szCs w:val="22"/>
                <w:lang w:eastAsia="en-US"/>
              </w:rPr>
              <w:t>“</w:t>
            </w:r>
            <w:r w:rsidRPr="007052E5">
              <w:rPr>
                <w:rFonts w:eastAsia="Times New Roman"/>
                <w:szCs w:val="22"/>
                <w:lang w:eastAsia="en-US"/>
              </w:rPr>
              <w:t>Renforcement et développement du secteur de l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7052E5">
              <w:rPr>
                <w:rFonts w:eastAsia="Times New Roman"/>
                <w:szCs w:val="22"/>
                <w:lang w:eastAsia="en-US"/>
              </w:rPr>
              <w:t>audiovisuel au Burkina Faso et dans certains pays africains</w:t>
            </w:r>
            <w:r w:rsidR="007052E5" w:rsidRPr="007052E5">
              <w:rPr>
                <w:rFonts w:eastAsia="Times New Roman"/>
                <w:szCs w:val="22"/>
                <w:lang w:eastAsia="en-US"/>
              </w:rPr>
              <w:t>”</w:t>
            </w:r>
            <w:r w:rsidRPr="007052E5">
              <w:rPr>
                <w:rFonts w:eastAsia="Times New Roman"/>
                <w:szCs w:val="22"/>
                <w:lang w:eastAsia="en-US"/>
              </w:rPr>
              <w:t xml:space="preserve"> – Phase</w:t>
            </w:r>
            <w:r w:rsidR="007052E5" w:rsidRPr="007052E5">
              <w:rPr>
                <w:rFonts w:eastAsia="Times New Roman"/>
                <w:szCs w:val="22"/>
                <w:lang w:eastAsia="en-US"/>
              </w:rPr>
              <w:t> </w:t>
            </w:r>
            <w:r w:rsidRPr="007052E5">
              <w:rPr>
                <w:rFonts w:eastAsia="Times New Roman"/>
                <w:szCs w:val="22"/>
                <w:lang w:eastAsia="en-US"/>
              </w:rPr>
              <w:t xml:space="preserve">II (document CDIP/17/7), une Étude de faisabilité sur </w:t>
            </w:r>
            <w:r w:rsidR="007052E5" w:rsidRPr="007052E5">
              <w:rPr>
                <w:rFonts w:eastAsia="Times New Roman"/>
                <w:szCs w:val="22"/>
                <w:lang w:eastAsia="en-US"/>
              </w:rPr>
              <w:t>“</w:t>
            </w:r>
            <w:r w:rsidRPr="007052E5">
              <w:rPr>
                <w:rFonts w:eastAsia="Times New Roman"/>
                <w:szCs w:val="22"/>
                <w:lang w:eastAsia="en-US"/>
              </w:rPr>
              <w:t>l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7052E5">
              <w:rPr>
                <w:rFonts w:eastAsia="Times New Roman"/>
                <w:szCs w:val="22"/>
                <w:lang w:eastAsia="en-US"/>
              </w:rPr>
              <w:t>amélioration de la collecte de données économiques sur le secteur de l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7052E5">
              <w:rPr>
                <w:rFonts w:eastAsia="Times New Roman"/>
                <w:szCs w:val="22"/>
                <w:lang w:eastAsia="en-US"/>
              </w:rPr>
              <w:t>audiovisuel dans certains pays africains</w:t>
            </w:r>
            <w:r w:rsidR="007052E5" w:rsidRPr="007052E5">
              <w:rPr>
                <w:rFonts w:eastAsia="Times New Roman"/>
                <w:szCs w:val="22"/>
                <w:lang w:eastAsia="en-US"/>
              </w:rPr>
              <w:t>”</w:t>
            </w:r>
            <w:r w:rsidRPr="007052E5">
              <w:rPr>
                <w:rFonts w:eastAsia="Times New Roman"/>
                <w:szCs w:val="22"/>
                <w:lang w:eastAsia="en-US"/>
              </w:rPr>
              <w:t xml:space="preserve"> a été commandée en 2017.</w:t>
            </w:r>
            <w:r w:rsidR="007B3815" w:rsidRPr="007052E5"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7052E5" w:rsidRPr="007052E5">
              <w:rPr>
                <w:rFonts w:eastAsia="Times New Roman"/>
                <w:szCs w:val="22"/>
                <w:lang w:eastAsia="en-US"/>
              </w:rPr>
              <w:t xml:space="preserve"> </w:t>
            </w:r>
            <w:r w:rsidRPr="007052E5">
              <w:rPr>
                <w:rFonts w:eastAsia="Times New Roman"/>
                <w:szCs w:val="22"/>
                <w:lang w:eastAsia="en-US"/>
              </w:rPr>
              <w:t>L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7052E5">
              <w:rPr>
                <w:rFonts w:eastAsia="Times New Roman"/>
                <w:szCs w:val="22"/>
                <w:lang w:eastAsia="en-US"/>
              </w:rPr>
              <w:t>étude couvrait le Burkina Faso, la Côte d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7052E5">
              <w:rPr>
                <w:rFonts w:eastAsia="Times New Roman"/>
                <w:szCs w:val="22"/>
                <w:lang w:eastAsia="en-US"/>
              </w:rPr>
              <w:t>Ivoire, le Kenya, le Maroc et le Sénégal.</w:t>
            </w:r>
          </w:p>
          <w:p w:rsidR="009E5CE8" w:rsidRPr="007052E5" w:rsidRDefault="009E5CE8" w:rsidP="00F90CB2">
            <w:pPr>
              <w:rPr>
                <w:rFonts w:eastAsia="Times New Roman"/>
                <w:szCs w:val="22"/>
                <w:lang w:eastAsia="en-US"/>
              </w:rPr>
            </w:pPr>
          </w:p>
          <w:p w:rsidR="009E5CE8" w:rsidRPr="00C31663" w:rsidRDefault="00103AF7" w:rsidP="00F90CB2">
            <w:pPr>
              <w:rPr>
                <w:rFonts w:eastAsia="Times New Roman"/>
                <w:szCs w:val="22"/>
                <w:lang w:eastAsia="en-US"/>
              </w:rPr>
            </w:pPr>
            <w:r w:rsidRPr="00C31663">
              <w:rPr>
                <w:rFonts w:eastAsia="Times New Roman"/>
                <w:szCs w:val="22"/>
                <w:lang w:eastAsia="en-US"/>
              </w:rPr>
              <w:t>Le rapport a fait apparaître un manque de données dans les secteurs de l</w:t>
            </w:r>
            <w:r w:rsidR="006E4D4B" w:rsidRPr="00C31663">
              <w:rPr>
                <w:rFonts w:eastAsia="Times New Roman"/>
                <w:szCs w:val="22"/>
                <w:lang w:eastAsia="en-US"/>
              </w:rPr>
              <w:t>’</w:t>
            </w:r>
            <w:r w:rsidRPr="00C31663">
              <w:rPr>
                <w:rFonts w:eastAsia="Times New Roman"/>
                <w:szCs w:val="22"/>
                <w:lang w:eastAsia="en-US"/>
              </w:rPr>
              <w:t>audiovisuel des pays concernés.</w:t>
            </w:r>
            <w:r w:rsidR="007B3815" w:rsidRPr="00C31663"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7052E5" w:rsidRPr="00C31663">
              <w:rPr>
                <w:rFonts w:eastAsia="Times New Roman"/>
                <w:szCs w:val="22"/>
                <w:lang w:eastAsia="en-US"/>
              </w:rPr>
              <w:t xml:space="preserve"> </w:t>
            </w:r>
            <w:r w:rsidRPr="00C31663">
              <w:rPr>
                <w:rFonts w:eastAsia="Times New Roman"/>
                <w:szCs w:val="22"/>
                <w:lang w:eastAsia="en-US"/>
              </w:rPr>
              <w:t>L</w:t>
            </w:r>
            <w:r w:rsidR="006E4D4B" w:rsidRPr="00C31663">
              <w:rPr>
                <w:rFonts w:eastAsia="Times New Roman"/>
                <w:szCs w:val="22"/>
                <w:lang w:eastAsia="en-US"/>
              </w:rPr>
              <w:t>’</w:t>
            </w:r>
            <w:r w:rsidRPr="00C31663">
              <w:rPr>
                <w:rFonts w:eastAsia="Times New Roman"/>
                <w:szCs w:val="22"/>
                <w:lang w:eastAsia="en-US"/>
              </w:rPr>
              <w:t>une des conclusions portait sur la nécessité de sensibiliser les parties prenantes du secteur audiovisuel à l</w:t>
            </w:r>
            <w:r w:rsidR="006E4D4B" w:rsidRPr="00C31663">
              <w:rPr>
                <w:rFonts w:eastAsia="Times New Roman"/>
                <w:szCs w:val="22"/>
                <w:lang w:eastAsia="en-US"/>
              </w:rPr>
              <w:t>’</w:t>
            </w:r>
            <w:r w:rsidRPr="00C31663">
              <w:rPr>
                <w:rFonts w:eastAsia="Times New Roman"/>
                <w:szCs w:val="22"/>
                <w:lang w:eastAsia="en-US"/>
              </w:rPr>
              <w:t>importance d</w:t>
            </w:r>
            <w:r w:rsidR="006E4D4B" w:rsidRPr="00C31663">
              <w:rPr>
                <w:rFonts w:eastAsia="Times New Roman"/>
                <w:szCs w:val="22"/>
                <w:lang w:eastAsia="en-US"/>
              </w:rPr>
              <w:t>’</w:t>
            </w:r>
            <w:r w:rsidRPr="00C31663">
              <w:rPr>
                <w:rFonts w:eastAsia="Times New Roman"/>
                <w:szCs w:val="22"/>
                <w:lang w:eastAsia="en-US"/>
              </w:rPr>
              <w:t>améliorer la collecte de données économiques et juridiques.</w:t>
            </w:r>
            <w:r w:rsidR="007B3815" w:rsidRPr="00C31663">
              <w:t xml:space="preserve">  </w:t>
            </w:r>
            <w:r w:rsidRPr="00C31663">
              <w:rPr>
                <w:rFonts w:eastAsia="Times New Roman"/>
                <w:szCs w:val="22"/>
                <w:lang w:eastAsia="en-US"/>
              </w:rPr>
              <w:t>Des mesures ont été définies à cet égard.</w:t>
            </w:r>
          </w:p>
          <w:p w:rsidR="006E4D4B" w:rsidRPr="00C31663" w:rsidRDefault="006E4D4B" w:rsidP="00F90CB2">
            <w:pPr>
              <w:rPr>
                <w:rFonts w:eastAsia="Times New Roman"/>
                <w:szCs w:val="22"/>
                <w:lang w:eastAsia="en-US"/>
              </w:rPr>
            </w:pPr>
          </w:p>
          <w:p w:rsidR="009E5CE8" w:rsidRPr="007052E5" w:rsidRDefault="00103AF7" w:rsidP="00F90CB2">
            <w:pPr>
              <w:rPr>
                <w:rFonts w:eastAsia="Times New Roman"/>
                <w:szCs w:val="22"/>
                <w:shd w:val="clear" w:color="auto" w:fill="FAFAFA"/>
                <w:lang w:eastAsia="en-US"/>
              </w:rPr>
            </w:pPr>
            <w:r w:rsidRPr="00C31663">
              <w:rPr>
                <w:rFonts w:eastAsia="Times New Roman"/>
                <w:szCs w:val="22"/>
                <w:lang w:eastAsia="en-US"/>
              </w:rPr>
              <w:t>On sait peu de choses sur la taille ou la nature du marché de l</w:t>
            </w:r>
            <w:r w:rsidR="006E4D4B" w:rsidRPr="00C31663">
              <w:rPr>
                <w:rFonts w:eastAsia="Times New Roman"/>
                <w:szCs w:val="22"/>
                <w:lang w:eastAsia="en-US"/>
              </w:rPr>
              <w:t>’</w:t>
            </w:r>
            <w:r w:rsidRPr="00C31663">
              <w:rPr>
                <w:rFonts w:eastAsia="Times New Roman"/>
                <w:szCs w:val="22"/>
                <w:lang w:eastAsia="en-US"/>
              </w:rPr>
              <w:t>audiovisuel d</w:t>
            </w:r>
            <w:r w:rsidR="006E4D4B" w:rsidRPr="00C31663">
              <w:rPr>
                <w:rFonts w:eastAsia="Times New Roman"/>
                <w:szCs w:val="22"/>
                <w:lang w:eastAsia="en-US"/>
              </w:rPr>
              <w:t>’</w:t>
            </w:r>
            <w:r w:rsidRPr="00C31663">
              <w:rPr>
                <w:rFonts w:eastAsia="Times New Roman"/>
                <w:szCs w:val="22"/>
                <w:lang w:eastAsia="en-US"/>
              </w:rPr>
              <w:t>un grand nombre de pays en développement.</w:t>
            </w:r>
            <w:r w:rsidR="007B3815" w:rsidRPr="00C31663"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7052E5" w:rsidRPr="00C31663">
              <w:rPr>
                <w:rFonts w:eastAsia="Times New Roman"/>
                <w:szCs w:val="22"/>
                <w:lang w:eastAsia="en-US"/>
              </w:rPr>
              <w:t xml:space="preserve"> </w:t>
            </w:r>
            <w:r w:rsidRPr="00C31663">
              <w:rPr>
                <w:rFonts w:eastAsia="Times New Roman"/>
                <w:szCs w:val="22"/>
                <w:lang w:eastAsia="en-US"/>
              </w:rPr>
              <w:t>Cela, associé à la nature informelle du secteur et à la méconnaissance de la propriété intellectuelle, rend difficile</w:t>
            </w:r>
            <w:r w:rsidR="007052E5" w:rsidRPr="00C31663">
              <w:rPr>
                <w:rFonts w:eastAsia="Times New Roman"/>
                <w:szCs w:val="22"/>
                <w:lang w:eastAsia="en-US"/>
              </w:rPr>
              <w:t>s</w:t>
            </w:r>
            <w:r w:rsidRPr="00C31663">
              <w:rPr>
                <w:rFonts w:eastAsia="Times New Roman"/>
                <w:szCs w:val="22"/>
                <w:lang w:eastAsia="en-US"/>
              </w:rPr>
              <w:t xml:space="preserve"> le recensement et la gestion efficace des actifs de propriété intellectuelle en vue de tirer parti du potentiel économique du secteur.</w:t>
            </w:r>
            <w:r w:rsidR="007052E5" w:rsidRPr="00C31663">
              <w:rPr>
                <w:rFonts w:eastAsia="Times New Roman"/>
                <w:szCs w:val="22"/>
                <w:lang w:eastAsia="en-US"/>
              </w:rPr>
              <w:t xml:space="preserve">  </w:t>
            </w:r>
            <w:r w:rsidRPr="00C31663">
              <w:rPr>
                <w:rFonts w:eastAsia="Times New Roman"/>
                <w:szCs w:val="22"/>
                <w:lang w:eastAsia="en-US"/>
              </w:rPr>
              <w:t xml:space="preserve">Les professionnels ont souligné que des données économiques transparentes et fiables pouvaient favoriser </w:t>
            </w:r>
            <w:r w:rsidR="007052E5" w:rsidRPr="00C31663">
              <w:rPr>
                <w:rFonts w:eastAsia="Times New Roman"/>
                <w:szCs w:val="22"/>
                <w:lang w:eastAsia="en-US"/>
              </w:rPr>
              <w:t>la prise</w:t>
            </w:r>
            <w:r w:rsidRPr="00C31663">
              <w:rPr>
                <w:rFonts w:eastAsia="Times New Roman"/>
                <w:szCs w:val="22"/>
                <w:lang w:eastAsia="en-US"/>
              </w:rPr>
              <w:t xml:space="preserve"> de décisions politiques transparentes et efficaces dans le secteur de l</w:t>
            </w:r>
            <w:r w:rsidR="006E4D4B" w:rsidRPr="00C31663">
              <w:rPr>
                <w:rFonts w:eastAsia="Times New Roman"/>
                <w:szCs w:val="22"/>
                <w:lang w:eastAsia="en-US"/>
              </w:rPr>
              <w:t>’</w:t>
            </w:r>
            <w:r w:rsidRPr="00C31663">
              <w:rPr>
                <w:rFonts w:eastAsia="Times New Roman"/>
                <w:szCs w:val="22"/>
                <w:lang w:eastAsia="en-US"/>
              </w:rPr>
              <w:t>audiovisuel.</w:t>
            </w:r>
          </w:p>
          <w:p w:rsidR="009E5CE8" w:rsidRPr="007052E5" w:rsidRDefault="009E5CE8" w:rsidP="00F90CB2">
            <w:pPr>
              <w:rPr>
                <w:rFonts w:eastAsia="Times New Roman"/>
                <w:szCs w:val="22"/>
                <w:shd w:val="clear" w:color="auto" w:fill="FAFAFA"/>
                <w:lang w:eastAsia="en-US"/>
              </w:rPr>
            </w:pPr>
          </w:p>
          <w:p w:rsidR="009E5CE8" w:rsidRDefault="007052E5" w:rsidP="00F90CB2">
            <w:pPr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La présente proposition vise à</w:t>
            </w:r>
            <w:r w:rsidR="00103AF7" w:rsidRPr="007052E5">
              <w:rPr>
                <w:rFonts w:eastAsia="Times New Roman"/>
                <w:szCs w:val="22"/>
                <w:lang w:eastAsia="en-US"/>
              </w:rPr>
              <w:t xml:space="preserve"> diffuser les résultats du projet associé à l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="00103AF7" w:rsidRPr="007052E5">
              <w:rPr>
                <w:rFonts w:eastAsia="Times New Roman"/>
                <w:szCs w:val="22"/>
                <w:lang w:eastAsia="en-US"/>
              </w:rPr>
              <w:t>étude susmentionnée grâce à l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="00103AF7" w:rsidRPr="007052E5">
              <w:rPr>
                <w:rFonts w:eastAsia="Times New Roman"/>
                <w:szCs w:val="22"/>
                <w:lang w:eastAsia="en-US"/>
              </w:rPr>
              <w:t>organisation des deux</w:t>
            </w:r>
            <w:r w:rsidR="00251966">
              <w:rPr>
                <w:rFonts w:eastAsia="Times New Roman"/>
                <w:szCs w:val="22"/>
                <w:lang w:eastAsia="en-US"/>
              </w:rPr>
              <w:t> </w:t>
            </w:r>
            <w:r w:rsidR="00103AF7" w:rsidRPr="007052E5">
              <w:rPr>
                <w:rFonts w:eastAsia="Times New Roman"/>
                <w:szCs w:val="22"/>
                <w:lang w:eastAsia="en-US"/>
              </w:rPr>
              <w:t>grandes activités de projet suivantes</w:t>
            </w:r>
            <w:r w:rsidR="006E4D4B">
              <w:rPr>
                <w:rFonts w:eastAsia="Times New Roman"/>
                <w:szCs w:val="22"/>
                <w:lang w:eastAsia="en-US"/>
              </w:rPr>
              <w:t> :</w:t>
            </w:r>
          </w:p>
          <w:p w:rsidR="00F90CB2" w:rsidRPr="007052E5" w:rsidRDefault="00F90CB2" w:rsidP="00F90CB2">
            <w:pPr>
              <w:rPr>
                <w:rFonts w:eastAsia="Times New Roman"/>
                <w:szCs w:val="22"/>
                <w:lang w:eastAsia="en-US"/>
              </w:rPr>
            </w:pPr>
          </w:p>
          <w:p w:rsidR="009E5CE8" w:rsidRPr="007052E5" w:rsidRDefault="00103AF7" w:rsidP="00F90CB2">
            <w:pPr>
              <w:numPr>
                <w:ilvl w:val="0"/>
                <w:numId w:val="11"/>
              </w:numPr>
              <w:ind w:left="1134" w:hanging="567"/>
              <w:rPr>
                <w:rFonts w:eastAsia="Times New Roman"/>
                <w:szCs w:val="22"/>
                <w:lang w:eastAsia="en-US"/>
              </w:rPr>
            </w:pPr>
            <w:r w:rsidRPr="007052E5">
              <w:rPr>
                <w:rFonts w:eastAsia="Times New Roman"/>
                <w:szCs w:val="22"/>
                <w:lang w:eastAsia="en-US"/>
              </w:rPr>
              <w:t xml:space="preserve">Atelier </w:t>
            </w:r>
            <w:proofErr w:type="spellStart"/>
            <w:r w:rsidRPr="007052E5">
              <w:rPr>
                <w:rFonts w:eastAsia="Times New Roman"/>
                <w:szCs w:val="22"/>
                <w:lang w:eastAsia="en-US"/>
              </w:rPr>
              <w:t>sous</w:t>
            </w:r>
            <w:r w:rsidR="006E4D4B">
              <w:rPr>
                <w:rFonts w:eastAsia="Times New Roman"/>
                <w:szCs w:val="22"/>
                <w:lang w:eastAsia="en-US"/>
              </w:rPr>
              <w:t>-</w:t>
            </w:r>
            <w:r w:rsidRPr="007052E5">
              <w:rPr>
                <w:rFonts w:eastAsia="Times New Roman"/>
                <w:szCs w:val="22"/>
                <w:lang w:eastAsia="en-US"/>
              </w:rPr>
              <w:t>régional</w:t>
            </w:r>
            <w:proofErr w:type="spellEnd"/>
            <w:r w:rsidRPr="007052E5"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6A2E54">
              <w:rPr>
                <w:rFonts w:eastAsia="Times New Roman"/>
                <w:szCs w:val="22"/>
                <w:lang w:eastAsia="en-US"/>
              </w:rPr>
              <w:t>visant à</w:t>
            </w:r>
            <w:r w:rsidRPr="007052E5">
              <w:rPr>
                <w:rFonts w:eastAsia="Times New Roman"/>
                <w:szCs w:val="22"/>
                <w:lang w:eastAsia="en-US"/>
              </w:rPr>
              <w:t xml:space="preserve"> diffuser les conclusions de l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7052E5">
              <w:rPr>
                <w:rFonts w:eastAsia="Times New Roman"/>
                <w:szCs w:val="22"/>
                <w:lang w:eastAsia="en-US"/>
              </w:rPr>
              <w:t>étude;</w:t>
            </w:r>
          </w:p>
          <w:p w:rsidR="009E5CE8" w:rsidRPr="007052E5" w:rsidRDefault="00103AF7" w:rsidP="00F90CB2">
            <w:pPr>
              <w:numPr>
                <w:ilvl w:val="0"/>
                <w:numId w:val="11"/>
              </w:numPr>
              <w:ind w:left="1134" w:hanging="567"/>
              <w:rPr>
                <w:rFonts w:eastAsia="Times New Roman"/>
                <w:szCs w:val="22"/>
                <w:lang w:eastAsia="en-US"/>
              </w:rPr>
            </w:pPr>
            <w:r w:rsidRPr="007052E5">
              <w:rPr>
                <w:rFonts w:eastAsia="Times New Roman"/>
                <w:szCs w:val="22"/>
                <w:lang w:eastAsia="en-US"/>
              </w:rPr>
              <w:t>Élaboration d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7052E5">
              <w:rPr>
                <w:rFonts w:eastAsia="Times New Roman"/>
                <w:szCs w:val="22"/>
                <w:lang w:eastAsia="en-US"/>
              </w:rPr>
              <w:t>un résumé à la suite de l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7052E5">
              <w:rPr>
                <w:rFonts w:eastAsia="Times New Roman"/>
                <w:szCs w:val="22"/>
                <w:lang w:eastAsia="en-US"/>
              </w:rPr>
              <w:t>atelier, décrivant les expériences dans ce domaine et quelques options possibles pour les pays bénéficiaires.</w:t>
            </w:r>
          </w:p>
          <w:p w:rsidR="009E5CE8" w:rsidRPr="007052E5" w:rsidRDefault="009E5CE8" w:rsidP="00F90CB2">
            <w:pPr>
              <w:rPr>
                <w:rFonts w:eastAsia="Times New Roman"/>
                <w:szCs w:val="22"/>
                <w:lang w:eastAsia="en-US"/>
              </w:rPr>
            </w:pPr>
          </w:p>
          <w:p w:rsidR="009E5CE8" w:rsidRPr="007052E5" w:rsidRDefault="00103AF7" w:rsidP="00F90CB2">
            <w:pPr>
              <w:rPr>
                <w:rFonts w:eastAsia="Times New Roman"/>
                <w:szCs w:val="22"/>
                <w:lang w:eastAsia="en-US"/>
              </w:rPr>
            </w:pPr>
            <w:r w:rsidRPr="007052E5">
              <w:rPr>
                <w:rFonts w:eastAsia="Times New Roman"/>
                <w:szCs w:val="22"/>
                <w:lang w:eastAsia="en-US"/>
              </w:rPr>
              <w:t>Les principaux objectifs de ces activités sont les suivants</w:t>
            </w:r>
            <w:r w:rsidR="006E4D4B">
              <w:rPr>
                <w:rFonts w:eastAsia="Times New Roman"/>
                <w:szCs w:val="22"/>
                <w:lang w:eastAsia="en-US"/>
              </w:rPr>
              <w:t> :</w:t>
            </w:r>
          </w:p>
          <w:p w:rsidR="009E5CE8" w:rsidRPr="007052E5" w:rsidRDefault="009E5CE8" w:rsidP="00F90CB2">
            <w:pPr>
              <w:rPr>
                <w:rFonts w:eastAsia="Times New Roman"/>
                <w:szCs w:val="22"/>
                <w:lang w:eastAsia="en-US"/>
              </w:rPr>
            </w:pPr>
          </w:p>
          <w:p w:rsidR="009E5CE8" w:rsidRPr="007052E5" w:rsidRDefault="00103AF7" w:rsidP="00F90CB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34" w:hanging="567"/>
              <w:contextualSpacing/>
              <w:jc w:val="both"/>
              <w:rPr>
                <w:rFonts w:eastAsia="Times New Roman"/>
                <w:szCs w:val="22"/>
                <w:lang w:eastAsia="en-US"/>
              </w:rPr>
            </w:pPr>
            <w:r w:rsidRPr="007052E5">
              <w:rPr>
                <w:rFonts w:eastAsia="Times New Roman"/>
                <w:szCs w:val="22"/>
                <w:lang w:eastAsia="en-US"/>
              </w:rPr>
              <w:t>Présenter les principales conclusions de l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7052E5">
              <w:rPr>
                <w:rFonts w:eastAsia="Times New Roman"/>
                <w:szCs w:val="22"/>
                <w:lang w:eastAsia="en-US"/>
              </w:rPr>
              <w:t>étude.</w:t>
            </w:r>
          </w:p>
          <w:p w:rsidR="009E5CE8" w:rsidRPr="007052E5" w:rsidRDefault="00103AF7" w:rsidP="00F90CB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34" w:hanging="567"/>
              <w:contextualSpacing/>
              <w:jc w:val="both"/>
              <w:rPr>
                <w:rFonts w:eastAsia="Times New Roman"/>
                <w:szCs w:val="22"/>
                <w:lang w:eastAsia="en-US"/>
              </w:rPr>
            </w:pPr>
            <w:r w:rsidRPr="007052E5">
              <w:rPr>
                <w:rFonts w:eastAsia="Times New Roman"/>
                <w:szCs w:val="22"/>
                <w:lang w:eastAsia="en-US"/>
              </w:rPr>
              <w:t>Sensibiliser davantage les décideurs et les professionnels à l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7052E5">
              <w:rPr>
                <w:rFonts w:eastAsia="Times New Roman"/>
                <w:szCs w:val="22"/>
                <w:lang w:eastAsia="en-US"/>
              </w:rPr>
              <w:t>importance des données économiques et juridiques dans le secteur de l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7052E5">
              <w:rPr>
                <w:rFonts w:eastAsia="Times New Roman"/>
                <w:szCs w:val="22"/>
                <w:lang w:eastAsia="en-US"/>
              </w:rPr>
              <w:t>audiovisuel.</w:t>
            </w:r>
          </w:p>
          <w:p w:rsidR="009E5CE8" w:rsidRPr="007052E5" w:rsidRDefault="00103AF7" w:rsidP="00F90CB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34" w:hanging="567"/>
              <w:contextualSpacing/>
              <w:jc w:val="both"/>
              <w:rPr>
                <w:rFonts w:eastAsia="Times New Roman"/>
                <w:szCs w:val="22"/>
                <w:lang w:eastAsia="en-US"/>
              </w:rPr>
            </w:pPr>
            <w:r w:rsidRPr="007052E5">
              <w:rPr>
                <w:rFonts w:eastAsia="Times New Roman"/>
                <w:szCs w:val="22"/>
                <w:lang w:eastAsia="en-US"/>
              </w:rPr>
              <w:t>Donner des exemples de réussite concernant des stratégies, outils et pratiques recommandées aux niveaux national et régional pour la collecte de données économiques et juridiques dans le secteur de l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7052E5">
              <w:rPr>
                <w:rFonts w:eastAsia="Times New Roman"/>
                <w:szCs w:val="22"/>
                <w:lang w:eastAsia="en-US"/>
              </w:rPr>
              <w:t>audiovisuel.</w:t>
            </w:r>
          </w:p>
          <w:p w:rsidR="00F962F4" w:rsidRPr="007052E5" w:rsidRDefault="00103AF7" w:rsidP="00F90CB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34" w:hanging="567"/>
              <w:contextualSpacing/>
              <w:jc w:val="both"/>
            </w:pPr>
            <w:r w:rsidRPr="007052E5">
              <w:rPr>
                <w:rFonts w:eastAsia="Times New Roman"/>
                <w:szCs w:val="22"/>
                <w:lang w:eastAsia="en-US"/>
              </w:rPr>
              <w:t>Définir des options qui pourraient être suivies par les pays bénéficiaires pour accroître la transparence des données économiques et juridiques.</w:t>
            </w:r>
          </w:p>
        </w:tc>
      </w:tr>
      <w:tr w:rsidR="00F962F4" w:rsidRPr="0024343A" w:rsidTr="00F90CB2">
        <w:tc>
          <w:tcPr>
            <w:tcW w:w="2155" w:type="dxa"/>
          </w:tcPr>
          <w:p w:rsidR="00A61C8A" w:rsidRPr="00F90CB2" w:rsidRDefault="00F90CB2" w:rsidP="00F90CB2">
            <w:pPr>
              <w:rPr>
                <w:i/>
              </w:rPr>
            </w:pPr>
            <w:r w:rsidRPr="00F90CB2">
              <w:rPr>
                <w:i/>
              </w:rPr>
              <w:lastRenderedPageBreak/>
              <w:t>Activités du projet</w:t>
            </w:r>
          </w:p>
        </w:tc>
        <w:tc>
          <w:tcPr>
            <w:tcW w:w="7190" w:type="dxa"/>
          </w:tcPr>
          <w:p w:rsidR="006E4D4B" w:rsidRDefault="00D44D63" w:rsidP="00F90CB2">
            <w:pPr>
              <w:jc w:val="both"/>
              <w:rPr>
                <w:b/>
                <w:szCs w:val="22"/>
              </w:rPr>
            </w:pPr>
            <w:r w:rsidRPr="00FE2F3B">
              <w:rPr>
                <w:b/>
                <w:szCs w:val="22"/>
              </w:rPr>
              <w:t>Activité de projet n</w:t>
            </w:r>
            <w:r w:rsidR="007052E5" w:rsidRPr="00FE2F3B">
              <w:rPr>
                <w:b/>
                <w:szCs w:val="22"/>
              </w:rPr>
              <w:t>° </w:t>
            </w:r>
            <w:r w:rsidRPr="00FE2F3B">
              <w:rPr>
                <w:b/>
                <w:szCs w:val="22"/>
              </w:rPr>
              <w:t>1</w:t>
            </w:r>
            <w:r w:rsidR="006E4D4B">
              <w:rPr>
                <w:b/>
                <w:szCs w:val="22"/>
              </w:rPr>
              <w:t> :</w:t>
            </w:r>
          </w:p>
          <w:p w:rsidR="009E5CE8" w:rsidRPr="00FE2F3B" w:rsidRDefault="009E5CE8" w:rsidP="00F90CB2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Cs w:val="22"/>
              </w:rPr>
            </w:pPr>
          </w:p>
          <w:p w:rsidR="006E4D4B" w:rsidRDefault="00D44D63" w:rsidP="00F90CB2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Cs w:val="22"/>
              </w:rPr>
            </w:pPr>
            <w:r w:rsidRPr="00FE2F3B">
              <w:rPr>
                <w:b/>
                <w:szCs w:val="22"/>
              </w:rPr>
              <w:t xml:space="preserve">Séminaire </w:t>
            </w:r>
            <w:proofErr w:type="spellStart"/>
            <w:r w:rsidRPr="00FE2F3B">
              <w:rPr>
                <w:b/>
                <w:szCs w:val="22"/>
              </w:rPr>
              <w:t>sous</w:t>
            </w:r>
            <w:r w:rsidR="006E4D4B">
              <w:rPr>
                <w:b/>
                <w:szCs w:val="22"/>
              </w:rPr>
              <w:t>-</w:t>
            </w:r>
            <w:r w:rsidRPr="00FE2F3B">
              <w:rPr>
                <w:b/>
                <w:szCs w:val="22"/>
              </w:rPr>
              <w:t>régional</w:t>
            </w:r>
            <w:proofErr w:type="spellEnd"/>
          </w:p>
          <w:p w:rsidR="009E5CE8" w:rsidRPr="00FE2F3B" w:rsidRDefault="009E5CE8" w:rsidP="00F90CB2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zCs w:val="22"/>
              </w:rPr>
            </w:pPr>
          </w:p>
          <w:p w:rsidR="009E5CE8" w:rsidRPr="00FE2F3B" w:rsidRDefault="00D44D63" w:rsidP="00F90CB2">
            <w:pPr>
              <w:autoSpaceDE w:val="0"/>
              <w:autoSpaceDN w:val="0"/>
              <w:adjustRightInd w:val="0"/>
              <w:contextualSpacing/>
              <w:jc w:val="both"/>
              <w:rPr>
                <w:szCs w:val="22"/>
              </w:rPr>
            </w:pPr>
            <w:r w:rsidRPr="00FE2F3B">
              <w:rPr>
                <w:szCs w:val="22"/>
              </w:rPr>
              <w:t>Le séminaire traitera des avantages commerciaux, financiers et économiques qui peuvent découler d</w:t>
            </w:r>
            <w:r w:rsidR="006E4D4B">
              <w:rPr>
                <w:szCs w:val="22"/>
              </w:rPr>
              <w:t>’</w:t>
            </w:r>
            <w:r w:rsidRPr="00FE2F3B">
              <w:rPr>
                <w:szCs w:val="22"/>
              </w:rPr>
              <w:t>une collecte rigoureuse des données pour toutes les parties concernées.</w:t>
            </w:r>
          </w:p>
          <w:p w:rsidR="009E5CE8" w:rsidRPr="00FE2F3B" w:rsidRDefault="009E5CE8" w:rsidP="00F90CB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/>
                <w:szCs w:val="22"/>
                <w:lang w:eastAsia="en-US"/>
              </w:rPr>
            </w:pPr>
          </w:p>
          <w:p w:rsidR="009E5CE8" w:rsidRPr="00FE2F3B" w:rsidRDefault="00D44D63" w:rsidP="00F90CB2">
            <w:pPr>
              <w:rPr>
                <w:szCs w:val="22"/>
              </w:rPr>
            </w:pPr>
            <w:r w:rsidRPr="00FE2F3B">
              <w:rPr>
                <w:szCs w:val="22"/>
              </w:rPr>
              <w:t>Le séminaire réunira, sur une durée de trois</w:t>
            </w:r>
            <w:r w:rsidR="00251966">
              <w:rPr>
                <w:szCs w:val="22"/>
              </w:rPr>
              <w:t> </w:t>
            </w:r>
            <w:r w:rsidRPr="00FE2F3B">
              <w:rPr>
                <w:szCs w:val="22"/>
              </w:rPr>
              <w:t>jours, des représentants des institutions nationales chargées du financement, de la réglementation et de la gestion de la production et de la distribution dans le secteur de l</w:t>
            </w:r>
            <w:r w:rsidR="006E4D4B">
              <w:rPr>
                <w:szCs w:val="22"/>
              </w:rPr>
              <w:t>’</w:t>
            </w:r>
            <w:r w:rsidRPr="00FE2F3B">
              <w:rPr>
                <w:szCs w:val="22"/>
              </w:rPr>
              <w:t>audiovisuel ainsi que des organismes de radiodiffusion, des bureaux du droit d</w:t>
            </w:r>
            <w:r w:rsidR="006E4D4B">
              <w:rPr>
                <w:szCs w:val="22"/>
              </w:rPr>
              <w:t>’</w:t>
            </w:r>
            <w:r w:rsidRPr="00FE2F3B">
              <w:rPr>
                <w:szCs w:val="22"/>
              </w:rPr>
              <w:t>auteur et des organisations de gestion collective.</w:t>
            </w:r>
          </w:p>
          <w:p w:rsidR="009E5CE8" w:rsidRPr="00FE2F3B" w:rsidRDefault="009E5CE8" w:rsidP="00F90CB2">
            <w:pPr>
              <w:jc w:val="both"/>
              <w:rPr>
                <w:szCs w:val="22"/>
              </w:rPr>
            </w:pPr>
          </w:p>
          <w:p w:rsidR="009E5CE8" w:rsidRPr="00FE2F3B" w:rsidRDefault="006A2E54" w:rsidP="00F90CB2">
            <w:pPr>
              <w:jc w:val="both"/>
              <w:rPr>
                <w:szCs w:val="22"/>
              </w:rPr>
            </w:pPr>
            <w:r w:rsidRPr="00FE2F3B">
              <w:rPr>
                <w:szCs w:val="22"/>
              </w:rPr>
              <w:t xml:space="preserve">Il </w:t>
            </w:r>
            <w:r w:rsidR="00FE2F3B" w:rsidRPr="00FE2F3B">
              <w:rPr>
                <w:szCs w:val="22"/>
              </w:rPr>
              <w:t>pourra</w:t>
            </w:r>
            <w:r w:rsidRPr="00FE2F3B">
              <w:rPr>
                <w:szCs w:val="22"/>
              </w:rPr>
              <w:t xml:space="preserve"> également</w:t>
            </w:r>
            <w:r w:rsidR="00D44D63" w:rsidRPr="00FE2F3B">
              <w:rPr>
                <w:szCs w:val="22"/>
              </w:rPr>
              <w:t xml:space="preserve"> </w:t>
            </w:r>
            <w:r w:rsidR="00FE2F3B" w:rsidRPr="00FE2F3B">
              <w:rPr>
                <w:szCs w:val="22"/>
              </w:rPr>
              <w:t xml:space="preserve">compter sur </w:t>
            </w:r>
            <w:r w:rsidR="00D44D63" w:rsidRPr="00FE2F3B">
              <w:rPr>
                <w:szCs w:val="22"/>
              </w:rPr>
              <w:t xml:space="preserve">des partenaires institutionnels </w:t>
            </w:r>
            <w:proofErr w:type="spellStart"/>
            <w:r w:rsidR="00D44D63" w:rsidRPr="00FE2F3B">
              <w:rPr>
                <w:szCs w:val="22"/>
              </w:rPr>
              <w:t>sous</w:t>
            </w:r>
            <w:r w:rsidR="006E4D4B">
              <w:rPr>
                <w:szCs w:val="22"/>
              </w:rPr>
              <w:t>-</w:t>
            </w:r>
            <w:r w:rsidR="00D44D63" w:rsidRPr="00FE2F3B">
              <w:rPr>
                <w:szCs w:val="22"/>
              </w:rPr>
              <w:t>régionaux</w:t>
            </w:r>
            <w:proofErr w:type="spellEnd"/>
            <w:r w:rsidR="00D44D63" w:rsidRPr="00FE2F3B">
              <w:rPr>
                <w:szCs w:val="22"/>
              </w:rPr>
              <w:t xml:space="preserve"> tels que la Commission de l</w:t>
            </w:r>
            <w:r w:rsidR="006E4D4B">
              <w:rPr>
                <w:szCs w:val="22"/>
              </w:rPr>
              <w:t>’</w:t>
            </w:r>
            <w:r w:rsidR="00D44D63" w:rsidRPr="00FE2F3B">
              <w:rPr>
                <w:szCs w:val="22"/>
              </w:rPr>
              <w:t>Union économique et monétaire ouest</w:t>
            </w:r>
            <w:r w:rsidR="006E4D4B">
              <w:rPr>
                <w:szCs w:val="22"/>
              </w:rPr>
              <w:t>-</w:t>
            </w:r>
            <w:r w:rsidR="00D44D63" w:rsidRPr="00FE2F3B">
              <w:rPr>
                <w:szCs w:val="22"/>
              </w:rPr>
              <w:t>africaine (UEMOA) et la CEDEAO.</w:t>
            </w:r>
          </w:p>
          <w:p w:rsidR="009E5CE8" w:rsidRPr="00FE2F3B" w:rsidRDefault="009E5CE8" w:rsidP="00F90CB2">
            <w:pPr>
              <w:jc w:val="both"/>
              <w:rPr>
                <w:szCs w:val="22"/>
              </w:rPr>
            </w:pPr>
          </w:p>
          <w:p w:rsidR="006E4D4B" w:rsidRDefault="00D44D63" w:rsidP="00F90CB2">
            <w:pPr>
              <w:rPr>
                <w:szCs w:val="22"/>
              </w:rPr>
            </w:pPr>
            <w:r w:rsidRPr="00FE2F3B">
              <w:rPr>
                <w:szCs w:val="22"/>
              </w:rPr>
              <w:t>Les deux</w:t>
            </w:r>
            <w:r w:rsidR="00251966">
              <w:rPr>
                <w:szCs w:val="22"/>
              </w:rPr>
              <w:t> </w:t>
            </w:r>
            <w:r w:rsidRPr="00FE2F3B">
              <w:rPr>
                <w:szCs w:val="22"/>
              </w:rPr>
              <w:t>chercheurs ayant mené l</w:t>
            </w:r>
            <w:r w:rsidR="006E4D4B">
              <w:rPr>
                <w:szCs w:val="22"/>
              </w:rPr>
              <w:t>’</w:t>
            </w:r>
            <w:r w:rsidRPr="00FE2F3B">
              <w:rPr>
                <w:szCs w:val="22"/>
              </w:rPr>
              <w:t>étude ainsi que deux</w:t>
            </w:r>
            <w:r w:rsidR="00251966">
              <w:rPr>
                <w:szCs w:val="22"/>
              </w:rPr>
              <w:t> </w:t>
            </w:r>
            <w:r w:rsidRPr="00FE2F3B">
              <w:rPr>
                <w:szCs w:val="22"/>
              </w:rPr>
              <w:t xml:space="preserve">autres experts </w:t>
            </w:r>
            <w:r w:rsidR="00FE2F3B" w:rsidRPr="00FE2F3B">
              <w:rPr>
                <w:szCs w:val="22"/>
              </w:rPr>
              <w:t xml:space="preserve">apporteront leur contribution </w:t>
            </w:r>
            <w:r w:rsidRPr="00FE2F3B">
              <w:rPr>
                <w:szCs w:val="22"/>
              </w:rPr>
              <w:t>en tant que conférenciers.</w:t>
            </w:r>
            <w:r w:rsidR="00A61C8A" w:rsidRPr="00FE2F3B">
              <w:rPr>
                <w:szCs w:val="22"/>
              </w:rPr>
              <w:t xml:space="preserve">  </w:t>
            </w:r>
            <w:r w:rsidRPr="00FE2F3B">
              <w:rPr>
                <w:szCs w:val="22"/>
              </w:rPr>
              <w:t xml:space="preserve">Le séminaire comprendra </w:t>
            </w:r>
            <w:r w:rsidR="00FE2F3B" w:rsidRPr="00FE2F3B">
              <w:rPr>
                <w:szCs w:val="22"/>
              </w:rPr>
              <w:t>en outre</w:t>
            </w:r>
            <w:r w:rsidRPr="00FE2F3B">
              <w:rPr>
                <w:szCs w:val="22"/>
              </w:rPr>
              <w:t xml:space="preserve"> des représentants d</w:t>
            </w:r>
            <w:r w:rsidR="006E4D4B">
              <w:rPr>
                <w:szCs w:val="22"/>
              </w:rPr>
              <w:t>’</w:t>
            </w:r>
            <w:r w:rsidRPr="00FE2F3B">
              <w:rPr>
                <w:szCs w:val="22"/>
              </w:rPr>
              <w:t>associations professionnelles européennes du droit d</w:t>
            </w:r>
            <w:r w:rsidR="006E4D4B">
              <w:rPr>
                <w:szCs w:val="22"/>
              </w:rPr>
              <w:t>’</w:t>
            </w:r>
            <w:r w:rsidRPr="00FE2F3B">
              <w:rPr>
                <w:szCs w:val="22"/>
              </w:rPr>
              <w:t>auteur (par exemple, la Société des auteurs audiovisuels (SAA), l</w:t>
            </w:r>
            <w:r w:rsidR="006E4D4B">
              <w:rPr>
                <w:szCs w:val="22"/>
              </w:rPr>
              <w:t>’</w:t>
            </w:r>
            <w:r w:rsidRPr="00FE2F3B">
              <w:rPr>
                <w:szCs w:val="22"/>
              </w:rPr>
              <w:t>Observatoire européen de l</w:t>
            </w:r>
            <w:r w:rsidR="006E4D4B">
              <w:rPr>
                <w:szCs w:val="22"/>
              </w:rPr>
              <w:t>’</w:t>
            </w:r>
            <w:r w:rsidRPr="00FE2F3B">
              <w:rPr>
                <w:szCs w:val="22"/>
              </w:rPr>
              <w:t>audiovisuel, et des représentants de la Commission africaine de l</w:t>
            </w:r>
            <w:r w:rsidR="006E4D4B">
              <w:rPr>
                <w:szCs w:val="22"/>
              </w:rPr>
              <w:t>’</w:t>
            </w:r>
            <w:r w:rsidRPr="00FE2F3B">
              <w:rPr>
                <w:szCs w:val="22"/>
              </w:rPr>
              <w:t>audiovisuel et du cinéma de l</w:t>
            </w:r>
            <w:r w:rsidR="006E4D4B">
              <w:rPr>
                <w:szCs w:val="22"/>
              </w:rPr>
              <w:t>’</w:t>
            </w:r>
            <w:r w:rsidRPr="00FE2F3B">
              <w:rPr>
                <w:szCs w:val="22"/>
              </w:rPr>
              <w:t>Union africaine).</w:t>
            </w:r>
          </w:p>
          <w:p w:rsidR="009E5CE8" w:rsidRPr="00FE2F3B" w:rsidRDefault="009E5CE8" w:rsidP="00F90CB2">
            <w:pPr>
              <w:rPr>
                <w:szCs w:val="22"/>
              </w:rPr>
            </w:pPr>
          </w:p>
          <w:p w:rsidR="009E5CE8" w:rsidRPr="00FE2F3B" w:rsidRDefault="00D44D63" w:rsidP="00F90CB2">
            <w:pPr>
              <w:rPr>
                <w:szCs w:val="22"/>
              </w:rPr>
            </w:pPr>
            <w:r w:rsidRPr="00FE2F3B">
              <w:rPr>
                <w:szCs w:val="22"/>
              </w:rPr>
              <w:t>Les participants comprendront au moins cinq</w:t>
            </w:r>
            <w:r w:rsidR="00251966">
              <w:rPr>
                <w:szCs w:val="22"/>
              </w:rPr>
              <w:t> </w:t>
            </w:r>
            <w:r w:rsidRPr="00FE2F3B">
              <w:rPr>
                <w:szCs w:val="22"/>
              </w:rPr>
              <w:t>représentants de chaque pays bénéficiaire représentant les catégories suivantes</w:t>
            </w:r>
            <w:r w:rsidR="006E4D4B">
              <w:rPr>
                <w:szCs w:val="22"/>
              </w:rPr>
              <w:t> :</w:t>
            </w:r>
          </w:p>
          <w:p w:rsidR="009E5CE8" w:rsidRPr="00FE2F3B" w:rsidRDefault="009E5CE8" w:rsidP="00F90CB2">
            <w:pPr>
              <w:rPr>
                <w:szCs w:val="22"/>
              </w:rPr>
            </w:pPr>
          </w:p>
          <w:p w:rsidR="009E5CE8" w:rsidRPr="00FE2F3B" w:rsidRDefault="00D44D63" w:rsidP="00F90CB2">
            <w:pPr>
              <w:numPr>
                <w:ilvl w:val="0"/>
                <w:numId w:val="10"/>
              </w:numPr>
              <w:ind w:left="1134" w:hanging="567"/>
              <w:rPr>
                <w:rFonts w:eastAsia="Times New Roman"/>
                <w:szCs w:val="22"/>
                <w:lang w:eastAsia="en-US"/>
              </w:rPr>
            </w:pPr>
            <w:proofErr w:type="gramStart"/>
            <w:r w:rsidRPr="00FE2F3B">
              <w:rPr>
                <w:rFonts w:eastAsia="Times New Roman"/>
                <w:szCs w:val="22"/>
                <w:lang w:eastAsia="en-US"/>
              </w:rPr>
              <w:t>un</w:t>
            </w:r>
            <w:proofErr w:type="gramEnd"/>
            <w:r w:rsidRPr="00FE2F3B">
              <w:rPr>
                <w:rFonts w:eastAsia="Times New Roman"/>
                <w:szCs w:val="22"/>
                <w:lang w:eastAsia="en-US"/>
              </w:rPr>
              <w:t xml:space="preserve"> représentant de l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FE2F3B">
              <w:rPr>
                <w:rFonts w:eastAsia="Times New Roman"/>
                <w:szCs w:val="22"/>
                <w:lang w:eastAsia="en-US"/>
              </w:rPr>
              <w:t>organisme national chargé du droit d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FE2F3B">
              <w:rPr>
                <w:rFonts w:eastAsia="Times New Roman"/>
                <w:szCs w:val="22"/>
                <w:lang w:eastAsia="en-US"/>
              </w:rPr>
              <w:t>auteur</w:t>
            </w:r>
          </w:p>
          <w:p w:rsidR="006E4D4B" w:rsidRDefault="00D44D63" w:rsidP="00F90CB2">
            <w:pPr>
              <w:numPr>
                <w:ilvl w:val="0"/>
                <w:numId w:val="10"/>
              </w:numPr>
              <w:ind w:left="1134" w:hanging="567"/>
              <w:rPr>
                <w:rFonts w:eastAsia="Times New Roman"/>
                <w:szCs w:val="22"/>
                <w:lang w:eastAsia="en-US"/>
              </w:rPr>
            </w:pPr>
            <w:proofErr w:type="gramStart"/>
            <w:r w:rsidRPr="00FE2F3B">
              <w:rPr>
                <w:rFonts w:eastAsia="Times New Roman"/>
                <w:szCs w:val="22"/>
                <w:lang w:eastAsia="en-US"/>
              </w:rPr>
              <w:t>un</w:t>
            </w:r>
            <w:proofErr w:type="gramEnd"/>
            <w:r w:rsidRPr="00FE2F3B">
              <w:rPr>
                <w:rFonts w:eastAsia="Times New Roman"/>
                <w:szCs w:val="22"/>
                <w:lang w:eastAsia="en-US"/>
              </w:rPr>
              <w:t xml:space="preserve"> représentant de l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FE2F3B">
              <w:rPr>
                <w:rFonts w:eastAsia="Times New Roman"/>
                <w:szCs w:val="22"/>
                <w:lang w:eastAsia="en-US"/>
              </w:rPr>
              <w:t>organisation de gestion collective</w:t>
            </w:r>
          </w:p>
          <w:p w:rsidR="009E5CE8" w:rsidRPr="00FE2F3B" w:rsidRDefault="00D44D63" w:rsidP="00F90CB2">
            <w:pPr>
              <w:numPr>
                <w:ilvl w:val="0"/>
                <w:numId w:val="10"/>
              </w:numPr>
              <w:ind w:left="1134" w:hanging="567"/>
              <w:rPr>
                <w:rFonts w:eastAsia="Times New Roman"/>
                <w:szCs w:val="22"/>
                <w:lang w:eastAsia="en-US"/>
              </w:rPr>
            </w:pPr>
            <w:proofErr w:type="gramStart"/>
            <w:r w:rsidRPr="00FE2F3B">
              <w:rPr>
                <w:rFonts w:eastAsia="Times New Roman"/>
                <w:szCs w:val="22"/>
                <w:lang w:eastAsia="en-US"/>
              </w:rPr>
              <w:t>un</w:t>
            </w:r>
            <w:proofErr w:type="gramEnd"/>
            <w:r w:rsidRPr="00FE2F3B">
              <w:rPr>
                <w:rFonts w:eastAsia="Times New Roman"/>
                <w:szCs w:val="22"/>
                <w:lang w:eastAsia="en-US"/>
              </w:rPr>
              <w:t xml:space="preserve"> représentant de la commission cinématographique</w:t>
            </w:r>
          </w:p>
          <w:p w:rsidR="009E5CE8" w:rsidRPr="00FE2F3B" w:rsidRDefault="00D44D63" w:rsidP="00F90CB2">
            <w:pPr>
              <w:numPr>
                <w:ilvl w:val="0"/>
                <w:numId w:val="10"/>
              </w:numPr>
              <w:ind w:left="1134" w:hanging="567"/>
              <w:rPr>
                <w:rFonts w:eastAsia="Times New Roman"/>
                <w:szCs w:val="22"/>
                <w:lang w:eastAsia="en-US"/>
              </w:rPr>
            </w:pPr>
            <w:proofErr w:type="gramStart"/>
            <w:r w:rsidRPr="00FE2F3B">
              <w:rPr>
                <w:rFonts w:eastAsia="Times New Roman"/>
                <w:szCs w:val="22"/>
                <w:lang w:eastAsia="en-US"/>
              </w:rPr>
              <w:t>un</w:t>
            </w:r>
            <w:proofErr w:type="gramEnd"/>
            <w:r w:rsidRPr="00FE2F3B">
              <w:rPr>
                <w:rFonts w:eastAsia="Times New Roman"/>
                <w:szCs w:val="22"/>
                <w:lang w:eastAsia="en-US"/>
              </w:rPr>
              <w:t xml:space="preserve"> représentant de l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FE2F3B">
              <w:rPr>
                <w:rFonts w:eastAsia="Times New Roman"/>
                <w:szCs w:val="22"/>
                <w:lang w:eastAsia="en-US"/>
              </w:rPr>
              <w:t>organisme national de réglementation des communications</w:t>
            </w:r>
          </w:p>
          <w:p w:rsidR="009E5CE8" w:rsidRPr="00FE2F3B" w:rsidRDefault="00D44D63" w:rsidP="00F90CB2">
            <w:pPr>
              <w:numPr>
                <w:ilvl w:val="0"/>
                <w:numId w:val="10"/>
              </w:numPr>
              <w:ind w:left="1134" w:hanging="567"/>
              <w:rPr>
                <w:rFonts w:eastAsia="Times New Roman"/>
                <w:szCs w:val="22"/>
                <w:lang w:eastAsia="en-US"/>
              </w:rPr>
            </w:pPr>
            <w:proofErr w:type="gramStart"/>
            <w:r w:rsidRPr="00FE2F3B">
              <w:rPr>
                <w:rFonts w:eastAsia="Times New Roman"/>
                <w:szCs w:val="22"/>
                <w:lang w:eastAsia="en-US"/>
              </w:rPr>
              <w:t>un</w:t>
            </w:r>
            <w:proofErr w:type="gramEnd"/>
            <w:r w:rsidRPr="00FE2F3B">
              <w:rPr>
                <w:rFonts w:eastAsia="Times New Roman"/>
                <w:szCs w:val="22"/>
                <w:lang w:eastAsia="en-US"/>
              </w:rPr>
              <w:t xml:space="preserve"> représentant de l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FE2F3B">
              <w:rPr>
                <w:rFonts w:eastAsia="Times New Roman"/>
                <w:szCs w:val="22"/>
                <w:lang w:eastAsia="en-US"/>
              </w:rPr>
              <w:t>association des producteurs de films.</w:t>
            </w:r>
          </w:p>
          <w:p w:rsidR="009E5CE8" w:rsidRPr="00FE2F3B" w:rsidRDefault="009E5CE8" w:rsidP="00F90CB2">
            <w:pPr>
              <w:contextualSpacing/>
              <w:jc w:val="both"/>
              <w:rPr>
                <w:szCs w:val="22"/>
              </w:rPr>
            </w:pPr>
          </w:p>
          <w:p w:rsidR="009E5CE8" w:rsidRPr="00FE2F3B" w:rsidRDefault="009E5CE8" w:rsidP="00F90CB2">
            <w:pPr>
              <w:contextualSpacing/>
              <w:jc w:val="both"/>
              <w:rPr>
                <w:szCs w:val="22"/>
              </w:rPr>
            </w:pPr>
          </w:p>
          <w:p w:rsidR="009E5CE8" w:rsidRPr="00FE2F3B" w:rsidRDefault="00D44D63" w:rsidP="00F90CB2">
            <w:pPr>
              <w:contextualSpacing/>
              <w:jc w:val="both"/>
              <w:rPr>
                <w:b/>
                <w:szCs w:val="22"/>
              </w:rPr>
            </w:pPr>
            <w:r w:rsidRPr="00FE2F3B">
              <w:rPr>
                <w:b/>
                <w:szCs w:val="22"/>
              </w:rPr>
              <w:t>Activité de projet n</w:t>
            </w:r>
            <w:r w:rsidR="007052E5" w:rsidRPr="00FE2F3B">
              <w:rPr>
                <w:b/>
                <w:szCs w:val="22"/>
              </w:rPr>
              <w:t>° </w:t>
            </w:r>
            <w:r w:rsidRPr="00FE2F3B">
              <w:rPr>
                <w:b/>
                <w:szCs w:val="22"/>
              </w:rPr>
              <w:t>2</w:t>
            </w:r>
            <w:r w:rsidR="006E4D4B">
              <w:rPr>
                <w:b/>
                <w:szCs w:val="22"/>
              </w:rPr>
              <w:t> :</w:t>
            </w:r>
          </w:p>
          <w:p w:rsidR="009E5CE8" w:rsidRPr="00FE2F3B" w:rsidRDefault="009E5CE8" w:rsidP="00F90CB2">
            <w:pPr>
              <w:contextualSpacing/>
              <w:jc w:val="both"/>
              <w:rPr>
                <w:b/>
                <w:szCs w:val="22"/>
              </w:rPr>
            </w:pPr>
          </w:p>
          <w:p w:rsidR="009E5CE8" w:rsidRDefault="00D44D63" w:rsidP="00F90CB2">
            <w:pPr>
              <w:rPr>
                <w:rFonts w:eastAsia="Times New Roman"/>
                <w:szCs w:val="22"/>
                <w:lang w:eastAsia="en-US"/>
              </w:rPr>
            </w:pPr>
            <w:r w:rsidRPr="00FE2F3B">
              <w:rPr>
                <w:rFonts w:eastAsia="Times New Roman"/>
                <w:szCs w:val="22"/>
                <w:lang w:eastAsia="en-US"/>
              </w:rPr>
              <w:t>Établissement du document de synthèse à la suite de l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FE2F3B">
              <w:rPr>
                <w:rFonts w:eastAsia="Times New Roman"/>
                <w:szCs w:val="22"/>
                <w:lang w:eastAsia="en-US"/>
              </w:rPr>
              <w:t xml:space="preserve">atelier.  </w:t>
            </w:r>
            <w:r w:rsidRPr="00130C42">
              <w:rPr>
                <w:rFonts w:eastAsia="Times New Roman"/>
                <w:szCs w:val="22"/>
                <w:lang w:eastAsia="en-US"/>
              </w:rPr>
              <w:t>Ce document</w:t>
            </w:r>
            <w:r w:rsidR="006E4D4B">
              <w:rPr>
                <w:rFonts w:eastAsia="Times New Roman"/>
                <w:szCs w:val="22"/>
                <w:lang w:eastAsia="en-US"/>
              </w:rPr>
              <w:t> :</w:t>
            </w:r>
          </w:p>
          <w:p w:rsidR="00F90CB2" w:rsidRPr="00130C42" w:rsidRDefault="00F90CB2" w:rsidP="00F90CB2">
            <w:pPr>
              <w:rPr>
                <w:rFonts w:eastAsia="Times New Roman"/>
                <w:szCs w:val="22"/>
                <w:lang w:eastAsia="en-US"/>
              </w:rPr>
            </w:pPr>
          </w:p>
          <w:p w:rsidR="006E4D4B" w:rsidRDefault="00D44D63" w:rsidP="00F90CB2">
            <w:pPr>
              <w:numPr>
                <w:ilvl w:val="0"/>
                <w:numId w:val="10"/>
              </w:numPr>
              <w:ind w:left="1134" w:hanging="567"/>
              <w:rPr>
                <w:rFonts w:eastAsia="Times New Roman"/>
                <w:szCs w:val="22"/>
                <w:lang w:eastAsia="en-US"/>
              </w:rPr>
            </w:pPr>
            <w:proofErr w:type="gramStart"/>
            <w:r w:rsidRPr="00FE2F3B">
              <w:rPr>
                <w:rFonts w:eastAsia="Times New Roman"/>
                <w:szCs w:val="22"/>
                <w:lang w:eastAsia="en-US"/>
              </w:rPr>
              <w:t>décrira</w:t>
            </w:r>
            <w:proofErr w:type="gramEnd"/>
            <w:r w:rsidRPr="00FE2F3B">
              <w:rPr>
                <w:rFonts w:eastAsia="Times New Roman"/>
                <w:szCs w:val="22"/>
                <w:lang w:eastAsia="en-US"/>
              </w:rPr>
              <w:t xml:space="preserve"> l</w:t>
            </w:r>
            <w:r w:rsidR="00FE2F3B">
              <w:rPr>
                <w:rFonts w:eastAsia="Times New Roman"/>
                <w:szCs w:val="22"/>
                <w:lang w:eastAsia="en-US"/>
              </w:rPr>
              <w:t xml:space="preserve">es </w:t>
            </w:r>
            <w:r w:rsidRPr="00FE2F3B">
              <w:rPr>
                <w:rFonts w:eastAsia="Times New Roman"/>
                <w:szCs w:val="22"/>
                <w:lang w:eastAsia="en-US"/>
              </w:rPr>
              <w:t>expérience</w:t>
            </w:r>
            <w:r w:rsidR="00FE2F3B">
              <w:rPr>
                <w:rFonts w:eastAsia="Times New Roman"/>
                <w:szCs w:val="22"/>
                <w:lang w:eastAsia="en-US"/>
              </w:rPr>
              <w:t>s</w:t>
            </w:r>
            <w:r w:rsidRPr="00FE2F3B">
              <w:rPr>
                <w:rFonts w:eastAsia="Times New Roman"/>
                <w:szCs w:val="22"/>
                <w:lang w:eastAsia="en-US"/>
              </w:rPr>
              <w:t xml:space="preserve"> dans </w:t>
            </w:r>
            <w:r w:rsidR="00FE2F3B">
              <w:rPr>
                <w:rFonts w:eastAsia="Times New Roman"/>
                <w:szCs w:val="22"/>
                <w:lang w:eastAsia="en-US"/>
              </w:rPr>
              <w:t>l</w:t>
            </w:r>
            <w:r w:rsidRPr="00FE2F3B">
              <w:rPr>
                <w:rFonts w:eastAsia="Times New Roman"/>
                <w:szCs w:val="22"/>
                <w:lang w:eastAsia="en-US"/>
              </w:rPr>
              <w:t>e domaine</w:t>
            </w:r>
            <w:r w:rsidR="00FE2F3B">
              <w:rPr>
                <w:rFonts w:eastAsia="Times New Roman"/>
                <w:szCs w:val="22"/>
                <w:lang w:eastAsia="en-US"/>
              </w:rPr>
              <w:t xml:space="preserve"> concerné ainsi que </w:t>
            </w:r>
            <w:r w:rsidRPr="00FE2F3B">
              <w:rPr>
                <w:rFonts w:eastAsia="Times New Roman"/>
                <w:szCs w:val="22"/>
                <w:lang w:eastAsia="en-US"/>
              </w:rPr>
              <w:t>les différentes méthodes de collecte de données dans les pays,</w:t>
            </w:r>
          </w:p>
          <w:p w:rsidR="006E4D4B" w:rsidRDefault="00503B50" w:rsidP="00F90CB2">
            <w:pPr>
              <w:numPr>
                <w:ilvl w:val="0"/>
                <w:numId w:val="10"/>
              </w:numPr>
              <w:ind w:left="1134" w:hanging="567"/>
              <w:rPr>
                <w:rFonts w:eastAsia="Times New Roman"/>
                <w:szCs w:val="22"/>
                <w:lang w:eastAsia="en-US"/>
              </w:rPr>
            </w:pPr>
            <w:proofErr w:type="gramStart"/>
            <w:r w:rsidRPr="00FE2F3B">
              <w:rPr>
                <w:rFonts w:eastAsia="Times New Roman"/>
                <w:szCs w:val="22"/>
                <w:lang w:eastAsia="en-US"/>
              </w:rPr>
              <w:t>comp</w:t>
            </w:r>
            <w:r w:rsidR="007052E5" w:rsidRPr="00FE2F3B">
              <w:rPr>
                <w:rFonts w:eastAsia="Times New Roman"/>
                <w:szCs w:val="22"/>
                <w:lang w:eastAsia="en-US"/>
              </w:rPr>
              <w:t>a</w:t>
            </w:r>
            <w:r w:rsidRPr="00FE2F3B">
              <w:rPr>
                <w:rFonts w:eastAsia="Times New Roman"/>
                <w:szCs w:val="22"/>
                <w:lang w:eastAsia="en-US"/>
              </w:rPr>
              <w:t>rera</w:t>
            </w:r>
            <w:proofErr w:type="gramEnd"/>
            <w:r w:rsidRPr="00FE2F3B">
              <w:rPr>
                <w:rFonts w:eastAsia="Times New Roman"/>
                <w:szCs w:val="22"/>
                <w:lang w:eastAsia="en-US"/>
              </w:rPr>
              <w:t xml:space="preserve"> certaines pratiques recommandées examinées au cours du séminaire</w:t>
            </w:r>
          </w:p>
          <w:p w:rsidR="009E5CE8" w:rsidRPr="00FE2F3B" w:rsidRDefault="00503B50" w:rsidP="00F90CB2">
            <w:pPr>
              <w:numPr>
                <w:ilvl w:val="0"/>
                <w:numId w:val="10"/>
              </w:numPr>
              <w:ind w:left="1134" w:hanging="567"/>
              <w:rPr>
                <w:rFonts w:eastAsia="Times New Roman"/>
                <w:szCs w:val="22"/>
                <w:lang w:eastAsia="en-US"/>
              </w:rPr>
            </w:pPr>
            <w:proofErr w:type="gramStart"/>
            <w:r w:rsidRPr="00FE2F3B">
              <w:rPr>
                <w:rFonts w:eastAsia="Times New Roman"/>
                <w:szCs w:val="22"/>
                <w:lang w:eastAsia="en-US"/>
              </w:rPr>
              <w:t>et</w:t>
            </w:r>
            <w:proofErr w:type="gramEnd"/>
            <w:r w:rsidRPr="00FE2F3B">
              <w:rPr>
                <w:rFonts w:eastAsia="Times New Roman"/>
                <w:szCs w:val="22"/>
                <w:lang w:eastAsia="en-US"/>
              </w:rPr>
              <w:t xml:space="preserve"> définira des options pour les pays.</w:t>
            </w:r>
          </w:p>
          <w:p w:rsidR="009E5CE8" w:rsidRPr="00FE2F3B" w:rsidRDefault="009E5CE8" w:rsidP="00F90CB2">
            <w:pPr>
              <w:rPr>
                <w:rFonts w:eastAsia="Times New Roman"/>
                <w:szCs w:val="22"/>
                <w:lang w:eastAsia="en-US"/>
              </w:rPr>
            </w:pPr>
          </w:p>
          <w:p w:rsidR="009E5CE8" w:rsidRDefault="00503B50" w:rsidP="00F90CB2">
            <w:pPr>
              <w:rPr>
                <w:rFonts w:eastAsia="Times New Roman"/>
                <w:szCs w:val="22"/>
                <w:lang w:eastAsia="en-US"/>
              </w:rPr>
            </w:pPr>
            <w:r w:rsidRPr="00FE2F3B">
              <w:rPr>
                <w:rFonts w:eastAsia="Times New Roman"/>
                <w:szCs w:val="22"/>
                <w:lang w:eastAsia="en-US"/>
              </w:rPr>
              <w:t xml:space="preserve">Il évaluera les dispositions obligatoires minimales en matière structurelle, juridique, financière et administrative, les méthodes de </w:t>
            </w:r>
            <w:r w:rsidRPr="00FE2F3B">
              <w:rPr>
                <w:rFonts w:eastAsia="Times New Roman"/>
                <w:szCs w:val="22"/>
                <w:lang w:eastAsia="en-US"/>
              </w:rPr>
              <w:lastRenderedPageBreak/>
              <w:t>collecte, d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FE2F3B">
              <w:rPr>
                <w:rFonts w:eastAsia="Times New Roman"/>
                <w:szCs w:val="22"/>
                <w:lang w:eastAsia="en-US"/>
              </w:rPr>
              <w:t>acquisition et de partage des données ainsi que la création de réseaux.</w:t>
            </w:r>
          </w:p>
          <w:p w:rsidR="00F90CB2" w:rsidRPr="00FE2F3B" w:rsidRDefault="00F90CB2" w:rsidP="00F90CB2">
            <w:pPr>
              <w:rPr>
                <w:rFonts w:eastAsia="Times New Roman"/>
                <w:szCs w:val="22"/>
                <w:lang w:eastAsia="en-US"/>
              </w:rPr>
            </w:pPr>
          </w:p>
          <w:p w:rsidR="009E5CE8" w:rsidRPr="00FE2F3B" w:rsidRDefault="00503B50" w:rsidP="00F90CB2">
            <w:pPr>
              <w:rPr>
                <w:szCs w:val="22"/>
                <w:u w:val="single"/>
              </w:rPr>
            </w:pPr>
            <w:r w:rsidRPr="00FE2F3B">
              <w:rPr>
                <w:szCs w:val="22"/>
                <w:u w:val="single"/>
              </w:rPr>
              <w:t>Coopération avec d</w:t>
            </w:r>
            <w:r w:rsidR="006E4D4B">
              <w:rPr>
                <w:szCs w:val="22"/>
                <w:u w:val="single"/>
              </w:rPr>
              <w:t>’</w:t>
            </w:r>
            <w:r w:rsidRPr="00FE2F3B">
              <w:rPr>
                <w:szCs w:val="22"/>
                <w:u w:val="single"/>
              </w:rPr>
              <w:t>autres parties prenantes</w:t>
            </w:r>
          </w:p>
          <w:p w:rsidR="009E5CE8" w:rsidRPr="00FE2F3B" w:rsidRDefault="009E5CE8" w:rsidP="00F90CB2">
            <w:pPr>
              <w:rPr>
                <w:szCs w:val="22"/>
              </w:rPr>
            </w:pPr>
          </w:p>
          <w:p w:rsidR="009E5CE8" w:rsidRDefault="0024343A" w:rsidP="00F90CB2">
            <w:pPr>
              <w:rPr>
                <w:szCs w:val="22"/>
              </w:rPr>
            </w:pPr>
            <w:r w:rsidRPr="00FE2F3B">
              <w:rPr>
                <w:szCs w:val="22"/>
              </w:rPr>
              <w:t>Dans le cadre de l</w:t>
            </w:r>
            <w:r w:rsidR="006E4D4B">
              <w:rPr>
                <w:szCs w:val="22"/>
              </w:rPr>
              <w:t>’</w:t>
            </w:r>
            <w:r w:rsidRPr="00FE2F3B">
              <w:rPr>
                <w:szCs w:val="22"/>
              </w:rPr>
              <w:t>exécution stratégique du projet, et en vue d</w:t>
            </w:r>
            <w:r w:rsidR="006E4D4B">
              <w:rPr>
                <w:szCs w:val="22"/>
              </w:rPr>
              <w:t>’</w:t>
            </w:r>
            <w:r w:rsidRPr="00FE2F3B">
              <w:rPr>
                <w:szCs w:val="22"/>
              </w:rPr>
              <w:t>assurer la viabilité à long terme des résultats, il conviendra de rechercher, le cas échéant, des synergies avec les programmes, projets et initiatives des parties prenantes et organisations concernées telles que l</w:t>
            </w:r>
            <w:r w:rsidR="006E4D4B">
              <w:rPr>
                <w:szCs w:val="22"/>
              </w:rPr>
              <w:t>’</w:t>
            </w:r>
            <w:r w:rsidRPr="00FE2F3B">
              <w:rPr>
                <w:szCs w:val="22"/>
              </w:rPr>
              <w:t>UEMOA et la CEDEAO.</w:t>
            </w:r>
          </w:p>
          <w:p w:rsidR="00F90CB2" w:rsidRPr="00FE2F3B" w:rsidRDefault="00F90CB2" w:rsidP="00F90CB2">
            <w:pPr>
              <w:rPr>
                <w:szCs w:val="22"/>
              </w:rPr>
            </w:pPr>
          </w:p>
          <w:p w:rsidR="00A61C8A" w:rsidRPr="00FE2F3B" w:rsidRDefault="0024343A" w:rsidP="00F90CB2">
            <w:r w:rsidRPr="00FE2F3B">
              <w:rPr>
                <w:szCs w:val="22"/>
              </w:rPr>
              <w:t>Les résultats et les outils de ce projet seront partagés avec d</w:t>
            </w:r>
            <w:r w:rsidR="006E4D4B">
              <w:rPr>
                <w:szCs w:val="22"/>
              </w:rPr>
              <w:t>’</w:t>
            </w:r>
            <w:r w:rsidRPr="00FE2F3B">
              <w:rPr>
                <w:szCs w:val="22"/>
              </w:rPr>
              <w:t>autres États membres.</w:t>
            </w:r>
          </w:p>
        </w:tc>
      </w:tr>
      <w:tr w:rsidR="00A61C8A" w:rsidRPr="0024343A" w:rsidTr="00F90CB2">
        <w:tc>
          <w:tcPr>
            <w:tcW w:w="2155" w:type="dxa"/>
          </w:tcPr>
          <w:p w:rsidR="00A61C8A" w:rsidRPr="00FE2F3B" w:rsidRDefault="0024343A" w:rsidP="00F90CB2">
            <w:r w:rsidRPr="00F90CB2">
              <w:rPr>
                <w:i/>
                <w:szCs w:val="22"/>
              </w:rPr>
              <w:lastRenderedPageBreak/>
              <w:t>Principaux secteurs de l</w:t>
            </w:r>
            <w:r w:rsidR="006E4D4B">
              <w:rPr>
                <w:i/>
                <w:szCs w:val="22"/>
              </w:rPr>
              <w:t>’</w:t>
            </w:r>
            <w:r w:rsidRPr="00F90CB2">
              <w:rPr>
                <w:i/>
                <w:szCs w:val="22"/>
              </w:rPr>
              <w:t>OMPI concernés et liens avec les programmes de l</w:t>
            </w:r>
            <w:r w:rsidR="006E4D4B">
              <w:rPr>
                <w:i/>
                <w:szCs w:val="22"/>
              </w:rPr>
              <w:t>’</w:t>
            </w:r>
            <w:r w:rsidRPr="00F90CB2">
              <w:rPr>
                <w:i/>
                <w:szCs w:val="22"/>
              </w:rPr>
              <w:t>OMPI</w:t>
            </w:r>
          </w:p>
        </w:tc>
        <w:tc>
          <w:tcPr>
            <w:tcW w:w="7190" w:type="dxa"/>
          </w:tcPr>
          <w:p w:rsidR="006E4D4B" w:rsidRDefault="0024343A" w:rsidP="00F90CB2">
            <w:pPr>
              <w:rPr>
                <w:szCs w:val="22"/>
              </w:rPr>
            </w:pPr>
            <w:r w:rsidRPr="00FE2F3B">
              <w:rPr>
                <w:szCs w:val="22"/>
              </w:rPr>
              <w:t>Programme</w:t>
            </w:r>
            <w:r w:rsidR="007052E5" w:rsidRPr="00FE2F3B">
              <w:rPr>
                <w:szCs w:val="22"/>
              </w:rPr>
              <w:t> </w:t>
            </w:r>
            <w:r w:rsidRPr="00FE2F3B">
              <w:rPr>
                <w:szCs w:val="22"/>
              </w:rPr>
              <w:t>3</w:t>
            </w:r>
          </w:p>
          <w:p w:rsidR="009E5CE8" w:rsidRPr="00FE2F3B" w:rsidRDefault="009E5CE8" w:rsidP="00F90CB2">
            <w:pPr>
              <w:rPr>
                <w:szCs w:val="22"/>
              </w:rPr>
            </w:pPr>
          </w:p>
          <w:p w:rsidR="006E4D4B" w:rsidRDefault="0024343A" w:rsidP="00F90CB2">
            <w:pPr>
              <w:rPr>
                <w:szCs w:val="22"/>
              </w:rPr>
            </w:pPr>
            <w:r w:rsidRPr="00FE2F3B">
              <w:rPr>
                <w:szCs w:val="22"/>
              </w:rPr>
              <w:t>Objectif stratégique</w:t>
            </w:r>
            <w:r w:rsidR="007052E5" w:rsidRPr="00FE2F3B">
              <w:rPr>
                <w:szCs w:val="22"/>
              </w:rPr>
              <w:t> </w:t>
            </w:r>
            <w:r w:rsidRPr="00FE2F3B">
              <w:rPr>
                <w:szCs w:val="22"/>
              </w:rPr>
              <w:t>III.4</w:t>
            </w:r>
            <w:r w:rsidR="006E4D4B">
              <w:rPr>
                <w:szCs w:val="22"/>
              </w:rPr>
              <w:t> :</w:t>
            </w:r>
            <w:r w:rsidRPr="00FE2F3B">
              <w:rPr>
                <w:szCs w:val="22"/>
              </w:rPr>
              <w:t xml:space="preserve"> Accords de coopération avec les institutions des pays en développement, des PMA et des pays en transition renforcés et adaptés à leurs besoins.</w:t>
            </w:r>
          </w:p>
          <w:p w:rsidR="009E5CE8" w:rsidRPr="00FE2F3B" w:rsidRDefault="009E5CE8" w:rsidP="00F90CB2">
            <w:pPr>
              <w:rPr>
                <w:szCs w:val="22"/>
              </w:rPr>
            </w:pPr>
          </w:p>
          <w:p w:rsidR="00A61C8A" w:rsidRPr="00FE2F3B" w:rsidRDefault="0024343A" w:rsidP="00F90CB2">
            <w:pPr>
              <w:rPr>
                <w:szCs w:val="22"/>
              </w:rPr>
            </w:pPr>
            <w:r w:rsidRPr="00FE2F3B">
              <w:rPr>
                <w:szCs w:val="22"/>
              </w:rPr>
              <w:t>Objectif stratégique</w:t>
            </w:r>
            <w:r w:rsidR="007052E5" w:rsidRPr="00FE2F3B">
              <w:rPr>
                <w:szCs w:val="22"/>
              </w:rPr>
              <w:t> </w:t>
            </w:r>
            <w:r w:rsidRPr="00FE2F3B">
              <w:rPr>
                <w:szCs w:val="22"/>
              </w:rPr>
              <w:t>IV.2</w:t>
            </w:r>
            <w:r w:rsidR="006E4D4B">
              <w:rPr>
                <w:szCs w:val="22"/>
              </w:rPr>
              <w:t> :</w:t>
            </w:r>
            <w:r w:rsidRPr="00FE2F3B">
              <w:rPr>
                <w:szCs w:val="22"/>
              </w:rPr>
              <w:t xml:space="preserve"> Amélioration de l</w:t>
            </w:r>
            <w:r w:rsidR="006E4D4B">
              <w:rPr>
                <w:szCs w:val="22"/>
              </w:rPr>
              <w:t>’</w:t>
            </w:r>
            <w:r w:rsidRPr="00FE2F3B">
              <w:rPr>
                <w:szCs w:val="22"/>
              </w:rPr>
              <w:t>accessibilité et de l</w:t>
            </w:r>
            <w:r w:rsidR="006E4D4B">
              <w:rPr>
                <w:szCs w:val="22"/>
              </w:rPr>
              <w:t>’</w:t>
            </w:r>
            <w:r w:rsidRPr="00FE2F3B">
              <w:rPr>
                <w:szCs w:val="22"/>
              </w:rPr>
              <w:t>utilisation de l</w:t>
            </w:r>
            <w:r w:rsidR="006E4D4B">
              <w:rPr>
                <w:szCs w:val="22"/>
              </w:rPr>
              <w:t>’</w:t>
            </w:r>
            <w:r w:rsidRPr="00FE2F3B">
              <w:rPr>
                <w:szCs w:val="22"/>
              </w:rPr>
              <w:t>information en matière de propriété intellectuelle par les institutions compétentes et le public afin de promouvoir l</w:t>
            </w:r>
            <w:r w:rsidR="006E4D4B">
              <w:rPr>
                <w:szCs w:val="22"/>
              </w:rPr>
              <w:t>’</w:t>
            </w:r>
            <w:r w:rsidRPr="00FE2F3B">
              <w:rPr>
                <w:szCs w:val="22"/>
              </w:rPr>
              <w:t>innovation et la créativité.</w:t>
            </w:r>
          </w:p>
        </w:tc>
      </w:tr>
      <w:tr w:rsidR="00A61C8A" w:rsidRPr="0024343A" w:rsidTr="00F90CB2">
        <w:tc>
          <w:tcPr>
            <w:tcW w:w="2155" w:type="dxa"/>
          </w:tcPr>
          <w:p w:rsidR="00A61C8A" w:rsidRPr="00FE2F3B" w:rsidRDefault="0024343A" w:rsidP="00F90CB2">
            <w:pPr>
              <w:pStyle w:val="Heading3"/>
              <w:spacing w:before="0" w:after="0"/>
            </w:pPr>
            <w:r w:rsidRPr="00FE2F3B">
              <w:rPr>
                <w:i/>
                <w:szCs w:val="22"/>
                <w:u w:val="none"/>
              </w:rPr>
              <w:t>Durée globale</w:t>
            </w:r>
          </w:p>
        </w:tc>
        <w:tc>
          <w:tcPr>
            <w:tcW w:w="7190" w:type="dxa"/>
          </w:tcPr>
          <w:p w:rsidR="00A61C8A" w:rsidRPr="00FE2F3B" w:rsidRDefault="0024343A" w:rsidP="00F90CB2">
            <w:r w:rsidRPr="00FE2F3B">
              <w:rPr>
                <w:szCs w:val="22"/>
              </w:rPr>
              <w:t>6 mois, à compter du 1</w:t>
            </w:r>
            <w:r w:rsidRPr="00FE2F3B">
              <w:rPr>
                <w:szCs w:val="22"/>
                <w:vertAlign w:val="superscript"/>
              </w:rPr>
              <w:t>er</w:t>
            </w:r>
            <w:r w:rsidR="007052E5" w:rsidRPr="00FE2F3B">
              <w:rPr>
                <w:szCs w:val="22"/>
              </w:rPr>
              <w:t> </w:t>
            </w:r>
            <w:r w:rsidRPr="00FE2F3B">
              <w:rPr>
                <w:szCs w:val="22"/>
              </w:rPr>
              <w:t>août</w:t>
            </w:r>
            <w:r w:rsidR="007052E5" w:rsidRPr="00FE2F3B">
              <w:rPr>
                <w:szCs w:val="22"/>
              </w:rPr>
              <w:t> </w:t>
            </w:r>
            <w:r w:rsidRPr="00FE2F3B">
              <w:rPr>
                <w:szCs w:val="22"/>
              </w:rPr>
              <w:t>2019.</w:t>
            </w:r>
          </w:p>
        </w:tc>
      </w:tr>
      <w:tr w:rsidR="00A61C8A" w:rsidRPr="0024343A" w:rsidTr="00F90CB2">
        <w:tc>
          <w:tcPr>
            <w:tcW w:w="2155" w:type="dxa"/>
          </w:tcPr>
          <w:p w:rsidR="00A61C8A" w:rsidRPr="00FE2F3B" w:rsidRDefault="0024343A" w:rsidP="00F90CB2">
            <w:pPr>
              <w:pStyle w:val="Heading3"/>
              <w:spacing w:before="0" w:after="0"/>
            </w:pPr>
            <w:r w:rsidRPr="00FE2F3B">
              <w:rPr>
                <w:i/>
                <w:szCs w:val="22"/>
                <w:u w:val="none"/>
              </w:rPr>
              <w:t>Budget global</w:t>
            </w:r>
          </w:p>
        </w:tc>
        <w:tc>
          <w:tcPr>
            <w:tcW w:w="7190" w:type="dxa"/>
          </w:tcPr>
          <w:p w:rsidR="009E5CE8" w:rsidRPr="00FE2F3B" w:rsidRDefault="0024343A" w:rsidP="00F90CB2">
            <w:pPr>
              <w:rPr>
                <w:szCs w:val="22"/>
              </w:rPr>
            </w:pPr>
            <w:r w:rsidRPr="00FE2F3B">
              <w:rPr>
                <w:szCs w:val="22"/>
              </w:rPr>
              <w:t>Total hors dépenses de personnel</w:t>
            </w:r>
            <w:r w:rsidR="006E4D4B">
              <w:rPr>
                <w:szCs w:val="22"/>
              </w:rPr>
              <w:t> :</w:t>
            </w:r>
            <w:r w:rsidRPr="00FE2F3B">
              <w:rPr>
                <w:szCs w:val="22"/>
              </w:rPr>
              <w:t xml:space="preserve"> 50</w:t>
            </w:r>
            <w:r w:rsidR="007052E5" w:rsidRPr="00FE2F3B">
              <w:rPr>
                <w:szCs w:val="22"/>
              </w:rPr>
              <w:t> 000 </w:t>
            </w:r>
            <w:r w:rsidRPr="00FE2F3B">
              <w:rPr>
                <w:szCs w:val="22"/>
              </w:rPr>
              <w:t>francs suisses</w:t>
            </w:r>
          </w:p>
          <w:p w:rsidR="00C07410" w:rsidRPr="00FE2F3B" w:rsidRDefault="00C07410" w:rsidP="00F90CB2">
            <w:pPr>
              <w:contextualSpacing/>
              <w:jc w:val="both"/>
              <w:rPr>
                <w:szCs w:val="22"/>
              </w:rPr>
            </w:pPr>
          </w:p>
          <w:tbl>
            <w:tblPr>
              <w:tblStyle w:val="TableGrid"/>
              <w:tblW w:w="5000" w:type="pct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730"/>
              <w:gridCol w:w="1586"/>
              <w:gridCol w:w="1447"/>
              <w:gridCol w:w="1202"/>
            </w:tblGrid>
            <w:tr w:rsidR="00FE2F3B" w:rsidRPr="00FE2F3B" w:rsidTr="00E37409">
              <w:tc>
                <w:tcPr>
                  <w:tcW w:w="2970" w:type="dxa"/>
                </w:tcPr>
                <w:p w:rsidR="00C07410" w:rsidRPr="00FE2F3B" w:rsidRDefault="0024343A" w:rsidP="00E37409">
                  <w:pPr>
                    <w:rPr>
                      <w:szCs w:val="22"/>
                    </w:rPr>
                  </w:pPr>
                  <w:r w:rsidRPr="00FE2F3B">
                    <w:rPr>
                      <w:b/>
                      <w:szCs w:val="22"/>
                    </w:rPr>
                    <w:t>Résultats intermédiaires du projet</w:t>
                  </w:r>
                </w:p>
              </w:tc>
              <w:tc>
                <w:tcPr>
                  <w:tcW w:w="1219" w:type="dxa"/>
                </w:tcPr>
                <w:p w:rsidR="00C07410" w:rsidRPr="00FE2F3B" w:rsidRDefault="0024343A" w:rsidP="00E37409">
                  <w:pPr>
                    <w:jc w:val="center"/>
                    <w:rPr>
                      <w:b/>
                      <w:szCs w:val="22"/>
                    </w:rPr>
                  </w:pPr>
                  <w:r w:rsidRPr="00FE2F3B">
                    <w:rPr>
                      <w:b/>
                      <w:szCs w:val="22"/>
                    </w:rPr>
                    <w:t>Dépenses de</w:t>
                  </w:r>
                  <w:r w:rsidR="00E37409">
                    <w:rPr>
                      <w:b/>
                      <w:szCs w:val="22"/>
                    </w:rPr>
                    <w:t> </w:t>
                  </w:r>
                  <w:r w:rsidRPr="00FE2F3B">
                    <w:rPr>
                      <w:b/>
                      <w:szCs w:val="22"/>
                    </w:rPr>
                    <w:t>p</w:t>
                  </w:r>
                  <w:r w:rsidR="00C07410" w:rsidRPr="00FE2F3B">
                    <w:rPr>
                      <w:b/>
                      <w:szCs w:val="22"/>
                    </w:rPr>
                    <w:t>ersonnel</w:t>
                  </w:r>
                </w:p>
              </w:tc>
              <w:tc>
                <w:tcPr>
                  <w:tcW w:w="1499" w:type="dxa"/>
                </w:tcPr>
                <w:p w:rsidR="00C07410" w:rsidRPr="00FE2F3B" w:rsidRDefault="0024343A" w:rsidP="00E37409">
                  <w:pPr>
                    <w:jc w:val="center"/>
                    <w:rPr>
                      <w:b/>
                      <w:szCs w:val="22"/>
                    </w:rPr>
                  </w:pPr>
                  <w:r w:rsidRPr="00FE2F3B">
                    <w:rPr>
                      <w:b/>
                      <w:szCs w:val="22"/>
                    </w:rPr>
                    <w:t>Autres dépenses</w:t>
                  </w:r>
                </w:p>
              </w:tc>
              <w:tc>
                <w:tcPr>
                  <w:tcW w:w="1277" w:type="dxa"/>
                </w:tcPr>
                <w:p w:rsidR="00C07410" w:rsidRPr="00FE2F3B" w:rsidRDefault="0024343A" w:rsidP="00E37409">
                  <w:pPr>
                    <w:jc w:val="center"/>
                    <w:rPr>
                      <w:b/>
                      <w:szCs w:val="22"/>
                    </w:rPr>
                  </w:pPr>
                  <w:r w:rsidRPr="00FE2F3B">
                    <w:rPr>
                      <w:b/>
                      <w:szCs w:val="22"/>
                    </w:rPr>
                    <w:t>Total</w:t>
                  </w:r>
                </w:p>
              </w:tc>
            </w:tr>
            <w:tr w:rsidR="00FE2F3B" w:rsidRPr="00FE2F3B" w:rsidTr="00E37409">
              <w:tc>
                <w:tcPr>
                  <w:tcW w:w="2970" w:type="dxa"/>
                </w:tcPr>
                <w:p w:rsidR="00C07410" w:rsidRPr="00FE2F3B" w:rsidRDefault="0024343A" w:rsidP="00E37409">
                  <w:pPr>
                    <w:rPr>
                      <w:szCs w:val="22"/>
                    </w:rPr>
                  </w:pPr>
                  <w:r w:rsidRPr="00FE2F3B">
                    <w:rPr>
                      <w:szCs w:val="22"/>
                    </w:rPr>
                    <w:t>Recensement des activités de sensibilisation des institutions aux fins de l</w:t>
                  </w:r>
                  <w:r w:rsidR="006E4D4B">
                    <w:rPr>
                      <w:szCs w:val="22"/>
                    </w:rPr>
                    <w:t>’</w:t>
                  </w:r>
                  <w:r w:rsidRPr="00FE2F3B">
                    <w:rPr>
                      <w:szCs w:val="22"/>
                    </w:rPr>
                    <w:t>élaboration des projets</w:t>
                  </w:r>
                  <w:r w:rsidR="00C07410" w:rsidRPr="00FE2F3B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1219" w:type="dxa"/>
                </w:tcPr>
                <w:p w:rsidR="00C07410" w:rsidRPr="00FE2F3B" w:rsidRDefault="00C07410" w:rsidP="00E37409">
                  <w:pPr>
                    <w:rPr>
                      <w:szCs w:val="22"/>
                    </w:rPr>
                  </w:pPr>
                </w:p>
              </w:tc>
              <w:tc>
                <w:tcPr>
                  <w:tcW w:w="1499" w:type="dxa"/>
                </w:tcPr>
                <w:p w:rsidR="00C07410" w:rsidRPr="00FE2F3B" w:rsidRDefault="0024343A" w:rsidP="00E37409">
                  <w:pPr>
                    <w:jc w:val="right"/>
                    <w:rPr>
                      <w:szCs w:val="22"/>
                    </w:rPr>
                  </w:pPr>
                  <w:r w:rsidRPr="00FE2F3B">
                    <w:rPr>
                      <w:szCs w:val="22"/>
                    </w:rPr>
                    <w:t>5</w:t>
                  </w:r>
                  <w:r w:rsidR="007052E5" w:rsidRPr="00FE2F3B">
                    <w:rPr>
                      <w:szCs w:val="22"/>
                    </w:rPr>
                    <w:t> </w:t>
                  </w:r>
                  <w:r w:rsidRPr="00FE2F3B">
                    <w:rPr>
                      <w:szCs w:val="22"/>
                    </w:rPr>
                    <w:t>000</w:t>
                  </w:r>
                </w:p>
              </w:tc>
              <w:tc>
                <w:tcPr>
                  <w:tcW w:w="1277" w:type="dxa"/>
                </w:tcPr>
                <w:p w:rsidR="00C07410" w:rsidRPr="00FE2F3B" w:rsidRDefault="0024343A" w:rsidP="00E37409">
                  <w:pPr>
                    <w:jc w:val="right"/>
                    <w:rPr>
                      <w:szCs w:val="22"/>
                    </w:rPr>
                  </w:pPr>
                  <w:r w:rsidRPr="00FE2F3B">
                    <w:rPr>
                      <w:szCs w:val="22"/>
                    </w:rPr>
                    <w:t>5</w:t>
                  </w:r>
                  <w:r w:rsidR="007052E5" w:rsidRPr="00FE2F3B">
                    <w:rPr>
                      <w:szCs w:val="22"/>
                    </w:rPr>
                    <w:t> </w:t>
                  </w:r>
                  <w:r w:rsidRPr="00FE2F3B">
                    <w:rPr>
                      <w:szCs w:val="22"/>
                    </w:rPr>
                    <w:t>000</w:t>
                  </w:r>
                </w:p>
              </w:tc>
            </w:tr>
            <w:tr w:rsidR="00FE2F3B" w:rsidRPr="00FE2F3B" w:rsidTr="00E37409">
              <w:tc>
                <w:tcPr>
                  <w:tcW w:w="2970" w:type="dxa"/>
                </w:tcPr>
                <w:p w:rsidR="00C07410" w:rsidRPr="00FE2F3B" w:rsidRDefault="0024343A" w:rsidP="00E37409">
                  <w:pPr>
                    <w:rPr>
                      <w:szCs w:val="22"/>
                    </w:rPr>
                  </w:pPr>
                  <w:r w:rsidRPr="00FE2F3B">
                    <w:rPr>
                      <w:szCs w:val="22"/>
                    </w:rPr>
                    <w:t>Atelier régional</w:t>
                  </w:r>
                </w:p>
              </w:tc>
              <w:tc>
                <w:tcPr>
                  <w:tcW w:w="1219" w:type="dxa"/>
                </w:tcPr>
                <w:p w:rsidR="00C07410" w:rsidRPr="00FE2F3B" w:rsidRDefault="00C07410" w:rsidP="00E37409">
                  <w:pPr>
                    <w:rPr>
                      <w:szCs w:val="22"/>
                    </w:rPr>
                  </w:pPr>
                </w:p>
              </w:tc>
              <w:tc>
                <w:tcPr>
                  <w:tcW w:w="1499" w:type="dxa"/>
                </w:tcPr>
                <w:p w:rsidR="00C07410" w:rsidRPr="00FE2F3B" w:rsidRDefault="0024343A" w:rsidP="00E37409">
                  <w:pPr>
                    <w:jc w:val="right"/>
                    <w:rPr>
                      <w:szCs w:val="22"/>
                    </w:rPr>
                  </w:pPr>
                  <w:r w:rsidRPr="00FE2F3B">
                    <w:rPr>
                      <w:szCs w:val="22"/>
                    </w:rPr>
                    <w:t>40</w:t>
                  </w:r>
                  <w:r w:rsidR="007052E5" w:rsidRPr="00FE2F3B">
                    <w:rPr>
                      <w:szCs w:val="22"/>
                    </w:rPr>
                    <w:t> </w:t>
                  </w:r>
                  <w:r w:rsidRPr="00FE2F3B">
                    <w:rPr>
                      <w:szCs w:val="22"/>
                    </w:rPr>
                    <w:t>000</w:t>
                  </w:r>
                </w:p>
              </w:tc>
              <w:tc>
                <w:tcPr>
                  <w:tcW w:w="1277" w:type="dxa"/>
                </w:tcPr>
                <w:p w:rsidR="00C07410" w:rsidRPr="00FE2F3B" w:rsidRDefault="0024343A" w:rsidP="00E37409">
                  <w:pPr>
                    <w:jc w:val="right"/>
                    <w:rPr>
                      <w:szCs w:val="22"/>
                    </w:rPr>
                  </w:pPr>
                  <w:r w:rsidRPr="00FE2F3B">
                    <w:rPr>
                      <w:szCs w:val="22"/>
                    </w:rPr>
                    <w:t>40</w:t>
                  </w:r>
                  <w:r w:rsidR="007052E5" w:rsidRPr="00FE2F3B">
                    <w:rPr>
                      <w:szCs w:val="22"/>
                    </w:rPr>
                    <w:t> </w:t>
                  </w:r>
                  <w:r w:rsidRPr="00FE2F3B">
                    <w:rPr>
                      <w:szCs w:val="22"/>
                    </w:rPr>
                    <w:t>000</w:t>
                  </w:r>
                  <w:r w:rsidR="00C07410" w:rsidRPr="00FE2F3B">
                    <w:rPr>
                      <w:szCs w:val="22"/>
                    </w:rPr>
                    <w:t xml:space="preserve"> </w:t>
                  </w:r>
                </w:p>
              </w:tc>
            </w:tr>
            <w:tr w:rsidR="00FE2F3B" w:rsidRPr="00FE2F3B" w:rsidTr="00E37409">
              <w:tc>
                <w:tcPr>
                  <w:tcW w:w="2970" w:type="dxa"/>
                </w:tcPr>
                <w:p w:rsidR="00C07410" w:rsidRPr="00FE2F3B" w:rsidRDefault="0024343A" w:rsidP="00E37409">
                  <w:pPr>
                    <w:rPr>
                      <w:szCs w:val="22"/>
                    </w:rPr>
                  </w:pPr>
                  <w:r w:rsidRPr="00FE2F3B">
                    <w:rPr>
                      <w:szCs w:val="22"/>
                    </w:rPr>
                    <w:t>Rédaction de la proposition de suivi</w:t>
                  </w:r>
                  <w:r w:rsidR="00C07410" w:rsidRPr="00FE2F3B">
                    <w:rPr>
                      <w:szCs w:val="22"/>
                    </w:rPr>
                    <w:t xml:space="preserve"> </w:t>
                  </w:r>
                </w:p>
              </w:tc>
              <w:tc>
                <w:tcPr>
                  <w:tcW w:w="1219" w:type="dxa"/>
                </w:tcPr>
                <w:p w:rsidR="00C07410" w:rsidRPr="00FE2F3B" w:rsidRDefault="00C07410" w:rsidP="00E37409">
                  <w:pPr>
                    <w:rPr>
                      <w:szCs w:val="22"/>
                    </w:rPr>
                  </w:pPr>
                </w:p>
              </w:tc>
              <w:tc>
                <w:tcPr>
                  <w:tcW w:w="1499" w:type="dxa"/>
                </w:tcPr>
                <w:p w:rsidR="00C07410" w:rsidRPr="00FE2F3B" w:rsidRDefault="0024343A" w:rsidP="00E37409">
                  <w:pPr>
                    <w:jc w:val="right"/>
                    <w:rPr>
                      <w:szCs w:val="22"/>
                    </w:rPr>
                  </w:pPr>
                  <w:r w:rsidRPr="00FE2F3B">
                    <w:rPr>
                      <w:szCs w:val="22"/>
                    </w:rPr>
                    <w:t>5</w:t>
                  </w:r>
                  <w:r w:rsidR="007052E5" w:rsidRPr="00FE2F3B">
                    <w:rPr>
                      <w:szCs w:val="22"/>
                    </w:rPr>
                    <w:t> </w:t>
                  </w:r>
                  <w:r w:rsidRPr="00FE2F3B">
                    <w:rPr>
                      <w:szCs w:val="22"/>
                    </w:rPr>
                    <w:t>000</w:t>
                  </w:r>
                </w:p>
              </w:tc>
              <w:tc>
                <w:tcPr>
                  <w:tcW w:w="1277" w:type="dxa"/>
                </w:tcPr>
                <w:p w:rsidR="00C07410" w:rsidRPr="00FE2F3B" w:rsidRDefault="0024343A" w:rsidP="00E37409">
                  <w:pPr>
                    <w:jc w:val="right"/>
                    <w:rPr>
                      <w:szCs w:val="22"/>
                    </w:rPr>
                  </w:pPr>
                  <w:r w:rsidRPr="00FE2F3B">
                    <w:rPr>
                      <w:szCs w:val="22"/>
                    </w:rPr>
                    <w:t>5</w:t>
                  </w:r>
                  <w:r w:rsidR="007052E5" w:rsidRPr="00FE2F3B">
                    <w:rPr>
                      <w:szCs w:val="22"/>
                    </w:rPr>
                    <w:t> </w:t>
                  </w:r>
                  <w:r w:rsidRPr="00FE2F3B">
                    <w:rPr>
                      <w:szCs w:val="22"/>
                    </w:rPr>
                    <w:t>000</w:t>
                  </w:r>
                </w:p>
              </w:tc>
            </w:tr>
            <w:tr w:rsidR="00FE2F3B" w:rsidRPr="00FE2F3B" w:rsidTr="00E37409">
              <w:tc>
                <w:tcPr>
                  <w:tcW w:w="2970" w:type="dxa"/>
                </w:tcPr>
                <w:p w:rsidR="00C07410" w:rsidRPr="00FE2F3B" w:rsidRDefault="0024343A" w:rsidP="00E37409">
                  <w:pPr>
                    <w:rPr>
                      <w:b/>
                      <w:szCs w:val="22"/>
                    </w:rPr>
                  </w:pPr>
                  <w:r w:rsidRPr="00FE2F3B">
                    <w:rPr>
                      <w:b/>
                      <w:szCs w:val="22"/>
                    </w:rPr>
                    <w:t>Total</w:t>
                  </w:r>
                  <w:r w:rsidR="00C07410" w:rsidRPr="00FE2F3B">
                    <w:rPr>
                      <w:b/>
                      <w:szCs w:val="22"/>
                    </w:rPr>
                    <w:t xml:space="preserve"> </w:t>
                  </w:r>
                </w:p>
              </w:tc>
              <w:tc>
                <w:tcPr>
                  <w:tcW w:w="1219" w:type="dxa"/>
                </w:tcPr>
                <w:p w:rsidR="00C07410" w:rsidRPr="00FE2F3B" w:rsidRDefault="00C07410" w:rsidP="00E37409">
                  <w:pPr>
                    <w:rPr>
                      <w:szCs w:val="22"/>
                    </w:rPr>
                  </w:pPr>
                </w:p>
              </w:tc>
              <w:tc>
                <w:tcPr>
                  <w:tcW w:w="1499" w:type="dxa"/>
                </w:tcPr>
                <w:p w:rsidR="00C07410" w:rsidRPr="00FE2F3B" w:rsidRDefault="00C07410" w:rsidP="00E37409">
                  <w:pPr>
                    <w:jc w:val="right"/>
                    <w:rPr>
                      <w:szCs w:val="22"/>
                    </w:rPr>
                  </w:pPr>
                </w:p>
              </w:tc>
              <w:tc>
                <w:tcPr>
                  <w:tcW w:w="1277" w:type="dxa"/>
                </w:tcPr>
                <w:p w:rsidR="00C07410" w:rsidRPr="00FE2F3B" w:rsidRDefault="0024343A" w:rsidP="00E37409">
                  <w:pPr>
                    <w:jc w:val="right"/>
                    <w:rPr>
                      <w:b/>
                      <w:szCs w:val="22"/>
                    </w:rPr>
                  </w:pPr>
                  <w:r w:rsidRPr="00FE2F3B">
                    <w:rPr>
                      <w:b/>
                      <w:szCs w:val="22"/>
                    </w:rPr>
                    <w:t>50</w:t>
                  </w:r>
                  <w:r w:rsidR="007052E5" w:rsidRPr="00FE2F3B">
                    <w:rPr>
                      <w:b/>
                      <w:szCs w:val="22"/>
                    </w:rPr>
                    <w:t> </w:t>
                  </w:r>
                  <w:r w:rsidRPr="00FE2F3B">
                    <w:rPr>
                      <w:b/>
                      <w:szCs w:val="22"/>
                    </w:rPr>
                    <w:t>000</w:t>
                  </w:r>
                </w:p>
              </w:tc>
            </w:tr>
          </w:tbl>
          <w:p w:rsidR="009E5CE8" w:rsidRPr="00FE2F3B" w:rsidRDefault="009E5CE8" w:rsidP="00F90CB2"/>
          <w:p w:rsidR="00C07410" w:rsidRPr="00FE2F3B" w:rsidRDefault="0024343A" w:rsidP="00F90CB2">
            <w:r w:rsidRPr="00FE2F3B">
              <w:t>Le coût de ces activités sera couvert par le budget existant de la Division du droit d</w:t>
            </w:r>
            <w:r w:rsidR="006E4D4B">
              <w:t>’</w:t>
            </w:r>
            <w:r w:rsidRPr="00FE2F3B">
              <w:t>auteur.</w:t>
            </w:r>
            <w:r w:rsidR="00C15EAD" w:rsidRPr="00FE2F3B">
              <w:t xml:space="preserve"> </w:t>
            </w:r>
            <w:r w:rsidR="00251966">
              <w:t xml:space="preserve"> </w:t>
            </w:r>
          </w:p>
        </w:tc>
      </w:tr>
      <w:tr w:rsidR="00A61C8A" w:rsidRPr="0024343A" w:rsidTr="00F90CB2">
        <w:tc>
          <w:tcPr>
            <w:tcW w:w="2155" w:type="dxa"/>
          </w:tcPr>
          <w:p w:rsidR="00A61C8A" w:rsidRPr="00E37409" w:rsidRDefault="0024343A" w:rsidP="00F90CB2">
            <w:pPr>
              <w:rPr>
                <w:i/>
              </w:rPr>
            </w:pPr>
            <w:r w:rsidRPr="00E37409">
              <w:rPr>
                <w:i/>
              </w:rPr>
              <w:t>Résultats/Incidence du projet</w:t>
            </w:r>
          </w:p>
        </w:tc>
        <w:tc>
          <w:tcPr>
            <w:tcW w:w="7190" w:type="dxa"/>
          </w:tcPr>
          <w:p w:rsidR="009E5CE8" w:rsidRPr="00FE2F3B" w:rsidRDefault="0024343A" w:rsidP="00E37409">
            <w:pPr>
              <w:numPr>
                <w:ilvl w:val="0"/>
                <w:numId w:val="12"/>
              </w:numPr>
              <w:ind w:left="1134" w:hanging="567"/>
              <w:contextualSpacing/>
              <w:jc w:val="both"/>
              <w:rPr>
                <w:rFonts w:eastAsia="Times New Roman"/>
                <w:szCs w:val="22"/>
                <w:lang w:eastAsia="en-US"/>
              </w:rPr>
            </w:pPr>
            <w:r w:rsidRPr="00FE2F3B">
              <w:rPr>
                <w:rFonts w:eastAsia="Times New Roman"/>
                <w:szCs w:val="22"/>
                <w:lang w:eastAsia="en-US"/>
              </w:rPr>
              <w:t>Diffus</w:t>
            </w:r>
            <w:r w:rsidR="00FE2F3B">
              <w:rPr>
                <w:rFonts w:eastAsia="Times New Roman"/>
                <w:szCs w:val="22"/>
                <w:lang w:eastAsia="en-US"/>
              </w:rPr>
              <w:t>ion d</w:t>
            </w:r>
            <w:r w:rsidRPr="00FE2F3B">
              <w:rPr>
                <w:rFonts w:eastAsia="Times New Roman"/>
                <w:szCs w:val="22"/>
                <w:lang w:eastAsia="en-US"/>
              </w:rPr>
              <w:t>es résultats de l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FE2F3B">
              <w:rPr>
                <w:rFonts w:eastAsia="Times New Roman"/>
                <w:szCs w:val="22"/>
                <w:lang w:eastAsia="en-US"/>
              </w:rPr>
              <w:t>étude de faisabilité sur l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FE2F3B">
              <w:rPr>
                <w:rFonts w:eastAsia="Times New Roman"/>
                <w:szCs w:val="22"/>
                <w:lang w:eastAsia="en-US"/>
              </w:rPr>
              <w:t>importance des données économiques sur le secteur de l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FE2F3B">
              <w:rPr>
                <w:rFonts w:eastAsia="Times New Roman"/>
                <w:szCs w:val="22"/>
                <w:lang w:eastAsia="en-US"/>
              </w:rPr>
              <w:t>audiovisuel</w:t>
            </w:r>
            <w:r w:rsidR="00FE2F3B">
              <w:rPr>
                <w:rFonts w:eastAsia="Times New Roman"/>
                <w:szCs w:val="22"/>
                <w:lang w:eastAsia="en-US"/>
              </w:rPr>
              <w:t>.</w:t>
            </w:r>
          </w:p>
          <w:p w:rsidR="009E5CE8" w:rsidRPr="00FE2F3B" w:rsidRDefault="0024343A" w:rsidP="00E37409">
            <w:pPr>
              <w:numPr>
                <w:ilvl w:val="0"/>
                <w:numId w:val="12"/>
              </w:numPr>
              <w:ind w:left="1134" w:hanging="567"/>
              <w:contextualSpacing/>
              <w:jc w:val="both"/>
              <w:rPr>
                <w:rFonts w:eastAsia="Times New Roman"/>
                <w:szCs w:val="22"/>
                <w:lang w:eastAsia="en-US"/>
              </w:rPr>
            </w:pPr>
            <w:r w:rsidRPr="00FE2F3B">
              <w:rPr>
                <w:rFonts w:eastAsia="Times New Roman"/>
                <w:szCs w:val="22"/>
                <w:lang w:eastAsia="en-US"/>
              </w:rPr>
              <w:t>Prise de conscience accrue des méthodes de collecte, d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FE2F3B">
              <w:rPr>
                <w:rFonts w:eastAsia="Times New Roman"/>
                <w:szCs w:val="22"/>
                <w:lang w:eastAsia="en-US"/>
              </w:rPr>
              <w:t>analyse et de présentation</w:t>
            </w:r>
            <w:r w:rsidR="00FE2F3B">
              <w:rPr>
                <w:rFonts w:eastAsia="Times New Roman"/>
                <w:szCs w:val="22"/>
                <w:lang w:eastAsia="en-US"/>
              </w:rPr>
              <w:t>.</w:t>
            </w:r>
          </w:p>
          <w:p w:rsidR="00C07410" w:rsidRPr="00FE2F3B" w:rsidRDefault="0024343A" w:rsidP="00E37409">
            <w:pPr>
              <w:numPr>
                <w:ilvl w:val="0"/>
                <w:numId w:val="12"/>
              </w:numPr>
              <w:ind w:left="1134" w:hanging="567"/>
              <w:contextualSpacing/>
              <w:jc w:val="both"/>
              <w:rPr>
                <w:rFonts w:eastAsia="Times New Roman"/>
                <w:szCs w:val="22"/>
                <w:lang w:eastAsia="en-US"/>
              </w:rPr>
            </w:pPr>
            <w:r w:rsidRPr="00FE2F3B">
              <w:rPr>
                <w:rFonts w:eastAsia="Times New Roman"/>
                <w:szCs w:val="22"/>
                <w:lang w:eastAsia="en-US"/>
              </w:rPr>
              <w:t>Recensement des options et des méthodes possibles en vue d</w:t>
            </w:r>
            <w:r w:rsidR="006E4D4B">
              <w:rPr>
                <w:rFonts w:eastAsia="Times New Roman"/>
                <w:szCs w:val="22"/>
                <w:lang w:eastAsia="en-US"/>
              </w:rPr>
              <w:t>’</w:t>
            </w:r>
            <w:r w:rsidRPr="00FE2F3B">
              <w:rPr>
                <w:rFonts w:eastAsia="Times New Roman"/>
                <w:szCs w:val="22"/>
                <w:lang w:eastAsia="en-US"/>
              </w:rPr>
              <w:t>améliorer la collecte de données économiques.</w:t>
            </w:r>
          </w:p>
        </w:tc>
      </w:tr>
    </w:tbl>
    <w:p w:rsidR="009E5CE8" w:rsidRPr="0024343A" w:rsidRDefault="009E5CE8"/>
    <w:p w:rsidR="00FF478F" w:rsidRPr="00130C42" w:rsidRDefault="0024343A" w:rsidP="00E37409">
      <w:pPr>
        <w:pStyle w:val="Endofdocument-Annex"/>
        <w:rPr>
          <w:lang w:val="fr-CH"/>
        </w:rPr>
      </w:pPr>
      <w:r w:rsidRPr="00CD63EA">
        <w:rPr>
          <w:lang w:val="fr-CH"/>
        </w:rPr>
        <w:t>[Fin de l</w:t>
      </w:r>
      <w:r w:rsidR="006E4D4B" w:rsidRPr="00CD63EA">
        <w:rPr>
          <w:lang w:val="fr-CH"/>
        </w:rPr>
        <w:t>’</w:t>
      </w:r>
      <w:r w:rsidRPr="00CD63EA">
        <w:rPr>
          <w:lang w:val="fr-CH"/>
        </w:rPr>
        <w:t>annexe et du document]</w:t>
      </w:r>
    </w:p>
    <w:sectPr w:rsidR="00FF478F" w:rsidRPr="00130C42" w:rsidSect="00F90CB2">
      <w:headerReference w:type="default" r:id="rId15"/>
      <w:headerReference w:type="first" r:id="rId16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D3C" w:rsidRDefault="00203D3C">
      <w:r>
        <w:separator/>
      </w:r>
    </w:p>
  </w:endnote>
  <w:endnote w:type="continuationSeparator" w:id="0">
    <w:p w:rsidR="00203D3C" w:rsidRDefault="00203D3C" w:rsidP="003B38C1">
      <w:r>
        <w:separator/>
      </w:r>
    </w:p>
    <w:p w:rsidR="00203D3C" w:rsidRPr="003B38C1" w:rsidRDefault="00203D3C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:rsidR="00203D3C" w:rsidRPr="003B38C1" w:rsidRDefault="00203D3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63" w:rsidRDefault="00C31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63" w:rsidRDefault="00C316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63" w:rsidRDefault="00C31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D3C" w:rsidRDefault="00203D3C">
      <w:r>
        <w:separator/>
      </w:r>
    </w:p>
  </w:footnote>
  <w:footnote w:type="continuationSeparator" w:id="0">
    <w:p w:rsidR="00203D3C" w:rsidRDefault="00203D3C" w:rsidP="008B60B2">
      <w:r>
        <w:separator/>
      </w:r>
    </w:p>
    <w:p w:rsidR="00203D3C" w:rsidRPr="00ED77FB" w:rsidRDefault="00203D3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type="continuationNotice" w:id="1">
    <w:p w:rsidR="00203D3C" w:rsidRPr="00ED77FB" w:rsidRDefault="00203D3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63" w:rsidRDefault="00C31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4B" w:rsidRDefault="00F90CB2" w:rsidP="00F90CB2">
    <w:pPr>
      <w:pStyle w:val="Header"/>
      <w:jc w:val="right"/>
    </w:pPr>
    <w:r>
      <w:t>CDIP/23/12</w:t>
    </w:r>
  </w:p>
  <w:p w:rsidR="00F90CB2" w:rsidRDefault="00F90CB2" w:rsidP="00F90CB2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F90CB2" w:rsidRDefault="00F90CB2" w:rsidP="00F90CB2">
    <w:pPr>
      <w:pStyle w:val="Header"/>
      <w:jc w:val="right"/>
    </w:pPr>
  </w:p>
  <w:p w:rsidR="00F90CB2" w:rsidRPr="00F90CB2" w:rsidRDefault="00F90CB2" w:rsidP="00F90CB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663" w:rsidRDefault="00C3166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AA" w:rsidRDefault="00695EAA" w:rsidP="00477D6B">
    <w:pPr>
      <w:jc w:val="right"/>
    </w:pPr>
    <w:r>
      <w:t>CDIP/23/12</w:t>
    </w:r>
  </w:p>
  <w:p w:rsidR="00F90CB2" w:rsidRDefault="00695EAA" w:rsidP="00B12663">
    <w:pPr>
      <w:pStyle w:val="Header"/>
      <w:jc w:val="right"/>
    </w:pPr>
    <w:r>
      <w:t>Annex</w:t>
    </w:r>
    <w:r w:rsidR="007052E5">
      <w:t>e</w:t>
    </w:r>
    <w:r>
      <w:t xml:space="preserve">, </w:t>
    </w:r>
    <w:r w:rsidR="00F90CB2">
      <w:t xml:space="preserve">page </w:t>
    </w:r>
    <w:r w:rsidR="00F90CB2">
      <w:fldChar w:fldCharType="begin"/>
    </w:r>
    <w:r w:rsidR="00F90CB2">
      <w:instrText>PAGE   \* MERGEFORMAT</w:instrText>
    </w:r>
    <w:r w:rsidR="00F90CB2">
      <w:fldChar w:fldCharType="separate"/>
    </w:r>
    <w:r w:rsidR="00CD63EA">
      <w:rPr>
        <w:noProof/>
      </w:rPr>
      <w:t>4</w:t>
    </w:r>
    <w:r w:rsidR="00F90CB2">
      <w:fldChar w:fldCharType="end"/>
    </w:r>
  </w:p>
  <w:p w:rsidR="00695EAA" w:rsidRDefault="00695EAA" w:rsidP="00477D6B">
    <w:pPr>
      <w:jc w:val="right"/>
    </w:pPr>
  </w:p>
  <w:p w:rsidR="00695EAA" w:rsidRDefault="00695EAA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AA" w:rsidRDefault="00695EAA" w:rsidP="00F90CB2">
    <w:pPr>
      <w:pStyle w:val="Header"/>
      <w:jc w:val="right"/>
    </w:pPr>
    <w:r>
      <w:t>CDIP/23/12</w:t>
    </w:r>
  </w:p>
  <w:p w:rsidR="00695EAA" w:rsidRDefault="00F90CB2" w:rsidP="00F90CB2">
    <w:pPr>
      <w:pStyle w:val="Header"/>
      <w:jc w:val="right"/>
    </w:pPr>
    <w:r>
      <w:t>ANNEXE</w:t>
    </w:r>
  </w:p>
  <w:p w:rsidR="00695EAA" w:rsidRDefault="00695EAA" w:rsidP="00F90CB2">
    <w:pPr>
      <w:pStyle w:val="Header"/>
      <w:jc w:val="right"/>
    </w:pPr>
  </w:p>
  <w:p w:rsidR="00695EAA" w:rsidRDefault="00695EAA" w:rsidP="00F90CB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322C79"/>
    <w:multiLevelType w:val="hybridMultilevel"/>
    <w:tmpl w:val="8766FB9E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7DD65F3"/>
    <w:multiLevelType w:val="hybridMultilevel"/>
    <w:tmpl w:val="F6583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7DB6"/>
    <w:multiLevelType w:val="hybridMultilevel"/>
    <w:tmpl w:val="2610A7EA"/>
    <w:lvl w:ilvl="0" w:tplc="658AD8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66C56"/>
    <w:multiLevelType w:val="hybridMultilevel"/>
    <w:tmpl w:val="0A3E5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918DE"/>
    <w:multiLevelType w:val="hybridMultilevel"/>
    <w:tmpl w:val="CB004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93C62"/>
    <w:multiLevelType w:val="hybridMultilevel"/>
    <w:tmpl w:val="9ACC07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E31CA"/>
    <w:multiLevelType w:val="hybridMultilevel"/>
    <w:tmpl w:val="D1D694AA"/>
    <w:lvl w:ilvl="0" w:tplc="3968987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F545A"/>
    <w:multiLevelType w:val="hybridMultilevel"/>
    <w:tmpl w:val="6D6E7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12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2"/>
  </w:num>
  <w:num w:numId="15">
    <w:abstractNumId w:val="6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203D3C"/>
    <w:rsid w:val="00043CAA"/>
    <w:rsid w:val="00047B54"/>
    <w:rsid w:val="00070084"/>
    <w:rsid w:val="00075432"/>
    <w:rsid w:val="000968ED"/>
    <w:rsid w:val="000F5E56"/>
    <w:rsid w:val="00103AF7"/>
    <w:rsid w:val="00130C42"/>
    <w:rsid w:val="001362EE"/>
    <w:rsid w:val="001647D5"/>
    <w:rsid w:val="00182CF2"/>
    <w:rsid w:val="001832A6"/>
    <w:rsid w:val="001F0138"/>
    <w:rsid w:val="00203D3C"/>
    <w:rsid w:val="0021217E"/>
    <w:rsid w:val="0024343A"/>
    <w:rsid w:val="00251966"/>
    <w:rsid w:val="002634C4"/>
    <w:rsid w:val="002928D3"/>
    <w:rsid w:val="002B3C24"/>
    <w:rsid w:val="002C07E1"/>
    <w:rsid w:val="002F1FE6"/>
    <w:rsid w:val="002F4E68"/>
    <w:rsid w:val="00312F7F"/>
    <w:rsid w:val="00361450"/>
    <w:rsid w:val="003673CF"/>
    <w:rsid w:val="003845C1"/>
    <w:rsid w:val="003A6F89"/>
    <w:rsid w:val="003B38C1"/>
    <w:rsid w:val="003E5146"/>
    <w:rsid w:val="00423E3E"/>
    <w:rsid w:val="00427AF4"/>
    <w:rsid w:val="004647DA"/>
    <w:rsid w:val="00474062"/>
    <w:rsid w:val="00477D6B"/>
    <w:rsid w:val="0048431A"/>
    <w:rsid w:val="005019FF"/>
    <w:rsid w:val="00503B50"/>
    <w:rsid w:val="0053057A"/>
    <w:rsid w:val="005543BB"/>
    <w:rsid w:val="00560A29"/>
    <w:rsid w:val="005C6649"/>
    <w:rsid w:val="00605827"/>
    <w:rsid w:val="00643FD6"/>
    <w:rsid w:val="00646050"/>
    <w:rsid w:val="006713CA"/>
    <w:rsid w:val="00676C5C"/>
    <w:rsid w:val="00695EAA"/>
    <w:rsid w:val="006A2E54"/>
    <w:rsid w:val="006E4D4B"/>
    <w:rsid w:val="007024B9"/>
    <w:rsid w:val="007052E5"/>
    <w:rsid w:val="007B3815"/>
    <w:rsid w:val="007D1613"/>
    <w:rsid w:val="007E4C0E"/>
    <w:rsid w:val="00835F3A"/>
    <w:rsid w:val="008A134B"/>
    <w:rsid w:val="008A771A"/>
    <w:rsid w:val="008B2CC1"/>
    <w:rsid w:val="008B60B2"/>
    <w:rsid w:val="0090731E"/>
    <w:rsid w:val="00916EE2"/>
    <w:rsid w:val="00966A22"/>
    <w:rsid w:val="0096722F"/>
    <w:rsid w:val="00980843"/>
    <w:rsid w:val="00981F54"/>
    <w:rsid w:val="009E2791"/>
    <w:rsid w:val="009E3F6F"/>
    <w:rsid w:val="009E5CE8"/>
    <w:rsid w:val="009F499F"/>
    <w:rsid w:val="00A37342"/>
    <w:rsid w:val="00A42DAF"/>
    <w:rsid w:val="00A45BD8"/>
    <w:rsid w:val="00A61C8A"/>
    <w:rsid w:val="00A869B7"/>
    <w:rsid w:val="00AC205C"/>
    <w:rsid w:val="00AF0A6B"/>
    <w:rsid w:val="00B05A69"/>
    <w:rsid w:val="00B27789"/>
    <w:rsid w:val="00B9734B"/>
    <w:rsid w:val="00BA30E2"/>
    <w:rsid w:val="00C07410"/>
    <w:rsid w:val="00C11BFE"/>
    <w:rsid w:val="00C15EAD"/>
    <w:rsid w:val="00C31663"/>
    <w:rsid w:val="00C5068F"/>
    <w:rsid w:val="00C86D74"/>
    <w:rsid w:val="00CC46F0"/>
    <w:rsid w:val="00CD04F1"/>
    <w:rsid w:val="00CD0E78"/>
    <w:rsid w:val="00CD63EA"/>
    <w:rsid w:val="00D0745A"/>
    <w:rsid w:val="00D44D63"/>
    <w:rsid w:val="00D45252"/>
    <w:rsid w:val="00D71B4D"/>
    <w:rsid w:val="00D93D55"/>
    <w:rsid w:val="00DA0A95"/>
    <w:rsid w:val="00E15015"/>
    <w:rsid w:val="00E335FE"/>
    <w:rsid w:val="00E37409"/>
    <w:rsid w:val="00E770FB"/>
    <w:rsid w:val="00EA7D6E"/>
    <w:rsid w:val="00EC4E49"/>
    <w:rsid w:val="00ED0A94"/>
    <w:rsid w:val="00ED77FB"/>
    <w:rsid w:val="00EE45FA"/>
    <w:rsid w:val="00EE6077"/>
    <w:rsid w:val="00F66152"/>
    <w:rsid w:val="00F90CB2"/>
    <w:rsid w:val="00F962F4"/>
    <w:rsid w:val="00FC55C2"/>
    <w:rsid w:val="00FE2F3B"/>
    <w:rsid w:val="00FF478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C03F5247-36F1-4B60-803B-789588CA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CB2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F90CB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F90CB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F90CB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90CB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F90CB2"/>
    <w:pPr>
      <w:ind w:left="5534"/>
    </w:pPr>
    <w:rPr>
      <w:lang w:val="en-US"/>
    </w:rPr>
  </w:style>
  <w:style w:type="paragraph" w:styleId="BodyText">
    <w:name w:val="Body Text"/>
    <w:basedOn w:val="Normal"/>
    <w:rsid w:val="00F90CB2"/>
    <w:pPr>
      <w:spacing w:after="220"/>
    </w:pPr>
  </w:style>
  <w:style w:type="paragraph" w:styleId="Caption">
    <w:name w:val="caption"/>
    <w:basedOn w:val="Normal"/>
    <w:next w:val="Normal"/>
    <w:qFormat/>
    <w:rsid w:val="00F90CB2"/>
    <w:rPr>
      <w:b/>
      <w:bCs/>
      <w:sz w:val="18"/>
    </w:rPr>
  </w:style>
  <w:style w:type="paragraph" w:styleId="CommentText">
    <w:name w:val="annotation text"/>
    <w:basedOn w:val="Normal"/>
    <w:semiHidden/>
    <w:rsid w:val="00F90CB2"/>
    <w:rPr>
      <w:sz w:val="18"/>
    </w:rPr>
  </w:style>
  <w:style w:type="paragraph" w:styleId="EndnoteText">
    <w:name w:val="endnote text"/>
    <w:basedOn w:val="Normal"/>
    <w:semiHidden/>
    <w:rsid w:val="00F90CB2"/>
    <w:rPr>
      <w:sz w:val="18"/>
    </w:rPr>
  </w:style>
  <w:style w:type="paragraph" w:styleId="Footer">
    <w:name w:val="footer"/>
    <w:basedOn w:val="Normal"/>
    <w:semiHidden/>
    <w:rsid w:val="00F90CB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90CB2"/>
    <w:rPr>
      <w:sz w:val="18"/>
    </w:rPr>
  </w:style>
  <w:style w:type="paragraph" w:styleId="Header">
    <w:name w:val="header"/>
    <w:basedOn w:val="Normal"/>
    <w:link w:val="HeaderChar"/>
    <w:uiPriority w:val="99"/>
    <w:rsid w:val="00F90CB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F90CB2"/>
    <w:pPr>
      <w:numPr>
        <w:numId w:val="13"/>
      </w:numPr>
    </w:pPr>
  </w:style>
  <w:style w:type="paragraph" w:customStyle="1" w:styleId="ONUME">
    <w:name w:val="ONUM E"/>
    <w:basedOn w:val="BodyText"/>
    <w:rsid w:val="00F90CB2"/>
    <w:pPr>
      <w:numPr>
        <w:numId w:val="14"/>
      </w:numPr>
    </w:pPr>
  </w:style>
  <w:style w:type="paragraph" w:customStyle="1" w:styleId="ONUMFS">
    <w:name w:val="ONUM FS"/>
    <w:basedOn w:val="BodyText"/>
    <w:rsid w:val="00F90CB2"/>
    <w:pPr>
      <w:numPr>
        <w:numId w:val="15"/>
      </w:numPr>
    </w:pPr>
  </w:style>
  <w:style w:type="paragraph" w:styleId="Salutation">
    <w:name w:val="Salutation"/>
    <w:basedOn w:val="Normal"/>
    <w:next w:val="Normal"/>
    <w:semiHidden/>
    <w:rsid w:val="00F90CB2"/>
  </w:style>
  <w:style w:type="paragraph" w:styleId="Signature">
    <w:name w:val="Signature"/>
    <w:basedOn w:val="Normal"/>
    <w:semiHidden/>
    <w:rsid w:val="00F90CB2"/>
    <w:pPr>
      <w:ind w:left="5250"/>
    </w:pPr>
  </w:style>
  <w:style w:type="paragraph" w:styleId="ListParagraph">
    <w:name w:val="List Paragraph"/>
    <w:basedOn w:val="Normal"/>
    <w:uiPriority w:val="34"/>
    <w:qFormat/>
    <w:rsid w:val="00F90CB2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FC55C2"/>
    <w:rPr>
      <w:vertAlign w:val="superscript"/>
    </w:rPr>
  </w:style>
  <w:style w:type="table" w:styleId="TableGrid">
    <w:name w:val="Table Grid"/>
    <w:basedOn w:val="TableNormal"/>
    <w:rsid w:val="00F96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A61C8A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702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24B9"/>
    <w:rPr>
      <w:rFonts w:ascii="Segoe UI" w:eastAsia="SimSun" w:hAnsi="Segoe UI" w:cs="Segoe UI"/>
      <w:sz w:val="18"/>
      <w:szCs w:val="18"/>
      <w:lang w:val="en-US" w:eastAsia="zh-CN"/>
    </w:rPr>
  </w:style>
  <w:style w:type="paragraph" w:customStyle="1" w:styleId="Meetingplacedate">
    <w:name w:val="Meeting place &amp; date"/>
    <w:basedOn w:val="Normal"/>
    <w:next w:val="Normal"/>
    <w:rsid w:val="00F90CB2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F90CB2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customStyle="1" w:styleId="HeaderChar">
    <w:name w:val="Header Char"/>
    <w:link w:val="Header"/>
    <w:uiPriority w:val="99"/>
    <w:rsid w:val="00F90CB2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semiHidden/>
    <w:unhideWhenUsed/>
    <w:rsid w:val="00C31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2C761-8126-4AB6-9C2D-2E8241DF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6737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CDIP/23/</vt:lpstr>
    </vt:vector>
  </TitlesOfParts>
  <Company>WIPO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CDIP/23/</dc:title>
  <dc:creator>MUSIZA Charlene</dc:creator>
  <cp:lastModifiedBy>SARKISSOVA Anna</cp:lastModifiedBy>
  <cp:revision>2</cp:revision>
  <cp:lastPrinted>2011-02-15T11:56:00Z</cp:lastPrinted>
  <dcterms:created xsi:type="dcterms:W3CDTF">2019-04-04T13:43:00Z</dcterms:created>
  <dcterms:modified xsi:type="dcterms:W3CDTF">2019-04-04T13:43:00Z</dcterms:modified>
</cp:coreProperties>
</file>