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D239E" w:rsidRPr="008B2CC1" w:rsidTr="0087619D">
        <w:tc>
          <w:tcPr>
            <w:tcW w:w="4513" w:type="dxa"/>
            <w:tcBorders>
              <w:bottom w:val="single" w:sz="4" w:space="0" w:color="auto"/>
            </w:tcBorders>
            <w:tcMar>
              <w:bottom w:w="170" w:type="dxa"/>
            </w:tcMar>
          </w:tcPr>
          <w:p w:rsidR="001D239E" w:rsidRPr="008B2CC1" w:rsidRDefault="001D239E" w:rsidP="0087619D">
            <w:bookmarkStart w:id="0" w:name="TitleOfDoc"/>
            <w:bookmarkEnd w:id="0"/>
          </w:p>
        </w:tc>
        <w:tc>
          <w:tcPr>
            <w:tcW w:w="4337" w:type="dxa"/>
            <w:tcBorders>
              <w:bottom w:val="single" w:sz="4" w:space="0" w:color="auto"/>
            </w:tcBorders>
            <w:tcMar>
              <w:left w:w="0" w:type="dxa"/>
              <w:right w:w="0" w:type="dxa"/>
            </w:tcMar>
          </w:tcPr>
          <w:p w:rsidR="001D239E" w:rsidRPr="008B2CC1" w:rsidRDefault="001D239E" w:rsidP="0087619D">
            <w:r>
              <w:rPr>
                <w:noProof/>
                <w:lang w:eastAsia="en-US"/>
              </w:rPr>
              <w:drawing>
                <wp:inline distT="0" distB="0" distL="0" distR="0" wp14:anchorId="33FF5325" wp14:editId="652587A2">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D239E" w:rsidRPr="008B2CC1" w:rsidRDefault="001D239E" w:rsidP="0087619D">
            <w:pPr>
              <w:jc w:val="right"/>
            </w:pPr>
            <w:r>
              <w:rPr>
                <w:b/>
                <w:sz w:val="40"/>
                <w:szCs w:val="40"/>
              </w:rPr>
              <w:t>F</w:t>
            </w:r>
          </w:p>
        </w:tc>
      </w:tr>
      <w:tr w:rsidR="001D239E" w:rsidRPr="001832A6" w:rsidTr="0087619D">
        <w:trPr>
          <w:trHeight w:hRule="exact" w:val="357"/>
        </w:trPr>
        <w:tc>
          <w:tcPr>
            <w:tcW w:w="9356" w:type="dxa"/>
            <w:gridSpan w:val="3"/>
            <w:tcBorders>
              <w:top w:val="single" w:sz="4" w:space="0" w:color="auto"/>
            </w:tcBorders>
            <w:tcMar>
              <w:top w:w="170" w:type="dxa"/>
              <w:left w:w="0" w:type="dxa"/>
              <w:right w:w="0" w:type="dxa"/>
            </w:tcMar>
            <w:vAlign w:val="bottom"/>
          </w:tcPr>
          <w:p w:rsidR="001D239E" w:rsidRPr="0090731E" w:rsidRDefault="001D239E" w:rsidP="0087619D">
            <w:pPr>
              <w:jc w:val="right"/>
              <w:rPr>
                <w:rFonts w:ascii="Arial Black" w:hAnsi="Arial Black"/>
                <w:caps/>
                <w:sz w:val="15"/>
              </w:rPr>
            </w:pPr>
            <w:r>
              <w:rPr>
                <w:rFonts w:ascii="Arial Black" w:hAnsi="Arial Black"/>
                <w:caps/>
                <w:sz w:val="15"/>
              </w:rPr>
              <w:t>CDIP/22/</w:t>
            </w:r>
            <w:bookmarkStart w:id="1" w:name="Code"/>
            <w:bookmarkEnd w:id="1"/>
            <w:r>
              <w:rPr>
                <w:rFonts w:ascii="Arial Black" w:hAnsi="Arial Black"/>
                <w:caps/>
                <w:sz w:val="15"/>
              </w:rPr>
              <w:t>7</w:t>
            </w:r>
          </w:p>
        </w:tc>
      </w:tr>
      <w:tr w:rsidR="001D239E" w:rsidRPr="001832A6" w:rsidTr="0087619D">
        <w:trPr>
          <w:trHeight w:hRule="exact" w:val="170"/>
        </w:trPr>
        <w:tc>
          <w:tcPr>
            <w:tcW w:w="9356" w:type="dxa"/>
            <w:gridSpan w:val="3"/>
            <w:noWrap/>
            <w:tcMar>
              <w:left w:w="0" w:type="dxa"/>
              <w:right w:w="0" w:type="dxa"/>
            </w:tcMar>
            <w:vAlign w:val="bottom"/>
          </w:tcPr>
          <w:p w:rsidR="001D239E" w:rsidRPr="0090731E" w:rsidRDefault="001D239E" w:rsidP="0087619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bookmarkStart w:id="2" w:name="Original"/>
            <w:bookmarkEnd w:id="2"/>
            <w:r>
              <w:rPr>
                <w:rFonts w:ascii="Arial Black" w:hAnsi="Arial Black"/>
                <w:caps/>
                <w:sz w:val="15"/>
              </w:rPr>
              <w:t>anglais</w:t>
            </w:r>
          </w:p>
        </w:tc>
      </w:tr>
      <w:tr w:rsidR="001D239E" w:rsidRPr="001832A6" w:rsidTr="0087619D">
        <w:trPr>
          <w:trHeight w:hRule="exact" w:val="198"/>
        </w:trPr>
        <w:tc>
          <w:tcPr>
            <w:tcW w:w="9356" w:type="dxa"/>
            <w:gridSpan w:val="3"/>
            <w:tcMar>
              <w:left w:w="0" w:type="dxa"/>
              <w:right w:w="0" w:type="dxa"/>
            </w:tcMar>
            <w:vAlign w:val="bottom"/>
          </w:tcPr>
          <w:p w:rsidR="001D239E" w:rsidRPr="0090731E" w:rsidRDefault="001D239E" w:rsidP="0087619D">
            <w:pPr>
              <w:jc w:val="right"/>
              <w:rPr>
                <w:rFonts w:ascii="Arial Black" w:hAnsi="Arial Black"/>
                <w:caps/>
                <w:sz w:val="15"/>
              </w:rPr>
            </w:pPr>
            <w:r w:rsidRPr="0090731E">
              <w:rPr>
                <w:rFonts w:ascii="Arial Black" w:hAnsi="Arial Black"/>
                <w:caps/>
                <w:sz w:val="15"/>
              </w:rPr>
              <w:t>DATE</w:t>
            </w:r>
            <w:r>
              <w:rPr>
                <w:rFonts w:ascii="Arial Black" w:hAnsi="Arial Black"/>
                <w:caps/>
                <w:sz w:val="15"/>
              </w:rPr>
              <w:t> :</w:t>
            </w:r>
            <w:r w:rsidRPr="0090731E">
              <w:rPr>
                <w:rFonts w:ascii="Arial Black" w:hAnsi="Arial Black"/>
                <w:caps/>
                <w:sz w:val="15"/>
              </w:rPr>
              <w:t xml:space="preserve"> </w:t>
            </w:r>
            <w:bookmarkStart w:id="3" w:name="Date"/>
            <w:bookmarkEnd w:id="3"/>
            <w:r>
              <w:rPr>
                <w:rFonts w:ascii="Arial Black" w:hAnsi="Arial Black"/>
                <w:caps/>
                <w:sz w:val="15"/>
              </w:rPr>
              <w:t>26 septembre 2018</w:t>
            </w:r>
          </w:p>
        </w:tc>
      </w:tr>
    </w:tbl>
    <w:p w:rsidR="001D239E" w:rsidRPr="00D81E78" w:rsidRDefault="001D239E" w:rsidP="008508D0">
      <w:pPr>
        <w:spacing w:before="1200" w:after="600"/>
        <w:rPr>
          <w:b/>
          <w:sz w:val="28"/>
          <w:szCs w:val="28"/>
          <w:lang w:val="fr-FR"/>
        </w:rPr>
      </w:pPr>
      <w:r w:rsidRPr="00D81E78">
        <w:rPr>
          <w:b/>
          <w:sz w:val="28"/>
          <w:szCs w:val="28"/>
          <w:lang w:val="fr-FR"/>
        </w:rPr>
        <w:t>Comité du développement et de la propriété intellectuelle (CDIP)</w:t>
      </w:r>
    </w:p>
    <w:p w:rsidR="001D239E" w:rsidRPr="00B31DEE" w:rsidRDefault="001D239E" w:rsidP="001D239E">
      <w:pPr>
        <w:rPr>
          <w:b/>
          <w:sz w:val="24"/>
          <w:szCs w:val="24"/>
          <w:lang w:val="fr-FR"/>
        </w:rPr>
      </w:pPr>
      <w:r>
        <w:rPr>
          <w:b/>
          <w:sz w:val="24"/>
          <w:szCs w:val="24"/>
          <w:lang w:val="fr-FR"/>
        </w:rPr>
        <w:t>Vingt</w:t>
      </w:r>
      <w:r w:rsidR="00215E98">
        <w:rPr>
          <w:b/>
          <w:sz w:val="24"/>
          <w:szCs w:val="24"/>
          <w:lang w:val="fr-FR"/>
        </w:rPr>
        <w:noBreakHyphen/>
      </w:r>
      <w:r>
        <w:rPr>
          <w:b/>
          <w:sz w:val="24"/>
          <w:szCs w:val="24"/>
          <w:lang w:val="fr-FR"/>
        </w:rPr>
        <w:t>deuxième session</w:t>
      </w:r>
    </w:p>
    <w:p w:rsidR="001D239E" w:rsidRPr="00B31DEE" w:rsidRDefault="001D239E" w:rsidP="001D239E">
      <w:pPr>
        <w:rPr>
          <w:b/>
          <w:sz w:val="24"/>
          <w:szCs w:val="24"/>
          <w:lang w:val="fr-FR"/>
        </w:rPr>
      </w:pPr>
      <w:r>
        <w:rPr>
          <w:b/>
          <w:sz w:val="24"/>
          <w:szCs w:val="24"/>
          <w:lang w:val="fr-FR"/>
        </w:rPr>
        <w:t>Genève, 19</w:t>
      </w:r>
      <w:r w:rsidRPr="00B31DEE">
        <w:rPr>
          <w:b/>
          <w:sz w:val="24"/>
          <w:szCs w:val="24"/>
          <w:lang w:val="fr-FR"/>
        </w:rPr>
        <w:t xml:space="preserve"> – </w:t>
      </w:r>
      <w:r>
        <w:rPr>
          <w:b/>
          <w:sz w:val="24"/>
          <w:szCs w:val="24"/>
          <w:lang w:val="fr-FR"/>
        </w:rPr>
        <w:t>23</w:t>
      </w:r>
      <w:r w:rsidRPr="00B31DEE">
        <w:rPr>
          <w:b/>
          <w:sz w:val="24"/>
          <w:szCs w:val="24"/>
          <w:lang w:val="fr-FR"/>
        </w:rPr>
        <w:t> </w:t>
      </w:r>
      <w:r>
        <w:rPr>
          <w:b/>
          <w:sz w:val="24"/>
          <w:szCs w:val="24"/>
          <w:lang w:val="fr-FR"/>
        </w:rPr>
        <w:t>novembre 2018</w:t>
      </w:r>
    </w:p>
    <w:p w:rsidR="00564AB5" w:rsidRPr="00777AE2" w:rsidRDefault="00D82268" w:rsidP="008508D0">
      <w:pPr>
        <w:spacing w:before="720" w:after="360"/>
        <w:rPr>
          <w:caps/>
          <w:sz w:val="24"/>
          <w:lang w:val="fr-CH"/>
        </w:rPr>
      </w:pPr>
      <w:r w:rsidRPr="00777AE2">
        <w:rPr>
          <w:caps/>
          <w:sz w:val="24"/>
          <w:lang w:val="fr-CH"/>
        </w:rPr>
        <w:t>Liste d</w:t>
      </w:r>
      <w:r w:rsidR="001D239E">
        <w:rPr>
          <w:caps/>
          <w:sz w:val="24"/>
          <w:lang w:val="fr-CH"/>
        </w:rPr>
        <w:t>’</w:t>
      </w:r>
      <w:r w:rsidRPr="00777AE2">
        <w:rPr>
          <w:caps/>
          <w:sz w:val="24"/>
          <w:lang w:val="fr-CH"/>
        </w:rPr>
        <w:t>indicateurs permettant d</w:t>
      </w:r>
      <w:r w:rsidR="001D239E">
        <w:rPr>
          <w:caps/>
          <w:sz w:val="24"/>
          <w:lang w:val="fr-CH"/>
        </w:rPr>
        <w:t>’</w:t>
      </w:r>
      <w:r w:rsidRPr="00777AE2">
        <w:rPr>
          <w:caps/>
          <w:sz w:val="24"/>
          <w:lang w:val="fr-CH"/>
        </w:rPr>
        <w:t>évaluer les services et activités de l</w:t>
      </w:r>
      <w:r w:rsidR="001D239E">
        <w:rPr>
          <w:caps/>
          <w:sz w:val="24"/>
          <w:lang w:val="fr-CH"/>
        </w:rPr>
        <w:t>’</w:t>
      </w:r>
      <w:r w:rsidRPr="00777AE2">
        <w:rPr>
          <w:caps/>
          <w:sz w:val="24"/>
          <w:lang w:val="fr-CH"/>
        </w:rPr>
        <w:t>OMPI en matière de transfert de technologie</w:t>
      </w:r>
    </w:p>
    <w:p w:rsidR="00564AB5" w:rsidRPr="00777AE2" w:rsidRDefault="00D82268" w:rsidP="00D82268">
      <w:pPr>
        <w:tabs>
          <w:tab w:val="left" w:pos="4185"/>
        </w:tabs>
        <w:spacing w:after="960"/>
        <w:rPr>
          <w:i/>
          <w:lang w:val="fr-CH"/>
        </w:rPr>
      </w:pPr>
      <w:bookmarkStart w:id="4" w:name="Prepared"/>
      <w:bookmarkEnd w:id="4"/>
      <w:r w:rsidRPr="00777AE2">
        <w:rPr>
          <w:i/>
          <w:lang w:val="fr-CH"/>
        </w:rPr>
        <w:t xml:space="preserve">Document </w:t>
      </w:r>
      <w:r w:rsidR="00F970FE" w:rsidRPr="00777AE2">
        <w:rPr>
          <w:i/>
          <w:lang w:val="fr-CH"/>
        </w:rPr>
        <w:t>établi par le Secré</w:t>
      </w:r>
      <w:r w:rsidRPr="00777AE2">
        <w:rPr>
          <w:i/>
          <w:lang w:val="fr-CH"/>
        </w:rPr>
        <w:t>tariat</w:t>
      </w:r>
    </w:p>
    <w:p w:rsidR="001D239E" w:rsidRDefault="0091233C" w:rsidP="008508D0">
      <w:pPr>
        <w:pStyle w:val="ONUMFS"/>
        <w:rPr>
          <w:lang w:val="fr-CH"/>
        </w:rPr>
      </w:pPr>
      <w:r>
        <w:rPr>
          <w:lang w:val="fr-CH"/>
        </w:rPr>
        <w:t xml:space="preserve">À </w:t>
      </w:r>
      <w:r w:rsidRPr="00777AE2">
        <w:rPr>
          <w:lang w:val="fr-CH"/>
        </w:rPr>
        <w:t>sa vingt</w:t>
      </w:r>
      <w:r w:rsidR="001D239E">
        <w:rPr>
          <w:lang w:val="fr-CH"/>
        </w:rPr>
        <w:t> et unième session</w:t>
      </w:r>
      <w:r>
        <w:rPr>
          <w:lang w:val="fr-CH"/>
        </w:rPr>
        <w:t>,</w:t>
      </w:r>
      <w:r w:rsidRPr="00777AE2">
        <w:rPr>
          <w:lang w:val="fr-CH"/>
        </w:rPr>
        <w:t xml:space="preserve"> </w:t>
      </w:r>
      <w:r>
        <w:rPr>
          <w:lang w:val="fr-CH"/>
        </w:rPr>
        <w:t>l</w:t>
      </w:r>
      <w:r w:rsidR="00D82268" w:rsidRPr="00777AE2">
        <w:rPr>
          <w:lang w:val="fr-CH"/>
        </w:rPr>
        <w:t>e Comité du développement et de la p</w:t>
      </w:r>
      <w:r>
        <w:rPr>
          <w:lang w:val="fr-CH"/>
        </w:rPr>
        <w:t>ropriété intellectuelle (CDIP)</w:t>
      </w:r>
      <w:r w:rsidR="00D82268" w:rsidRPr="00777AE2">
        <w:rPr>
          <w:lang w:val="fr-CH"/>
        </w:rPr>
        <w:t xml:space="preserve"> a examiné l</w:t>
      </w:r>
      <w:r w:rsidR="001D239E">
        <w:rPr>
          <w:lang w:val="fr-CH"/>
        </w:rPr>
        <w:t>’</w:t>
      </w:r>
      <w:r w:rsidR="00D82268" w:rsidRPr="00777AE2">
        <w:rPr>
          <w:lang w:val="fr-CH"/>
        </w:rPr>
        <w:t>analyse des lacunes dans les services et activités de l</w:t>
      </w:r>
      <w:r w:rsidR="001D239E">
        <w:rPr>
          <w:lang w:val="fr-CH"/>
        </w:rPr>
        <w:t>’</w:t>
      </w:r>
      <w:r w:rsidR="00D82268" w:rsidRPr="00777AE2">
        <w:rPr>
          <w:lang w:val="fr-CH"/>
        </w:rPr>
        <w:t>OMPI en matière de</w:t>
      </w:r>
      <w:r w:rsidR="00215E98">
        <w:rPr>
          <w:lang w:val="fr-CH"/>
        </w:rPr>
        <w:t> </w:t>
      </w:r>
      <w:r w:rsidR="00D82268" w:rsidRPr="00777AE2">
        <w:rPr>
          <w:lang w:val="fr-CH"/>
        </w:rPr>
        <w:t>transfert de technologie au regard des recommandations du groupe C du Plan</w:t>
      </w:r>
      <w:r w:rsidR="004B42AF">
        <w:rPr>
          <w:lang w:val="fr-CH"/>
        </w:rPr>
        <w:t xml:space="preserve"> d</w:t>
      </w:r>
      <w:r w:rsidR="001D239E">
        <w:rPr>
          <w:lang w:val="fr-CH"/>
        </w:rPr>
        <w:t>’</w:t>
      </w:r>
      <w:r w:rsidR="004B42AF">
        <w:rPr>
          <w:lang w:val="fr-CH"/>
        </w:rPr>
        <w:t>action pour</w:t>
      </w:r>
      <w:r w:rsidR="00215E98">
        <w:rPr>
          <w:lang w:val="fr-CH"/>
        </w:rPr>
        <w:t> </w:t>
      </w:r>
      <w:r w:rsidR="004B42AF">
        <w:rPr>
          <w:lang w:val="fr-CH"/>
        </w:rPr>
        <w:t>le</w:t>
      </w:r>
      <w:r w:rsidR="00215E98">
        <w:rPr>
          <w:lang w:val="fr-CH"/>
        </w:rPr>
        <w:t> </w:t>
      </w:r>
      <w:r w:rsidR="004B42AF">
        <w:rPr>
          <w:lang w:val="fr-CH"/>
        </w:rPr>
        <w:t>développement</w:t>
      </w:r>
      <w:r w:rsidR="00D82268" w:rsidRPr="00777AE2">
        <w:rPr>
          <w:lang w:val="fr-CH"/>
        </w:rPr>
        <w:t xml:space="preserve"> figurant dans le document CDIP/21/5 et a décidé que </w:t>
      </w:r>
      <w:r w:rsidR="001D239E">
        <w:rPr>
          <w:lang w:val="fr-CH"/>
        </w:rPr>
        <w:t>“</w:t>
      </w:r>
      <w:r w:rsidR="001D239E" w:rsidRPr="00777AE2">
        <w:rPr>
          <w:lang w:val="fr-CH"/>
        </w:rPr>
        <w:t>l</w:t>
      </w:r>
      <w:r w:rsidR="00D82268" w:rsidRPr="00777AE2">
        <w:rPr>
          <w:lang w:val="fr-CH"/>
        </w:rPr>
        <w:t>es délégations intéressées soumettraient au Secrétariat une liste d</w:t>
      </w:r>
      <w:r w:rsidR="001D239E">
        <w:rPr>
          <w:lang w:val="fr-CH"/>
        </w:rPr>
        <w:t>’</w:t>
      </w:r>
      <w:r w:rsidR="00D82268" w:rsidRPr="00777AE2">
        <w:rPr>
          <w:lang w:val="fr-CH"/>
        </w:rPr>
        <w:t>indicateurs pour évaluer les activités figurant dans le docume</w:t>
      </w:r>
      <w:r w:rsidR="00D23E28" w:rsidRPr="00777AE2">
        <w:rPr>
          <w:lang w:val="fr-CH"/>
        </w:rPr>
        <w:t>nt</w:t>
      </w:r>
      <w:r w:rsidR="00D23E28">
        <w:rPr>
          <w:lang w:val="fr-CH"/>
        </w:rPr>
        <w:t xml:space="preserve">.  </w:t>
      </w:r>
      <w:r w:rsidR="00D23E28" w:rsidRPr="00777AE2">
        <w:rPr>
          <w:lang w:val="fr-CH"/>
        </w:rPr>
        <w:t>Ce</w:t>
      </w:r>
      <w:r w:rsidR="00D82268" w:rsidRPr="00777AE2">
        <w:rPr>
          <w:lang w:val="fr-CH"/>
        </w:rPr>
        <w:t>s indicateurs seraient ensuite regroupés et présentés à la prochaine session du comi</w:t>
      </w:r>
      <w:r w:rsidR="00D23E28" w:rsidRPr="00777AE2">
        <w:rPr>
          <w:lang w:val="fr-CH"/>
        </w:rPr>
        <w:t>té</w:t>
      </w:r>
      <w:r w:rsidR="00D23E28">
        <w:rPr>
          <w:lang w:val="fr-CH"/>
        </w:rPr>
        <w:t xml:space="preserve">.  </w:t>
      </w:r>
      <w:r w:rsidR="00D23E28" w:rsidRPr="00777AE2">
        <w:rPr>
          <w:lang w:val="fr-CH"/>
        </w:rPr>
        <w:t>Le</w:t>
      </w:r>
      <w:r w:rsidR="00D82268" w:rsidRPr="00777AE2">
        <w:rPr>
          <w:lang w:val="fr-CH"/>
        </w:rPr>
        <w:t>s contributions des États membres devraient parvenir au</w:t>
      </w:r>
      <w:r w:rsidR="00215E98">
        <w:rPr>
          <w:lang w:val="fr-CH"/>
        </w:rPr>
        <w:t> </w:t>
      </w:r>
      <w:r w:rsidR="00D82268" w:rsidRPr="00777AE2">
        <w:rPr>
          <w:lang w:val="fr-CH"/>
        </w:rPr>
        <w:t>Secrétariat avant le 1</w:t>
      </w:r>
      <w:r w:rsidR="001D239E" w:rsidRPr="00777AE2">
        <w:rPr>
          <w:lang w:val="fr-CH"/>
        </w:rPr>
        <w:t>0</w:t>
      </w:r>
      <w:r w:rsidR="001D239E">
        <w:rPr>
          <w:lang w:val="fr-CH"/>
        </w:rPr>
        <w:t> </w:t>
      </w:r>
      <w:r w:rsidR="001D239E" w:rsidRPr="00777AE2">
        <w:rPr>
          <w:lang w:val="fr-CH"/>
        </w:rPr>
        <w:t>septembre</w:t>
      </w:r>
      <w:r w:rsidR="001D239E">
        <w:rPr>
          <w:lang w:val="fr-CH"/>
        </w:rPr>
        <w:t> </w:t>
      </w:r>
      <w:r w:rsidR="001D239E" w:rsidRPr="00777AE2">
        <w:rPr>
          <w:lang w:val="fr-CH"/>
        </w:rPr>
        <w:t>20</w:t>
      </w:r>
      <w:r w:rsidR="00D82268" w:rsidRPr="00777AE2">
        <w:rPr>
          <w:lang w:val="fr-CH"/>
        </w:rPr>
        <w:t>1</w:t>
      </w:r>
      <w:r w:rsidR="001D239E" w:rsidRPr="00777AE2">
        <w:rPr>
          <w:lang w:val="fr-CH"/>
        </w:rPr>
        <w:t>8</w:t>
      </w:r>
      <w:r w:rsidR="001D239E">
        <w:rPr>
          <w:lang w:val="fr-CH"/>
        </w:rPr>
        <w:t>”</w:t>
      </w:r>
      <w:r w:rsidR="00D82268" w:rsidRPr="00777AE2">
        <w:rPr>
          <w:lang w:val="fr-CH"/>
        </w:rPr>
        <w:t>.</w:t>
      </w:r>
    </w:p>
    <w:p w:rsidR="001D239E" w:rsidRDefault="00D82268" w:rsidP="008508D0">
      <w:pPr>
        <w:pStyle w:val="ONUMFS"/>
        <w:rPr>
          <w:lang w:val="fr-CH"/>
        </w:rPr>
      </w:pPr>
      <w:r w:rsidRPr="00777AE2">
        <w:rPr>
          <w:lang w:val="fr-CH"/>
        </w:rPr>
        <w:t>Les annexes du présent document contiennent les contributions sur le thème susmentionné soumises par l</w:t>
      </w:r>
      <w:r w:rsidR="00C56C55">
        <w:rPr>
          <w:lang w:val="fr-CH"/>
        </w:rPr>
        <w:t>a</w:t>
      </w:r>
      <w:r w:rsidRPr="00777AE2">
        <w:rPr>
          <w:lang w:val="fr-CH"/>
        </w:rPr>
        <w:t xml:space="preserve"> délégation de la Suisse au nom du groupe</w:t>
      </w:r>
      <w:r w:rsidR="00605B5E">
        <w:rPr>
          <w:lang w:val="fr-CH"/>
        </w:rPr>
        <w:t> </w:t>
      </w:r>
      <w:r w:rsidRPr="00777AE2">
        <w:rPr>
          <w:lang w:val="fr-CH"/>
        </w:rPr>
        <w:t>B, la délégation de</w:t>
      </w:r>
      <w:r w:rsidR="00215E98">
        <w:rPr>
          <w:lang w:val="fr-CH"/>
        </w:rPr>
        <w:t> </w:t>
      </w:r>
      <w:r w:rsidRPr="00777AE2">
        <w:rPr>
          <w:lang w:val="fr-CH"/>
        </w:rPr>
        <w:t>l</w:t>
      </w:r>
      <w:r w:rsidR="001D239E">
        <w:rPr>
          <w:lang w:val="fr-CH"/>
        </w:rPr>
        <w:t>’</w:t>
      </w:r>
      <w:r w:rsidRPr="00777AE2">
        <w:rPr>
          <w:lang w:val="fr-CH"/>
        </w:rPr>
        <w:t>Équateur et la délégation de l</w:t>
      </w:r>
      <w:r w:rsidR="001D239E">
        <w:rPr>
          <w:lang w:val="fr-CH"/>
        </w:rPr>
        <w:t>’</w:t>
      </w:r>
      <w:r w:rsidRPr="00777AE2">
        <w:rPr>
          <w:lang w:val="fr-CH"/>
        </w:rPr>
        <w:t>Afrique du Sud.</w:t>
      </w:r>
    </w:p>
    <w:p w:rsidR="00564AB5" w:rsidRPr="008508D0" w:rsidRDefault="00D82268" w:rsidP="008508D0">
      <w:pPr>
        <w:pStyle w:val="ONUMFS"/>
        <w:ind w:left="5533"/>
        <w:rPr>
          <w:rStyle w:val="ONUMFSChar"/>
          <w:i/>
          <w:lang w:val="fr-CH"/>
        </w:rPr>
      </w:pPr>
      <w:r w:rsidRPr="008508D0">
        <w:rPr>
          <w:i/>
          <w:lang w:val="fr-CH"/>
        </w:rPr>
        <w:t>Le comité est invité à examiner les informations contenues dans les annexes du présent document.</w:t>
      </w:r>
    </w:p>
    <w:p w:rsidR="007E760A" w:rsidRPr="00777AE2" w:rsidRDefault="00D82268" w:rsidP="00332F64">
      <w:pPr>
        <w:pStyle w:val="Endofdocument-Annex"/>
        <w:spacing w:before="600"/>
        <w:rPr>
          <w:lang w:val="fr-CH"/>
        </w:rPr>
        <w:sectPr w:rsidR="007E760A" w:rsidRPr="00777AE2" w:rsidSect="00FE63A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777AE2">
        <w:rPr>
          <w:lang w:val="fr-CH"/>
        </w:rPr>
        <w:t>[Les annexes suivent]</w:t>
      </w:r>
    </w:p>
    <w:p w:rsidR="00564AB5" w:rsidRPr="00777AE2" w:rsidRDefault="00995B9C" w:rsidP="00995B9C">
      <w:pPr>
        <w:pStyle w:val="Heading1"/>
        <w:rPr>
          <w:b w:val="0"/>
          <w:szCs w:val="22"/>
          <w:lang w:val="fr-CH"/>
        </w:rPr>
      </w:pPr>
      <w:r w:rsidRPr="00777AE2">
        <w:rPr>
          <w:b w:val="0"/>
          <w:szCs w:val="22"/>
          <w:lang w:val="fr-CH"/>
        </w:rPr>
        <w:lastRenderedPageBreak/>
        <w:t>Contribution de la délégation de la Suisse au nom du groupe</w:t>
      </w:r>
      <w:r w:rsidR="00605B5E">
        <w:rPr>
          <w:b w:val="0"/>
          <w:szCs w:val="22"/>
          <w:lang w:val="fr-CH"/>
        </w:rPr>
        <w:t> </w:t>
      </w:r>
      <w:r w:rsidRPr="00777AE2">
        <w:rPr>
          <w:b w:val="0"/>
          <w:szCs w:val="22"/>
          <w:lang w:val="fr-CH"/>
        </w:rPr>
        <w:t>B</w:t>
      </w:r>
      <w:r w:rsidR="005E5DF5" w:rsidRPr="00777AE2">
        <w:rPr>
          <w:b w:val="0"/>
          <w:szCs w:val="22"/>
          <w:lang w:val="fr-CH"/>
        </w:rPr>
        <w:t xml:space="preserve"> </w:t>
      </w:r>
      <w:r w:rsidR="00C56C55" w:rsidRPr="00777AE2">
        <w:rPr>
          <w:b w:val="0"/>
          <w:szCs w:val="22"/>
          <w:lang w:val="fr-CH"/>
        </w:rPr>
        <w:t xml:space="preserve">reçue </w:t>
      </w:r>
      <w:r w:rsidR="005E5DF5" w:rsidRPr="00777AE2">
        <w:rPr>
          <w:b w:val="0"/>
          <w:szCs w:val="22"/>
          <w:lang w:val="fr-CH"/>
        </w:rPr>
        <w:t>par le Secrétariat</w:t>
      </w:r>
    </w:p>
    <w:p w:rsidR="001D239E" w:rsidRDefault="00995B9C" w:rsidP="008508D0">
      <w:pPr>
        <w:spacing w:before="240" w:after="200" w:line="276" w:lineRule="auto"/>
        <w:jc w:val="center"/>
        <w:rPr>
          <w:rFonts w:eastAsiaTheme="minorHAnsi"/>
          <w:b/>
          <w:szCs w:val="22"/>
          <w:lang w:val="fr-CH" w:eastAsia="en-US"/>
        </w:rPr>
      </w:pPr>
      <w:r w:rsidRPr="00777AE2">
        <w:rPr>
          <w:rFonts w:eastAsiaTheme="minorHAnsi"/>
          <w:b/>
          <w:szCs w:val="22"/>
          <w:lang w:val="fr-CH" w:eastAsia="en-US"/>
        </w:rPr>
        <w:t>LISTE D</w:t>
      </w:r>
      <w:r w:rsidR="001D239E">
        <w:rPr>
          <w:rFonts w:eastAsiaTheme="minorHAnsi"/>
          <w:b/>
          <w:szCs w:val="22"/>
          <w:lang w:val="fr-CH" w:eastAsia="en-US"/>
        </w:rPr>
        <w:t>’</w:t>
      </w:r>
      <w:r w:rsidRPr="00777AE2">
        <w:rPr>
          <w:rFonts w:eastAsiaTheme="minorHAnsi"/>
          <w:b/>
          <w:szCs w:val="22"/>
          <w:lang w:val="fr-CH" w:eastAsia="en-US"/>
        </w:rPr>
        <w:t>INDICATEURS PERMETTANT D</w:t>
      </w:r>
      <w:r w:rsidR="001D239E">
        <w:rPr>
          <w:rFonts w:eastAsiaTheme="minorHAnsi"/>
          <w:b/>
          <w:szCs w:val="22"/>
          <w:lang w:val="fr-CH" w:eastAsia="en-US"/>
        </w:rPr>
        <w:t>’</w:t>
      </w:r>
      <w:r w:rsidRPr="00777AE2">
        <w:rPr>
          <w:rFonts w:eastAsiaTheme="minorHAnsi"/>
          <w:b/>
          <w:szCs w:val="22"/>
          <w:lang w:val="fr-CH" w:eastAsia="en-US"/>
        </w:rPr>
        <w:t>ÉVALUER LES SERVICES ET ACTIVITÉS DE</w:t>
      </w:r>
      <w:r w:rsidR="00332F64">
        <w:rPr>
          <w:rFonts w:eastAsiaTheme="minorHAnsi"/>
          <w:b/>
          <w:szCs w:val="22"/>
          <w:lang w:val="fr-CH" w:eastAsia="en-US"/>
        </w:rPr>
        <w:t> </w:t>
      </w:r>
      <w:r w:rsidRPr="00777AE2">
        <w:rPr>
          <w:rFonts w:eastAsiaTheme="minorHAnsi"/>
          <w:b/>
          <w:szCs w:val="22"/>
          <w:lang w:val="fr-CH" w:eastAsia="en-US"/>
        </w:rPr>
        <w:t>L</w:t>
      </w:r>
      <w:r w:rsidR="001D239E">
        <w:rPr>
          <w:rFonts w:eastAsiaTheme="minorHAnsi"/>
          <w:b/>
          <w:szCs w:val="22"/>
          <w:lang w:val="fr-CH" w:eastAsia="en-US"/>
        </w:rPr>
        <w:t>’</w:t>
      </w:r>
      <w:r w:rsidRPr="00777AE2">
        <w:rPr>
          <w:rFonts w:eastAsiaTheme="minorHAnsi"/>
          <w:b/>
          <w:szCs w:val="22"/>
          <w:lang w:val="fr-CH" w:eastAsia="en-US"/>
        </w:rPr>
        <w:t>OMPI EN MATIÈRE DE TRANSFERT DE TECHNOLOGIE</w:t>
      </w:r>
    </w:p>
    <w:p w:rsidR="00564AB5" w:rsidRPr="00777AE2" w:rsidRDefault="00995B9C" w:rsidP="00995B9C">
      <w:pPr>
        <w:spacing w:after="200" w:line="276" w:lineRule="auto"/>
        <w:jc w:val="center"/>
        <w:rPr>
          <w:rFonts w:eastAsiaTheme="minorHAnsi"/>
          <w:b/>
          <w:sz w:val="28"/>
          <w:szCs w:val="28"/>
          <w:lang w:val="fr-CH" w:eastAsia="en-US"/>
        </w:rPr>
      </w:pPr>
      <w:r w:rsidRPr="00777AE2">
        <w:rPr>
          <w:rFonts w:eastAsiaTheme="minorHAnsi"/>
          <w:b/>
          <w:sz w:val="28"/>
          <w:szCs w:val="28"/>
          <w:lang w:val="fr-CH" w:eastAsia="en-US"/>
        </w:rPr>
        <w:t>Contribution du groupe</w:t>
      </w:r>
      <w:r w:rsidR="00605B5E">
        <w:rPr>
          <w:rFonts w:eastAsiaTheme="minorHAnsi"/>
          <w:b/>
          <w:sz w:val="28"/>
          <w:szCs w:val="28"/>
          <w:lang w:val="fr-CH" w:eastAsia="en-US"/>
        </w:rPr>
        <w:t> </w:t>
      </w:r>
      <w:r w:rsidRPr="00777AE2">
        <w:rPr>
          <w:rFonts w:eastAsiaTheme="minorHAnsi"/>
          <w:b/>
          <w:sz w:val="28"/>
          <w:szCs w:val="28"/>
          <w:lang w:val="fr-CH" w:eastAsia="en-US"/>
        </w:rPr>
        <w:t>B</w:t>
      </w:r>
    </w:p>
    <w:p w:rsidR="001D239E" w:rsidRDefault="00995B9C" w:rsidP="008508D0">
      <w:pPr>
        <w:spacing w:before="600" w:after="200" w:line="276" w:lineRule="auto"/>
        <w:rPr>
          <w:rFonts w:eastAsiaTheme="minorHAnsi"/>
          <w:szCs w:val="22"/>
          <w:lang w:val="fr-CH" w:eastAsia="en-US"/>
        </w:rPr>
      </w:pPr>
      <w:r w:rsidRPr="00777AE2">
        <w:rPr>
          <w:rFonts w:eastAsiaTheme="minorHAnsi"/>
          <w:szCs w:val="22"/>
          <w:lang w:val="fr-CH" w:eastAsia="en-US"/>
        </w:rPr>
        <w:t>À sa vingt</w:t>
      </w:r>
      <w:r w:rsidR="001D239E">
        <w:rPr>
          <w:rFonts w:eastAsiaTheme="minorHAnsi"/>
          <w:szCs w:val="22"/>
          <w:lang w:val="fr-CH" w:eastAsia="en-US"/>
        </w:rPr>
        <w:t> et unième session</w:t>
      </w:r>
      <w:r w:rsidRPr="00777AE2">
        <w:rPr>
          <w:rFonts w:eastAsiaTheme="minorHAnsi"/>
          <w:szCs w:val="22"/>
          <w:lang w:val="fr-CH" w:eastAsia="en-US"/>
        </w:rPr>
        <w:t>, le comité a examiné le document</w:t>
      </w:r>
      <w:r w:rsidR="00750D88">
        <w:rPr>
          <w:rFonts w:eastAsiaTheme="minorHAnsi"/>
          <w:szCs w:val="22"/>
          <w:lang w:val="fr-CH" w:eastAsia="en-US"/>
        </w:rPr>
        <w:t> </w:t>
      </w:r>
      <w:r w:rsidRPr="00777AE2">
        <w:rPr>
          <w:rFonts w:eastAsiaTheme="minorHAnsi"/>
          <w:szCs w:val="22"/>
          <w:lang w:val="fr-CH" w:eastAsia="en-US"/>
        </w:rPr>
        <w:t xml:space="preserve">CDIP/21/5 intitulé </w:t>
      </w:r>
      <w:r w:rsidR="001D239E">
        <w:rPr>
          <w:rFonts w:eastAsiaTheme="minorHAnsi"/>
          <w:szCs w:val="22"/>
          <w:lang w:val="fr-CH" w:eastAsia="en-US"/>
        </w:rPr>
        <w:t>“</w:t>
      </w:r>
      <w:r w:rsidR="001D239E" w:rsidRPr="00777AE2">
        <w:rPr>
          <w:rFonts w:eastAsiaTheme="minorHAnsi"/>
          <w:szCs w:val="22"/>
          <w:lang w:val="fr-CH" w:eastAsia="en-US"/>
        </w:rPr>
        <w:t>A</w:t>
      </w:r>
      <w:r w:rsidRPr="00777AE2">
        <w:rPr>
          <w:rFonts w:eastAsiaTheme="minorHAnsi"/>
          <w:szCs w:val="22"/>
          <w:lang w:val="fr-CH" w:eastAsia="en-US"/>
        </w:rPr>
        <w:t>nalyse des lacunes dans les services et activités de l</w:t>
      </w:r>
      <w:r w:rsidR="001D239E">
        <w:rPr>
          <w:rFonts w:eastAsiaTheme="minorHAnsi"/>
          <w:szCs w:val="22"/>
          <w:lang w:val="fr-CH" w:eastAsia="en-US"/>
        </w:rPr>
        <w:t>’</w:t>
      </w:r>
      <w:r w:rsidRPr="00777AE2">
        <w:rPr>
          <w:rFonts w:eastAsiaTheme="minorHAnsi"/>
          <w:szCs w:val="22"/>
          <w:lang w:val="fr-CH" w:eastAsia="en-US"/>
        </w:rPr>
        <w:t>OMPI en matière de transfert de technologie au regard des recommandations du groupe C du Plan d</w:t>
      </w:r>
      <w:r w:rsidR="001D239E">
        <w:rPr>
          <w:rFonts w:eastAsiaTheme="minorHAnsi"/>
          <w:szCs w:val="22"/>
          <w:lang w:val="fr-CH" w:eastAsia="en-US"/>
        </w:rPr>
        <w:t>’</w:t>
      </w:r>
      <w:r w:rsidRPr="00777AE2">
        <w:rPr>
          <w:rFonts w:eastAsiaTheme="minorHAnsi"/>
          <w:szCs w:val="22"/>
          <w:lang w:val="fr-CH" w:eastAsia="en-US"/>
        </w:rPr>
        <w:t>action pour le développemen</w:t>
      </w:r>
      <w:r w:rsidR="001D239E" w:rsidRPr="00777AE2">
        <w:rPr>
          <w:rFonts w:eastAsiaTheme="minorHAnsi"/>
          <w:szCs w:val="22"/>
          <w:lang w:val="fr-CH" w:eastAsia="en-US"/>
        </w:rPr>
        <w:t>t</w:t>
      </w:r>
      <w:r w:rsidR="001D239E">
        <w:rPr>
          <w:rFonts w:eastAsiaTheme="minorHAnsi"/>
          <w:szCs w:val="22"/>
          <w:lang w:val="fr-CH" w:eastAsia="en-US"/>
        </w:rPr>
        <w:t>”</w:t>
      </w:r>
      <w:r w:rsidRPr="00777AE2">
        <w:rPr>
          <w:rFonts w:eastAsiaTheme="minorHAnsi"/>
          <w:szCs w:val="22"/>
          <w:lang w:val="fr-CH" w:eastAsia="en-US"/>
        </w:rPr>
        <w:t>.</w:t>
      </w:r>
      <w:r w:rsidR="001B1BC2" w:rsidRPr="00777AE2">
        <w:rPr>
          <w:rFonts w:eastAsiaTheme="minorHAnsi"/>
          <w:szCs w:val="22"/>
          <w:lang w:val="fr-CH" w:eastAsia="en-US"/>
        </w:rPr>
        <w:t xml:space="preserve"> </w:t>
      </w:r>
      <w:r w:rsidR="00BF7F01" w:rsidRPr="00777AE2">
        <w:rPr>
          <w:rFonts w:eastAsiaTheme="minorHAnsi"/>
          <w:szCs w:val="22"/>
          <w:lang w:val="fr-CH" w:eastAsia="en-US"/>
        </w:rPr>
        <w:t xml:space="preserve"> </w:t>
      </w:r>
      <w:r w:rsidR="00685595">
        <w:rPr>
          <w:rFonts w:eastAsiaTheme="minorHAnsi"/>
          <w:szCs w:val="22"/>
          <w:lang w:val="fr-CH" w:eastAsia="en-US"/>
        </w:rPr>
        <w:t>Le</w:t>
      </w:r>
      <w:r w:rsidR="00215E98">
        <w:rPr>
          <w:lang w:val="fr-CH"/>
        </w:rPr>
        <w:t> </w:t>
      </w:r>
      <w:r w:rsidR="008C1D38" w:rsidRPr="00777AE2">
        <w:rPr>
          <w:rFonts w:eastAsiaTheme="minorHAnsi"/>
          <w:szCs w:val="22"/>
          <w:lang w:val="fr-CH" w:eastAsia="en-US"/>
        </w:rPr>
        <w:t xml:space="preserve">Secrétariat avait </w:t>
      </w:r>
      <w:r w:rsidR="000C6247">
        <w:rPr>
          <w:rFonts w:eastAsiaTheme="minorHAnsi"/>
          <w:szCs w:val="22"/>
          <w:lang w:val="fr-CH" w:eastAsia="en-US"/>
        </w:rPr>
        <w:t>indiqué</w:t>
      </w:r>
      <w:r w:rsidR="008C1D38" w:rsidRPr="00777AE2">
        <w:rPr>
          <w:rFonts w:eastAsiaTheme="minorHAnsi"/>
          <w:szCs w:val="22"/>
          <w:lang w:val="fr-CH" w:eastAsia="en-US"/>
        </w:rPr>
        <w:t xml:space="preserve"> </w:t>
      </w:r>
      <w:r w:rsidR="00685595">
        <w:rPr>
          <w:rFonts w:eastAsiaTheme="minorHAnsi"/>
          <w:szCs w:val="22"/>
          <w:lang w:val="fr-CH" w:eastAsia="en-US"/>
        </w:rPr>
        <w:t xml:space="preserve">que le document précité </w:t>
      </w:r>
      <w:r w:rsidR="008C1D38" w:rsidRPr="00777AE2">
        <w:rPr>
          <w:rFonts w:eastAsiaTheme="minorHAnsi"/>
          <w:szCs w:val="22"/>
          <w:lang w:val="fr-CH" w:eastAsia="en-US"/>
        </w:rPr>
        <w:t>contenait une analyse générale plutôt qu</w:t>
      </w:r>
      <w:r w:rsidR="001D239E">
        <w:rPr>
          <w:rFonts w:eastAsiaTheme="minorHAnsi"/>
          <w:szCs w:val="22"/>
          <w:lang w:val="fr-CH" w:eastAsia="en-US"/>
        </w:rPr>
        <w:t>’</w:t>
      </w:r>
      <w:r w:rsidR="008C1D38" w:rsidRPr="00777AE2">
        <w:rPr>
          <w:rFonts w:eastAsiaTheme="minorHAnsi"/>
          <w:szCs w:val="22"/>
          <w:lang w:val="fr-CH" w:eastAsia="en-US"/>
        </w:rPr>
        <w:t xml:space="preserve">une analyse détaillée des lacunes concernant les activités indiquées pour chacune </w:t>
      </w:r>
      <w:r w:rsidR="00685595">
        <w:rPr>
          <w:rFonts w:eastAsiaTheme="minorHAnsi"/>
          <w:szCs w:val="22"/>
          <w:lang w:val="fr-CH" w:eastAsia="en-US"/>
        </w:rPr>
        <w:t>des recommandations du groupe C</w:t>
      </w:r>
      <w:r w:rsidR="008C1D38" w:rsidRPr="00777AE2">
        <w:rPr>
          <w:rFonts w:eastAsiaTheme="minorHAnsi"/>
          <w:szCs w:val="22"/>
          <w:lang w:val="fr-CH" w:eastAsia="en-US"/>
        </w:rPr>
        <w:t xml:space="preserve"> car, au moment de l</w:t>
      </w:r>
      <w:r w:rsidR="001D239E">
        <w:rPr>
          <w:rFonts w:eastAsiaTheme="minorHAnsi"/>
          <w:szCs w:val="22"/>
          <w:lang w:val="fr-CH" w:eastAsia="en-US"/>
        </w:rPr>
        <w:t>’</w:t>
      </w:r>
      <w:r w:rsidR="008C1D38" w:rsidRPr="00777AE2">
        <w:rPr>
          <w:rFonts w:eastAsiaTheme="minorHAnsi"/>
          <w:szCs w:val="22"/>
          <w:lang w:val="fr-CH" w:eastAsia="en-US"/>
        </w:rPr>
        <w:t>élaboration du</w:t>
      </w:r>
      <w:r w:rsidR="00724C5A">
        <w:rPr>
          <w:rFonts w:eastAsiaTheme="minorHAnsi"/>
          <w:szCs w:val="22"/>
          <w:lang w:val="fr-CH" w:eastAsia="en-US"/>
        </w:rPr>
        <w:t>dit</w:t>
      </w:r>
      <w:r w:rsidR="008C1D38" w:rsidRPr="00777AE2">
        <w:rPr>
          <w:rFonts w:eastAsiaTheme="minorHAnsi"/>
          <w:szCs w:val="22"/>
          <w:lang w:val="fr-CH" w:eastAsia="en-US"/>
        </w:rPr>
        <w:t xml:space="preserve"> document</w:t>
      </w:r>
      <w:r w:rsidR="00685595">
        <w:rPr>
          <w:rFonts w:eastAsiaTheme="minorHAnsi"/>
          <w:szCs w:val="22"/>
          <w:lang w:val="fr-CH" w:eastAsia="en-US"/>
        </w:rPr>
        <w:t>,</w:t>
      </w:r>
      <w:r w:rsidR="008C1D38" w:rsidRPr="00777AE2">
        <w:rPr>
          <w:rFonts w:eastAsiaTheme="minorHAnsi"/>
          <w:szCs w:val="22"/>
          <w:lang w:val="fr-CH" w:eastAsia="en-US"/>
        </w:rPr>
        <w:t xml:space="preserve"> </w:t>
      </w:r>
      <w:r w:rsidR="001D239E">
        <w:rPr>
          <w:rFonts w:eastAsiaTheme="minorHAnsi"/>
          <w:szCs w:val="22"/>
          <w:lang w:val="fr-CH" w:eastAsia="en-US"/>
        </w:rPr>
        <w:t>“</w:t>
      </w:r>
      <w:r w:rsidR="001D239E" w:rsidRPr="00777AE2">
        <w:rPr>
          <w:rFonts w:eastAsiaTheme="minorHAnsi"/>
          <w:szCs w:val="22"/>
          <w:lang w:val="fr-CH" w:eastAsia="en-US"/>
        </w:rPr>
        <w:t>a</w:t>
      </w:r>
      <w:r w:rsidR="008C1D38" w:rsidRPr="00777AE2">
        <w:rPr>
          <w:rFonts w:eastAsiaTheme="minorHAnsi"/>
          <w:szCs w:val="22"/>
          <w:lang w:val="fr-CH" w:eastAsia="en-US"/>
        </w:rPr>
        <w:t>ucun indicateur ou critère n</w:t>
      </w:r>
      <w:r w:rsidR="001D239E">
        <w:rPr>
          <w:rFonts w:eastAsiaTheme="minorHAnsi"/>
          <w:szCs w:val="22"/>
          <w:lang w:val="fr-CH" w:eastAsia="en-US"/>
        </w:rPr>
        <w:t>’</w:t>
      </w:r>
      <w:r w:rsidR="008C1D38" w:rsidRPr="00777AE2">
        <w:rPr>
          <w:rFonts w:eastAsiaTheme="minorHAnsi"/>
          <w:szCs w:val="22"/>
          <w:lang w:val="fr-CH" w:eastAsia="en-US"/>
        </w:rPr>
        <w:t>a[</w:t>
      </w:r>
      <w:proofErr w:type="spellStart"/>
      <w:r w:rsidR="008C1D38" w:rsidRPr="00777AE2">
        <w:rPr>
          <w:rFonts w:eastAsiaTheme="minorHAnsi"/>
          <w:szCs w:val="22"/>
          <w:lang w:val="fr-CH" w:eastAsia="en-US"/>
        </w:rPr>
        <w:t>vait</w:t>
      </w:r>
      <w:proofErr w:type="spellEnd"/>
      <w:r w:rsidR="008C1D38" w:rsidRPr="00777AE2">
        <w:rPr>
          <w:rFonts w:eastAsiaTheme="minorHAnsi"/>
          <w:szCs w:val="22"/>
          <w:lang w:val="fr-CH" w:eastAsia="en-US"/>
        </w:rPr>
        <w:t>] été défini permettant d</w:t>
      </w:r>
      <w:r w:rsidR="001D239E">
        <w:rPr>
          <w:rFonts w:eastAsiaTheme="minorHAnsi"/>
          <w:szCs w:val="22"/>
          <w:lang w:val="fr-CH" w:eastAsia="en-US"/>
        </w:rPr>
        <w:t>’</w:t>
      </w:r>
      <w:r w:rsidR="008C1D38" w:rsidRPr="00777AE2">
        <w:rPr>
          <w:rFonts w:eastAsiaTheme="minorHAnsi"/>
          <w:szCs w:val="22"/>
          <w:lang w:val="fr-CH" w:eastAsia="en-US"/>
        </w:rPr>
        <w:t>effectuer une analyse objective des lacunes afin de déterminer comment et dans quelle mesure les activités menées par l</w:t>
      </w:r>
      <w:r w:rsidR="001D239E">
        <w:rPr>
          <w:rFonts w:eastAsiaTheme="minorHAnsi"/>
          <w:szCs w:val="22"/>
          <w:lang w:val="fr-CH" w:eastAsia="en-US"/>
        </w:rPr>
        <w:t>’</w:t>
      </w:r>
      <w:r w:rsidR="008C1D38" w:rsidRPr="00777AE2">
        <w:rPr>
          <w:rFonts w:eastAsiaTheme="minorHAnsi"/>
          <w:szCs w:val="22"/>
          <w:lang w:val="fr-CH" w:eastAsia="en-US"/>
        </w:rPr>
        <w:t>OMPI dans le cadre de certaines recommandations [avaient] contribué à l</w:t>
      </w:r>
      <w:r w:rsidR="001A60FC">
        <w:rPr>
          <w:rFonts w:eastAsiaTheme="minorHAnsi"/>
          <w:szCs w:val="22"/>
          <w:lang w:val="fr-CH" w:eastAsia="en-US"/>
        </w:rPr>
        <w:t>a</w:t>
      </w:r>
      <w:r w:rsidR="008C1D38" w:rsidRPr="00777AE2">
        <w:rPr>
          <w:rFonts w:eastAsiaTheme="minorHAnsi"/>
          <w:szCs w:val="22"/>
          <w:lang w:val="fr-CH" w:eastAsia="en-US"/>
        </w:rPr>
        <w:t xml:space="preserve"> </w:t>
      </w:r>
      <w:r w:rsidR="001A60FC">
        <w:rPr>
          <w:rFonts w:eastAsiaTheme="minorHAnsi"/>
          <w:szCs w:val="22"/>
          <w:lang w:val="fr-CH" w:eastAsia="en-US"/>
        </w:rPr>
        <w:t>[</w:t>
      </w:r>
      <w:r w:rsidR="008C1D38" w:rsidRPr="00777AE2">
        <w:rPr>
          <w:rFonts w:eastAsiaTheme="minorHAnsi"/>
          <w:szCs w:val="22"/>
          <w:lang w:val="fr-CH" w:eastAsia="en-US"/>
        </w:rPr>
        <w:t xml:space="preserve">mise en </w:t>
      </w:r>
      <w:r w:rsidR="003C5FEF" w:rsidRPr="00777AE2">
        <w:rPr>
          <w:rFonts w:eastAsiaTheme="minorHAnsi"/>
          <w:szCs w:val="22"/>
          <w:lang w:val="fr-CH" w:eastAsia="en-US"/>
        </w:rPr>
        <w:t>œuvre</w:t>
      </w:r>
      <w:r w:rsidR="008C1D38" w:rsidRPr="00777AE2">
        <w:rPr>
          <w:rFonts w:eastAsiaTheme="minorHAnsi"/>
          <w:szCs w:val="22"/>
          <w:lang w:val="fr-CH" w:eastAsia="en-US"/>
        </w:rPr>
        <w:t xml:space="preserve"> de</w:t>
      </w:r>
      <w:r w:rsidR="001A60FC">
        <w:rPr>
          <w:rFonts w:eastAsiaTheme="minorHAnsi"/>
          <w:szCs w:val="22"/>
          <w:lang w:val="fr-CH" w:eastAsia="en-US"/>
        </w:rPr>
        <w:t>]</w:t>
      </w:r>
      <w:r w:rsidR="008C1D38" w:rsidRPr="00777AE2">
        <w:rPr>
          <w:rFonts w:eastAsiaTheme="minorHAnsi"/>
          <w:szCs w:val="22"/>
          <w:lang w:val="fr-CH" w:eastAsia="en-US"/>
        </w:rPr>
        <w:t xml:space="preserve"> ces recommandation</w:t>
      </w:r>
      <w:r w:rsidR="001D239E" w:rsidRPr="00777AE2">
        <w:rPr>
          <w:rFonts w:eastAsiaTheme="minorHAnsi"/>
          <w:szCs w:val="22"/>
          <w:lang w:val="fr-CH" w:eastAsia="en-US"/>
        </w:rPr>
        <w:t>s</w:t>
      </w:r>
      <w:r w:rsidR="001D239E">
        <w:rPr>
          <w:rFonts w:eastAsiaTheme="minorHAnsi"/>
          <w:szCs w:val="22"/>
          <w:lang w:val="fr-CH" w:eastAsia="en-US"/>
        </w:rPr>
        <w:t>”</w:t>
      </w:r>
      <w:r w:rsidR="008C1D38" w:rsidRPr="00777AE2">
        <w:rPr>
          <w:rFonts w:eastAsiaTheme="minorHAnsi"/>
          <w:szCs w:val="22"/>
          <w:lang w:val="fr-CH" w:eastAsia="en-US"/>
        </w:rPr>
        <w:t>.</w:t>
      </w:r>
      <w:r w:rsidR="00BF7F01" w:rsidRPr="00777AE2">
        <w:rPr>
          <w:rFonts w:eastAsiaTheme="minorHAnsi"/>
          <w:szCs w:val="22"/>
          <w:lang w:val="fr-CH" w:eastAsia="en-US"/>
        </w:rPr>
        <w:t xml:space="preserve"> </w:t>
      </w:r>
      <w:r w:rsidR="001B1BC2" w:rsidRPr="00777AE2">
        <w:rPr>
          <w:rFonts w:eastAsiaTheme="minorHAnsi"/>
          <w:szCs w:val="22"/>
          <w:lang w:val="fr-CH" w:eastAsia="en-US"/>
        </w:rPr>
        <w:t xml:space="preserve"> </w:t>
      </w:r>
      <w:r w:rsidR="008C1D38" w:rsidRPr="00777AE2">
        <w:rPr>
          <w:rFonts w:eastAsiaTheme="minorHAnsi"/>
          <w:szCs w:val="22"/>
          <w:lang w:val="fr-CH" w:eastAsia="en-US"/>
        </w:rPr>
        <w:t xml:space="preserve">Le comité </w:t>
      </w:r>
      <w:r w:rsidR="004002E3">
        <w:rPr>
          <w:rFonts w:eastAsiaTheme="minorHAnsi"/>
          <w:szCs w:val="22"/>
          <w:lang w:val="fr-CH" w:eastAsia="en-US"/>
        </w:rPr>
        <w:t>a</w:t>
      </w:r>
      <w:r w:rsidR="008C1D38" w:rsidRPr="00777AE2">
        <w:rPr>
          <w:rFonts w:eastAsiaTheme="minorHAnsi"/>
          <w:szCs w:val="22"/>
          <w:lang w:val="fr-CH" w:eastAsia="en-US"/>
        </w:rPr>
        <w:t xml:space="preserve"> donc décidé que </w:t>
      </w:r>
      <w:r w:rsidR="001D239E">
        <w:rPr>
          <w:rFonts w:eastAsiaTheme="minorHAnsi"/>
          <w:szCs w:val="22"/>
          <w:lang w:val="fr-CH" w:eastAsia="en-US"/>
        </w:rPr>
        <w:t>“</w:t>
      </w:r>
      <w:r w:rsidR="001D239E" w:rsidRPr="00777AE2">
        <w:rPr>
          <w:rFonts w:eastAsiaTheme="minorHAnsi"/>
          <w:szCs w:val="22"/>
          <w:lang w:val="fr-CH" w:eastAsia="en-US"/>
        </w:rPr>
        <w:t>l</w:t>
      </w:r>
      <w:r w:rsidR="008C1D38" w:rsidRPr="00777AE2">
        <w:rPr>
          <w:rFonts w:eastAsiaTheme="minorHAnsi"/>
          <w:szCs w:val="22"/>
          <w:lang w:val="fr-CH" w:eastAsia="en-US"/>
        </w:rPr>
        <w:t>es délégations intéressées soumettraient au Secrétariat une liste d</w:t>
      </w:r>
      <w:r w:rsidR="001D239E">
        <w:rPr>
          <w:rFonts w:eastAsiaTheme="minorHAnsi"/>
          <w:szCs w:val="22"/>
          <w:lang w:val="fr-CH" w:eastAsia="en-US"/>
        </w:rPr>
        <w:t>’</w:t>
      </w:r>
      <w:r w:rsidR="008C1D38" w:rsidRPr="00777AE2">
        <w:rPr>
          <w:rFonts w:eastAsiaTheme="minorHAnsi"/>
          <w:szCs w:val="22"/>
          <w:lang w:val="fr-CH" w:eastAsia="en-US"/>
        </w:rPr>
        <w:t>indicateurs pour évaluer les activités figurant dans le docume</w:t>
      </w:r>
      <w:r w:rsidR="00D23E28" w:rsidRPr="00777AE2">
        <w:rPr>
          <w:rFonts w:eastAsiaTheme="minorHAnsi"/>
          <w:szCs w:val="22"/>
          <w:lang w:val="fr-CH" w:eastAsia="en-US"/>
        </w:rPr>
        <w:t>nt</w:t>
      </w:r>
      <w:r w:rsidR="00D23E28">
        <w:rPr>
          <w:rFonts w:eastAsiaTheme="minorHAnsi"/>
          <w:szCs w:val="22"/>
          <w:lang w:val="fr-CH" w:eastAsia="en-US"/>
        </w:rPr>
        <w:t xml:space="preserve">.  </w:t>
      </w:r>
      <w:r w:rsidR="00D23E28" w:rsidRPr="00777AE2">
        <w:rPr>
          <w:rFonts w:eastAsiaTheme="minorHAnsi"/>
          <w:szCs w:val="22"/>
          <w:lang w:val="fr-CH" w:eastAsia="en-US"/>
        </w:rPr>
        <w:t>Ce</w:t>
      </w:r>
      <w:r w:rsidR="008C1D38" w:rsidRPr="00777AE2">
        <w:rPr>
          <w:rFonts w:eastAsiaTheme="minorHAnsi"/>
          <w:szCs w:val="22"/>
          <w:lang w:val="fr-CH" w:eastAsia="en-US"/>
        </w:rPr>
        <w:t>s</w:t>
      </w:r>
      <w:r w:rsidR="00215E98">
        <w:rPr>
          <w:lang w:val="fr-CH"/>
        </w:rPr>
        <w:t> </w:t>
      </w:r>
      <w:r w:rsidR="008C1D38" w:rsidRPr="00777AE2">
        <w:rPr>
          <w:rFonts w:eastAsiaTheme="minorHAnsi"/>
          <w:szCs w:val="22"/>
          <w:lang w:val="fr-CH" w:eastAsia="en-US"/>
        </w:rPr>
        <w:t>indicateurs seraient ensuite regroupés et présentés à la prochaine session du comit</w:t>
      </w:r>
      <w:r w:rsidR="001D239E" w:rsidRPr="00777AE2">
        <w:rPr>
          <w:rFonts w:eastAsiaTheme="minorHAnsi"/>
          <w:szCs w:val="22"/>
          <w:lang w:val="fr-CH" w:eastAsia="en-US"/>
        </w:rPr>
        <w:t>é</w:t>
      </w:r>
      <w:r w:rsidR="001D239E">
        <w:rPr>
          <w:rFonts w:eastAsiaTheme="minorHAnsi"/>
          <w:szCs w:val="22"/>
          <w:lang w:val="fr-CH" w:eastAsia="en-US"/>
        </w:rPr>
        <w:t>”</w:t>
      </w:r>
      <w:r w:rsidR="008C1D38" w:rsidRPr="00777AE2">
        <w:rPr>
          <w:rFonts w:eastAsiaTheme="minorHAnsi"/>
          <w:szCs w:val="22"/>
          <w:lang w:val="fr-CH" w:eastAsia="en-US"/>
        </w:rPr>
        <w:t>.</w:t>
      </w:r>
    </w:p>
    <w:p w:rsidR="001D239E" w:rsidRDefault="008C1D38" w:rsidP="008C1D38">
      <w:pPr>
        <w:spacing w:after="200" w:line="276" w:lineRule="auto"/>
        <w:rPr>
          <w:rFonts w:eastAsiaTheme="minorHAnsi"/>
          <w:szCs w:val="22"/>
          <w:lang w:val="fr-CH" w:eastAsia="en-US"/>
        </w:rPr>
      </w:pPr>
      <w:r w:rsidRPr="00777AE2">
        <w:rPr>
          <w:rFonts w:eastAsiaTheme="minorHAnsi"/>
          <w:szCs w:val="22"/>
          <w:lang w:val="fr-CH" w:eastAsia="en-US"/>
        </w:rPr>
        <w:t>Pour que de bonnes pratiques de gestion axée sur les résultats puissent être appliquées, il est nécessaire d</w:t>
      </w:r>
      <w:r w:rsidR="001D239E">
        <w:rPr>
          <w:rFonts w:eastAsiaTheme="minorHAnsi"/>
          <w:szCs w:val="22"/>
          <w:lang w:val="fr-CH" w:eastAsia="en-US"/>
        </w:rPr>
        <w:t>’</w:t>
      </w:r>
      <w:r w:rsidRPr="00777AE2">
        <w:rPr>
          <w:rFonts w:eastAsiaTheme="minorHAnsi"/>
          <w:szCs w:val="22"/>
          <w:lang w:val="fr-CH" w:eastAsia="en-US"/>
        </w:rPr>
        <w:t xml:space="preserve">établir un lien entre les objectifs à tous les niveaux et des indicateurs objectivement vérifiables qui doivent être </w:t>
      </w:r>
      <w:r w:rsidRPr="008508D0">
        <w:rPr>
          <w:rFonts w:eastAsiaTheme="minorHAnsi"/>
          <w:b/>
          <w:szCs w:val="22"/>
          <w:lang w:val="fr-CH" w:eastAsia="en-US"/>
        </w:rPr>
        <w:t>précis</w:t>
      </w:r>
      <w:r w:rsidRPr="00777AE2">
        <w:rPr>
          <w:rFonts w:eastAsiaTheme="minorHAnsi"/>
          <w:szCs w:val="22"/>
          <w:lang w:val="fr-CH" w:eastAsia="en-US"/>
        </w:rPr>
        <w:t xml:space="preserve">, </w:t>
      </w:r>
      <w:r w:rsidRPr="008508D0">
        <w:rPr>
          <w:rFonts w:eastAsiaTheme="minorHAnsi"/>
          <w:b/>
          <w:szCs w:val="22"/>
          <w:lang w:val="fr-CH" w:eastAsia="en-US"/>
        </w:rPr>
        <w:t>mesurables</w:t>
      </w:r>
      <w:r w:rsidRPr="00777AE2">
        <w:rPr>
          <w:rFonts w:eastAsiaTheme="minorHAnsi"/>
          <w:szCs w:val="22"/>
          <w:lang w:val="fr-CH" w:eastAsia="en-US"/>
        </w:rPr>
        <w:t xml:space="preserve">, </w:t>
      </w:r>
      <w:r w:rsidRPr="008508D0">
        <w:rPr>
          <w:rFonts w:eastAsiaTheme="minorHAnsi"/>
          <w:b/>
          <w:szCs w:val="22"/>
          <w:lang w:val="fr-CH" w:eastAsia="en-US"/>
        </w:rPr>
        <w:t>réalistes</w:t>
      </w:r>
      <w:r w:rsidRPr="00777AE2">
        <w:rPr>
          <w:rFonts w:eastAsiaTheme="minorHAnsi"/>
          <w:szCs w:val="22"/>
          <w:lang w:val="fr-CH" w:eastAsia="en-US"/>
        </w:rPr>
        <w:t xml:space="preserve">, </w:t>
      </w:r>
      <w:r w:rsidRPr="008508D0">
        <w:rPr>
          <w:rFonts w:eastAsiaTheme="minorHAnsi"/>
          <w:b/>
          <w:szCs w:val="22"/>
          <w:lang w:val="fr-CH" w:eastAsia="en-US"/>
        </w:rPr>
        <w:t>pertinents</w:t>
      </w:r>
      <w:r w:rsidRPr="00777AE2">
        <w:rPr>
          <w:rFonts w:eastAsiaTheme="minorHAnsi"/>
          <w:szCs w:val="22"/>
          <w:lang w:val="fr-CH" w:eastAsia="en-US"/>
        </w:rPr>
        <w:t xml:space="preserve"> et </w:t>
      </w:r>
      <w:r w:rsidRPr="008508D0">
        <w:rPr>
          <w:rFonts w:eastAsiaTheme="minorHAnsi"/>
          <w:b/>
          <w:szCs w:val="22"/>
          <w:lang w:val="fr-CH" w:eastAsia="en-US"/>
        </w:rPr>
        <w:t>assortis de délais</w:t>
      </w:r>
      <w:r w:rsidRPr="00777AE2">
        <w:rPr>
          <w:rFonts w:eastAsiaTheme="minorHAnsi"/>
          <w:szCs w:val="22"/>
          <w:lang w:val="fr-CH" w:eastAsia="en-US"/>
        </w:rPr>
        <w:t>.</w:t>
      </w:r>
    </w:p>
    <w:p w:rsidR="00564AB5" w:rsidRPr="00777AE2" w:rsidRDefault="008C1D38" w:rsidP="008C1D38">
      <w:pPr>
        <w:spacing w:after="200" w:line="276" w:lineRule="auto"/>
        <w:rPr>
          <w:rFonts w:eastAsiaTheme="minorHAnsi"/>
          <w:bCs/>
          <w:szCs w:val="22"/>
          <w:lang w:val="fr-CH" w:eastAsia="en-US"/>
        </w:rPr>
      </w:pPr>
      <w:r w:rsidRPr="00777AE2">
        <w:rPr>
          <w:rFonts w:eastAsiaTheme="minorHAnsi"/>
          <w:bCs/>
          <w:szCs w:val="22"/>
          <w:lang w:val="fr-CH" w:eastAsia="en-US"/>
        </w:rPr>
        <w:t>On trouvera à l</w:t>
      </w:r>
      <w:r w:rsidR="001D239E">
        <w:rPr>
          <w:rFonts w:eastAsiaTheme="minorHAnsi"/>
          <w:bCs/>
          <w:szCs w:val="22"/>
          <w:lang w:val="fr-CH" w:eastAsia="en-US"/>
        </w:rPr>
        <w:t>’</w:t>
      </w:r>
      <w:r w:rsidRPr="00777AE2">
        <w:rPr>
          <w:rFonts w:eastAsiaTheme="minorHAnsi"/>
          <w:bCs/>
          <w:szCs w:val="22"/>
          <w:lang w:val="fr-CH" w:eastAsia="en-US"/>
        </w:rPr>
        <w:t>appendice I une liste non exhaustive d</w:t>
      </w:r>
      <w:r w:rsidR="001D239E">
        <w:rPr>
          <w:rFonts w:eastAsiaTheme="minorHAnsi"/>
          <w:bCs/>
          <w:szCs w:val="22"/>
          <w:lang w:val="fr-CH" w:eastAsia="en-US"/>
        </w:rPr>
        <w:t>’</w:t>
      </w:r>
      <w:r w:rsidRPr="00777AE2">
        <w:rPr>
          <w:rFonts w:eastAsiaTheme="minorHAnsi"/>
          <w:bCs/>
          <w:szCs w:val="22"/>
          <w:lang w:val="fr-CH" w:eastAsia="en-US"/>
        </w:rPr>
        <w:t>indicateurs que le groupe</w:t>
      </w:r>
      <w:r w:rsidR="00605B5E">
        <w:rPr>
          <w:rFonts w:eastAsiaTheme="minorHAnsi"/>
          <w:bCs/>
          <w:szCs w:val="22"/>
          <w:lang w:val="fr-CH" w:eastAsia="en-US"/>
        </w:rPr>
        <w:t> </w:t>
      </w:r>
      <w:r w:rsidRPr="00777AE2">
        <w:rPr>
          <w:rFonts w:eastAsiaTheme="minorHAnsi"/>
          <w:bCs/>
          <w:szCs w:val="22"/>
          <w:lang w:val="fr-CH" w:eastAsia="en-US"/>
        </w:rPr>
        <w:t xml:space="preserve">B </w:t>
      </w:r>
      <w:r w:rsidR="00CF0369">
        <w:rPr>
          <w:rFonts w:eastAsiaTheme="minorHAnsi"/>
          <w:bCs/>
          <w:szCs w:val="22"/>
          <w:lang w:val="fr-CH" w:eastAsia="en-US"/>
        </w:rPr>
        <w:t>souhaiterait proposer</w:t>
      </w:r>
      <w:r w:rsidRPr="00777AE2">
        <w:rPr>
          <w:rFonts w:eastAsiaTheme="minorHAnsi"/>
          <w:bCs/>
          <w:szCs w:val="22"/>
          <w:lang w:val="fr-CH" w:eastAsia="en-US"/>
        </w:rPr>
        <w:t xml:space="preserve"> afin d</w:t>
      </w:r>
      <w:r w:rsidR="001D239E">
        <w:rPr>
          <w:rFonts w:eastAsiaTheme="minorHAnsi"/>
          <w:bCs/>
          <w:szCs w:val="22"/>
          <w:lang w:val="fr-CH" w:eastAsia="en-US"/>
        </w:rPr>
        <w:t>’</w:t>
      </w:r>
      <w:r w:rsidRPr="00777AE2">
        <w:rPr>
          <w:rFonts w:eastAsiaTheme="minorHAnsi"/>
          <w:bCs/>
          <w:szCs w:val="22"/>
          <w:lang w:val="fr-CH" w:eastAsia="en-US"/>
        </w:rPr>
        <w:t>évaluer la mesure dans laquelle les services et activités de l</w:t>
      </w:r>
      <w:r w:rsidR="001D239E">
        <w:rPr>
          <w:rFonts w:eastAsiaTheme="minorHAnsi"/>
          <w:bCs/>
          <w:szCs w:val="22"/>
          <w:lang w:val="fr-CH" w:eastAsia="en-US"/>
        </w:rPr>
        <w:t>’</w:t>
      </w:r>
      <w:r w:rsidRPr="00777AE2">
        <w:rPr>
          <w:rFonts w:eastAsiaTheme="minorHAnsi"/>
          <w:bCs/>
          <w:szCs w:val="22"/>
          <w:lang w:val="fr-CH" w:eastAsia="en-US"/>
        </w:rPr>
        <w:t xml:space="preserve">OMPI en matière de transfert de technologie contribuent à la mise en </w:t>
      </w:r>
      <w:r w:rsidR="003C5FEF" w:rsidRPr="00777AE2">
        <w:rPr>
          <w:rFonts w:eastAsiaTheme="minorHAnsi"/>
          <w:bCs/>
          <w:szCs w:val="22"/>
          <w:lang w:val="fr-CH" w:eastAsia="en-US"/>
        </w:rPr>
        <w:t>œuvre</w:t>
      </w:r>
      <w:r w:rsidRPr="00777AE2">
        <w:rPr>
          <w:rFonts w:eastAsiaTheme="minorHAnsi"/>
          <w:bCs/>
          <w:szCs w:val="22"/>
          <w:lang w:val="fr-CH" w:eastAsia="en-US"/>
        </w:rPr>
        <w:t xml:space="preserve"> des recommandations du groupe C relatives au transfert de technologie.</w:t>
      </w:r>
    </w:p>
    <w:p w:rsidR="00564AB5" w:rsidRPr="00777AE2" w:rsidRDefault="002C15D4" w:rsidP="002C15D4">
      <w:pPr>
        <w:rPr>
          <w:rFonts w:eastAsiaTheme="minorHAnsi"/>
          <w:bCs/>
          <w:sz w:val="24"/>
          <w:szCs w:val="24"/>
          <w:lang w:val="fr-CH" w:eastAsia="en-US"/>
        </w:rPr>
      </w:pPr>
      <w:r w:rsidRPr="00777AE2">
        <w:rPr>
          <w:rFonts w:eastAsiaTheme="minorHAnsi"/>
          <w:bCs/>
          <w:sz w:val="24"/>
          <w:szCs w:val="24"/>
          <w:lang w:val="fr-CH" w:eastAsia="en-US"/>
        </w:rPr>
        <w:br w:type="page"/>
      </w:r>
    </w:p>
    <w:p w:rsidR="002C15D4" w:rsidRPr="00777AE2" w:rsidRDefault="002C15D4" w:rsidP="002C15D4">
      <w:pPr>
        <w:rPr>
          <w:rFonts w:eastAsiaTheme="minorHAnsi"/>
          <w:bCs/>
          <w:sz w:val="24"/>
          <w:szCs w:val="24"/>
          <w:lang w:val="fr-CH" w:eastAsia="en-US"/>
        </w:rPr>
        <w:sectPr w:rsidR="002C15D4" w:rsidRPr="00777AE2" w:rsidSect="002C15D4">
          <w:headerReference w:type="default" r:id="rId16"/>
          <w:headerReference w:type="first" r:id="rId17"/>
          <w:footerReference w:type="first" r:id="rId18"/>
          <w:endnotePr>
            <w:numFmt w:val="decimal"/>
          </w:endnotePr>
          <w:pgSz w:w="11907" w:h="16840" w:code="9"/>
          <w:pgMar w:top="562" w:right="1138" w:bottom="1411" w:left="1411" w:header="504" w:footer="1022" w:gutter="0"/>
          <w:pgNumType w:start="1"/>
          <w:cols w:space="720"/>
          <w:titlePg/>
          <w:docGrid w:linePitch="299"/>
        </w:sectPr>
      </w:pPr>
    </w:p>
    <w:p w:rsidR="00564AB5" w:rsidRPr="00777AE2" w:rsidRDefault="00564AB5" w:rsidP="002C15D4">
      <w:pPr>
        <w:rPr>
          <w:rFonts w:eastAsiaTheme="minorHAnsi"/>
          <w:bCs/>
          <w:sz w:val="24"/>
          <w:szCs w:val="24"/>
          <w:lang w:val="fr-CH" w:eastAsia="en-US"/>
        </w:rPr>
      </w:pPr>
    </w:p>
    <w:p w:rsidR="00AA3BEA" w:rsidRDefault="008C1D38" w:rsidP="008C1D38">
      <w:pPr>
        <w:jc w:val="center"/>
        <w:rPr>
          <w:rFonts w:eastAsiaTheme="minorHAnsi" w:cstheme="minorBidi"/>
          <w:b/>
          <w:szCs w:val="22"/>
          <w:lang w:val="fr-CH" w:eastAsia="en-US"/>
        </w:rPr>
      </w:pPr>
      <w:r w:rsidRPr="00777AE2">
        <w:rPr>
          <w:rFonts w:eastAsiaTheme="minorHAnsi" w:cstheme="minorBidi"/>
          <w:b/>
          <w:szCs w:val="22"/>
          <w:lang w:val="fr-CH" w:eastAsia="en-US"/>
        </w:rPr>
        <w:t>APPENDICE I</w:t>
      </w:r>
      <w:r w:rsidR="001D239E">
        <w:rPr>
          <w:rFonts w:eastAsiaTheme="minorHAnsi" w:cstheme="minorBidi"/>
          <w:b/>
          <w:szCs w:val="22"/>
          <w:lang w:val="fr-CH" w:eastAsia="en-US"/>
        </w:rPr>
        <w:t> :</w:t>
      </w:r>
    </w:p>
    <w:p w:rsidR="00564AB5" w:rsidRPr="00777AE2" w:rsidRDefault="00AE5347" w:rsidP="008C1D38">
      <w:pPr>
        <w:jc w:val="center"/>
        <w:rPr>
          <w:rFonts w:eastAsiaTheme="minorHAnsi" w:cstheme="minorBidi"/>
          <w:b/>
          <w:szCs w:val="22"/>
          <w:lang w:val="fr-CH" w:eastAsia="en-US"/>
        </w:rPr>
      </w:pPr>
      <w:r>
        <w:rPr>
          <w:rFonts w:eastAsiaTheme="minorHAnsi" w:cstheme="minorBidi"/>
          <w:b/>
          <w:szCs w:val="22"/>
          <w:lang w:val="fr-CH" w:eastAsia="en-US"/>
        </w:rPr>
        <w:t>“</w:t>
      </w:r>
      <w:r w:rsidRPr="00777AE2">
        <w:rPr>
          <w:rFonts w:eastAsiaTheme="minorHAnsi" w:cstheme="minorBidi"/>
          <w:b/>
          <w:szCs w:val="22"/>
          <w:lang w:val="fr-CH" w:eastAsia="en-US"/>
        </w:rPr>
        <w:t xml:space="preserve">Recommandations </w:t>
      </w:r>
      <w:r w:rsidR="008C1D38" w:rsidRPr="00777AE2">
        <w:rPr>
          <w:rFonts w:eastAsiaTheme="minorHAnsi" w:cstheme="minorBidi"/>
          <w:b/>
          <w:szCs w:val="22"/>
          <w:lang w:val="fr-CH" w:eastAsia="en-US"/>
        </w:rPr>
        <w:t>du groupe C du Plan d</w:t>
      </w:r>
      <w:r w:rsidR="001D239E">
        <w:rPr>
          <w:rFonts w:eastAsiaTheme="minorHAnsi" w:cstheme="minorBidi"/>
          <w:b/>
          <w:szCs w:val="22"/>
          <w:lang w:val="fr-CH" w:eastAsia="en-US"/>
        </w:rPr>
        <w:t>’</w:t>
      </w:r>
      <w:r w:rsidR="008C1D38" w:rsidRPr="00777AE2">
        <w:rPr>
          <w:rFonts w:eastAsiaTheme="minorHAnsi" w:cstheme="minorBidi"/>
          <w:b/>
          <w:szCs w:val="22"/>
          <w:lang w:val="fr-CH" w:eastAsia="en-US"/>
        </w:rPr>
        <w:t>action pour le développement</w:t>
      </w:r>
      <w:r>
        <w:rPr>
          <w:rFonts w:eastAsiaTheme="minorHAnsi" w:cstheme="minorBidi"/>
          <w:b/>
          <w:szCs w:val="22"/>
          <w:lang w:val="fr-CH" w:eastAsia="en-US"/>
        </w:rPr>
        <w:t>”</w:t>
      </w:r>
      <w:r w:rsidR="008C1D38" w:rsidRPr="00777AE2">
        <w:rPr>
          <w:rFonts w:eastAsiaTheme="minorHAnsi" w:cstheme="minorBidi"/>
          <w:b/>
          <w:szCs w:val="22"/>
          <w:lang w:val="fr-CH" w:eastAsia="en-US"/>
        </w:rPr>
        <w:t xml:space="preserve"> – </w:t>
      </w:r>
      <w:r w:rsidRPr="00777AE2">
        <w:rPr>
          <w:rFonts w:eastAsiaTheme="minorHAnsi" w:cstheme="minorBidi"/>
          <w:b/>
          <w:szCs w:val="22"/>
          <w:lang w:val="fr-CH" w:eastAsia="en-US"/>
        </w:rPr>
        <w:t xml:space="preserve">Gestion </w:t>
      </w:r>
      <w:r w:rsidR="008C1D38" w:rsidRPr="00777AE2">
        <w:rPr>
          <w:rFonts w:eastAsiaTheme="minorHAnsi" w:cstheme="minorBidi"/>
          <w:b/>
          <w:szCs w:val="22"/>
          <w:lang w:val="fr-CH" w:eastAsia="en-US"/>
        </w:rPr>
        <w:t xml:space="preserve">axée sur les résultats – </w:t>
      </w:r>
      <w:r w:rsidRPr="00777AE2">
        <w:rPr>
          <w:rFonts w:eastAsiaTheme="minorHAnsi" w:cstheme="minorBidi"/>
          <w:b/>
          <w:szCs w:val="22"/>
          <w:lang w:val="fr-CH" w:eastAsia="en-US"/>
        </w:rPr>
        <w:t xml:space="preserve">Méthodologie </w:t>
      </w:r>
      <w:r w:rsidR="008C1D38" w:rsidRPr="00777AE2">
        <w:rPr>
          <w:rFonts w:eastAsiaTheme="minorHAnsi" w:cstheme="minorBidi"/>
          <w:b/>
          <w:szCs w:val="22"/>
          <w:lang w:val="fr-CH" w:eastAsia="en-US"/>
        </w:rPr>
        <w:t>proposée</w:t>
      </w:r>
    </w:p>
    <w:p w:rsidR="00BF7F01" w:rsidRPr="00777AE2" w:rsidRDefault="00BF7F01" w:rsidP="00BF7F01">
      <w:pPr>
        <w:rPr>
          <w:rFonts w:eastAsiaTheme="minorHAnsi" w:cstheme="minorBidi"/>
          <w:szCs w:val="22"/>
          <w:lang w:val="fr-CH" w:eastAsia="en-US"/>
        </w:rPr>
      </w:pPr>
    </w:p>
    <w:tbl>
      <w:tblPr>
        <w:tblStyle w:val="TableGrid2"/>
        <w:tblW w:w="13163" w:type="dxa"/>
        <w:tblInd w:w="985" w:type="dxa"/>
        <w:tblLook w:val="04A0" w:firstRow="1" w:lastRow="0" w:firstColumn="1" w:lastColumn="0" w:noHBand="0" w:noVBand="1"/>
      </w:tblPr>
      <w:tblGrid>
        <w:gridCol w:w="7544"/>
        <w:gridCol w:w="5619"/>
      </w:tblGrid>
      <w:tr w:rsidR="00BF7F01" w:rsidRPr="00777AE2" w:rsidTr="00BF7F01">
        <w:trPr>
          <w:cantSplit/>
          <w:trHeight w:val="447"/>
          <w:tblHeader/>
        </w:trPr>
        <w:tc>
          <w:tcPr>
            <w:tcW w:w="7544" w:type="dxa"/>
            <w:shd w:val="clear" w:color="auto" w:fill="F2F2F2" w:themeFill="background1" w:themeFillShade="F2"/>
            <w:vAlign w:val="center"/>
          </w:tcPr>
          <w:p w:rsidR="00BF7F01" w:rsidRPr="00777AE2" w:rsidRDefault="008C1D38" w:rsidP="008C1D38">
            <w:pPr>
              <w:jc w:val="center"/>
              <w:rPr>
                <w:rFonts w:eastAsiaTheme="minorHAnsi" w:cstheme="minorBidi"/>
                <w:b/>
                <w:lang w:val="fr-CH" w:eastAsia="en-US"/>
              </w:rPr>
            </w:pPr>
            <w:r w:rsidRPr="00777AE2">
              <w:rPr>
                <w:rFonts w:eastAsiaTheme="minorHAnsi" w:cstheme="minorBidi"/>
                <w:b/>
                <w:lang w:val="fr-CH" w:eastAsia="en-US"/>
              </w:rPr>
              <w:t>Recommandation du groupe C</w:t>
            </w:r>
          </w:p>
        </w:tc>
        <w:tc>
          <w:tcPr>
            <w:tcW w:w="5619" w:type="dxa"/>
            <w:shd w:val="clear" w:color="auto" w:fill="F2F2F2" w:themeFill="background1" w:themeFillShade="F2"/>
            <w:vAlign w:val="center"/>
          </w:tcPr>
          <w:p w:rsidR="00BF7F01" w:rsidRPr="00777AE2" w:rsidRDefault="008C1D38" w:rsidP="008C1D38">
            <w:pPr>
              <w:jc w:val="center"/>
              <w:rPr>
                <w:rFonts w:eastAsiaTheme="minorHAnsi" w:cstheme="minorBidi"/>
                <w:b/>
                <w:lang w:val="fr-CH" w:eastAsia="en-US"/>
              </w:rPr>
            </w:pPr>
            <w:r w:rsidRPr="00777AE2">
              <w:rPr>
                <w:rFonts w:eastAsiaTheme="minorHAnsi" w:cstheme="minorBidi"/>
                <w:b/>
                <w:lang w:val="fr-CH" w:eastAsia="en-US"/>
              </w:rPr>
              <w:t>Indicateurs d</w:t>
            </w:r>
            <w:r w:rsidR="001D239E">
              <w:rPr>
                <w:rFonts w:eastAsiaTheme="minorHAnsi" w:cstheme="minorBidi"/>
                <w:b/>
                <w:lang w:val="fr-CH" w:eastAsia="en-US"/>
              </w:rPr>
              <w:t>’</w:t>
            </w:r>
            <w:r w:rsidRPr="00777AE2">
              <w:rPr>
                <w:rFonts w:eastAsiaTheme="minorHAnsi" w:cstheme="minorBidi"/>
                <w:b/>
                <w:lang w:val="fr-CH" w:eastAsia="en-US"/>
              </w:rPr>
              <w:t>exécution</w:t>
            </w:r>
          </w:p>
        </w:tc>
      </w:tr>
      <w:tr w:rsidR="00BF7F01" w:rsidRPr="00777AE2" w:rsidTr="00BF7F01">
        <w:trPr>
          <w:cantSplit/>
          <w:trHeight w:val="1410"/>
        </w:trPr>
        <w:tc>
          <w:tcPr>
            <w:tcW w:w="7544" w:type="dxa"/>
            <w:vMerge w:val="restart"/>
          </w:tcPr>
          <w:p w:rsidR="00BF7F01" w:rsidRPr="00777AE2" w:rsidRDefault="008C1D38" w:rsidP="008C1D38">
            <w:pPr>
              <w:rPr>
                <w:rFonts w:eastAsiaTheme="minorHAnsi" w:cstheme="minorBidi"/>
                <w:lang w:val="fr-CH" w:eastAsia="en-US"/>
              </w:rPr>
            </w:pPr>
            <w:r w:rsidRPr="00AE5347">
              <w:rPr>
                <w:rFonts w:eastAsiaTheme="minorHAnsi" w:cstheme="minorBidi"/>
                <w:b/>
                <w:lang w:val="fr-CH" w:eastAsia="en-US"/>
              </w:rPr>
              <w:t>25</w:t>
            </w:r>
            <w:r w:rsidR="00AE5347">
              <w:rPr>
                <w:rFonts w:eastAsiaTheme="minorHAnsi" w:cstheme="minorBidi"/>
                <w:lang w:val="fr-CH" w:eastAsia="en-US"/>
              </w:rPr>
              <w:t xml:space="preserve">. </w:t>
            </w:r>
            <w:r w:rsidRPr="00777AE2">
              <w:rPr>
                <w:rFonts w:eastAsiaTheme="minorHAnsi" w:cstheme="minorBidi"/>
                <w:lang w:val="fr-CH" w:eastAsia="en-US"/>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1D239E">
              <w:rPr>
                <w:rFonts w:eastAsiaTheme="minorHAnsi" w:cstheme="minorBidi"/>
                <w:lang w:val="fr-CH" w:eastAsia="en-US"/>
              </w:rPr>
              <w:t>’</w:t>
            </w:r>
            <w:r w:rsidRPr="00777AE2">
              <w:rPr>
                <w:rFonts w:eastAsiaTheme="minorHAnsi" w:cstheme="minorBidi"/>
                <w:lang w:val="fr-CH" w:eastAsia="en-US"/>
              </w:rPr>
              <w:t>en tirer profit, le cas échéant.</w:t>
            </w:r>
          </w:p>
        </w:tc>
        <w:tc>
          <w:tcPr>
            <w:tcW w:w="5619" w:type="dxa"/>
            <w:tcBorders>
              <w:bottom w:val="dotted" w:sz="4" w:space="0" w:color="auto"/>
            </w:tcBorders>
          </w:tcPr>
          <w:p w:rsidR="001D239E" w:rsidRDefault="00F454A5" w:rsidP="00F454A5">
            <w:pPr>
              <w:numPr>
                <w:ilvl w:val="0"/>
                <w:numId w:val="12"/>
              </w:numPr>
              <w:ind w:left="175" w:hanging="218"/>
              <w:rPr>
                <w:rFonts w:eastAsiaTheme="minorHAnsi" w:cstheme="minorBidi"/>
                <w:lang w:val="fr-CH" w:eastAsia="en-US"/>
              </w:rPr>
            </w:pPr>
            <w:r w:rsidRPr="009C1E20">
              <w:rPr>
                <w:rFonts w:eastAsiaTheme="minorHAnsi" w:cstheme="minorBidi"/>
                <w:lang w:val="fr-CH" w:eastAsia="en-US"/>
              </w:rPr>
              <w:t xml:space="preserve">Nombre </w:t>
            </w:r>
            <w:r w:rsidR="000F4615" w:rsidRPr="009C1E20">
              <w:rPr>
                <w:rFonts w:eastAsiaTheme="minorHAnsi" w:cstheme="minorBidi"/>
                <w:lang w:val="fr-CH" w:eastAsia="en-US"/>
              </w:rPr>
              <w:t xml:space="preserve">et indice de satisfaction </w:t>
            </w:r>
            <w:r w:rsidRPr="009C1E20">
              <w:rPr>
                <w:rFonts w:eastAsiaTheme="minorHAnsi" w:cstheme="minorBidi"/>
                <w:lang w:val="fr-CH" w:eastAsia="en-US"/>
              </w:rPr>
              <w:t>de</w:t>
            </w:r>
            <w:r w:rsidR="000F4615" w:rsidRPr="009C1E20">
              <w:rPr>
                <w:rFonts w:eastAsiaTheme="minorHAnsi" w:cstheme="minorBidi"/>
                <w:lang w:val="fr-CH" w:eastAsia="en-US"/>
              </w:rPr>
              <w:t>s</w:t>
            </w:r>
            <w:r w:rsidRPr="00777AE2">
              <w:rPr>
                <w:rFonts w:eastAsiaTheme="minorHAnsi" w:cstheme="minorBidi"/>
                <w:lang w:val="fr-CH" w:eastAsia="en-US"/>
              </w:rPr>
              <w:t xml:space="preserve"> programmes </w:t>
            </w:r>
            <w:r w:rsidR="00CB47BC" w:rsidRPr="00777AE2">
              <w:rPr>
                <w:rFonts w:eastAsiaTheme="minorHAnsi" w:cstheme="minorBidi"/>
                <w:lang w:val="fr-CH" w:eastAsia="en-US"/>
              </w:rPr>
              <w:t xml:space="preserve">et activités de formation </w:t>
            </w:r>
            <w:r w:rsidRPr="00777AE2">
              <w:rPr>
                <w:rFonts w:eastAsiaTheme="minorHAnsi" w:cstheme="minorBidi"/>
                <w:lang w:val="fr-CH" w:eastAsia="en-US"/>
              </w:rPr>
              <w:t xml:space="preserve">sur les politiques et initiatives relatives à la propriété intellectuelle visant à promouvoir le transfert de technologie ainsi que les éléments de flexibilité relatifs à la propriété intellectuelle conduits dans </w:t>
            </w:r>
            <w:r w:rsidR="007A7FD4" w:rsidRPr="00777AE2">
              <w:rPr>
                <w:rFonts w:eastAsiaTheme="minorHAnsi" w:cstheme="minorBidi"/>
                <w:lang w:val="fr-CH" w:eastAsia="en-US"/>
              </w:rPr>
              <w:t>d</w:t>
            </w:r>
            <w:r w:rsidRPr="00777AE2">
              <w:rPr>
                <w:rFonts w:eastAsiaTheme="minorHAnsi" w:cstheme="minorBidi"/>
                <w:lang w:val="fr-CH" w:eastAsia="en-US"/>
              </w:rPr>
              <w:t>es États membres qui sont des pays en développement o</w:t>
            </w:r>
            <w:r w:rsidR="000F4615">
              <w:rPr>
                <w:rFonts w:eastAsiaTheme="minorHAnsi" w:cstheme="minorBidi"/>
                <w:lang w:val="fr-CH" w:eastAsia="en-US"/>
              </w:rPr>
              <w:t>u à l</w:t>
            </w:r>
            <w:r w:rsidR="001D239E">
              <w:rPr>
                <w:rFonts w:eastAsiaTheme="minorHAnsi" w:cstheme="minorBidi"/>
                <w:lang w:val="fr-CH" w:eastAsia="en-US"/>
              </w:rPr>
              <w:t>’</w:t>
            </w:r>
            <w:r w:rsidR="000F4615">
              <w:rPr>
                <w:rFonts w:eastAsiaTheme="minorHAnsi" w:cstheme="minorBidi"/>
                <w:lang w:val="fr-CH" w:eastAsia="en-US"/>
              </w:rPr>
              <w:t>intention de ces derniers</w:t>
            </w:r>
            <w:r w:rsidRPr="00777AE2">
              <w:rPr>
                <w:rFonts w:eastAsiaTheme="minorHAnsi" w:cstheme="minorBidi"/>
                <w:lang w:val="fr-CH" w:eastAsia="en-US"/>
              </w:rPr>
              <w:t>.</w:t>
            </w:r>
          </w:p>
          <w:p w:rsidR="00564AB5" w:rsidRPr="00777AE2" w:rsidRDefault="00373768" w:rsidP="00373768">
            <w:pPr>
              <w:numPr>
                <w:ilvl w:val="0"/>
                <w:numId w:val="12"/>
              </w:numPr>
              <w:ind w:left="175" w:hanging="218"/>
              <w:rPr>
                <w:rFonts w:eastAsiaTheme="minorHAnsi" w:cstheme="minorBidi"/>
                <w:lang w:val="fr-CH" w:eastAsia="en-US"/>
              </w:rPr>
            </w:pPr>
            <w:r w:rsidRPr="00777AE2">
              <w:rPr>
                <w:rFonts w:eastAsiaTheme="minorHAnsi" w:cstheme="minorBidi"/>
                <w:lang w:val="fr-CH" w:eastAsia="en-US"/>
              </w:rPr>
              <w:t>Utilisation des bases de données établies par l</w:t>
            </w:r>
            <w:r w:rsidR="001D239E">
              <w:rPr>
                <w:rFonts w:eastAsiaTheme="minorHAnsi" w:cstheme="minorBidi"/>
                <w:lang w:val="fr-CH" w:eastAsia="en-US"/>
              </w:rPr>
              <w:t>’</w:t>
            </w:r>
            <w:r w:rsidRPr="00777AE2">
              <w:rPr>
                <w:rFonts w:eastAsiaTheme="minorHAnsi" w:cstheme="minorBidi"/>
                <w:lang w:val="fr-CH" w:eastAsia="en-US"/>
              </w:rPr>
              <w:t>OMPI sur les politiques et les éléments de flexibilité relatifs au transfert de technologie et qui sont à la disposition des États membres</w:t>
            </w:r>
            <w:r w:rsidR="00EF293E">
              <w:rPr>
                <w:rFonts w:eastAsiaTheme="minorHAnsi" w:cstheme="minorBidi"/>
                <w:lang w:val="fr-CH" w:eastAsia="en-US"/>
              </w:rPr>
              <w:t>.</w:t>
            </w:r>
          </w:p>
          <w:p w:rsidR="001D239E" w:rsidRDefault="00EA299C" w:rsidP="00EA299C">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de publications, études et autres ressources de qualité commandées, conduites ou établies par l</w:t>
            </w:r>
            <w:r w:rsidR="001D239E">
              <w:rPr>
                <w:rFonts w:eastAsiaTheme="minorHAnsi" w:cstheme="minorBidi"/>
                <w:lang w:val="fr-CH" w:eastAsia="en-US"/>
              </w:rPr>
              <w:t>’</w:t>
            </w:r>
            <w:r w:rsidRPr="00777AE2">
              <w:rPr>
                <w:rFonts w:eastAsiaTheme="minorHAnsi" w:cstheme="minorBidi"/>
                <w:lang w:val="fr-CH" w:eastAsia="en-US"/>
              </w:rPr>
              <w:t>OMPI sur les politiques et les éléments de flexibilité relatifs au transfert de technologie qui ont fait l</w:t>
            </w:r>
            <w:r w:rsidR="001D239E">
              <w:rPr>
                <w:rFonts w:eastAsiaTheme="minorHAnsi" w:cstheme="minorBidi"/>
                <w:lang w:val="fr-CH" w:eastAsia="en-US"/>
              </w:rPr>
              <w:t>’</w:t>
            </w:r>
            <w:r w:rsidRPr="00777AE2">
              <w:rPr>
                <w:rFonts w:eastAsiaTheme="minorHAnsi" w:cstheme="minorBidi"/>
                <w:lang w:val="fr-CH" w:eastAsia="en-US"/>
              </w:rPr>
              <w:t>objet d</w:t>
            </w:r>
            <w:r w:rsidR="001D239E">
              <w:rPr>
                <w:rFonts w:eastAsiaTheme="minorHAnsi" w:cstheme="minorBidi"/>
                <w:lang w:val="fr-CH" w:eastAsia="en-US"/>
              </w:rPr>
              <w:t>’</w:t>
            </w:r>
            <w:r w:rsidRPr="00777AE2">
              <w:rPr>
                <w:rFonts w:eastAsiaTheme="minorHAnsi" w:cstheme="minorBidi"/>
                <w:lang w:val="fr-CH" w:eastAsia="en-US"/>
              </w:rPr>
              <w:t>un examen collégial et qui sont à la disposition des États membres.</w:t>
            </w:r>
          </w:p>
          <w:p w:rsidR="001D239E" w:rsidRDefault="00833308" w:rsidP="00833308">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de bourses, programmes de niveau master, cours d</w:t>
            </w:r>
            <w:r w:rsidR="001D239E">
              <w:rPr>
                <w:rFonts w:eastAsiaTheme="minorHAnsi" w:cstheme="minorBidi"/>
                <w:lang w:val="fr-CH" w:eastAsia="en-US"/>
              </w:rPr>
              <w:t>’</w:t>
            </w:r>
            <w:r w:rsidRPr="00777AE2">
              <w:rPr>
                <w:rFonts w:eastAsiaTheme="minorHAnsi" w:cstheme="minorBidi"/>
                <w:lang w:val="fr-CH" w:eastAsia="en-US"/>
              </w:rPr>
              <w:t>été et cours d</w:t>
            </w:r>
            <w:r w:rsidR="001D239E">
              <w:rPr>
                <w:rFonts w:eastAsiaTheme="minorHAnsi" w:cstheme="minorBidi"/>
                <w:lang w:val="fr-CH" w:eastAsia="en-US"/>
              </w:rPr>
              <w:t>’</w:t>
            </w:r>
            <w:r w:rsidRPr="00777AE2">
              <w:rPr>
                <w:rFonts w:eastAsiaTheme="minorHAnsi" w:cstheme="minorBidi"/>
                <w:lang w:val="fr-CH" w:eastAsia="en-US"/>
              </w:rPr>
              <w:t>enseignement à distance sur les politiques et initiatives relatives à la propriété intellectuelle visant à promouvoir le transfert de technologie proposés ou dispensés par l</w:t>
            </w:r>
            <w:r w:rsidR="001D239E">
              <w:rPr>
                <w:rFonts w:eastAsiaTheme="minorHAnsi" w:cstheme="minorBidi"/>
                <w:lang w:val="fr-CH" w:eastAsia="en-US"/>
              </w:rPr>
              <w:t>’</w:t>
            </w:r>
            <w:r w:rsidRPr="00777AE2">
              <w:rPr>
                <w:rFonts w:eastAsiaTheme="minorHAnsi" w:cstheme="minorBidi"/>
                <w:lang w:val="fr-CH" w:eastAsia="en-US"/>
              </w:rPr>
              <w:t xml:space="preserve">OMPI aux États membres qui sont des pays en développement ou organisés </w:t>
            </w:r>
            <w:r w:rsidR="0027757F" w:rsidRPr="00777AE2">
              <w:rPr>
                <w:rFonts w:eastAsiaTheme="minorHAnsi" w:cstheme="minorBidi"/>
                <w:lang w:val="fr-CH" w:eastAsia="en-US"/>
              </w:rPr>
              <w:t>pa</w:t>
            </w:r>
            <w:r w:rsidR="00E6351D" w:rsidRPr="00777AE2">
              <w:rPr>
                <w:rFonts w:eastAsiaTheme="minorHAnsi" w:cstheme="minorBidi"/>
                <w:lang w:val="fr-CH" w:eastAsia="en-US"/>
              </w:rPr>
              <w:t>r</w:t>
            </w:r>
            <w:r w:rsidR="0027757F" w:rsidRPr="00777AE2">
              <w:rPr>
                <w:rFonts w:eastAsiaTheme="minorHAnsi" w:cstheme="minorBidi"/>
                <w:lang w:val="fr-CH" w:eastAsia="en-US"/>
              </w:rPr>
              <w:t xml:space="preserve"> </w:t>
            </w:r>
            <w:r w:rsidR="00E6351D" w:rsidRPr="00777AE2">
              <w:rPr>
                <w:rFonts w:eastAsiaTheme="minorHAnsi" w:cstheme="minorBidi"/>
                <w:lang w:val="fr-CH" w:eastAsia="en-US"/>
              </w:rPr>
              <w:t>l</w:t>
            </w:r>
            <w:r w:rsidR="001D239E">
              <w:rPr>
                <w:rFonts w:eastAsiaTheme="minorHAnsi" w:cstheme="minorBidi"/>
                <w:lang w:val="fr-CH" w:eastAsia="en-US"/>
              </w:rPr>
              <w:t>’</w:t>
            </w:r>
            <w:r w:rsidR="00E6351D" w:rsidRPr="00777AE2">
              <w:rPr>
                <w:rFonts w:eastAsiaTheme="minorHAnsi" w:cstheme="minorBidi"/>
                <w:lang w:val="fr-CH" w:eastAsia="en-US"/>
              </w:rPr>
              <w:t xml:space="preserve">OMPI </w:t>
            </w:r>
            <w:r w:rsidRPr="00777AE2">
              <w:rPr>
                <w:rFonts w:eastAsiaTheme="minorHAnsi" w:cstheme="minorBidi"/>
                <w:lang w:val="fr-CH" w:eastAsia="en-US"/>
              </w:rPr>
              <w:t xml:space="preserve">pour le compte </w:t>
            </w:r>
            <w:r w:rsidR="00EF293E">
              <w:rPr>
                <w:rFonts w:eastAsiaTheme="minorHAnsi" w:cstheme="minorBidi"/>
                <w:lang w:val="fr-CH" w:eastAsia="en-US"/>
              </w:rPr>
              <w:t>de ces derniers</w:t>
            </w:r>
            <w:r w:rsidRPr="00777AE2">
              <w:rPr>
                <w:rFonts w:eastAsiaTheme="minorHAnsi" w:cstheme="minorBidi"/>
                <w:lang w:val="fr-CH" w:eastAsia="en-US"/>
              </w:rPr>
              <w:t>.</w:t>
            </w:r>
          </w:p>
          <w:p w:rsidR="00BF7F01" w:rsidRPr="00777AE2" w:rsidRDefault="00BF7F01" w:rsidP="00BF7F01">
            <w:pPr>
              <w:ind w:left="175"/>
              <w:rPr>
                <w:rFonts w:eastAsiaTheme="minorHAnsi" w:cstheme="minorBidi"/>
                <w:lang w:val="fr-CH" w:eastAsia="en-US"/>
              </w:rPr>
            </w:pPr>
          </w:p>
        </w:tc>
      </w:tr>
      <w:tr w:rsidR="00BF7F01" w:rsidRPr="00777AE2" w:rsidTr="00BF7F01">
        <w:trPr>
          <w:cantSplit/>
          <w:trHeight w:val="1630"/>
        </w:trPr>
        <w:tc>
          <w:tcPr>
            <w:tcW w:w="7544" w:type="dxa"/>
            <w:vMerge/>
          </w:tcPr>
          <w:p w:rsidR="00BF7F01" w:rsidRPr="00777AE2" w:rsidRDefault="00BF7F01" w:rsidP="00BF7F01">
            <w:pPr>
              <w:rPr>
                <w:rFonts w:eastAsiaTheme="minorHAnsi" w:cstheme="minorBidi"/>
                <w:b/>
                <w:lang w:val="fr-CH" w:eastAsia="en-US"/>
              </w:rPr>
            </w:pPr>
          </w:p>
        </w:tc>
        <w:tc>
          <w:tcPr>
            <w:tcW w:w="5619" w:type="dxa"/>
            <w:tcBorders>
              <w:top w:val="dotted" w:sz="4" w:space="0" w:color="auto"/>
            </w:tcBorders>
          </w:tcPr>
          <w:p w:rsidR="00564AB5" w:rsidRPr="00777AE2" w:rsidRDefault="00061C50" w:rsidP="0010325E">
            <w:pPr>
              <w:numPr>
                <w:ilvl w:val="0"/>
                <w:numId w:val="12"/>
              </w:numPr>
              <w:ind w:left="175" w:hanging="218"/>
              <w:rPr>
                <w:rFonts w:eastAsiaTheme="minorHAnsi" w:cstheme="minorBidi"/>
                <w:lang w:val="fr-CH" w:eastAsia="en-US"/>
              </w:rPr>
            </w:pPr>
            <w:r>
              <w:rPr>
                <w:rFonts w:eastAsiaTheme="minorHAnsi" w:cstheme="minorBidi"/>
                <w:lang w:val="fr-CH" w:eastAsia="en-US"/>
              </w:rPr>
              <w:t>Nombre</w:t>
            </w:r>
            <w:r w:rsidR="008A5763">
              <w:rPr>
                <w:rFonts w:eastAsiaTheme="minorHAnsi" w:cstheme="minorBidi"/>
                <w:lang w:val="fr-CH" w:eastAsia="en-US"/>
              </w:rPr>
              <w:t xml:space="preserve"> de sessions</w:t>
            </w:r>
            <w:r w:rsidR="001D239E" w:rsidRPr="00777AE2">
              <w:rPr>
                <w:rFonts w:eastAsiaTheme="minorHAnsi" w:cstheme="minorBidi"/>
                <w:lang w:val="fr-CH" w:eastAsia="en-US"/>
              </w:rPr>
              <w:t xml:space="preserve"> du</w:t>
            </w:r>
            <w:r w:rsidR="001D239E">
              <w:rPr>
                <w:rFonts w:eastAsiaTheme="minorHAnsi" w:cstheme="minorBidi"/>
                <w:lang w:val="fr-CH" w:eastAsia="en-US"/>
              </w:rPr>
              <w:t> </w:t>
            </w:r>
            <w:r w:rsidR="001D239E" w:rsidRPr="00777AE2">
              <w:rPr>
                <w:rFonts w:eastAsiaTheme="minorHAnsi" w:cstheme="minorBidi"/>
                <w:lang w:val="fr-CH" w:eastAsia="en-US"/>
              </w:rPr>
              <w:t>CDI</w:t>
            </w:r>
            <w:r w:rsidR="0010325E" w:rsidRPr="00777AE2">
              <w:rPr>
                <w:rFonts w:eastAsiaTheme="minorHAnsi" w:cstheme="minorBidi"/>
                <w:lang w:val="fr-CH" w:eastAsia="en-US"/>
              </w:rPr>
              <w:t>P ou d</w:t>
            </w:r>
            <w:r w:rsidR="001D239E">
              <w:rPr>
                <w:rFonts w:eastAsiaTheme="minorHAnsi" w:cstheme="minorBidi"/>
                <w:lang w:val="fr-CH" w:eastAsia="en-US"/>
              </w:rPr>
              <w:t>’</w:t>
            </w:r>
            <w:r w:rsidR="0010325E" w:rsidRPr="00777AE2">
              <w:rPr>
                <w:rFonts w:eastAsiaTheme="minorHAnsi" w:cstheme="minorBidi"/>
                <w:lang w:val="fr-CH" w:eastAsia="en-US"/>
              </w:rPr>
              <w:t>autres comités de l</w:t>
            </w:r>
            <w:r w:rsidR="001D239E">
              <w:rPr>
                <w:rFonts w:eastAsiaTheme="minorHAnsi" w:cstheme="minorBidi"/>
                <w:lang w:val="fr-CH" w:eastAsia="en-US"/>
              </w:rPr>
              <w:t>’</w:t>
            </w:r>
            <w:r w:rsidR="0010325E" w:rsidRPr="00777AE2">
              <w:rPr>
                <w:rFonts w:eastAsiaTheme="minorHAnsi" w:cstheme="minorBidi"/>
                <w:lang w:val="fr-CH" w:eastAsia="en-US"/>
              </w:rPr>
              <w:t>OMPI au cours desquelles des questions ou études relatives au transfert de technologie ont été officiellement* examinées.</w:t>
            </w:r>
          </w:p>
          <w:p w:rsidR="001D239E" w:rsidRDefault="00CB47BC" w:rsidP="0010325E">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w:t>
            </w:r>
            <w:r w:rsidR="001D239E">
              <w:rPr>
                <w:rFonts w:eastAsiaTheme="minorHAnsi" w:cstheme="minorBidi"/>
                <w:lang w:val="fr-CH" w:eastAsia="en-US"/>
              </w:rPr>
              <w:t>’</w:t>
            </w:r>
            <w:r w:rsidRPr="00777AE2">
              <w:rPr>
                <w:rFonts w:eastAsiaTheme="minorHAnsi" w:cstheme="minorBidi"/>
                <w:lang w:val="fr-CH" w:eastAsia="en-US"/>
              </w:rPr>
              <w:t xml:space="preserve">activités </w:t>
            </w:r>
            <w:r w:rsidR="0010325E" w:rsidRPr="00777AE2">
              <w:rPr>
                <w:rFonts w:eastAsiaTheme="minorHAnsi" w:cstheme="minorBidi"/>
                <w:lang w:val="fr-CH" w:eastAsia="en-US"/>
              </w:rPr>
              <w:t>liées au transfert de technologie organisées par l</w:t>
            </w:r>
            <w:r w:rsidR="001D239E">
              <w:rPr>
                <w:rFonts w:eastAsiaTheme="minorHAnsi" w:cstheme="minorBidi"/>
                <w:lang w:val="fr-CH" w:eastAsia="en-US"/>
              </w:rPr>
              <w:t>’</w:t>
            </w:r>
            <w:r w:rsidR="0010325E" w:rsidRPr="00777AE2">
              <w:rPr>
                <w:rFonts w:eastAsiaTheme="minorHAnsi" w:cstheme="minorBidi"/>
                <w:lang w:val="fr-CH" w:eastAsia="en-US"/>
              </w:rPr>
              <w:t>ONU auxquelles l</w:t>
            </w:r>
            <w:r w:rsidR="001D239E">
              <w:rPr>
                <w:rFonts w:eastAsiaTheme="minorHAnsi" w:cstheme="minorBidi"/>
                <w:lang w:val="fr-CH" w:eastAsia="en-US"/>
              </w:rPr>
              <w:t>’</w:t>
            </w:r>
            <w:r w:rsidR="0010325E" w:rsidRPr="00777AE2">
              <w:rPr>
                <w:rFonts w:eastAsiaTheme="minorHAnsi" w:cstheme="minorBidi"/>
                <w:lang w:val="fr-CH" w:eastAsia="en-US"/>
              </w:rPr>
              <w:t>OMPI a participé.</w:t>
            </w:r>
          </w:p>
          <w:p w:rsidR="00564AB5" w:rsidRPr="00777AE2" w:rsidRDefault="00061C50" w:rsidP="0093162E">
            <w:pPr>
              <w:numPr>
                <w:ilvl w:val="0"/>
                <w:numId w:val="12"/>
              </w:numPr>
              <w:ind w:left="175" w:hanging="218"/>
              <w:rPr>
                <w:rFonts w:eastAsiaTheme="minorHAnsi" w:cstheme="minorBidi"/>
                <w:lang w:val="fr-CH" w:eastAsia="en-US"/>
              </w:rPr>
            </w:pPr>
            <w:r>
              <w:rPr>
                <w:rFonts w:eastAsiaTheme="minorHAnsi" w:cstheme="minorBidi"/>
                <w:lang w:val="fr-CH" w:eastAsia="en-US"/>
              </w:rPr>
              <w:t>Nombre</w:t>
            </w:r>
            <w:r w:rsidR="0093162E" w:rsidRPr="00777AE2">
              <w:rPr>
                <w:rFonts w:eastAsiaTheme="minorHAnsi" w:cstheme="minorBidi"/>
                <w:lang w:val="fr-CH" w:eastAsia="en-US"/>
              </w:rPr>
              <w:t xml:space="preserve"> </w:t>
            </w:r>
            <w:r w:rsidR="006559A2" w:rsidRPr="009C1E20">
              <w:rPr>
                <w:rFonts w:eastAsiaTheme="minorHAnsi" w:cstheme="minorBidi"/>
                <w:lang w:val="fr-CH" w:eastAsia="en-US"/>
              </w:rPr>
              <w:t>et indice de satisfaction des</w:t>
            </w:r>
            <w:r w:rsidR="006559A2" w:rsidRPr="00777AE2">
              <w:rPr>
                <w:rFonts w:eastAsiaTheme="minorHAnsi" w:cstheme="minorBidi"/>
                <w:lang w:val="fr-CH" w:eastAsia="en-US"/>
              </w:rPr>
              <w:t xml:space="preserve"> </w:t>
            </w:r>
            <w:r w:rsidR="0093162E" w:rsidRPr="00777AE2">
              <w:rPr>
                <w:rFonts w:eastAsiaTheme="minorHAnsi" w:cstheme="minorBidi"/>
                <w:lang w:val="fr-CH" w:eastAsia="en-US"/>
              </w:rPr>
              <w:t xml:space="preserve">projets relatifs au transfert de technologie menés à bien </w:t>
            </w:r>
            <w:r w:rsidR="005C2066" w:rsidRPr="00777AE2">
              <w:rPr>
                <w:rFonts w:eastAsiaTheme="minorHAnsi" w:cstheme="minorBidi"/>
                <w:lang w:val="fr-CH" w:eastAsia="en-US"/>
              </w:rPr>
              <w:t>par l</w:t>
            </w:r>
            <w:r w:rsidR="001D239E">
              <w:rPr>
                <w:rFonts w:eastAsiaTheme="minorHAnsi" w:cstheme="minorBidi"/>
                <w:lang w:val="fr-CH" w:eastAsia="en-US"/>
              </w:rPr>
              <w:t>’</w:t>
            </w:r>
            <w:r w:rsidR="005C2066" w:rsidRPr="00777AE2">
              <w:rPr>
                <w:rFonts w:eastAsiaTheme="minorHAnsi" w:cstheme="minorBidi"/>
                <w:lang w:val="fr-CH" w:eastAsia="en-US"/>
              </w:rPr>
              <w:t xml:space="preserve">OMPI </w:t>
            </w:r>
            <w:r w:rsidR="0093162E" w:rsidRPr="00777AE2">
              <w:rPr>
                <w:rFonts w:eastAsiaTheme="minorHAnsi" w:cstheme="minorBidi"/>
                <w:lang w:val="fr-CH" w:eastAsia="en-US"/>
              </w:rPr>
              <w:t>dans des pays en développement.</w:t>
            </w:r>
          </w:p>
          <w:p w:rsidR="00564AB5" w:rsidRPr="00777AE2" w:rsidRDefault="00564AB5" w:rsidP="00BF7F01">
            <w:pPr>
              <w:ind w:left="-43"/>
              <w:rPr>
                <w:rFonts w:eastAsiaTheme="minorHAnsi" w:cstheme="minorBidi"/>
                <w:lang w:val="fr-CH" w:eastAsia="en-US"/>
              </w:rPr>
            </w:pPr>
          </w:p>
          <w:p w:rsidR="001D239E" w:rsidRDefault="0093162E" w:rsidP="0093162E">
            <w:pPr>
              <w:ind w:left="-43"/>
              <w:rPr>
                <w:rFonts w:eastAsiaTheme="minorHAnsi" w:cstheme="minorBidi"/>
                <w:lang w:val="fr-CH" w:eastAsia="en-US"/>
              </w:rPr>
            </w:pPr>
            <w:r w:rsidRPr="00777AE2">
              <w:rPr>
                <w:rFonts w:eastAsiaTheme="minorHAnsi" w:cstheme="minorBidi"/>
                <w:lang w:val="fr-CH" w:eastAsia="en-US"/>
              </w:rPr>
              <w:t>* Officiellement</w:t>
            </w:r>
            <w:r w:rsidR="00605B5E">
              <w:rPr>
                <w:rFonts w:eastAsiaTheme="minorHAnsi" w:cstheme="minorBidi"/>
                <w:lang w:val="fr-CH" w:eastAsia="en-US"/>
              </w:rPr>
              <w:t> </w:t>
            </w:r>
            <w:r w:rsidRPr="00777AE2">
              <w:rPr>
                <w:rFonts w:eastAsiaTheme="minorHAnsi" w:cstheme="minorBidi"/>
                <w:lang w:val="fr-CH" w:eastAsia="en-US"/>
              </w:rPr>
              <w:t xml:space="preserve">: </w:t>
            </w:r>
            <w:r w:rsidR="004002E3">
              <w:rPr>
                <w:rFonts w:eastAsiaTheme="minorHAnsi" w:cstheme="minorBidi"/>
                <w:lang w:val="fr-CH" w:eastAsia="en-US"/>
              </w:rPr>
              <w:t>tel qu</w:t>
            </w:r>
            <w:r w:rsidR="001D239E">
              <w:rPr>
                <w:rFonts w:eastAsiaTheme="minorHAnsi" w:cstheme="minorBidi"/>
                <w:lang w:val="fr-CH" w:eastAsia="en-US"/>
              </w:rPr>
              <w:t>’</w:t>
            </w:r>
            <w:r w:rsidR="004002E3">
              <w:rPr>
                <w:rFonts w:eastAsiaTheme="minorHAnsi" w:cstheme="minorBidi"/>
                <w:lang w:val="fr-CH" w:eastAsia="en-US"/>
              </w:rPr>
              <w:t>il ress</w:t>
            </w:r>
            <w:r w:rsidRPr="00777AE2">
              <w:rPr>
                <w:rFonts w:eastAsiaTheme="minorHAnsi" w:cstheme="minorBidi"/>
                <w:lang w:val="fr-CH" w:eastAsia="en-US"/>
              </w:rPr>
              <w:t>ort de l</w:t>
            </w:r>
            <w:r w:rsidR="001D239E">
              <w:rPr>
                <w:rFonts w:eastAsiaTheme="minorHAnsi" w:cstheme="minorBidi"/>
                <w:lang w:val="fr-CH" w:eastAsia="en-US"/>
              </w:rPr>
              <w:t>’</w:t>
            </w:r>
            <w:r w:rsidRPr="00777AE2">
              <w:rPr>
                <w:rFonts w:eastAsiaTheme="minorHAnsi" w:cstheme="minorBidi"/>
                <w:lang w:val="fr-CH" w:eastAsia="en-US"/>
              </w:rPr>
              <w:t xml:space="preserve">ordre du jour de la </w:t>
            </w:r>
            <w:r w:rsidR="005C2066" w:rsidRPr="008A5763">
              <w:rPr>
                <w:rFonts w:eastAsiaTheme="minorHAnsi" w:cstheme="minorBidi"/>
                <w:lang w:val="fr-CH" w:eastAsia="en-US"/>
              </w:rPr>
              <w:t>sessio</w:t>
            </w:r>
            <w:r w:rsidRPr="008A5763">
              <w:rPr>
                <w:rFonts w:eastAsiaTheme="minorHAnsi" w:cstheme="minorBidi"/>
                <w:lang w:val="fr-CH" w:eastAsia="en-US"/>
              </w:rPr>
              <w:t>n</w:t>
            </w:r>
            <w:r w:rsidRPr="00777AE2">
              <w:rPr>
                <w:rFonts w:eastAsiaTheme="minorHAnsi" w:cstheme="minorBidi"/>
                <w:lang w:val="fr-CH" w:eastAsia="en-US"/>
              </w:rPr>
              <w:t xml:space="preserve"> ou du résumé du président.</w:t>
            </w:r>
          </w:p>
          <w:p w:rsidR="00BF7F01" w:rsidRPr="00777AE2" w:rsidRDefault="00BF7F01" w:rsidP="00BF7F01">
            <w:pPr>
              <w:ind w:left="-43"/>
              <w:rPr>
                <w:rFonts w:eastAsiaTheme="minorHAnsi" w:cstheme="minorBidi"/>
                <w:lang w:val="fr-CH" w:eastAsia="en-US"/>
              </w:rPr>
            </w:pPr>
          </w:p>
        </w:tc>
      </w:tr>
      <w:tr w:rsidR="00BF7F01" w:rsidRPr="00777AE2" w:rsidTr="00BF7F01">
        <w:trPr>
          <w:cantSplit/>
          <w:trHeight w:val="1080"/>
        </w:trPr>
        <w:tc>
          <w:tcPr>
            <w:tcW w:w="7544" w:type="dxa"/>
            <w:vMerge w:val="restart"/>
          </w:tcPr>
          <w:p w:rsidR="00564AB5" w:rsidRPr="00777AE2" w:rsidRDefault="0008369A" w:rsidP="0008369A">
            <w:pPr>
              <w:rPr>
                <w:rFonts w:eastAsiaTheme="minorHAnsi" w:cstheme="minorBidi"/>
                <w:lang w:val="fr-CH" w:eastAsia="en-US"/>
              </w:rPr>
            </w:pPr>
            <w:r w:rsidRPr="00AE5347">
              <w:rPr>
                <w:rFonts w:eastAsiaTheme="minorHAnsi" w:cstheme="minorBidi"/>
                <w:b/>
                <w:lang w:val="fr-CH" w:eastAsia="en-US"/>
              </w:rPr>
              <w:t>26</w:t>
            </w:r>
            <w:r w:rsidR="00AE5347">
              <w:rPr>
                <w:rFonts w:eastAsiaTheme="minorHAnsi" w:cstheme="minorBidi"/>
                <w:lang w:val="fr-CH" w:eastAsia="en-US"/>
              </w:rPr>
              <w:t xml:space="preserve">. </w:t>
            </w:r>
            <w:r w:rsidRPr="00777AE2">
              <w:rPr>
                <w:rFonts w:eastAsiaTheme="minorHAnsi" w:cstheme="minorBidi"/>
                <w:lang w:val="fr-CH" w:eastAsia="en-US"/>
              </w:rPr>
              <w:t>Encourager les États membres, en particulier les pays industrialisés, à inciter leurs institutions travaillant dans la recherche et le domaine scientifique à renforcer leur coopération et leurs échanges avec les institutions de recherche</w:t>
            </w:r>
            <w:r w:rsidR="00215E98">
              <w:rPr>
                <w:rFonts w:eastAsiaTheme="minorHAnsi" w:cstheme="minorBidi"/>
                <w:lang w:val="fr-CH" w:eastAsia="en-US"/>
              </w:rPr>
              <w:noBreakHyphen/>
            </w:r>
            <w:r w:rsidRPr="00777AE2">
              <w:rPr>
                <w:rFonts w:eastAsiaTheme="minorHAnsi" w:cstheme="minorBidi"/>
                <w:lang w:val="fr-CH" w:eastAsia="en-US"/>
              </w:rPr>
              <w:t>développement des pays en développement, en particulier des PMA.</w:t>
            </w:r>
          </w:p>
          <w:p w:rsidR="00BF7F01" w:rsidRPr="00777AE2" w:rsidRDefault="00BF7F01" w:rsidP="00BF7F01">
            <w:pPr>
              <w:rPr>
                <w:rFonts w:eastAsiaTheme="minorHAnsi" w:cstheme="minorBidi"/>
                <w:lang w:val="fr-CH" w:eastAsia="en-US"/>
              </w:rPr>
            </w:pPr>
          </w:p>
        </w:tc>
        <w:tc>
          <w:tcPr>
            <w:tcW w:w="5619" w:type="dxa"/>
            <w:tcBorders>
              <w:bottom w:val="dotted" w:sz="4" w:space="0" w:color="auto"/>
            </w:tcBorders>
          </w:tcPr>
          <w:p w:rsidR="00564AB5" w:rsidRPr="00777AE2" w:rsidRDefault="008A438E" w:rsidP="008A438E">
            <w:pPr>
              <w:numPr>
                <w:ilvl w:val="0"/>
                <w:numId w:val="12"/>
              </w:numPr>
              <w:ind w:left="175" w:hanging="218"/>
              <w:rPr>
                <w:rFonts w:eastAsiaTheme="minorHAnsi" w:cstheme="minorBidi"/>
                <w:lang w:val="fr-CH" w:eastAsia="en-US"/>
              </w:rPr>
            </w:pPr>
            <w:r w:rsidRPr="00777AE2">
              <w:rPr>
                <w:rFonts w:eastAsiaTheme="minorHAnsi" w:cstheme="minorBidi"/>
                <w:lang w:val="fr-CH" w:eastAsia="en-US"/>
              </w:rPr>
              <w:t xml:space="preserve">Nombre </w:t>
            </w:r>
            <w:r w:rsidR="00BC6AFD" w:rsidRPr="009C1E20">
              <w:rPr>
                <w:rFonts w:eastAsiaTheme="minorHAnsi" w:cstheme="minorBidi"/>
                <w:lang w:val="fr-CH" w:eastAsia="en-US"/>
              </w:rPr>
              <w:t>et indice de satisfaction des</w:t>
            </w:r>
            <w:r w:rsidR="00BC6AFD" w:rsidRPr="00777AE2">
              <w:rPr>
                <w:rFonts w:eastAsiaTheme="minorHAnsi" w:cstheme="minorBidi"/>
                <w:lang w:val="fr-CH" w:eastAsia="en-US"/>
              </w:rPr>
              <w:t xml:space="preserve"> </w:t>
            </w:r>
            <w:r w:rsidR="00DA1DA3">
              <w:rPr>
                <w:rFonts w:eastAsiaTheme="minorHAnsi" w:cstheme="minorBidi"/>
                <w:lang w:val="fr-CH" w:eastAsia="en-US"/>
              </w:rPr>
              <w:t>programmes et</w:t>
            </w:r>
            <w:r w:rsidR="00215E98">
              <w:rPr>
                <w:lang w:val="fr-CH"/>
              </w:rPr>
              <w:t> </w:t>
            </w:r>
            <w:r w:rsidRPr="00777AE2">
              <w:rPr>
                <w:rFonts w:eastAsiaTheme="minorHAnsi" w:cstheme="minorBidi"/>
                <w:lang w:val="fr-CH" w:eastAsia="en-US"/>
              </w:rPr>
              <w:t>activités de sensibilisation et de formation sur le transfert, la commercialisation ou la concession de licences de technologie conduits dans des États membres qui sont des pays en développement ou à</w:t>
            </w:r>
            <w:r w:rsidR="00215E98">
              <w:rPr>
                <w:lang w:val="fr-CH"/>
              </w:rPr>
              <w:t> </w:t>
            </w:r>
            <w:r w:rsidRPr="00777AE2">
              <w:rPr>
                <w:rFonts w:eastAsiaTheme="minorHAnsi" w:cstheme="minorBidi"/>
                <w:lang w:val="fr-CH" w:eastAsia="en-US"/>
              </w:rPr>
              <w:t>l</w:t>
            </w:r>
            <w:r w:rsidR="001D239E">
              <w:rPr>
                <w:rFonts w:eastAsiaTheme="minorHAnsi" w:cstheme="minorBidi"/>
                <w:lang w:val="fr-CH" w:eastAsia="en-US"/>
              </w:rPr>
              <w:t>’</w:t>
            </w:r>
            <w:r w:rsidRPr="00777AE2">
              <w:rPr>
                <w:rFonts w:eastAsiaTheme="minorHAnsi" w:cstheme="minorBidi"/>
                <w:lang w:val="fr-CH" w:eastAsia="en-US"/>
              </w:rPr>
              <w:t>intention de ces derniers.</w:t>
            </w:r>
          </w:p>
          <w:p w:rsidR="00564AB5" w:rsidRPr="00777AE2" w:rsidRDefault="00DA1DA3" w:rsidP="008A438E">
            <w:pPr>
              <w:numPr>
                <w:ilvl w:val="0"/>
                <w:numId w:val="12"/>
              </w:numPr>
              <w:ind w:left="175" w:hanging="218"/>
              <w:rPr>
                <w:rFonts w:eastAsiaTheme="minorHAnsi" w:cstheme="minorBidi"/>
                <w:lang w:val="fr-CH" w:eastAsia="en-US"/>
              </w:rPr>
            </w:pPr>
            <w:r>
              <w:rPr>
                <w:rFonts w:eastAsiaTheme="minorHAnsi" w:cstheme="minorBidi"/>
                <w:lang w:val="fr-CH" w:eastAsia="en-US"/>
              </w:rPr>
              <w:t xml:space="preserve">Nombre de publications, études et </w:t>
            </w:r>
            <w:r w:rsidR="008A438E" w:rsidRPr="00777AE2">
              <w:rPr>
                <w:rFonts w:eastAsiaTheme="minorHAnsi" w:cstheme="minorBidi"/>
                <w:lang w:val="fr-CH" w:eastAsia="en-US"/>
              </w:rPr>
              <w:t>autres ressources de qualité commandées, conduites ou établies par l</w:t>
            </w:r>
            <w:r w:rsidR="001D239E">
              <w:rPr>
                <w:rFonts w:eastAsiaTheme="minorHAnsi" w:cstheme="minorBidi"/>
                <w:lang w:val="fr-CH" w:eastAsia="en-US"/>
              </w:rPr>
              <w:t>’</w:t>
            </w:r>
            <w:r w:rsidR="008A438E" w:rsidRPr="00777AE2">
              <w:rPr>
                <w:rFonts w:eastAsiaTheme="minorHAnsi" w:cstheme="minorBidi"/>
                <w:lang w:val="fr-CH" w:eastAsia="en-US"/>
              </w:rPr>
              <w:t>OMPI sur le transfert, la commercialisation ou la conces</w:t>
            </w:r>
            <w:r w:rsidR="00AB6CEA">
              <w:rPr>
                <w:rFonts w:eastAsiaTheme="minorHAnsi" w:cstheme="minorBidi"/>
                <w:lang w:val="fr-CH" w:eastAsia="en-US"/>
              </w:rPr>
              <w:t>sion de licences de technologie</w:t>
            </w:r>
            <w:r w:rsidR="008A438E" w:rsidRPr="00777AE2">
              <w:rPr>
                <w:rFonts w:eastAsiaTheme="minorHAnsi" w:cstheme="minorBidi"/>
                <w:lang w:val="fr-CH" w:eastAsia="en-US"/>
              </w:rPr>
              <w:t xml:space="preserve"> qui ont fait l</w:t>
            </w:r>
            <w:r w:rsidR="001D239E">
              <w:rPr>
                <w:rFonts w:eastAsiaTheme="minorHAnsi" w:cstheme="minorBidi"/>
                <w:lang w:val="fr-CH" w:eastAsia="en-US"/>
              </w:rPr>
              <w:t>’</w:t>
            </w:r>
            <w:r w:rsidR="008A438E" w:rsidRPr="00777AE2">
              <w:rPr>
                <w:rFonts w:eastAsiaTheme="minorHAnsi" w:cstheme="minorBidi"/>
                <w:lang w:val="fr-CH" w:eastAsia="en-US"/>
              </w:rPr>
              <w:t>objet d</w:t>
            </w:r>
            <w:r w:rsidR="001D239E">
              <w:rPr>
                <w:rFonts w:eastAsiaTheme="minorHAnsi" w:cstheme="minorBidi"/>
                <w:lang w:val="fr-CH" w:eastAsia="en-US"/>
              </w:rPr>
              <w:t>’</w:t>
            </w:r>
            <w:r w:rsidR="008A438E" w:rsidRPr="00777AE2">
              <w:rPr>
                <w:rFonts w:eastAsiaTheme="minorHAnsi" w:cstheme="minorBidi"/>
                <w:lang w:val="fr-CH" w:eastAsia="en-US"/>
              </w:rPr>
              <w:t>un examen collégial et qui sont à la disposition des États membres.</w:t>
            </w:r>
          </w:p>
          <w:p w:rsidR="00BF7F01" w:rsidRPr="00777AE2" w:rsidRDefault="00F50343" w:rsidP="00AB6CEA">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w:t>
            </w:r>
            <w:r w:rsidR="001D239E">
              <w:rPr>
                <w:rFonts w:eastAsiaTheme="minorHAnsi" w:cstheme="minorBidi"/>
                <w:lang w:val="fr-CH" w:eastAsia="en-US"/>
              </w:rPr>
              <w:t>’</w:t>
            </w:r>
            <w:r w:rsidRPr="00777AE2">
              <w:rPr>
                <w:rFonts w:eastAsiaTheme="minorHAnsi" w:cstheme="minorBidi"/>
                <w:lang w:val="fr-CH" w:eastAsia="en-US"/>
              </w:rPr>
              <w:t xml:space="preserve">experts de pays </w:t>
            </w:r>
            <w:r w:rsidR="00AB6CEA">
              <w:rPr>
                <w:rFonts w:eastAsiaTheme="minorHAnsi" w:cstheme="minorBidi"/>
                <w:lang w:val="fr-CH" w:eastAsia="en-US"/>
              </w:rPr>
              <w:t>industrialisés</w:t>
            </w:r>
            <w:r w:rsidRPr="00777AE2">
              <w:rPr>
                <w:rFonts w:eastAsiaTheme="minorHAnsi" w:cstheme="minorBidi"/>
                <w:lang w:val="fr-CH" w:eastAsia="en-US"/>
              </w:rPr>
              <w:t xml:space="preserve"> ayant participé aux programmes de l</w:t>
            </w:r>
            <w:r w:rsidR="001D239E">
              <w:rPr>
                <w:rFonts w:eastAsiaTheme="minorHAnsi" w:cstheme="minorBidi"/>
                <w:lang w:val="fr-CH" w:eastAsia="en-US"/>
              </w:rPr>
              <w:t>’</w:t>
            </w:r>
            <w:r w:rsidRPr="00777AE2">
              <w:rPr>
                <w:rFonts w:eastAsiaTheme="minorHAnsi" w:cstheme="minorBidi"/>
                <w:lang w:val="fr-CH" w:eastAsia="en-US"/>
              </w:rPr>
              <w:t>OMPI dans le domaine du transfert de technologie.</w:t>
            </w:r>
          </w:p>
        </w:tc>
      </w:tr>
      <w:tr w:rsidR="00BF7F01" w:rsidRPr="00777AE2" w:rsidTr="00BF7F01">
        <w:trPr>
          <w:cantSplit/>
          <w:trHeight w:val="1200"/>
        </w:trPr>
        <w:tc>
          <w:tcPr>
            <w:tcW w:w="7544" w:type="dxa"/>
            <w:vMerge/>
          </w:tcPr>
          <w:p w:rsidR="00BF7F01" w:rsidRPr="00777AE2" w:rsidRDefault="00BF7F01" w:rsidP="00BF7F01">
            <w:pPr>
              <w:rPr>
                <w:rFonts w:eastAsiaTheme="minorHAnsi" w:cstheme="minorBidi"/>
                <w:b/>
                <w:lang w:val="fr-CH" w:eastAsia="en-US"/>
              </w:rPr>
            </w:pPr>
          </w:p>
        </w:tc>
        <w:tc>
          <w:tcPr>
            <w:tcW w:w="5619" w:type="dxa"/>
            <w:tcBorders>
              <w:top w:val="dotted" w:sz="4" w:space="0" w:color="auto"/>
            </w:tcBorders>
          </w:tcPr>
          <w:p w:rsidR="00564AB5" w:rsidRPr="00777AE2" w:rsidRDefault="00CF4D83" w:rsidP="00CF4D83">
            <w:pPr>
              <w:numPr>
                <w:ilvl w:val="0"/>
                <w:numId w:val="12"/>
              </w:numPr>
              <w:ind w:left="175" w:hanging="218"/>
              <w:rPr>
                <w:rFonts w:eastAsiaTheme="minorHAnsi" w:cstheme="minorBidi"/>
                <w:lang w:val="fr-CH" w:eastAsia="en-US"/>
              </w:rPr>
            </w:pPr>
            <w:r w:rsidRPr="00777AE2">
              <w:rPr>
                <w:rFonts w:eastAsiaTheme="minorHAnsi" w:cstheme="minorBidi"/>
                <w:lang w:val="fr-CH" w:eastAsia="en-US"/>
              </w:rPr>
              <w:t xml:space="preserve">Nombre de partenariats conclus par des institutions travaillant dans la recherche et le domaine scientifique qui ont trait au transfert, à la commercialisation ou à </w:t>
            </w:r>
            <w:r w:rsidR="00A50C21">
              <w:rPr>
                <w:rFonts w:eastAsiaTheme="minorHAnsi" w:cstheme="minorBidi"/>
                <w:lang w:val="fr-CH" w:eastAsia="en-US"/>
              </w:rPr>
              <w:t>l</w:t>
            </w:r>
            <w:r w:rsidRPr="00777AE2">
              <w:rPr>
                <w:rFonts w:eastAsiaTheme="minorHAnsi" w:cstheme="minorBidi"/>
                <w:lang w:val="fr-CH" w:eastAsia="en-US"/>
              </w:rPr>
              <w:t>a concession de licences de technologie, facilités par l</w:t>
            </w:r>
            <w:r w:rsidR="001D239E">
              <w:rPr>
                <w:rFonts w:eastAsiaTheme="minorHAnsi" w:cstheme="minorBidi"/>
                <w:lang w:val="fr-CH" w:eastAsia="en-US"/>
              </w:rPr>
              <w:t>’</w:t>
            </w:r>
            <w:r w:rsidRPr="00777AE2">
              <w:rPr>
                <w:rFonts w:eastAsiaTheme="minorHAnsi" w:cstheme="minorBidi"/>
                <w:lang w:val="fr-CH" w:eastAsia="en-US"/>
              </w:rPr>
              <w:t xml:space="preserve">OMPI (par exemple </w:t>
            </w:r>
            <w:r w:rsidR="00A50C21">
              <w:rPr>
                <w:rFonts w:eastAsiaTheme="minorHAnsi" w:cstheme="minorBidi"/>
                <w:lang w:val="fr-CH" w:eastAsia="en-US"/>
              </w:rPr>
              <w:t>via</w:t>
            </w:r>
            <w:r w:rsidRPr="00777AE2">
              <w:rPr>
                <w:rFonts w:eastAsiaTheme="minorHAnsi" w:cstheme="minorBidi"/>
                <w:lang w:val="fr-CH" w:eastAsia="en-US"/>
              </w:rPr>
              <w:t xml:space="preserve"> WIPO GREEN, WIPO</w:t>
            </w:r>
            <w:r w:rsidR="00605B5E">
              <w:rPr>
                <w:rFonts w:eastAsiaTheme="minorHAnsi" w:cstheme="minorBidi"/>
                <w:lang w:val="fr-CH" w:eastAsia="en-US"/>
              </w:rPr>
              <w:t> </w:t>
            </w:r>
            <w:r w:rsidRPr="00777AE2">
              <w:rPr>
                <w:rFonts w:eastAsiaTheme="minorHAnsi" w:cstheme="minorBidi"/>
                <w:lang w:val="fr-CH" w:eastAsia="en-US"/>
              </w:rPr>
              <w:t>Re:Search, WIPO</w:t>
            </w:r>
            <w:r w:rsidR="00750D88">
              <w:rPr>
                <w:rFonts w:eastAsiaTheme="minorHAnsi" w:cstheme="minorBidi"/>
                <w:lang w:val="fr-CH" w:eastAsia="en-US"/>
              </w:rPr>
              <w:t> </w:t>
            </w:r>
            <w:r w:rsidRPr="00777AE2">
              <w:rPr>
                <w:rFonts w:eastAsiaTheme="minorHAnsi" w:cstheme="minorBidi"/>
                <w:lang w:val="fr-CH" w:eastAsia="en-US"/>
              </w:rPr>
              <w:t>Match ou toute autre plateforme).</w:t>
            </w:r>
          </w:p>
          <w:p w:rsidR="00564AB5" w:rsidRPr="00777AE2" w:rsidRDefault="00CF4D83" w:rsidP="00CF4D83">
            <w:pPr>
              <w:numPr>
                <w:ilvl w:val="0"/>
                <w:numId w:val="12"/>
              </w:numPr>
              <w:ind w:left="175" w:hanging="218"/>
              <w:rPr>
                <w:rFonts w:eastAsiaTheme="minorHAnsi" w:cstheme="minorBidi"/>
                <w:lang w:val="fr-CH" w:eastAsia="en-US"/>
              </w:rPr>
            </w:pPr>
            <w:r w:rsidRPr="00777AE2">
              <w:rPr>
                <w:rFonts w:eastAsiaTheme="minorHAnsi" w:cstheme="minorBidi"/>
                <w:lang w:val="fr-CH" w:eastAsia="en-US"/>
              </w:rPr>
              <w:t>Utilisation des bases de données établies par l</w:t>
            </w:r>
            <w:r w:rsidR="001D239E">
              <w:rPr>
                <w:rFonts w:eastAsiaTheme="minorHAnsi" w:cstheme="minorBidi"/>
                <w:lang w:val="fr-CH" w:eastAsia="en-US"/>
              </w:rPr>
              <w:t>’</w:t>
            </w:r>
            <w:r w:rsidRPr="00777AE2">
              <w:rPr>
                <w:rFonts w:eastAsiaTheme="minorHAnsi" w:cstheme="minorBidi"/>
                <w:lang w:val="fr-CH" w:eastAsia="en-US"/>
              </w:rPr>
              <w:t>OMPI sur le transfert, la commercialisation ou la concession de licences de technologie et qui sont à la disposition des États membres</w:t>
            </w:r>
            <w:r w:rsidR="00D04151">
              <w:rPr>
                <w:rFonts w:eastAsiaTheme="minorHAnsi" w:cstheme="minorBidi"/>
                <w:lang w:val="fr-CH" w:eastAsia="en-US"/>
              </w:rPr>
              <w:t>.</w:t>
            </w:r>
          </w:p>
          <w:p w:rsidR="00564AB5" w:rsidRPr="00777AE2" w:rsidRDefault="003423A9" w:rsidP="003423A9">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et utilisation de</w:t>
            </w:r>
            <w:r w:rsidR="00DA1DA3">
              <w:rPr>
                <w:rFonts w:eastAsiaTheme="minorHAnsi" w:cstheme="minorBidi"/>
                <w:lang w:val="fr-CH" w:eastAsia="en-US"/>
              </w:rPr>
              <w:t>s</w:t>
            </w:r>
            <w:r w:rsidRPr="00777AE2">
              <w:rPr>
                <w:rFonts w:eastAsiaTheme="minorHAnsi" w:cstheme="minorBidi"/>
                <w:lang w:val="fr-CH" w:eastAsia="en-US"/>
              </w:rPr>
              <w:t xml:space="preserve"> bases de données établies par les États membres sur le transfert, la commercialisation ou la concession de licences de technologie et qui</w:t>
            </w:r>
            <w:r w:rsidR="00074587">
              <w:rPr>
                <w:rFonts w:eastAsiaTheme="minorHAnsi" w:cstheme="minorBidi"/>
                <w:lang w:val="fr-CH" w:eastAsia="en-US"/>
              </w:rPr>
              <w:t xml:space="preserve"> ont</w:t>
            </w:r>
            <w:r w:rsidRPr="00777AE2">
              <w:rPr>
                <w:rFonts w:eastAsiaTheme="minorHAnsi" w:cstheme="minorBidi"/>
                <w:lang w:val="fr-CH" w:eastAsia="en-US"/>
              </w:rPr>
              <w:t xml:space="preserve"> été portées à la connaissance de l</w:t>
            </w:r>
            <w:r w:rsidR="001D239E">
              <w:rPr>
                <w:rFonts w:eastAsiaTheme="minorHAnsi" w:cstheme="minorBidi"/>
                <w:lang w:val="fr-CH" w:eastAsia="en-US"/>
              </w:rPr>
              <w:t>’</w:t>
            </w:r>
            <w:r w:rsidRPr="00777AE2">
              <w:rPr>
                <w:rFonts w:eastAsiaTheme="minorHAnsi" w:cstheme="minorBidi"/>
                <w:lang w:val="fr-CH" w:eastAsia="en-US"/>
              </w:rPr>
              <w:t xml:space="preserve">OMPI et </w:t>
            </w:r>
            <w:r w:rsidRPr="008A5763">
              <w:rPr>
                <w:rFonts w:eastAsiaTheme="minorHAnsi" w:cstheme="minorBidi"/>
                <w:lang w:val="fr-CH" w:eastAsia="en-US"/>
              </w:rPr>
              <w:t>diffusées</w:t>
            </w:r>
            <w:r w:rsidRPr="00777AE2">
              <w:rPr>
                <w:rFonts w:eastAsiaTheme="minorHAnsi" w:cstheme="minorBidi"/>
                <w:lang w:val="fr-CH" w:eastAsia="en-US"/>
              </w:rPr>
              <w:t xml:space="preserve"> par l</w:t>
            </w:r>
            <w:r w:rsidR="001D239E">
              <w:rPr>
                <w:rFonts w:eastAsiaTheme="minorHAnsi" w:cstheme="minorBidi"/>
                <w:lang w:val="fr-CH" w:eastAsia="en-US"/>
              </w:rPr>
              <w:t>’</w:t>
            </w:r>
            <w:r w:rsidRPr="00777AE2">
              <w:rPr>
                <w:rFonts w:eastAsiaTheme="minorHAnsi" w:cstheme="minorBidi"/>
                <w:lang w:val="fr-CH" w:eastAsia="en-US"/>
              </w:rPr>
              <w:t>intermédiaire de l</w:t>
            </w:r>
            <w:r w:rsidR="001D239E">
              <w:rPr>
                <w:rFonts w:eastAsiaTheme="minorHAnsi" w:cstheme="minorBidi"/>
                <w:lang w:val="fr-CH" w:eastAsia="en-US"/>
              </w:rPr>
              <w:t>’</w:t>
            </w:r>
            <w:r w:rsidRPr="00777AE2">
              <w:rPr>
                <w:rFonts w:eastAsiaTheme="minorHAnsi" w:cstheme="minorBidi"/>
                <w:lang w:val="fr-CH" w:eastAsia="en-US"/>
              </w:rPr>
              <w:t>OMPI.</w:t>
            </w:r>
          </w:p>
          <w:p w:rsidR="00564AB5" w:rsidRPr="00777AE2" w:rsidRDefault="006579EE" w:rsidP="006579EE">
            <w:pPr>
              <w:numPr>
                <w:ilvl w:val="0"/>
                <w:numId w:val="12"/>
              </w:numPr>
              <w:tabs>
                <w:tab w:val="left" w:pos="2692"/>
              </w:tabs>
              <w:ind w:left="175" w:hanging="218"/>
              <w:rPr>
                <w:rFonts w:eastAsiaTheme="minorHAnsi" w:cstheme="minorBidi"/>
                <w:lang w:val="fr-CH" w:eastAsia="en-US"/>
              </w:rPr>
            </w:pPr>
            <w:r w:rsidRPr="00777AE2">
              <w:rPr>
                <w:rFonts w:eastAsiaTheme="minorHAnsi" w:cstheme="minorBidi"/>
                <w:lang w:val="fr-CH" w:eastAsia="en-US"/>
              </w:rPr>
              <w:t>Nombre d</w:t>
            </w:r>
            <w:r w:rsidR="001D239E">
              <w:rPr>
                <w:rFonts w:eastAsiaTheme="minorHAnsi" w:cstheme="minorBidi"/>
                <w:lang w:val="fr-CH" w:eastAsia="en-US"/>
              </w:rPr>
              <w:t>’</w:t>
            </w:r>
            <w:r w:rsidRPr="00777AE2">
              <w:rPr>
                <w:rFonts w:eastAsiaTheme="minorHAnsi" w:cstheme="minorBidi"/>
                <w:lang w:val="fr-CH" w:eastAsia="en-US"/>
              </w:rPr>
              <w:t>activités visant à promouvoir l</w:t>
            </w:r>
            <w:r w:rsidR="001D239E">
              <w:rPr>
                <w:rFonts w:eastAsiaTheme="minorHAnsi" w:cstheme="minorBidi"/>
                <w:lang w:val="fr-CH" w:eastAsia="en-US"/>
              </w:rPr>
              <w:t>’</w:t>
            </w:r>
            <w:r w:rsidRPr="00777AE2">
              <w:rPr>
                <w:rFonts w:eastAsiaTheme="minorHAnsi" w:cstheme="minorBidi"/>
                <w:lang w:val="fr-CH" w:eastAsia="en-US"/>
              </w:rPr>
              <w:t>utilisation de bases de données sur le transfert, la commercialisation ou la concession de licences de technologie menées par l</w:t>
            </w:r>
            <w:r w:rsidR="001D239E">
              <w:rPr>
                <w:rFonts w:eastAsiaTheme="minorHAnsi" w:cstheme="minorBidi"/>
                <w:lang w:val="fr-CH" w:eastAsia="en-US"/>
              </w:rPr>
              <w:t>’</w:t>
            </w:r>
            <w:r w:rsidRPr="00777AE2">
              <w:rPr>
                <w:rFonts w:eastAsiaTheme="minorHAnsi" w:cstheme="minorBidi"/>
                <w:lang w:val="fr-CH" w:eastAsia="en-US"/>
              </w:rPr>
              <w:t>OMPI.</w:t>
            </w:r>
          </w:p>
          <w:p w:rsidR="00BF7F01" w:rsidRPr="00777AE2" w:rsidRDefault="00BF7F01" w:rsidP="00BF7F01">
            <w:pPr>
              <w:ind w:left="175"/>
              <w:rPr>
                <w:rFonts w:eastAsiaTheme="minorHAnsi" w:cstheme="minorBidi"/>
                <w:lang w:val="fr-CH" w:eastAsia="en-US"/>
              </w:rPr>
            </w:pPr>
          </w:p>
        </w:tc>
      </w:tr>
      <w:tr w:rsidR="00BF7F01" w:rsidRPr="00777AE2" w:rsidTr="00BF7F01">
        <w:trPr>
          <w:cantSplit/>
          <w:trHeight w:val="1040"/>
        </w:trPr>
        <w:tc>
          <w:tcPr>
            <w:tcW w:w="7544" w:type="dxa"/>
            <w:vMerge w:val="restart"/>
          </w:tcPr>
          <w:p w:rsidR="00564AB5" w:rsidRPr="00777AE2" w:rsidRDefault="00AE5347" w:rsidP="006579EE">
            <w:pPr>
              <w:rPr>
                <w:rFonts w:eastAsiaTheme="minorHAnsi" w:cstheme="minorBidi"/>
                <w:lang w:val="fr-CH" w:eastAsia="en-US"/>
              </w:rPr>
            </w:pPr>
            <w:r w:rsidRPr="00AE5347">
              <w:rPr>
                <w:rFonts w:eastAsiaTheme="minorHAnsi" w:cstheme="minorBidi"/>
                <w:b/>
                <w:lang w:val="fr-CH" w:eastAsia="en-US"/>
              </w:rPr>
              <w:t>28</w:t>
            </w:r>
            <w:r>
              <w:rPr>
                <w:rFonts w:eastAsiaTheme="minorHAnsi" w:cstheme="minorBidi"/>
                <w:lang w:val="fr-CH" w:eastAsia="en-US"/>
              </w:rPr>
              <w:t xml:space="preserve">. </w:t>
            </w:r>
            <w:r w:rsidR="006579EE" w:rsidRPr="00777AE2">
              <w:rPr>
                <w:rFonts w:eastAsiaTheme="minorHAnsi" w:cstheme="minorBidi"/>
                <w:lang w:val="fr-CH" w:eastAsia="en-US"/>
              </w:rPr>
              <w:t>Examiner les politiques et mesures relatives à la propriété intellectuelle que les États membres, en particulier les pays industrialisés, pourraient adopter pour promouvoir le transfert et la diffusion de la technologie vers les pays en développement.</w:t>
            </w:r>
          </w:p>
          <w:p w:rsidR="00BF7F01" w:rsidRPr="00777AE2" w:rsidRDefault="00BF7F01" w:rsidP="00BF7F01">
            <w:pPr>
              <w:rPr>
                <w:rFonts w:eastAsiaTheme="minorHAnsi" w:cstheme="minorBidi"/>
                <w:lang w:val="fr-CH" w:eastAsia="en-US"/>
              </w:rPr>
            </w:pPr>
          </w:p>
        </w:tc>
        <w:tc>
          <w:tcPr>
            <w:tcW w:w="5619" w:type="dxa"/>
            <w:tcBorders>
              <w:bottom w:val="dotted" w:sz="4" w:space="0" w:color="auto"/>
            </w:tcBorders>
          </w:tcPr>
          <w:p w:rsidR="001D239E" w:rsidRDefault="006579EE" w:rsidP="006579EE">
            <w:pPr>
              <w:numPr>
                <w:ilvl w:val="0"/>
                <w:numId w:val="12"/>
              </w:numPr>
              <w:ind w:left="175" w:hanging="218"/>
              <w:rPr>
                <w:rFonts w:eastAsiaTheme="minorHAnsi" w:cstheme="minorBidi"/>
                <w:lang w:val="fr-CH" w:eastAsia="en-US"/>
              </w:rPr>
            </w:pPr>
            <w:r w:rsidRPr="00777AE2">
              <w:rPr>
                <w:rFonts w:eastAsiaTheme="minorHAnsi" w:cstheme="minorBidi"/>
                <w:lang w:val="fr-CH" w:eastAsia="en-US"/>
              </w:rPr>
              <w:t xml:space="preserve">Nombre </w:t>
            </w:r>
            <w:r w:rsidR="00BC6AFD" w:rsidRPr="009C1E20">
              <w:rPr>
                <w:rFonts w:eastAsiaTheme="minorHAnsi" w:cstheme="minorBidi"/>
                <w:lang w:val="fr-CH" w:eastAsia="en-US"/>
              </w:rPr>
              <w:t>et indice de satisfaction des</w:t>
            </w:r>
            <w:r w:rsidR="00BC6AFD" w:rsidRPr="00777AE2">
              <w:rPr>
                <w:rFonts w:eastAsiaTheme="minorHAnsi" w:cstheme="minorBidi"/>
                <w:lang w:val="fr-CH" w:eastAsia="en-US"/>
              </w:rPr>
              <w:t xml:space="preserve"> </w:t>
            </w:r>
            <w:r w:rsidR="00DA1DA3">
              <w:rPr>
                <w:rFonts w:eastAsiaTheme="minorHAnsi" w:cstheme="minorBidi"/>
                <w:lang w:val="fr-CH" w:eastAsia="en-US"/>
              </w:rPr>
              <w:t xml:space="preserve">programmes et </w:t>
            </w:r>
            <w:r w:rsidRPr="00777AE2">
              <w:rPr>
                <w:rFonts w:eastAsiaTheme="minorHAnsi" w:cstheme="minorBidi"/>
                <w:lang w:val="fr-CH" w:eastAsia="en-US"/>
              </w:rPr>
              <w:t>activités de formation sur les politiques et initiatives relatives à la propriété intellectuelle visant à promouvoir le transfert de technologie conduits dans des États membres qui sont des pays industrialisés ou à l</w:t>
            </w:r>
            <w:r w:rsidR="001D239E">
              <w:rPr>
                <w:rFonts w:eastAsiaTheme="minorHAnsi" w:cstheme="minorBidi"/>
                <w:lang w:val="fr-CH" w:eastAsia="en-US"/>
              </w:rPr>
              <w:t>’</w:t>
            </w:r>
            <w:r w:rsidRPr="00777AE2">
              <w:rPr>
                <w:rFonts w:eastAsiaTheme="minorHAnsi" w:cstheme="minorBidi"/>
                <w:lang w:val="fr-CH" w:eastAsia="en-US"/>
              </w:rPr>
              <w:t>intention de ces derniers.</w:t>
            </w:r>
          </w:p>
          <w:p w:rsidR="00564AB5" w:rsidRPr="00777AE2" w:rsidRDefault="006579EE" w:rsidP="006579EE">
            <w:pPr>
              <w:numPr>
                <w:ilvl w:val="0"/>
                <w:numId w:val="12"/>
              </w:numPr>
              <w:ind w:left="175" w:hanging="218"/>
              <w:rPr>
                <w:rFonts w:eastAsiaTheme="minorHAnsi" w:cstheme="minorBidi"/>
                <w:lang w:val="fr-CH" w:eastAsia="en-US"/>
              </w:rPr>
            </w:pPr>
            <w:r w:rsidRPr="00777AE2">
              <w:rPr>
                <w:rFonts w:eastAsiaTheme="minorHAnsi" w:cstheme="minorBidi"/>
                <w:lang w:val="fr-CH" w:eastAsia="en-US"/>
              </w:rPr>
              <w:t>Utilisation des bases de données établies par l</w:t>
            </w:r>
            <w:r w:rsidR="001D239E">
              <w:rPr>
                <w:rFonts w:eastAsiaTheme="minorHAnsi" w:cstheme="minorBidi"/>
                <w:lang w:val="fr-CH" w:eastAsia="en-US"/>
              </w:rPr>
              <w:t>’</w:t>
            </w:r>
            <w:r w:rsidRPr="00777AE2">
              <w:rPr>
                <w:rFonts w:eastAsiaTheme="minorHAnsi" w:cstheme="minorBidi"/>
                <w:lang w:val="fr-CH" w:eastAsia="en-US"/>
              </w:rPr>
              <w:t xml:space="preserve">OMPI sur les politiques et initiatives </w:t>
            </w:r>
            <w:r w:rsidR="00D04151">
              <w:rPr>
                <w:rFonts w:eastAsiaTheme="minorHAnsi" w:cstheme="minorBidi"/>
                <w:lang w:val="fr-CH" w:eastAsia="en-US"/>
              </w:rPr>
              <w:t xml:space="preserve">relatives </w:t>
            </w:r>
            <w:r w:rsidRPr="00777AE2">
              <w:rPr>
                <w:rFonts w:eastAsiaTheme="minorHAnsi" w:cstheme="minorBidi"/>
                <w:lang w:val="fr-CH" w:eastAsia="en-US"/>
              </w:rPr>
              <w:t>au transfert de technologie et qui sont à la disposition des États membres.</w:t>
            </w:r>
          </w:p>
          <w:p w:rsidR="001D239E" w:rsidRDefault="00DA1DA3" w:rsidP="006579EE">
            <w:pPr>
              <w:numPr>
                <w:ilvl w:val="0"/>
                <w:numId w:val="12"/>
              </w:numPr>
              <w:ind w:left="175" w:hanging="218"/>
              <w:rPr>
                <w:rFonts w:eastAsiaTheme="minorHAnsi" w:cstheme="minorBidi"/>
                <w:lang w:val="fr-CH" w:eastAsia="en-US"/>
              </w:rPr>
            </w:pPr>
            <w:r>
              <w:rPr>
                <w:rFonts w:eastAsiaTheme="minorHAnsi" w:cstheme="minorBidi"/>
                <w:lang w:val="fr-CH" w:eastAsia="en-US"/>
              </w:rPr>
              <w:t xml:space="preserve">Nombre de publications, études et </w:t>
            </w:r>
            <w:r w:rsidR="006579EE" w:rsidRPr="00777AE2">
              <w:rPr>
                <w:rFonts w:eastAsiaTheme="minorHAnsi" w:cstheme="minorBidi"/>
                <w:lang w:val="fr-CH" w:eastAsia="en-US"/>
              </w:rPr>
              <w:t>autres ressources de qualité commandées, conduites ou établies par l</w:t>
            </w:r>
            <w:r w:rsidR="001D239E">
              <w:rPr>
                <w:rFonts w:eastAsiaTheme="minorHAnsi" w:cstheme="minorBidi"/>
                <w:lang w:val="fr-CH" w:eastAsia="en-US"/>
              </w:rPr>
              <w:t>’</w:t>
            </w:r>
            <w:r w:rsidR="006579EE" w:rsidRPr="00777AE2">
              <w:rPr>
                <w:rFonts w:eastAsiaTheme="minorHAnsi" w:cstheme="minorBidi"/>
                <w:lang w:val="fr-CH" w:eastAsia="en-US"/>
              </w:rPr>
              <w:t>OMPI sur les politiques et initiatives relatives au transfert de technologie qui ont fait l</w:t>
            </w:r>
            <w:r w:rsidR="001D239E">
              <w:rPr>
                <w:rFonts w:eastAsiaTheme="minorHAnsi" w:cstheme="minorBidi"/>
                <w:lang w:val="fr-CH" w:eastAsia="en-US"/>
              </w:rPr>
              <w:t>’</w:t>
            </w:r>
            <w:r w:rsidR="006579EE" w:rsidRPr="00777AE2">
              <w:rPr>
                <w:rFonts w:eastAsiaTheme="minorHAnsi" w:cstheme="minorBidi"/>
                <w:lang w:val="fr-CH" w:eastAsia="en-US"/>
              </w:rPr>
              <w:t>objet d</w:t>
            </w:r>
            <w:r w:rsidR="001D239E">
              <w:rPr>
                <w:rFonts w:eastAsiaTheme="minorHAnsi" w:cstheme="minorBidi"/>
                <w:lang w:val="fr-CH" w:eastAsia="en-US"/>
              </w:rPr>
              <w:t>’</w:t>
            </w:r>
            <w:r w:rsidR="006579EE" w:rsidRPr="00777AE2">
              <w:rPr>
                <w:rFonts w:eastAsiaTheme="minorHAnsi" w:cstheme="minorBidi"/>
                <w:lang w:val="fr-CH" w:eastAsia="en-US"/>
              </w:rPr>
              <w:t>un examen collégial et qui sont à la disposition des États</w:t>
            </w:r>
            <w:r w:rsidR="00215E98">
              <w:rPr>
                <w:lang w:val="fr-CH"/>
              </w:rPr>
              <w:t> </w:t>
            </w:r>
            <w:r w:rsidR="006579EE" w:rsidRPr="00777AE2">
              <w:rPr>
                <w:rFonts w:eastAsiaTheme="minorHAnsi" w:cstheme="minorBidi"/>
                <w:lang w:val="fr-CH" w:eastAsia="en-US"/>
              </w:rPr>
              <w:t>membres.</w:t>
            </w:r>
          </w:p>
          <w:p w:rsidR="001D239E" w:rsidRDefault="00E6351D" w:rsidP="00E6351D">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de bourses, programmes de niveau master, cours d</w:t>
            </w:r>
            <w:r w:rsidR="001D239E">
              <w:rPr>
                <w:rFonts w:eastAsiaTheme="minorHAnsi" w:cstheme="minorBidi"/>
                <w:lang w:val="fr-CH" w:eastAsia="en-US"/>
              </w:rPr>
              <w:t>’</w:t>
            </w:r>
            <w:r w:rsidRPr="00777AE2">
              <w:rPr>
                <w:rFonts w:eastAsiaTheme="minorHAnsi" w:cstheme="minorBidi"/>
                <w:lang w:val="fr-CH" w:eastAsia="en-US"/>
              </w:rPr>
              <w:t>été et cours d</w:t>
            </w:r>
            <w:r w:rsidR="001D239E">
              <w:rPr>
                <w:rFonts w:eastAsiaTheme="minorHAnsi" w:cstheme="minorBidi"/>
                <w:lang w:val="fr-CH" w:eastAsia="en-US"/>
              </w:rPr>
              <w:t>’</w:t>
            </w:r>
            <w:r w:rsidRPr="00777AE2">
              <w:rPr>
                <w:rFonts w:eastAsiaTheme="minorHAnsi" w:cstheme="minorBidi"/>
                <w:lang w:val="fr-CH" w:eastAsia="en-US"/>
              </w:rPr>
              <w:t>enseignement à distance sur les politiques et initiatives relatives à la propriété intellectuelle visant à promouvoir le transfert de technologie proposés ou dispensés par l</w:t>
            </w:r>
            <w:r w:rsidR="001D239E">
              <w:rPr>
                <w:rFonts w:eastAsiaTheme="minorHAnsi" w:cstheme="minorBidi"/>
                <w:lang w:val="fr-CH" w:eastAsia="en-US"/>
              </w:rPr>
              <w:t>’</w:t>
            </w:r>
            <w:r w:rsidRPr="00777AE2">
              <w:rPr>
                <w:rFonts w:eastAsiaTheme="minorHAnsi" w:cstheme="minorBidi"/>
                <w:lang w:val="fr-CH" w:eastAsia="en-US"/>
              </w:rPr>
              <w:t>OMPI aux États membres qui sont des pays industrialisés ou organisés par l</w:t>
            </w:r>
            <w:r w:rsidR="001D239E">
              <w:rPr>
                <w:rFonts w:eastAsiaTheme="minorHAnsi" w:cstheme="minorBidi"/>
                <w:lang w:val="fr-CH" w:eastAsia="en-US"/>
              </w:rPr>
              <w:t>’</w:t>
            </w:r>
            <w:r w:rsidRPr="00777AE2">
              <w:rPr>
                <w:rFonts w:eastAsiaTheme="minorHAnsi" w:cstheme="minorBidi"/>
                <w:lang w:val="fr-CH" w:eastAsia="en-US"/>
              </w:rPr>
              <w:t xml:space="preserve">OMPI pour le compte </w:t>
            </w:r>
            <w:r w:rsidR="00A72B68">
              <w:rPr>
                <w:rFonts w:eastAsiaTheme="minorHAnsi" w:cstheme="minorBidi"/>
                <w:lang w:val="fr-CH" w:eastAsia="en-US"/>
              </w:rPr>
              <w:t>de ces derniers</w:t>
            </w:r>
            <w:r w:rsidRPr="00777AE2">
              <w:rPr>
                <w:rFonts w:eastAsiaTheme="minorHAnsi" w:cstheme="minorBidi"/>
                <w:lang w:val="fr-CH" w:eastAsia="en-US"/>
              </w:rPr>
              <w:t>.</w:t>
            </w:r>
          </w:p>
          <w:p w:rsidR="00BF7F01" w:rsidRPr="00777AE2" w:rsidRDefault="00BF7F01" w:rsidP="00BF7F01">
            <w:pPr>
              <w:rPr>
                <w:rFonts w:eastAsiaTheme="minorHAnsi" w:cstheme="minorBidi"/>
                <w:lang w:val="fr-CH" w:eastAsia="en-US"/>
              </w:rPr>
            </w:pPr>
          </w:p>
        </w:tc>
      </w:tr>
      <w:tr w:rsidR="00BF7F01" w:rsidRPr="00777AE2" w:rsidTr="00BF7F01">
        <w:trPr>
          <w:cantSplit/>
          <w:trHeight w:val="980"/>
        </w:trPr>
        <w:tc>
          <w:tcPr>
            <w:tcW w:w="7544" w:type="dxa"/>
            <w:vMerge/>
          </w:tcPr>
          <w:p w:rsidR="00BF7F01" w:rsidRPr="00777AE2" w:rsidRDefault="00BF7F01" w:rsidP="00BF7F01">
            <w:pPr>
              <w:rPr>
                <w:rFonts w:eastAsiaTheme="minorHAnsi" w:cstheme="minorBidi"/>
                <w:b/>
                <w:lang w:val="fr-CH" w:eastAsia="en-US"/>
              </w:rPr>
            </w:pPr>
          </w:p>
        </w:tc>
        <w:tc>
          <w:tcPr>
            <w:tcW w:w="5619" w:type="dxa"/>
            <w:tcBorders>
              <w:top w:val="dotted" w:sz="4" w:space="0" w:color="auto"/>
            </w:tcBorders>
          </w:tcPr>
          <w:p w:rsidR="00564AB5" w:rsidRPr="00777AE2" w:rsidRDefault="00061C50" w:rsidP="0096413D">
            <w:pPr>
              <w:numPr>
                <w:ilvl w:val="0"/>
                <w:numId w:val="12"/>
              </w:numPr>
              <w:ind w:left="175" w:hanging="218"/>
              <w:rPr>
                <w:rFonts w:eastAsiaTheme="minorHAnsi" w:cstheme="minorBidi"/>
                <w:lang w:val="fr-CH" w:eastAsia="en-US"/>
              </w:rPr>
            </w:pPr>
            <w:r>
              <w:rPr>
                <w:rFonts w:eastAsiaTheme="minorHAnsi" w:cstheme="minorBidi"/>
                <w:lang w:val="fr-CH" w:eastAsia="en-US"/>
              </w:rPr>
              <w:t>Nombre</w:t>
            </w:r>
            <w:r w:rsidR="0096413D" w:rsidRPr="00777AE2">
              <w:rPr>
                <w:rFonts w:eastAsiaTheme="minorHAnsi" w:cstheme="minorBidi"/>
                <w:lang w:val="fr-CH" w:eastAsia="en-US"/>
              </w:rPr>
              <w:t xml:space="preserve"> de </w:t>
            </w:r>
            <w:r w:rsidR="00DA1DA3">
              <w:rPr>
                <w:rFonts w:eastAsiaTheme="minorHAnsi" w:cstheme="minorBidi"/>
                <w:lang w:val="fr-CH" w:eastAsia="en-US"/>
              </w:rPr>
              <w:t>sessions</w:t>
            </w:r>
            <w:r w:rsidR="001D239E" w:rsidRPr="00777AE2">
              <w:rPr>
                <w:rFonts w:eastAsiaTheme="minorHAnsi" w:cstheme="minorBidi"/>
                <w:lang w:val="fr-CH" w:eastAsia="en-US"/>
              </w:rPr>
              <w:t xml:space="preserve"> du</w:t>
            </w:r>
            <w:r w:rsidR="001D239E">
              <w:rPr>
                <w:rFonts w:eastAsiaTheme="minorHAnsi" w:cstheme="minorBidi"/>
                <w:lang w:val="fr-CH" w:eastAsia="en-US"/>
              </w:rPr>
              <w:t> </w:t>
            </w:r>
            <w:r w:rsidR="001D239E" w:rsidRPr="00777AE2">
              <w:rPr>
                <w:rFonts w:eastAsiaTheme="minorHAnsi" w:cstheme="minorBidi"/>
                <w:lang w:val="fr-CH" w:eastAsia="en-US"/>
              </w:rPr>
              <w:t>CDI</w:t>
            </w:r>
            <w:r w:rsidR="0096413D" w:rsidRPr="00777AE2">
              <w:rPr>
                <w:rFonts w:eastAsiaTheme="minorHAnsi" w:cstheme="minorBidi"/>
                <w:lang w:val="fr-CH" w:eastAsia="en-US"/>
              </w:rPr>
              <w:t>P ou d</w:t>
            </w:r>
            <w:r w:rsidR="001D239E">
              <w:rPr>
                <w:rFonts w:eastAsiaTheme="minorHAnsi" w:cstheme="minorBidi"/>
                <w:lang w:val="fr-CH" w:eastAsia="en-US"/>
              </w:rPr>
              <w:t>’</w:t>
            </w:r>
            <w:r w:rsidR="0096413D" w:rsidRPr="00777AE2">
              <w:rPr>
                <w:rFonts w:eastAsiaTheme="minorHAnsi" w:cstheme="minorBidi"/>
                <w:lang w:val="fr-CH" w:eastAsia="en-US"/>
              </w:rPr>
              <w:t>autres comités de l</w:t>
            </w:r>
            <w:r w:rsidR="001D239E">
              <w:rPr>
                <w:rFonts w:eastAsiaTheme="minorHAnsi" w:cstheme="minorBidi"/>
                <w:lang w:val="fr-CH" w:eastAsia="en-US"/>
              </w:rPr>
              <w:t>’</w:t>
            </w:r>
            <w:r w:rsidR="0096413D" w:rsidRPr="00777AE2">
              <w:rPr>
                <w:rFonts w:eastAsiaTheme="minorHAnsi" w:cstheme="minorBidi"/>
                <w:lang w:val="fr-CH" w:eastAsia="en-US"/>
              </w:rPr>
              <w:t>OMPI au cours desquelles des questions ou études relatives au transfert de technologie ont été officiellement* examinées.</w:t>
            </w:r>
          </w:p>
          <w:p w:rsidR="001D239E" w:rsidRDefault="0096413D" w:rsidP="0096413D">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w:t>
            </w:r>
            <w:r w:rsidR="001D239E">
              <w:rPr>
                <w:rFonts w:eastAsiaTheme="minorHAnsi" w:cstheme="minorBidi"/>
                <w:lang w:val="fr-CH" w:eastAsia="en-US"/>
              </w:rPr>
              <w:t>’</w:t>
            </w:r>
            <w:r w:rsidRPr="00777AE2">
              <w:rPr>
                <w:rFonts w:eastAsiaTheme="minorHAnsi" w:cstheme="minorBidi"/>
                <w:lang w:val="fr-CH" w:eastAsia="en-US"/>
              </w:rPr>
              <w:t>activités liées au transfert de technologie organisées par l</w:t>
            </w:r>
            <w:r w:rsidR="001D239E">
              <w:rPr>
                <w:rFonts w:eastAsiaTheme="minorHAnsi" w:cstheme="minorBidi"/>
                <w:lang w:val="fr-CH" w:eastAsia="en-US"/>
              </w:rPr>
              <w:t>’</w:t>
            </w:r>
            <w:r w:rsidRPr="00777AE2">
              <w:rPr>
                <w:rFonts w:eastAsiaTheme="minorHAnsi" w:cstheme="minorBidi"/>
                <w:lang w:val="fr-CH" w:eastAsia="en-US"/>
              </w:rPr>
              <w:t>ONU auxquelles l</w:t>
            </w:r>
            <w:r w:rsidR="001D239E">
              <w:rPr>
                <w:rFonts w:eastAsiaTheme="minorHAnsi" w:cstheme="minorBidi"/>
                <w:lang w:val="fr-CH" w:eastAsia="en-US"/>
              </w:rPr>
              <w:t>’</w:t>
            </w:r>
            <w:r w:rsidRPr="00777AE2">
              <w:rPr>
                <w:rFonts w:eastAsiaTheme="minorHAnsi" w:cstheme="minorBidi"/>
                <w:lang w:val="fr-CH" w:eastAsia="en-US"/>
              </w:rPr>
              <w:t>OMPI a participé.</w:t>
            </w:r>
          </w:p>
          <w:p w:rsidR="001D239E" w:rsidRDefault="001D239E" w:rsidP="00BF7F01">
            <w:pPr>
              <w:ind w:left="175"/>
              <w:rPr>
                <w:rFonts w:eastAsiaTheme="minorHAnsi" w:cstheme="minorBidi"/>
                <w:lang w:val="fr-CH" w:eastAsia="en-US"/>
              </w:rPr>
            </w:pPr>
          </w:p>
          <w:p w:rsidR="001D239E" w:rsidRDefault="0096413D" w:rsidP="0096413D">
            <w:pPr>
              <w:ind w:left="-43"/>
              <w:rPr>
                <w:rFonts w:eastAsiaTheme="minorHAnsi" w:cstheme="minorBidi"/>
                <w:lang w:val="fr-CH" w:eastAsia="en-US"/>
              </w:rPr>
            </w:pPr>
            <w:r w:rsidRPr="00777AE2">
              <w:rPr>
                <w:rFonts w:eastAsiaTheme="minorHAnsi" w:cstheme="minorBidi"/>
                <w:lang w:val="fr-CH" w:eastAsia="en-US"/>
              </w:rPr>
              <w:t>* Officiellement</w:t>
            </w:r>
            <w:r w:rsidR="00605B5E">
              <w:rPr>
                <w:rFonts w:eastAsiaTheme="minorHAnsi" w:cstheme="minorBidi"/>
                <w:lang w:val="fr-CH" w:eastAsia="en-US"/>
              </w:rPr>
              <w:t> </w:t>
            </w:r>
            <w:r w:rsidRPr="00777AE2">
              <w:rPr>
                <w:rFonts w:eastAsiaTheme="minorHAnsi" w:cstheme="minorBidi"/>
                <w:lang w:val="fr-CH" w:eastAsia="en-US"/>
              </w:rPr>
              <w:t xml:space="preserve">: </w:t>
            </w:r>
            <w:r w:rsidR="004002E3">
              <w:rPr>
                <w:rFonts w:eastAsiaTheme="minorHAnsi" w:cstheme="minorBidi"/>
                <w:lang w:val="fr-CH" w:eastAsia="en-US"/>
              </w:rPr>
              <w:t xml:space="preserve">tel </w:t>
            </w:r>
            <w:r w:rsidR="00DA1DA3">
              <w:rPr>
                <w:rFonts w:eastAsiaTheme="minorHAnsi" w:cstheme="minorBidi"/>
                <w:lang w:val="fr-CH" w:eastAsia="en-US"/>
              </w:rPr>
              <w:t>qu</w:t>
            </w:r>
            <w:r w:rsidR="001D239E">
              <w:rPr>
                <w:rFonts w:eastAsiaTheme="minorHAnsi" w:cstheme="minorBidi"/>
                <w:lang w:val="fr-CH" w:eastAsia="en-US"/>
              </w:rPr>
              <w:t>’</w:t>
            </w:r>
            <w:r w:rsidR="00DA1DA3">
              <w:rPr>
                <w:rFonts w:eastAsiaTheme="minorHAnsi" w:cstheme="minorBidi"/>
                <w:lang w:val="fr-CH" w:eastAsia="en-US"/>
              </w:rPr>
              <w:t>il ressort de l</w:t>
            </w:r>
            <w:r w:rsidR="001D239E">
              <w:rPr>
                <w:rFonts w:eastAsiaTheme="minorHAnsi" w:cstheme="minorBidi"/>
                <w:lang w:val="fr-CH" w:eastAsia="en-US"/>
              </w:rPr>
              <w:t>’</w:t>
            </w:r>
            <w:r w:rsidR="00DA1DA3">
              <w:rPr>
                <w:rFonts w:eastAsiaTheme="minorHAnsi" w:cstheme="minorBidi"/>
                <w:lang w:val="fr-CH" w:eastAsia="en-US"/>
              </w:rPr>
              <w:t>ordre du jour de la session</w:t>
            </w:r>
            <w:r w:rsidRPr="00777AE2">
              <w:rPr>
                <w:rFonts w:eastAsiaTheme="minorHAnsi" w:cstheme="minorBidi"/>
                <w:lang w:val="fr-CH" w:eastAsia="en-US"/>
              </w:rPr>
              <w:t xml:space="preserve"> ou du résumé du président.</w:t>
            </w:r>
          </w:p>
          <w:p w:rsidR="00BF7F01" w:rsidRPr="00777AE2" w:rsidRDefault="00BF7F01" w:rsidP="00BF7F01">
            <w:pPr>
              <w:rPr>
                <w:rFonts w:eastAsiaTheme="minorHAnsi" w:cstheme="minorBidi"/>
                <w:lang w:val="fr-CH" w:eastAsia="en-US"/>
              </w:rPr>
            </w:pPr>
          </w:p>
        </w:tc>
      </w:tr>
      <w:tr w:rsidR="00BF7F01" w:rsidRPr="00777AE2" w:rsidTr="00BF7F01">
        <w:trPr>
          <w:cantSplit/>
        </w:trPr>
        <w:tc>
          <w:tcPr>
            <w:tcW w:w="7544" w:type="dxa"/>
          </w:tcPr>
          <w:p w:rsidR="00564AB5" w:rsidRPr="00777AE2" w:rsidRDefault="00AE5347" w:rsidP="0096413D">
            <w:pPr>
              <w:rPr>
                <w:rFonts w:eastAsiaTheme="minorHAnsi" w:cstheme="minorBidi"/>
                <w:lang w:val="fr-CH" w:eastAsia="en-US"/>
              </w:rPr>
            </w:pPr>
            <w:r w:rsidRPr="00AE5347">
              <w:rPr>
                <w:rFonts w:eastAsiaTheme="minorHAnsi" w:cstheme="minorBidi"/>
                <w:b/>
                <w:lang w:val="fr-CH" w:eastAsia="en-US"/>
              </w:rPr>
              <w:t>29</w:t>
            </w:r>
            <w:r>
              <w:rPr>
                <w:rFonts w:eastAsiaTheme="minorHAnsi" w:cstheme="minorBidi"/>
                <w:lang w:val="fr-CH" w:eastAsia="en-US"/>
              </w:rPr>
              <w:t xml:space="preserve">. </w:t>
            </w:r>
            <w:r w:rsidR="0096413D" w:rsidRPr="00777AE2">
              <w:rPr>
                <w:rFonts w:eastAsiaTheme="minorHAnsi" w:cstheme="minorBidi"/>
                <w:lang w:val="fr-CH" w:eastAsia="en-US"/>
              </w:rPr>
              <w:t>Inscrire les délibérations sur les questions relatives au transfert de technologie en rapport avec la propriété intellectuelle dans le mandat d</w:t>
            </w:r>
            <w:r w:rsidR="001D239E">
              <w:rPr>
                <w:rFonts w:eastAsiaTheme="minorHAnsi" w:cstheme="minorBidi"/>
                <w:lang w:val="fr-CH" w:eastAsia="en-US"/>
              </w:rPr>
              <w:t>’</w:t>
            </w:r>
            <w:r w:rsidR="0096413D" w:rsidRPr="00777AE2">
              <w:rPr>
                <w:rFonts w:eastAsiaTheme="minorHAnsi" w:cstheme="minorBidi"/>
                <w:lang w:val="fr-CH" w:eastAsia="en-US"/>
              </w:rPr>
              <w:t>un organe approprié de l</w:t>
            </w:r>
            <w:r w:rsidR="001D239E">
              <w:rPr>
                <w:rFonts w:eastAsiaTheme="minorHAnsi" w:cstheme="minorBidi"/>
                <w:lang w:val="fr-CH" w:eastAsia="en-US"/>
              </w:rPr>
              <w:t>’</w:t>
            </w:r>
            <w:r w:rsidR="0096413D" w:rsidRPr="00777AE2">
              <w:rPr>
                <w:rFonts w:eastAsiaTheme="minorHAnsi" w:cstheme="minorBidi"/>
                <w:lang w:val="fr-CH" w:eastAsia="en-US"/>
              </w:rPr>
              <w:t>OMPI.</w:t>
            </w:r>
          </w:p>
          <w:p w:rsidR="00BF7F01" w:rsidRPr="00777AE2" w:rsidRDefault="00BF7F01" w:rsidP="00BF7F01">
            <w:pPr>
              <w:rPr>
                <w:rFonts w:eastAsiaTheme="minorHAnsi" w:cstheme="minorBidi"/>
                <w:lang w:val="fr-CH" w:eastAsia="en-US"/>
              </w:rPr>
            </w:pPr>
          </w:p>
        </w:tc>
        <w:tc>
          <w:tcPr>
            <w:tcW w:w="5619" w:type="dxa"/>
          </w:tcPr>
          <w:p w:rsidR="00564AB5" w:rsidRPr="00777AE2" w:rsidRDefault="00061C50" w:rsidP="0096413D">
            <w:pPr>
              <w:numPr>
                <w:ilvl w:val="0"/>
                <w:numId w:val="12"/>
              </w:numPr>
              <w:ind w:left="175" w:hanging="218"/>
              <w:rPr>
                <w:rFonts w:eastAsiaTheme="minorHAnsi" w:cstheme="minorBidi"/>
                <w:lang w:val="fr-CH" w:eastAsia="en-US"/>
              </w:rPr>
            </w:pPr>
            <w:r>
              <w:rPr>
                <w:rFonts w:eastAsiaTheme="minorHAnsi" w:cstheme="minorBidi"/>
                <w:lang w:val="fr-CH" w:eastAsia="en-US"/>
              </w:rPr>
              <w:t>Nombre</w:t>
            </w:r>
            <w:r w:rsidR="0096413D" w:rsidRPr="00777AE2">
              <w:rPr>
                <w:rFonts w:eastAsiaTheme="minorHAnsi" w:cstheme="minorBidi"/>
                <w:lang w:val="fr-CH" w:eastAsia="en-US"/>
              </w:rPr>
              <w:t xml:space="preserve"> de </w:t>
            </w:r>
            <w:r w:rsidR="002A7C08">
              <w:rPr>
                <w:rFonts w:eastAsiaTheme="minorHAnsi" w:cstheme="minorBidi"/>
                <w:lang w:val="fr-CH" w:eastAsia="en-US"/>
              </w:rPr>
              <w:t>sessions</w:t>
            </w:r>
            <w:r w:rsidR="001D239E" w:rsidRPr="00777AE2">
              <w:rPr>
                <w:rFonts w:eastAsiaTheme="minorHAnsi" w:cstheme="minorBidi"/>
                <w:lang w:val="fr-CH" w:eastAsia="en-US"/>
              </w:rPr>
              <w:t xml:space="preserve"> du</w:t>
            </w:r>
            <w:r w:rsidR="001D239E">
              <w:rPr>
                <w:rFonts w:eastAsiaTheme="minorHAnsi" w:cstheme="minorBidi"/>
                <w:lang w:val="fr-CH" w:eastAsia="en-US"/>
              </w:rPr>
              <w:t> </w:t>
            </w:r>
            <w:r w:rsidR="001D239E" w:rsidRPr="00777AE2">
              <w:rPr>
                <w:rFonts w:eastAsiaTheme="minorHAnsi" w:cstheme="minorBidi"/>
                <w:lang w:val="fr-CH" w:eastAsia="en-US"/>
              </w:rPr>
              <w:t>CDI</w:t>
            </w:r>
            <w:r w:rsidR="0096413D" w:rsidRPr="00777AE2">
              <w:rPr>
                <w:rFonts w:eastAsiaTheme="minorHAnsi" w:cstheme="minorBidi"/>
                <w:lang w:val="fr-CH" w:eastAsia="en-US"/>
              </w:rPr>
              <w:t>P ou d</w:t>
            </w:r>
            <w:r w:rsidR="001D239E">
              <w:rPr>
                <w:rFonts w:eastAsiaTheme="minorHAnsi" w:cstheme="minorBidi"/>
                <w:lang w:val="fr-CH" w:eastAsia="en-US"/>
              </w:rPr>
              <w:t>’</w:t>
            </w:r>
            <w:r w:rsidR="0096413D" w:rsidRPr="00777AE2">
              <w:rPr>
                <w:rFonts w:eastAsiaTheme="minorHAnsi" w:cstheme="minorBidi"/>
                <w:lang w:val="fr-CH" w:eastAsia="en-US"/>
              </w:rPr>
              <w:t>autres comités de l</w:t>
            </w:r>
            <w:r w:rsidR="001D239E">
              <w:rPr>
                <w:rFonts w:eastAsiaTheme="minorHAnsi" w:cstheme="minorBidi"/>
                <w:lang w:val="fr-CH" w:eastAsia="en-US"/>
              </w:rPr>
              <w:t>’</w:t>
            </w:r>
            <w:r w:rsidR="0096413D" w:rsidRPr="00777AE2">
              <w:rPr>
                <w:rFonts w:eastAsiaTheme="minorHAnsi" w:cstheme="minorBidi"/>
                <w:lang w:val="fr-CH" w:eastAsia="en-US"/>
              </w:rPr>
              <w:t>OMPI au cours desquelles des projets, questions ou études relatifs au transfert de technologie ont été officiellement* examinés.</w:t>
            </w:r>
          </w:p>
          <w:p w:rsidR="001D239E" w:rsidRDefault="0096413D" w:rsidP="0096413D">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w:t>
            </w:r>
            <w:r w:rsidR="001D239E">
              <w:rPr>
                <w:rFonts w:eastAsiaTheme="minorHAnsi" w:cstheme="minorBidi"/>
                <w:lang w:val="fr-CH" w:eastAsia="en-US"/>
              </w:rPr>
              <w:t>’</w:t>
            </w:r>
            <w:r w:rsidRPr="00777AE2">
              <w:rPr>
                <w:rFonts w:eastAsiaTheme="minorHAnsi" w:cstheme="minorBidi"/>
                <w:lang w:val="fr-CH" w:eastAsia="en-US"/>
              </w:rPr>
              <w:t>activités liées au transfert de technologie organisées par l</w:t>
            </w:r>
            <w:r w:rsidR="001D239E">
              <w:rPr>
                <w:rFonts w:eastAsiaTheme="minorHAnsi" w:cstheme="minorBidi"/>
                <w:lang w:val="fr-CH" w:eastAsia="en-US"/>
              </w:rPr>
              <w:t>’</w:t>
            </w:r>
            <w:r w:rsidRPr="00777AE2">
              <w:rPr>
                <w:rFonts w:eastAsiaTheme="minorHAnsi" w:cstheme="minorBidi"/>
                <w:lang w:val="fr-CH" w:eastAsia="en-US"/>
              </w:rPr>
              <w:t>ONU auxquelles l</w:t>
            </w:r>
            <w:r w:rsidR="001D239E">
              <w:rPr>
                <w:rFonts w:eastAsiaTheme="minorHAnsi" w:cstheme="minorBidi"/>
                <w:lang w:val="fr-CH" w:eastAsia="en-US"/>
              </w:rPr>
              <w:t>’</w:t>
            </w:r>
            <w:r w:rsidRPr="00777AE2">
              <w:rPr>
                <w:rFonts w:eastAsiaTheme="minorHAnsi" w:cstheme="minorBidi"/>
                <w:lang w:val="fr-CH" w:eastAsia="en-US"/>
              </w:rPr>
              <w:t>OMPI a participé.</w:t>
            </w:r>
          </w:p>
          <w:p w:rsidR="00564AB5" w:rsidRPr="00777AE2" w:rsidRDefault="00564AB5" w:rsidP="00BF7F01">
            <w:pPr>
              <w:rPr>
                <w:rFonts w:eastAsiaTheme="minorHAnsi" w:cstheme="minorBidi"/>
                <w:lang w:val="fr-CH" w:eastAsia="en-US"/>
              </w:rPr>
            </w:pPr>
          </w:p>
          <w:p w:rsidR="001D239E" w:rsidRDefault="0096413D" w:rsidP="0096413D">
            <w:pPr>
              <w:ind w:left="-43"/>
              <w:rPr>
                <w:rFonts w:eastAsiaTheme="minorHAnsi" w:cstheme="minorBidi"/>
                <w:lang w:val="fr-CH" w:eastAsia="en-US"/>
              </w:rPr>
            </w:pPr>
            <w:r w:rsidRPr="00777AE2">
              <w:rPr>
                <w:rFonts w:eastAsiaTheme="minorHAnsi" w:cstheme="minorBidi"/>
                <w:lang w:val="fr-CH" w:eastAsia="en-US"/>
              </w:rPr>
              <w:t>* Officiellement</w:t>
            </w:r>
            <w:r w:rsidR="00605B5E">
              <w:rPr>
                <w:rFonts w:eastAsiaTheme="minorHAnsi" w:cstheme="minorBidi"/>
                <w:lang w:val="fr-CH" w:eastAsia="en-US"/>
              </w:rPr>
              <w:t> </w:t>
            </w:r>
            <w:r w:rsidRPr="00777AE2">
              <w:rPr>
                <w:rFonts w:eastAsiaTheme="minorHAnsi" w:cstheme="minorBidi"/>
                <w:lang w:val="fr-CH" w:eastAsia="en-US"/>
              </w:rPr>
              <w:t xml:space="preserve">: </w:t>
            </w:r>
            <w:r w:rsidR="004002E3">
              <w:rPr>
                <w:rFonts w:eastAsiaTheme="minorHAnsi" w:cstheme="minorBidi"/>
                <w:lang w:val="fr-CH" w:eastAsia="en-US"/>
              </w:rPr>
              <w:t>tel qu</w:t>
            </w:r>
            <w:r w:rsidR="001D239E">
              <w:rPr>
                <w:rFonts w:eastAsiaTheme="minorHAnsi" w:cstheme="minorBidi"/>
                <w:lang w:val="fr-CH" w:eastAsia="en-US"/>
              </w:rPr>
              <w:t>’</w:t>
            </w:r>
            <w:r w:rsidR="004002E3">
              <w:rPr>
                <w:rFonts w:eastAsiaTheme="minorHAnsi" w:cstheme="minorBidi"/>
                <w:lang w:val="fr-CH" w:eastAsia="en-US"/>
              </w:rPr>
              <w:t>il ress</w:t>
            </w:r>
            <w:r w:rsidRPr="00777AE2">
              <w:rPr>
                <w:rFonts w:eastAsiaTheme="minorHAnsi" w:cstheme="minorBidi"/>
                <w:lang w:val="fr-CH" w:eastAsia="en-US"/>
              </w:rPr>
              <w:t>ort de l</w:t>
            </w:r>
            <w:r w:rsidR="001D239E">
              <w:rPr>
                <w:rFonts w:eastAsiaTheme="minorHAnsi" w:cstheme="minorBidi"/>
                <w:lang w:val="fr-CH" w:eastAsia="en-US"/>
              </w:rPr>
              <w:t>’</w:t>
            </w:r>
            <w:r w:rsidRPr="00777AE2">
              <w:rPr>
                <w:rFonts w:eastAsiaTheme="minorHAnsi" w:cstheme="minorBidi"/>
                <w:lang w:val="fr-CH" w:eastAsia="en-US"/>
              </w:rPr>
              <w:t xml:space="preserve">ordre du jour de la </w:t>
            </w:r>
            <w:r w:rsidR="00DA1DA3">
              <w:rPr>
                <w:rFonts w:eastAsiaTheme="minorHAnsi" w:cstheme="minorBidi"/>
                <w:lang w:val="fr-CH" w:eastAsia="en-US"/>
              </w:rPr>
              <w:t>session</w:t>
            </w:r>
            <w:r w:rsidRPr="00777AE2">
              <w:rPr>
                <w:rFonts w:eastAsiaTheme="minorHAnsi" w:cstheme="minorBidi"/>
                <w:lang w:val="fr-CH" w:eastAsia="en-US"/>
              </w:rPr>
              <w:t xml:space="preserve"> ou du résumé du président.</w:t>
            </w:r>
          </w:p>
          <w:p w:rsidR="00BF7F01" w:rsidRPr="00777AE2" w:rsidRDefault="00BF7F01" w:rsidP="00BF7F01">
            <w:pPr>
              <w:rPr>
                <w:rFonts w:eastAsiaTheme="minorHAnsi" w:cstheme="minorBidi"/>
                <w:lang w:val="fr-CH" w:eastAsia="en-US"/>
              </w:rPr>
            </w:pPr>
          </w:p>
        </w:tc>
      </w:tr>
      <w:tr w:rsidR="00BF7F01" w:rsidRPr="00777AE2" w:rsidTr="00BF7F01">
        <w:trPr>
          <w:cantSplit/>
          <w:trHeight w:val="950"/>
        </w:trPr>
        <w:tc>
          <w:tcPr>
            <w:tcW w:w="7544" w:type="dxa"/>
            <w:vMerge w:val="restart"/>
          </w:tcPr>
          <w:p w:rsidR="00564AB5" w:rsidRPr="00777AE2" w:rsidRDefault="00AE5347" w:rsidP="0096413D">
            <w:pPr>
              <w:rPr>
                <w:rFonts w:eastAsiaTheme="minorHAnsi" w:cstheme="minorBidi"/>
                <w:lang w:val="fr-CH" w:eastAsia="en-US"/>
              </w:rPr>
            </w:pPr>
            <w:r w:rsidRPr="00AE5347">
              <w:rPr>
                <w:rFonts w:eastAsiaTheme="minorHAnsi" w:cstheme="minorBidi"/>
                <w:b/>
                <w:lang w:val="fr-CH" w:eastAsia="en-US"/>
              </w:rPr>
              <w:t>31</w:t>
            </w:r>
            <w:r>
              <w:rPr>
                <w:rFonts w:eastAsiaTheme="minorHAnsi" w:cstheme="minorBidi"/>
                <w:lang w:val="fr-CH" w:eastAsia="en-US"/>
              </w:rPr>
              <w:t xml:space="preserve">. </w:t>
            </w:r>
            <w:r w:rsidR="0096413D" w:rsidRPr="00777AE2">
              <w:rPr>
                <w:rFonts w:eastAsiaTheme="minorHAnsi" w:cstheme="minorBidi"/>
                <w:lang w:val="fr-CH" w:eastAsia="en-US"/>
              </w:rPr>
              <w:t>Mettre en œuvre des initiatives arrêtées par les États membres qui contribuent au transfert de technologie en faveur des pays en développement, s</w:t>
            </w:r>
            <w:r w:rsidR="001D239E">
              <w:rPr>
                <w:rFonts w:eastAsiaTheme="minorHAnsi" w:cstheme="minorBidi"/>
                <w:lang w:val="fr-CH" w:eastAsia="en-US"/>
              </w:rPr>
              <w:t>’</w:t>
            </w:r>
            <w:r w:rsidR="0096413D" w:rsidRPr="00777AE2">
              <w:rPr>
                <w:rFonts w:eastAsiaTheme="minorHAnsi" w:cstheme="minorBidi"/>
                <w:lang w:val="fr-CH" w:eastAsia="en-US"/>
              </w:rPr>
              <w:t>agissant par exemple de demander à l</w:t>
            </w:r>
            <w:r w:rsidR="001D239E">
              <w:rPr>
                <w:rFonts w:eastAsiaTheme="minorHAnsi" w:cstheme="minorBidi"/>
                <w:lang w:val="fr-CH" w:eastAsia="en-US"/>
              </w:rPr>
              <w:t>’</w:t>
            </w:r>
            <w:r w:rsidR="0096413D" w:rsidRPr="00777AE2">
              <w:rPr>
                <w:rFonts w:eastAsiaTheme="minorHAnsi" w:cstheme="minorBidi"/>
                <w:lang w:val="fr-CH" w:eastAsia="en-US"/>
              </w:rPr>
              <w:t>OMPI de faciliter l</w:t>
            </w:r>
            <w:r w:rsidR="001D239E">
              <w:rPr>
                <w:rFonts w:eastAsiaTheme="minorHAnsi" w:cstheme="minorBidi"/>
                <w:lang w:val="fr-CH" w:eastAsia="en-US"/>
              </w:rPr>
              <w:t>’</w:t>
            </w:r>
            <w:r w:rsidR="0096413D" w:rsidRPr="00777AE2">
              <w:rPr>
                <w:rFonts w:eastAsiaTheme="minorHAnsi" w:cstheme="minorBidi"/>
                <w:lang w:val="fr-CH" w:eastAsia="en-US"/>
              </w:rPr>
              <w:t>accès à l</w:t>
            </w:r>
            <w:r w:rsidR="001D239E">
              <w:rPr>
                <w:rFonts w:eastAsiaTheme="minorHAnsi" w:cstheme="minorBidi"/>
                <w:lang w:val="fr-CH" w:eastAsia="en-US"/>
              </w:rPr>
              <w:t>’</w:t>
            </w:r>
            <w:r w:rsidR="0096413D" w:rsidRPr="00777AE2">
              <w:rPr>
                <w:rFonts w:eastAsiaTheme="minorHAnsi" w:cstheme="minorBidi"/>
                <w:lang w:val="fr-CH" w:eastAsia="en-US"/>
              </w:rPr>
              <w:t>information en matière de brevets accessible au public.</w:t>
            </w:r>
          </w:p>
          <w:p w:rsidR="00BF7F01" w:rsidRPr="00777AE2" w:rsidRDefault="00BF7F01" w:rsidP="00BF7F01">
            <w:pPr>
              <w:rPr>
                <w:rFonts w:eastAsiaTheme="minorHAnsi" w:cstheme="minorBidi"/>
                <w:lang w:val="fr-CH" w:eastAsia="en-US"/>
              </w:rPr>
            </w:pPr>
          </w:p>
        </w:tc>
        <w:tc>
          <w:tcPr>
            <w:tcW w:w="5619" w:type="dxa"/>
            <w:tcBorders>
              <w:bottom w:val="dotted" w:sz="4" w:space="0" w:color="auto"/>
            </w:tcBorders>
          </w:tcPr>
          <w:p w:rsidR="00564AB5" w:rsidRPr="00777AE2" w:rsidRDefault="00061C50" w:rsidP="0096413D">
            <w:pPr>
              <w:numPr>
                <w:ilvl w:val="0"/>
                <w:numId w:val="12"/>
              </w:numPr>
              <w:ind w:left="175" w:hanging="218"/>
              <w:rPr>
                <w:rFonts w:eastAsiaTheme="minorHAnsi" w:cstheme="minorBidi"/>
                <w:lang w:val="fr-CH" w:eastAsia="en-US"/>
              </w:rPr>
            </w:pPr>
            <w:r>
              <w:rPr>
                <w:rFonts w:eastAsiaTheme="minorHAnsi" w:cstheme="minorBidi"/>
                <w:lang w:val="fr-CH" w:eastAsia="en-US"/>
              </w:rPr>
              <w:t>Nombre</w:t>
            </w:r>
            <w:r w:rsidR="0096413D" w:rsidRPr="00777AE2">
              <w:rPr>
                <w:rFonts w:eastAsiaTheme="minorHAnsi" w:cstheme="minorBidi"/>
                <w:lang w:val="fr-CH" w:eastAsia="en-US"/>
              </w:rPr>
              <w:t xml:space="preserve"> de projets du Plan d</w:t>
            </w:r>
            <w:r w:rsidR="001D239E">
              <w:rPr>
                <w:rFonts w:eastAsiaTheme="minorHAnsi" w:cstheme="minorBidi"/>
                <w:lang w:val="fr-CH" w:eastAsia="en-US"/>
              </w:rPr>
              <w:t>’</w:t>
            </w:r>
            <w:r w:rsidR="0096413D" w:rsidRPr="00777AE2">
              <w:rPr>
                <w:rFonts w:eastAsiaTheme="minorHAnsi" w:cstheme="minorBidi"/>
                <w:lang w:val="fr-CH" w:eastAsia="en-US"/>
              </w:rPr>
              <w:t>action pour le développement relatifs au transfert de technologie officiellement* examinés et approuvés par</w:t>
            </w:r>
            <w:r w:rsidR="001D239E" w:rsidRPr="00777AE2">
              <w:rPr>
                <w:rFonts w:eastAsiaTheme="minorHAnsi" w:cstheme="minorBidi"/>
                <w:lang w:val="fr-CH" w:eastAsia="en-US"/>
              </w:rPr>
              <w:t xml:space="preserve"> le</w:t>
            </w:r>
            <w:r w:rsidR="001D239E">
              <w:rPr>
                <w:rFonts w:eastAsiaTheme="minorHAnsi" w:cstheme="minorBidi"/>
                <w:lang w:val="fr-CH" w:eastAsia="en-US"/>
              </w:rPr>
              <w:t> </w:t>
            </w:r>
            <w:r w:rsidR="001D239E" w:rsidRPr="00777AE2">
              <w:rPr>
                <w:rFonts w:eastAsiaTheme="minorHAnsi" w:cstheme="minorBidi"/>
                <w:lang w:val="fr-CH" w:eastAsia="en-US"/>
              </w:rPr>
              <w:t>CDI</w:t>
            </w:r>
            <w:r w:rsidR="0096413D" w:rsidRPr="00777AE2">
              <w:rPr>
                <w:rFonts w:eastAsiaTheme="minorHAnsi" w:cstheme="minorBidi"/>
                <w:lang w:val="fr-CH" w:eastAsia="en-US"/>
              </w:rPr>
              <w:t>P</w:t>
            </w:r>
            <w:r w:rsidR="00E45A76">
              <w:rPr>
                <w:rFonts w:eastAsiaTheme="minorHAnsi" w:cstheme="minorBidi"/>
                <w:lang w:val="fr-CH" w:eastAsia="en-US"/>
              </w:rPr>
              <w:t>.</w:t>
            </w:r>
          </w:p>
          <w:p w:rsidR="001D239E" w:rsidRDefault="00061C50" w:rsidP="0096413D">
            <w:pPr>
              <w:numPr>
                <w:ilvl w:val="0"/>
                <w:numId w:val="12"/>
              </w:numPr>
              <w:ind w:left="175" w:hanging="218"/>
              <w:rPr>
                <w:rFonts w:eastAsiaTheme="minorHAnsi" w:cstheme="minorBidi"/>
                <w:lang w:val="fr-CH" w:eastAsia="en-US"/>
              </w:rPr>
            </w:pPr>
            <w:r>
              <w:rPr>
                <w:rFonts w:eastAsiaTheme="minorHAnsi" w:cstheme="minorBidi"/>
                <w:lang w:val="fr-CH" w:eastAsia="en-US"/>
              </w:rPr>
              <w:t>Nombre</w:t>
            </w:r>
            <w:r w:rsidR="0096413D" w:rsidRPr="00777AE2">
              <w:rPr>
                <w:rFonts w:eastAsiaTheme="minorHAnsi" w:cstheme="minorBidi"/>
                <w:lang w:val="fr-CH" w:eastAsia="en-US"/>
              </w:rPr>
              <w:t xml:space="preserve"> de </w:t>
            </w:r>
            <w:r w:rsidR="00DA1DA3">
              <w:rPr>
                <w:rFonts w:eastAsiaTheme="minorHAnsi" w:cstheme="minorBidi"/>
                <w:lang w:val="fr-CH" w:eastAsia="en-US"/>
              </w:rPr>
              <w:t>sessions</w:t>
            </w:r>
            <w:r w:rsidR="001D239E" w:rsidRPr="00777AE2">
              <w:rPr>
                <w:rFonts w:eastAsiaTheme="minorHAnsi" w:cstheme="minorBidi"/>
                <w:lang w:val="fr-CH" w:eastAsia="en-US"/>
              </w:rPr>
              <w:t xml:space="preserve"> du</w:t>
            </w:r>
            <w:r w:rsidR="001D239E">
              <w:rPr>
                <w:rFonts w:eastAsiaTheme="minorHAnsi" w:cstheme="minorBidi"/>
                <w:lang w:val="fr-CH" w:eastAsia="en-US"/>
              </w:rPr>
              <w:t> </w:t>
            </w:r>
            <w:r w:rsidR="001D239E" w:rsidRPr="00777AE2">
              <w:rPr>
                <w:rFonts w:eastAsiaTheme="minorHAnsi" w:cstheme="minorBidi"/>
                <w:lang w:val="fr-CH" w:eastAsia="en-US"/>
              </w:rPr>
              <w:t>CDI</w:t>
            </w:r>
            <w:r w:rsidR="0096413D" w:rsidRPr="00777AE2">
              <w:rPr>
                <w:rFonts w:eastAsiaTheme="minorHAnsi" w:cstheme="minorBidi"/>
                <w:lang w:val="fr-CH" w:eastAsia="en-US"/>
              </w:rPr>
              <w:t>P au cours desquelles des projets relatifs au transfert de technologie ont été officiellement* examinés.</w:t>
            </w:r>
          </w:p>
          <w:p w:rsidR="00564AB5" w:rsidRPr="00777AE2" w:rsidRDefault="00564AB5" w:rsidP="00BF7F01">
            <w:pPr>
              <w:rPr>
                <w:rFonts w:eastAsiaTheme="minorHAnsi" w:cstheme="minorBidi"/>
                <w:lang w:val="fr-CH" w:eastAsia="en-US"/>
              </w:rPr>
            </w:pPr>
          </w:p>
          <w:p w:rsidR="001D239E" w:rsidRDefault="0096413D" w:rsidP="0096413D">
            <w:pPr>
              <w:ind w:left="-43"/>
              <w:rPr>
                <w:rFonts w:eastAsiaTheme="minorHAnsi" w:cstheme="minorBidi"/>
                <w:lang w:val="fr-CH" w:eastAsia="en-US"/>
              </w:rPr>
            </w:pPr>
            <w:r w:rsidRPr="00777AE2">
              <w:rPr>
                <w:rFonts w:eastAsiaTheme="minorHAnsi" w:cstheme="minorBidi"/>
                <w:lang w:val="fr-CH" w:eastAsia="en-US"/>
              </w:rPr>
              <w:t>* Officiellement</w:t>
            </w:r>
            <w:r w:rsidR="00605B5E">
              <w:rPr>
                <w:rFonts w:eastAsiaTheme="minorHAnsi" w:cstheme="minorBidi"/>
                <w:lang w:val="fr-CH" w:eastAsia="en-US"/>
              </w:rPr>
              <w:t> </w:t>
            </w:r>
            <w:r w:rsidRPr="00777AE2">
              <w:rPr>
                <w:rFonts w:eastAsiaTheme="minorHAnsi" w:cstheme="minorBidi"/>
                <w:lang w:val="fr-CH" w:eastAsia="en-US"/>
              </w:rPr>
              <w:t xml:space="preserve">: </w:t>
            </w:r>
            <w:r w:rsidR="004002E3">
              <w:rPr>
                <w:rFonts w:eastAsiaTheme="minorHAnsi" w:cstheme="minorBidi"/>
                <w:lang w:val="fr-CH" w:eastAsia="en-US"/>
              </w:rPr>
              <w:t xml:space="preserve">tel </w:t>
            </w:r>
            <w:r w:rsidR="00DA1DA3">
              <w:rPr>
                <w:rFonts w:eastAsiaTheme="minorHAnsi" w:cstheme="minorBidi"/>
                <w:lang w:val="fr-CH" w:eastAsia="en-US"/>
              </w:rPr>
              <w:t>qu</w:t>
            </w:r>
            <w:r w:rsidR="001D239E">
              <w:rPr>
                <w:rFonts w:eastAsiaTheme="minorHAnsi" w:cstheme="minorBidi"/>
                <w:lang w:val="fr-CH" w:eastAsia="en-US"/>
              </w:rPr>
              <w:t>’</w:t>
            </w:r>
            <w:r w:rsidR="00DA1DA3">
              <w:rPr>
                <w:rFonts w:eastAsiaTheme="minorHAnsi" w:cstheme="minorBidi"/>
                <w:lang w:val="fr-CH" w:eastAsia="en-US"/>
              </w:rPr>
              <w:t>il ressort de l</w:t>
            </w:r>
            <w:r w:rsidR="001D239E">
              <w:rPr>
                <w:rFonts w:eastAsiaTheme="minorHAnsi" w:cstheme="minorBidi"/>
                <w:lang w:val="fr-CH" w:eastAsia="en-US"/>
              </w:rPr>
              <w:t>’</w:t>
            </w:r>
            <w:r w:rsidR="00DA1DA3">
              <w:rPr>
                <w:rFonts w:eastAsiaTheme="minorHAnsi" w:cstheme="minorBidi"/>
                <w:lang w:val="fr-CH" w:eastAsia="en-US"/>
              </w:rPr>
              <w:t>ordre du jour de la session</w:t>
            </w:r>
            <w:r w:rsidRPr="00777AE2">
              <w:rPr>
                <w:rFonts w:eastAsiaTheme="minorHAnsi" w:cstheme="minorBidi"/>
                <w:lang w:val="fr-CH" w:eastAsia="en-US"/>
              </w:rPr>
              <w:t xml:space="preserve"> ou du résumé du président.</w:t>
            </w:r>
          </w:p>
          <w:p w:rsidR="00BF7F01" w:rsidRPr="00777AE2" w:rsidRDefault="00BF7F01" w:rsidP="00BF7F01">
            <w:pPr>
              <w:rPr>
                <w:rFonts w:eastAsiaTheme="minorHAnsi" w:cstheme="minorBidi"/>
                <w:lang w:val="fr-CH" w:eastAsia="en-US"/>
              </w:rPr>
            </w:pPr>
          </w:p>
        </w:tc>
      </w:tr>
      <w:tr w:rsidR="00BF7F01" w:rsidRPr="00777AE2" w:rsidTr="00BF7F01">
        <w:trPr>
          <w:cantSplit/>
          <w:trHeight w:val="820"/>
        </w:trPr>
        <w:tc>
          <w:tcPr>
            <w:tcW w:w="7544" w:type="dxa"/>
            <w:vMerge/>
          </w:tcPr>
          <w:p w:rsidR="00BF7F01" w:rsidRPr="00777AE2" w:rsidRDefault="00BF7F01" w:rsidP="00BF7F01">
            <w:pPr>
              <w:rPr>
                <w:rFonts w:eastAsiaTheme="minorHAnsi" w:cstheme="minorBidi"/>
                <w:b/>
                <w:lang w:val="fr-CH" w:eastAsia="en-US"/>
              </w:rPr>
            </w:pPr>
          </w:p>
        </w:tc>
        <w:tc>
          <w:tcPr>
            <w:tcW w:w="5619" w:type="dxa"/>
            <w:tcBorders>
              <w:top w:val="dotted" w:sz="4" w:space="0" w:color="auto"/>
            </w:tcBorders>
          </w:tcPr>
          <w:p w:rsidR="001D239E" w:rsidRDefault="0096413D" w:rsidP="0096413D">
            <w:pPr>
              <w:numPr>
                <w:ilvl w:val="0"/>
                <w:numId w:val="12"/>
              </w:numPr>
              <w:ind w:left="175" w:hanging="218"/>
              <w:rPr>
                <w:rFonts w:eastAsiaTheme="minorHAnsi" w:cstheme="minorBidi"/>
                <w:lang w:val="fr-CH" w:eastAsia="en-US"/>
              </w:rPr>
            </w:pPr>
            <w:r w:rsidRPr="00777AE2">
              <w:rPr>
                <w:rFonts w:eastAsiaTheme="minorHAnsi" w:cstheme="minorBidi"/>
                <w:lang w:val="fr-CH" w:eastAsia="en-US"/>
              </w:rPr>
              <w:t>Nombre de CATI dans les États membres qui sont des pays en développement</w:t>
            </w:r>
          </w:p>
          <w:p w:rsidR="001D239E" w:rsidRDefault="0096413D" w:rsidP="0096413D">
            <w:pPr>
              <w:numPr>
                <w:ilvl w:val="0"/>
                <w:numId w:val="12"/>
              </w:numPr>
              <w:ind w:left="175" w:hanging="218"/>
              <w:rPr>
                <w:rFonts w:eastAsiaTheme="minorHAnsi" w:cstheme="minorBidi"/>
                <w:lang w:val="fr-CH" w:eastAsia="en-US"/>
              </w:rPr>
            </w:pPr>
            <w:r w:rsidRPr="00777AE2">
              <w:rPr>
                <w:rFonts w:eastAsiaTheme="minorHAnsi" w:cstheme="minorBidi"/>
                <w:lang w:val="fr-CH" w:eastAsia="en-US"/>
              </w:rPr>
              <w:t xml:space="preserve">Nombre </w:t>
            </w:r>
            <w:r w:rsidR="00BC6AFD" w:rsidRPr="009C1E20">
              <w:rPr>
                <w:rFonts w:eastAsiaTheme="minorHAnsi" w:cstheme="minorBidi"/>
                <w:lang w:val="fr-CH" w:eastAsia="en-US"/>
              </w:rPr>
              <w:t>et indice de satisfaction des</w:t>
            </w:r>
            <w:r w:rsidR="00BC6AFD" w:rsidRPr="00777AE2">
              <w:rPr>
                <w:rFonts w:eastAsiaTheme="minorHAnsi" w:cstheme="minorBidi"/>
                <w:lang w:val="fr-CH" w:eastAsia="en-US"/>
              </w:rPr>
              <w:t xml:space="preserve"> </w:t>
            </w:r>
            <w:r w:rsidRPr="00777AE2">
              <w:rPr>
                <w:rFonts w:eastAsiaTheme="minorHAnsi" w:cstheme="minorBidi"/>
                <w:lang w:val="fr-CH" w:eastAsia="en-US"/>
              </w:rPr>
              <w:t>programmes, d</w:t>
            </w:r>
            <w:r w:rsidR="001D239E">
              <w:rPr>
                <w:rFonts w:eastAsiaTheme="minorHAnsi" w:cstheme="minorBidi"/>
                <w:lang w:val="fr-CH" w:eastAsia="en-US"/>
              </w:rPr>
              <w:t>’</w:t>
            </w:r>
            <w:r w:rsidRPr="00777AE2">
              <w:rPr>
                <w:rFonts w:eastAsiaTheme="minorHAnsi" w:cstheme="minorBidi"/>
                <w:lang w:val="fr-CH" w:eastAsia="en-US"/>
              </w:rPr>
              <w:t>activités ou de services de formation administrés et dispensés par</w:t>
            </w:r>
            <w:r w:rsidR="001D239E" w:rsidRPr="00777AE2">
              <w:rPr>
                <w:rFonts w:eastAsiaTheme="minorHAnsi" w:cstheme="minorBidi"/>
                <w:lang w:val="fr-CH" w:eastAsia="en-US"/>
              </w:rPr>
              <w:t xml:space="preserve"> les</w:t>
            </w:r>
            <w:r w:rsidR="001D239E">
              <w:rPr>
                <w:rFonts w:eastAsiaTheme="minorHAnsi" w:cstheme="minorBidi"/>
                <w:lang w:val="fr-CH" w:eastAsia="en-US"/>
              </w:rPr>
              <w:t> </w:t>
            </w:r>
            <w:r w:rsidR="001D239E" w:rsidRPr="00777AE2">
              <w:rPr>
                <w:rFonts w:eastAsiaTheme="minorHAnsi" w:cstheme="minorBidi"/>
                <w:lang w:val="fr-CH" w:eastAsia="en-US"/>
              </w:rPr>
              <w:t>CAT</w:t>
            </w:r>
            <w:r w:rsidRPr="00777AE2">
              <w:rPr>
                <w:rFonts w:eastAsiaTheme="minorHAnsi" w:cstheme="minorBidi"/>
                <w:lang w:val="fr-CH" w:eastAsia="en-US"/>
              </w:rPr>
              <w:t>I.</w:t>
            </w:r>
          </w:p>
          <w:p w:rsidR="00564AB5" w:rsidRPr="00777AE2" w:rsidRDefault="00BF6246" w:rsidP="00BF6246">
            <w:pPr>
              <w:numPr>
                <w:ilvl w:val="0"/>
                <w:numId w:val="12"/>
              </w:numPr>
              <w:ind w:left="175" w:hanging="218"/>
              <w:rPr>
                <w:rFonts w:eastAsiaTheme="minorHAnsi" w:cstheme="minorBidi"/>
                <w:lang w:val="fr-CH" w:eastAsia="en-US"/>
              </w:rPr>
            </w:pPr>
            <w:r w:rsidRPr="00777AE2">
              <w:rPr>
                <w:rFonts w:eastAsiaTheme="minorHAnsi" w:cstheme="minorBidi"/>
                <w:lang w:val="fr-CH" w:eastAsia="en-US"/>
              </w:rPr>
              <w:t xml:space="preserve">Nombre </w:t>
            </w:r>
            <w:r w:rsidR="00BC6AFD" w:rsidRPr="009C1E20">
              <w:rPr>
                <w:rFonts w:eastAsiaTheme="minorHAnsi" w:cstheme="minorBidi"/>
                <w:lang w:val="fr-CH" w:eastAsia="en-US"/>
              </w:rPr>
              <w:t>et indice de satisfaction des</w:t>
            </w:r>
            <w:r w:rsidR="00BC6AFD" w:rsidRPr="00777AE2">
              <w:rPr>
                <w:rFonts w:eastAsiaTheme="minorHAnsi" w:cstheme="minorBidi"/>
                <w:lang w:val="fr-CH" w:eastAsia="en-US"/>
              </w:rPr>
              <w:t xml:space="preserve"> </w:t>
            </w:r>
            <w:r w:rsidRPr="00777AE2">
              <w:rPr>
                <w:rFonts w:eastAsiaTheme="minorHAnsi" w:cstheme="minorBidi"/>
                <w:lang w:val="fr-CH" w:eastAsia="en-US"/>
              </w:rPr>
              <w:t>programmes de formation et d</w:t>
            </w:r>
            <w:r w:rsidR="001D239E">
              <w:rPr>
                <w:rFonts w:eastAsiaTheme="minorHAnsi" w:cstheme="minorBidi"/>
                <w:lang w:val="fr-CH" w:eastAsia="en-US"/>
              </w:rPr>
              <w:t>’</w:t>
            </w:r>
            <w:r w:rsidRPr="00777AE2">
              <w:rPr>
                <w:rFonts w:eastAsiaTheme="minorHAnsi" w:cstheme="minorBidi"/>
                <w:lang w:val="fr-CH" w:eastAsia="en-US"/>
              </w:rPr>
              <w:t>activités de renforcement des capa</w:t>
            </w:r>
            <w:r w:rsidR="00564AB5" w:rsidRPr="00777AE2">
              <w:rPr>
                <w:rFonts w:eastAsiaTheme="minorHAnsi" w:cstheme="minorBidi"/>
                <w:lang w:val="fr-CH" w:eastAsia="en-US"/>
              </w:rPr>
              <w:t>cités organisés par l</w:t>
            </w:r>
            <w:r w:rsidR="001D239E">
              <w:rPr>
                <w:rFonts w:eastAsiaTheme="minorHAnsi" w:cstheme="minorBidi"/>
                <w:lang w:val="fr-CH" w:eastAsia="en-US"/>
              </w:rPr>
              <w:t>’</w:t>
            </w:r>
            <w:r w:rsidR="00564AB5" w:rsidRPr="00777AE2">
              <w:rPr>
                <w:rFonts w:eastAsiaTheme="minorHAnsi" w:cstheme="minorBidi"/>
                <w:lang w:val="fr-CH" w:eastAsia="en-US"/>
              </w:rPr>
              <w:t>OMPI à l</w:t>
            </w:r>
            <w:r w:rsidR="001D239E">
              <w:rPr>
                <w:rFonts w:eastAsiaTheme="minorHAnsi" w:cstheme="minorBidi"/>
                <w:lang w:val="fr-CH" w:eastAsia="en-US"/>
              </w:rPr>
              <w:t>’</w:t>
            </w:r>
            <w:r w:rsidRPr="00777AE2">
              <w:rPr>
                <w:rFonts w:eastAsiaTheme="minorHAnsi" w:cstheme="minorBidi"/>
                <w:lang w:val="fr-CH" w:eastAsia="en-US"/>
              </w:rPr>
              <w:t>i</w:t>
            </w:r>
            <w:r w:rsidR="00564AB5" w:rsidRPr="00777AE2">
              <w:rPr>
                <w:rFonts w:eastAsiaTheme="minorHAnsi" w:cstheme="minorBidi"/>
                <w:lang w:val="fr-CH" w:eastAsia="en-US"/>
              </w:rPr>
              <w:t>n</w:t>
            </w:r>
            <w:r w:rsidRPr="00777AE2">
              <w:rPr>
                <w:rFonts w:eastAsiaTheme="minorHAnsi" w:cstheme="minorBidi"/>
                <w:lang w:val="fr-CH" w:eastAsia="en-US"/>
              </w:rPr>
              <w:t>tention</w:t>
            </w:r>
            <w:r w:rsidR="001D239E" w:rsidRPr="00777AE2">
              <w:rPr>
                <w:rFonts w:eastAsiaTheme="minorHAnsi" w:cstheme="minorBidi"/>
                <w:lang w:val="fr-CH" w:eastAsia="en-US"/>
              </w:rPr>
              <w:t xml:space="preserve"> des</w:t>
            </w:r>
            <w:r w:rsidR="001D239E">
              <w:rPr>
                <w:rFonts w:eastAsiaTheme="minorHAnsi" w:cstheme="minorBidi"/>
                <w:lang w:val="fr-CH" w:eastAsia="en-US"/>
              </w:rPr>
              <w:t> </w:t>
            </w:r>
            <w:r w:rsidR="001D239E" w:rsidRPr="00777AE2">
              <w:rPr>
                <w:rFonts w:eastAsiaTheme="minorHAnsi" w:cstheme="minorBidi"/>
                <w:lang w:val="fr-CH" w:eastAsia="en-US"/>
              </w:rPr>
              <w:t>CAT</w:t>
            </w:r>
            <w:r w:rsidRPr="00777AE2">
              <w:rPr>
                <w:rFonts w:eastAsiaTheme="minorHAnsi" w:cstheme="minorBidi"/>
                <w:lang w:val="fr-CH" w:eastAsia="en-US"/>
              </w:rPr>
              <w:t>I afin d</w:t>
            </w:r>
            <w:r w:rsidR="001D239E">
              <w:rPr>
                <w:rFonts w:eastAsiaTheme="minorHAnsi" w:cstheme="minorBidi"/>
                <w:lang w:val="fr-CH" w:eastAsia="en-US"/>
              </w:rPr>
              <w:t>’</w:t>
            </w:r>
            <w:r w:rsidRPr="00777AE2">
              <w:rPr>
                <w:rFonts w:eastAsiaTheme="minorHAnsi" w:cstheme="minorBidi"/>
                <w:lang w:val="fr-CH" w:eastAsia="en-US"/>
              </w:rPr>
              <w:t>améliorer les services et de renforcer les capacités du personnel de ces centres.</w:t>
            </w:r>
          </w:p>
          <w:p w:rsidR="00BF7F01" w:rsidRPr="00777AE2" w:rsidRDefault="00BF7F01" w:rsidP="00BF7F01">
            <w:pPr>
              <w:ind w:left="175"/>
              <w:rPr>
                <w:rFonts w:eastAsiaTheme="minorHAnsi" w:cstheme="minorBidi"/>
                <w:lang w:val="fr-CH" w:eastAsia="en-US"/>
              </w:rPr>
            </w:pPr>
          </w:p>
        </w:tc>
      </w:tr>
    </w:tbl>
    <w:p w:rsidR="00C36BEA" w:rsidRPr="00777AE2" w:rsidRDefault="00BF6246" w:rsidP="00215E98">
      <w:pPr>
        <w:pStyle w:val="Endofdocument-Annex"/>
        <w:spacing w:before="960"/>
        <w:jc w:val="center"/>
        <w:rPr>
          <w:szCs w:val="22"/>
          <w:lang w:val="fr-CH"/>
        </w:rPr>
        <w:sectPr w:rsidR="00C36BEA" w:rsidRPr="00777AE2" w:rsidSect="00BF7F01">
          <w:headerReference w:type="default" r:id="rId19"/>
          <w:footerReference w:type="default" r:id="rId20"/>
          <w:headerReference w:type="first" r:id="rId21"/>
          <w:footerReference w:type="first" r:id="rId22"/>
          <w:endnotePr>
            <w:numFmt w:val="decimal"/>
          </w:endnotePr>
          <w:pgSz w:w="16840" w:h="11907" w:orient="landscape" w:code="9"/>
          <w:pgMar w:top="1411" w:right="562" w:bottom="1138" w:left="1411" w:header="504" w:footer="1022" w:gutter="0"/>
          <w:pgNumType w:start="1"/>
          <w:cols w:space="720"/>
          <w:titlePg/>
          <w:docGrid w:linePitch="299"/>
        </w:sectPr>
      </w:pPr>
      <w:r w:rsidRPr="00777AE2">
        <w:rPr>
          <w:szCs w:val="22"/>
          <w:lang w:val="fr-CH"/>
        </w:rPr>
        <w:t>[L</w:t>
      </w:r>
      <w:r w:rsidR="001D239E">
        <w:rPr>
          <w:szCs w:val="22"/>
          <w:lang w:val="fr-CH"/>
        </w:rPr>
        <w:t>’</w:t>
      </w:r>
      <w:r w:rsidR="001D239E" w:rsidRPr="00777AE2">
        <w:rPr>
          <w:szCs w:val="22"/>
          <w:lang w:val="fr-CH"/>
        </w:rPr>
        <w:t>annexe</w:t>
      </w:r>
      <w:r w:rsidR="001D239E">
        <w:rPr>
          <w:szCs w:val="22"/>
          <w:lang w:val="fr-CH"/>
        </w:rPr>
        <w:t> </w:t>
      </w:r>
      <w:r w:rsidR="001D239E" w:rsidRPr="00777AE2">
        <w:rPr>
          <w:szCs w:val="22"/>
          <w:lang w:val="fr-CH"/>
        </w:rPr>
        <w:t>I</w:t>
      </w:r>
      <w:r w:rsidRPr="00777AE2">
        <w:rPr>
          <w:szCs w:val="22"/>
          <w:lang w:val="fr-CH"/>
        </w:rPr>
        <w:t>I suit]</w:t>
      </w:r>
    </w:p>
    <w:p w:rsidR="00564AB5" w:rsidRPr="00777AE2" w:rsidRDefault="00BF6246" w:rsidP="00BF6246">
      <w:pPr>
        <w:pStyle w:val="Heading1"/>
        <w:rPr>
          <w:b w:val="0"/>
          <w:szCs w:val="22"/>
          <w:lang w:val="fr-CH"/>
        </w:rPr>
      </w:pPr>
      <w:r w:rsidRPr="00777AE2">
        <w:rPr>
          <w:b w:val="0"/>
          <w:szCs w:val="22"/>
          <w:lang w:val="fr-CH"/>
        </w:rPr>
        <w:t>Contribution de la délégation de l</w:t>
      </w:r>
      <w:r w:rsidR="001D239E">
        <w:rPr>
          <w:b w:val="0"/>
          <w:szCs w:val="22"/>
          <w:lang w:val="fr-CH"/>
        </w:rPr>
        <w:t>’</w:t>
      </w:r>
      <w:r w:rsidRPr="00777AE2">
        <w:rPr>
          <w:b w:val="0"/>
          <w:szCs w:val="22"/>
          <w:lang w:val="fr-CH"/>
        </w:rPr>
        <w:t>Équateur</w:t>
      </w:r>
      <w:r w:rsidR="003D09A1" w:rsidRPr="00777AE2">
        <w:rPr>
          <w:b w:val="0"/>
          <w:szCs w:val="22"/>
          <w:lang w:val="fr-CH"/>
        </w:rPr>
        <w:t xml:space="preserve"> </w:t>
      </w:r>
      <w:r w:rsidR="00C56C55" w:rsidRPr="00777AE2">
        <w:rPr>
          <w:b w:val="0"/>
          <w:szCs w:val="22"/>
          <w:lang w:val="fr-CH"/>
        </w:rPr>
        <w:t xml:space="preserve">reçue </w:t>
      </w:r>
      <w:r w:rsidR="005E5DF5" w:rsidRPr="00777AE2">
        <w:rPr>
          <w:b w:val="0"/>
          <w:szCs w:val="22"/>
          <w:lang w:val="fr-CH"/>
        </w:rPr>
        <w:t>par le Secrétariat</w:t>
      </w:r>
    </w:p>
    <w:p w:rsidR="00564AB5" w:rsidRPr="00777AE2" w:rsidRDefault="00BF6246" w:rsidP="00BF6246">
      <w:pPr>
        <w:pStyle w:val="Heading1"/>
        <w:rPr>
          <w:b w:val="0"/>
          <w:szCs w:val="22"/>
          <w:lang w:val="fr-CH"/>
        </w:rPr>
      </w:pPr>
      <w:r w:rsidRPr="00777AE2">
        <w:rPr>
          <w:b w:val="0"/>
          <w:szCs w:val="22"/>
          <w:lang w:val="fr-CH"/>
        </w:rPr>
        <w:t>TRADUCTION (</w:t>
      </w:r>
      <w:r w:rsidR="00332F64" w:rsidRPr="00777AE2">
        <w:rPr>
          <w:b w:val="0"/>
          <w:caps w:val="0"/>
          <w:szCs w:val="22"/>
          <w:lang w:val="fr-CH"/>
        </w:rPr>
        <w:t>Texte original en espagnol</w:t>
      </w:r>
      <w:r w:rsidRPr="00777AE2">
        <w:rPr>
          <w:b w:val="0"/>
          <w:szCs w:val="22"/>
          <w:lang w:val="fr-CH"/>
        </w:rPr>
        <w:t>)</w:t>
      </w:r>
    </w:p>
    <w:p w:rsidR="00564AB5" w:rsidRPr="00777AE2" w:rsidRDefault="00564AB5" w:rsidP="003D09A1">
      <w:pPr>
        <w:rPr>
          <w:lang w:val="fr-CH"/>
        </w:rPr>
      </w:pPr>
    </w:p>
    <w:p w:rsidR="00564AB5" w:rsidRPr="00777AE2" w:rsidRDefault="00564AB5" w:rsidP="003D09A1">
      <w:pPr>
        <w:rPr>
          <w:lang w:val="fr-CH"/>
        </w:rPr>
      </w:pPr>
    </w:p>
    <w:p w:rsidR="00564AB5" w:rsidRPr="00777AE2" w:rsidRDefault="005A6E50" w:rsidP="003D09A1">
      <w:pPr>
        <w:rPr>
          <w:lang w:val="fr-CH"/>
        </w:rPr>
      </w:pPr>
      <w:r w:rsidRPr="00777AE2">
        <w:rPr>
          <w:noProof/>
          <w:sz w:val="17"/>
          <w:szCs w:val="17"/>
          <w:lang w:eastAsia="en-US"/>
        </w:rPr>
        <w:drawing>
          <wp:anchor distT="0" distB="0" distL="114300" distR="114300" simplePos="0" relativeHeight="251660288" behindDoc="0" locked="0" layoutInCell="1" allowOverlap="1" wp14:anchorId="4BD1E110" wp14:editId="4DB401E5">
            <wp:simplePos x="0" y="0"/>
            <wp:positionH relativeFrom="column">
              <wp:posOffset>-389255</wp:posOffset>
            </wp:positionH>
            <wp:positionV relativeFrom="paragraph">
              <wp:posOffset>184785</wp:posOffset>
            </wp:positionV>
            <wp:extent cx="1650530" cy="6440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50530" cy="64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AB5" w:rsidRPr="00777AE2" w:rsidRDefault="003D09A1" w:rsidP="003D09A1">
      <w:pPr>
        <w:rPr>
          <w:lang w:val="fr-CH"/>
        </w:rPr>
      </w:pPr>
      <w:r w:rsidRPr="00777AE2">
        <w:rPr>
          <w:noProof/>
          <w:lang w:eastAsia="en-US"/>
        </w:rPr>
        <mc:AlternateContent>
          <mc:Choice Requires="wps">
            <w:drawing>
              <wp:anchor distT="0" distB="0" distL="114300" distR="114300" simplePos="0" relativeHeight="251656192" behindDoc="0" locked="0" layoutInCell="1" allowOverlap="1" wp14:anchorId="0DB99B4A" wp14:editId="24872B58">
                <wp:simplePos x="0" y="0"/>
                <wp:positionH relativeFrom="column">
                  <wp:posOffset>4874895</wp:posOffset>
                </wp:positionH>
                <wp:positionV relativeFrom="paragraph">
                  <wp:posOffset>79375</wp:posOffset>
                </wp:positionV>
                <wp:extent cx="1785620" cy="548640"/>
                <wp:effectExtent l="0" t="444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A1" w:rsidRPr="000B2665" w:rsidRDefault="003D09A1" w:rsidP="003D09A1">
                            <w:pPr>
                              <w:rPr>
                                <w:b/>
                                <w:color w:val="595959" w:themeColor="text1" w:themeTint="A6"/>
                                <w:sz w:val="16"/>
                                <w:szCs w:val="16"/>
                              </w:rPr>
                            </w:pPr>
                            <w:r w:rsidRPr="000B2665">
                              <w:rPr>
                                <w:color w:val="595959" w:themeColor="text1" w:themeTint="A6"/>
                                <w:sz w:val="16"/>
                                <w:szCs w:val="16"/>
                              </w:rPr>
                              <w:t xml:space="preserve">MINISTRY </w:t>
                            </w:r>
                            <w:r w:rsidRPr="000B2665">
                              <w:rPr>
                                <w:color w:val="595959" w:themeColor="text1" w:themeTint="A6"/>
                                <w:sz w:val="16"/>
                                <w:szCs w:val="16"/>
                              </w:rPr>
                              <w:br/>
                              <w:t>OF</w:t>
                            </w:r>
                            <w:r w:rsidRPr="000B2665">
                              <w:rPr>
                                <w:b/>
                                <w:color w:val="595959" w:themeColor="text1" w:themeTint="A6"/>
                                <w:sz w:val="16"/>
                                <w:szCs w:val="16"/>
                              </w:rPr>
                              <w:t xml:space="preserve"> EXTERNAL RELATIONS </w:t>
                            </w:r>
                            <w:r>
                              <w:rPr>
                                <w:b/>
                                <w:color w:val="595959" w:themeColor="text1" w:themeTint="A6"/>
                                <w:sz w:val="16"/>
                                <w:szCs w:val="16"/>
                              </w:rPr>
                              <w:br/>
                            </w:r>
                            <w:r w:rsidRPr="000B2665">
                              <w:rPr>
                                <w:b/>
                                <w:color w:val="595959" w:themeColor="text1" w:themeTint="A6"/>
                                <w:sz w:val="16"/>
                                <w:szCs w:val="16"/>
                              </w:rPr>
                              <w:t xml:space="preserve">AND HUMAN MOBILITY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85pt;margin-top:6.25pt;width:140.6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Jj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" filled="f" stroked="f">
                <v:textbox>
                  <w:txbxContent>
                    <w:p w:rsidR="003D09A1" w:rsidRPr="000B2665" w:rsidRDefault="003D09A1" w:rsidP="003D09A1">
                      <w:pPr>
                        <w:rPr>
                          <w:b/>
                          <w:color w:val="595959" w:themeColor="text1" w:themeTint="A6"/>
                          <w:sz w:val="16"/>
                          <w:szCs w:val="16"/>
                        </w:rPr>
                      </w:pPr>
                      <w:r w:rsidRPr="000B2665">
                        <w:rPr>
                          <w:color w:val="595959" w:themeColor="text1" w:themeTint="A6"/>
                          <w:sz w:val="16"/>
                          <w:szCs w:val="16"/>
                        </w:rPr>
                        <w:t xml:space="preserve">MINISTRY </w:t>
                      </w:r>
                      <w:r w:rsidRPr="000B2665">
                        <w:rPr>
                          <w:color w:val="595959" w:themeColor="text1" w:themeTint="A6"/>
                          <w:sz w:val="16"/>
                          <w:szCs w:val="16"/>
                        </w:rPr>
                        <w:br/>
                        <w:t>OF</w:t>
                      </w:r>
                      <w:r w:rsidRPr="000B2665">
                        <w:rPr>
                          <w:b/>
                          <w:color w:val="595959" w:themeColor="text1" w:themeTint="A6"/>
                          <w:sz w:val="16"/>
                          <w:szCs w:val="16"/>
                        </w:rPr>
                        <w:t xml:space="preserve"> EXTERNAL RELATIONS </w:t>
                      </w:r>
                      <w:r>
                        <w:rPr>
                          <w:b/>
                          <w:color w:val="595959" w:themeColor="text1" w:themeTint="A6"/>
                          <w:sz w:val="16"/>
                          <w:szCs w:val="16"/>
                        </w:rPr>
                        <w:br/>
                      </w:r>
                      <w:r w:rsidRPr="000B2665">
                        <w:rPr>
                          <w:b/>
                          <w:color w:val="595959" w:themeColor="text1" w:themeTint="A6"/>
                          <w:sz w:val="16"/>
                          <w:szCs w:val="16"/>
                        </w:rPr>
                        <w:t xml:space="preserve">AND HUMAN MOBILITY </w:t>
                      </w:r>
                    </w:p>
                  </w:txbxContent>
                </v:textbox>
              </v:shape>
            </w:pict>
          </mc:Fallback>
        </mc:AlternateContent>
      </w:r>
      <w:r w:rsidRPr="00777AE2">
        <w:rPr>
          <w:noProof/>
          <w:lang w:eastAsia="en-US"/>
        </w:rPr>
        <w:drawing>
          <wp:anchor distT="0" distB="0" distL="114300" distR="114300" simplePos="0" relativeHeight="251664384" behindDoc="0" locked="0" layoutInCell="1" allowOverlap="1" wp14:anchorId="7096910E" wp14:editId="5B47A7DE">
            <wp:simplePos x="0" y="0"/>
            <wp:positionH relativeFrom="column">
              <wp:posOffset>3987800</wp:posOffset>
            </wp:positionH>
            <wp:positionV relativeFrom="paragraph">
              <wp:posOffset>13335</wp:posOffset>
            </wp:positionV>
            <wp:extent cx="695960" cy="588010"/>
            <wp:effectExtent l="0" t="0" r="0" b="0"/>
            <wp:wrapNone/>
            <wp:docPr id="3" name="Picture 3" descr="Image result for ministerio de relaciones exteriores Y MOVILIDAD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nisterio de relaciones exteriores Y MOVILIDAD HUMAN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5960"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AB5" w:rsidRPr="00777AE2" w:rsidRDefault="00564AB5" w:rsidP="003D09A1">
      <w:pPr>
        <w:spacing w:before="9" w:line="170" w:lineRule="exact"/>
        <w:ind w:left="1701"/>
        <w:rPr>
          <w:sz w:val="17"/>
          <w:szCs w:val="17"/>
          <w:lang w:val="fr-CH"/>
        </w:rPr>
      </w:pPr>
    </w:p>
    <w:p w:rsidR="00564AB5" w:rsidRPr="00777AE2" w:rsidRDefault="003D09A1" w:rsidP="003D09A1">
      <w:pPr>
        <w:spacing w:line="200" w:lineRule="exact"/>
        <w:rPr>
          <w:sz w:val="20"/>
          <w:lang w:val="fr-CH"/>
        </w:rPr>
      </w:pPr>
      <w:r w:rsidRPr="00777AE2">
        <w:rPr>
          <w:noProof/>
          <w:sz w:val="20"/>
          <w:lang w:eastAsia="en-US"/>
        </w:rPr>
        <w:drawing>
          <wp:inline distT="0" distB="0" distL="0" distR="0" wp14:anchorId="66FFCB22" wp14:editId="7E20CF3C">
            <wp:extent cx="2321560" cy="2298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21560" cy="2298065"/>
                    </a:xfrm>
                    <a:prstGeom prst="rect">
                      <a:avLst/>
                    </a:prstGeom>
                    <a:noFill/>
                    <a:ln>
                      <a:noFill/>
                    </a:ln>
                  </pic:spPr>
                </pic:pic>
              </a:graphicData>
            </a:graphic>
          </wp:inline>
        </w:drawing>
      </w:r>
    </w:p>
    <w:p w:rsidR="00564AB5" w:rsidRPr="00777AE2" w:rsidRDefault="00564AB5" w:rsidP="003D09A1">
      <w:pPr>
        <w:spacing w:line="200" w:lineRule="exact"/>
        <w:rPr>
          <w:sz w:val="20"/>
          <w:lang w:val="fr-CH"/>
        </w:rPr>
      </w:pPr>
    </w:p>
    <w:p w:rsidR="00564AB5" w:rsidRPr="00777AE2" w:rsidRDefault="00564AB5" w:rsidP="003D09A1">
      <w:pPr>
        <w:spacing w:line="200" w:lineRule="exact"/>
        <w:rPr>
          <w:sz w:val="20"/>
          <w:lang w:val="fr-CH"/>
        </w:rPr>
      </w:pPr>
    </w:p>
    <w:p w:rsidR="00564AB5" w:rsidRPr="00777AE2" w:rsidRDefault="003D09A1" w:rsidP="003D09A1">
      <w:pPr>
        <w:spacing w:line="200" w:lineRule="exact"/>
        <w:rPr>
          <w:sz w:val="20"/>
          <w:lang w:val="fr-CH"/>
        </w:rPr>
      </w:pPr>
      <w:r w:rsidRPr="00777AE2">
        <w:rPr>
          <w:rFonts w:ascii="Times New Roman" w:eastAsia="Times New Roman" w:hAnsi="Times New Roman" w:cs="Times New Roman"/>
          <w:noProof/>
          <w:color w:val="313131"/>
          <w:lang w:eastAsia="en-US"/>
        </w:rPr>
        <mc:AlternateContent>
          <mc:Choice Requires="wps">
            <w:drawing>
              <wp:anchor distT="0" distB="0" distL="114300" distR="114300" simplePos="0" relativeHeight="251658240" behindDoc="0" locked="0" layoutInCell="1" allowOverlap="1" wp14:anchorId="4BBB229D" wp14:editId="652BB793">
                <wp:simplePos x="0" y="0"/>
                <wp:positionH relativeFrom="column">
                  <wp:posOffset>-227330</wp:posOffset>
                </wp:positionH>
                <wp:positionV relativeFrom="paragraph">
                  <wp:posOffset>182245</wp:posOffset>
                </wp:positionV>
                <wp:extent cx="1433830" cy="365760"/>
                <wp:effectExtent l="1270" t="635"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A1" w:rsidRPr="009E7C9E" w:rsidRDefault="003D09A1" w:rsidP="003D09A1">
                            <w:pPr>
                              <w:spacing w:before="9" w:line="170" w:lineRule="exact"/>
                              <w:ind w:left="-142"/>
                              <w:jc w:val="center"/>
                              <w:rPr>
                                <w:rFonts w:ascii="Times New Roman" w:hAnsi="Times New Roman" w:cs="Times New Roman"/>
                                <w:b/>
                                <w:color w:val="595959" w:themeColor="text1" w:themeTint="A6"/>
                                <w:sz w:val="18"/>
                                <w:szCs w:val="18"/>
                              </w:rPr>
                            </w:pPr>
                            <w:r w:rsidRPr="009E7C9E">
                              <w:rPr>
                                <w:rFonts w:ascii="Times New Roman" w:eastAsia="Times New Roman" w:hAnsi="Times New Roman" w:cs="Times New Roman"/>
                                <w:b/>
                                <w:color w:val="595959" w:themeColor="text1" w:themeTint="A6"/>
                                <w:w w:val="106"/>
                                <w:sz w:val="18"/>
                                <w:szCs w:val="18"/>
                              </w:rPr>
                              <w:t xml:space="preserve">Permanent Mission </w:t>
                            </w:r>
                            <w:r w:rsidRPr="009E7C9E">
                              <w:rPr>
                                <w:rFonts w:ascii="Times New Roman" w:eastAsia="Times New Roman" w:hAnsi="Times New Roman" w:cs="Times New Roman"/>
                                <w:b/>
                                <w:color w:val="595959" w:themeColor="text1" w:themeTint="A6"/>
                                <w:w w:val="106"/>
                                <w:sz w:val="18"/>
                                <w:szCs w:val="18"/>
                              </w:rPr>
                              <w:br/>
                              <w:t>to WTO-Geneva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7.9pt;margin-top:14.35pt;width:112.9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" filled="f" stroked="f">
                <v:textbox>
                  <w:txbxContent>
                    <w:p w:rsidR="003D09A1" w:rsidRPr="009E7C9E" w:rsidRDefault="003D09A1" w:rsidP="003D09A1">
                      <w:pPr>
                        <w:spacing w:before="9" w:line="170" w:lineRule="exact"/>
                        <w:ind w:left="-142"/>
                        <w:jc w:val="center"/>
                        <w:rPr>
                          <w:rFonts w:ascii="Times New Roman" w:hAnsi="Times New Roman" w:cs="Times New Roman"/>
                          <w:b/>
                          <w:color w:val="595959" w:themeColor="text1" w:themeTint="A6"/>
                          <w:sz w:val="18"/>
                          <w:szCs w:val="18"/>
                        </w:rPr>
                      </w:pPr>
                      <w:r w:rsidRPr="009E7C9E">
                        <w:rPr>
                          <w:rFonts w:ascii="Times New Roman" w:eastAsia="Times New Roman" w:hAnsi="Times New Roman" w:cs="Times New Roman"/>
                          <w:b/>
                          <w:color w:val="595959" w:themeColor="text1" w:themeTint="A6"/>
                          <w:w w:val="106"/>
                          <w:sz w:val="18"/>
                          <w:szCs w:val="18"/>
                        </w:rPr>
                        <w:t xml:space="preserve">Permanent Mission </w:t>
                      </w:r>
                      <w:r w:rsidRPr="009E7C9E">
                        <w:rPr>
                          <w:rFonts w:ascii="Times New Roman" w:eastAsia="Times New Roman" w:hAnsi="Times New Roman" w:cs="Times New Roman"/>
                          <w:b/>
                          <w:color w:val="595959" w:themeColor="text1" w:themeTint="A6"/>
                          <w:w w:val="106"/>
                          <w:sz w:val="18"/>
                          <w:szCs w:val="18"/>
                        </w:rPr>
                        <w:br/>
                        <w:t>to WTO-Geneva</w:t>
                      </w:r>
                    </w:p>
                  </w:txbxContent>
                </v:textbox>
              </v:shape>
            </w:pict>
          </mc:Fallback>
        </mc:AlternateContent>
      </w:r>
    </w:p>
    <w:p w:rsidR="00564AB5" w:rsidRPr="00777AE2" w:rsidRDefault="00564AB5" w:rsidP="003D09A1">
      <w:pPr>
        <w:spacing w:line="200" w:lineRule="exact"/>
        <w:rPr>
          <w:sz w:val="20"/>
          <w:lang w:val="fr-CH"/>
        </w:rPr>
      </w:pPr>
    </w:p>
    <w:p w:rsidR="00564AB5" w:rsidRPr="00777AE2" w:rsidRDefault="00564AB5" w:rsidP="003D09A1">
      <w:pPr>
        <w:spacing w:line="200" w:lineRule="exact"/>
        <w:rPr>
          <w:sz w:val="20"/>
          <w:lang w:val="fr-CH"/>
        </w:rPr>
      </w:pPr>
    </w:p>
    <w:p w:rsidR="00564AB5" w:rsidRPr="00777AE2" w:rsidRDefault="00564AB5" w:rsidP="003D09A1">
      <w:pPr>
        <w:spacing w:before="31"/>
        <w:ind w:right="357"/>
        <w:jc w:val="right"/>
        <w:rPr>
          <w:rFonts w:ascii="Times New Roman" w:eastAsia="Times New Roman" w:hAnsi="Times New Roman" w:cs="Times New Roman"/>
          <w:color w:val="313131"/>
          <w:lang w:val="fr-CH"/>
        </w:rPr>
      </w:pPr>
    </w:p>
    <w:p w:rsidR="00564AB5" w:rsidRPr="00777AE2" w:rsidRDefault="00564AB5" w:rsidP="003D09A1">
      <w:pPr>
        <w:spacing w:before="31"/>
        <w:ind w:right="357"/>
        <w:jc w:val="right"/>
        <w:rPr>
          <w:rFonts w:eastAsia="Times New Roman"/>
          <w:color w:val="313131"/>
          <w:lang w:val="fr-CH"/>
        </w:rPr>
      </w:pPr>
    </w:p>
    <w:p w:rsidR="00564AB5" w:rsidRPr="00777AE2" w:rsidRDefault="00564AB5" w:rsidP="003D09A1">
      <w:pPr>
        <w:spacing w:before="31"/>
        <w:ind w:right="357"/>
        <w:jc w:val="right"/>
        <w:rPr>
          <w:rFonts w:eastAsia="Times New Roman"/>
          <w:color w:val="313131"/>
          <w:lang w:val="fr-CH"/>
        </w:rPr>
      </w:pPr>
    </w:p>
    <w:p w:rsidR="00564AB5" w:rsidRPr="00777AE2" w:rsidRDefault="003D09A1" w:rsidP="003D09A1">
      <w:pPr>
        <w:spacing w:before="31"/>
        <w:ind w:right="357"/>
        <w:jc w:val="right"/>
        <w:rPr>
          <w:rFonts w:eastAsia="Times New Roman"/>
          <w:lang w:val="fr-CH"/>
        </w:rPr>
      </w:pPr>
      <w:r w:rsidRPr="00777AE2">
        <w:rPr>
          <w:rFonts w:eastAsia="Times New Roman"/>
          <w:color w:val="313131"/>
          <w:lang w:val="fr-CH"/>
        </w:rPr>
        <w:t>Note</w:t>
      </w:r>
      <w:r w:rsidR="00750D88">
        <w:rPr>
          <w:rFonts w:eastAsia="Times New Roman"/>
          <w:color w:val="313131"/>
          <w:lang w:val="fr-CH"/>
        </w:rPr>
        <w:t xml:space="preserve"> –</w:t>
      </w:r>
      <w:r w:rsidRPr="00777AE2">
        <w:rPr>
          <w:rFonts w:eastAsia="Times New Roman"/>
          <w:color w:val="313131"/>
          <w:spacing w:val="30"/>
          <w:lang w:val="fr-CH"/>
        </w:rPr>
        <w:t xml:space="preserve"> </w:t>
      </w:r>
      <w:r w:rsidRPr="00777AE2">
        <w:rPr>
          <w:rFonts w:eastAsia="Times New Roman"/>
          <w:color w:val="313131"/>
          <w:lang w:val="fr-CH"/>
        </w:rPr>
        <w:t>4</w:t>
      </w:r>
      <w:r w:rsidR="001D239E">
        <w:rPr>
          <w:rFonts w:eastAsia="Times New Roman"/>
          <w:color w:val="313131"/>
          <w:lang w:val="fr-CH"/>
        </w:rPr>
        <w:t>-</w:t>
      </w:r>
      <w:r w:rsidRPr="00777AE2">
        <w:rPr>
          <w:rFonts w:eastAsia="Times New Roman"/>
          <w:color w:val="313131"/>
          <w:lang w:val="fr-CH"/>
        </w:rPr>
        <w:t>7</w:t>
      </w:r>
      <w:r w:rsidR="00750D88">
        <w:rPr>
          <w:rFonts w:eastAsia="Times New Roman"/>
          <w:color w:val="313131"/>
          <w:lang w:val="fr-CH"/>
        </w:rPr>
        <w:t xml:space="preserve"> –</w:t>
      </w:r>
      <w:r w:rsidRPr="00777AE2">
        <w:rPr>
          <w:rFonts w:eastAsia="Times New Roman"/>
          <w:color w:val="313131"/>
          <w:spacing w:val="33"/>
          <w:lang w:val="fr-CH"/>
        </w:rPr>
        <w:t xml:space="preserve"> </w:t>
      </w:r>
      <w:r w:rsidRPr="00777AE2">
        <w:rPr>
          <w:rFonts w:eastAsia="Times New Roman"/>
          <w:color w:val="313131"/>
          <w:w w:val="105"/>
          <w:lang w:val="fr-CH"/>
        </w:rPr>
        <w:t>100/2018</w:t>
      </w:r>
    </w:p>
    <w:p w:rsidR="00564AB5" w:rsidRPr="00777AE2" w:rsidRDefault="00564AB5" w:rsidP="003D09A1">
      <w:pPr>
        <w:jc w:val="both"/>
        <w:rPr>
          <w:lang w:val="fr-CH"/>
        </w:rPr>
      </w:pPr>
    </w:p>
    <w:p w:rsidR="00564AB5" w:rsidRPr="00777AE2" w:rsidRDefault="00564AB5" w:rsidP="003D09A1">
      <w:pPr>
        <w:jc w:val="both"/>
        <w:rPr>
          <w:lang w:val="fr-CH"/>
        </w:rPr>
      </w:pPr>
    </w:p>
    <w:p w:rsidR="00564AB5" w:rsidRPr="00777AE2" w:rsidRDefault="00BF6246" w:rsidP="00BF6246">
      <w:pPr>
        <w:jc w:val="both"/>
        <w:rPr>
          <w:lang w:val="fr-CH"/>
        </w:rPr>
      </w:pPr>
      <w:r w:rsidRPr="00777AE2">
        <w:rPr>
          <w:lang w:val="fr-CH"/>
        </w:rPr>
        <w:t>La Mission permanente de l</w:t>
      </w:r>
      <w:r w:rsidR="001D239E">
        <w:rPr>
          <w:lang w:val="fr-CH"/>
        </w:rPr>
        <w:t>’</w:t>
      </w:r>
      <w:r w:rsidRPr="00777AE2">
        <w:rPr>
          <w:lang w:val="fr-CH"/>
        </w:rPr>
        <w:t>Équateur auprès de l</w:t>
      </w:r>
      <w:r w:rsidR="001D239E">
        <w:rPr>
          <w:lang w:val="fr-CH"/>
        </w:rPr>
        <w:t>’</w:t>
      </w:r>
      <w:r w:rsidRPr="00777AE2">
        <w:rPr>
          <w:lang w:val="fr-CH"/>
        </w:rPr>
        <w:t>Organisation mondiale du commerce et des autres organisations économiques à Genève présente ses compliments à l</w:t>
      </w:r>
      <w:r w:rsidR="001D239E">
        <w:rPr>
          <w:lang w:val="fr-CH"/>
        </w:rPr>
        <w:t>’</w:t>
      </w:r>
      <w:r w:rsidRPr="00777AE2">
        <w:rPr>
          <w:lang w:val="fr-CH"/>
        </w:rPr>
        <w:t>Organisation Mondiale de la Propriété Intellectuelle</w:t>
      </w:r>
      <w:r w:rsidR="00750D88">
        <w:rPr>
          <w:lang w:val="fr-CH"/>
        </w:rPr>
        <w:t xml:space="preserve"> (OMPI/Secteur du développement</w:t>
      </w:r>
      <w:r w:rsidRPr="00777AE2">
        <w:rPr>
          <w:lang w:val="fr-CH"/>
        </w:rPr>
        <w:t>) et a l</w:t>
      </w:r>
      <w:r w:rsidR="001D239E">
        <w:rPr>
          <w:lang w:val="fr-CH"/>
        </w:rPr>
        <w:t>’</w:t>
      </w:r>
      <w:r w:rsidRPr="00777AE2">
        <w:rPr>
          <w:lang w:val="fr-CH"/>
        </w:rPr>
        <w:t>honneur de se référer à la décision adoptée à la vingt</w:t>
      </w:r>
      <w:r w:rsidR="001D239E">
        <w:rPr>
          <w:lang w:val="fr-CH"/>
        </w:rPr>
        <w:t> et unième session</w:t>
      </w:r>
      <w:r w:rsidRPr="00777AE2">
        <w:rPr>
          <w:lang w:val="fr-CH"/>
        </w:rPr>
        <w:t xml:space="preserve"> du Comité du développement et de la propriété intellectuelle, tenue du 14 au 1</w:t>
      </w:r>
      <w:r w:rsidR="001D239E" w:rsidRPr="00777AE2">
        <w:rPr>
          <w:lang w:val="fr-CH"/>
        </w:rPr>
        <w:t>8</w:t>
      </w:r>
      <w:r w:rsidR="001D239E">
        <w:rPr>
          <w:lang w:val="fr-CH"/>
        </w:rPr>
        <w:t> </w:t>
      </w:r>
      <w:r w:rsidR="001D239E" w:rsidRPr="00777AE2">
        <w:rPr>
          <w:lang w:val="fr-CH"/>
        </w:rPr>
        <w:t>mai</w:t>
      </w:r>
      <w:r w:rsidR="001D239E">
        <w:rPr>
          <w:lang w:val="fr-CH"/>
        </w:rPr>
        <w:t> </w:t>
      </w:r>
      <w:r w:rsidR="001D239E" w:rsidRPr="00777AE2">
        <w:rPr>
          <w:lang w:val="fr-CH"/>
        </w:rPr>
        <w:t>20</w:t>
      </w:r>
      <w:r w:rsidRPr="00777AE2">
        <w:rPr>
          <w:lang w:val="fr-CH"/>
        </w:rPr>
        <w:t>18, sur l</w:t>
      </w:r>
      <w:r w:rsidR="001D239E">
        <w:rPr>
          <w:lang w:val="fr-CH"/>
        </w:rPr>
        <w:t>’</w:t>
      </w:r>
      <w:r w:rsidRPr="00777AE2">
        <w:rPr>
          <w:lang w:val="fr-CH"/>
        </w:rPr>
        <w:t>analyse des lacunes dans les services et activités de l</w:t>
      </w:r>
      <w:r w:rsidR="001D239E">
        <w:rPr>
          <w:lang w:val="fr-CH"/>
        </w:rPr>
        <w:t>’</w:t>
      </w:r>
      <w:r w:rsidRPr="00777AE2">
        <w:rPr>
          <w:lang w:val="fr-CH"/>
        </w:rPr>
        <w:t>OMPI en matière de transfert de technologie au regard des recommandations du groupe C du Plan d</w:t>
      </w:r>
      <w:r w:rsidR="001D239E">
        <w:rPr>
          <w:lang w:val="fr-CH"/>
        </w:rPr>
        <w:t>’</w:t>
      </w:r>
      <w:r w:rsidRPr="00777AE2">
        <w:rPr>
          <w:lang w:val="fr-CH"/>
        </w:rPr>
        <w:t>action pour le développement, figurant dans le document CDIP/21/5.</w:t>
      </w:r>
    </w:p>
    <w:p w:rsidR="00564AB5" w:rsidRPr="00777AE2" w:rsidRDefault="00564AB5" w:rsidP="003D09A1">
      <w:pPr>
        <w:jc w:val="both"/>
        <w:rPr>
          <w:rFonts w:eastAsia="Times New Roman"/>
          <w:color w:val="000000"/>
          <w:bdr w:val="none" w:sz="0" w:space="0" w:color="auto" w:frame="1"/>
          <w:shd w:val="clear" w:color="auto" w:fill="FFFFFF"/>
          <w:lang w:val="fr-CH"/>
        </w:rPr>
      </w:pPr>
    </w:p>
    <w:p w:rsidR="00564AB5" w:rsidRPr="00777AE2" w:rsidRDefault="00A23A8B" w:rsidP="00A23A8B">
      <w:pPr>
        <w:jc w:val="both"/>
        <w:rPr>
          <w:lang w:val="fr-CH"/>
        </w:rPr>
      </w:pPr>
      <w:r w:rsidRPr="00777AE2">
        <w:rPr>
          <w:lang w:val="fr-CH"/>
        </w:rPr>
        <w:t>La Mission permanente de l</w:t>
      </w:r>
      <w:r w:rsidR="001D239E">
        <w:rPr>
          <w:lang w:val="fr-CH"/>
        </w:rPr>
        <w:t>’</w:t>
      </w:r>
      <w:r w:rsidRPr="00777AE2">
        <w:rPr>
          <w:lang w:val="fr-CH"/>
        </w:rPr>
        <w:t>Équateur auprès de l</w:t>
      </w:r>
      <w:r w:rsidR="001D239E">
        <w:rPr>
          <w:lang w:val="fr-CH"/>
        </w:rPr>
        <w:t>’</w:t>
      </w:r>
      <w:r w:rsidRPr="00777AE2">
        <w:rPr>
          <w:lang w:val="fr-CH"/>
        </w:rPr>
        <w:t>Organisation mondiale du commerce et des autres organisations économiques à Genève soumet pour information les contributions suivantes transmises par le Service national des droits de propriété intellectuelle.</w:t>
      </w:r>
    </w:p>
    <w:p w:rsidR="00564AB5" w:rsidRPr="00777AE2" w:rsidRDefault="00564AB5" w:rsidP="003D09A1">
      <w:pPr>
        <w:jc w:val="both"/>
        <w:rPr>
          <w:rFonts w:eastAsia="Times New Roman"/>
          <w:color w:val="000000"/>
          <w:bdr w:val="none" w:sz="0" w:space="0" w:color="auto" w:frame="1"/>
          <w:shd w:val="clear" w:color="auto" w:fill="FFFFFF"/>
          <w:lang w:val="fr-CH"/>
        </w:rPr>
      </w:pPr>
    </w:p>
    <w:p w:rsidR="00564AB5" w:rsidRPr="00777AE2" w:rsidRDefault="0043691B" w:rsidP="0043691B">
      <w:pPr>
        <w:jc w:val="both"/>
        <w:rPr>
          <w:lang w:val="fr-CH"/>
        </w:rPr>
      </w:pPr>
      <w:r w:rsidRPr="00777AE2">
        <w:rPr>
          <w:lang w:val="fr-CH"/>
        </w:rPr>
        <w:t>Conformément à l</w:t>
      </w:r>
      <w:r w:rsidR="001D239E">
        <w:rPr>
          <w:lang w:val="fr-CH"/>
        </w:rPr>
        <w:t>’</w:t>
      </w:r>
      <w:r w:rsidRPr="00777AE2">
        <w:rPr>
          <w:lang w:val="fr-CH"/>
        </w:rPr>
        <w:t>analyse des lacunes dans les services et activités de l</w:t>
      </w:r>
      <w:r w:rsidR="001D239E">
        <w:rPr>
          <w:lang w:val="fr-CH"/>
        </w:rPr>
        <w:t>’</w:t>
      </w:r>
      <w:r w:rsidRPr="00777AE2">
        <w:rPr>
          <w:lang w:val="fr-CH"/>
        </w:rPr>
        <w:t>OMPI en matière de transfert de technologie au regard du Plan d</w:t>
      </w:r>
      <w:r w:rsidR="001D239E">
        <w:rPr>
          <w:lang w:val="fr-CH"/>
        </w:rPr>
        <w:t>’</w:t>
      </w:r>
      <w:r w:rsidRPr="00777AE2">
        <w:rPr>
          <w:lang w:val="fr-CH"/>
        </w:rPr>
        <w:t>action pour le développement, il est recommandé d</w:t>
      </w:r>
      <w:r w:rsidR="001D239E">
        <w:rPr>
          <w:lang w:val="fr-CH"/>
        </w:rPr>
        <w:t>’</w:t>
      </w:r>
      <w:r w:rsidRPr="00777AE2">
        <w:rPr>
          <w:lang w:val="fr-CH"/>
        </w:rPr>
        <w:t>inclure les indicateurs ci</w:t>
      </w:r>
      <w:r w:rsidR="00215E98">
        <w:rPr>
          <w:lang w:val="fr-CH"/>
        </w:rPr>
        <w:noBreakHyphen/>
      </w:r>
      <w:r w:rsidRPr="00777AE2">
        <w:rPr>
          <w:lang w:val="fr-CH"/>
        </w:rPr>
        <w:t>après afin d</w:t>
      </w:r>
      <w:r w:rsidR="001D239E">
        <w:rPr>
          <w:lang w:val="fr-CH"/>
        </w:rPr>
        <w:t>’</w:t>
      </w:r>
      <w:r w:rsidRPr="00777AE2">
        <w:rPr>
          <w:lang w:val="fr-CH"/>
        </w:rPr>
        <w:t xml:space="preserve">évaluer les activités menées </w:t>
      </w:r>
      <w:r w:rsidR="0051492E">
        <w:rPr>
          <w:lang w:val="fr-CH"/>
        </w:rPr>
        <w:t>dans ce domaine</w:t>
      </w:r>
      <w:r w:rsidR="001D239E">
        <w:rPr>
          <w:lang w:val="fr-CH"/>
        </w:rPr>
        <w:t> :</w:t>
      </w:r>
    </w:p>
    <w:p w:rsidR="00564AB5" w:rsidRPr="00777AE2" w:rsidRDefault="00564AB5" w:rsidP="003D09A1">
      <w:pPr>
        <w:jc w:val="both"/>
        <w:rPr>
          <w:lang w:val="fr-CH"/>
        </w:rPr>
      </w:pPr>
    </w:p>
    <w:p w:rsidR="001D239E" w:rsidRDefault="0043691B" w:rsidP="0043691B">
      <w:pPr>
        <w:pStyle w:val="ListParagraph"/>
        <w:widowControl w:val="0"/>
        <w:numPr>
          <w:ilvl w:val="0"/>
          <w:numId w:val="14"/>
        </w:numPr>
        <w:spacing w:line="255" w:lineRule="auto"/>
        <w:ind w:right="306"/>
        <w:jc w:val="both"/>
        <w:rPr>
          <w:rFonts w:eastAsia="Times New Roman"/>
          <w:color w:val="000000"/>
          <w:bdr w:val="none" w:sz="0" w:space="0" w:color="auto" w:frame="1"/>
          <w:shd w:val="clear" w:color="auto" w:fill="FFFFFF"/>
          <w:lang w:val="fr-CH"/>
        </w:rPr>
      </w:pPr>
      <w:r w:rsidRPr="00777AE2">
        <w:rPr>
          <w:rFonts w:eastAsia="Times New Roman"/>
          <w:color w:val="000000"/>
          <w:bdr w:val="none" w:sz="0" w:space="0" w:color="auto" w:frame="1"/>
          <w:shd w:val="clear" w:color="auto" w:fill="FFFFFF"/>
          <w:lang w:val="fr-CH"/>
        </w:rPr>
        <w:t>analyse</w:t>
      </w:r>
      <w:r w:rsidR="00B07FB8">
        <w:rPr>
          <w:rFonts w:eastAsia="Times New Roman"/>
          <w:color w:val="000000"/>
          <w:bdr w:val="none" w:sz="0" w:space="0" w:color="auto" w:frame="1"/>
          <w:shd w:val="clear" w:color="auto" w:fill="FFFFFF"/>
          <w:lang w:val="fr-CH"/>
        </w:rPr>
        <w:t>,</w:t>
      </w:r>
      <w:r w:rsidRPr="00777AE2">
        <w:rPr>
          <w:rFonts w:eastAsia="Times New Roman"/>
          <w:color w:val="000000"/>
          <w:bdr w:val="none" w:sz="0" w:space="0" w:color="auto" w:frame="1"/>
          <w:shd w:val="clear" w:color="auto" w:fill="FFFFFF"/>
          <w:lang w:val="fr-CH"/>
        </w:rPr>
        <w:t xml:space="preserve"> préalable à la mise en </w:t>
      </w:r>
      <w:r w:rsidR="000A1524" w:rsidRPr="00777AE2">
        <w:rPr>
          <w:rFonts w:eastAsia="Times New Roman"/>
          <w:color w:val="000000"/>
          <w:bdr w:val="none" w:sz="0" w:space="0" w:color="auto" w:frame="1"/>
          <w:shd w:val="clear" w:color="auto" w:fill="FFFFFF"/>
          <w:lang w:val="fr-CH"/>
        </w:rPr>
        <w:t>œuvre</w:t>
      </w:r>
      <w:r w:rsidR="00B07FB8">
        <w:rPr>
          <w:rFonts w:eastAsia="Times New Roman"/>
          <w:color w:val="000000"/>
          <w:bdr w:val="none" w:sz="0" w:space="0" w:color="auto" w:frame="1"/>
          <w:shd w:val="clear" w:color="auto" w:fill="FFFFFF"/>
          <w:lang w:val="fr-CH"/>
        </w:rPr>
        <w:t>,</w:t>
      </w:r>
      <w:r w:rsidRPr="00777AE2">
        <w:rPr>
          <w:rFonts w:eastAsia="Times New Roman"/>
          <w:color w:val="000000"/>
          <w:bdr w:val="none" w:sz="0" w:space="0" w:color="auto" w:frame="1"/>
          <w:shd w:val="clear" w:color="auto" w:fill="FFFFFF"/>
          <w:lang w:val="fr-CH"/>
        </w:rPr>
        <w:t xml:space="preserve"> de la situation </w:t>
      </w:r>
      <w:r w:rsidR="008E55B9">
        <w:rPr>
          <w:rFonts w:eastAsia="Times New Roman"/>
          <w:color w:val="000000"/>
          <w:bdr w:val="none" w:sz="0" w:space="0" w:color="auto" w:frame="1"/>
          <w:shd w:val="clear" w:color="auto" w:fill="FFFFFF"/>
          <w:lang w:val="fr-CH"/>
        </w:rPr>
        <w:t xml:space="preserve">qui prévaut </w:t>
      </w:r>
      <w:r w:rsidR="007261C4" w:rsidRPr="00777AE2">
        <w:rPr>
          <w:rFonts w:eastAsia="Times New Roman"/>
          <w:color w:val="000000"/>
          <w:bdr w:val="none" w:sz="0" w:space="0" w:color="auto" w:frame="1"/>
          <w:shd w:val="clear" w:color="auto" w:fill="FFFFFF"/>
          <w:lang w:val="fr-CH"/>
        </w:rPr>
        <w:t xml:space="preserve">sur le plan de la technologie </w:t>
      </w:r>
      <w:r w:rsidR="008E55B9">
        <w:rPr>
          <w:rFonts w:eastAsia="Times New Roman"/>
          <w:color w:val="000000"/>
          <w:bdr w:val="none" w:sz="0" w:space="0" w:color="auto" w:frame="1"/>
          <w:shd w:val="clear" w:color="auto" w:fill="FFFFFF"/>
          <w:lang w:val="fr-CH"/>
        </w:rPr>
        <w:t>dans le</w:t>
      </w:r>
      <w:r w:rsidR="008E55B9" w:rsidRPr="00777AE2">
        <w:rPr>
          <w:rFonts w:eastAsia="Times New Roman"/>
          <w:color w:val="000000"/>
          <w:bdr w:val="none" w:sz="0" w:space="0" w:color="auto" w:frame="1"/>
          <w:shd w:val="clear" w:color="auto" w:fill="FFFFFF"/>
          <w:lang w:val="fr-CH"/>
        </w:rPr>
        <w:t xml:space="preserve"> pays ou la région visé par l</w:t>
      </w:r>
      <w:r w:rsidR="001D239E">
        <w:rPr>
          <w:rFonts w:eastAsia="Times New Roman"/>
          <w:color w:val="000000"/>
          <w:bdr w:val="none" w:sz="0" w:space="0" w:color="auto" w:frame="1"/>
          <w:shd w:val="clear" w:color="auto" w:fill="FFFFFF"/>
          <w:lang w:val="fr-CH"/>
        </w:rPr>
        <w:t>’</w:t>
      </w:r>
      <w:r w:rsidR="008E55B9" w:rsidRPr="00777AE2">
        <w:rPr>
          <w:rFonts w:eastAsia="Times New Roman"/>
          <w:color w:val="000000"/>
          <w:bdr w:val="none" w:sz="0" w:space="0" w:color="auto" w:frame="1"/>
          <w:shd w:val="clear" w:color="auto" w:fill="FFFFFF"/>
          <w:lang w:val="fr-CH"/>
        </w:rPr>
        <w:t xml:space="preserve">activité </w:t>
      </w:r>
      <w:r w:rsidRPr="00777AE2">
        <w:rPr>
          <w:rFonts w:eastAsia="Times New Roman"/>
          <w:color w:val="000000"/>
          <w:bdr w:val="none" w:sz="0" w:space="0" w:color="auto" w:frame="1"/>
          <w:shd w:val="clear" w:color="auto" w:fill="FFFFFF"/>
          <w:lang w:val="fr-CH"/>
        </w:rPr>
        <w:t>afin d</w:t>
      </w:r>
      <w:r w:rsidR="001D239E">
        <w:rPr>
          <w:rFonts w:eastAsia="Times New Roman"/>
          <w:color w:val="000000"/>
          <w:bdr w:val="none" w:sz="0" w:space="0" w:color="auto" w:frame="1"/>
          <w:shd w:val="clear" w:color="auto" w:fill="FFFFFF"/>
          <w:lang w:val="fr-CH"/>
        </w:rPr>
        <w:t>’</w:t>
      </w:r>
      <w:r w:rsidRPr="00777AE2">
        <w:rPr>
          <w:rFonts w:eastAsia="Times New Roman"/>
          <w:color w:val="000000"/>
          <w:bdr w:val="none" w:sz="0" w:space="0" w:color="auto" w:frame="1"/>
          <w:shd w:val="clear" w:color="auto" w:fill="FFFFFF"/>
          <w:lang w:val="fr-CH"/>
        </w:rPr>
        <w:t xml:space="preserve">accroître les chances de </w:t>
      </w:r>
      <w:r w:rsidR="00B07FB8">
        <w:rPr>
          <w:rFonts w:eastAsia="Times New Roman"/>
          <w:color w:val="000000"/>
          <w:bdr w:val="none" w:sz="0" w:space="0" w:color="auto" w:frame="1"/>
          <w:shd w:val="clear" w:color="auto" w:fill="FFFFFF"/>
          <w:lang w:val="fr-CH"/>
        </w:rPr>
        <w:t>réussite</w:t>
      </w:r>
      <w:r w:rsidRPr="00777AE2">
        <w:rPr>
          <w:rFonts w:eastAsia="Times New Roman"/>
          <w:color w:val="000000"/>
          <w:bdr w:val="none" w:sz="0" w:space="0" w:color="auto" w:frame="1"/>
          <w:shd w:val="clear" w:color="auto" w:fill="FFFFFF"/>
          <w:lang w:val="fr-CH"/>
        </w:rPr>
        <w:t>;</w:t>
      </w:r>
    </w:p>
    <w:p w:rsidR="00564AB5" w:rsidRPr="00777AE2" w:rsidRDefault="0043691B" w:rsidP="0043691B">
      <w:pPr>
        <w:pStyle w:val="ListParagraph"/>
        <w:widowControl w:val="0"/>
        <w:numPr>
          <w:ilvl w:val="0"/>
          <w:numId w:val="14"/>
        </w:numPr>
        <w:spacing w:line="255" w:lineRule="auto"/>
        <w:ind w:right="306"/>
        <w:jc w:val="both"/>
        <w:rPr>
          <w:rFonts w:eastAsia="Times New Roman"/>
          <w:lang w:val="fr-CH"/>
        </w:rPr>
      </w:pPr>
      <w:r w:rsidRPr="00777AE2">
        <w:rPr>
          <w:rFonts w:eastAsia="Times New Roman"/>
          <w:lang w:val="fr-CH"/>
        </w:rPr>
        <w:t>incidences à court, moyen et long termes de l</w:t>
      </w:r>
      <w:r w:rsidR="001D239E">
        <w:rPr>
          <w:rFonts w:eastAsia="Times New Roman"/>
          <w:lang w:val="fr-CH"/>
        </w:rPr>
        <w:t>’</w:t>
      </w:r>
      <w:r w:rsidRPr="00777AE2">
        <w:rPr>
          <w:rFonts w:eastAsia="Times New Roman"/>
          <w:lang w:val="fr-CH"/>
        </w:rPr>
        <w:t>activité pour le pays;</w:t>
      </w:r>
    </w:p>
    <w:p w:rsidR="00564AB5" w:rsidRPr="00777AE2" w:rsidRDefault="0043691B" w:rsidP="0043691B">
      <w:pPr>
        <w:pStyle w:val="ListParagraph"/>
        <w:widowControl w:val="0"/>
        <w:numPr>
          <w:ilvl w:val="0"/>
          <w:numId w:val="14"/>
        </w:numPr>
        <w:spacing w:line="255" w:lineRule="auto"/>
        <w:ind w:right="306"/>
        <w:jc w:val="both"/>
        <w:rPr>
          <w:rFonts w:eastAsia="Times New Roman"/>
          <w:lang w:val="fr-CH"/>
        </w:rPr>
      </w:pPr>
      <w:r w:rsidRPr="00777AE2">
        <w:rPr>
          <w:rFonts w:eastAsia="Times New Roman"/>
          <w:lang w:val="fr-CH"/>
        </w:rPr>
        <w:t>incidences à court, moyen et long termes de l</w:t>
      </w:r>
      <w:r w:rsidR="001D239E">
        <w:rPr>
          <w:rFonts w:eastAsia="Times New Roman"/>
          <w:lang w:val="fr-CH"/>
        </w:rPr>
        <w:t>’</w:t>
      </w:r>
      <w:r w:rsidRPr="00777AE2">
        <w:rPr>
          <w:rFonts w:eastAsia="Times New Roman"/>
          <w:lang w:val="fr-CH"/>
        </w:rPr>
        <w:t>activité pour la région;</w:t>
      </w:r>
    </w:p>
    <w:p w:rsidR="001D239E" w:rsidRDefault="0043691B" w:rsidP="0043691B">
      <w:pPr>
        <w:pStyle w:val="ListParagraph"/>
        <w:widowControl w:val="0"/>
        <w:numPr>
          <w:ilvl w:val="0"/>
          <w:numId w:val="14"/>
        </w:numPr>
        <w:spacing w:line="255" w:lineRule="auto"/>
        <w:ind w:right="306"/>
        <w:jc w:val="both"/>
        <w:rPr>
          <w:rFonts w:eastAsia="Times New Roman"/>
          <w:color w:val="000000"/>
          <w:bdr w:val="none" w:sz="0" w:space="0" w:color="auto" w:frame="1"/>
          <w:shd w:val="clear" w:color="auto" w:fill="FFFFFF"/>
          <w:lang w:val="fr-CH"/>
        </w:rPr>
      </w:pPr>
      <w:r w:rsidRPr="00777AE2">
        <w:rPr>
          <w:rFonts w:eastAsia="Times New Roman"/>
          <w:color w:val="000000"/>
          <w:bdr w:val="none" w:sz="0" w:space="0" w:color="auto" w:frame="1"/>
          <w:shd w:val="clear" w:color="auto" w:fill="FFFFFF"/>
          <w:lang w:val="fr-CH"/>
        </w:rPr>
        <w:t xml:space="preserve">utilité du service dans le temps à la lumière de </w:t>
      </w:r>
      <w:r w:rsidR="00CB7636">
        <w:rPr>
          <w:rFonts w:eastAsia="Times New Roman"/>
          <w:color w:val="000000"/>
          <w:bdr w:val="none" w:sz="0" w:space="0" w:color="auto" w:frame="1"/>
          <w:shd w:val="clear" w:color="auto" w:fill="FFFFFF"/>
          <w:lang w:val="fr-CH"/>
        </w:rPr>
        <w:t>sa portée</w:t>
      </w:r>
      <w:r w:rsidRPr="00777AE2">
        <w:rPr>
          <w:rFonts w:eastAsia="Times New Roman"/>
          <w:color w:val="000000"/>
          <w:bdr w:val="none" w:sz="0" w:space="0" w:color="auto" w:frame="1"/>
          <w:shd w:val="clear" w:color="auto" w:fill="FFFFFF"/>
          <w:lang w:val="fr-CH"/>
        </w:rPr>
        <w:t xml:space="preserve"> territorial</w:t>
      </w:r>
      <w:r w:rsidR="00CB7636">
        <w:rPr>
          <w:rFonts w:eastAsia="Times New Roman"/>
          <w:color w:val="000000"/>
          <w:bdr w:val="none" w:sz="0" w:space="0" w:color="auto" w:frame="1"/>
          <w:shd w:val="clear" w:color="auto" w:fill="FFFFFF"/>
          <w:lang w:val="fr-CH"/>
        </w:rPr>
        <w:t>e</w:t>
      </w:r>
      <w:r w:rsidRPr="00777AE2">
        <w:rPr>
          <w:rFonts w:eastAsia="Times New Roman"/>
          <w:color w:val="000000"/>
          <w:bdr w:val="none" w:sz="0" w:space="0" w:color="auto" w:frame="1"/>
          <w:shd w:val="clear" w:color="auto" w:fill="FFFFFF"/>
          <w:lang w:val="fr-CH"/>
        </w:rPr>
        <w:t xml:space="preserve"> (pays en développement ou industrialisé);</w:t>
      </w:r>
    </w:p>
    <w:p w:rsidR="00564AB5" w:rsidRPr="00777AE2" w:rsidRDefault="0043691B" w:rsidP="0043691B">
      <w:pPr>
        <w:pStyle w:val="ListParagraph"/>
        <w:widowControl w:val="0"/>
        <w:numPr>
          <w:ilvl w:val="0"/>
          <w:numId w:val="14"/>
        </w:numPr>
        <w:spacing w:line="255" w:lineRule="auto"/>
        <w:ind w:right="306"/>
        <w:jc w:val="both"/>
        <w:rPr>
          <w:rFonts w:eastAsia="Times New Roman"/>
          <w:lang w:val="fr-CH"/>
        </w:rPr>
      </w:pPr>
      <w:r w:rsidRPr="00777AE2">
        <w:rPr>
          <w:rFonts w:eastAsia="Times New Roman"/>
          <w:lang w:val="fr-CH"/>
        </w:rPr>
        <w:t>continuité de l</w:t>
      </w:r>
      <w:r w:rsidR="001D239E">
        <w:rPr>
          <w:rFonts w:eastAsia="Times New Roman"/>
          <w:lang w:val="fr-CH"/>
        </w:rPr>
        <w:t>’</w:t>
      </w:r>
      <w:r w:rsidRPr="00777AE2">
        <w:rPr>
          <w:rFonts w:eastAsia="Times New Roman"/>
          <w:lang w:val="fr-CH"/>
        </w:rPr>
        <w:t xml:space="preserve">activité et lien avec la mise en </w:t>
      </w:r>
      <w:r w:rsidR="000A1524" w:rsidRPr="00777AE2">
        <w:rPr>
          <w:rFonts w:eastAsia="Times New Roman"/>
          <w:lang w:val="fr-CH"/>
        </w:rPr>
        <w:t>œuvre</w:t>
      </w:r>
      <w:r w:rsidRPr="00777AE2">
        <w:rPr>
          <w:rFonts w:eastAsia="Times New Roman"/>
          <w:lang w:val="fr-CH"/>
        </w:rPr>
        <w:t xml:space="preserve"> à long terme.</w:t>
      </w:r>
    </w:p>
    <w:p w:rsidR="00564AB5" w:rsidRPr="00777AE2" w:rsidRDefault="00564AB5" w:rsidP="003D09A1">
      <w:pPr>
        <w:spacing w:before="4" w:line="260" w:lineRule="exact"/>
        <w:jc w:val="both"/>
        <w:rPr>
          <w:lang w:val="fr-CH"/>
        </w:rPr>
      </w:pPr>
    </w:p>
    <w:p w:rsidR="00564AB5" w:rsidRPr="00777AE2" w:rsidRDefault="00061132" w:rsidP="00061132">
      <w:pPr>
        <w:spacing w:line="258" w:lineRule="auto"/>
        <w:ind w:right="295"/>
        <w:jc w:val="both"/>
        <w:rPr>
          <w:rFonts w:eastAsia="Times New Roman"/>
          <w:lang w:val="fr-CH"/>
        </w:rPr>
      </w:pPr>
      <w:r w:rsidRPr="00777AE2">
        <w:rPr>
          <w:rFonts w:eastAsia="Times New Roman"/>
          <w:lang w:val="fr-CH"/>
        </w:rPr>
        <w:t>Il est recommandé d</w:t>
      </w:r>
      <w:r w:rsidR="001D239E">
        <w:rPr>
          <w:rFonts w:eastAsia="Times New Roman"/>
          <w:lang w:val="fr-CH"/>
        </w:rPr>
        <w:t>’</w:t>
      </w:r>
      <w:r w:rsidRPr="00777AE2">
        <w:rPr>
          <w:rFonts w:eastAsia="Times New Roman"/>
          <w:lang w:val="fr-CH"/>
        </w:rPr>
        <w:t xml:space="preserve">inclure ces indicateurs afin de faire en sorte que les activités </w:t>
      </w:r>
      <w:r w:rsidR="00C110D2">
        <w:rPr>
          <w:rFonts w:eastAsia="Times New Roman"/>
          <w:lang w:val="fr-CH"/>
        </w:rPr>
        <w:t xml:space="preserve">soient en </w:t>
      </w:r>
      <w:r w:rsidR="00C110D2" w:rsidRPr="008A5763">
        <w:rPr>
          <w:rFonts w:eastAsia="Times New Roman"/>
          <w:lang w:val="fr-CH"/>
        </w:rPr>
        <w:t>adéquation avec</w:t>
      </w:r>
      <w:r w:rsidR="00EF4683" w:rsidRPr="008A5763">
        <w:rPr>
          <w:rFonts w:eastAsia="Times New Roman"/>
          <w:lang w:val="fr-CH"/>
        </w:rPr>
        <w:t xml:space="preserve"> </w:t>
      </w:r>
      <w:r w:rsidRPr="008A5763">
        <w:rPr>
          <w:rFonts w:eastAsia="Times New Roman"/>
          <w:lang w:val="fr-CH"/>
        </w:rPr>
        <w:t xml:space="preserve">la situation </w:t>
      </w:r>
      <w:r w:rsidR="007261C4" w:rsidRPr="008A5763">
        <w:rPr>
          <w:rFonts w:eastAsia="Times New Roman"/>
          <w:lang w:val="fr-CH"/>
        </w:rPr>
        <w:t>qui prévaut dans les</w:t>
      </w:r>
      <w:r w:rsidRPr="008A5763">
        <w:rPr>
          <w:rFonts w:eastAsia="Times New Roman"/>
          <w:lang w:val="fr-CH"/>
        </w:rPr>
        <w:t xml:space="preserve"> pays et </w:t>
      </w:r>
      <w:r w:rsidR="008A5763">
        <w:rPr>
          <w:rFonts w:eastAsia="Times New Roman"/>
          <w:lang w:val="fr-CH"/>
        </w:rPr>
        <w:t>stimulent</w:t>
      </w:r>
      <w:r w:rsidRPr="008A5763">
        <w:rPr>
          <w:rFonts w:eastAsia="Times New Roman"/>
          <w:lang w:val="fr-CH"/>
        </w:rPr>
        <w:t xml:space="preserve"> ainsi la croissance </w:t>
      </w:r>
      <w:r w:rsidR="008A5763" w:rsidRPr="008A5763">
        <w:rPr>
          <w:rFonts w:eastAsia="Times New Roman"/>
          <w:lang w:val="fr-CH"/>
        </w:rPr>
        <w:t xml:space="preserve">de manière à favoriser le </w:t>
      </w:r>
      <w:r w:rsidRPr="008A5763">
        <w:rPr>
          <w:rFonts w:eastAsia="Times New Roman"/>
          <w:lang w:val="fr-CH"/>
        </w:rPr>
        <w:t>transfert de technologie.</w:t>
      </w:r>
    </w:p>
    <w:p w:rsidR="00564AB5" w:rsidRPr="00777AE2" w:rsidRDefault="00564AB5" w:rsidP="003D09A1">
      <w:pPr>
        <w:spacing w:before="8" w:line="240" w:lineRule="exact"/>
        <w:jc w:val="both"/>
        <w:rPr>
          <w:lang w:val="fr-CH"/>
        </w:rPr>
      </w:pPr>
    </w:p>
    <w:p w:rsidR="00564AB5" w:rsidRPr="00777AE2" w:rsidRDefault="00061132" w:rsidP="00061132">
      <w:pPr>
        <w:spacing w:line="258" w:lineRule="auto"/>
        <w:ind w:right="297"/>
        <w:jc w:val="both"/>
        <w:rPr>
          <w:rFonts w:eastAsia="Times New Roman"/>
          <w:lang w:val="fr-CH"/>
        </w:rPr>
      </w:pPr>
      <w:r w:rsidRPr="00777AE2">
        <w:rPr>
          <w:rFonts w:eastAsia="Times New Roman"/>
          <w:lang w:val="fr-CH"/>
        </w:rPr>
        <w:t>La Mission permanente de l</w:t>
      </w:r>
      <w:r w:rsidR="001D239E">
        <w:rPr>
          <w:rFonts w:eastAsia="Times New Roman"/>
          <w:lang w:val="fr-CH"/>
        </w:rPr>
        <w:t>’</w:t>
      </w:r>
      <w:r w:rsidRPr="00777AE2">
        <w:rPr>
          <w:rFonts w:eastAsia="Times New Roman"/>
          <w:lang w:val="fr-CH"/>
        </w:rPr>
        <w:t>Équateur auprès de l</w:t>
      </w:r>
      <w:r w:rsidR="001D239E">
        <w:rPr>
          <w:rFonts w:eastAsia="Times New Roman"/>
          <w:lang w:val="fr-CH"/>
        </w:rPr>
        <w:t>’</w:t>
      </w:r>
      <w:r w:rsidRPr="00777AE2">
        <w:rPr>
          <w:rFonts w:eastAsia="Times New Roman"/>
          <w:lang w:val="fr-CH"/>
        </w:rPr>
        <w:t>Organisation mondiale du commerce et des autres organisations économiques à Genève saisit cette occasion pour renouveler à l</w:t>
      </w:r>
      <w:r w:rsidR="001D239E">
        <w:rPr>
          <w:rFonts w:eastAsia="Times New Roman"/>
          <w:lang w:val="fr-CH"/>
        </w:rPr>
        <w:t>’</w:t>
      </w:r>
      <w:r w:rsidRPr="00777AE2">
        <w:rPr>
          <w:rFonts w:eastAsia="Times New Roman"/>
          <w:lang w:val="fr-CH"/>
        </w:rPr>
        <w:t>Organisation Mondiale de la Propriété Intellectuelle les assurances de sa très haute considération.</w:t>
      </w:r>
    </w:p>
    <w:p w:rsidR="00564AB5" w:rsidRPr="00777AE2" w:rsidRDefault="00564AB5" w:rsidP="003D09A1">
      <w:pPr>
        <w:spacing w:line="200" w:lineRule="exact"/>
        <w:rPr>
          <w:sz w:val="20"/>
          <w:lang w:val="fr-CH"/>
        </w:rPr>
      </w:pPr>
    </w:p>
    <w:p w:rsidR="00564AB5" w:rsidRPr="00777AE2" w:rsidRDefault="00564AB5" w:rsidP="003D09A1">
      <w:pPr>
        <w:spacing w:line="200" w:lineRule="exact"/>
        <w:rPr>
          <w:sz w:val="20"/>
          <w:lang w:val="fr-CH"/>
        </w:rPr>
      </w:pPr>
    </w:p>
    <w:p w:rsidR="00564AB5" w:rsidRPr="00777AE2" w:rsidRDefault="00564AB5" w:rsidP="003D09A1">
      <w:pPr>
        <w:spacing w:line="200" w:lineRule="exact"/>
        <w:rPr>
          <w:sz w:val="20"/>
          <w:lang w:val="fr-CH"/>
        </w:rPr>
      </w:pPr>
    </w:p>
    <w:p w:rsidR="00564AB5" w:rsidRPr="00777AE2" w:rsidRDefault="00564AB5" w:rsidP="003D09A1">
      <w:pPr>
        <w:spacing w:line="200" w:lineRule="exact"/>
        <w:rPr>
          <w:sz w:val="20"/>
          <w:lang w:val="fr-CH"/>
        </w:rPr>
      </w:pPr>
    </w:p>
    <w:p w:rsidR="00564AB5" w:rsidRPr="00777AE2" w:rsidRDefault="00564AB5" w:rsidP="003D09A1">
      <w:pPr>
        <w:spacing w:line="200" w:lineRule="exact"/>
        <w:rPr>
          <w:sz w:val="20"/>
          <w:lang w:val="fr-CH"/>
        </w:rPr>
      </w:pPr>
    </w:p>
    <w:p w:rsidR="00564AB5" w:rsidRPr="00777AE2" w:rsidRDefault="00564AB5" w:rsidP="003D09A1">
      <w:pPr>
        <w:ind w:right="332"/>
        <w:jc w:val="right"/>
        <w:rPr>
          <w:rFonts w:eastAsia="Times New Roman"/>
          <w:color w:val="313131"/>
          <w:lang w:val="fr-CH"/>
        </w:rPr>
      </w:pPr>
    </w:p>
    <w:p w:rsidR="00564AB5" w:rsidRPr="00777AE2" w:rsidRDefault="00061132" w:rsidP="00061132">
      <w:pPr>
        <w:ind w:right="332"/>
        <w:jc w:val="right"/>
        <w:rPr>
          <w:rFonts w:eastAsia="Times New Roman"/>
          <w:lang w:val="fr-CH"/>
        </w:rPr>
      </w:pPr>
      <w:r w:rsidRPr="00777AE2">
        <w:rPr>
          <w:rFonts w:eastAsia="Times New Roman"/>
          <w:lang w:val="fr-CH"/>
        </w:rPr>
        <w:t xml:space="preserve">Genève, le </w:t>
      </w:r>
      <w:r w:rsidR="001D239E" w:rsidRPr="00777AE2">
        <w:rPr>
          <w:rFonts w:eastAsia="Times New Roman"/>
          <w:lang w:val="fr-CH"/>
        </w:rPr>
        <w:t>5</w:t>
      </w:r>
      <w:r w:rsidR="001D239E">
        <w:rPr>
          <w:rFonts w:eastAsia="Times New Roman"/>
          <w:lang w:val="fr-CH"/>
        </w:rPr>
        <w:t> </w:t>
      </w:r>
      <w:r w:rsidR="001D239E" w:rsidRPr="00777AE2">
        <w:rPr>
          <w:rFonts w:eastAsia="Times New Roman"/>
          <w:lang w:val="fr-CH"/>
        </w:rPr>
        <w:t>septembre</w:t>
      </w:r>
      <w:r w:rsidR="001D239E">
        <w:rPr>
          <w:rFonts w:eastAsia="Times New Roman"/>
          <w:lang w:val="fr-CH"/>
        </w:rPr>
        <w:t> </w:t>
      </w:r>
      <w:r w:rsidR="001D239E" w:rsidRPr="00777AE2">
        <w:rPr>
          <w:rFonts w:eastAsia="Times New Roman"/>
          <w:lang w:val="fr-CH"/>
        </w:rPr>
        <w:t>20</w:t>
      </w:r>
      <w:r w:rsidRPr="00777AE2">
        <w:rPr>
          <w:rFonts w:eastAsia="Times New Roman"/>
          <w:lang w:val="fr-CH"/>
        </w:rPr>
        <w:t>18</w:t>
      </w:r>
    </w:p>
    <w:p w:rsidR="00564AB5" w:rsidRPr="00777AE2" w:rsidRDefault="00564AB5" w:rsidP="003D09A1">
      <w:pPr>
        <w:spacing w:line="200" w:lineRule="exact"/>
        <w:rPr>
          <w:rFonts w:ascii="Times New Roman" w:hAnsi="Times New Roman" w:cs="Times New Roman"/>
          <w:sz w:val="20"/>
          <w:lang w:val="fr-CH"/>
        </w:rPr>
      </w:pPr>
    </w:p>
    <w:p w:rsidR="00564AB5" w:rsidRPr="00777AE2" w:rsidRDefault="00564AB5" w:rsidP="003D09A1">
      <w:pPr>
        <w:rPr>
          <w:b/>
          <w:lang w:val="fr-CH"/>
        </w:rPr>
      </w:pPr>
    </w:p>
    <w:p w:rsidR="00564AB5" w:rsidRPr="00777AE2" w:rsidRDefault="005A6E50" w:rsidP="003D09A1">
      <w:pPr>
        <w:rPr>
          <w:b/>
          <w:lang w:val="fr-CH"/>
        </w:rPr>
      </w:pPr>
      <w:r w:rsidRPr="00777AE2">
        <w:rPr>
          <w:rFonts w:ascii="Times New Roman" w:hAnsi="Times New Roman" w:cs="Times New Roman"/>
          <w:noProof/>
          <w:lang w:eastAsia="en-US"/>
        </w:rPr>
        <w:drawing>
          <wp:anchor distT="0" distB="0" distL="114300" distR="114300" simplePos="0" relativeHeight="251653120" behindDoc="1" locked="0" layoutInCell="1" allowOverlap="1" wp14:anchorId="592E7ABC" wp14:editId="6727738F">
            <wp:simplePos x="0" y="0"/>
            <wp:positionH relativeFrom="page">
              <wp:posOffset>5314950</wp:posOffset>
            </wp:positionH>
            <wp:positionV relativeFrom="paragraph">
              <wp:posOffset>16510</wp:posOffset>
            </wp:positionV>
            <wp:extent cx="1594485" cy="1426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94485" cy="1426210"/>
                    </a:xfrm>
                    <a:prstGeom prst="rect">
                      <a:avLst/>
                    </a:prstGeom>
                    <a:noFill/>
                  </pic:spPr>
                </pic:pic>
              </a:graphicData>
            </a:graphic>
            <wp14:sizeRelH relativeFrom="page">
              <wp14:pctWidth>0</wp14:pctWidth>
            </wp14:sizeRelH>
            <wp14:sizeRelV relativeFrom="page">
              <wp14:pctHeight>0</wp14:pctHeight>
            </wp14:sizeRelV>
          </wp:anchor>
        </w:drawing>
      </w:r>
    </w:p>
    <w:p w:rsidR="00564AB5" w:rsidRPr="00777AE2" w:rsidRDefault="00564AB5" w:rsidP="003D09A1">
      <w:pPr>
        <w:rPr>
          <w:b/>
          <w:lang w:val="fr-CH"/>
        </w:rPr>
      </w:pPr>
    </w:p>
    <w:p w:rsidR="00564AB5" w:rsidRPr="00777AE2" w:rsidRDefault="00061132" w:rsidP="00061132">
      <w:pPr>
        <w:rPr>
          <w:b/>
          <w:lang w:val="fr-CH"/>
        </w:rPr>
      </w:pPr>
      <w:r w:rsidRPr="00777AE2">
        <w:rPr>
          <w:b/>
          <w:lang w:val="fr-CH"/>
        </w:rPr>
        <w:t xml:space="preserve">À </w:t>
      </w:r>
      <w:r w:rsidRPr="00777AE2">
        <w:rPr>
          <w:b/>
          <w:lang w:val="fr-CH"/>
        </w:rPr>
        <w:br/>
        <w:t>l</w:t>
      </w:r>
      <w:r w:rsidR="001D239E">
        <w:rPr>
          <w:b/>
          <w:lang w:val="fr-CH"/>
        </w:rPr>
        <w:t>’</w:t>
      </w:r>
      <w:r w:rsidRPr="00777AE2">
        <w:rPr>
          <w:b/>
          <w:lang w:val="fr-CH"/>
        </w:rPr>
        <w:t xml:space="preserve">ORGANISATION MONDIALE DE LA PROPRIÉTÉ INTELLECTUELLE </w:t>
      </w:r>
      <w:r w:rsidRPr="00777AE2">
        <w:rPr>
          <w:b/>
          <w:lang w:val="fr-CH"/>
        </w:rPr>
        <w:br/>
        <w:t xml:space="preserve">Secteur du développement </w:t>
      </w:r>
      <w:r w:rsidRPr="00777AE2">
        <w:rPr>
          <w:b/>
          <w:lang w:val="fr-CH"/>
        </w:rPr>
        <w:br/>
        <w:t>Genève</w:t>
      </w:r>
    </w:p>
    <w:p w:rsidR="001D239E" w:rsidRDefault="001D239E" w:rsidP="00783725">
      <w:pPr>
        <w:spacing w:line="254" w:lineRule="auto"/>
        <w:ind w:right="332"/>
        <w:rPr>
          <w:rFonts w:eastAsia="Arial"/>
          <w:color w:val="313131"/>
          <w:sz w:val="16"/>
          <w:szCs w:val="16"/>
          <w:lang w:val="fr-CH"/>
        </w:rPr>
      </w:pPr>
    </w:p>
    <w:p w:rsidR="00564AB5" w:rsidRPr="00777AE2" w:rsidRDefault="00564AB5" w:rsidP="00783725">
      <w:pPr>
        <w:spacing w:line="254" w:lineRule="auto"/>
        <w:ind w:right="332"/>
        <w:rPr>
          <w:rFonts w:eastAsia="Arial"/>
          <w:color w:val="313131"/>
          <w:sz w:val="16"/>
          <w:szCs w:val="16"/>
          <w:lang w:val="fr-CH"/>
        </w:rPr>
      </w:pPr>
    </w:p>
    <w:p w:rsidR="00564AB5" w:rsidRPr="00777AE2" w:rsidRDefault="00564AB5" w:rsidP="00783725">
      <w:pPr>
        <w:spacing w:line="254" w:lineRule="auto"/>
        <w:ind w:right="332"/>
        <w:rPr>
          <w:rFonts w:eastAsia="Arial"/>
          <w:color w:val="313131"/>
          <w:sz w:val="16"/>
          <w:szCs w:val="16"/>
          <w:lang w:val="fr-CH"/>
        </w:rPr>
      </w:pPr>
    </w:p>
    <w:p w:rsidR="001D239E" w:rsidRDefault="003D09A1" w:rsidP="00783725">
      <w:pPr>
        <w:spacing w:line="254" w:lineRule="auto"/>
        <w:ind w:right="332"/>
        <w:rPr>
          <w:rFonts w:eastAsia="Arial"/>
          <w:color w:val="313131"/>
          <w:w w:val="108"/>
          <w:sz w:val="16"/>
          <w:szCs w:val="16"/>
          <w:lang w:val="fr-CH"/>
        </w:rPr>
      </w:pPr>
      <w:r w:rsidRPr="00777AE2">
        <w:rPr>
          <w:rFonts w:eastAsia="Arial"/>
          <w:color w:val="313131"/>
          <w:sz w:val="16"/>
          <w:szCs w:val="16"/>
          <w:lang w:val="fr-CH"/>
        </w:rPr>
        <w:t>15</w:t>
      </w:r>
      <w:r w:rsidRPr="00777AE2">
        <w:rPr>
          <w:rFonts w:eastAsia="Arial"/>
          <w:color w:val="313131"/>
          <w:spacing w:val="17"/>
          <w:sz w:val="16"/>
          <w:szCs w:val="16"/>
          <w:lang w:val="fr-CH"/>
        </w:rPr>
        <w:t xml:space="preserve"> </w:t>
      </w:r>
      <w:r w:rsidR="003473AC" w:rsidRPr="00777AE2">
        <w:rPr>
          <w:rFonts w:eastAsia="Arial"/>
          <w:color w:val="313131"/>
          <w:sz w:val="16"/>
          <w:szCs w:val="16"/>
          <w:lang w:val="fr-CH"/>
        </w:rPr>
        <w:t>avenue</w:t>
      </w:r>
      <w:r w:rsidRPr="00777AE2">
        <w:rPr>
          <w:rFonts w:eastAsia="Arial"/>
          <w:color w:val="313131"/>
          <w:sz w:val="16"/>
          <w:szCs w:val="16"/>
          <w:lang w:val="fr-CH"/>
        </w:rPr>
        <w:t xml:space="preserve"> </w:t>
      </w:r>
      <w:r w:rsidRPr="00777AE2">
        <w:rPr>
          <w:rFonts w:eastAsia="Arial"/>
          <w:color w:val="313131"/>
          <w:spacing w:val="7"/>
          <w:sz w:val="16"/>
          <w:szCs w:val="16"/>
          <w:lang w:val="fr-CH"/>
        </w:rPr>
        <w:t>de</w:t>
      </w:r>
      <w:r w:rsidRPr="00777AE2">
        <w:rPr>
          <w:rFonts w:eastAsia="Arial"/>
          <w:color w:val="313131"/>
          <w:spacing w:val="9"/>
          <w:sz w:val="16"/>
          <w:szCs w:val="16"/>
          <w:lang w:val="fr-CH"/>
        </w:rPr>
        <w:t xml:space="preserve"> </w:t>
      </w:r>
      <w:proofErr w:type="spellStart"/>
      <w:r w:rsidRPr="00777AE2">
        <w:rPr>
          <w:rFonts w:eastAsia="Arial"/>
          <w:color w:val="313131"/>
          <w:sz w:val="16"/>
          <w:szCs w:val="16"/>
          <w:lang w:val="fr-CH"/>
        </w:rPr>
        <w:t>S</w:t>
      </w:r>
      <w:r w:rsidR="00061132" w:rsidRPr="00777AE2">
        <w:rPr>
          <w:rFonts w:eastAsia="Arial"/>
          <w:color w:val="313131"/>
          <w:sz w:val="16"/>
          <w:szCs w:val="16"/>
          <w:lang w:val="fr-CH"/>
        </w:rPr>
        <w:t>é</w:t>
      </w:r>
      <w:r w:rsidRPr="00777AE2">
        <w:rPr>
          <w:rFonts w:eastAsia="Arial"/>
          <w:color w:val="313131"/>
          <w:sz w:val="16"/>
          <w:szCs w:val="16"/>
          <w:lang w:val="fr-CH"/>
        </w:rPr>
        <w:t>cheron</w:t>
      </w:r>
      <w:proofErr w:type="spellEnd"/>
      <w:r w:rsidRPr="00777AE2">
        <w:rPr>
          <w:rFonts w:eastAsia="Arial"/>
          <w:color w:val="313131"/>
          <w:sz w:val="16"/>
          <w:szCs w:val="16"/>
          <w:lang w:val="fr-CH"/>
        </w:rPr>
        <w:t>,</w:t>
      </w:r>
      <w:r w:rsidRPr="00777AE2">
        <w:rPr>
          <w:rFonts w:eastAsia="Arial"/>
          <w:color w:val="313131"/>
          <w:spacing w:val="24"/>
          <w:sz w:val="16"/>
          <w:szCs w:val="16"/>
          <w:lang w:val="fr-CH"/>
        </w:rPr>
        <w:t xml:space="preserve"> </w:t>
      </w:r>
      <w:r w:rsidRPr="00777AE2">
        <w:rPr>
          <w:rFonts w:eastAsia="Arial"/>
          <w:color w:val="313131"/>
          <w:sz w:val="16"/>
          <w:szCs w:val="16"/>
          <w:lang w:val="fr-CH"/>
        </w:rPr>
        <w:t>1202</w:t>
      </w:r>
      <w:r w:rsidRPr="00777AE2">
        <w:rPr>
          <w:rFonts w:eastAsia="Arial"/>
          <w:color w:val="313131"/>
          <w:spacing w:val="15"/>
          <w:sz w:val="16"/>
          <w:szCs w:val="16"/>
          <w:lang w:val="fr-CH"/>
        </w:rPr>
        <w:t xml:space="preserve"> </w:t>
      </w:r>
      <w:r w:rsidR="00ED52B7" w:rsidRPr="00777AE2">
        <w:rPr>
          <w:rFonts w:eastAsia="Arial"/>
          <w:color w:val="313131"/>
          <w:sz w:val="16"/>
          <w:szCs w:val="16"/>
          <w:lang w:val="fr-CH"/>
        </w:rPr>
        <w:t>Genè</w:t>
      </w:r>
      <w:r w:rsidR="00D23E28" w:rsidRPr="00777AE2">
        <w:rPr>
          <w:rFonts w:eastAsia="Arial"/>
          <w:color w:val="313131"/>
          <w:sz w:val="16"/>
          <w:szCs w:val="16"/>
          <w:lang w:val="fr-CH"/>
        </w:rPr>
        <w:t>ve</w:t>
      </w:r>
      <w:r w:rsidR="00D23E28">
        <w:rPr>
          <w:rFonts w:eastAsia="Arial"/>
          <w:color w:val="313131"/>
          <w:sz w:val="16"/>
          <w:szCs w:val="16"/>
          <w:lang w:val="fr-CH"/>
        </w:rPr>
        <w:t xml:space="preserve">.  </w:t>
      </w:r>
      <w:r w:rsidR="00D23E28" w:rsidRPr="00777AE2">
        <w:rPr>
          <w:rFonts w:eastAsia="Arial"/>
          <w:color w:val="313131"/>
          <w:sz w:val="16"/>
          <w:szCs w:val="16"/>
          <w:lang w:val="fr-CH"/>
        </w:rPr>
        <w:t>Té</w:t>
      </w:r>
      <w:r w:rsidR="00061132" w:rsidRPr="00777AE2">
        <w:rPr>
          <w:rFonts w:eastAsia="Arial"/>
          <w:color w:val="313131"/>
          <w:sz w:val="16"/>
          <w:szCs w:val="16"/>
          <w:lang w:val="fr-CH"/>
        </w:rPr>
        <w:t>l</w:t>
      </w:r>
      <w:r w:rsidR="00DB7403">
        <w:rPr>
          <w:rFonts w:eastAsia="Arial"/>
          <w:color w:val="313131"/>
          <w:sz w:val="16"/>
          <w:szCs w:val="16"/>
          <w:lang w:val="fr-CH"/>
        </w:rPr>
        <w:t>. </w:t>
      </w:r>
      <w:r w:rsidR="00061132" w:rsidRPr="00777AE2">
        <w:rPr>
          <w:rFonts w:eastAsia="Arial"/>
          <w:color w:val="313131"/>
          <w:sz w:val="16"/>
          <w:szCs w:val="16"/>
          <w:lang w:val="fr-CH"/>
        </w:rPr>
        <w:t>:</w:t>
      </w:r>
      <w:r w:rsidR="00DB1723">
        <w:rPr>
          <w:rFonts w:eastAsia="Arial"/>
          <w:color w:val="313131"/>
          <w:spacing w:val="21"/>
          <w:sz w:val="16"/>
          <w:szCs w:val="16"/>
          <w:lang w:val="fr-CH"/>
        </w:rPr>
        <w:t xml:space="preserve"> </w:t>
      </w:r>
      <w:r w:rsidRPr="00777AE2">
        <w:rPr>
          <w:rFonts w:eastAsia="Arial"/>
          <w:color w:val="313131"/>
          <w:sz w:val="16"/>
          <w:szCs w:val="16"/>
          <w:lang w:val="fr-CH"/>
        </w:rPr>
        <w:t>+41</w:t>
      </w:r>
      <w:r w:rsidRPr="00777AE2">
        <w:rPr>
          <w:rFonts w:eastAsia="Arial"/>
          <w:color w:val="313131"/>
          <w:spacing w:val="2"/>
          <w:sz w:val="16"/>
          <w:szCs w:val="16"/>
          <w:lang w:val="fr-CH"/>
        </w:rPr>
        <w:t xml:space="preserve"> </w:t>
      </w:r>
      <w:r w:rsidRPr="00777AE2">
        <w:rPr>
          <w:rFonts w:eastAsia="Arial"/>
          <w:color w:val="313131"/>
          <w:sz w:val="16"/>
          <w:szCs w:val="16"/>
          <w:lang w:val="fr-CH"/>
        </w:rPr>
        <w:t>(022)</w:t>
      </w:r>
      <w:r w:rsidRPr="00777AE2">
        <w:rPr>
          <w:rFonts w:eastAsia="Arial"/>
          <w:color w:val="313131"/>
          <w:spacing w:val="25"/>
          <w:sz w:val="16"/>
          <w:szCs w:val="16"/>
          <w:lang w:val="fr-CH"/>
        </w:rPr>
        <w:t xml:space="preserve"> </w:t>
      </w:r>
      <w:r w:rsidRPr="00777AE2">
        <w:rPr>
          <w:rFonts w:eastAsia="Arial"/>
          <w:color w:val="313131"/>
          <w:w w:val="105"/>
          <w:sz w:val="16"/>
          <w:szCs w:val="16"/>
          <w:lang w:val="fr-CH"/>
        </w:rPr>
        <w:t>73</w:t>
      </w:r>
      <w:r w:rsidRPr="00777AE2">
        <w:rPr>
          <w:rFonts w:eastAsia="Arial"/>
          <w:color w:val="313131"/>
          <w:spacing w:val="-7"/>
          <w:w w:val="105"/>
          <w:sz w:val="16"/>
          <w:szCs w:val="16"/>
          <w:lang w:val="fr-CH"/>
        </w:rPr>
        <w:t>1</w:t>
      </w:r>
      <w:r w:rsidR="003473AC" w:rsidRPr="00777AE2">
        <w:rPr>
          <w:rFonts w:eastAsia="Arial"/>
          <w:color w:val="828282"/>
          <w:w w:val="110"/>
          <w:sz w:val="16"/>
          <w:szCs w:val="16"/>
          <w:lang w:val="fr-CH"/>
        </w:rPr>
        <w:t xml:space="preserve"> </w:t>
      </w:r>
      <w:r w:rsidR="003473AC" w:rsidRPr="00777AE2">
        <w:rPr>
          <w:rFonts w:eastAsia="Arial"/>
          <w:color w:val="313131"/>
          <w:w w:val="103"/>
          <w:sz w:val="16"/>
          <w:szCs w:val="16"/>
          <w:lang w:val="fr-CH"/>
        </w:rPr>
        <w:t xml:space="preserve">82 </w:t>
      </w:r>
      <w:r w:rsidRPr="00777AE2">
        <w:rPr>
          <w:rFonts w:eastAsia="Arial"/>
          <w:color w:val="313131"/>
          <w:w w:val="103"/>
          <w:sz w:val="16"/>
          <w:szCs w:val="16"/>
          <w:lang w:val="fr-CH"/>
        </w:rPr>
        <w:t>5</w:t>
      </w:r>
      <w:r w:rsidRPr="00777AE2">
        <w:rPr>
          <w:rFonts w:eastAsia="Arial"/>
          <w:color w:val="313131"/>
          <w:spacing w:val="-12"/>
          <w:w w:val="104"/>
          <w:sz w:val="16"/>
          <w:szCs w:val="16"/>
          <w:lang w:val="fr-CH"/>
        </w:rPr>
        <w:t>1</w:t>
      </w:r>
      <w:r w:rsidRPr="00777AE2">
        <w:rPr>
          <w:rFonts w:eastAsia="Arial"/>
          <w:color w:val="A5A5A5"/>
          <w:spacing w:val="8"/>
          <w:w w:val="221"/>
          <w:sz w:val="16"/>
          <w:szCs w:val="16"/>
          <w:lang w:val="fr-CH"/>
        </w:rPr>
        <w:t>.</w:t>
      </w:r>
      <w:r w:rsidR="00061132" w:rsidRPr="00777AE2">
        <w:rPr>
          <w:rFonts w:eastAsia="Arial"/>
          <w:color w:val="313131"/>
          <w:sz w:val="16"/>
          <w:szCs w:val="16"/>
          <w:lang w:val="fr-CH"/>
        </w:rPr>
        <w:t>Tlcp</w:t>
      </w:r>
      <w:r w:rsidR="00605B5E">
        <w:rPr>
          <w:rFonts w:eastAsia="Arial"/>
          <w:color w:val="313131"/>
          <w:sz w:val="16"/>
          <w:szCs w:val="16"/>
          <w:lang w:val="fr-CH"/>
        </w:rPr>
        <w:t> </w:t>
      </w:r>
      <w:r w:rsidR="00061132" w:rsidRPr="00777AE2">
        <w:rPr>
          <w:rFonts w:eastAsia="Arial"/>
          <w:color w:val="313131"/>
          <w:sz w:val="16"/>
          <w:szCs w:val="16"/>
          <w:lang w:val="fr-CH"/>
        </w:rPr>
        <w:t xml:space="preserve">: </w:t>
      </w:r>
      <w:r w:rsidRPr="00777AE2">
        <w:rPr>
          <w:rFonts w:eastAsia="Arial"/>
          <w:color w:val="313131"/>
          <w:sz w:val="16"/>
          <w:szCs w:val="16"/>
          <w:lang w:val="fr-CH"/>
        </w:rPr>
        <w:t>+41</w:t>
      </w:r>
      <w:r w:rsidRPr="00777AE2">
        <w:rPr>
          <w:rFonts w:eastAsia="Arial"/>
          <w:color w:val="313131"/>
          <w:spacing w:val="9"/>
          <w:sz w:val="16"/>
          <w:szCs w:val="16"/>
          <w:lang w:val="fr-CH"/>
        </w:rPr>
        <w:t xml:space="preserve"> </w:t>
      </w:r>
      <w:r w:rsidRPr="00777AE2">
        <w:rPr>
          <w:rFonts w:eastAsia="Arial"/>
          <w:color w:val="313131"/>
          <w:sz w:val="16"/>
          <w:szCs w:val="16"/>
          <w:lang w:val="fr-CH"/>
        </w:rPr>
        <w:t>(022)</w:t>
      </w:r>
      <w:r w:rsidRPr="00777AE2">
        <w:rPr>
          <w:rFonts w:eastAsia="Arial"/>
          <w:color w:val="313131"/>
          <w:spacing w:val="25"/>
          <w:sz w:val="16"/>
          <w:szCs w:val="16"/>
          <w:lang w:val="fr-CH"/>
        </w:rPr>
        <w:t xml:space="preserve"> </w:t>
      </w:r>
      <w:r w:rsidR="003473AC" w:rsidRPr="00777AE2">
        <w:rPr>
          <w:rFonts w:eastAsia="Arial"/>
          <w:color w:val="313131"/>
          <w:w w:val="105"/>
          <w:sz w:val="16"/>
          <w:szCs w:val="16"/>
          <w:lang w:val="fr-CH"/>
        </w:rPr>
        <w:t xml:space="preserve">731 </w:t>
      </w:r>
      <w:r w:rsidRPr="00777AE2">
        <w:rPr>
          <w:rFonts w:eastAsia="Arial"/>
          <w:color w:val="313131"/>
          <w:w w:val="105"/>
          <w:sz w:val="16"/>
          <w:szCs w:val="16"/>
          <w:lang w:val="fr-CH"/>
        </w:rPr>
        <w:t>8</w:t>
      </w:r>
      <w:r w:rsidRPr="00777AE2">
        <w:rPr>
          <w:rFonts w:eastAsia="Arial"/>
          <w:color w:val="313131"/>
          <w:spacing w:val="-4"/>
          <w:w w:val="106"/>
          <w:sz w:val="16"/>
          <w:szCs w:val="16"/>
          <w:lang w:val="fr-CH"/>
        </w:rPr>
        <w:t>3</w:t>
      </w:r>
      <w:r w:rsidR="003473AC" w:rsidRPr="00777AE2">
        <w:rPr>
          <w:rFonts w:eastAsia="Arial"/>
          <w:color w:val="828282"/>
          <w:w w:val="110"/>
          <w:sz w:val="16"/>
          <w:szCs w:val="16"/>
          <w:lang w:val="fr-CH"/>
        </w:rPr>
        <w:t xml:space="preserve"> </w:t>
      </w:r>
      <w:r w:rsidRPr="00777AE2">
        <w:rPr>
          <w:rFonts w:eastAsia="Arial"/>
          <w:color w:val="313131"/>
          <w:w w:val="108"/>
          <w:sz w:val="16"/>
          <w:szCs w:val="16"/>
          <w:lang w:val="fr-CH"/>
        </w:rPr>
        <w:t>91</w:t>
      </w:r>
    </w:p>
    <w:p w:rsidR="001D239E" w:rsidRDefault="003D09A1" w:rsidP="00783725">
      <w:pPr>
        <w:spacing w:line="254" w:lineRule="auto"/>
        <w:ind w:right="332"/>
        <w:jc w:val="center"/>
        <w:rPr>
          <w:rFonts w:eastAsia="Arial"/>
          <w:sz w:val="16"/>
          <w:szCs w:val="16"/>
          <w:lang w:val="fr-CH"/>
        </w:rPr>
      </w:pPr>
      <w:r w:rsidRPr="00777AE2">
        <w:rPr>
          <w:sz w:val="16"/>
          <w:szCs w:val="16"/>
          <w:lang w:val="fr-CH"/>
        </w:rPr>
        <w:t>omcginebra@mmrree.gob.ec</w:t>
      </w:r>
    </w:p>
    <w:p w:rsidR="001D239E" w:rsidRDefault="002C15D4" w:rsidP="002C15D4">
      <w:pPr>
        <w:pStyle w:val="Heading1"/>
        <w:jc w:val="center"/>
        <w:rPr>
          <w:b w:val="0"/>
          <w:caps w:val="0"/>
          <w:szCs w:val="22"/>
          <w:lang w:val="fr-CH"/>
        </w:rPr>
      </w:pPr>
      <w:r w:rsidRPr="00777AE2">
        <w:rPr>
          <w:b w:val="0"/>
          <w:caps w:val="0"/>
          <w:szCs w:val="22"/>
          <w:lang w:val="fr-CH"/>
        </w:rPr>
        <w:t xml:space="preserve">     </w:t>
      </w:r>
      <w:r w:rsidRPr="00777AE2">
        <w:rPr>
          <w:b w:val="0"/>
          <w:caps w:val="0"/>
          <w:szCs w:val="22"/>
          <w:lang w:val="fr-CH"/>
        </w:rPr>
        <w:t xml:space="preserve">                     </w:t>
      </w:r>
    </w:p>
    <w:p w:rsidR="00564AB5" w:rsidRPr="00777AE2" w:rsidRDefault="00564AB5" w:rsidP="002C15D4">
      <w:pPr>
        <w:pStyle w:val="Heading1"/>
        <w:jc w:val="center"/>
        <w:rPr>
          <w:b w:val="0"/>
          <w:caps w:val="0"/>
          <w:szCs w:val="22"/>
          <w:lang w:val="fr-CH"/>
        </w:rPr>
      </w:pPr>
    </w:p>
    <w:p w:rsidR="001D239E" w:rsidRDefault="001D239E" w:rsidP="002C15D4">
      <w:pPr>
        <w:pStyle w:val="Heading1"/>
        <w:jc w:val="center"/>
        <w:rPr>
          <w:b w:val="0"/>
          <w:caps w:val="0"/>
          <w:szCs w:val="22"/>
          <w:lang w:val="fr-CH"/>
        </w:rPr>
      </w:pPr>
    </w:p>
    <w:p w:rsidR="00564AB5" w:rsidRPr="00777AE2" w:rsidRDefault="005A6E50" w:rsidP="00061132">
      <w:pPr>
        <w:pStyle w:val="Heading1"/>
        <w:jc w:val="center"/>
        <w:rPr>
          <w:b w:val="0"/>
          <w:szCs w:val="22"/>
          <w:lang w:val="fr-CH"/>
        </w:rPr>
      </w:pPr>
      <w:r w:rsidRPr="00777AE2">
        <w:rPr>
          <w:b w:val="0"/>
          <w:caps w:val="0"/>
          <w:szCs w:val="22"/>
          <w:lang w:val="fr-CH"/>
        </w:rPr>
        <w:t xml:space="preserve">                                             </w:t>
      </w:r>
      <w:r w:rsidRPr="00777AE2">
        <w:rPr>
          <w:b w:val="0"/>
          <w:caps w:val="0"/>
          <w:szCs w:val="22"/>
          <w:lang w:val="fr-CH"/>
        </w:rPr>
        <w:t xml:space="preserve">        </w:t>
      </w:r>
      <w:r w:rsidR="002C15D4" w:rsidRPr="00777AE2">
        <w:rPr>
          <w:b w:val="0"/>
          <w:caps w:val="0"/>
          <w:szCs w:val="22"/>
          <w:lang w:val="fr-CH"/>
        </w:rPr>
        <w:t xml:space="preserve"> </w:t>
      </w:r>
      <w:r w:rsidR="00061132" w:rsidRPr="00777AE2">
        <w:rPr>
          <w:b w:val="0"/>
          <w:caps w:val="0"/>
          <w:szCs w:val="22"/>
          <w:lang w:val="fr-CH"/>
        </w:rPr>
        <w:t>[L</w:t>
      </w:r>
      <w:r w:rsidR="001D239E">
        <w:rPr>
          <w:b w:val="0"/>
          <w:caps w:val="0"/>
          <w:szCs w:val="22"/>
          <w:lang w:val="fr-CH"/>
        </w:rPr>
        <w:t>’</w:t>
      </w:r>
      <w:r w:rsidR="001D239E" w:rsidRPr="00777AE2">
        <w:rPr>
          <w:b w:val="0"/>
          <w:caps w:val="0"/>
          <w:szCs w:val="22"/>
          <w:lang w:val="fr-CH"/>
        </w:rPr>
        <w:t>annexe</w:t>
      </w:r>
      <w:r w:rsidR="001D239E">
        <w:rPr>
          <w:b w:val="0"/>
          <w:caps w:val="0"/>
          <w:szCs w:val="22"/>
          <w:lang w:val="fr-CH"/>
        </w:rPr>
        <w:t> </w:t>
      </w:r>
      <w:r w:rsidR="001D239E" w:rsidRPr="00777AE2">
        <w:rPr>
          <w:b w:val="0"/>
          <w:caps w:val="0"/>
          <w:szCs w:val="22"/>
          <w:lang w:val="fr-CH"/>
        </w:rPr>
        <w:t>I</w:t>
      </w:r>
      <w:r w:rsidR="00061132" w:rsidRPr="00777AE2">
        <w:rPr>
          <w:b w:val="0"/>
          <w:caps w:val="0"/>
          <w:szCs w:val="22"/>
          <w:lang w:val="fr-CH"/>
        </w:rPr>
        <w:t>II suit]</w:t>
      </w:r>
    </w:p>
    <w:p w:rsidR="00564AB5" w:rsidRPr="00777AE2" w:rsidRDefault="00564AB5">
      <w:pPr>
        <w:pStyle w:val="Heading1"/>
        <w:rPr>
          <w:szCs w:val="22"/>
          <w:lang w:val="fr-CH"/>
        </w:rPr>
      </w:pPr>
    </w:p>
    <w:p w:rsidR="005859EC" w:rsidRPr="00777AE2" w:rsidRDefault="000915D9">
      <w:pPr>
        <w:rPr>
          <w:szCs w:val="22"/>
          <w:lang w:val="fr-CH"/>
        </w:rPr>
        <w:sectPr w:rsidR="005859EC" w:rsidRPr="00777AE2" w:rsidSect="00915D05">
          <w:headerReference w:type="default" r:id="rId27"/>
          <w:headerReference w:type="first" r:id="rId28"/>
          <w:endnotePr>
            <w:numFmt w:val="decimal"/>
          </w:endnotePr>
          <w:pgSz w:w="11907" w:h="16840" w:code="9"/>
          <w:pgMar w:top="567" w:right="1134" w:bottom="1418" w:left="1418" w:header="510" w:footer="1021" w:gutter="0"/>
          <w:pgNumType w:start="1"/>
          <w:cols w:space="720"/>
          <w:titlePg/>
          <w:docGrid w:linePitch="299"/>
        </w:sectPr>
      </w:pPr>
      <w:r w:rsidRPr="00777AE2">
        <w:rPr>
          <w:szCs w:val="22"/>
          <w:lang w:val="fr-CH"/>
        </w:rPr>
        <w:br w:type="page"/>
      </w:r>
    </w:p>
    <w:p w:rsidR="00564AB5" w:rsidRPr="00777AE2" w:rsidRDefault="00B159F1" w:rsidP="00B523AC">
      <w:pPr>
        <w:spacing w:before="480" w:line="276" w:lineRule="auto"/>
        <w:rPr>
          <w:rFonts w:eastAsia="Calibri"/>
          <w:b/>
          <w:szCs w:val="22"/>
          <w:lang w:val="fr-CH" w:eastAsia="en-US"/>
        </w:rPr>
      </w:pPr>
      <w:r w:rsidRPr="00777AE2">
        <w:rPr>
          <w:rFonts w:eastAsia="Calibri"/>
          <w:b/>
          <w:szCs w:val="22"/>
          <w:lang w:val="fr-CH" w:eastAsia="en-US"/>
        </w:rPr>
        <w:t>CONTRIBUTION DE LA DÉLÉGATION DE L</w:t>
      </w:r>
      <w:r w:rsidR="001D239E">
        <w:rPr>
          <w:rFonts w:eastAsia="Calibri"/>
          <w:b/>
          <w:szCs w:val="22"/>
          <w:lang w:val="fr-CH" w:eastAsia="en-US"/>
        </w:rPr>
        <w:t>’</w:t>
      </w:r>
      <w:r w:rsidRPr="00777AE2">
        <w:rPr>
          <w:rFonts w:eastAsia="Calibri"/>
          <w:b/>
          <w:szCs w:val="22"/>
          <w:lang w:val="fr-CH" w:eastAsia="en-US"/>
        </w:rPr>
        <w:t>AFRIQU</w:t>
      </w:r>
      <w:bookmarkStart w:id="6" w:name="_GoBack"/>
      <w:bookmarkEnd w:id="6"/>
      <w:r w:rsidRPr="00777AE2">
        <w:rPr>
          <w:rFonts w:eastAsia="Calibri"/>
          <w:b/>
          <w:szCs w:val="22"/>
          <w:lang w:val="fr-CH" w:eastAsia="en-US"/>
        </w:rPr>
        <w:t>E DU SUD</w:t>
      </w:r>
      <w:r w:rsidR="005E5DF5" w:rsidRPr="00777AE2">
        <w:rPr>
          <w:rFonts w:eastAsia="Calibri"/>
          <w:b/>
          <w:szCs w:val="22"/>
          <w:lang w:val="fr-CH" w:eastAsia="en-US"/>
        </w:rPr>
        <w:t xml:space="preserve"> </w:t>
      </w:r>
      <w:r w:rsidR="00C56C55" w:rsidRPr="00777AE2">
        <w:rPr>
          <w:rFonts w:eastAsia="Calibri"/>
          <w:b/>
          <w:szCs w:val="22"/>
          <w:lang w:val="fr-CH" w:eastAsia="en-US"/>
        </w:rPr>
        <w:t xml:space="preserve">REÇUE </w:t>
      </w:r>
      <w:r w:rsidR="005E5DF5" w:rsidRPr="00777AE2">
        <w:rPr>
          <w:rFonts w:eastAsia="Calibri"/>
          <w:b/>
          <w:szCs w:val="22"/>
          <w:lang w:val="fr-CH" w:eastAsia="en-US"/>
        </w:rPr>
        <w:t>PAR LE</w:t>
      </w:r>
      <w:r w:rsidR="00215E98">
        <w:rPr>
          <w:rFonts w:eastAsia="Calibri"/>
          <w:b/>
          <w:szCs w:val="22"/>
          <w:lang w:val="fr-CH" w:eastAsia="en-US"/>
        </w:rPr>
        <w:t> </w:t>
      </w:r>
      <w:r w:rsidR="005E5DF5" w:rsidRPr="00777AE2">
        <w:rPr>
          <w:rFonts w:eastAsia="Calibri"/>
          <w:b/>
          <w:szCs w:val="22"/>
          <w:lang w:val="fr-CH" w:eastAsia="en-US"/>
        </w:rPr>
        <w:t>SECRÉTARIAT</w:t>
      </w:r>
    </w:p>
    <w:p w:rsidR="001D239E" w:rsidRDefault="00BA6538" w:rsidP="00B523AC">
      <w:pPr>
        <w:spacing w:before="480" w:after="720" w:line="276" w:lineRule="auto"/>
        <w:rPr>
          <w:rFonts w:eastAsia="Times New Roman"/>
          <w:color w:val="000000"/>
          <w:szCs w:val="22"/>
          <w:lang w:val="fr-CH" w:eastAsia="en-US"/>
        </w:rPr>
      </w:pPr>
      <w:r w:rsidRPr="00777AE2">
        <w:rPr>
          <w:rFonts w:eastAsia="Times New Roman"/>
          <w:color w:val="000000"/>
          <w:szCs w:val="22"/>
          <w:lang w:val="fr-CH" w:eastAsia="en-US"/>
        </w:rPr>
        <w:t>INDICATEURS PROPOSÉS POUR L</w:t>
      </w:r>
      <w:r w:rsidR="001D239E">
        <w:rPr>
          <w:rFonts w:eastAsia="Times New Roman"/>
          <w:color w:val="000000"/>
          <w:szCs w:val="22"/>
          <w:lang w:val="fr-CH" w:eastAsia="en-US"/>
        </w:rPr>
        <w:t>’</w:t>
      </w:r>
      <w:r w:rsidRPr="00777AE2">
        <w:rPr>
          <w:rFonts w:eastAsia="Times New Roman"/>
          <w:color w:val="000000"/>
          <w:szCs w:val="22"/>
          <w:lang w:val="fr-CH" w:eastAsia="en-US"/>
        </w:rPr>
        <w:t>ANALYSE DES SERVICES ET ACTIVITÉS DE L</w:t>
      </w:r>
      <w:r w:rsidR="001D239E">
        <w:rPr>
          <w:rFonts w:eastAsia="Times New Roman"/>
          <w:color w:val="000000"/>
          <w:szCs w:val="22"/>
          <w:lang w:val="fr-CH" w:eastAsia="en-US"/>
        </w:rPr>
        <w:t>’</w:t>
      </w:r>
      <w:r w:rsidRPr="00777AE2">
        <w:rPr>
          <w:rFonts w:eastAsia="Times New Roman"/>
          <w:color w:val="000000"/>
          <w:szCs w:val="22"/>
          <w:lang w:val="fr-CH" w:eastAsia="en-US"/>
        </w:rPr>
        <w:t>OMPI EN MATIÈRE DE TRANSFERT DE TECHNOLOGIE AU REGARD DES RECOMMANDATIONS DU GROUPE C DU PLAN D</w:t>
      </w:r>
      <w:r w:rsidR="001D239E">
        <w:rPr>
          <w:rFonts w:eastAsia="Times New Roman"/>
          <w:color w:val="000000"/>
          <w:szCs w:val="22"/>
          <w:lang w:val="fr-CH" w:eastAsia="en-US"/>
        </w:rPr>
        <w:t>’</w:t>
      </w:r>
      <w:r w:rsidRPr="00777AE2">
        <w:rPr>
          <w:rFonts w:eastAsia="Times New Roman"/>
          <w:color w:val="000000"/>
          <w:szCs w:val="22"/>
          <w:lang w:val="fr-CH" w:eastAsia="en-US"/>
        </w:rPr>
        <w:t>ACTION POUR LE DÉVELOPPEMENT TELLE QUE DÉFINIE DANS LE DOCUMENT</w:t>
      </w:r>
      <w:r w:rsidR="00750D88">
        <w:rPr>
          <w:rFonts w:eastAsia="Times New Roman"/>
          <w:color w:val="000000"/>
          <w:szCs w:val="22"/>
          <w:lang w:val="fr-CH" w:eastAsia="en-US"/>
        </w:rPr>
        <w:t> </w:t>
      </w:r>
      <w:r w:rsidRPr="00777AE2">
        <w:rPr>
          <w:rFonts w:eastAsia="Times New Roman"/>
          <w:color w:val="000000"/>
          <w:szCs w:val="22"/>
          <w:lang w:val="fr-CH" w:eastAsia="en-US"/>
        </w:rPr>
        <w:t>CDIP/21/5.</w:t>
      </w:r>
    </w:p>
    <w:p w:rsidR="00564AB5" w:rsidRPr="00777AE2" w:rsidRDefault="00BA6538" w:rsidP="001E5355">
      <w:pPr>
        <w:numPr>
          <w:ilvl w:val="0"/>
          <w:numId w:val="15"/>
        </w:numPr>
        <w:spacing w:after="220" w:line="276" w:lineRule="auto"/>
        <w:ind w:left="567" w:hanging="567"/>
        <w:rPr>
          <w:rFonts w:eastAsia="Times New Roman"/>
          <w:color w:val="000000"/>
          <w:szCs w:val="22"/>
          <w:lang w:val="fr-CH" w:eastAsia="en-US"/>
        </w:rPr>
      </w:pPr>
      <w:r w:rsidRPr="00777AE2">
        <w:rPr>
          <w:rFonts w:eastAsia="Times New Roman"/>
          <w:color w:val="000000"/>
          <w:szCs w:val="22"/>
          <w:lang w:val="fr-CH" w:eastAsia="en-US"/>
        </w:rPr>
        <w:t>Comme indiqué dans le résumé du président de la vingt</w:t>
      </w:r>
      <w:r w:rsidR="001D239E">
        <w:rPr>
          <w:rFonts w:eastAsia="Times New Roman"/>
          <w:color w:val="000000"/>
          <w:szCs w:val="22"/>
          <w:lang w:val="fr-CH" w:eastAsia="en-US"/>
        </w:rPr>
        <w:t> et unième session</w:t>
      </w:r>
      <w:r w:rsidR="001D239E" w:rsidRPr="00777AE2">
        <w:rPr>
          <w:rFonts w:eastAsia="Times New Roman"/>
          <w:color w:val="000000"/>
          <w:szCs w:val="22"/>
          <w:lang w:val="fr-CH" w:eastAsia="en-US"/>
        </w:rPr>
        <w:t xml:space="preserve"> du</w:t>
      </w:r>
      <w:r w:rsidR="001D239E">
        <w:rPr>
          <w:rFonts w:eastAsia="Times New Roman"/>
          <w:color w:val="000000"/>
          <w:szCs w:val="22"/>
          <w:lang w:val="fr-CH" w:eastAsia="en-US"/>
        </w:rPr>
        <w:t> </w:t>
      </w:r>
      <w:r w:rsidR="001D239E" w:rsidRPr="00777AE2">
        <w:rPr>
          <w:rFonts w:eastAsia="Times New Roman"/>
          <w:color w:val="000000"/>
          <w:szCs w:val="22"/>
          <w:lang w:val="fr-CH" w:eastAsia="en-US"/>
        </w:rPr>
        <w:t>CDI</w:t>
      </w:r>
      <w:r w:rsidRPr="00777AE2">
        <w:rPr>
          <w:rFonts w:eastAsia="Times New Roman"/>
          <w:color w:val="000000"/>
          <w:szCs w:val="22"/>
          <w:lang w:val="fr-CH" w:eastAsia="en-US"/>
        </w:rPr>
        <w:t>P</w:t>
      </w:r>
      <w:r w:rsidR="00605B5E">
        <w:rPr>
          <w:rFonts w:eastAsia="Times New Roman"/>
          <w:color w:val="000000"/>
          <w:szCs w:val="22"/>
          <w:lang w:val="fr-CH" w:eastAsia="en-US"/>
        </w:rPr>
        <w:t> </w:t>
      </w:r>
      <w:r w:rsidRPr="00777AE2">
        <w:rPr>
          <w:rFonts w:eastAsia="Times New Roman"/>
          <w:color w:val="000000"/>
          <w:szCs w:val="22"/>
          <w:lang w:val="fr-CH" w:eastAsia="en-US"/>
        </w:rPr>
        <w:t xml:space="preserve">: </w:t>
      </w:r>
      <w:r w:rsidR="001D239E">
        <w:rPr>
          <w:rFonts w:eastAsia="Times New Roman"/>
          <w:color w:val="000000"/>
          <w:szCs w:val="22"/>
          <w:lang w:val="fr-CH" w:eastAsia="en-US"/>
        </w:rPr>
        <w:t>“</w:t>
      </w:r>
      <w:r w:rsidR="001D239E" w:rsidRPr="00777AE2">
        <w:rPr>
          <w:rFonts w:eastAsia="Times New Roman"/>
          <w:i/>
          <w:color w:val="000000"/>
          <w:szCs w:val="22"/>
          <w:lang w:val="fr-CH" w:eastAsia="en-US"/>
        </w:rPr>
        <w:t>L</w:t>
      </w:r>
      <w:r w:rsidRPr="00777AE2">
        <w:rPr>
          <w:rFonts w:eastAsia="Times New Roman"/>
          <w:i/>
          <w:color w:val="000000"/>
          <w:szCs w:val="22"/>
          <w:lang w:val="fr-CH" w:eastAsia="en-US"/>
        </w:rPr>
        <w:t>e</w:t>
      </w:r>
      <w:r w:rsidR="00B523AC">
        <w:rPr>
          <w:rFonts w:eastAsia="Times New Roman"/>
          <w:i/>
          <w:color w:val="000000"/>
          <w:szCs w:val="22"/>
          <w:lang w:val="fr-CH" w:eastAsia="en-US"/>
        </w:rPr>
        <w:t> </w:t>
      </w:r>
      <w:r w:rsidRPr="00777AE2">
        <w:rPr>
          <w:rFonts w:eastAsia="Times New Roman"/>
          <w:i/>
          <w:color w:val="000000"/>
          <w:szCs w:val="22"/>
          <w:lang w:val="fr-CH" w:eastAsia="en-US"/>
        </w:rPr>
        <w:t>comité a examiné les informations contenues dans le document.</w:t>
      </w:r>
      <w:r w:rsidR="00605B5E">
        <w:rPr>
          <w:rFonts w:eastAsia="Times New Roman"/>
          <w:i/>
          <w:color w:val="000000"/>
          <w:szCs w:val="22"/>
          <w:lang w:val="fr-CH" w:eastAsia="en-US"/>
        </w:rPr>
        <w:t xml:space="preserve"> </w:t>
      </w:r>
      <w:r w:rsidR="000915D9" w:rsidRPr="00777AE2">
        <w:rPr>
          <w:rFonts w:eastAsia="Times New Roman"/>
          <w:i/>
          <w:color w:val="000000"/>
          <w:szCs w:val="22"/>
          <w:lang w:val="fr-CH" w:eastAsia="en-US"/>
        </w:rPr>
        <w:t xml:space="preserve"> </w:t>
      </w:r>
      <w:r w:rsidRPr="00777AE2">
        <w:rPr>
          <w:rFonts w:eastAsia="Times New Roman"/>
          <w:i/>
          <w:color w:val="000000"/>
          <w:szCs w:val="22"/>
          <w:lang w:val="fr-CH" w:eastAsia="en-US"/>
        </w:rPr>
        <w:t>Il a été décidé que les délégations intéressées soumettraient au Secrétariat une liste d</w:t>
      </w:r>
      <w:r w:rsidR="001D239E">
        <w:rPr>
          <w:rFonts w:eastAsia="Times New Roman"/>
          <w:i/>
          <w:color w:val="000000"/>
          <w:szCs w:val="22"/>
          <w:lang w:val="fr-CH" w:eastAsia="en-US"/>
        </w:rPr>
        <w:t>’</w:t>
      </w:r>
      <w:r w:rsidRPr="00777AE2">
        <w:rPr>
          <w:rFonts w:eastAsia="Times New Roman"/>
          <w:i/>
          <w:color w:val="000000"/>
          <w:szCs w:val="22"/>
          <w:lang w:val="fr-CH" w:eastAsia="en-US"/>
        </w:rPr>
        <w:t>indicateurs pour évaluer les activités figurant dans le docume</w:t>
      </w:r>
      <w:r w:rsidR="00D23E28" w:rsidRPr="00777AE2">
        <w:rPr>
          <w:rFonts w:eastAsia="Times New Roman"/>
          <w:i/>
          <w:color w:val="000000"/>
          <w:szCs w:val="22"/>
          <w:lang w:val="fr-CH" w:eastAsia="en-US"/>
        </w:rPr>
        <w:t>nt</w:t>
      </w:r>
      <w:r w:rsidR="00D23E28">
        <w:rPr>
          <w:rFonts w:eastAsia="Times New Roman"/>
          <w:i/>
          <w:color w:val="000000"/>
          <w:szCs w:val="22"/>
          <w:lang w:val="fr-CH" w:eastAsia="en-US"/>
        </w:rPr>
        <w:t xml:space="preserve">.  </w:t>
      </w:r>
      <w:r w:rsidR="00D23E28" w:rsidRPr="00777AE2">
        <w:rPr>
          <w:rFonts w:eastAsia="Times New Roman"/>
          <w:i/>
          <w:color w:val="000000"/>
          <w:szCs w:val="22"/>
          <w:lang w:val="fr-CH" w:eastAsia="en-US"/>
        </w:rPr>
        <w:t>Ce</w:t>
      </w:r>
      <w:r w:rsidRPr="00777AE2">
        <w:rPr>
          <w:rFonts w:eastAsia="Times New Roman"/>
          <w:i/>
          <w:color w:val="000000"/>
          <w:szCs w:val="22"/>
          <w:lang w:val="fr-CH" w:eastAsia="en-US"/>
        </w:rPr>
        <w:t>s indicateurs seraient ensuite regroupés et présentés à la prochaine session du comité.</w:t>
      </w:r>
      <w:r w:rsidR="00605B5E">
        <w:rPr>
          <w:rFonts w:eastAsia="Times New Roman"/>
          <w:i/>
          <w:color w:val="000000"/>
          <w:szCs w:val="22"/>
          <w:lang w:val="fr-CH" w:eastAsia="en-US"/>
        </w:rPr>
        <w:t xml:space="preserve"> </w:t>
      </w:r>
      <w:r w:rsidR="000915D9" w:rsidRPr="00777AE2">
        <w:rPr>
          <w:rFonts w:eastAsia="Times New Roman"/>
          <w:i/>
          <w:color w:val="000000"/>
          <w:szCs w:val="22"/>
          <w:lang w:val="fr-CH" w:eastAsia="en-US"/>
        </w:rPr>
        <w:t xml:space="preserve"> </w:t>
      </w:r>
      <w:r w:rsidRPr="00777AE2">
        <w:rPr>
          <w:rFonts w:eastAsia="Times New Roman"/>
          <w:i/>
          <w:color w:val="000000"/>
          <w:szCs w:val="22"/>
          <w:lang w:val="fr-CH" w:eastAsia="en-US"/>
        </w:rPr>
        <w:t>Les contributions des États</w:t>
      </w:r>
      <w:r w:rsidR="004A5137">
        <w:rPr>
          <w:rFonts w:eastAsia="Times New Roman"/>
          <w:color w:val="000000"/>
          <w:szCs w:val="22"/>
          <w:lang w:val="fr-CH" w:eastAsia="en-US"/>
        </w:rPr>
        <w:t> </w:t>
      </w:r>
      <w:r w:rsidRPr="00777AE2">
        <w:rPr>
          <w:rFonts w:eastAsia="Times New Roman"/>
          <w:i/>
          <w:color w:val="000000"/>
          <w:szCs w:val="22"/>
          <w:lang w:val="fr-CH" w:eastAsia="en-US"/>
        </w:rPr>
        <w:t>membres devraient parvenir au Secrétariat avant le 1</w:t>
      </w:r>
      <w:r w:rsidR="001D239E" w:rsidRPr="00777AE2">
        <w:rPr>
          <w:rFonts w:eastAsia="Times New Roman"/>
          <w:i/>
          <w:color w:val="000000"/>
          <w:szCs w:val="22"/>
          <w:lang w:val="fr-CH" w:eastAsia="en-US"/>
        </w:rPr>
        <w:t>0</w:t>
      </w:r>
      <w:r w:rsidR="001D239E">
        <w:rPr>
          <w:rFonts w:eastAsia="Times New Roman"/>
          <w:i/>
          <w:color w:val="000000"/>
          <w:szCs w:val="22"/>
          <w:lang w:val="fr-CH" w:eastAsia="en-US"/>
        </w:rPr>
        <w:t> </w:t>
      </w:r>
      <w:r w:rsidR="001D239E" w:rsidRPr="00777AE2">
        <w:rPr>
          <w:rFonts w:eastAsia="Times New Roman"/>
          <w:i/>
          <w:color w:val="000000"/>
          <w:szCs w:val="22"/>
          <w:lang w:val="fr-CH" w:eastAsia="en-US"/>
        </w:rPr>
        <w:t>septembre</w:t>
      </w:r>
      <w:r w:rsidR="001D239E">
        <w:rPr>
          <w:rFonts w:eastAsia="Times New Roman"/>
          <w:i/>
          <w:color w:val="000000"/>
          <w:szCs w:val="22"/>
          <w:lang w:val="fr-CH" w:eastAsia="en-US"/>
        </w:rPr>
        <w:t> </w:t>
      </w:r>
      <w:r w:rsidR="001D239E" w:rsidRPr="00777AE2">
        <w:rPr>
          <w:rFonts w:eastAsia="Times New Roman"/>
          <w:i/>
          <w:color w:val="000000"/>
          <w:szCs w:val="22"/>
          <w:lang w:val="fr-CH" w:eastAsia="en-US"/>
        </w:rPr>
        <w:t>20</w:t>
      </w:r>
      <w:r w:rsidRPr="00777AE2">
        <w:rPr>
          <w:rFonts w:eastAsia="Times New Roman"/>
          <w:i/>
          <w:color w:val="000000"/>
          <w:szCs w:val="22"/>
          <w:lang w:val="fr-CH" w:eastAsia="en-US"/>
        </w:rPr>
        <w:t>18</w:t>
      </w:r>
      <w:r w:rsidR="001D239E" w:rsidRPr="00777AE2">
        <w:rPr>
          <w:rFonts w:eastAsia="Times New Roman"/>
          <w:i/>
          <w:color w:val="000000"/>
          <w:szCs w:val="22"/>
          <w:lang w:val="fr-CH" w:eastAsia="en-US"/>
        </w:rPr>
        <w:t>.</w:t>
      </w:r>
      <w:r w:rsidR="001D239E">
        <w:rPr>
          <w:rFonts w:eastAsia="Times New Roman"/>
          <w:i/>
          <w:color w:val="000000"/>
          <w:szCs w:val="22"/>
          <w:lang w:val="fr-CH" w:eastAsia="en-US"/>
        </w:rPr>
        <w:t>”</w:t>
      </w:r>
    </w:p>
    <w:p w:rsidR="00564AB5" w:rsidRPr="00777AE2" w:rsidRDefault="00D44075" w:rsidP="001E5355">
      <w:pPr>
        <w:numPr>
          <w:ilvl w:val="0"/>
          <w:numId w:val="15"/>
        </w:numPr>
        <w:spacing w:after="220" w:line="276" w:lineRule="auto"/>
        <w:ind w:left="567" w:hanging="567"/>
        <w:rPr>
          <w:rFonts w:eastAsia="Times New Roman"/>
          <w:color w:val="000000"/>
          <w:szCs w:val="22"/>
          <w:lang w:val="fr-CH" w:eastAsia="en-US"/>
        </w:rPr>
      </w:pPr>
      <w:r w:rsidRPr="00777AE2">
        <w:rPr>
          <w:rFonts w:eastAsia="Times New Roman"/>
          <w:color w:val="000000"/>
          <w:szCs w:val="22"/>
          <w:lang w:val="fr-CH" w:eastAsia="en-US"/>
        </w:rPr>
        <w:t>La délégation de l</w:t>
      </w:r>
      <w:r w:rsidR="001D239E">
        <w:rPr>
          <w:rFonts w:eastAsia="Times New Roman"/>
          <w:color w:val="000000"/>
          <w:szCs w:val="22"/>
          <w:lang w:val="fr-CH" w:eastAsia="en-US"/>
        </w:rPr>
        <w:t>’</w:t>
      </w:r>
      <w:r w:rsidRPr="00777AE2">
        <w:rPr>
          <w:rFonts w:eastAsia="Times New Roman"/>
          <w:color w:val="000000"/>
          <w:szCs w:val="22"/>
          <w:lang w:val="fr-CH" w:eastAsia="en-US"/>
        </w:rPr>
        <w:t>Afrique du Sud soumet les éléments ci</w:t>
      </w:r>
      <w:r w:rsidR="00215E98">
        <w:rPr>
          <w:rFonts w:eastAsia="Times New Roman"/>
          <w:color w:val="000000"/>
          <w:szCs w:val="22"/>
          <w:lang w:val="fr-CH" w:eastAsia="en-US"/>
        </w:rPr>
        <w:noBreakHyphen/>
      </w:r>
      <w:r w:rsidRPr="00777AE2">
        <w:rPr>
          <w:rFonts w:eastAsia="Times New Roman"/>
          <w:color w:val="000000"/>
          <w:szCs w:val="22"/>
          <w:lang w:val="fr-CH" w:eastAsia="en-US"/>
        </w:rPr>
        <w:t xml:space="preserve">après pour examen, </w:t>
      </w:r>
      <w:r w:rsidR="00A95ACB">
        <w:rPr>
          <w:rFonts w:eastAsia="Times New Roman"/>
          <w:color w:val="000000"/>
          <w:szCs w:val="22"/>
          <w:lang w:val="fr-CH" w:eastAsia="en-US"/>
        </w:rPr>
        <w:t xml:space="preserve">en </w:t>
      </w:r>
      <w:r w:rsidRPr="00777AE2">
        <w:rPr>
          <w:rFonts w:eastAsia="Times New Roman"/>
          <w:color w:val="000000"/>
          <w:szCs w:val="22"/>
          <w:lang w:val="fr-CH" w:eastAsia="en-US"/>
        </w:rPr>
        <w:t>notant que l</w:t>
      </w:r>
      <w:r w:rsidR="001D239E">
        <w:rPr>
          <w:rFonts w:eastAsia="Times New Roman"/>
          <w:color w:val="000000"/>
          <w:szCs w:val="22"/>
          <w:lang w:val="fr-CH" w:eastAsia="en-US"/>
        </w:rPr>
        <w:t>’</w:t>
      </w:r>
      <w:r w:rsidRPr="00777AE2">
        <w:rPr>
          <w:rFonts w:eastAsia="Times New Roman"/>
          <w:color w:val="000000"/>
          <w:szCs w:val="22"/>
          <w:lang w:val="fr-CH" w:eastAsia="en-US"/>
        </w:rPr>
        <w:t>intitulé du groupe C est le suivant</w:t>
      </w:r>
      <w:r w:rsidR="00605B5E">
        <w:rPr>
          <w:rFonts w:eastAsia="Times New Roman"/>
          <w:color w:val="000000"/>
          <w:szCs w:val="22"/>
          <w:lang w:val="fr-CH" w:eastAsia="en-US"/>
        </w:rPr>
        <w:t> </w:t>
      </w:r>
      <w:r w:rsidRPr="00777AE2">
        <w:rPr>
          <w:rFonts w:eastAsia="Times New Roman"/>
          <w:color w:val="000000"/>
          <w:szCs w:val="22"/>
          <w:lang w:val="fr-CH" w:eastAsia="en-US"/>
        </w:rPr>
        <w:t xml:space="preserve">: </w:t>
      </w:r>
      <w:r w:rsidR="001D239E">
        <w:rPr>
          <w:rFonts w:eastAsia="Times New Roman"/>
          <w:color w:val="000000"/>
          <w:szCs w:val="22"/>
          <w:lang w:val="fr-CH" w:eastAsia="en-US"/>
        </w:rPr>
        <w:t>“</w:t>
      </w:r>
      <w:r w:rsidR="001D239E" w:rsidRPr="00777AE2">
        <w:rPr>
          <w:rFonts w:eastAsia="Times New Roman"/>
          <w:color w:val="000000"/>
          <w:szCs w:val="22"/>
          <w:lang w:val="fr-CH" w:eastAsia="en-US"/>
        </w:rPr>
        <w:t>G</w:t>
      </w:r>
      <w:r w:rsidRPr="00777AE2">
        <w:rPr>
          <w:rFonts w:eastAsia="Times New Roman"/>
          <w:color w:val="000000"/>
          <w:szCs w:val="22"/>
          <w:lang w:val="fr-CH" w:eastAsia="en-US"/>
        </w:rPr>
        <w:t>roupe C</w:t>
      </w:r>
      <w:r w:rsidR="001D239E">
        <w:rPr>
          <w:rFonts w:eastAsia="Times New Roman"/>
          <w:color w:val="000000"/>
          <w:szCs w:val="22"/>
          <w:lang w:val="fr-CH" w:eastAsia="en-US"/>
        </w:rPr>
        <w:t> :</w:t>
      </w:r>
      <w:r w:rsidRPr="00777AE2">
        <w:rPr>
          <w:rFonts w:eastAsia="Times New Roman"/>
          <w:color w:val="000000"/>
          <w:szCs w:val="22"/>
          <w:lang w:val="fr-CH" w:eastAsia="en-US"/>
        </w:rPr>
        <w:t xml:space="preserve"> transfert de technologie, techniques de l</w:t>
      </w:r>
      <w:r w:rsidR="001D239E">
        <w:rPr>
          <w:rFonts w:eastAsia="Times New Roman"/>
          <w:color w:val="000000"/>
          <w:szCs w:val="22"/>
          <w:lang w:val="fr-CH" w:eastAsia="en-US"/>
        </w:rPr>
        <w:t>’</w:t>
      </w:r>
      <w:r w:rsidRPr="00777AE2">
        <w:rPr>
          <w:rFonts w:eastAsia="Times New Roman"/>
          <w:color w:val="000000"/>
          <w:szCs w:val="22"/>
          <w:lang w:val="fr-CH" w:eastAsia="en-US"/>
        </w:rPr>
        <w:t>information et de la communication (TIC) et accès aux savoir</w:t>
      </w:r>
      <w:r w:rsidR="001D239E" w:rsidRPr="00777AE2">
        <w:rPr>
          <w:rFonts w:eastAsia="Times New Roman"/>
          <w:color w:val="000000"/>
          <w:szCs w:val="22"/>
          <w:lang w:val="fr-CH" w:eastAsia="en-US"/>
        </w:rPr>
        <w:t>s</w:t>
      </w:r>
      <w:r w:rsidR="001D239E">
        <w:rPr>
          <w:rFonts w:eastAsia="Times New Roman"/>
          <w:color w:val="000000"/>
          <w:szCs w:val="22"/>
          <w:lang w:val="fr-CH" w:eastAsia="en-US"/>
        </w:rPr>
        <w:t>”</w:t>
      </w:r>
      <w:r w:rsidRPr="00777AE2">
        <w:rPr>
          <w:rFonts w:eastAsia="Times New Roman"/>
          <w:color w:val="000000"/>
          <w:szCs w:val="22"/>
          <w:lang w:val="fr-CH" w:eastAsia="en-US"/>
        </w:rPr>
        <w:t>.</w:t>
      </w:r>
    </w:p>
    <w:p w:rsidR="001D239E" w:rsidRDefault="00347D04" w:rsidP="001E5355">
      <w:pPr>
        <w:numPr>
          <w:ilvl w:val="0"/>
          <w:numId w:val="15"/>
        </w:numPr>
        <w:spacing w:after="220" w:line="276" w:lineRule="auto"/>
        <w:ind w:left="567" w:hanging="567"/>
        <w:rPr>
          <w:rFonts w:eastAsia="Times New Roman"/>
          <w:color w:val="000000"/>
          <w:szCs w:val="22"/>
          <w:lang w:val="fr-CH" w:eastAsia="en-US"/>
        </w:rPr>
      </w:pPr>
      <w:r w:rsidRPr="00777AE2">
        <w:rPr>
          <w:rFonts w:eastAsia="Times New Roman"/>
          <w:color w:val="000000"/>
          <w:szCs w:val="22"/>
          <w:lang w:val="fr-CH" w:eastAsia="en-US"/>
        </w:rPr>
        <w:t>D</w:t>
      </w:r>
      <w:r w:rsidR="001D239E">
        <w:rPr>
          <w:rFonts w:eastAsia="Times New Roman"/>
          <w:color w:val="000000"/>
          <w:szCs w:val="22"/>
          <w:lang w:val="fr-CH" w:eastAsia="en-US"/>
        </w:rPr>
        <w:t>’</w:t>
      </w:r>
      <w:r w:rsidRPr="00777AE2">
        <w:rPr>
          <w:rFonts w:eastAsia="Times New Roman"/>
          <w:color w:val="000000"/>
          <w:szCs w:val="22"/>
          <w:lang w:val="fr-CH" w:eastAsia="en-US"/>
        </w:rPr>
        <w:t>une manière générale, il convient de souligner que, à l</w:t>
      </w:r>
      <w:r w:rsidR="001D239E">
        <w:rPr>
          <w:rFonts w:eastAsia="Times New Roman"/>
          <w:color w:val="000000"/>
          <w:szCs w:val="22"/>
          <w:lang w:val="fr-CH" w:eastAsia="en-US"/>
        </w:rPr>
        <w:t>’</w:t>
      </w:r>
      <w:r w:rsidRPr="00777AE2">
        <w:rPr>
          <w:rFonts w:eastAsia="Times New Roman"/>
          <w:color w:val="000000"/>
          <w:szCs w:val="22"/>
          <w:lang w:val="fr-CH" w:eastAsia="en-US"/>
        </w:rPr>
        <w:t xml:space="preserve">exception de la recommandation </w:t>
      </w:r>
      <w:r w:rsidR="00605B5E">
        <w:rPr>
          <w:rFonts w:eastAsia="Times New Roman"/>
          <w:color w:val="000000"/>
          <w:szCs w:val="22"/>
          <w:lang w:val="fr-CH" w:eastAsia="en-US"/>
        </w:rPr>
        <w:t>n° </w:t>
      </w:r>
      <w:r w:rsidRPr="00777AE2">
        <w:rPr>
          <w:rFonts w:eastAsia="Times New Roman"/>
          <w:color w:val="000000"/>
          <w:szCs w:val="22"/>
          <w:lang w:val="fr-CH" w:eastAsia="en-US"/>
        </w:rPr>
        <w:t xml:space="preserve">26, la plupart des mesures prises pour mettre en </w:t>
      </w:r>
      <w:r w:rsidR="00ED52B7" w:rsidRPr="00777AE2">
        <w:rPr>
          <w:rFonts w:eastAsia="Times New Roman"/>
          <w:color w:val="000000"/>
          <w:szCs w:val="22"/>
          <w:lang w:val="fr-CH" w:eastAsia="en-US"/>
        </w:rPr>
        <w:t>œuvre</w:t>
      </w:r>
      <w:r w:rsidRPr="00777AE2">
        <w:rPr>
          <w:rFonts w:eastAsia="Times New Roman"/>
          <w:color w:val="000000"/>
          <w:szCs w:val="22"/>
          <w:lang w:val="fr-CH" w:eastAsia="en-US"/>
        </w:rPr>
        <w:t xml:space="preserve"> les recommandations du Groupe C du Plan d</w:t>
      </w:r>
      <w:r w:rsidR="001D239E">
        <w:rPr>
          <w:rFonts w:eastAsia="Times New Roman"/>
          <w:color w:val="000000"/>
          <w:szCs w:val="22"/>
          <w:lang w:val="fr-CH" w:eastAsia="en-US"/>
        </w:rPr>
        <w:t>’</w:t>
      </w:r>
      <w:r w:rsidRPr="00777AE2">
        <w:rPr>
          <w:rFonts w:eastAsia="Times New Roman"/>
          <w:color w:val="000000"/>
          <w:szCs w:val="22"/>
          <w:lang w:val="fr-CH" w:eastAsia="en-US"/>
        </w:rPr>
        <w:t xml:space="preserve">action pour le </w:t>
      </w:r>
      <w:r w:rsidR="00AE1944">
        <w:rPr>
          <w:rFonts w:eastAsia="Times New Roman"/>
          <w:color w:val="000000"/>
          <w:szCs w:val="22"/>
          <w:lang w:val="fr-CH" w:eastAsia="en-US"/>
        </w:rPr>
        <w:t>développement sont axées sur l</w:t>
      </w:r>
      <w:r w:rsidR="001D239E">
        <w:rPr>
          <w:rFonts w:eastAsia="Times New Roman"/>
          <w:color w:val="000000"/>
          <w:szCs w:val="22"/>
          <w:lang w:val="fr-CH" w:eastAsia="en-US"/>
        </w:rPr>
        <w:t>’</w:t>
      </w:r>
      <w:r w:rsidR="00AE1944">
        <w:rPr>
          <w:rFonts w:eastAsia="Times New Roman"/>
          <w:color w:val="000000"/>
          <w:szCs w:val="22"/>
          <w:lang w:val="fr-CH" w:eastAsia="en-US"/>
        </w:rPr>
        <w:t xml:space="preserve">organisation </w:t>
      </w:r>
      <w:r w:rsidRPr="00AE1944">
        <w:rPr>
          <w:rFonts w:eastAsia="Times New Roman"/>
          <w:color w:val="000000"/>
          <w:szCs w:val="22"/>
          <w:lang w:val="fr-CH" w:eastAsia="en-US"/>
        </w:rPr>
        <w:t>de manifestatio</w:t>
      </w:r>
      <w:r w:rsidR="00D23E28" w:rsidRPr="00AE1944">
        <w:rPr>
          <w:rFonts w:eastAsia="Times New Roman"/>
          <w:color w:val="000000"/>
          <w:szCs w:val="22"/>
          <w:lang w:val="fr-CH" w:eastAsia="en-US"/>
        </w:rPr>
        <w:t>ns</w:t>
      </w:r>
      <w:r w:rsidR="00D23E28">
        <w:rPr>
          <w:rFonts w:eastAsia="Times New Roman"/>
          <w:color w:val="000000"/>
          <w:szCs w:val="22"/>
          <w:lang w:val="fr-CH" w:eastAsia="en-US"/>
        </w:rPr>
        <w:t xml:space="preserve">.  </w:t>
      </w:r>
      <w:r w:rsidR="00D23E28" w:rsidRPr="00777AE2">
        <w:rPr>
          <w:rFonts w:eastAsia="Times New Roman"/>
          <w:color w:val="000000"/>
          <w:szCs w:val="22"/>
          <w:lang w:val="fr-CH" w:eastAsia="en-US"/>
        </w:rPr>
        <w:t>Il</w:t>
      </w:r>
      <w:r w:rsidRPr="00777AE2">
        <w:rPr>
          <w:rFonts w:eastAsia="Times New Roman"/>
          <w:color w:val="000000"/>
          <w:szCs w:val="22"/>
          <w:lang w:val="fr-CH" w:eastAsia="en-US"/>
        </w:rPr>
        <w:t xml:space="preserve"> serait donc juste de conclure que les </w:t>
      </w:r>
      <w:r w:rsidR="001D239E">
        <w:rPr>
          <w:rFonts w:eastAsia="Times New Roman"/>
          <w:color w:val="000000"/>
          <w:szCs w:val="22"/>
          <w:lang w:val="fr-CH" w:eastAsia="en-US"/>
        </w:rPr>
        <w:t>“</w:t>
      </w:r>
      <w:r w:rsidR="001D239E" w:rsidRPr="00777AE2">
        <w:rPr>
          <w:rFonts w:eastAsia="Times New Roman"/>
          <w:color w:val="000000"/>
          <w:szCs w:val="22"/>
          <w:lang w:val="fr-CH" w:eastAsia="en-US"/>
        </w:rPr>
        <w:t>l</w:t>
      </w:r>
      <w:r w:rsidRPr="00777AE2">
        <w:rPr>
          <w:rFonts w:eastAsia="Times New Roman"/>
          <w:color w:val="000000"/>
          <w:szCs w:val="22"/>
          <w:lang w:val="fr-CH" w:eastAsia="en-US"/>
        </w:rPr>
        <w:t>acune</w:t>
      </w:r>
      <w:r w:rsidR="001D239E" w:rsidRPr="00777AE2">
        <w:rPr>
          <w:rFonts w:eastAsia="Times New Roman"/>
          <w:color w:val="000000"/>
          <w:szCs w:val="22"/>
          <w:lang w:val="fr-CH" w:eastAsia="en-US"/>
        </w:rPr>
        <w:t>s</w:t>
      </w:r>
      <w:r w:rsidR="001D239E">
        <w:rPr>
          <w:rFonts w:eastAsia="Times New Roman"/>
          <w:color w:val="000000"/>
          <w:szCs w:val="22"/>
          <w:lang w:val="fr-CH" w:eastAsia="en-US"/>
        </w:rPr>
        <w:t>”</w:t>
      </w:r>
      <w:r w:rsidRPr="00777AE2">
        <w:rPr>
          <w:rFonts w:eastAsia="Times New Roman"/>
          <w:color w:val="000000"/>
          <w:szCs w:val="22"/>
          <w:lang w:val="fr-CH" w:eastAsia="en-US"/>
        </w:rPr>
        <w:t xml:space="preserve"> dans les services et activités de l</w:t>
      </w:r>
      <w:r w:rsidR="001D239E">
        <w:rPr>
          <w:rFonts w:eastAsia="Times New Roman"/>
          <w:color w:val="000000"/>
          <w:szCs w:val="22"/>
          <w:lang w:val="fr-CH" w:eastAsia="en-US"/>
        </w:rPr>
        <w:t>’</w:t>
      </w:r>
      <w:r w:rsidRPr="00777AE2">
        <w:rPr>
          <w:rFonts w:eastAsia="Times New Roman"/>
          <w:color w:val="000000"/>
          <w:szCs w:val="22"/>
          <w:lang w:val="fr-CH" w:eastAsia="en-US"/>
        </w:rPr>
        <w:t>OMPI dans ce domaine ne concernent pas les manifestations mais, sans toutefois s</w:t>
      </w:r>
      <w:r w:rsidR="001D239E">
        <w:rPr>
          <w:rFonts w:eastAsia="Times New Roman"/>
          <w:color w:val="000000"/>
          <w:szCs w:val="22"/>
          <w:lang w:val="fr-CH" w:eastAsia="en-US"/>
        </w:rPr>
        <w:t>’</w:t>
      </w:r>
      <w:r w:rsidRPr="00777AE2">
        <w:rPr>
          <w:rFonts w:eastAsia="Times New Roman"/>
          <w:color w:val="000000"/>
          <w:szCs w:val="22"/>
          <w:lang w:val="fr-CH" w:eastAsia="en-US"/>
        </w:rPr>
        <w:t>y limiter, l</w:t>
      </w:r>
      <w:r w:rsidR="001D239E">
        <w:rPr>
          <w:rFonts w:eastAsia="Times New Roman"/>
          <w:color w:val="000000"/>
          <w:szCs w:val="22"/>
          <w:lang w:val="fr-CH" w:eastAsia="en-US"/>
        </w:rPr>
        <w:t>’</w:t>
      </w:r>
      <w:r w:rsidRPr="00777AE2">
        <w:rPr>
          <w:rFonts w:eastAsia="Times New Roman"/>
          <w:color w:val="000000"/>
          <w:szCs w:val="22"/>
          <w:lang w:val="fr-CH" w:eastAsia="en-US"/>
        </w:rPr>
        <w:t>assistance technique, les projets, les partenariats et les recueils.</w:t>
      </w:r>
    </w:p>
    <w:p w:rsidR="00564AB5" w:rsidRPr="00777AE2" w:rsidRDefault="00BD1274" w:rsidP="00BD1274">
      <w:pPr>
        <w:numPr>
          <w:ilvl w:val="0"/>
          <w:numId w:val="15"/>
        </w:numPr>
        <w:spacing w:line="276" w:lineRule="auto"/>
        <w:ind w:left="567" w:hanging="567"/>
        <w:rPr>
          <w:rFonts w:eastAsia="Times New Roman"/>
          <w:color w:val="000000"/>
          <w:szCs w:val="22"/>
          <w:lang w:val="fr-CH" w:eastAsia="en-US"/>
        </w:rPr>
      </w:pPr>
      <w:r w:rsidRPr="00777AE2">
        <w:rPr>
          <w:rFonts w:eastAsia="Times New Roman"/>
          <w:color w:val="000000"/>
          <w:szCs w:val="22"/>
          <w:lang w:val="fr-CH" w:eastAsia="en-US"/>
        </w:rPr>
        <w:t>L</w:t>
      </w:r>
      <w:r w:rsidR="001D239E">
        <w:rPr>
          <w:rFonts w:eastAsia="Times New Roman"/>
          <w:color w:val="000000"/>
          <w:szCs w:val="22"/>
          <w:lang w:val="fr-CH" w:eastAsia="en-US"/>
        </w:rPr>
        <w:t>’</w:t>
      </w:r>
      <w:r w:rsidRPr="00777AE2">
        <w:rPr>
          <w:rFonts w:eastAsia="Times New Roman"/>
          <w:color w:val="000000"/>
          <w:szCs w:val="22"/>
          <w:lang w:val="fr-CH" w:eastAsia="en-US"/>
        </w:rPr>
        <w:t>absence notable de renforcement des capacités revêt une importance particuliè</w:t>
      </w:r>
      <w:r w:rsidR="00D23E28" w:rsidRPr="00777AE2">
        <w:rPr>
          <w:rFonts w:eastAsia="Times New Roman"/>
          <w:color w:val="000000"/>
          <w:szCs w:val="22"/>
          <w:lang w:val="fr-CH" w:eastAsia="en-US"/>
        </w:rPr>
        <w:t>re</w:t>
      </w:r>
      <w:r w:rsidR="00D23E28">
        <w:rPr>
          <w:rFonts w:eastAsia="Times New Roman"/>
          <w:color w:val="000000"/>
          <w:szCs w:val="22"/>
          <w:lang w:val="fr-CH" w:eastAsia="en-US"/>
        </w:rPr>
        <w:t>.  Su</w:t>
      </w:r>
      <w:r w:rsidR="00564F50">
        <w:rPr>
          <w:rFonts w:eastAsia="Times New Roman"/>
          <w:color w:val="000000"/>
          <w:szCs w:val="22"/>
          <w:lang w:val="fr-CH" w:eastAsia="en-US"/>
        </w:rPr>
        <w:t>r</w:t>
      </w:r>
      <w:r w:rsidR="004A5137">
        <w:rPr>
          <w:rFonts w:eastAsia="Times New Roman"/>
          <w:color w:val="000000"/>
          <w:szCs w:val="22"/>
          <w:lang w:val="fr-CH" w:eastAsia="en-US"/>
        </w:rPr>
        <w:t> </w:t>
      </w:r>
      <w:r w:rsidR="00564F50">
        <w:rPr>
          <w:rFonts w:eastAsia="Times New Roman"/>
          <w:color w:val="000000"/>
          <w:szCs w:val="22"/>
          <w:lang w:val="fr-CH" w:eastAsia="en-US"/>
        </w:rPr>
        <w:t>ce point</w:t>
      </w:r>
      <w:r w:rsidR="00D52198">
        <w:rPr>
          <w:rFonts w:eastAsia="Times New Roman"/>
          <w:color w:val="000000"/>
          <w:szCs w:val="22"/>
          <w:lang w:val="fr-CH" w:eastAsia="en-US"/>
        </w:rPr>
        <w:t>, n</w:t>
      </w:r>
      <w:r w:rsidRPr="00777AE2">
        <w:rPr>
          <w:rFonts w:eastAsia="Times New Roman"/>
          <w:color w:val="000000"/>
          <w:szCs w:val="22"/>
          <w:lang w:val="fr-CH" w:eastAsia="en-US"/>
        </w:rPr>
        <w:t>ous vous rappelons la position de l</w:t>
      </w:r>
      <w:r w:rsidR="001D239E">
        <w:rPr>
          <w:rFonts w:eastAsia="Times New Roman"/>
          <w:color w:val="000000"/>
          <w:szCs w:val="22"/>
          <w:lang w:val="fr-CH" w:eastAsia="en-US"/>
        </w:rPr>
        <w:t>’</w:t>
      </w:r>
      <w:r w:rsidRPr="00777AE2">
        <w:rPr>
          <w:rFonts w:eastAsia="Times New Roman"/>
          <w:color w:val="000000"/>
          <w:szCs w:val="22"/>
          <w:lang w:val="fr-CH" w:eastAsia="en-US"/>
        </w:rPr>
        <w:t xml:space="preserve">Afrique du Sud </w:t>
      </w:r>
      <w:r w:rsidR="001D239E">
        <w:rPr>
          <w:rFonts w:eastAsia="Times New Roman"/>
          <w:color w:val="000000"/>
          <w:szCs w:val="22"/>
          <w:lang w:val="fr-CH" w:eastAsia="en-US"/>
        </w:rPr>
        <w:t>à l’égard</w:t>
      </w:r>
      <w:r w:rsidRPr="00777AE2">
        <w:rPr>
          <w:rFonts w:eastAsia="Times New Roman"/>
          <w:color w:val="000000"/>
          <w:szCs w:val="22"/>
          <w:lang w:val="fr-CH" w:eastAsia="en-US"/>
        </w:rPr>
        <w:t xml:space="preserve"> de l</w:t>
      </w:r>
      <w:r w:rsidR="001D239E">
        <w:rPr>
          <w:rFonts w:eastAsia="Times New Roman"/>
          <w:color w:val="000000"/>
          <w:szCs w:val="22"/>
          <w:lang w:val="fr-CH" w:eastAsia="en-US"/>
        </w:rPr>
        <w:t>’</w:t>
      </w:r>
      <w:r w:rsidRPr="00777AE2">
        <w:rPr>
          <w:rFonts w:eastAsia="Times New Roman"/>
          <w:color w:val="000000"/>
          <w:szCs w:val="22"/>
          <w:lang w:val="fr-CH" w:eastAsia="en-US"/>
        </w:rPr>
        <w:t>assistance technique en l</w:t>
      </w:r>
      <w:r w:rsidR="001D239E">
        <w:rPr>
          <w:rFonts w:eastAsia="Times New Roman"/>
          <w:color w:val="000000"/>
          <w:szCs w:val="22"/>
          <w:lang w:val="fr-CH" w:eastAsia="en-US"/>
        </w:rPr>
        <w:t>’</w:t>
      </w:r>
      <w:r w:rsidRPr="00777AE2">
        <w:rPr>
          <w:rFonts w:eastAsia="Times New Roman"/>
          <w:color w:val="000000"/>
          <w:szCs w:val="22"/>
          <w:lang w:val="fr-CH" w:eastAsia="en-US"/>
        </w:rPr>
        <w:t>absence de renforcement des capacit</w:t>
      </w:r>
      <w:r w:rsidR="00D23E28" w:rsidRPr="00777AE2">
        <w:rPr>
          <w:rFonts w:eastAsia="Times New Roman"/>
          <w:color w:val="000000"/>
          <w:szCs w:val="22"/>
          <w:lang w:val="fr-CH" w:eastAsia="en-US"/>
        </w:rPr>
        <w:t>és</w:t>
      </w:r>
      <w:r w:rsidR="00D23E28">
        <w:rPr>
          <w:rFonts w:eastAsia="Times New Roman"/>
          <w:color w:val="000000"/>
          <w:szCs w:val="22"/>
          <w:lang w:val="fr-CH" w:eastAsia="en-US"/>
        </w:rPr>
        <w:t xml:space="preserve">.  </w:t>
      </w:r>
      <w:r w:rsidR="00D23E28" w:rsidRPr="00777AE2">
        <w:rPr>
          <w:rFonts w:eastAsia="Times New Roman"/>
          <w:color w:val="000000"/>
          <w:szCs w:val="22"/>
          <w:lang w:val="fr-CH" w:eastAsia="en-US"/>
        </w:rPr>
        <w:t>Sa</w:t>
      </w:r>
      <w:r w:rsidRPr="00777AE2">
        <w:rPr>
          <w:rFonts w:eastAsia="Times New Roman"/>
          <w:color w:val="000000"/>
          <w:szCs w:val="22"/>
          <w:lang w:val="fr-CH" w:eastAsia="en-US"/>
        </w:rPr>
        <w:t xml:space="preserve">ns un renforcement des capacités, il est impossible de mettre en </w:t>
      </w:r>
      <w:r w:rsidR="00ED52B7" w:rsidRPr="00777AE2">
        <w:rPr>
          <w:rFonts w:eastAsia="Times New Roman"/>
          <w:color w:val="000000"/>
          <w:szCs w:val="22"/>
          <w:lang w:val="fr-CH" w:eastAsia="en-US"/>
        </w:rPr>
        <w:t>œuvre</w:t>
      </w:r>
      <w:r w:rsidRPr="00777AE2">
        <w:rPr>
          <w:rFonts w:eastAsia="Times New Roman"/>
          <w:color w:val="000000"/>
          <w:szCs w:val="22"/>
          <w:lang w:val="fr-CH" w:eastAsia="en-US"/>
        </w:rPr>
        <w:t xml:space="preserve"> de manière efficace des activités d</w:t>
      </w:r>
      <w:r w:rsidR="001D239E">
        <w:rPr>
          <w:rFonts w:eastAsia="Times New Roman"/>
          <w:color w:val="000000"/>
          <w:szCs w:val="22"/>
          <w:lang w:val="fr-CH" w:eastAsia="en-US"/>
        </w:rPr>
        <w:t>’</w:t>
      </w:r>
      <w:r w:rsidRPr="00777AE2">
        <w:rPr>
          <w:rFonts w:eastAsia="Times New Roman"/>
          <w:color w:val="000000"/>
          <w:szCs w:val="22"/>
          <w:lang w:val="fr-CH" w:eastAsia="en-US"/>
        </w:rPr>
        <w:t>assistance techniq</w:t>
      </w:r>
      <w:r w:rsidR="00D23E28" w:rsidRPr="00777AE2">
        <w:rPr>
          <w:rFonts w:eastAsia="Times New Roman"/>
          <w:color w:val="000000"/>
          <w:szCs w:val="22"/>
          <w:lang w:val="fr-CH" w:eastAsia="en-US"/>
        </w:rPr>
        <w:t>ue</w:t>
      </w:r>
      <w:r w:rsidR="00D23E28">
        <w:rPr>
          <w:rFonts w:eastAsia="Times New Roman"/>
          <w:color w:val="000000"/>
          <w:szCs w:val="22"/>
          <w:lang w:val="fr-CH" w:eastAsia="en-US"/>
        </w:rPr>
        <w:t xml:space="preserve">.  </w:t>
      </w:r>
      <w:r w:rsidR="00D23E28" w:rsidRPr="00777AE2">
        <w:rPr>
          <w:rFonts w:eastAsia="Times New Roman"/>
          <w:color w:val="000000"/>
          <w:szCs w:val="22"/>
          <w:lang w:val="fr-CH" w:eastAsia="en-US"/>
        </w:rPr>
        <w:t>Un</w:t>
      </w:r>
      <w:r w:rsidRPr="00777AE2">
        <w:rPr>
          <w:rFonts w:eastAsia="Times New Roman"/>
          <w:color w:val="000000"/>
          <w:szCs w:val="22"/>
          <w:lang w:val="fr-CH" w:eastAsia="en-US"/>
        </w:rPr>
        <w:t xml:space="preserve"> indicateur en lien avec le renforcement des capacités a donc été élaboré pour chaque recommandation.</w:t>
      </w:r>
    </w:p>
    <w:p w:rsidR="00564AB5" w:rsidRPr="00777AE2" w:rsidRDefault="00BD1274" w:rsidP="001E5355">
      <w:pPr>
        <w:keepNext/>
        <w:spacing w:before="480" w:after="24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24</w:t>
      </w:r>
    </w:p>
    <w:p w:rsidR="00564AB5" w:rsidRPr="00777AE2" w:rsidRDefault="00BD1274" w:rsidP="001E5355">
      <w:pPr>
        <w:keepNext/>
        <w:spacing w:after="240" w:line="276" w:lineRule="auto"/>
        <w:rPr>
          <w:rFonts w:eastAsia="Times New Roman"/>
          <w:color w:val="3B3B3B"/>
          <w:szCs w:val="22"/>
          <w:lang w:val="fr-CH" w:eastAsia="en-US"/>
        </w:rPr>
      </w:pPr>
      <w:r w:rsidRPr="00777AE2">
        <w:rPr>
          <w:rFonts w:eastAsia="Times New Roman"/>
          <w:color w:val="3B3B3B"/>
          <w:szCs w:val="22"/>
          <w:lang w:val="fr-CH" w:eastAsia="en-US"/>
        </w:rPr>
        <w:t>Demander à l</w:t>
      </w:r>
      <w:r w:rsidR="001D239E">
        <w:rPr>
          <w:rFonts w:eastAsia="Times New Roman"/>
          <w:color w:val="3B3B3B"/>
          <w:szCs w:val="22"/>
          <w:lang w:val="fr-CH" w:eastAsia="en-US"/>
        </w:rPr>
        <w:t>’</w:t>
      </w:r>
      <w:r w:rsidRPr="00777AE2">
        <w:rPr>
          <w:rFonts w:eastAsia="Times New Roman"/>
          <w:color w:val="3B3B3B"/>
          <w:szCs w:val="22"/>
          <w:lang w:val="fr-CH" w:eastAsia="en-US"/>
        </w:rPr>
        <w:t>OMPI, dans le cadre de son mandat, d</w:t>
      </w:r>
      <w:r w:rsidR="001D239E">
        <w:rPr>
          <w:rFonts w:eastAsia="Times New Roman"/>
          <w:color w:val="3B3B3B"/>
          <w:szCs w:val="22"/>
          <w:lang w:val="fr-CH" w:eastAsia="en-US"/>
        </w:rPr>
        <w:t>’</w:t>
      </w:r>
      <w:r w:rsidRPr="00777AE2">
        <w:rPr>
          <w:rFonts w:eastAsia="Times New Roman"/>
          <w:color w:val="3B3B3B"/>
          <w:szCs w:val="22"/>
          <w:lang w:val="fr-CH" w:eastAsia="en-US"/>
        </w:rPr>
        <w:t>étendre la portée de ses activités visant à réduire la fracture numérique, conformément aux conclusions du Sommet mondial sur la société de l</w:t>
      </w:r>
      <w:r w:rsidR="001D239E">
        <w:rPr>
          <w:rFonts w:eastAsia="Times New Roman"/>
          <w:color w:val="3B3B3B"/>
          <w:szCs w:val="22"/>
          <w:lang w:val="fr-CH" w:eastAsia="en-US"/>
        </w:rPr>
        <w:t>’</w:t>
      </w:r>
      <w:r w:rsidRPr="00777AE2">
        <w:rPr>
          <w:rFonts w:eastAsia="Times New Roman"/>
          <w:color w:val="3B3B3B"/>
          <w:szCs w:val="22"/>
          <w:lang w:val="fr-CH" w:eastAsia="en-US"/>
        </w:rPr>
        <w:t>information (SMSI)</w:t>
      </w:r>
      <w:r w:rsidRPr="00777AE2">
        <w:rPr>
          <w:rStyle w:val="FootnoteReference"/>
          <w:rFonts w:eastAsia="Times New Roman"/>
          <w:color w:val="3B3B3B"/>
          <w:szCs w:val="22"/>
          <w:lang w:val="fr-CH" w:eastAsia="en-US"/>
        </w:rPr>
        <w:footnoteReference w:id="2"/>
      </w:r>
      <w:r w:rsidRPr="00777AE2">
        <w:rPr>
          <w:rFonts w:eastAsia="Times New Roman"/>
          <w:color w:val="3B3B3B"/>
          <w:szCs w:val="22"/>
          <w:lang w:val="fr-CH" w:eastAsia="en-US"/>
        </w:rPr>
        <w:t>, en prenant aussi en considération l</w:t>
      </w:r>
      <w:r w:rsidR="001D239E">
        <w:rPr>
          <w:rFonts w:eastAsia="Times New Roman"/>
          <w:color w:val="3B3B3B"/>
          <w:szCs w:val="22"/>
          <w:lang w:val="fr-CH" w:eastAsia="en-US"/>
        </w:rPr>
        <w:t>’</w:t>
      </w:r>
      <w:r w:rsidRPr="00777AE2">
        <w:rPr>
          <w:rFonts w:eastAsia="Times New Roman"/>
          <w:color w:val="3B3B3B"/>
          <w:szCs w:val="22"/>
          <w:lang w:val="fr-CH" w:eastAsia="en-US"/>
        </w:rPr>
        <w:t>importance du Fonds de solidarité numérique (FSN).</w:t>
      </w:r>
    </w:p>
    <w:p w:rsidR="00564AB5" w:rsidRPr="00777AE2"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A6F95" w:rsidRDefault="00C450C0" w:rsidP="001A5086">
      <w:pPr>
        <w:numPr>
          <w:ilvl w:val="0"/>
          <w:numId w:val="16"/>
        </w:numPr>
        <w:spacing w:after="240" w:line="276" w:lineRule="auto"/>
        <w:ind w:left="1134" w:hanging="567"/>
        <w:jc w:val="both"/>
        <w:rPr>
          <w:rFonts w:eastAsia="Times New Roman"/>
          <w:color w:val="3B3B3B"/>
          <w:szCs w:val="22"/>
          <w:lang w:val="fr-CH" w:eastAsia="en-US"/>
        </w:rPr>
      </w:pPr>
      <w:r w:rsidRPr="007A6F95">
        <w:rPr>
          <w:rFonts w:eastAsia="Times New Roman"/>
          <w:color w:val="3B3B3B"/>
          <w:szCs w:val="22"/>
          <w:lang w:val="fr-CH" w:eastAsia="en-US"/>
        </w:rPr>
        <w:t>Nombre d</w:t>
      </w:r>
      <w:r w:rsidR="001D239E">
        <w:rPr>
          <w:rFonts w:eastAsia="Times New Roman"/>
          <w:color w:val="3B3B3B"/>
          <w:szCs w:val="22"/>
          <w:lang w:val="fr-CH" w:eastAsia="en-US"/>
        </w:rPr>
        <w:t>’</w:t>
      </w:r>
      <w:r w:rsidRPr="007A6F95">
        <w:rPr>
          <w:rFonts w:eastAsia="Times New Roman"/>
          <w:color w:val="3B3B3B"/>
          <w:szCs w:val="22"/>
          <w:lang w:val="fr-CH" w:eastAsia="en-US"/>
        </w:rPr>
        <w:t xml:space="preserve">initiatives de renforcement des capacités </w:t>
      </w:r>
      <w:r w:rsidR="008A7607" w:rsidRPr="007A6F95">
        <w:rPr>
          <w:rFonts w:eastAsia="Times New Roman"/>
          <w:color w:val="3B3B3B"/>
          <w:szCs w:val="22"/>
          <w:lang w:val="fr-CH" w:eastAsia="en-US"/>
        </w:rPr>
        <w:t>visant à réduire</w:t>
      </w:r>
      <w:r w:rsidRPr="007A6F95">
        <w:rPr>
          <w:rFonts w:eastAsia="Times New Roman"/>
          <w:color w:val="3B3B3B"/>
          <w:szCs w:val="22"/>
          <w:lang w:val="fr-CH" w:eastAsia="en-US"/>
        </w:rPr>
        <w:t xml:space="preserve"> la fracture numérique </w:t>
      </w:r>
      <w:r w:rsidR="00F963CC" w:rsidRPr="007A6F95">
        <w:rPr>
          <w:rFonts w:eastAsia="Times New Roman"/>
          <w:color w:val="3B3B3B"/>
          <w:szCs w:val="22"/>
          <w:lang w:val="fr-CH" w:eastAsia="en-US"/>
        </w:rPr>
        <w:t>en ce qui concerne</w:t>
      </w:r>
      <w:r w:rsidRPr="007A6F95">
        <w:rPr>
          <w:rFonts w:eastAsia="Times New Roman"/>
          <w:color w:val="3B3B3B"/>
          <w:szCs w:val="22"/>
          <w:lang w:val="fr-CH" w:eastAsia="en-US"/>
        </w:rPr>
        <w:t xml:space="preserve"> la mise en </w:t>
      </w:r>
      <w:r w:rsidR="00ED52B7" w:rsidRPr="007A6F95">
        <w:rPr>
          <w:rFonts w:eastAsia="Times New Roman"/>
          <w:color w:val="3B3B3B"/>
          <w:szCs w:val="22"/>
          <w:lang w:val="fr-CH" w:eastAsia="en-US"/>
        </w:rPr>
        <w:t>œuvre</w:t>
      </w:r>
      <w:r w:rsidRPr="007A6F95">
        <w:rPr>
          <w:rFonts w:eastAsia="Times New Roman"/>
          <w:color w:val="3B3B3B"/>
          <w:szCs w:val="22"/>
          <w:lang w:val="fr-CH" w:eastAsia="en-US"/>
        </w:rPr>
        <w:t xml:space="preserve"> des normes de l</w:t>
      </w:r>
      <w:r w:rsidR="001D239E">
        <w:rPr>
          <w:rFonts w:eastAsia="Times New Roman"/>
          <w:color w:val="3B3B3B"/>
          <w:szCs w:val="22"/>
          <w:lang w:val="fr-CH" w:eastAsia="en-US"/>
        </w:rPr>
        <w:t>’</w:t>
      </w:r>
      <w:r w:rsidRPr="007A6F95">
        <w:rPr>
          <w:rFonts w:eastAsia="Times New Roman"/>
          <w:color w:val="3B3B3B"/>
          <w:szCs w:val="22"/>
          <w:lang w:val="fr-CH" w:eastAsia="en-US"/>
        </w:rPr>
        <w:t>OMPI (résultat n°</w:t>
      </w:r>
      <w:r w:rsidR="00605B5E">
        <w:rPr>
          <w:rFonts w:eastAsia="Times New Roman"/>
          <w:color w:val="3B3B3B"/>
          <w:szCs w:val="22"/>
          <w:lang w:val="fr-CH" w:eastAsia="en-US"/>
        </w:rPr>
        <w:t> </w:t>
      </w:r>
      <w:r w:rsidRPr="007A6F95">
        <w:rPr>
          <w:rFonts w:eastAsia="Times New Roman"/>
          <w:color w:val="3B3B3B"/>
          <w:szCs w:val="22"/>
          <w:lang w:val="fr-CH" w:eastAsia="en-US"/>
        </w:rPr>
        <w:t>4</w:t>
      </w:r>
      <w:r w:rsidR="001D239E" w:rsidRPr="007A6F95">
        <w:rPr>
          <w:rFonts w:eastAsia="Times New Roman"/>
          <w:color w:val="3B3B3B"/>
          <w:szCs w:val="22"/>
          <w:lang w:val="fr-CH" w:eastAsia="en-US"/>
        </w:rPr>
        <w:t xml:space="preserve"> du</w:t>
      </w:r>
      <w:r w:rsidR="001D239E">
        <w:rPr>
          <w:rFonts w:eastAsia="Times New Roman"/>
          <w:color w:val="3B3B3B"/>
          <w:szCs w:val="22"/>
          <w:lang w:val="fr-CH" w:eastAsia="en-US"/>
        </w:rPr>
        <w:t> </w:t>
      </w:r>
      <w:r w:rsidR="001D239E" w:rsidRPr="007A6F95">
        <w:rPr>
          <w:rFonts w:eastAsia="Times New Roman"/>
          <w:color w:val="3B3B3B"/>
          <w:szCs w:val="22"/>
          <w:lang w:val="fr-CH" w:eastAsia="en-US"/>
        </w:rPr>
        <w:t>SMS</w:t>
      </w:r>
      <w:r w:rsidRPr="007A6F95">
        <w:rPr>
          <w:rFonts w:eastAsia="Times New Roman"/>
          <w:color w:val="3B3B3B"/>
          <w:szCs w:val="22"/>
          <w:lang w:val="fr-CH" w:eastAsia="en-US"/>
        </w:rPr>
        <w:t>I)</w:t>
      </w:r>
      <w:r w:rsidR="007F73E0" w:rsidRPr="007A6F95">
        <w:rPr>
          <w:rFonts w:eastAsia="Times New Roman"/>
          <w:color w:val="3B3B3B"/>
          <w:szCs w:val="22"/>
          <w:lang w:val="fr-CH" w:eastAsia="en-US"/>
        </w:rPr>
        <w:t>.</w:t>
      </w:r>
    </w:p>
    <w:p w:rsidR="00564AB5" w:rsidRPr="00777AE2" w:rsidRDefault="00C450C0" w:rsidP="001A5086">
      <w:pPr>
        <w:numPr>
          <w:ilvl w:val="0"/>
          <w:numId w:val="16"/>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normes de l</w:t>
      </w:r>
      <w:r w:rsidR="001D239E">
        <w:rPr>
          <w:rFonts w:eastAsia="Times New Roman"/>
          <w:color w:val="3B3B3B"/>
          <w:szCs w:val="22"/>
          <w:lang w:val="fr-CH" w:eastAsia="en-US"/>
        </w:rPr>
        <w:t>’</w:t>
      </w:r>
      <w:r w:rsidRPr="00777AE2">
        <w:rPr>
          <w:rFonts w:eastAsia="Times New Roman"/>
          <w:color w:val="3B3B3B"/>
          <w:szCs w:val="22"/>
          <w:lang w:val="fr-CH" w:eastAsia="en-US"/>
        </w:rPr>
        <w:t>OMPI ne p</w:t>
      </w:r>
      <w:r w:rsidR="00A7334C">
        <w:rPr>
          <w:rFonts w:eastAsia="Times New Roman"/>
          <w:color w:val="3B3B3B"/>
          <w:szCs w:val="22"/>
          <w:lang w:val="fr-CH" w:eastAsia="en-US"/>
        </w:rPr>
        <w:t>o</w:t>
      </w:r>
      <w:r w:rsidRPr="00777AE2">
        <w:rPr>
          <w:rFonts w:eastAsia="Times New Roman"/>
          <w:color w:val="3B3B3B"/>
          <w:szCs w:val="22"/>
          <w:lang w:val="fr-CH" w:eastAsia="en-US"/>
        </w:rPr>
        <w:t>uv</w:t>
      </w:r>
      <w:r w:rsidR="00A7334C">
        <w:rPr>
          <w:rFonts w:eastAsia="Times New Roman"/>
          <w:color w:val="3B3B3B"/>
          <w:szCs w:val="22"/>
          <w:lang w:val="fr-CH" w:eastAsia="en-US"/>
        </w:rPr>
        <w:t>a</w:t>
      </w:r>
      <w:r w:rsidRPr="00777AE2">
        <w:rPr>
          <w:rFonts w:eastAsia="Times New Roman"/>
          <w:color w:val="3B3B3B"/>
          <w:szCs w:val="22"/>
          <w:lang w:val="fr-CH" w:eastAsia="en-US"/>
        </w:rPr>
        <w:t xml:space="preserve">nt pas être mises en </w:t>
      </w:r>
      <w:r w:rsidR="00ED52B7" w:rsidRPr="00777AE2">
        <w:rPr>
          <w:rFonts w:eastAsia="Times New Roman"/>
          <w:color w:val="3B3B3B"/>
          <w:szCs w:val="22"/>
          <w:lang w:val="fr-CH" w:eastAsia="en-US"/>
        </w:rPr>
        <w:t>œuvre</w:t>
      </w:r>
      <w:r w:rsidRPr="00777AE2">
        <w:rPr>
          <w:rFonts w:eastAsia="Times New Roman"/>
          <w:color w:val="3B3B3B"/>
          <w:szCs w:val="22"/>
          <w:lang w:val="fr-CH" w:eastAsia="en-US"/>
        </w:rPr>
        <w:t xml:space="preserve"> par les pays en développement et les pays les moins avancés en raison du manque d</w:t>
      </w:r>
      <w:r w:rsidR="001D239E">
        <w:rPr>
          <w:rFonts w:eastAsia="Times New Roman"/>
          <w:color w:val="3B3B3B"/>
          <w:szCs w:val="22"/>
          <w:lang w:val="fr-CH" w:eastAsia="en-US"/>
        </w:rPr>
        <w:t>’</w:t>
      </w:r>
      <w:r w:rsidRPr="00777AE2">
        <w:rPr>
          <w:rFonts w:eastAsia="Times New Roman"/>
          <w:color w:val="3B3B3B"/>
          <w:szCs w:val="22"/>
          <w:lang w:val="fr-CH" w:eastAsia="en-US"/>
        </w:rPr>
        <w:t xml:space="preserve">infrastructures (résultat </w:t>
      </w:r>
      <w:r w:rsidR="001B64BB" w:rsidRPr="001B64BB">
        <w:rPr>
          <w:rFonts w:eastAsia="Times New Roman"/>
          <w:color w:val="3B3B3B"/>
          <w:szCs w:val="22"/>
          <w:lang w:val="fr-CH" w:eastAsia="en-US"/>
        </w:rPr>
        <w:t>n°</w:t>
      </w:r>
      <w:r w:rsidR="00605B5E">
        <w:rPr>
          <w:rFonts w:eastAsia="Times New Roman"/>
          <w:color w:val="3B3B3B"/>
          <w:szCs w:val="22"/>
          <w:lang w:val="fr-CH" w:eastAsia="en-US"/>
        </w:rPr>
        <w:t> </w:t>
      </w:r>
      <w:r w:rsidRPr="00777AE2">
        <w:rPr>
          <w:rFonts w:eastAsia="Times New Roman"/>
          <w:color w:val="3B3B3B"/>
          <w:szCs w:val="22"/>
          <w:lang w:val="fr-CH" w:eastAsia="en-US"/>
        </w:rPr>
        <w:t>4</w:t>
      </w:r>
      <w:r w:rsidR="001D239E" w:rsidRPr="00777AE2">
        <w:rPr>
          <w:rFonts w:eastAsia="Times New Roman"/>
          <w:color w:val="3B3B3B"/>
          <w:szCs w:val="22"/>
          <w:lang w:val="fr-CH" w:eastAsia="en-US"/>
        </w:rPr>
        <w:t xml:space="preserve"> du</w:t>
      </w:r>
      <w:r w:rsidR="001D239E">
        <w:rPr>
          <w:rFonts w:eastAsia="Times New Roman"/>
          <w:color w:val="3B3B3B"/>
          <w:szCs w:val="22"/>
          <w:lang w:val="fr-CH" w:eastAsia="en-US"/>
        </w:rPr>
        <w:t> </w:t>
      </w:r>
      <w:r w:rsidR="001D239E" w:rsidRPr="00777AE2">
        <w:rPr>
          <w:rFonts w:eastAsia="Times New Roman"/>
          <w:color w:val="3B3B3B"/>
          <w:szCs w:val="22"/>
          <w:lang w:val="fr-CH" w:eastAsia="en-US"/>
        </w:rPr>
        <w:t>SMS</w:t>
      </w:r>
      <w:r w:rsidRPr="00777AE2">
        <w:rPr>
          <w:rFonts w:eastAsia="Times New Roman"/>
          <w:color w:val="3B3B3B"/>
          <w:szCs w:val="22"/>
          <w:lang w:val="fr-CH" w:eastAsia="en-US"/>
        </w:rPr>
        <w:t>I).</w:t>
      </w:r>
    </w:p>
    <w:p w:rsidR="00564AB5" w:rsidRPr="00777AE2" w:rsidRDefault="006B38F5" w:rsidP="001A5086">
      <w:pPr>
        <w:numPr>
          <w:ilvl w:val="0"/>
          <w:numId w:val="16"/>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w:t>
      </w:r>
      <w:r w:rsidR="001D239E">
        <w:rPr>
          <w:rFonts w:eastAsia="Times New Roman"/>
          <w:color w:val="3B3B3B"/>
          <w:szCs w:val="22"/>
          <w:lang w:val="fr-CH" w:eastAsia="en-US"/>
        </w:rPr>
        <w:t>’</w:t>
      </w:r>
      <w:r w:rsidRPr="00777AE2">
        <w:rPr>
          <w:rFonts w:eastAsia="Times New Roman"/>
          <w:color w:val="3B3B3B"/>
          <w:szCs w:val="22"/>
          <w:lang w:val="fr-CH" w:eastAsia="en-US"/>
        </w:rPr>
        <w:t>adaptations sur le plan</w:t>
      </w:r>
      <w:r w:rsidR="001D239E" w:rsidRPr="00777AE2">
        <w:rPr>
          <w:rFonts w:eastAsia="Times New Roman"/>
          <w:color w:val="3B3B3B"/>
          <w:szCs w:val="22"/>
          <w:lang w:val="fr-CH" w:eastAsia="en-US"/>
        </w:rPr>
        <w:t xml:space="preserve"> des</w:t>
      </w:r>
      <w:r w:rsidR="001D239E">
        <w:rPr>
          <w:rFonts w:eastAsia="Times New Roman"/>
          <w:color w:val="3B3B3B"/>
          <w:szCs w:val="22"/>
          <w:lang w:val="fr-CH" w:eastAsia="en-US"/>
        </w:rPr>
        <w:t> </w:t>
      </w:r>
      <w:r w:rsidR="001D239E" w:rsidRPr="00777AE2">
        <w:rPr>
          <w:rFonts w:eastAsia="Times New Roman"/>
          <w:color w:val="3B3B3B"/>
          <w:szCs w:val="22"/>
          <w:lang w:val="fr-CH" w:eastAsia="en-US"/>
        </w:rPr>
        <w:t>TIC</w:t>
      </w:r>
      <w:r w:rsidRPr="00777AE2">
        <w:rPr>
          <w:rFonts w:eastAsia="Times New Roman"/>
          <w:color w:val="3B3B3B"/>
          <w:szCs w:val="22"/>
          <w:lang w:val="fr-CH" w:eastAsia="en-US"/>
        </w:rPr>
        <w:t xml:space="preserve"> (ressources spécialisées) du programme</w:t>
      </w:r>
      <w:r w:rsidR="00750D88">
        <w:rPr>
          <w:rFonts w:eastAsia="Times New Roman"/>
          <w:color w:val="3B3B3B"/>
          <w:szCs w:val="22"/>
          <w:lang w:val="fr-CH" w:eastAsia="en-US"/>
        </w:rPr>
        <w:t> </w:t>
      </w:r>
      <w:r w:rsidRPr="00777AE2">
        <w:rPr>
          <w:rFonts w:eastAsia="Times New Roman"/>
          <w:color w:val="3B3B3B"/>
          <w:szCs w:val="22"/>
          <w:lang w:val="fr-CH" w:eastAsia="en-US"/>
        </w:rPr>
        <w:t>IP4Youth&amp;Teachers, qui vise à donner aux jeunes les moyens d</w:t>
      </w:r>
      <w:r w:rsidR="001D239E">
        <w:rPr>
          <w:rFonts w:eastAsia="Times New Roman"/>
          <w:color w:val="3B3B3B"/>
          <w:szCs w:val="22"/>
          <w:lang w:val="fr-CH" w:eastAsia="en-US"/>
        </w:rPr>
        <w:t>’</w:t>
      </w:r>
      <w:r w:rsidRPr="00777AE2">
        <w:rPr>
          <w:rFonts w:eastAsia="Times New Roman"/>
          <w:color w:val="3B3B3B"/>
          <w:szCs w:val="22"/>
          <w:lang w:val="fr-CH" w:eastAsia="en-US"/>
        </w:rPr>
        <w:t>acquérir des compétences en matière d</w:t>
      </w:r>
      <w:r w:rsidR="001D239E">
        <w:rPr>
          <w:rFonts w:eastAsia="Times New Roman"/>
          <w:color w:val="3B3B3B"/>
          <w:szCs w:val="22"/>
          <w:lang w:val="fr-CH" w:eastAsia="en-US"/>
        </w:rPr>
        <w:t>’</w:t>
      </w:r>
      <w:r w:rsidRPr="00777AE2">
        <w:rPr>
          <w:rFonts w:eastAsia="Times New Roman"/>
          <w:color w:val="3B3B3B"/>
          <w:szCs w:val="22"/>
          <w:lang w:val="fr-CH" w:eastAsia="en-US"/>
        </w:rPr>
        <w:t xml:space="preserve">innovation et de créativité aux fins de leur autonomisation, notamment sur le plan économique (résultats </w:t>
      </w:r>
      <w:r w:rsidR="00ED52B7" w:rsidRPr="00777AE2">
        <w:rPr>
          <w:rFonts w:eastAsia="Times New Roman"/>
          <w:color w:val="3B3B3B"/>
          <w:szCs w:val="22"/>
          <w:lang w:val="fr-CH" w:eastAsia="en-US"/>
        </w:rPr>
        <w:t>n</w:t>
      </w:r>
      <w:r w:rsidR="00ED52B7" w:rsidRPr="004D27AE">
        <w:rPr>
          <w:rFonts w:eastAsia="Times New Roman"/>
          <w:color w:val="3B3B3B"/>
          <w:szCs w:val="22"/>
          <w:vertAlign w:val="superscript"/>
          <w:lang w:val="fr-CH" w:eastAsia="en-US"/>
        </w:rPr>
        <w:t>os</w:t>
      </w:r>
      <w:r w:rsidRPr="00777AE2">
        <w:rPr>
          <w:rFonts w:eastAsia="Times New Roman"/>
          <w:color w:val="3B3B3B"/>
          <w:szCs w:val="22"/>
          <w:lang w:val="fr-CH" w:eastAsia="en-US"/>
        </w:rPr>
        <w:t xml:space="preserve"> 1 et 6</w:t>
      </w:r>
      <w:r w:rsidR="001D239E" w:rsidRPr="00777AE2">
        <w:rPr>
          <w:rFonts w:eastAsia="Times New Roman"/>
          <w:color w:val="3B3B3B"/>
          <w:szCs w:val="22"/>
          <w:lang w:val="fr-CH" w:eastAsia="en-US"/>
        </w:rPr>
        <w:t xml:space="preserve"> du</w:t>
      </w:r>
      <w:r w:rsidR="001D239E">
        <w:rPr>
          <w:rFonts w:eastAsia="Times New Roman"/>
          <w:color w:val="3B3B3B"/>
          <w:szCs w:val="22"/>
          <w:lang w:val="fr-CH" w:eastAsia="en-US"/>
        </w:rPr>
        <w:t> </w:t>
      </w:r>
      <w:r w:rsidR="001D239E" w:rsidRPr="00777AE2">
        <w:rPr>
          <w:rFonts w:eastAsia="Times New Roman"/>
          <w:color w:val="3B3B3B"/>
          <w:szCs w:val="22"/>
          <w:lang w:val="fr-CH" w:eastAsia="en-US"/>
        </w:rPr>
        <w:t>SMS</w:t>
      </w:r>
      <w:r w:rsidRPr="00777AE2">
        <w:rPr>
          <w:rFonts w:eastAsia="Times New Roman"/>
          <w:color w:val="3B3B3B"/>
          <w:szCs w:val="22"/>
          <w:lang w:val="fr-CH" w:eastAsia="en-US"/>
        </w:rPr>
        <w:t>I).</w:t>
      </w:r>
    </w:p>
    <w:p w:rsidR="00564AB5" w:rsidRPr="00777AE2" w:rsidRDefault="006B38F5" w:rsidP="00B523AC">
      <w:pPr>
        <w:spacing w:before="360" w:after="22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25</w:t>
      </w:r>
    </w:p>
    <w:p w:rsidR="00564AB5" w:rsidRPr="00777AE2" w:rsidRDefault="006B38F5" w:rsidP="006B38F5">
      <w:pPr>
        <w:spacing w:after="240" w:line="276" w:lineRule="auto"/>
        <w:rPr>
          <w:rFonts w:eastAsia="Times New Roman"/>
          <w:color w:val="3B3B3B"/>
          <w:szCs w:val="22"/>
          <w:lang w:val="fr-CH" w:eastAsia="en-US"/>
        </w:rPr>
      </w:pPr>
      <w:r w:rsidRPr="00777AE2">
        <w:rPr>
          <w:rFonts w:eastAsia="Times New Roman"/>
          <w:color w:val="3B3B3B"/>
          <w:szCs w:val="22"/>
          <w:lang w:val="fr-CH" w:eastAsia="en-US"/>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1D239E">
        <w:rPr>
          <w:rFonts w:eastAsia="Times New Roman"/>
          <w:color w:val="3B3B3B"/>
          <w:szCs w:val="22"/>
          <w:lang w:val="fr-CH" w:eastAsia="en-US"/>
        </w:rPr>
        <w:t>’</w:t>
      </w:r>
      <w:r w:rsidRPr="00777AE2">
        <w:rPr>
          <w:rFonts w:eastAsia="Times New Roman"/>
          <w:color w:val="3B3B3B"/>
          <w:szCs w:val="22"/>
          <w:lang w:val="fr-CH" w:eastAsia="en-US"/>
        </w:rPr>
        <w:t>en tirer profit, le cas échéant.</w:t>
      </w:r>
    </w:p>
    <w:p w:rsidR="00564AB5" w:rsidRPr="00777AE2"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6B38F5" w:rsidP="001A5086">
      <w:pPr>
        <w:numPr>
          <w:ilvl w:val="0"/>
          <w:numId w:val="17"/>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total d</w:t>
      </w:r>
      <w:r w:rsidR="001D239E">
        <w:rPr>
          <w:rFonts w:eastAsia="Times New Roman"/>
          <w:color w:val="3B3B3B"/>
          <w:szCs w:val="22"/>
          <w:lang w:val="fr-CH" w:eastAsia="en-US"/>
        </w:rPr>
        <w:t>’</w:t>
      </w:r>
      <w:r w:rsidRPr="00777AE2">
        <w:rPr>
          <w:rFonts w:eastAsia="Times New Roman"/>
          <w:color w:val="3B3B3B"/>
          <w:szCs w:val="22"/>
          <w:lang w:val="fr-CH" w:eastAsia="en-US"/>
        </w:rPr>
        <w:t xml:space="preserve">initiatives de renforcement des capacités mises en </w:t>
      </w:r>
      <w:r w:rsidR="00ED52B7" w:rsidRPr="00777AE2">
        <w:rPr>
          <w:rFonts w:eastAsia="Times New Roman"/>
          <w:color w:val="3B3B3B"/>
          <w:szCs w:val="22"/>
          <w:lang w:val="fr-CH" w:eastAsia="en-US"/>
        </w:rPr>
        <w:t>œuvre</w:t>
      </w:r>
      <w:r w:rsidRPr="00777AE2">
        <w:rPr>
          <w:rFonts w:eastAsia="Times New Roman"/>
          <w:color w:val="3B3B3B"/>
          <w:szCs w:val="22"/>
          <w:lang w:val="fr-CH" w:eastAsia="en-US"/>
        </w:rPr>
        <w:t xml:space="preserve"> au cours d</w:t>
      </w:r>
      <w:r w:rsidR="001D239E">
        <w:rPr>
          <w:rFonts w:eastAsia="Times New Roman"/>
          <w:color w:val="3B3B3B"/>
          <w:szCs w:val="22"/>
          <w:lang w:val="fr-CH" w:eastAsia="en-US"/>
        </w:rPr>
        <w:t>’</w:t>
      </w:r>
      <w:r w:rsidRPr="00777AE2">
        <w:rPr>
          <w:rFonts w:eastAsia="Times New Roman"/>
          <w:color w:val="3B3B3B"/>
          <w:szCs w:val="22"/>
          <w:lang w:val="fr-CH" w:eastAsia="en-US"/>
        </w:rPr>
        <w:t>un exercice budgétaire et cumulées à ce jour en vue d</w:t>
      </w:r>
      <w:r w:rsidR="001D239E">
        <w:rPr>
          <w:rFonts w:eastAsia="Times New Roman"/>
          <w:color w:val="3B3B3B"/>
          <w:szCs w:val="22"/>
          <w:lang w:val="fr-CH" w:eastAsia="en-US"/>
        </w:rPr>
        <w:t>’</w:t>
      </w:r>
      <w:r w:rsidRPr="00777AE2">
        <w:rPr>
          <w:rFonts w:eastAsia="Times New Roman"/>
          <w:color w:val="3B3B3B"/>
          <w:szCs w:val="22"/>
          <w:lang w:val="fr-CH" w:eastAsia="en-US"/>
        </w:rPr>
        <w:t xml:space="preserve">aider les pays à comprendre pleinement les éléments de flexibilité prévus </w:t>
      </w:r>
      <w:r w:rsidR="00DD19CC">
        <w:rPr>
          <w:rFonts w:eastAsia="Times New Roman"/>
          <w:color w:val="3B3B3B"/>
          <w:szCs w:val="22"/>
          <w:lang w:val="fr-CH" w:eastAsia="en-US"/>
        </w:rPr>
        <w:t>dans</w:t>
      </w:r>
      <w:r w:rsidRPr="00777AE2">
        <w:rPr>
          <w:rFonts w:eastAsia="Times New Roman"/>
          <w:color w:val="3B3B3B"/>
          <w:szCs w:val="22"/>
          <w:lang w:val="fr-CH" w:eastAsia="en-US"/>
        </w:rPr>
        <w:t xml:space="preserve"> le droit international.</w:t>
      </w:r>
    </w:p>
    <w:p w:rsidR="00564AB5" w:rsidRPr="00777AE2" w:rsidRDefault="006B38F5" w:rsidP="001A5086">
      <w:pPr>
        <w:numPr>
          <w:ilvl w:val="0"/>
          <w:numId w:val="17"/>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pays ayant bénéficié d</w:t>
      </w:r>
      <w:r w:rsidR="001D239E">
        <w:rPr>
          <w:rFonts w:eastAsia="Times New Roman"/>
          <w:color w:val="3B3B3B"/>
          <w:szCs w:val="22"/>
          <w:lang w:val="fr-CH" w:eastAsia="en-US"/>
        </w:rPr>
        <w:t>’</w:t>
      </w:r>
      <w:r w:rsidRPr="00777AE2">
        <w:rPr>
          <w:rFonts w:eastAsia="Times New Roman"/>
          <w:color w:val="3B3B3B"/>
          <w:szCs w:val="22"/>
          <w:lang w:val="fr-CH" w:eastAsia="en-US"/>
        </w:rPr>
        <w:t>initiatives d</w:t>
      </w:r>
      <w:r w:rsidR="001D239E">
        <w:rPr>
          <w:rFonts w:eastAsia="Times New Roman"/>
          <w:color w:val="3B3B3B"/>
          <w:szCs w:val="22"/>
          <w:lang w:val="fr-CH" w:eastAsia="en-US"/>
        </w:rPr>
        <w:t>’</w:t>
      </w:r>
      <w:r w:rsidRPr="00777AE2">
        <w:rPr>
          <w:rFonts w:eastAsia="Times New Roman"/>
          <w:color w:val="3B3B3B"/>
          <w:szCs w:val="22"/>
          <w:lang w:val="fr-CH" w:eastAsia="en-US"/>
        </w:rPr>
        <w:t xml:space="preserve">assistance technique et de renforcement des capacités sur mesure destinées à les aider à mieux comprendre les éléments de flexibilité prévus </w:t>
      </w:r>
      <w:r w:rsidR="00447395">
        <w:rPr>
          <w:rFonts w:eastAsia="Times New Roman"/>
          <w:color w:val="3B3B3B"/>
          <w:szCs w:val="22"/>
          <w:lang w:val="fr-CH" w:eastAsia="en-US"/>
        </w:rPr>
        <w:t>afin de</w:t>
      </w:r>
      <w:r w:rsidRPr="00777AE2">
        <w:rPr>
          <w:rFonts w:eastAsia="Times New Roman"/>
          <w:color w:val="3B3B3B"/>
          <w:szCs w:val="22"/>
          <w:lang w:val="fr-CH" w:eastAsia="en-US"/>
        </w:rPr>
        <w:t xml:space="preserve"> promouvoir le transfert et la diffusion de la technologie.</w:t>
      </w:r>
    </w:p>
    <w:p w:rsidR="00564AB5" w:rsidRPr="00777AE2" w:rsidRDefault="006B38F5" w:rsidP="001A5086">
      <w:pPr>
        <w:numPr>
          <w:ilvl w:val="0"/>
          <w:numId w:val="17"/>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pays ayant incorporé des éléments de flexibilité spécifiques dans leurs politiques à la suite d</w:t>
      </w:r>
      <w:r w:rsidR="001D239E">
        <w:rPr>
          <w:rFonts w:eastAsia="Times New Roman"/>
          <w:color w:val="3B3B3B"/>
          <w:szCs w:val="22"/>
          <w:lang w:val="fr-CH" w:eastAsia="en-US"/>
        </w:rPr>
        <w:t>’</w:t>
      </w:r>
      <w:r w:rsidRPr="00777AE2">
        <w:rPr>
          <w:rFonts w:eastAsia="Times New Roman"/>
          <w:color w:val="3B3B3B"/>
          <w:szCs w:val="22"/>
          <w:lang w:val="fr-CH" w:eastAsia="en-US"/>
        </w:rPr>
        <w:t>activités d</w:t>
      </w:r>
      <w:r w:rsidR="001D239E">
        <w:rPr>
          <w:rFonts w:eastAsia="Times New Roman"/>
          <w:color w:val="3B3B3B"/>
          <w:szCs w:val="22"/>
          <w:lang w:val="fr-CH" w:eastAsia="en-US"/>
        </w:rPr>
        <w:t>’</w:t>
      </w:r>
      <w:r w:rsidRPr="00777AE2">
        <w:rPr>
          <w:rFonts w:eastAsia="Times New Roman"/>
          <w:color w:val="3B3B3B"/>
          <w:szCs w:val="22"/>
          <w:lang w:val="fr-CH" w:eastAsia="en-US"/>
        </w:rPr>
        <w:t>assistance technique et de renforcement des capacités facilitées par l</w:t>
      </w:r>
      <w:r w:rsidR="001D239E">
        <w:rPr>
          <w:rFonts w:eastAsia="Times New Roman"/>
          <w:color w:val="3B3B3B"/>
          <w:szCs w:val="22"/>
          <w:lang w:val="fr-CH" w:eastAsia="en-US"/>
        </w:rPr>
        <w:t>’</w:t>
      </w:r>
      <w:r w:rsidRPr="00777AE2">
        <w:rPr>
          <w:rFonts w:eastAsia="Times New Roman"/>
          <w:color w:val="3B3B3B"/>
          <w:szCs w:val="22"/>
          <w:lang w:val="fr-CH" w:eastAsia="en-US"/>
        </w:rPr>
        <w:t>OMPI en vue de favoriser le transfert et la diffusion de la technologie.</w:t>
      </w:r>
    </w:p>
    <w:p w:rsidR="00564AB5" w:rsidRPr="00777AE2" w:rsidRDefault="00BF73C8" w:rsidP="001A5086">
      <w:pPr>
        <w:numPr>
          <w:ilvl w:val="0"/>
          <w:numId w:val="17"/>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w:t>
      </w:r>
      <w:r w:rsidR="001D239E">
        <w:rPr>
          <w:rFonts w:eastAsia="Times New Roman"/>
          <w:color w:val="3B3B3B"/>
          <w:szCs w:val="22"/>
          <w:lang w:val="fr-CH" w:eastAsia="en-US"/>
        </w:rPr>
        <w:t>’</w:t>
      </w:r>
      <w:r w:rsidRPr="00777AE2">
        <w:rPr>
          <w:rFonts w:eastAsia="Times New Roman"/>
          <w:color w:val="3B3B3B"/>
          <w:szCs w:val="22"/>
          <w:lang w:val="fr-CH" w:eastAsia="en-US"/>
        </w:rPr>
        <w:t xml:space="preserve">initiatives axées sur le renforcement des capacités visant à favoriser une meilleure compréhension des accords de transfert de technologie (souvent des accords types) et </w:t>
      </w:r>
      <w:r w:rsidR="00A94287">
        <w:rPr>
          <w:rFonts w:eastAsia="Times New Roman"/>
          <w:color w:val="3B3B3B"/>
          <w:szCs w:val="22"/>
          <w:lang w:val="fr-CH" w:eastAsia="en-US"/>
        </w:rPr>
        <w:t>d</w:t>
      </w:r>
      <w:r w:rsidRPr="00777AE2">
        <w:rPr>
          <w:rFonts w:eastAsia="Times New Roman"/>
          <w:color w:val="3B3B3B"/>
          <w:szCs w:val="22"/>
          <w:lang w:val="fr-CH" w:eastAsia="en-US"/>
        </w:rPr>
        <w:t>es stratégies de négociation.</w:t>
      </w:r>
    </w:p>
    <w:p w:rsidR="00564AB5" w:rsidRPr="00777AE2" w:rsidRDefault="00BF73C8" w:rsidP="00B523AC">
      <w:pPr>
        <w:spacing w:before="360" w:after="22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26</w:t>
      </w:r>
    </w:p>
    <w:p w:rsidR="00564AB5" w:rsidRPr="00777AE2" w:rsidRDefault="00BF73C8" w:rsidP="00BF73C8">
      <w:pPr>
        <w:spacing w:after="240" w:line="276" w:lineRule="auto"/>
        <w:rPr>
          <w:rFonts w:eastAsia="Times New Roman"/>
          <w:color w:val="3B3B3B"/>
          <w:szCs w:val="22"/>
          <w:lang w:val="fr-CH" w:eastAsia="en-US"/>
        </w:rPr>
      </w:pPr>
      <w:r w:rsidRPr="00777AE2">
        <w:rPr>
          <w:rFonts w:eastAsia="Times New Roman"/>
          <w:color w:val="3B3B3B"/>
          <w:szCs w:val="22"/>
          <w:lang w:val="fr-CH" w:eastAsia="en-US"/>
        </w:rPr>
        <w:t>Encourager les États membres, en particulier les pays industrialisés, à inciter leurs institutions travaillant dans la recherche et le domaine scientifique à renforcer leur coopération et leurs échanges avec les institutions de recherche</w:t>
      </w:r>
      <w:r w:rsidR="00215E98">
        <w:rPr>
          <w:rFonts w:eastAsia="Times New Roman"/>
          <w:color w:val="3B3B3B"/>
          <w:szCs w:val="22"/>
          <w:lang w:val="fr-CH" w:eastAsia="en-US"/>
        </w:rPr>
        <w:noBreakHyphen/>
      </w:r>
      <w:r w:rsidRPr="00777AE2">
        <w:rPr>
          <w:rFonts w:eastAsia="Times New Roman"/>
          <w:color w:val="3B3B3B"/>
          <w:szCs w:val="22"/>
          <w:lang w:val="fr-CH" w:eastAsia="en-US"/>
        </w:rPr>
        <w:t>développement des pays en développement, en particulier</w:t>
      </w:r>
      <w:r w:rsidR="001D239E" w:rsidRPr="00777AE2">
        <w:rPr>
          <w:rFonts w:eastAsia="Times New Roman"/>
          <w:color w:val="3B3B3B"/>
          <w:szCs w:val="22"/>
          <w:lang w:val="fr-CH" w:eastAsia="en-US"/>
        </w:rPr>
        <w:t xml:space="preserve"> des</w:t>
      </w:r>
      <w:r w:rsidR="001D239E">
        <w:rPr>
          <w:rFonts w:eastAsia="Times New Roman"/>
          <w:color w:val="3B3B3B"/>
          <w:szCs w:val="22"/>
          <w:lang w:val="fr-CH" w:eastAsia="en-US"/>
        </w:rPr>
        <w:t> </w:t>
      </w:r>
      <w:r w:rsidR="001D239E" w:rsidRPr="00777AE2">
        <w:rPr>
          <w:rFonts w:eastAsia="Times New Roman"/>
          <w:color w:val="3B3B3B"/>
          <w:szCs w:val="22"/>
          <w:lang w:val="fr-CH" w:eastAsia="en-US"/>
        </w:rPr>
        <w:t>PMA</w:t>
      </w:r>
      <w:r w:rsidRPr="00777AE2">
        <w:rPr>
          <w:rFonts w:eastAsia="Times New Roman"/>
          <w:color w:val="3B3B3B"/>
          <w:szCs w:val="22"/>
          <w:lang w:val="fr-CH" w:eastAsia="en-US"/>
        </w:rPr>
        <w:t>.</w:t>
      </w:r>
    </w:p>
    <w:p w:rsidR="00564AB5" w:rsidRPr="00777AE2"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BF73C8" w:rsidP="001A5086">
      <w:pPr>
        <w:numPr>
          <w:ilvl w:val="0"/>
          <w:numId w:val="18"/>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demandes selon</w:t>
      </w:r>
      <w:r w:rsidR="001D239E" w:rsidRPr="00777AE2">
        <w:rPr>
          <w:rFonts w:eastAsia="Times New Roman"/>
          <w:color w:val="3B3B3B"/>
          <w:szCs w:val="22"/>
          <w:lang w:val="fr-CH" w:eastAsia="en-US"/>
        </w:rPr>
        <w:t xml:space="preserve"> le</w:t>
      </w:r>
      <w:r w:rsidR="001D239E">
        <w:rPr>
          <w:rFonts w:eastAsia="Times New Roman"/>
          <w:color w:val="3B3B3B"/>
          <w:szCs w:val="22"/>
          <w:lang w:val="fr-CH" w:eastAsia="en-US"/>
        </w:rPr>
        <w:t> </w:t>
      </w:r>
      <w:r w:rsidR="001D239E" w:rsidRPr="00777AE2">
        <w:rPr>
          <w:rFonts w:eastAsia="Times New Roman"/>
          <w:color w:val="3B3B3B"/>
          <w:szCs w:val="22"/>
          <w:lang w:val="fr-CH" w:eastAsia="en-US"/>
        </w:rPr>
        <w:t>PCT</w:t>
      </w:r>
      <w:r w:rsidRPr="00777AE2">
        <w:rPr>
          <w:rFonts w:eastAsia="Times New Roman"/>
          <w:color w:val="3B3B3B"/>
          <w:szCs w:val="22"/>
          <w:lang w:val="fr-CH" w:eastAsia="en-US"/>
        </w:rPr>
        <w:t xml:space="preserve"> dont les déposants représentent une ou plusieurs institutions de recherche</w:t>
      </w:r>
      <w:r w:rsidR="00215E98">
        <w:rPr>
          <w:rFonts w:eastAsia="Times New Roman"/>
          <w:color w:val="3B3B3B"/>
          <w:szCs w:val="22"/>
          <w:lang w:val="fr-CH" w:eastAsia="en-US"/>
        </w:rPr>
        <w:noBreakHyphen/>
      </w:r>
      <w:r w:rsidRPr="00777AE2">
        <w:rPr>
          <w:rFonts w:eastAsia="Times New Roman"/>
          <w:color w:val="3B3B3B"/>
          <w:szCs w:val="22"/>
          <w:lang w:val="fr-CH" w:eastAsia="en-US"/>
        </w:rPr>
        <w:t>développement d</w:t>
      </w:r>
      <w:r w:rsidR="001D239E">
        <w:rPr>
          <w:rFonts w:eastAsia="Times New Roman"/>
          <w:color w:val="3B3B3B"/>
          <w:szCs w:val="22"/>
          <w:lang w:val="fr-CH" w:eastAsia="en-US"/>
        </w:rPr>
        <w:t>’</w:t>
      </w:r>
      <w:r w:rsidRPr="00777AE2">
        <w:rPr>
          <w:rFonts w:eastAsia="Times New Roman"/>
          <w:color w:val="3B3B3B"/>
          <w:szCs w:val="22"/>
          <w:lang w:val="fr-CH" w:eastAsia="en-US"/>
        </w:rPr>
        <w:t>un pays industrialisé et d</w:t>
      </w:r>
      <w:r w:rsidR="001D239E">
        <w:rPr>
          <w:rFonts w:eastAsia="Times New Roman"/>
          <w:color w:val="3B3B3B"/>
          <w:szCs w:val="22"/>
          <w:lang w:val="fr-CH" w:eastAsia="en-US"/>
        </w:rPr>
        <w:t>’</w:t>
      </w:r>
      <w:r w:rsidRPr="00777AE2">
        <w:rPr>
          <w:rFonts w:eastAsia="Times New Roman"/>
          <w:color w:val="3B3B3B"/>
          <w:szCs w:val="22"/>
          <w:lang w:val="fr-CH" w:eastAsia="en-US"/>
        </w:rPr>
        <w:t>un pays en développement (en particulier un ou plusieurs PMA).</w:t>
      </w:r>
    </w:p>
    <w:p w:rsidR="00564AB5" w:rsidRPr="00777AE2" w:rsidRDefault="006A2B8A" w:rsidP="001A5086">
      <w:pPr>
        <w:numPr>
          <w:ilvl w:val="0"/>
          <w:numId w:val="18"/>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formations dispensées par l</w:t>
      </w:r>
      <w:r w:rsidR="001D239E">
        <w:rPr>
          <w:rFonts w:eastAsia="Times New Roman"/>
          <w:color w:val="3B3B3B"/>
          <w:szCs w:val="22"/>
          <w:lang w:val="fr-CH" w:eastAsia="en-US"/>
        </w:rPr>
        <w:t>’</w:t>
      </w:r>
      <w:r w:rsidRPr="00777AE2">
        <w:rPr>
          <w:rFonts w:eastAsia="Times New Roman"/>
          <w:color w:val="3B3B3B"/>
          <w:szCs w:val="22"/>
          <w:lang w:val="fr-CH" w:eastAsia="en-US"/>
        </w:rPr>
        <w:t>intermédiaire</w:t>
      </w:r>
      <w:r w:rsidR="001D239E" w:rsidRPr="00777AE2">
        <w:rPr>
          <w:rFonts w:eastAsia="Times New Roman"/>
          <w:color w:val="3B3B3B"/>
          <w:szCs w:val="22"/>
          <w:lang w:val="fr-CH" w:eastAsia="en-US"/>
        </w:rPr>
        <w:t xml:space="preserve"> de</w:t>
      </w:r>
      <w:r w:rsidR="001D239E">
        <w:rPr>
          <w:rFonts w:eastAsia="Times New Roman"/>
          <w:color w:val="3B3B3B"/>
          <w:szCs w:val="22"/>
          <w:lang w:val="fr-CH" w:eastAsia="en-US"/>
        </w:rPr>
        <w:t>s </w:t>
      </w:r>
      <w:r w:rsidR="001D239E" w:rsidRPr="00777AE2">
        <w:rPr>
          <w:rFonts w:eastAsia="Times New Roman"/>
          <w:color w:val="3B3B3B"/>
          <w:szCs w:val="22"/>
          <w:lang w:val="fr-CH" w:eastAsia="en-US"/>
        </w:rPr>
        <w:t>CAT</w:t>
      </w:r>
      <w:r w:rsidRPr="00777AE2">
        <w:rPr>
          <w:rFonts w:eastAsia="Times New Roman"/>
          <w:color w:val="3B3B3B"/>
          <w:szCs w:val="22"/>
          <w:lang w:val="fr-CH" w:eastAsia="en-US"/>
        </w:rPr>
        <w:t>I axées sur l</w:t>
      </w:r>
      <w:r w:rsidR="001D239E">
        <w:rPr>
          <w:rFonts w:eastAsia="Times New Roman"/>
          <w:color w:val="3B3B3B"/>
          <w:szCs w:val="22"/>
          <w:lang w:val="fr-CH" w:eastAsia="en-US"/>
        </w:rPr>
        <w:t>’</w:t>
      </w:r>
      <w:r w:rsidRPr="00777AE2">
        <w:rPr>
          <w:rFonts w:eastAsia="Times New Roman"/>
          <w:color w:val="3B3B3B"/>
          <w:szCs w:val="22"/>
          <w:lang w:val="fr-CH" w:eastAsia="en-US"/>
        </w:rPr>
        <w:t>analyse des brevets afin de mettre en évidence des possibilités de collaboration avec d</w:t>
      </w:r>
      <w:r w:rsidR="001D239E">
        <w:rPr>
          <w:rFonts w:eastAsia="Times New Roman"/>
          <w:color w:val="3B3B3B"/>
          <w:szCs w:val="22"/>
          <w:lang w:val="fr-CH" w:eastAsia="en-US"/>
        </w:rPr>
        <w:t>’</w:t>
      </w:r>
      <w:r w:rsidRPr="00777AE2">
        <w:rPr>
          <w:rFonts w:eastAsia="Times New Roman"/>
          <w:color w:val="3B3B3B"/>
          <w:szCs w:val="22"/>
          <w:lang w:val="fr-CH" w:eastAsia="en-US"/>
        </w:rPr>
        <w:t>autres pays dans les domaines de la recherche et de la science.</w:t>
      </w:r>
    </w:p>
    <w:p w:rsidR="001D239E" w:rsidRDefault="006A2B8A" w:rsidP="00B523AC">
      <w:pPr>
        <w:spacing w:before="360" w:after="22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27</w:t>
      </w:r>
    </w:p>
    <w:p w:rsidR="00564AB5" w:rsidRPr="00777AE2" w:rsidRDefault="006A2B8A" w:rsidP="006A2B8A">
      <w:pPr>
        <w:spacing w:line="276" w:lineRule="auto"/>
        <w:rPr>
          <w:rFonts w:eastAsia="Times New Roman"/>
          <w:color w:val="3B3B3B"/>
          <w:szCs w:val="22"/>
          <w:lang w:val="fr-CH" w:eastAsia="en-US"/>
        </w:rPr>
      </w:pPr>
      <w:r w:rsidRPr="00777AE2">
        <w:rPr>
          <w:rFonts w:eastAsia="Times New Roman"/>
          <w:color w:val="3B3B3B"/>
          <w:szCs w:val="22"/>
          <w:lang w:val="fr-CH" w:eastAsia="en-US"/>
        </w:rPr>
        <w:t>Promouvoir les aspects</w:t>
      </w:r>
      <w:r w:rsidR="001D239E" w:rsidRPr="00777AE2">
        <w:rPr>
          <w:rFonts w:eastAsia="Times New Roman"/>
          <w:color w:val="3B3B3B"/>
          <w:szCs w:val="22"/>
          <w:lang w:val="fr-CH" w:eastAsia="en-US"/>
        </w:rPr>
        <w:t xml:space="preserve"> des</w:t>
      </w:r>
      <w:r w:rsidR="001D239E">
        <w:rPr>
          <w:rFonts w:eastAsia="Times New Roman"/>
          <w:color w:val="3B3B3B"/>
          <w:szCs w:val="22"/>
          <w:lang w:val="fr-CH" w:eastAsia="en-US"/>
        </w:rPr>
        <w:t> </w:t>
      </w:r>
      <w:r w:rsidR="001D239E" w:rsidRPr="00777AE2">
        <w:rPr>
          <w:rFonts w:eastAsia="Times New Roman"/>
          <w:color w:val="3B3B3B"/>
          <w:szCs w:val="22"/>
          <w:lang w:val="fr-CH" w:eastAsia="en-US"/>
        </w:rPr>
        <w:t>TIC</w:t>
      </w:r>
      <w:r w:rsidRPr="00777AE2">
        <w:rPr>
          <w:rFonts w:eastAsia="Times New Roman"/>
          <w:color w:val="3B3B3B"/>
          <w:szCs w:val="22"/>
          <w:lang w:val="fr-CH" w:eastAsia="en-US"/>
        </w:rPr>
        <w:t xml:space="preserve"> liés à la propriété intellectuelle en faveur de la croissance et du développement</w:t>
      </w:r>
      <w:r w:rsidR="001D239E">
        <w:rPr>
          <w:rFonts w:eastAsia="Times New Roman"/>
          <w:color w:val="3B3B3B"/>
          <w:szCs w:val="22"/>
          <w:lang w:val="fr-CH" w:eastAsia="en-US"/>
        </w:rPr>
        <w:t> :</w:t>
      </w:r>
      <w:r w:rsidRPr="00777AE2">
        <w:rPr>
          <w:rFonts w:eastAsia="Times New Roman"/>
          <w:color w:val="3B3B3B"/>
          <w:szCs w:val="22"/>
          <w:lang w:val="fr-CH" w:eastAsia="en-US"/>
        </w:rPr>
        <w:t xml:space="preserve"> permettre, dans le cadre d</w:t>
      </w:r>
      <w:r w:rsidR="001D239E">
        <w:rPr>
          <w:rFonts w:eastAsia="Times New Roman"/>
          <w:color w:val="3B3B3B"/>
          <w:szCs w:val="22"/>
          <w:lang w:val="fr-CH" w:eastAsia="en-US"/>
        </w:rPr>
        <w:t>’</w:t>
      </w:r>
      <w:r w:rsidRPr="00777AE2">
        <w:rPr>
          <w:rFonts w:eastAsia="Times New Roman"/>
          <w:color w:val="3B3B3B"/>
          <w:szCs w:val="22"/>
          <w:lang w:val="fr-CH" w:eastAsia="en-US"/>
        </w:rPr>
        <w:t>un organe compétent de l</w:t>
      </w:r>
      <w:r w:rsidR="001D239E">
        <w:rPr>
          <w:rFonts w:eastAsia="Times New Roman"/>
          <w:color w:val="3B3B3B"/>
          <w:szCs w:val="22"/>
          <w:lang w:val="fr-CH" w:eastAsia="en-US"/>
        </w:rPr>
        <w:t>’</w:t>
      </w:r>
      <w:r w:rsidRPr="00777AE2">
        <w:rPr>
          <w:rFonts w:eastAsia="Times New Roman"/>
          <w:color w:val="3B3B3B"/>
          <w:szCs w:val="22"/>
          <w:lang w:val="fr-CH" w:eastAsia="en-US"/>
        </w:rPr>
        <w:t>OMPI, des discussions axées sur l</w:t>
      </w:r>
      <w:r w:rsidR="001D239E">
        <w:rPr>
          <w:rFonts w:eastAsia="Times New Roman"/>
          <w:color w:val="3B3B3B"/>
          <w:szCs w:val="22"/>
          <w:lang w:val="fr-CH" w:eastAsia="en-US"/>
        </w:rPr>
        <w:t>’</w:t>
      </w:r>
      <w:r w:rsidRPr="00777AE2">
        <w:rPr>
          <w:rFonts w:eastAsia="Times New Roman"/>
          <w:color w:val="3B3B3B"/>
          <w:szCs w:val="22"/>
          <w:lang w:val="fr-CH" w:eastAsia="en-US"/>
        </w:rPr>
        <w:t>importance des aspects</w:t>
      </w:r>
      <w:r w:rsidR="001D239E" w:rsidRPr="00777AE2">
        <w:rPr>
          <w:rFonts w:eastAsia="Times New Roman"/>
          <w:color w:val="3B3B3B"/>
          <w:szCs w:val="22"/>
          <w:lang w:val="fr-CH" w:eastAsia="en-US"/>
        </w:rPr>
        <w:t xml:space="preserve"> des</w:t>
      </w:r>
      <w:r w:rsidR="001D239E">
        <w:rPr>
          <w:rFonts w:eastAsia="Times New Roman"/>
          <w:color w:val="3B3B3B"/>
          <w:szCs w:val="22"/>
          <w:lang w:val="fr-CH" w:eastAsia="en-US"/>
        </w:rPr>
        <w:t> </w:t>
      </w:r>
      <w:r w:rsidR="001D239E" w:rsidRPr="00777AE2">
        <w:rPr>
          <w:rFonts w:eastAsia="Times New Roman"/>
          <w:color w:val="3B3B3B"/>
          <w:szCs w:val="22"/>
          <w:lang w:val="fr-CH" w:eastAsia="en-US"/>
        </w:rPr>
        <w:t>TIC</w:t>
      </w:r>
      <w:r w:rsidRPr="00777AE2">
        <w:rPr>
          <w:rFonts w:eastAsia="Times New Roman"/>
          <w:color w:val="3B3B3B"/>
          <w:szCs w:val="22"/>
          <w:lang w:val="fr-CH" w:eastAsia="en-US"/>
        </w:rPr>
        <w:t xml:space="preserve"> liés à la propriété intellectuelle et de leur rôle dans le développement économique et culturel, une attention particulière devant être accordée à la nécessité d</w:t>
      </w:r>
      <w:r w:rsidR="001D239E">
        <w:rPr>
          <w:rFonts w:eastAsia="Times New Roman"/>
          <w:color w:val="3B3B3B"/>
          <w:szCs w:val="22"/>
          <w:lang w:val="fr-CH" w:eastAsia="en-US"/>
        </w:rPr>
        <w:t>’</w:t>
      </w:r>
      <w:r w:rsidRPr="00777AE2">
        <w:rPr>
          <w:rFonts w:eastAsia="Times New Roman"/>
          <w:color w:val="3B3B3B"/>
          <w:szCs w:val="22"/>
          <w:lang w:val="fr-CH" w:eastAsia="en-US"/>
        </w:rPr>
        <w:t>aider les États membres à déterminer des stratégies de propriété intellectuelle concrètes en ce qui concerne l</w:t>
      </w:r>
      <w:r w:rsidR="001D239E">
        <w:rPr>
          <w:rFonts w:eastAsia="Times New Roman"/>
          <w:color w:val="3B3B3B"/>
          <w:szCs w:val="22"/>
          <w:lang w:val="fr-CH" w:eastAsia="en-US"/>
        </w:rPr>
        <w:t>’</w:t>
      </w:r>
      <w:r w:rsidRPr="00777AE2">
        <w:rPr>
          <w:rFonts w:eastAsia="Times New Roman"/>
          <w:color w:val="3B3B3B"/>
          <w:szCs w:val="22"/>
          <w:lang w:val="fr-CH" w:eastAsia="en-US"/>
        </w:rPr>
        <w:t>utilisation</w:t>
      </w:r>
      <w:r w:rsidR="001D239E" w:rsidRPr="00777AE2">
        <w:rPr>
          <w:rFonts w:eastAsia="Times New Roman"/>
          <w:color w:val="3B3B3B"/>
          <w:szCs w:val="22"/>
          <w:lang w:val="fr-CH" w:eastAsia="en-US"/>
        </w:rPr>
        <w:t xml:space="preserve"> des</w:t>
      </w:r>
      <w:r w:rsidR="001D239E">
        <w:rPr>
          <w:rFonts w:eastAsia="Times New Roman"/>
          <w:color w:val="3B3B3B"/>
          <w:szCs w:val="22"/>
          <w:lang w:val="fr-CH" w:eastAsia="en-US"/>
        </w:rPr>
        <w:t> </w:t>
      </w:r>
      <w:r w:rsidR="001D239E" w:rsidRPr="00777AE2">
        <w:rPr>
          <w:rFonts w:eastAsia="Times New Roman"/>
          <w:color w:val="3B3B3B"/>
          <w:szCs w:val="22"/>
          <w:lang w:val="fr-CH" w:eastAsia="en-US"/>
        </w:rPr>
        <w:t>TIC</w:t>
      </w:r>
      <w:r w:rsidRPr="00777AE2">
        <w:rPr>
          <w:rFonts w:eastAsia="Times New Roman"/>
          <w:color w:val="3B3B3B"/>
          <w:szCs w:val="22"/>
          <w:lang w:val="fr-CH" w:eastAsia="en-US"/>
        </w:rPr>
        <w:t xml:space="preserve"> au service du développement économique, social et culturel.</w:t>
      </w:r>
    </w:p>
    <w:p w:rsidR="00564AB5" w:rsidRPr="00777AE2"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6A2B8A" w:rsidP="001A5086">
      <w:pPr>
        <w:numPr>
          <w:ilvl w:val="0"/>
          <w:numId w:val="19"/>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w:t>
      </w:r>
      <w:r w:rsidR="001D239E">
        <w:rPr>
          <w:rFonts w:eastAsia="Times New Roman"/>
          <w:color w:val="3B3B3B"/>
          <w:szCs w:val="22"/>
          <w:lang w:val="fr-CH" w:eastAsia="en-US"/>
        </w:rPr>
        <w:t>’</w:t>
      </w:r>
      <w:r w:rsidRPr="00777AE2">
        <w:rPr>
          <w:rFonts w:eastAsia="Times New Roman"/>
          <w:color w:val="3B3B3B"/>
          <w:szCs w:val="22"/>
          <w:lang w:val="fr-CH" w:eastAsia="en-US"/>
        </w:rPr>
        <w:t>initiatives d</w:t>
      </w:r>
      <w:r w:rsidR="001D239E">
        <w:rPr>
          <w:rFonts w:eastAsia="Times New Roman"/>
          <w:color w:val="3B3B3B"/>
          <w:szCs w:val="22"/>
          <w:lang w:val="fr-CH" w:eastAsia="en-US"/>
        </w:rPr>
        <w:t>’</w:t>
      </w:r>
      <w:r w:rsidRPr="00777AE2">
        <w:rPr>
          <w:rFonts w:eastAsia="Times New Roman"/>
          <w:color w:val="3B3B3B"/>
          <w:szCs w:val="22"/>
          <w:lang w:val="fr-CH" w:eastAsia="en-US"/>
        </w:rPr>
        <w:t xml:space="preserve">assistance technique et de renforcement des capacités </w:t>
      </w:r>
      <w:r w:rsidR="007120F0">
        <w:rPr>
          <w:rFonts w:eastAsia="Times New Roman"/>
          <w:color w:val="3B3B3B"/>
          <w:szCs w:val="22"/>
          <w:lang w:val="fr-CH" w:eastAsia="en-US"/>
        </w:rPr>
        <w:t>relatives à</w:t>
      </w:r>
      <w:r w:rsidRPr="00777AE2">
        <w:rPr>
          <w:rFonts w:eastAsia="Times New Roman"/>
          <w:color w:val="3B3B3B"/>
          <w:szCs w:val="22"/>
          <w:lang w:val="fr-CH" w:eastAsia="en-US"/>
        </w:rPr>
        <w:t xml:space="preserve"> l</w:t>
      </w:r>
      <w:r w:rsidR="001D239E">
        <w:rPr>
          <w:rFonts w:eastAsia="Times New Roman"/>
          <w:color w:val="3B3B3B"/>
          <w:szCs w:val="22"/>
          <w:lang w:val="fr-CH" w:eastAsia="en-US"/>
        </w:rPr>
        <w:t>’</w:t>
      </w:r>
      <w:r w:rsidRPr="00777AE2">
        <w:rPr>
          <w:rFonts w:eastAsia="Times New Roman"/>
          <w:color w:val="3B3B3B"/>
          <w:szCs w:val="22"/>
          <w:lang w:val="fr-CH" w:eastAsia="en-US"/>
        </w:rPr>
        <w:t>élaboration de stratégies ou d</w:t>
      </w:r>
      <w:r w:rsidR="001D239E">
        <w:rPr>
          <w:rFonts w:eastAsia="Times New Roman"/>
          <w:color w:val="3B3B3B"/>
          <w:szCs w:val="22"/>
          <w:lang w:val="fr-CH" w:eastAsia="en-US"/>
        </w:rPr>
        <w:t>’</w:t>
      </w:r>
      <w:r w:rsidRPr="00777AE2">
        <w:rPr>
          <w:rFonts w:eastAsia="Times New Roman"/>
          <w:color w:val="3B3B3B"/>
          <w:szCs w:val="22"/>
          <w:lang w:val="fr-CH" w:eastAsia="en-US"/>
        </w:rPr>
        <w:t>orientations en matière de propriété intellectuelle aux fins de l</w:t>
      </w:r>
      <w:r w:rsidR="001D239E">
        <w:rPr>
          <w:rFonts w:eastAsia="Times New Roman"/>
          <w:color w:val="3B3B3B"/>
          <w:szCs w:val="22"/>
          <w:lang w:val="fr-CH" w:eastAsia="en-US"/>
        </w:rPr>
        <w:t>’</w:t>
      </w:r>
      <w:r w:rsidRPr="00777AE2">
        <w:rPr>
          <w:rFonts w:eastAsia="Times New Roman"/>
          <w:color w:val="3B3B3B"/>
          <w:szCs w:val="22"/>
          <w:lang w:val="fr-CH" w:eastAsia="en-US"/>
        </w:rPr>
        <w:t>utilisation de la propriété intellectuelle et, partant, de la diffusion de nouvelles connaissances au service du développement économique, social ou culturel des pays en développement.</w:t>
      </w:r>
    </w:p>
    <w:p w:rsidR="00564AB5" w:rsidRPr="00777AE2" w:rsidRDefault="00AE3FEC" w:rsidP="001A5086">
      <w:pPr>
        <w:numPr>
          <w:ilvl w:val="0"/>
          <w:numId w:val="19"/>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demandes déposées en vertu</w:t>
      </w:r>
      <w:r w:rsidR="001D239E" w:rsidRPr="00777AE2">
        <w:rPr>
          <w:rFonts w:eastAsia="Times New Roman"/>
          <w:color w:val="3B3B3B"/>
          <w:szCs w:val="22"/>
          <w:lang w:val="fr-CH" w:eastAsia="en-US"/>
        </w:rPr>
        <w:t xml:space="preserve"> du</w:t>
      </w:r>
      <w:r w:rsidR="001D239E">
        <w:rPr>
          <w:rFonts w:eastAsia="Times New Roman"/>
          <w:color w:val="3B3B3B"/>
          <w:szCs w:val="22"/>
          <w:lang w:val="fr-CH" w:eastAsia="en-US"/>
        </w:rPr>
        <w:t> </w:t>
      </w:r>
      <w:r w:rsidR="001D239E" w:rsidRPr="00777AE2">
        <w:rPr>
          <w:rFonts w:eastAsia="Times New Roman"/>
          <w:color w:val="3B3B3B"/>
          <w:szCs w:val="22"/>
          <w:lang w:val="fr-CH" w:eastAsia="en-US"/>
        </w:rPr>
        <w:t>PCT</w:t>
      </w:r>
      <w:r w:rsidRPr="00777AE2">
        <w:rPr>
          <w:rFonts w:eastAsia="Times New Roman"/>
          <w:color w:val="3B3B3B"/>
          <w:szCs w:val="22"/>
          <w:lang w:val="fr-CH" w:eastAsia="en-US"/>
        </w:rPr>
        <w:t xml:space="preserve"> par un déposant originaire d</w:t>
      </w:r>
      <w:r w:rsidR="001D239E">
        <w:rPr>
          <w:rFonts w:eastAsia="Times New Roman"/>
          <w:color w:val="3B3B3B"/>
          <w:szCs w:val="22"/>
          <w:lang w:val="fr-CH" w:eastAsia="en-US"/>
        </w:rPr>
        <w:t>’</w:t>
      </w:r>
      <w:r w:rsidRPr="00777AE2">
        <w:rPr>
          <w:rFonts w:eastAsia="Times New Roman"/>
          <w:color w:val="3B3B3B"/>
          <w:szCs w:val="22"/>
          <w:lang w:val="fr-CH" w:eastAsia="en-US"/>
        </w:rPr>
        <w:t>un pays en développement et comprenant les codes</w:t>
      </w:r>
      <w:r w:rsidR="00750D88">
        <w:rPr>
          <w:rFonts w:eastAsia="Times New Roman"/>
          <w:color w:val="3B3B3B"/>
          <w:szCs w:val="22"/>
          <w:lang w:val="fr-CH" w:eastAsia="en-US"/>
        </w:rPr>
        <w:t> </w:t>
      </w:r>
      <w:r w:rsidRPr="00777AE2">
        <w:rPr>
          <w:rFonts w:eastAsia="Times New Roman"/>
          <w:color w:val="3B3B3B"/>
          <w:szCs w:val="22"/>
          <w:lang w:val="fr-CH" w:eastAsia="en-US"/>
        </w:rPr>
        <w:t>G06Q, G06F, H04M, H04B et H04L</w:t>
      </w:r>
      <w:r w:rsidR="009C28D1" w:rsidRPr="009C28D1">
        <w:rPr>
          <w:rFonts w:eastAsia="Times New Roman"/>
          <w:color w:val="3B3B3B"/>
          <w:szCs w:val="22"/>
          <w:lang w:val="fr-CH" w:eastAsia="en-US"/>
        </w:rPr>
        <w:t xml:space="preserve"> </w:t>
      </w:r>
      <w:r w:rsidR="009C28D1" w:rsidRPr="00777AE2">
        <w:rPr>
          <w:rFonts w:eastAsia="Times New Roman"/>
          <w:color w:val="3B3B3B"/>
          <w:szCs w:val="22"/>
          <w:lang w:val="fr-CH" w:eastAsia="en-US"/>
        </w:rPr>
        <w:t>de</w:t>
      </w:r>
      <w:r w:rsidR="001D239E" w:rsidRPr="00777AE2">
        <w:rPr>
          <w:rFonts w:eastAsia="Times New Roman"/>
          <w:color w:val="3B3B3B"/>
          <w:szCs w:val="22"/>
          <w:lang w:val="fr-CH" w:eastAsia="en-US"/>
        </w:rPr>
        <w:t xml:space="preserve"> la</w:t>
      </w:r>
      <w:r w:rsidR="001D239E">
        <w:rPr>
          <w:rFonts w:eastAsia="Times New Roman"/>
          <w:color w:val="3B3B3B"/>
          <w:szCs w:val="22"/>
          <w:lang w:val="fr-CH" w:eastAsia="en-US"/>
        </w:rPr>
        <w:t> </w:t>
      </w:r>
      <w:r w:rsidR="001D239E" w:rsidRPr="00777AE2">
        <w:rPr>
          <w:rFonts w:eastAsia="Times New Roman"/>
          <w:color w:val="3B3B3B"/>
          <w:szCs w:val="22"/>
          <w:lang w:val="fr-CH" w:eastAsia="en-US"/>
        </w:rPr>
        <w:t>CIB</w:t>
      </w:r>
      <w:r w:rsidRPr="00777AE2">
        <w:rPr>
          <w:rFonts w:eastAsia="Times New Roman"/>
          <w:color w:val="3B3B3B"/>
          <w:szCs w:val="22"/>
          <w:lang w:val="fr-CH" w:eastAsia="en-US"/>
        </w:rPr>
        <w:t>.</w:t>
      </w:r>
    </w:p>
    <w:p w:rsidR="00564AB5" w:rsidRPr="00332F64" w:rsidRDefault="00AE3FEC" w:rsidP="00332F64">
      <w:pPr>
        <w:keepNext/>
        <w:spacing w:before="360" w:after="220" w:line="276" w:lineRule="auto"/>
        <w:rPr>
          <w:rFonts w:eastAsia="Times New Roman"/>
          <w:b/>
          <w:color w:val="3B3B3B"/>
          <w:szCs w:val="22"/>
          <w:lang w:val="fr-CH" w:eastAsia="en-US"/>
        </w:rPr>
      </w:pPr>
      <w:r w:rsidRPr="00332F64">
        <w:rPr>
          <w:rFonts w:eastAsia="Times New Roman"/>
          <w:b/>
          <w:color w:val="3B3B3B"/>
          <w:szCs w:val="22"/>
          <w:lang w:val="fr-CH" w:eastAsia="en-US"/>
        </w:rPr>
        <w:t xml:space="preserve">Recommandation </w:t>
      </w:r>
      <w:r w:rsidR="00605B5E" w:rsidRPr="00332F64">
        <w:rPr>
          <w:rFonts w:eastAsia="Times New Roman"/>
          <w:b/>
          <w:color w:val="3B3B3B"/>
          <w:szCs w:val="22"/>
          <w:lang w:val="fr-CH" w:eastAsia="en-US"/>
        </w:rPr>
        <w:t>n° </w:t>
      </w:r>
      <w:r w:rsidRPr="00332F64">
        <w:rPr>
          <w:rFonts w:eastAsia="Times New Roman"/>
          <w:b/>
          <w:color w:val="3B3B3B"/>
          <w:szCs w:val="22"/>
          <w:lang w:val="fr-CH" w:eastAsia="en-US"/>
        </w:rPr>
        <w:t>28</w:t>
      </w:r>
    </w:p>
    <w:p w:rsidR="00564AB5" w:rsidRPr="00777AE2" w:rsidRDefault="00AE3FEC" w:rsidP="00332F64">
      <w:pPr>
        <w:keepNext/>
        <w:spacing w:before="220" w:after="180" w:line="276" w:lineRule="auto"/>
        <w:rPr>
          <w:rFonts w:eastAsia="Times New Roman"/>
          <w:color w:val="3B3B3B"/>
          <w:szCs w:val="22"/>
          <w:lang w:val="fr-CH" w:eastAsia="en-US"/>
        </w:rPr>
      </w:pPr>
      <w:r w:rsidRPr="00777AE2">
        <w:rPr>
          <w:rFonts w:eastAsia="Times New Roman"/>
          <w:color w:val="3B3B3B"/>
          <w:szCs w:val="22"/>
          <w:lang w:val="fr-CH" w:eastAsia="en-US"/>
        </w:rPr>
        <w:t>Examiner les politiques et mesures relatives à la propriété intellectuelle que les États membres, en particulier les pays industrialisés, pourraient adopter pour promouvoir le transfert et la diffusion de la technologie vers les pays en développement.</w:t>
      </w:r>
    </w:p>
    <w:p w:rsidR="00564AB5" w:rsidRPr="00777AE2"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AE3FEC" w:rsidP="001E5355">
      <w:pPr>
        <w:keepNext/>
        <w:keepLines/>
        <w:numPr>
          <w:ilvl w:val="0"/>
          <w:numId w:val="20"/>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séances d</w:t>
      </w:r>
      <w:r w:rsidR="001D239E">
        <w:rPr>
          <w:rFonts w:eastAsia="Times New Roman"/>
          <w:color w:val="3B3B3B"/>
          <w:szCs w:val="22"/>
          <w:lang w:val="fr-CH" w:eastAsia="en-US"/>
        </w:rPr>
        <w:t>’</w:t>
      </w:r>
      <w:r w:rsidRPr="00777AE2">
        <w:rPr>
          <w:rFonts w:eastAsia="Times New Roman"/>
          <w:color w:val="3B3B3B"/>
          <w:szCs w:val="22"/>
          <w:lang w:val="fr-CH" w:eastAsia="en-US"/>
        </w:rPr>
        <w:t>échange d</w:t>
      </w:r>
      <w:r w:rsidR="001D239E">
        <w:rPr>
          <w:rFonts w:eastAsia="Times New Roman"/>
          <w:color w:val="3B3B3B"/>
          <w:szCs w:val="22"/>
          <w:lang w:val="fr-CH" w:eastAsia="en-US"/>
        </w:rPr>
        <w:t>’</w:t>
      </w:r>
      <w:r w:rsidRPr="00777AE2">
        <w:rPr>
          <w:rFonts w:eastAsia="Times New Roman"/>
          <w:color w:val="3B3B3B"/>
          <w:szCs w:val="22"/>
          <w:lang w:val="fr-CH" w:eastAsia="en-US"/>
        </w:rPr>
        <w:t xml:space="preserve">informations </w:t>
      </w:r>
      <w:r w:rsidR="004F312F">
        <w:rPr>
          <w:rFonts w:eastAsia="Times New Roman"/>
          <w:color w:val="3B3B3B"/>
          <w:szCs w:val="22"/>
          <w:lang w:val="fr-CH" w:eastAsia="en-US"/>
        </w:rPr>
        <w:t xml:space="preserve">tenues </w:t>
      </w:r>
      <w:r w:rsidRPr="00777AE2">
        <w:rPr>
          <w:rFonts w:eastAsia="Times New Roman"/>
          <w:color w:val="3B3B3B"/>
          <w:szCs w:val="22"/>
          <w:lang w:val="fr-CH" w:eastAsia="en-US"/>
        </w:rPr>
        <w:t>pour permettre aux pays en développement de faire part aux pays industrialisés de leur besoin de recevoir et de diffuser la technologie transférée.</w:t>
      </w:r>
    </w:p>
    <w:p w:rsidR="00564AB5" w:rsidRPr="00777AE2" w:rsidRDefault="0093061B" w:rsidP="001A5086">
      <w:pPr>
        <w:numPr>
          <w:ilvl w:val="0"/>
          <w:numId w:val="20"/>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recueils de pratiques recommandées élaborés par l</w:t>
      </w:r>
      <w:r w:rsidR="001D239E">
        <w:rPr>
          <w:rFonts w:eastAsia="Times New Roman"/>
          <w:color w:val="3B3B3B"/>
          <w:szCs w:val="22"/>
          <w:lang w:val="fr-CH" w:eastAsia="en-US"/>
        </w:rPr>
        <w:t>’</w:t>
      </w:r>
      <w:r w:rsidRPr="00777AE2">
        <w:rPr>
          <w:rFonts w:eastAsia="Times New Roman"/>
          <w:color w:val="3B3B3B"/>
          <w:szCs w:val="22"/>
          <w:lang w:val="fr-CH" w:eastAsia="en-US"/>
        </w:rPr>
        <w:t>OMPI à l</w:t>
      </w:r>
      <w:r w:rsidR="001D239E">
        <w:rPr>
          <w:rFonts w:eastAsia="Times New Roman"/>
          <w:color w:val="3B3B3B"/>
          <w:szCs w:val="22"/>
          <w:lang w:val="fr-CH" w:eastAsia="en-US"/>
        </w:rPr>
        <w:t>’</w:t>
      </w:r>
      <w:r w:rsidRPr="00777AE2">
        <w:rPr>
          <w:rFonts w:eastAsia="Times New Roman"/>
          <w:color w:val="3B3B3B"/>
          <w:szCs w:val="22"/>
          <w:lang w:val="fr-CH" w:eastAsia="en-US"/>
        </w:rPr>
        <w:t>issue des séances d</w:t>
      </w:r>
      <w:r w:rsidR="001D239E">
        <w:rPr>
          <w:rFonts w:eastAsia="Times New Roman"/>
          <w:color w:val="3B3B3B"/>
          <w:szCs w:val="22"/>
          <w:lang w:val="fr-CH" w:eastAsia="en-US"/>
        </w:rPr>
        <w:t>’</w:t>
      </w:r>
      <w:r w:rsidRPr="00777AE2">
        <w:rPr>
          <w:rFonts w:eastAsia="Times New Roman"/>
          <w:color w:val="3B3B3B"/>
          <w:szCs w:val="22"/>
          <w:lang w:val="fr-CH" w:eastAsia="en-US"/>
        </w:rPr>
        <w:t>échange d</w:t>
      </w:r>
      <w:r w:rsidR="001D239E">
        <w:rPr>
          <w:rFonts w:eastAsia="Times New Roman"/>
          <w:color w:val="3B3B3B"/>
          <w:szCs w:val="22"/>
          <w:lang w:val="fr-CH" w:eastAsia="en-US"/>
        </w:rPr>
        <w:t>’</w:t>
      </w:r>
      <w:r w:rsidRPr="00777AE2">
        <w:rPr>
          <w:rFonts w:eastAsia="Times New Roman"/>
          <w:color w:val="3B3B3B"/>
          <w:szCs w:val="22"/>
          <w:lang w:val="fr-CH" w:eastAsia="en-US"/>
        </w:rPr>
        <w:t xml:space="preserve">informations sur les politiques relatives à la propriété intellectuelle devant être élaborées et mises en </w:t>
      </w:r>
      <w:r w:rsidR="00ED52B7" w:rsidRPr="00777AE2">
        <w:rPr>
          <w:rFonts w:eastAsia="Times New Roman"/>
          <w:color w:val="3B3B3B"/>
          <w:szCs w:val="22"/>
          <w:lang w:val="fr-CH" w:eastAsia="en-US"/>
        </w:rPr>
        <w:t>œuvre</w:t>
      </w:r>
      <w:r w:rsidRPr="00777AE2">
        <w:rPr>
          <w:rFonts w:eastAsia="Times New Roman"/>
          <w:color w:val="3B3B3B"/>
          <w:szCs w:val="22"/>
          <w:lang w:val="fr-CH" w:eastAsia="en-US"/>
        </w:rPr>
        <w:t xml:space="preserve"> par les pays en développement pour promouvoir de manière optimale le transfert et la diffusion de la technologie vers les pays en développement.</w:t>
      </w:r>
    </w:p>
    <w:p w:rsidR="001D239E" w:rsidRDefault="0093061B" w:rsidP="00B523AC">
      <w:pPr>
        <w:spacing w:before="360" w:after="22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29</w:t>
      </w:r>
    </w:p>
    <w:p w:rsidR="00564AB5" w:rsidRPr="00777AE2" w:rsidRDefault="0093061B" w:rsidP="0093061B">
      <w:pPr>
        <w:spacing w:line="276" w:lineRule="auto"/>
        <w:rPr>
          <w:rFonts w:eastAsia="Times New Roman"/>
          <w:color w:val="3B3B3B"/>
          <w:szCs w:val="22"/>
          <w:lang w:val="fr-CH" w:eastAsia="en-US"/>
        </w:rPr>
      </w:pPr>
      <w:r w:rsidRPr="00777AE2">
        <w:rPr>
          <w:rFonts w:eastAsia="Times New Roman"/>
          <w:color w:val="3B3B3B"/>
          <w:szCs w:val="22"/>
          <w:lang w:val="fr-CH" w:eastAsia="en-US"/>
        </w:rPr>
        <w:t>Inscrire les délibérations sur les questions relatives au transfert de technologie en rapport avec la propriété intellectuelle dans le mandat d</w:t>
      </w:r>
      <w:r w:rsidR="001D239E">
        <w:rPr>
          <w:rFonts w:eastAsia="Times New Roman"/>
          <w:color w:val="3B3B3B"/>
          <w:szCs w:val="22"/>
          <w:lang w:val="fr-CH" w:eastAsia="en-US"/>
        </w:rPr>
        <w:t>’</w:t>
      </w:r>
      <w:r w:rsidRPr="00777AE2">
        <w:rPr>
          <w:rFonts w:eastAsia="Times New Roman"/>
          <w:color w:val="3B3B3B"/>
          <w:szCs w:val="22"/>
          <w:lang w:val="fr-CH" w:eastAsia="en-US"/>
        </w:rPr>
        <w:t>un organe approprié de l</w:t>
      </w:r>
      <w:r w:rsidR="001D239E">
        <w:rPr>
          <w:rFonts w:eastAsia="Times New Roman"/>
          <w:color w:val="3B3B3B"/>
          <w:szCs w:val="22"/>
          <w:lang w:val="fr-CH" w:eastAsia="en-US"/>
        </w:rPr>
        <w:t>’</w:t>
      </w:r>
      <w:r w:rsidRPr="00777AE2">
        <w:rPr>
          <w:rFonts w:eastAsia="Times New Roman"/>
          <w:color w:val="3B3B3B"/>
          <w:szCs w:val="22"/>
          <w:lang w:val="fr-CH" w:eastAsia="en-US"/>
        </w:rPr>
        <w:t>OMPI.</w:t>
      </w:r>
    </w:p>
    <w:p w:rsidR="00564AB5" w:rsidRPr="00777AE2" w:rsidRDefault="00564AB5" w:rsidP="00584FE6">
      <w:pPr>
        <w:spacing w:line="276" w:lineRule="auto"/>
        <w:rPr>
          <w:rFonts w:eastAsia="Times New Roman"/>
          <w:color w:val="3B3B3B"/>
          <w:szCs w:val="22"/>
          <w:lang w:val="fr-CH" w:eastAsia="en-US"/>
        </w:rPr>
      </w:pPr>
    </w:p>
    <w:p w:rsidR="00564AB5" w:rsidRPr="00777AE2"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BE3C55" w:rsidP="001A5086">
      <w:pPr>
        <w:keepNext/>
        <w:keepLines/>
        <w:numPr>
          <w:ilvl w:val="0"/>
          <w:numId w:val="21"/>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 xml:space="preserve">Nombre </w:t>
      </w:r>
      <w:r w:rsidR="00D85229">
        <w:rPr>
          <w:rFonts w:eastAsia="Times New Roman"/>
          <w:color w:val="3B3B3B"/>
          <w:szCs w:val="22"/>
          <w:lang w:val="fr-CH" w:eastAsia="en-US"/>
        </w:rPr>
        <w:t xml:space="preserve">de </w:t>
      </w:r>
      <w:r w:rsidR="00D85229" w:rsidRPr="00777AE2">
        <w:rPr>
          <w:rFonts w:eastAsia="Times New Roman"/>
          <w:color w:val="3B3B3B"/>
          <w:szCs w:val="22"/>
          <w:lang w:val="fr-CH" w:eastAsia="en-US"/>
        </w:rPr>
        <w:t>délibérations</w:t>
      </w:r>
      <w:r w:rsidRPr="00777AE2">
        <w:rPr>
          <w:rFonts w:eastAsia="Times New Roman"/>
          <w:color w:val="3B3B3B"/>
          <w:szCs w:val="22"/>
          <w:lang w:val="fr-CH" w:eastAsia="en-US"/>
        </w:rPr>
        <w:t xml:space="preserve"> de fond</w:t>
      </w:r>
      <w:r w:rsidRPr="00777AE2">
        <w:rPr>
          <w:rStyle w:val="FootnoteReference"/>
          <w:rFonts w:eastAsia="Times New Roman"/>
          <w:color w:val="3B3B3B"/>
          <w:szCs w:val="22"/>
          <w:lang w:val="fr-CH" w:eastAsia="en-US"/>
        </w:rPr>
        <w:footnoteReference w:id="3"/>
      </w:r>
      <w:r w:rsidRPr="00777AE2">
        <w:rPr>
          <w:rFonts w:eastAsia="Times New Roman"/>
          <w:color w:val="3B3B3B"/>
          <w:szCs w:val="22"/>
          <w:lang w:val="fr-CH" w:eastAsia="en-US"/>
        </w:rPr>
        <w:t xml:space="preserve"> au sein</w:t>
      </w:r>
      <w:r w:rsidR="001D239E" w:rsidRPr="00777AE2">
        <w:rPr>
          <w:rFonts w:eastAsia="Times New Roman"/>
          <w:color w:val="3B3B3B"/>
          <w:szCs w:val="22"/>
          <w:lang w:val="fr-CH" w:eastAsia="en-US"/>
        </w:rPr>
        <w:t xml:space="preserve"> du</w:t>
      </w:r>
      <w:r w:rsidR="001D239E">
        <w:rPr>
          <w:rFonts w:eastAsia="Times New Roman"/>
          <w:color w:val="3B3B3B"/>
          <w:szCs w:val="22"/>
          <w:lang w:val="fr-CH" w:eastAsia="en-US"/>
        </w:rPr>
        <w:t> </w:t>
      </w:r>
      <w:r w:rsidR="001D239E" w:rsidRPr="00777AE2">
        <w:rPr>
          <w:rFonts w:eastAsia="Times New Roman"/>
          <w:color w:val="3B3B3B"/>
          <w:szCs w:val="22"/>
          <w:lang w:val="fr-CH" w:eastAsia="en-US"/>
        </w:rPr>
        <w:t>CDI</w:t>
      </w:r>
      <w:r w:rsidRPr="00777AE2">
        <w:rPr>
          <w:rFonts w:eastAsia="Times New Roman"/>
          <w:color w:val="3B3B3B"/>
          <w:szCs w:val="22"/>
          <w:lang w:val="fr-CH" w:eastAsia="en-US"/>
        </w:rPr>
        <w:t>P sur l</w:t>
      </w:r>
      <w:r w:rsidR="001D239E">
        <w:rPr>
          <w:rFonts w:eastAsia="Times New Roman"/>
          <w:color w:val="3B3B3B"/>
          <w:szCs w:val="22"/>
          <w:lang w:val="fr-CH" w:eastAsia="en-US"/>
        </w:rPr>
        <w:t>’</w:t>
      </w:r>
      <w:r w:rsidRPr="00777AE2">
        <w:rPr>
          <w:rFonts w:eastAsia="Times New Roman"/>
          <w:color w:val="3B3B3B"/>
          <w:szCs w:val="22"/>
          <w:lang w:val="fr-CH" w:eastAsia="en-US"/>
        </w:rPr>
        <w:t>utilisation de la propriété intellectuelle (sous toutes ses formes) dans le transfert de technologie au titre du point de l</w:t>
      </w:r>
      <w:r w:rsidR="001D239E">
        <w:rPr>
          <w:rFonts w:eastAsia="Times New Roman"/>
          <w:color w:val="3B3B3B"/>
          <w:szCs w:val="22"/>
          <w:lang w:val="fr-CH" w:eastAsia="en-US"/>
        </w:rPr>
        <w:t>’</w:t>
      </w:r>
      <w:r w:rsidRPr="00777AE2">
        <w:rPr>
          <w:rFonts w:eastAsia="Times New Roman"/>
          <w:color w:val="3B3B3B"/>
          <w:szCs w:val="22"/>
          <w:lang w:val="fr-CH" w:eastAsia="en-US"/>
        </w:rPr>
        <w:t>ordre du jour consacré à la propriété intellectuelle et au développement.</w:t>
      </w:r>
    </w:p>
    <w:p w:rsidR="00564AB5" w:rsidRPr="00777AE2" w:rsidRDefault="00BE3C55" w:rsidP="001A5086">
      <w:pPr>
        <w:numPr>
          <w:ilvl w:val="0"/>
          <w:numId w:val="21"/>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 xml:space="preserve">Nombre </w:t>
      </w:r>
      <w:r w:rsidR="00D85229">
        <w:rPr>
          <w:rFonts w:eastAsia="Times New Roman"/>
          <w:color w:val="3B3B3B"/>
          <w:szCs w:val="22"/>
          <w:lang w:val="fr-CH" w:eastAsia="en-US"/>
        </w:rPr>
        <w:t xml:space="preserve">de </w:t>
      </w:r>
      <w:r w:rsidR="00D85229" w:rsidRPr="00777AE2">
        <w:rPr>
          <w:rFonts w:eastAsia="Times New Roman"/>
          <w:color w:val="3B3B3B"/>
          <w:szCs w:val="22"/>
          <w:lang w:val="fr-CH" w:eastAsia="en-US"/>
        </w:rPr>
        <w:t xml:space="preserve">délibérations </w:t>
      </w:r>
      <w:r w:rsidRPr="00777AE2">
        <w:rPr>
          <w:rFonts w:eastAsia="Times New Roman"/>
          <w:color w:val="3B3B3B"/>
          <w:szCs w:val="22"/>
          <w:lang w:val="fr-CH" w:eastAsia="en-US"/>
        </w:rPr>
        <w:t>de fond au sein</w:t>
      </w:r>
      <w:r w:rsidR="001D239E" w:rsidRPr="00777AE2">
        <w:rPr>
          <w:rFonts w:eastAsia="Times New Roman"/>
          <w:color w:val="3B3B3B"/>
          <w:szCs w:val="22"/>
          <w:lang w:val="fr-CH" w:eastAsia="en-US"/>
        </w:rPr>
        <w:t xml:space="preserve"> du</w:t>
      </w:r>
      <w:r w:rsidR="001D239E">
        <w:rPr>
          <w:rFonts w:eastAsia="Times New Roman"/>
          <w:color w:val="3B3B3B"/>
          <w:szCs w:val="22"/>
          <w:lang w:val="fr-CH" w:eastAsia="en-US"/>
        </w:rPr>
        <w:t> </w:t>
      </w:r>
      <w:r w:rsidR="001D239E" w:rsidRPr="00777AE2">
        <w:rPr>
          <w:rFonts w:eastAsia="Times New Roman"/>
          <w:color w:val="3B3B3B"/>
          <w:szCs w:val="22"/>
          <w:lang w:val="fr-CH" w:eastAsia="en-US"/>
        </w:rPr>
        <w:t>SCP</w:t>
      </w:r>
      <w:r w:rsidRPr="00777AE2">
        <w:rPr>
          <w:rFonts w:eastAsia="Times New Roman"/>
          <w:color w:val="3B3B3B"/>
          <w:szCs w:val="22"/>
          <w:lang w:val="fr-CH" w:eastAsia="en-US"/>
        </w:rPr>
        <w:t xml:space="preserve"> sur l</w:t>
      </w:r>
      <w:r w:rsidR="001D239E">
        <w:rPr>
          <w:rFonts w:eastAsia="Times New Roman"/>
          <w:color w:val="3B3B3B"/>
          <w:szCs w:val="22"/>
          <w:lang w:val="fr-CH" w:eastAsia="en-US"/>
        </w:rPr>
        <w:t>’</w:t>
      </w:r>
      <w:r w:rsidRPr="00777AE2">
        <w:rPr>
          <w:rFonts w:eastAsia="Times New Roman"/>
          <w:color w:val="3B3B3B"/>
          <w:szCs w:val="22"/>
          <w:lang w:val="fr-CH" w:eastAsia="en-US"/>
        </w:rPr>
        <w:t>utilisation des brevets dans le transfert de technologie au titre du point de l</w:t>
      </w:r>
      <w:r w:rsidR="001D239E">
        <w:rPr>
          <w:rFonts w:eastAsia="Times New Roman"/>
          <w:color w:val="3B3B3B"/>
          <w:szCs w:val="22"/>
          <w:lang w:val="fr-CH" w:eastAsia="en-US"/>
        </w:rPr>
        <w:t>’</w:t>
      </w:r>
      <w:r w:rsidRPr="00777AE2">
        <w:rPr>
          <w:rFonts w:eastAsia="Times New Roman"/>
          <w:color w:val="3B3B3B"/>
          <w:szCs w:val="22"/>
          <w:lang w:val="fr-CH" w:eastAsia="en-US"/>
        </w:rPr>
        <w:t>ordre du jour consacré au transfert de technologie.</w:t>
      </w:r>
    </w:p>
    <w:p w:rsidR="00564AB5" w:rsidRPr="00777AE2" w:rsidRDefault="00BE3C55" w:rsidP="001A5086">
      <w:pPr>
        <w:numPr>
          <w:ilvl w:val="0"/>
          <w:numId w:val="21"/>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 xml:space="preserve">Nombre </w:t>
      </w:r>
      <w:r w:rsidR="00D85229">
        <w:rPr>
          <w:rFonts w:eastAsia="Times New Roman"/>
          <w:color w:val="3B3B3B"/>
          <w:szCs w:val="22"/>
          <w:lang w:val="fr-CH" w:eastAsia="en-US"/>
        </w:rPr>
        <w:t xml:space="preserve">de </w:t>
      </w:r>
      <w:r w:rsidR="00D85229" w:rsidRPr="00777AE2">
        <w:rPr>
          <w:rFonts w:eastAsia="Times New Roman"/>
          <w:color w:val="3B3B3B"/>
          <w:szCs w:val="22"/>
          <w:lang w:val="fr-CH" w:eastAsia="en-US"/>
        </w:rPr>
        <w:t xml:space="preserve">délibérations </w:t>
      </w:r>
      <w:r w:rsidRPr="00777AE2">
        <w:rPr>
          <w:rFonts w:eastAsia="Times New Roman"/>
          <w:color w:val="3B3B3B"/>
          <w:szCs w:val="22"/>
          <w:lang w:val="fr-CH" w:eastAsia="en-US"/>
        </w:rPr>
        <w:t>de fond au sein</w:t>
      </w:r>
      <w:r w:rsidR="001D239E" w:rsidRPr="00777AE2">
        <w:rPr>
          <w:rFonts w:eastAsia="Times New Roman"/>
          <w:color w:val="3B3B3B"/>
          <w:szCs w:val="22"/>
          <w:lang w:val="fr-CH" w:eastAsia="en-US"/>
        </w:rPr>
        <w:t xml:space="preserve"> du</w:t>
      </w:r>
      <w:r w:rsidR="001D239E">
        <w:rPr>
          <w:rFonts w:eastAsia="Times New Roman"/>
          <w:color w:val="3B3B3B"/>
          <w:szCs w:val="22"/>
          <w:lang w:val="fr-CH" w:eastAsia="en-US"/>
        </w:rPr>
        <w:t> </w:t>
      </w:r>
      <w:r w:rsidR="001D239E" w:rsidRPr="00777AE2">
        <w:rPr>
          <w:rFonts w:eastAsia="Times New Roman"/>
          <w:color w:val="3B3B3B"/>
          <w:szCs w:val="22"/>
          <w:lang w:val="fr-CH" w:eastAsia="en-US"/>
        </w:rPr>
        <w:t>SCT</w:t>
      </w:r>
      <w:r w:rsidRPr="00777AE2">
        <w:rPr>
          <w:rFonts w:eastAsia="Times New Roman"/>
          <w:color w:val="3B3B3B"/>
          <w:szCs w:val="22"/>
          <w:lang w:val="fr-CH" w:eastAsia="en-US"/>
        </w:rPr>
        <w:t xml:space="preserve"> sur l</w:t>
      </w:r>
      <w:r w:rsidR="001D239E">
        <w:rPr>
          <w:rFonts w:eastAsia="Times New Roman"/>
          <w:color w:val="3B3B3B"/>
          <w:szCs w:val="22"/>
          <w:lang w:val="fr-CH" w:eastAsia="en-US"/>
        </w:rPr>
        <w:t>’</w:t>
      </w:r>
      <w:r w:rsidRPr="00777AE2">
        <w:rPr>
          <w:rFonts w:eastAsia="Times New Roman"/>
          <w:color w:val="3B3B3B"/>
          <w:szCs w:val="22"/>
          <w:lang w:val="fr-CH" w:eastAsia="en-US"/>
        </w:rPr>
        <w:t>utilisation des dessins et modèles dans le transfert de technologie au titre du point de l</w:t>
      </w:r>
      <w:r w:rsidR="001D239E">
        <w:rPr>
          <w:rFonts w:eastAsia="Times New Roman"/>
          <w:color w:val="3B3B3B"/>
          <w:szCs w:val="22"/>
          <w:lang w:val="fr-CH" w:eastAsia="en-US"/>
        </w:rPr>
        <w:t>’</w:t>
      </w:r>
      <w:r w:rsidRPr="00777AE2">
        <w:rPr>
          <w:rFonts w:eastAsia="Times New Roman"/>
          <w:color w:val="3B3B3B"/>
          <w:szCs w:val="22"/>
          <w:lang w:val="fr-CH" w:eastAsia="en-US"/>
        </w:rPr>
        <w:t>ordre du jour consacré au transfert de technologie.</w:t>
      </w:r>
    </w:p>
    <w:p w:rsidR="00564AB5" w:rsidRPr="00777AE2" w:rsidRDefault="00BE3C55" w:rsidP="00B523AC">
      <w:pPr>
        <w:spacing w:before="360" w:after="22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30</w:t>
      </w:r>
    </w:p>
    <w:p w:rsidR="00564AB5" w:rsidRPr="00777AE2" w:rsidRDefault="00BE3C55" w:rsidP="00B523AC">
      <w:pPr>
        <w:spacing w:after="240" w:line="276" w:lineRule="auto"/>
        <w:rPr>
          <w:rFonts w:eastAsia="Times New Roman"/>
          <w:color w:val="3B3B3B"/>
          <w:szCs w:val="22"/>
          <w:lang w:val="fr-CH" w:eastAsia="en-US"/>
        </w:rPr>
      </w:pPr>
      <w:r w:rsidRPr="00777AE2">
        <w:rPr>
          <w:rFonts w:eastAsia="Times New Roman"/>
          <w:color w:val="3B3B3B"/>
          <w:szCs w:val="22"/>
          <w:lang w:val="fr-CH" w:eastAsia="en-US"/>
        </w:rPr>
        <w:t>L</w:t>
      </w:r>
      <w:r w:rsidR="001D239E">
        <w:rPr>
          <w:rFonts w:eastAsia="Times New Roman"/>
          <w:color w:val="3B3B3B"/>
          <w:szCs w:val="22"/>
          <w:lang w:val="fr-CH" w:eastAsia="en-US"/>
        </w:rPr>
        <w:t>’</w:t>
      </w:r>
      <w:r w:rsidRPr="00777AE2">
        <w:rPr>
          <w:rFonts w:eastAsia="Times New Roman"/>
          <w:color w:val="3B3B3B"/>
          <w:szCs w:val="22"/>
          <w:lang w:val="fr-CH" w:eastAsia="en-US"/>
        </w:rPr>
        <w:t>OMPI devrait coopérer avec d</w:t>
      </w:r>
      <w:r w:rsidR="001D239E">
        <w:rPr>
          <w:rFonts w:eastAsia="Times New Roman"/>
          <w:color w:val="3B3B3B"/>
          <w:szCs w:val="22"/>
          <w:lang w:val="fr-CH" w:eastAsia="en-US"/>
        </w:rPr>
        <w:t>’</w:t>
      </w:r>
      <w:r w:rsidRPr="00777AE2">
        <w:rPr>
          <w:rFonts w:eastAsia="Times New Roman"/>
          <w:color w:val="3B3B3B"/>
          <w:szCs w:val="22"/>
          <w:lang w:val="fr-CH" w:eastAsia="en-US"/>
        </w:rPr>
        <w:t xml:space="preserve">autres organisations intergouvernementales pour fournir aux pays en développement, </w:t>
      </w:r>
      <w:r w:rsidR="001D239E">
        <w:rPr>
          <w:rFonts w:eastAsia="Times New Roman"/>
          <w:color w:val="3B3B3B"/>
          <w:szCs w:val="22"/>
          <w:lang w:val="fr-CH" w:eastAsia="en-US"/>
        </w:rPr>
        <w:t>y compris</w:t>
      </w:r>
      <w:r w:rsidR="001D239E" w:rsidRPr="00777AE2">
        <w:rPr>
          <w:rFonts w:eastAsia="Times New Roman"/>
          <w:color w:val="3B3B3B"/>
          <w:szCs w:val="22"/>
          <w:lang w:val="fr-CH" w:eastAsia="en-US"/>
        </w:rPr>
        <w:t xml:space="preserve"> les</w:t>
      </w:r>
      <w:r w:rsidR="001D239E">
        <w:rPr>
          <w:rFonts w:eastAsia="Times New Roman"/>
          <w:color w:val="3B3B3B"/>
          <w:szCs w:val="22"/>
          <w:lang w:val="fr-CH" w:eastAsia="en-US"/>
        </w:rPr>
        <w:t> </w:t>
      </w:r>
      <w:r w:rsidR="001D239E" w:rsidRPr="00777AE2">
        <w:rPr>
          <w:rFonts w:eastAsia="Times New Roman"/>
          <w:color w:val="3B3B3B"/>
          <w:szCs w:val="22"/>
          <w:lang w:val="fr-CH" w:eastAsia="en-US"/>
        </w:rPr>
        <w:t>PMA</w:t>
      </w:r>
      <w:r w:rsidRPr="00777AE2">
        <w:rPr>
          <w:rFonts w:eastAsia="Times New Roman"/>
          <w:color w:val="3B3B3B"/>
          <w:szCs w:val="22"/>
          <w:lang w:val="fr-CH" w:eastAsia="en-US"/>
        </w:rPr>
        <w:t>, sur demande, des conseils sur les moyens d</w:t>
      </w:r>
      <w:r w:rsidR="001D239E">
        <w:rPr>
          <w:rFonts w:eastAsia="Times New Roman"/>
          <w:color w:val="3B3B3B"/>
          <w:szCs w:val="22"/>
          <w:lang w:val="fr-CH" w:eastAsia="en-US"/>
        </w:rPr>
        <w:t>’</w:t>
      </w:r>
      <w:r w:rsidRPr="00777AE2">
        <w:rPr>
          <w:rFonts w:eastAsia="Times New Roman"/>
          <w:color w:val="3B3B3B"/>
          <w:szCs w:val="22"/>
          <w:lang w:val="fr-CH" w:eastAsia="en-US"/>
        </w:rPr>
        <w:t>accéder à l</w:t>
      </w:r>
      <w:r w:rsidR="001D239E">
        <w:rPr>
          <w:rFonts w:eastAsia="Times New Roman"/>
          <w:color w:val="3B3B3B"/>
          <w:szCs w:val="22"/>
          <w:lang w:val="fr-CH" w:eastAsia="en-US"/>
        </w:rPr>
        <w:t>’</w:t>
      </w:r>
      <w:r w:rsidRPr="00777AE2">
        <w:rPr>
          <w:rFonts w:eastAsia="Times New Roman"/>
          <w:color w:val="3B3B3B"/>
          <w:szCs w:val="22"/>
          <w:lang w:val="fr-CH" w:eastAsia="en-US"/>
        </w:rPr>
        <w:t>information technologique en rapport avec la propriété intellectuelle et d</w:t>
      </w:r>
      <w:r w:rsidR="001D239E">
        <w:rPr>
          <w:rFonts w:eastAsia="Times New Roman"/>
          <w:color w:val="3B3B3B"/>
          <w:szCs w:val="22"/>
          <w:lang w:val="fr-CH" w:eastAsia="en-US"/>
        </w:rPr>
        <w:t>’</w:t>
      </w:r>
      <w:r w:rsidRPr="00777AE2">
        <w:rPr>
          <w:rFonts w:eastAsia="Times New Roman"/>
          <w:color w:val="3B3B3B"/>
          <w:szCs w:val="22"/>
          <w:lang w:val="fr-CH" w:eastAsia="en-US"/>
        </w:rPr>
        <w:t>en faire usage, notamment dans les domaines présentant un intérêt particulier pour les demandeurs.</w:t>
      </w:r>
    </w:p>
    <w:p w:rsidR="00564AB5" w:rsidRPr="00777AE2" w:rsidRDefault="007F73E0" w:rsidP="00B523AC">
      <w:pPr>
        <w:keepNext/>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 proposé</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7B2F87" w:rsidP="00B523AC">
      <w:pPr>
        <w:keepNext/>
        <w:numPr>
          <w:ilvl w:val="0"/>
          <w:numId w:val="24"/>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 xml:space="preserve">Nombre de sociétés commerciales </w:t>
      </w:r>
      <w:r w:rsidR="00BD0B72">
        <w:rPr>
          <w:rFonts w:eastAsia="Times New Roman"/>
          <w:color w:val="3B3B3B"/>
          <w:szCs w:val="22"/>
          <w:lang w:val="fr-CH" w:eastAsia="en-US"/>
        </w:rPr>
        <w:t>disposant</w:t>
      </w:r>
      <w:r w:rsidRPr="00777AE2">
        <w:rPr>
          <w:rFonts w:eastAsia="Times New Roman"/>
          <w:color w:val="3B3B3B"/>
          <w:szCs w:val="22"/>
          <w:lang w:val="fr-CH" w:eastAsia="en-US"/>
        </w:rPr>
        <w:t xml:space="preserve"> de moteurs de recherche en matière de propriété intellectuelle</w:t>
      </w:r>
      <w:r w:rsidR="00E207BD">
        <w:rPr>
          <w:rFonts w:eastAsia="Times New Roman"/>
          <w:color w:val="3B3B3B"/>
          <w:szCs w:val="22"/>
          <w:lang w:val="fr-CH" w:eastAsia="en-US"/>
        </w:rPr>
        <w:t xml:space="preserve"> et</w:t>
      </w:r>
      <w:r w:rsidRPr="00777AE2">
        <w:rPr>
          <w:rFonts w:eastAsia="Times New Roman"/>
          <w:color w:val="3B3B3B"/>
          <w:szCs w:val="22"/>
          <w:lang w:val="fr-CH" w:eastAsia="en-US"/>
        </w:rPr>
        <w:t xml:space="preserve"> offrant un accès à titre préférentiel ou à coût réduit aux pays en développement ou aux pays les moins avancés.</w:t>
      </w:r>
    </w:p>
    <w:p w:rsidR="00564AB5" w:rsidRPr="00777AE2" w:rsidRDefault="007B2F87" w:rsidP="00B523AC">
      <w:pPr>
        <w:spacing w:before="360" w:after="22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31</w:t>
      </w:r>
    </w:p>
    <w:p w:rsidR="001D239E" w:rsidRDefault="007B2F87" w:rsidP="001E5355">
      <w:pPr>
        <w:keepNext/>
        <w:spacing w:after="240" w:line="276" w:lineRule="auto"/>
        <w:rPr>
          <w:rFonts w:eastAsia="Times New Roman"/>
          <w:color w:val="3B3B3B"/>
          <w:szCs w:val="22"/>
          <w:lang w:val="fr-CH" w:eastAsia="en-US"/>
        </w:rPr>
      </w:pPr>
      <w:r w:rsidRPr="00777AE2">
        <w:rPr>
          <w:rFonts w:eastAsia="Times New Roman"/>
          <w:color w:val="3B3B3B"/>
          <w:szCs w:val="22"/>
          <w:lang w:val="fr-CH" w:eastAsia="en-US"/>
        </w:rPr>
        <w:t xml:space="preserve">Mettre en </w:t>
      </w:r>
      <w:r w:rsidR="00ED52B7" w:rsidRPr="00777AE2">
        <w:rPr>
          <w:rFonts w:eastAsia="Times New Roman"/>
          <w:color w:val="3B3B3B"/>
          <w:szCs w:val="22"/>
          <w:lang w:val="fr-CH" w:eastAsia="en-US"/>
        </w:rPr>
        <w:t>œuvre</w:t>
      </w:r>
      <w:r w:rsidRPr="00777AE2">
        <w:rPr>
          <w:rFonts w:eastAsia="Times New Roman"/>
          <w:color w:val="3B3B3B"/>
          <w:szCs w:val="22"/>
          <w:lang w:val="fr-CH" w:eastAsia="en-US"/>
        </w:rPr>
        <w:t xml:space="preserve"> des initiatives arrêtées par les États membres qui contribuent au transfert de technologie en faveur des pays en développement, s</w:t>
      </w:r>
      <w:r w:rsidR="001D239E">
        <w:rPr>
          <w:rFonts w:eastAsia="Times New Roman"/>
          <w:color w:val="3B3B3B"/>
          <w:szCs w:val="22"/>
          <w:lang w:val="fr-CH" w:eastAsia="en-US"/>
        </w:rPr>
        <w:t>’</w:t>
      </w:r>
      <w:r w:rsidRPr="00777AE2">
        <w:rPr>
          <w:rFonts w:eastAsia="Times New Roman"/>
          <w:color w:val="3B3B3B"/>
          <w:szCs w:val="22"/>
          <w:lang w:val="fr-CH" w:eastAsia="en-US"/>
        </w:rPr>
        <w:t>agissant par exemple de demander à l</w:t>
      </w:r>
      <w:r w:rsidR="001D239E">
        <w:rPr>
          <w:rFonts w:eastAsia="Times New Roman"/>
          <w:color w:val="3B3B3B"/>
          <w:szCs w:val="22"/>
          <w:lang w:val="fr-CH" w:eastAsia="en-US"/>
        </w:rPr>
        <w:t>’</w:t>
      </w:r>
      <w:r w:rsidRPr="00777AE2">
        <w:rPr>
          <w:rFonts w:eastAsia="Times New Roman"/>
          <w:color w:val="3B3B3B"/>
          <w:szCs w:val="22"/>
          <w:lang w:val="fr-CH" w:eastAsia="en-US"/>
        </w:rPr>
        <w:t>OMPI de faciliter l</w:t>
      </w:r>
      <w:r w:rsidR="001D239E">
        <w:rPr>
          <w:rFonts w:eastAsia="Times New Roman"/>
          <w:color w:val="3B3B3B"/>
          <w:szCs w:val="22"/>
          <w:lang w:val="fr-CH" w:eastAsia="en-US"/>
        </w:rPr>
        <w:t>’</w:t>
      </w:r>
      <w:r w:rsidRPr="00777AE2">
        <w:rPr>
          <w:rFonts w:eastAsia="Times New Roman"/>
          <w:color w:val="3B3B3B"/>
          <w:szCs w:val="22"/>
          <w:lang w:val="fr-CH" w:eastAsia="en-US"/>
        </w:rPr>
        <w:t>accès à l</w:t>
      </w:r>
      <w:r w:rsidR="001D239E">
        <w:rPr>
          <w:rFonts w:eastAsia="Times New Roman"/>
          <w:color w:val="3B3B3B"/>
          <w:szCs w:val="22"/>
          <w:lang w:val="fr-CH" w:eastAsia="en-US"/>
        </w:rPr>
        <w:t>’</w:t>
      </w:r>
      <w:r w:rsidRPr="00777AE2">
        <w:rPr>
          <w:rFonts w:eastAsia="Times New Roman"/>
          <w:color w:val="3B3B3B"/>
          <w:szCs w:val="22"/>
          <w:lang w:val="fr-CH" w:eastAsia="en-US"/>
        </w:rPr>
        <w:t>information en matière de brevets accessible au public.</w:t>
      </w:r>
    </w:p>
    <w:p w:rsidR="001D239E"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7B2F87" w:rsidP="001A5086">
      <w:pPr>
        <w:numPr>
          <w:ilvl w:val="0"/>
          <w:numId w:val="23"/>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de communautés de brevets disponibles dans les domaines suivants</w:t>
      </w:r>
      <w:r w:rsidR="001D239E">
        <w:rPr>
          <w:rFonts w:eastAsia="Times New Roman"/>
          <w:color w:val="3B3B3B"/>
          <w:szCs w:val="22"/>
          <w:lang w:val="fr-CH" w:eastAsia="en-US"/>
        </w:rPr>
        <w:t> :</w:t>
      </w:r>
      <w:r w:rsidRPr="00777AE2">
        <w:rPr>
          <w:rFonts w:eastAsia="Times New Roman"/>
          <w:color w:val="3B3B3B"/>
          <w:szCs w:val="22"/>
          <w:lang w:val="fr-CH" w:eastAsia="en-US"/>
        </w:rPr>
        <w:t xml:space="preserve"> i)</w:t>
      </w:r>
      <w:r w:rsidR="00605B5E">
        <w:rPr>
          <w:rFonts w:eastAsia="Times New Roman"/>
          <w:color w:val="3B3B3B"/>
          <w:szCs w:val="22"/>
          <w:lang w:val="fr-CH" w:eastAsia="en-US"/>
        </w:rPr>
        <w:t> </w:t>
      </w:r>
      <w:r w:rsidRPr="00777AE2">
        <w:rPr>
          <w:rFonts w:eastAsia="Times New Roman"/>
          <w:color w:val="3B3B3B"/>
          <w:szCs w:val="22"/>
          <w:lang w:val="fr-CH" w:eastAsia="en-US"/>
        </w:rPr>
        <w:t xml:space="preserve">santé; </w:t>
      </w:r>
      <w:r w:rsidR="00605B5E">
        <w:rPr>
          <w:rFonts w:eastAsia="Times New Roman"/>
          <w:color w:val="3B3B3B"/>
          <w:szCs w:val="22"/>
          <w:lang w:val="fr-CH" w:eastAsia="en-US"/>
        </w:rPr>
        <w:t xml:space="preserve"> </w:t>
      </w:r>
      <w:r w:rsidRPr="00F543D7">
        <w:rPr>
          <w:rFonts w:eastAsia="Times New Roman"/>
          <w:color w:val="3B3B3B"/>
          <w:szCs w:val="22"/>
          <w:lang w:val="fr-CH" w:eastAsia="en-US"/>
        </w:rPr>
        <w:t>ii)</w:t>
      </w:r>
      <w:r w:rsidR="00605B5E">
        <w:rPr>
          <w:rFonts w:eastAsia="Times New Roman"/>
          <w:color w:val="3B3B3B"/>
          <w:szCs w:val="22"/>
          <w:lang w:val="fr-CH" w:eastAsia="en-US"/>
        </w:rPr>
        <w:t> </w:t>
      </w:r>
      <w:r w:rsidRPr="00F543D7">
        <w:rPr>
          <w:rFonts w:eastAsia="Times New Roman"/>
          <w:color w:val="3B3B3B"/>
          <w:szCs w:val="22"/>
          <w:lang w:val="fr-CH" w:eastAsia="en-US"/>
        </w:rPr>
        <w:t>technologies d</w:t>
      </w:r>
      <w:r w:rsidR="001D239E">
        <w:rPr>
          <w:rFonts w:eastAsia="Times New Roman"/>
          <w:color w:val="3B3B3B"/>
          <w:szCs w:val="22"/>
          <w:lang w:val="fr-CH" w:eastAsia="en-US"/>
        </w:rPr>
        <w:t>’</w:t>
      </w:r>
      <w:r w:rsidRPr="00F543D7">
        <w:rPr>
          <w:rFonts w:eastAsia="Times New Roman"/>
          <w:color w:val="3B3B3B"/>
          <w:szCs w:val="22"/>
          <w:lang w:val="fr-CH" w:eastAsia="en-US"/>
        </w:rPr>
        <w:t xml:space="preserve">atténuation des changements climatiques; </w:t>
      </w:r>
      <w:r w:rsidR="00605B5E">
        <w:rPr>
          <w:rFonts w:eastAsia="Times New Roman"/>
          <w:color w:val="3B3B3B"/>
          <w:szCs w:val="22"/>
          <w:lang w:val="fr-CH" w:eastAsia="en-US"/>
        </w:rPr>
        <w:t xml:space="preserve"> </w:t>
      </w:r>
      <w:r w:rsidRPr="00F543D7">
        <w:rPr>
          <w:rFonts w:eastAsia="Times New Roman"/>
          <w:color w:val="3B3B3B"/>
          <w:szCs w:val="22"/>
          <w:lang w:val="fr-CH" w:eastAsia="en-US"/>
        </w:rPr>
        <w:t>et iii)</w:t>
      </w:r>
      <w:r w:rsidR="00605B5E">
        <w:rPr>
          <w:rFonts w:eastAsia="Times New Roman"/>
          <w:color w:val="3B3B3B"/>
          <w:szCs w:val="22"/>
          <w:lang w:val="fr-CH" w:eastAsia="en-US"/>
        </w:rPr>
        <w:t> </w:t>
      </w:r>
      <w:r w:rsidR="00F543D7" w:rsidRPr="00F543D7">
        <w:rPr>
          <w:rFonts w:eastAsia="Times New Roman"/>
          <w:color w:val="3B3B3B"/>
          <w:szCs w:val="22"/>
          <w:lang w:val="fr-CH" w:eastAsia="en-US"/>
        </w:rPr>
        <w:t>technologies de traitement</w:t>
      </w:r>
      <w:r w:rsidRPr="00F543D7">
        <w:rPr>
          <w:rFonts w:eastAsia="Times New Roman"/>
          <w:color w:val="3B3B3B"/>
          <w:szCs w:val="22"/>
          <w:lang w:val="fr-CH" w:eastAsia="en-US"/>
        </w:rPr>
        <w:t xml:space="preserve"> de l</w:t>
      </w:r>
      <w:r w:rsidR="001D239E">
        <w:rPr>
          <w:rFonts w:eastAsia="Times New Roman"/>
          <w:color w:val="3B3B3B"/>
          <w:szCs w:val="22"/>
          <w:lang w:val="fr-CH" w:eastAsia="en-US"/>
        </w:rPr>
        <w:t>’</w:t>
      </w:r>
      <w:r w:rsidRPr="00F543D7">
        <w:rPr>
          <w:rFonts w:eastAsia="Times New Roman"/>
          <w:color w:val="3B3B3B"/>
          <w:szCs w:val="22"/>
          <w:lang w:val="fr-CH" w:eastAsia="en-US"/>
        </w:rPr>
        <w:t>eau et des déchets.</w:t>
      </w:r>
    </w:p>
    <w:p w:rsidR="00564AB5" w:rsidRPr="00777AE2" w:rsidRDefault="00777AE2" w:rsidP="001A5086">
      <w:pPr>
        <w:numPr>
          <w:ilvl w:val="0"/>
          <w:numId w:val="23"/>
        </w:numPr>
        <w:spacing w:after="240" w:line="276" w:lineRule="auto"/>
        <w:ind w:left="1134" w:hanging="567"/>
        <w:rPr>
          <w:rFonts w:eastAsia="Times New Roman"/>
          <w:color w:val="3B3B3B"/>
          <w:szCs w:val="22"/>
          <w:lang w:val="fr-CH" w:eastAsia="en-US"/>
        </w:rPr>
      </w:pPr>
      <w:r w:rsidRPr="00777AE2">
        <w:rPr>
          <w:rFonts w:eastAsia="Times New Roman"/>
          <w:color w:val="3B3B3B"/>
          <w:szCs w:val="22"/>
          <w:lang w:val="fr-CH" w:eastAsia="en-US"/>
        </w:rPr>
        <w:t>Nombre d</w:t>
      </w:r>
      <w:r w:rsidR="001D239E">
        <w:rPr>
          <w:rFonts w:eastAsia="Times New Roman"/>
          <w:color w:val="3B3B3B"/>
          <w:szCs w:val="22"/>
          <w:lang w:val="fr-CH" w:eastAsia="en-US"/>
        </w:rPr>
        <w:t>’</w:t>
      </w:r>
      <w:r w:rsidRPr="00777AE2">
        <w:rPr>
          <w:rFonts w:eastAsia="Times New Roman"/>
          <w:color w:val="3B3B3B"/>
          <w:szCs w:val="22"/>
          <w:lang w:val="fr-CH" w:eastAsia="en-US"/>
        </w:rPr>
        <w:t xml:space="preserve">initiatives de renforcement des capacités </w:t>
      </w:r>
      <w:r w:rsidR="0062166F">
        <w:rPr>
          <w:rFonts w:eastAsia="Times New Roman"/>
          <w:color w:val="3B3B3B"/>
          <w:szCs w:val="22"/>
          <w:lang w:val="fr-CH" w:eastAsia="en-US"/>
        </w:rPr>
        <w:t>relatives à</w:t>
      </w:r>
      <w:r w:rsidRPr="00777AE2">
        <w:rPr>
          <w:rFonts w:eastAsia="Times New Roman"/>
          <w:color w:val="3B3B3B"/>
          <w:szCs w:val="22"/>
          <w:lang w:val="fr-CH" w:eastAsia="en-US"/>
        </w:rPr>
        <w:t xml:space="preserve"> l</w:t>
      </w:r>
      <w:r w:rsidR="001D239E">
        <w:rPr>
          <w:rFonts w:eastAsia="Times New Roman"/>
          <w:color w:val="3B3B3B"/>
          <w:szCs w:val="22"/>
          <w:lang w:val="fr-CH" w:eastAsia="en-US"/>
        </w:rPr>
        <w:t>’</w:t>
      </w:r>
      <w:r w:rsidRPr="00777AE2">
        <w:rPr>
          <w:rFonts w:eastAsia="Times New Roman"/>
          <w:color w:val="3B3B3B"/>
          <w:szCs w:val="22"/>
          <w:lang w:val="fr-CH" w:eastAsia="en-US"/>
        </w:rPr>
        <w:t>utilisation de l</w:t>
      </w:r>
      <w:r w:rsidR="001D239E">
        <w:rPr>
          <w:rFonts w:eastAsia="Times New Roman"/>
          <w:color w:val="3B3B3B"/>
          <w:szCs w:val="22"/>
          <w:lang w:val="fr-CH" w:eastAsia="en-US"/>
        </w:rPr>
        <w:t>’</w:t>
      </w:r>
      <w:r w:rsidRPr="00777AE2">
        <w:rPr>
          <w:rFonts w:eastAsia="Times New Roman"/>
          <w:color w:val="3B3B3B"/>
          <w:szCs w:val="22"/>
          <w:lang w:val="fr-CH" w:eastAsia="en-US"/>
        </w:rPr>
        <w:t>information dans le domaine public.</w:t>
      </w:r>
    </w:p>
    <w:p w:rsidR="001D239E" w:rsidRDefault="00777AE2" w:rsidP="00B523AC">
      <w:pPr>
        <w:spacing w:before="360" w:after="220" w:line="276" w:lineRule="auto"/>
        <w:rPr>
          <w:rFonts w:eastAsia="Times New Roman"/>
          <w:b/>
          <w:color w:val="3B3B3B"/>
          <w:szCs w:val="22"/>
          <w:lang w:val="fr-CH" w:eastAsia="en-US"/>
        </w:rPr>
      </w:pPr>
      <w:r w:rsidRPr="00777AE2">
        <w:rPr>
          <w:rFonts w:eastAsia="Times New Roman"/>
          <w:b/>
          <w:color w:val="3B3B3B"/>
          <w:szCs w:val="22"/>
          <w:lang w:val="fr-CH" w:eastAsia="en-US"/>
        </w:rPr>
        <w:t xml:space="preserve">Recommandation </w:t>
      </w:r>
      <w:r w:rsidR="00605B5E">
        <w:rPr>
          <w:rFonts w:eastAsia="Times New Roman"/>
          <w:b/>
          <w:color w:val="3B3B3B"/>
          <w:szCs w:val="22"/>
          <w:lang w:val="fr-CH" w:eastAsia="en-US"/>
        </w:rPr>
        <w:t>n° </w:t>
      </w:r>
      <w:r w:rsidRPr="00777AE2">
        <w:rPr>
          <w:rFonts w:eastAsia="Times New Roman"/>
          <w:b/>
          <w:color w:val="3B3B3B"/>
          <w:szCs w:val="22"/>
          <w:lang w:val="fr-CH" w:eastAsia="en-US"/>
        </w:rPr>
        <w:t>32</w:t>
      </w:r>
    </w:p>
    <w:p w:rsidR="001D239E" w:rsidRDefault="00777AE2" w:rsidP="00777AE2">
      <w:pPr>
        <w:spacing w:after="240" w:line="276" w:lineRule="auto"/>
        <w:rPr>
          <w:rFonts w:eastAsia="Times New Roman"/>
          <w:color w:val="3B3B3B"/>
          <w:szCs w:val="22"/>
          <w:lang w:val="fr-CH" w:eastAsia="en-US"/>
        </w:rPr>
      </w:pPr>
      <w:r w:rsidRPr="00777AE2">
        <w:rPr>
          <w:rFonts w:eastAsia="Times New Roman"/>
          <w:color w:val="3B3B3B"/>
          <w:szCs w:val="22"/>
          <w:lang w:val="fr-CH" w:eastAsia="en-US"/>
        </w:rPr>
        <w:t xml:space="preserve">Ménager </w:t>
      </w:r>
      <w:r w:rsidRPr="00777AE2">
        <w:rPr>
          <w:rFonts w:eastAsia="Times New Roman"/>
          <w:color w:val="3B3B3B"/>
          <w:szCs w:val="22"/>
          <w:u w:val="single"/>
          <w:lang w:val="fr-CH" w:eastAsia="en-US"/>
        </w:rPr>
        <w:t>au sein de l</w:t>
      </w:r>
      <w:r w:rsidR="001D239E">
        <w:rPr>
          <w:rFonts w:eastAsia="Times New Roman"/>
          <w:color w:val="3B3B3B"/>
          <w:szCs w:val="22"/>
          <w:u w:val="single"/>
          <w:lang w:val="fr-CH" w:eastAsia="en-US"/>
        </w:rPr>
        <w:t>’</w:t>
      </w:r>
      <w:r w:rsidRPr="00777AE2">
        <w:rPr>
          <w:rFonts w:eastAsia="Times New Roman"/>
          <w:color w:val="3B3B3B"/>
          <w:szCs w:val="22"/>
          <w:u w:val="single"/>
          <w:lang w:val="fr-CH" w:eastAsia="en-US"/>
        </w:rPr>
        <w:t>OMPI</w:t>
      </w:r>
      <w:r w:rsidRPr="00777AE2">
        <w:rPr>
          <w:rFonts w:eastAsia="Times New Roman"/>
          <w:color w:val="3B3B3B"/>
          <w:szCs w:val="22"/>
          <w:lang w:val="fr-CH" w:eastAsia="en-US"/>
        </w:rPr>
        <w:t xml:space="preserve"> la possibilité d</w:t>
      </w:r>
      <w:r w:rsidR="001D239E">
        <w:rPr>
          <w:rFonts w:eastAsia="Times New Roman"/>
          <w:color w:val="3B3B3B"/>
          <w:szCs w:val="22"/>
          <w:lang w:val="fr-CH" w:eastAsia="en-US"/>
        </w:rPr>
        <w:t>’</w:t>
      </w:r>
      <w:r w:rsidRPr="00777AE2">
        <w:rPr>
          <w:rFonts w:eastAsia="Times New Roman"/>
          <w:color w:val="3B3B3B"/>
          <w:szCs w:val="22"/>
          <w:lang w:val="fr-CH" w:eastAsia="en-US"/>
        </w:rPr>
        <w:t>échanger des informations et des données d</w:t>
      </w:r>
      <w:r w:rsidR="001D239E">
        <w:rPr>
          <w:rFonts w:eastAsia="Times New Roman"/>
          <w:color w:val="3B3B3B"/>
          <w:szCs w:val="22"/>
          <w:lang w:val="fr-CH" w:eastAsia="en-US"/>
        </w:rPr>
        <w:t>’</w:t>
      </w:r>
      <w:r w:rsidRPr="00777AE2">
        <w:rPr>
          <w:rFonts w:eastAsia="Times New Roman"/>
          <w:color w:val="3B3B3B"/>
          <w:szCs w:val="22"/>
          <w:lang w:val="fr-CH" w:eastAsia="en-US"/>
        </w:rPr>
        <w:t>expérience nationales et régionales sur les liens entre les droits de propriété intellectuelle et les politiques en matière de concurrence.</w:t>
      </w:r>
    </w:p>
    <w:p w:rsidR="00564AB5" w:rsidRPr="00777AE2" w:rsidRDefault="007F73E0" w:rsidP="00B523AC">
      <w:pPr>
        <w:spacing w:before="220" w:after="180" w:line="276" w:lineRule="auto"/>
        <w:rPr>
          <w:rFonts w:eastAsia="Times New Roman"/>
          <w:color w:val="3B3B3B"/>
          <w:szCs w:val="22"/>
          <w:lang w:val="fr-CH" w:eastAsia="en-US"/>
        </w:rPr>
      </w:pPr>
      <w:r>
        <w:rPr>
          <w:rFonts w:eastAsia="Times New Roman"/>
          <w:color w:val="3B3B3B"/>
          <w:szCs w:val="22"/>
          <w:lang w:val="fr-CH" w:eastAsia="en-US"/>
        </w:rPr>
        <w:t>Indicateurs proposés</w:t>
      </w:r>
      <w:r w:rsidR="00605B5E">
        <w:rPr>
          <w:rFonts w:eastAsia="Times New Roman"/>
          <w:color w:val="3B3B3B"/>
          <w:szCs w:val="22"/>
          <w:lang w:val="fr-CH" w:eastAsia="en-US"/>
        </w:rPr>
        <w:t> </w:t>
      </w:r>
      <w:r>
        <w:rPr>
          <w:rFonts w:eastAsia="Times New Roman"/>
          <w:color w:val="3B3B3B"/>
          <w:szCs w:val="22"/>
          <w:lang w:val="fr-CH" w:eastAsia="en-US"/>
        </w:rPr>
        <w:t>:</w:t>
      </w:r>
    </w:p>
    <w:p w:rsidR="00564AB5" w:rsidRPr="00777AE2" w:rsidRDefault="00777AE2" w:rsidP="001A5086">
      <w:pPr>
        <w:numPr>
          <w:ilvl w:val="0"/>
          <w:numId w:val="22"/>
        </w:numPr>
        <w:spacing w:before="100" w:beforeAutospacing="1" w:after="240" w:line="276" w:lineRule="auto"/>
        <w:ind w:left="1134" w:hanging="567"/>
        <w:rPr>
          <w:rFonts w:eastAsia="Times New Roman"/>
          <w:color w:val="000000"/>
          <w:szCs w:val="22"/>
          <w:lang w:val="fr-CH" w:eastAsia="en-US"/>
        </w:rPr>
      </w:pPr>
      <w:r w:rsidRPr="00777AE2">
        <w:rPr>
          <w:rFonts w:eastAsia="Times New Roman"/>
          <w:color w:val="000000"/>
          <w:szCs w:val="22"/>
          <w:lang w:val="fr-CH" w:eastAsia="en-US"/>
        </w:rPr>
        <w:t>Nombre de conférences ou de tables rondes biennales organisées en vue d</w:t>
      </w:r>
      <w:r w:rsidR="001D239E">
        <w:rPr>
          <w:rFonts w:eastAsia="Times New Roman"/>
          <w:color w:val="000000"/>
          <w:szCs w:val="22"/>
          <w:lang w:val="fr-CH" w:eastAsia="en-US"/>
        </w:rPr>
        <w:t>’</w:t>
      </w:r>
      <w:r w:rsidRPr="00777AE2">
        <w:rPr>
          <w:rFonts w:eastAsia="Times New Roman"/>
          <w:color w:val="000000"/>
          <w:szCs w:val="22"/>
          <w:lang w:val="fr-CH" w:eastAsia="en-US"/>
        </w:rPr>
        <w:t>un échange d</w:t>
      </w:r>
      <w:r w:rsidR="001D239E">
        <w:rPr>
          <w:rFonts w:eastAsia="Times New Roman"/>
          <w:color w:val="000000"/>
          <w:szCs w:val="22"/>
          <w:lang w:val="fr-CH" w:eastAsia="en-US"/>
        </w:rPr>
        <w:t>’</w:t>
      </w:r>
      <w:r w:rsidRPr="00777AE2">
        <w:rPr>
          <w:rFonts w:eastAsia="Times New Roman"/>
          <w:color w:val="000000"/>
          <w:szCs w:val="22"/>
          <w:lang w:val="fr-CH" w:eastAsia="en-US"/>
        </w:rPr>
        <w:t>informations sur les droits de propriété intellectuelle et les politiques en matière de concurrence.</w:t>
      </w:r>
    </w:p>
    <w:p w:rsidR="001D239E" w:rsidRDefault="00777AE2" w:rsidP="001A5086">
      <w:pPr>
        <w:numPr>
          <w:ilvl w:val="0"/>
          <w:numId w:val="22"/>
        </w:numPr>
        <w:spacing w:before="100" w:beforeAutospacing="1" w:after="240" w:line="276" w:lineRule="auto"/>
        <w:ind w:left="1134" w:hanging="567"/>
        <w:rPr>
          <w:rFonts w:eastAsia="Times New Roman"/>
          <w:color w:val="000000"/>
          <w:szCs w:val="22"/>
          <w:lang w:val="fr-CH" w:eastAsia="en-US"/>
        </w:rPr>
      </w:pPr>
      <w:r w:rsidRPr="00777AE2">
        <w:rPr>
          <w:rFonts w:eastAsia="Times New Roman"/>
          <w:color w:val="000000"/>
          <w:szCs w:val="22"/>
          <w:lang w:val="fr-CH" w:eastAsia="en-US"/>
        </w:rPr>
        <w:t>Nombre d</w:t>
      </w:r>
      <w:r w:rsidR="001D239E">
        <w:rPr>
          <w:rFonts w:eastAsia="Times New Roman"/>
          <w:color w:val="000000"/>
          <w:szCs w:val="22"/>
          <w:lang w:val="fr-CH" w:eastAsia="en-US"/>
        </w:rPr>
        <w:t>’</w:t>
      </w:r>
      <w:r w:rsidRPr="00777AE2">
        <w:rPr>
          <w:rFonts w:eastAsia="Times New Roman"/>
          <w:color w:val="000000"/>
          <w:szCs w:val="22"/>
          <w:lang w:val="fr-CH" w:eastAsia="en-US"/>
        </w:rPr>
        <w:t>études de cas ou de recueils élaborés et présentant les écueils et les difficultés rencontrés lors de négociations liées aux droits de propriété intellectuelle et aux politiques en matière de concurrence.</w:t>
      </w:r>
    </w:p>
    <w:p w:rsidR="001D239E" w:rsidRDefault="00777AE2" w:rsidP="001A5086">
      <w:pPr>
        <w:numPr>
          <w:ilvl w:val="0"/>
          <w:numId w:val="22"/>
        </w:numPr>
        <w:spacing w:before="100" w:beforeAutospacing="1" w:after="240" w:line="276" w:lineRule="auto"/>
        <w:ind w:left="1134" w:hanging="567"/>
        <w:rPr>
          <w:rFonts w:eastAsia="Times New Roman"/>
          <w:color w:val="000000"/>
          <w:szCs w:val="22"/>
          <w:lang w:val="fr-CH" w:eastAsia="en-US"/>
        </w:rPr>
      </w:pPr>
      <w:r w:rsidRPr="00777AE2">
        <w:rPr>
          <w:rFonts w:eastAsia="Times New Roman"/>
          <w:color w:val="000000"/>
          <w:szCs w:val="22"/>
          <w:lang w:val="fr-CH" w:eastAsia="en-US"/>
        </w:rPr>
        <w:t>Nombre d</w:t>
      </w:r>
      <w:r w:rsidR="001D239E">
        <w:rPr>
          <w:rFonts w:eastAsia="Times New Roman"/>
          <w:color w:val="000000"/>
          <w:szCs w:val="22"/>
          <w:lang w:val="fr-CH" w:eastAsia="en-US"/>
        </w:rPr>
        <w:t>’</w:t>
      </w:r>
      <w:r w:rsidRPr="00777AE2">
        <w:rPr>
          <w:rFonts w:eastAsia="Times New Roman"/>
          <w:color w:val="000000"/>
          <w:szCs w:val="22"/>
          <w:lang w:val="fr-CH" w:eastAsia="en-US"/>
        </w:rPr>
        <w:t>annexes par pays présentant en détail l</w:t>
      </w:r>
      <w:r w:rsidR="001D239E">
        <w:rPr>
          <w:rFonts w:eastAsia="Times New Roman"/>
          <w:color w:val="000000"/>
          <w:szCs w:val="22"/>
          <w:lang w:val="fr-CH" w:eastAsia="en-US"/>
        </w:rPr>
        <w:t>’</w:t>
      </w:r>
      <w:r w:rsidRPr="00777AE2">
        <w:rPr>
          <w:rFonts w:eastAsia="Times New Roman"/>
          <w:color w:val="000000"/>
          <w:szCs w:val="22"/>
          <w:lang w:val="fr-CH" w:eastAsia="en-US"/>
        </w:rPr>
        <w:t>interface entre les droits de propriété intellectuelle et les politiques en matière de concurrence.</w:t>
      </w:r>
    </w:p>
    <w:p w:rsidR="003D09A1" w:rsidRPr="00776A96" w:rsidRDefault="00777AE2" w:rsidP="00215E98">
      <w:pPr>
        <w:pStyle w:val="Endofdocument-Annex"/>
        <w:spacing w:before="960"/>
        <w:rPr>
          <w:szCs w:val="22"/>
          <w:lang w:val="fr-CH"/>
        </w:rPr>
      </w:pPr>
      <w:r w:rsidRPr="00776A96">
        <w:rPr>
          <w:lang w:val="fr-CH"/>
        </w:rPr>
        <w:t>[Fin de l</w:t>
      </w:r>
      <w:r w:rsidR="001D239E">
        <w:rPr>
          <w:lang w:val="fr-CH"/>
        </w:rPr>
        <w:t>’</w:t>
      </w:r>
      <w:r w:rsidR="001D239E" w:rsidRPr="00776A96">
        <w:rPr>
          <w:lang w:val="fr-CH"/>
        </w:rPr>
        <w:t>annexe</w:t>
      </w:r>
      <w:r w:rsidR="001D239E">
        <w:rPr>
          <w:lang w:val="fr-CH"/>
        </w:rPr>
        <w:t> </w:t>
      </w:r>
      <w:r w:rsidR="001D239E" w:rsidRPr="00776A96">
        <w:rPr>
          <w:lang w:val="fr-CH"/>
        </w:rPr>
        <w:t>I</w:t>
      </w:r>
      <w:r w:rsidRPr="00776A96">
        <w:rPr>
          <w:lang w:val="fr-CH"/>
        </w:rPr>
        <w:t>II et du document]</w:t>
      </w:r>
    </w:p>
    <w:sectPr w:rsidR="003D09A1" w:rsidRPr="00776A96" w:rsidSect="00915D05">
      <w:headerReference w:type="default" r:id="rId29"/>
      <w:headerReference w:type="first" r:id="rId30"/>
      <w:footerReference w:type="first" r:id="rId3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5E" w:rsidRDefault="001F0F5E">
      <w:r>
        <w:separator/>
      </w:r>
    </w:p>
  </w:endnote>
  <w:endnote w:type="continuationSeparator" w:id="0">
    <w:p w:rsidR="001F0F5E" w:rsidRDefault="001F0F5E" w:rsidP="003B38C1">
      <w:r>
        <w:separator/>
      </w:r>
    </w:p>
    <w:p w:rsidR="001F0F5E" w:rsidRPr="003B38C1" w:rsidRDefault="001F0F5E" w:rsidP="003B38C1">
      <w:pPr>
        <w:spacing w:after="60"/>
        <w:rPr>
          <w:sz w:val="17"/>
        </w:rPr>
      </w:pPr>
      <w:r>
        <w:rPr>
          <w:sz w:val="17"/>
        </w:rPr>
        <w:t>[Endnote continued from previous page]</w:t>
      </w:r>
    </w:p>
  </w:endnote>
  <w:endnote w:type="continuationNotice" w:id="1">
    <w:p w:rsidR="001F0F5E" w:rsidRPr="003B38C1" w:rsidRDefault="001F0F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88" w:rsidRDefault="00750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88" w:rsidRDefault="00750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88" w:rsidRDefault="00750D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90" w:rsidRDefault="00CB729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90" w:rsidRDefault="00CB729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9EC" w:rsidRDefault="00585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5E" w:rsidRDefault="001F0F5E">
      <w:r>
        <w:separator/>
      </w:r>
    </w:p>
  </w:footnote>
  <w:footnote w:type="continuationSeparator" w:id="0">
    <w:p w:rsidR="001F0F5E" w:rsidRDefault="001F0F5E" w:rsidP="008B60B2">
      <w:r>
        <w:separator/>
      </w:r>
    </w:p>
    <w:p w:rsidR="001F0F5E" w:rsidRPr="00ED77FB" w:rsidRDefault="001F0F5E" w:rsidP="008B60B2">
      <w:pPr>
        <w:spacing w:after="60"/>
        <w:rPr>
          <w:sz w:val="17"/>
          <w:szCs w:val="17"/>
        </w:rPr>
      </w:pPr>
      <w:r w:rsidRPr="00ED77FB">
        <w:rPr>
          <w:sz w:val="17"/>
          <w:szCs w:val="17"/>
        </w:rPr>
        <w:t>[Footnote continued from previous page]</w:t>
      </w:r>
    </w:p>
  </w:footnote>
  <w:footnote w:type="continuationNotice" w:id="1">
    <w:p w:rsidR="001F0F5E" w:rsidRPr="00ED77FB" w:rsidRDefault="001F0F5E" w:rsidP="008B60B2">
      <w:pPr>
        <w:spacing w:before="60"/>
        <w:jc w:val="right"/>
        <w:rPr>
          <w:sz w:val="17"/>
          <w:szCs w:val="17"/>
        </w:rPr>
      </w:pPr>
      <w:r w:rsidRPr="00ED77FB">
        <w:rPr>
          <w:sz w:val="17"/>
          <w:szCs w:val="17"/>
        </w:rPr>
        <w:t>[Footnote continued on next page]</w:t>
      </w:r>
    </w:p>
  </w:footnote>
  <w:footnote w:id="2">
    <w:p w:rsidR="00B075B7" w:rsidRDefault="00BD1274" w:rsidP="007E255C">
      <w:pPr>
        <w:pStyle w:val="FootnoteText"/>
        <w:rPr>
          <w:lang w:val="fr-CH"/>
        </w:rPr>
      </w:pPr>
      <w:r w:rsidRPr="00ED52B7">
        <w:rPr>
          <w:rStyle w:val="FootnoteReference"/>
          <w:lang w:val="fr-CH"/>
        </w:rPr>
        <w:footnoteRef/>
      </w:r>
      <w:r w:rsidRPr="00ED52B7">
        <w:rPr>
          <w:lang w:val="fr-CH"/>
        </w:rPr>
        <w:t xml:space="preserve"> </w:t>
      </w:r>
      <w:r w:rsidR="00DB7403">
        <w:rPr>
          <w:lang w:val="fr-CH"/>
        </w:rPr>
        <w:tab/>
      </w:r>
      <w:r w:rsidR="007E255C" w:rsidRPr="00ED52B7">
        <w:rPr>
          <w:lang w:val="fr-CH"/>
        </w:rPr>
        <w:t>On trouvera ci</w:t>
      </w:r>
      <w:r w:rsidR="00215E98">
        <w:rPr>
          <w:lang w:val="fr-CH"/>
        </w:rPr>
        <w:noBreakHyphen/>
      </w:r>
      <w:r w:rsidR="007E255C" w:rsidRPr="00ED52B7">
        <w:rPr>
          <w:lang w:val="fr-CH"/>
        </w:rPr>
        <w:t>après un résumé des résultats</w:t>
      </w:r>
      <w:r w:rsidR="00605B5E">
        <w:rPr>
          <w:lang w:val="fr-CH"/>
        </w:rPr>
        <w:t> </w:t>
      </w:r>
      <w:r w:rsidR="007E255C" w:rsidRPr="00ED52B7">
        <w:rPr>
          <w:lang w:val="fr-CH"/>
        </w:rPr>
        <w:t>:</w:t>
      </w:r>
    </w:p>
    <w:p w:rsidR="00BD1274" w:rsidRPr="00ED52B7" w:rsidRDefault="007E255C" w:rsidP="007E255C">
      <w:pPr>
        <w:pStyle w:val="FootnoteText"/>
        <w:rPr>
          <w:lang w:val="fr-CH"/>
        </w:rPr>
      </w:pPr>
      <w:r w:rsidRPr="00ED52B7">
        <w:rPr>
          <w:lang w:val="fr-CH"/>
        </w:rPr>
        <w:t>Résultat n°</w:t>
      </w:r>
      <w:r w:rsidR="00605B5E">
        <w:rPr>
          <w:lang w:val="fr-CH"/>
        </w:rPr>
        <w:t> </w:t>
      </w:r>
      <w:r w:rsidRPr="00ED52B7">
        <w:rPr>
          <w:lang w:val="fr-CH"/>
        </w:rPr>
        <w:t>3</w:t>
      </w:r>
      <w:r w:rsidR="00605B5E">
        <w:rPr>
          <w:lang w:val="fr-CH"/>
        </w:rPr>
        <w:t> </w:t>
      </w:r>
      <w:r w:rsidRPr="00ED52B7">
        <w:rPr>
          <w:lang w:val="fr-CH"/>
        </w:rPr>
        <w:t>: Nous devrions favoriser l</w:t>
      </w:r>
      <w:r w:rsidR="00B075B7">
        <w:rPr>
          <w:lang w:val="fr-CH"/>
        </w:rPr>
        <w:t>’</w:t>
      </w:r>
      <w:r w:rsidRPr="00ED52B7">
        <w:rPr>
          <w:lang w:val="fr-CH"/>
        </w:rPr>
        <w:t>égalité entre les hommes et les femmes et, à cette fin, utiliser</w:t>
      </w:r>
      <w:r w:rsidR="00B075B7" w:rsidRPr="00ED52B7">
        <w:rPr>
          <w:lang w:val="fr-CH"/>
        </w:rPr>
        <w:t xml:space="preserve"> les</w:t>
      </w:r>
      <w:r w:rsidR="00B075B7">
        <w:rPr>
          <w:lang w:val="fr-CH"/>
        </w:rPr>
        <w:t> </w:t>
      </w:r>
      <w:r w:rsidR="00B075B7" w:rsidRPr="00ED52B7">
        <w:rPr>
          <w:lang w:val="fr-CH"/>
        </w:rPr>
        <w:t>TIC</w:t>
      </w:r>
      <w:r w:rsidRPr="00ED52B7">
        <w:rPr>
          <w:lang w:val="fr-CH"/>
        </w:rPr>
        <w:t xml:space="preserve"> comme outil.</w:t>
      </w:r>
    </w:p>
    <w:p w:rsidR="00BD1274" w:rsidRPr="00ED52B7" w:rsidRDefault="007E255C" w:rsidP="007E255C">
      <w:pPr>
        <w:pStyle w:val="FootnoteText"/>
        <w:rPr>
          <w:lang w:val="fr-CH"/>
        </w:rPr>
      </w:pPr>
      <w:r w:rsidRPr="00ED52B7">
        <w:rPr>
          <w:lang w:val="fr-CH"/>
        </w:rPr>
        <w:t>Résultat n°</w:t>
      </w:r>
      <w:r w:rsidR="00605B5E">
        <w:rPr>
          <w:lang w:val="fr-CH"/>
        </w:rPr>
        <w:t> </w:t>
      </w:r>
      <w:r w:rsidRPr="00ED52B7">
        <w:rPr>
          <w:lang w:val="fr-CH"/>
        </w:rPr>
        <w:t>4</w:t>
      </w:r>
      <w:r w:rsidR="00605B5E">
        <w:rPr>
          <w:lang w:val="fr-CH"/>
        </w:rPr>
        <w:t> </w:t>
      </w:r>
      <w:r w:rsidRPr="00ED52B7">
        <w:rPr>
          <w:lang w:val="fr-CH"/>
        </w:rPr>
        <w:t>: Nous reconnaissons que certains problèmes liés à la réduction de la fracture numérique ne sont toujours pas résolus et que leur règlement nécessitera d</w:t>
      </w:r>
      <w:r w:rsidR="00B075B7">
        <w:rPr>
          <w:lang w:val="fr-CH"/>
        </w:rPr>
        <w:t>’</w:t>
      </w:r>
      <w:r w:rsidRPr="00ED52B7">
        <w:rPr>
          <w:lang w:val="fr-CH"/>
        </w:rPr>
        <w:t>investir durablement</w:t>
      </w:r>
      <w:r w:rsidR="004D27AE">
        <w:rPr>
          <w:lang w:val="fr-CH"/>
        </w:rPr>
        <w:t xml:space="preserve"> </w:t>
      </w:r>
      <w:r w:rsidRPr="00ED52B7">
        <w:rPr>
          <w:lang w:val="fr-CH"/>
        </w:rPr>
        <w:t>dans les infrastructures et services TIC, le renforcement des capacités, le transfert plus facile des compétences, et qu</w:t>
      </w:r>
      <w:r w:rsidR="00B075B7">
        <w:rPr>
          <w:lang w:val="fr-CH"/>
        </w:rPr>
        <w:t>’</w:t>
      </w:r>
      <w:r w:rsidRPr="00ED52B7">
        <w:rPr>
          <w:lang w:val="fr-CH"/>
        </w:rPr>
        <w:t>il faudra encourager le transfert de technologies selon des conditions convenues d</w:t>
      </w:r>
      <w:r w:rsidR="00B075B7">
        <w:rPr>
          <w:lang w:val="fr-CH"/>
        </w:rPr>
        <w:t>’</w:t>
      </w:r>
      <w:r w:rsidRPr="00ED52B7">
        <w:rPr>
          <w:lang w:val="fr-CH"/>
        </w:rPr>
        <w:t>un commun accord.</w:t>
      </w:r>
    </w:p>
    <w:p w:rsidR="00B075B7" w:rsidRDefault="007E255C" w:rsidP="007E255C">
      <w:pPr>
        <w:pStyle w:val="FootnoteText"/>
        <w:rPr>
          <w:lang w:val="fr-CH"/>
        </w:rPr>
      </w:pPr>
      <w:r w:rsidRPr="00ED52B7">
        <w:rPr>
          <w:lang w:val="fr-CH"/>
        </w:rPr>
        <w:t>Résultat</w:t>
      </w:r>
      <w:r w:rsidR="00750D88">
        <w:rPr>
          <w:lang w:val="fr-CH"/>
        </w:rPr>
        <w:t> </w:t>
      </w:r>
      <w:r w:rsidRPr="00ED52B7">
        <w:rPr>
          <w:lang w:val="fr-CH"/>
        </w:rPr>
        <w:t>6</w:t>
      </w:r>
      <w:r w:rsidR="00605B5E">
        <w:rPr>
          <w:lang w:val="fr-CH"/>
        </w:rPr>
        <w:t> </w:t>
      </w:r>
      <w:r w:rsidRPr="00ED52B7">
        <w:rPr>
          <w:lang w:val="fr-CH"/>
        </w:rPr>
        <w:t>: [Les TIC] doivent être pleinement reconnues comme des outils qui donnent des moyens d</w:t>
      </w:r>
      <w:r w:rsidR="00B075B7">
        <w:rPr>
          <w:lang w:val="fr-CH"/>
        </w:rPr>
        <w:t>’</w:t>
      </w:r>
      <w:r w:rsidRPr="00ED52B7">
        <w:rPr>
          <w:lang w:val="fr-CH"/>
        </w:rPr>
        <w:t>agir et contribuent à la croissance économique dans la perspective du développement, compte tenu de l</w:t>
      </w:r>
      <w:r w:rsidR="00B075B7">
        <w:rPr>
          <w:lang w:val="fr-CH"/>
        </w:rPr>
        <w:t>’</w:t>
      </w:r>
      <w:r w:rsidRPr="00ED52B7">
        <w:rPr>
          <w:lang w:val="fr-CH"/>
        </w:rPr>
        <w:t>importance croissante des contenus pertinents, des compétences techniques et de la mise en place d</w:t>
      </w:r>
      <w:r w:rsidR="00B075B7">
        <w:rPr>
          <w:lang w:val="fr-CH"/>
        </w:rPr>
        <w:t>’</w:t>
      </w:r>
      <w:r w:rsidRPr="00ED52B7">
        <w:rPr>
          <w:lang w:val="fr-CH"/>
        </w:rPr>
        <w:t>un environnement propice.</w:t>
      </w:r>
    </w:p>
    <w:p w:rsidR="00BD1274" w:rsidRPr="00ED52B7" w:rsidRDefault="00BD1274">
      <w:pPr>
        <w:pStyle w:val="FootnoteText"/>
        <w:rPr>
          <w:lang w:val="fr-CH"/>
        </w:rPr>
      </w:pPr>
    </w:p>
  </w:footnote>
  <w:footnote w:id="3">
    <w:p w:rsidR="00BE3C55" w:rsidRPr="00ED52B7" w:rsidRDefault="00BE3C55" w:rsidP="00BE3C55">
      <w:pPr>
        <w:pStyle w:val="FootnoteText"/>
        <w:rPr>
          <w:lang w:val="fr-CH"/>
        </w:rPr>
      </w:pPr>
      <w:r w:rsidRPr="00ED52B7">
        <w:rPr>
          <w:rStyle w:val="FootnoteReference"/>
          <w:lang w:val="fr-CH"/>
        </w:rPr>
        <w:footnoteRef/>
      </w:r>
      <w:r w:rsidRPr="00ED52B7">
        <w:rPr>
          <w:lang w:val="fr-CH"/>
        </w:rPr>
        <w:t xml:space="preserve"> </w:t>
      </w:r>
      <w:r w:rsidR="00D23E28">
        <w:rPr>
          <w:lang w:val="fr-CH"/>
        </w:rPr>
        <w:tab/>
      </w:r>
      <w:r w:rsidRPr="00ED52B7">
        <w:rPr>
          <w:lang w:val="fr-CH"/>
        </w:rPr>
        <w:t xml:space="preserve">Sur la base </w:t>
      </w:r>
      <w:r w:rsidR="00DC4E90">
        <w:rPr>
          <w:lang w:val="fr-CH"/>
        </w:rPr>
        <w:t>de</w:t>
      </w:r>
      <w:r w:rsidRPr="00ED52B7">
        <w:rPr>
          <w:lang w:val="fr-CH"/>
        </w:rPr>
        <w:t xml:space="preserve"> recommandations relatives à des projets </w:t>
      </w:r>
      <w:r w:rsidR="00DC4E90">
        <w:rPr>
          <w:lang w:val="fr-CH"/>
        </w:rPr>
        <w:t>particuliers</w:t>
      </w:r>
      <w:r w:rsidRPr="00ED52B7">
        <w:rPr>
          <w:lang w:val="fr-CH"/>
        </w:rPr>
        <w:t xml:space="preserve"> déjà achevés dans le cadre</w:t>
      </w:r>
      <w:r w:rsidR="00B075B7" w:rsidRPr="00ED52B7">
        <w:rPr>
          <w:lang w:val="fr-CH"/>
        </w:rPr>
        <w:t xml:space="preserve"> du</w:t>
      </w:r>
      <w:r w:rsidR="00B075B7">
        <w:rPr>
          <w:lang w:val="fr-CH"/>
        </w:rPr>
        <w:t> </w:t>
      </w:r>
      <w:r w:rsidR="00B075B7" w:rsidRPr="00ED52B7">
        <w:rPr>
          <w:lang w:val="fr-CH"/>
        </w:rPr>
        <w:t>CDI</w:t>
      </w:r>
      <w:r w:rsidRPr="00ED52B7">
        <w:rPr>
          <w:lang w:val="fr-CH"/>
        </w:rPr>
        <w:t>P ou d</w:t>
      </w:r>
      <w:r w:rsidR="00B075B7">
        <w:rPr>
          <w:lang w:val="fr-CH"/>
        </w:rPr>
        <w:t>’</w:t>
      </w:r>
      <w:r w:rsidRPr="00ED52B7">
        <w:rPr>
          <w:lang w:val="fr-CH"/>
        </w:rPr>
        <w:t>études de cas sur des expériences en matière de transfert de technologie en rapport avec la propriété intellectuelle.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88" w:rsidRDefault="00750D8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9EC" w:rsidRDefault="005859EC" w:rsidP="00477D6B">
    <w:pPr>
      <w:jc w:val="right"/>
    </w:pPr>
    <w:r>
      <w:t>CDIP/2</w:t>
    </w:r>
    <w:r w:rsidR="00680D6F">
      <w:t>2/7</w:t>
    </w:r>
  </w:p>
  <w:p w:rsidR="005859EC" w:rsidRDefault="005859EC" w:rsidP="00482FB3">
    <w:pPr>
      <w:jc w:val="right"/>
    </w:pPr>
    <w:r w:rsidRPr="004A5137">
      <w:rPr>
        <w:lang w:val="fr-FR"/>
      </w:rPr>
      <w:t>Annex</w:t>
    </w:r>
    <w:r w:rsidR="00933A81" w:rsidRPr="004A5137">
      <w:rPr>
        <w:lang w:val="fr-FR"/>
      </w:rPr>
      <w:t>e</w:t>
    </w:r>
    <w:r>
      <w:t xml:space="preserve"> III, page </w:t>
    </w:r>
    <w:r w:rsidR="00482FB3">
      <w:fldChar w:fldCharType="begin"/>
    </w:r>
    <w:r w:rsidR="00482FB3">
      <w:instrText xml:space="preserve"> PAGE   \* MERGEFORMAT </w:instrText>
    </w:r>
    <w:r w:rsidR="00482FB3">
      <w:fldChar w:fldCharType="separate"/>
    </w:r>
    <w:r w:rsidR="00332F64">
      <w:rPr>
        <w:noProof/>
      </w:rPr>
      <w:t>5</w:t>
    </w:r>
    <w:r w:rsidR="00482FB3">
      <w:rPr>
        <w:noProof/>
      </w:rPr>
      <w:fldChar w:fldCharType="end"/>
    </w:r>
  </w:p>
  <w:p w:rsidR="005859EC" w:rsidRDefault="005859EC" w:rsidP="00477D6B">
    <w:pPr>
      <w:jc w:val="right"/>
    </w:pPr>
  </w:p>
  <w:p w:rsidR="005859EC" w:rsidRDefault="005859EC"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9EC" w:rsidRDefault="005859EC" w:rsidP="003D09A1">
    <w:pPr>
      <w:pStyle w:val="Header"/>
      <w:jc w:val="right"/>
    </w:pPr>
    <w:r>
      <w:t>CDIP/22/7</w:t>
    </w:r>
  </w:p>
  <w:p w:rsidR="005859EC" w:rsidRDefault="005859EC" w:rsidP="003D09A1">
    <w:pPr>
      <w:pStyle w:val="Header"/>
      <w:jc w:val="right"/>
    </w:pPr>
    <w:r>
      <w:t>ANNEX</w:t>
    </w:r>
    <w:r w:rsidR="00061132">
      <w:t>E</w:t>
    </w:r>
    <w:r>
      <w:t xml:space="preserve"> III</w:t>
    </w:r>
  </w:p>
  <w:p w:rsidR="005859EC" w:rsidRDefault="005859EC" w:rsidP="001E5355">
    <w:pPr>
      <w:pStyle w:val="Header"/>
      <w:jc w:val="right"/>
    </w:pPr>
  </w:p>
  <w:p w:rsidR="001E5355" w:rsidRPr="00D10829" w:rsidRDefault="001E5355" w:rsidP="001E535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96BC6" w:rsidP="00477D6B">
    <w:pPr>
      <w:jc w:val="right"/>
    </w:pPr>
    <w:bookmarkStart w:id="5" w:name="Code2"/>
    <w:bookmarkEnd w:id="5"/>
    <w:r>
      <w:t>CDIP/18/4</w:t>
    </w:r>
  </w:p>
  <w:p w:rsidR="00EC4E49" w:rsidRDefault="00777AE2" w:rsidP="00777AE2">
    <w:pPr>
      <w:jc w:val="right"/>
    </w:pPr>
    <w:proofErr w:type="spellStart"/>
    <w:r>
      <w:t>Annexe</w:t>
    </w:r>
    <w:proofErr w:type="spellEnd"/>
    <w:r>
      <w:t xml:space="preserve"> I, page</w:t>
    </w:r>
    <w:r w:rsidR="00750D88">
      <w:t> </w:t>
    </w:r>
    <w:r w:rsidR="00EC4E49">
      <w:fldChar w:fldCharType="begin"/>
    </w:r>
    <w:r w:rsidR="00EC4E49">
      <w:instrText xml:space="preserve"> PAGE  \* MERGEFORMAT </w:instrText>
    </w:r>
    <w:r w:rsidR="00EC4E49">
      <w:fldChar w:fldCharType="separate"/>
    </w:r>
    <w:r w:rsidR="00EB6CA7">
      <w:rPr>
        <w:noProof/>
      </w:rPr>
      <w:t>5</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88" w:rsidRDefault="00750D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252823" w:rsidP="00477D6B">
    <w:pPr>
      <w:jc w:val="right"/>
    </w:pPr>
    <w:r>
      <w:t>CDIP/2</w:t>
    </w:r>
    <w:r w:rsidR="009C0248">
      <w:t>2</w:t>
    </w:r>
    <w:r>
      <w:t>/</w:t>
    </w:r>
    <w:r w:rsidR="009C0248">
      <w:t>4</w:t>
    </w:r>
  </w:p>
  <w:p w:rsidR="00657EE9" w:rsidRDefault="00777AE2" w:rsidP="00777AE2">
    <w:pPr>
      <w:jc w:val="right"/>
    </w:pPr>
    <w:proofErr w:type="spellStart"/>
    <w:r>
      <w:t>Appendice</w:t>
    </w:r>
    <w:proofErr w:type="spellEnd"/>
    <w:r>
      <w:t xml:space="preserve"> I, page</w:t>
    </w:r>
    <w:r w:rsidR="00657EE9">
      <w:t xml:space="preserve"> </w:t>
    </w:r>
    <w:r w:rsidR="00657EE9">
      <w:fldChar w:fldCharType="begin"/>
    </w:r>
    <w:r w:rsidR="00657EE9">
      <w:instrText xml:space="preserve"> PAGE  \* MERGEFORMAT </w:instrText>
    </w:r>
    <w:r w:rsidR="00657EE9">
      <w:fldChar w:fldCharType="separate"/>
    </w:r>
    <w:r w:rsidR="00EB6CA7">
      <w:rPr>
        <w:noProof/>
      </w:rPr>
      <w:t>5</w:t>
    </w:r>
    <w:r w:rsidR="00657EE9">
      <w:fldChar w:fldCharType="end"/>
    </w:r>
  </w:p>
  <w:p w:rsidR="00657EE9" w:rsidRDefault="00657EE9" w:rsidP="00477D6B">
    <w:pPr>
      <w:jc w:val="right"/>
    </w:pPr>
  </w:p>
  <w:p w:rsidR="00E87EB9" w:rsidRDefault="00E87EB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927250" w:rsidP="00657EE9">
    <w:pPr>
      <w:pStyle w:val="Header"/>
      <w:jc w:val="right"/>
    </w:pPr>
    <w:r>
      <w:t>CDIP/22</w:t>
    </w:r>
    <w:r w:rsidR="00657EE9">
      <w:t>/</w:t>
    </w:r>
    <w:r w:rsidR="00BF7F01">
      <w:t>7</w:t>
    </w:r>
  </w:p>
  <w:p w:rsidR="00657EE9" w:rsidRDefault="00CB7290" w:rsidP="00CB7290">
    <w:pPr>
      <w:pStyle w:val="Header"/>
      <w:jc w:val="right"/>
    </w:pPr>
    <w:r>
      <w:t>ANNEX</w:t>
    </w:r>
    <w:r w:rsidR="00DD4D3E">
      <w:t>E</w:t>
    </w:r>
    <w:r w:rsidR="00ED0E6E">
      <w:t xml:space="preserve"> I</w:t>
    </w:r>
  </w:p>
  <w:p w:rsidR="006B6E7E" w:rsidRDefault="006B6E7E" w:rsidP="006B6E7E">
    <w:pPr>
      <w:pStyle w:val="Header"/>
      <w:jc w:val="right"/>
    </w:pPr>
  </w:p>
  <w:p w:rsidR="00657EE9" w:rsidRDefault="00657E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90" w:rsidRPr="00564AB5" w:rsidRDefault="00CB7290" w:rsidP="00EC733C">
    <w:pPr>
      <w:jc w:val="right"/>
      <w:rPr>
        <w:lang w:val="fr-CH"/>
      </w:rPr>
    </w:pPr>
    <w:r w:rsidRPr="00564AB5">
      <w:rPr>
        <w:lang w:val="fr-CH"/>
      </w:rPr>
      <w:t>CDIP/22/</w:t>
    </w:r>
    <w:r w:rsidR="00EC733C" w:rsidRPr="00564AB5">
      <w:rPr>
        <w:lang w:val="fr-CH"/>
      </w:rPr>
      <w:t>7</w:t>
    </w:r>
  </w:p>
  <w:p w:rsidR="00CB7290" w:rsidRPr="00564AB5" w:rsidRDefault="00993FAE" w:rsidP="00CB7290">
    <w:pPr>
      <w:jc w:val="right"/>
      <w:rPr>
        <w:lang w:val="fr-CH"/>
      </w:rPr>
    </w:pPr>
    <w:r w:rsidRPr="00564AB5">
      <w:rPr>
        <w:lang w:val="fr-CH"/>
      </w:rPr>
      <w:t>Appendice</w:t>
    </w:r>
    <w:r w:rsidR="00CB7290" w:rsidRPr="00564AB5">
      <w:rPr>
        <w:lang w:val="fr-CH"/>
      </w:rPr>
      <w:t xml:space="preserve"> I, page </w:t>
    </w:r>
    <w:r w:rsidR="00CB7290" w:rsidRPr="00564AB5">
      <w:rPr>
        <w:lang w:val="fr-CH"/>
      </w:rPr>
      <w:fldChar w:fldCharType="begin"/>
    </w:r>
    <w:r w:rsidR="00CB7290" w:rsidRPr="00564AB5">
      <w:rPr>
        <w:lang w:val="fr-CH"/>
      </w:rPr>
      <w:instrText xml:space="preserve"> PAGE  \* MERGEFORMAT </w:instrText>
    </w:r>
    <w:r w:rsidR="00CB7290" w:rsidRPr="00564AB5">
      <w:rPr>
        <w:lang w:val="fr-CH"/>
      </w:rPr>
      <w:fldChar w:fldCharType="separate"/>
    </w:r>
    <w:r w:rsidR="00332F64">
      <w:rPr>
        <w:noProof/>
        <w:lang w:val="fr-CH"/>
      </w:rPr>
      <w:t>6</w:t>
    </w:r>
    <w:r w:rsidR="00CB7290" w:rsidRPr="00564AB5">
      <w:rPr>
        <w:lang w:val="fr-CH"/>
      </w:rPr>
      <w:fldChar w:fldCharType="end"/>
    </w:r>
  </w:p>
  <w:p w:rsidR="00CB7290" w:rsidRPr="00564AB5" w:rsidRDefault="00CB7290" w:rsidP="00477D6B">
    <w:pPr>
      <w:jc w:val="right"/>
      <w:rPr>
        <w:lang w:val="fr-CH"/>
      </w:rPr>
    </w:pPr>
  </w:p>
  <w:p w:rsidR="00CB7290" w:rsidRPr="00564AB5" w:rsidRDefault="00CB7290"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90" w:rsidRDefault="00CB7290" w:rsidP="00657EE9">
    <w:pPr>
      <w:pStyle w:val="Header"/>
      <w:jc w:val="right"/>
    </w:pPr>
    <w:r>
      <w:t>CDIP/22/7</w:t>
    </w:r>
  </w:p>
  <w:p w:rsidR="00CB7290" w:rsidRDefault="00DD4D3E" w:rsidP="006B6E7E">
    <w:pPr>
      <w:pStyle w:val="Header"/>
      <w:jc w:val="right"/>
    </w:pPr>
    <w:r>
      <w:t>APPENDICE</w:t>
    </w:r>
    <w:r w:rsidR="00CB7290">
      <w:t xml:space="preserve"> I</w:t>
    </w:r>
  </w:p>
  <w:p w:rsidR="00CB7290" w:rsidRDefault="00CB7290" w:rsidP="006B6E7E">
    <w:pPr>
      <w:pStyle w:val="Header"/>
      <w:jc w:val="right"/>
    </w:pPr>
  </w:p>
  <w:p w:rsidR="00CB7290" w:rsidRDefault="00CB729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EC733C" w:rsidP="00477D6B">
    <w:pPr>
      <w:jc w:val="right"/>
    </w:pPr>
    <w:r>
      <w:t>CDIP/22/7</w:t>
    </w:r>
  </w:p>
  <w:p w:rsidR="005A7EC0" w:rsidRDefault="002C15D4" w:rsidP="00477D6B">
    <w:pPr>
      <w:jc w:val="right"/>
    </w:pPr>
    <w:proofErr w:type="spellStart"/>
    <w:r>
      <w:t>Annex</w:t>
    </w:r>
    <w:r w:rsidR="000A1524">
      <w:t>e</w:t>
    </w:r>
    <w:proofErr w:type="spellEnd"/>
    <w:r>
      <w:t xml:space="preserve"> II</w:t>
    </w:r>
    <w:r w:rsidR="005A7EC0">
      <w:t xml:space="preserve">, page </w:t>
    </w:r>
    <w:r w:rsidR="00432E03">
      <w:t>2</w:t>
    </w:r>
  </w:p>
  <w:p w:rsidR="005A7EC0" w:rsidRDefault="005A7EC0" w:rsidP="00477D6B">
    <w:pPr>
      <w:jc w:val="right"/>
    </w:pPr>
  </w:p>
  <w:p w:rsidR="005A7EC0" w:rsidRDefault="005A7EC0"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5A7EC0" w:rsidP="00D10829">
    <w:pPr>
      <w:pStyle w:val="Header"/>
    </w:pPr>
  </w:p>
  <w:p w:rsidR="003D09A1" w:rsidRDefault="003D09A1" w:rsidP="003D09A1">
    <w:pPr>
      <w:pStyle w:val="Header"/>
      <w:jc w:val="right"/>
    </w:pPr>
    <w:r>
      <w:t>CDIP/22/7</w:t>
    </w:r>
  </w:p>
  <w:p w:rsidR="003D09A1" w:rsidRDefault="003D09A1" w:rsidP="003D09A1">
    <w:pPr>
      <w:pStyle w:val="Header"/>
      <w:jc w:val="right"/>
    </w:pPr>
    <w:r>
      <w:t>ANNEX</w:t>
    </w:r>
    <w:r w:rsidR="00AD69DF">
      <w:t>E</w:t>
    </w:r>
    <w:r>
      <w:t xml:space="preserve"> II</w:t>
    </w:r>
  </w:p>
  <w:p w:rsidR="003D09A1" w:rsidRPr="00D10829" w:rsidRDefault="003D09A1" w:rsidP="00D10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0DCB6027"/>
    <w:multiLevelType w:val="hybridMultilevel"/>
    <w:tmpl w:val="34E0D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16673D6"/>
    <w:multiLevelType w:val="hybridMultilevel"/>
    <w:tmpl w:val="5246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42619"/>
    <w:multiLevelType w:val="hybridMultilevel"/>
    <w:tmpl w:val="6B308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11197"/>
    <w:multiLevelType w:val="hybridMultilevel"/>
    <w:tmpl w:val="CD640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23745"/>
    <w:multiLevelType w:val="hybridMultilevel"/>
    <w:tmpl w:val="77486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9236FD"/>
    <w:multiLevelType w:val="hybridMultilevel"/>
    <w:tmpl w:val="82009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BF27B9D"/>
    <w:multiLevelType w:val="hybridMultilevel"/>
    <w:tmpl w:val="DAB8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094D15"/>
    <w:multiLevelType w:val="hybridMultilevel"/>
    <w:tmpl w:val="1458B2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5022D68"/>
    <w:multiLevelType w:val="hybridMultilevel"/>
    <w:tmpl w:val="303A9B18"/>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7">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073A86"/>
    <w:multiLevelType w:val="hybridMultilevel"/>
    <w:tmpl w:val="0358A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401C1F"/>
    <w:multiLevelType w:val="hybridMultilevel"/>
    <w:tmpl w:val="4336F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1856FC"/>
    <w:multiLevelType w:val="hybridMultilevel"/>
    <w:tmpl w:val="9E56F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D96786"/>
    <w:multiLevelType w:val="hybridMultilevel"/>
    <w:tmpl w:val="BDE22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2"/>
  </w:num>
  <w:num w:numId="6">
    <w:abstractNumId w:val="7"/>
  </w:num>
  <w:num w:numId="7">
    <w:abstractNumId w:val="1"/>
  </w:num>
  <w:num w:numId="8">
    <w:abstractNumId w:val="21"/>
  </w:num>
  <w:num w:numId="9">
    <w:abstractNumId w:val="5"/>
  </w:num>
  <w:num w:numId="10">
    <w:abstractNumId w:val="3"/>
  </w:num>
  <w:num w:numId="11">
    <w:abstractNumId w:val="17"/>
  </w:num>
  <w:num w:numId="12">
    <w:abstractNumId w:val="12"/>
  </w:num>
  <w:num w:numId="13">
    <w:abstractNumId w:val="16"/>
  </w:num>
  <w:num w:numId="14">
    <w:abstractNumId w:val="8"/>
  </w:num>
  <w:num w:numId="15">
    <w:abstractNumId w:val="13"/>
  </w:num>
  <w:num w:numId="16">
    <w:abstractNumId w:val="20"/>
  </w:num>
  <w:num w:numId="17">
    <w:abstractNumId w:val="22"/>
  </w:num>
  <w:num w:numId="18">
    <w:abstractNumId w:val="19"/>
  </w:num>
  <w:num w:numId="19">
    <w:abstractNumId w:val="23"/>
  </w:num>
  <w:num w:numId="20">
    <w:abstractNumId w:val="11"/>
  </w:num>
  <w:num w:numId="21">
    <w:abstractNumId w:val="4"/>
  </w:num>
  <w:num w:numId="22">
    <w:abstractNumId w:val="9"/>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insDel="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Treaties &amp; Laws\WIPO Treaties|TextBase TMs\WorkspaceFTS\Treaties &amp; Laws\WIPO Lex|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xLegacy\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am Server TMs\French"/>
    <w:docVar w:name="TextBaseURL" w:val="empty"/>
    <w:docVar w:name="UILng" w:val="en"/>
  </w:docVars>
  <w:rsids>
    <w:rsidRoot w:val="00996BC6"/>
    <w:rsid w:val="00000117"/>
    <w:rsid w:val="000026F8"/>
    <w:rsid w:val="00006C42"/>
    <w:rsid w:val="00024128"/>
    <w:rsid w:val="00043CAA"/>
    <w:rsid w:val="00046BCE"/>
    <w:rsid w:val="000515FF"/>
    <w:rsid w:val="00061132"/>
    <w:rsid w:val="00061C50"/>
    <w:rsid w:val="00074587"/>
    <w:rsid w:val="00075432"/>
    <w:rsid w:val="00075731"/>
    <w:rsid w:val="0008169F"/>
    <w:rsid w:val="0008369A"/>
    <w:rsid w:val="000915D9"/>
    <w:rsid w:val="000951DA"/>
    <w:rsid w:val="000968ED"/>
    <w:rsid w:val="000973C0"/>
    <w:rsid w:val="000A1524"/>
    <w:rsid w:val="000B69AA"/>
    <w:rsid w:val="000C10AC"/>
    <w:rsid w:val="000C6247"/>
    <w:rsid w:val="000E060A"/>
    <w:rsid w:val="000E24DC"/>
    <w:rsid w:val="000E2C81"/>
    <w:rsid w:val="000F1462"/>
    <w:rsid w:val="000F22C6"/>
    <w:rsid w:val="000F4615"/>
    <w:rsid w:val="000F5E56"/>
    <w:rsid w:val="0010325E"/>
    <w:rsid w:val="0012386D"/>
    <w:rsid w:val="00126C5B"/>
    <w:rsid w:val="00131076"/>
    <w:rsid w:val="001362EE"/>
    <w:rsid w:val="001566E1"/>
    <w:rsid w:val="00162092"/>
    <w:rsid w:val="00165349"/>
    <w:rsid w:val="00165EE7"/>
    <w:rsid w:val="001832A6"/>
    <w:rsid w:val="0019177B"/>
    <w:rsid w:val="001A5086"/>
    <w:rsid w:val="001A60FC"/>
    <w:rsid w:val="001B1BC2"/>
    <w:rsid w:val="001B246C"/>
    <w:rsid w:val="001B64BB"/>
    <w:rsid w:val="001C3EAF"/>
    <w:rsid w:val="001D239E"/>
    <w:rsid w:val="001E4EDC"/>
    <w:rsid w:val="001E5355"/>
    <w:rsid w:val="001F0F5E"/>
    <w:rsid w:val="00215E98"/>
    <w:rsid w:val="00223119"/>
    <w:rsid w:val="00224A31"/>
    <w:rsid w:val="002326AD"/>
    <w:rsid w:val="00234105"/>
    <w:rsid w:val="0023713F"/>
    <w:rsid w:val="00237642"/>
    <w:rsid w:val="0024389B"/>
    <w:rsid w:val="002439B4"/>
    <w:rsid w:val="00252076"/>
    <w:rsid w:val="00252823"/>
    <w:rsid w:val="0025713B"/>
    <w:rsid w:val="00262206"/>
    <w:rsid w:val="002634C4"/>
    <w:rsid w:val="00274336"/>
    <w:rsid w:val="0027757F"/>
    <w:rsid w:val="002928D3"/>
    <w:rsid w:val="002A7C08"/>
    <w:rsid w:val="002B0BA4"/>
    <w:rsid w:val="002C15D4"/>
    <w:rsid w:val="002D0692"/>
    <w:rsid w:val="002D52B5"/>
    <w:rsid w:val="002D639E"/>
    <w:rsid w:val="002F1FE6"/>
    <w:rsid w:val="002F2E3F"/>
    <w:rsid w:val="002F4E68"/>
    <w:rsid w:val="00302372"/>
    <w:rsid w:val="003077F1"/>
    <w:rsid w:val="003079EA"/>
    <w:rsid w:val="00312F7F"/>
    <w:rsid w:val="00327A34"/>
    <w:rsid w:val="00332F64"/>
    <w:rsid w:val="003334E4"/>
    <w:rsid w:val="00337F4F"/>
    <w:rsid w:val="00341012"/>
    <w:rsid w:val="003423A9"/>
    <w:rsid w:val="0034268E"/>
    <w:rsid w:val="003473AC"/>
    <w:rsid w:val="00347620"/>
    <w:rsid w:val="00347D04"/>
    <w:rsid w:val="00361450"/>
    <w:rsid w:val="003673CF"/>
    <w:rsid w:val="00373768"/>
    <w:rsid w:val="003769FE"/>
    <w:rsid w:val="00380727"/>
    <w:rsid w:val="00382ACD"/>
    <w:rsid w:val="003845C1"/>
    <w:rsid w:val="003905D5"/>
    <w:rsid w:val="003A6F89"/>
    <w:rsid w:val="003B38C1"/>
    <w:rsid w:val="003B526B"/>
    <w:rsid w:val="003C5FEF"/>
    <w:rsid w:val="003D09A1"/>
    <w:rsid w:val="003D2B20"/>
    <w:rsid w:val="003D7A6A"/>
    <w:rsid w:val="004002E3"/>
    <w:rsid w:val="00423E3E"/>
    <w:rsid w:val="0042738D"/>
    <w:rsid w:val="00427AF4"/>
    <w:rsid w:val="00432E03"/>
    <w:rsid w:val="00434C40"/>
    <w:rsid w:val="0043691B"/>
    <w:rsid w:val="004379CE"/>
    <w:rsid w:val="00447395"/>
    <w:rsid w:val="00447E44"/>
    <w:rsid w:val="004647DA"/>
    <w:rsid w:val="00474062"/>
    <w:rsid w:val="00477D6B"/>
    <w:rsid w:val="00482FB3"/>
    <w:rsid w:val="004A5137"/>
    <w:rsid w:val="004B42AF"/>
    <w:rsid w:val="004C3FF2"/>
    <w:rsid w:val="004C716B"/>
    <w:rsid w:val="004D27AE"/>
    <w:rsid w:val="004F312F"/>
    <w:rsid w:val="004F3728"/>
    <w:rsid w:val="004F7935"/>
    <w:rsid w:val="005019FF"/>
    <w:rsid w:val="00505627"/>
    <w:rsid w:val="00510520"/>
    <w:rsid w:val="005127AE"/>
    <w:rsid w:val="0051492E"/>
    <w:rsid w:val="00526837"/>
    <w:rsid w:val="00527E6F"/>
    <w:rsid w:val="0053057A"/>
    <w:rsid w:val="00534BF2"/>
    <w:rsid w:val="005576F6"/>
    <w:rsid w:val="00560A29"/>
    <w:rsid w:val="00564AB5"/>
    <w:rsid w:val="00564F50"/>
    <w:rsid w:val="0056728A"/>
    <w:rsid w:val="00577DBA"/>
    <w:rsid w:val="005840E0"/>
    <w:rsid w:val="00584FE6"/>
    <w:rsid w:val="005859EC"/>
    <w:rsid w:val="005A6E50"/>
    <w:rsid w:val="005A7EC0"/>
    <w:rsid w:val="005B3389"/>
    <w:rsid w:val="005C2066"/>
    <w:rsid w:val="005C38D0"/>
    <w:rsid w:val="005C55F1"/>
    <w:rsid w:val="005C64B2"/>
    <w:rsid w:val="005C6649"/>
    <w:rsid w:val="005D4EFE"/>
    <w:rsid w:val="005D7281"/>
    <w:rsid w:val="005E5DF5"/>
    <w:rsid w:val="005E7233"/>
    <w:rsid w:val="00605827"/>
    <w:rsid w:val="00605B5E"/>
    <w:rsid w:val="00616855"/>
    <w:rsid w:val="00617232"/>
    <w:rsid w:val="00620212"/>
    <w:rsid w:val="006204EC"/>
    <w:rsid w:val="0062166F"/>
    <w:rsid w:val="0064150C"/>
    <w:rsid w:val="00641EF7"/>
    <w:rsid w:val="00646050"/>
    <w:rsid w:val="006503A8"/>
    <w:rsid w:val="006559A2"/>
    <w:rsid w:val="006579EE"/>
    <w:rsid w:val="00657EE9"/>
    <w:rsid w:val="006610ED"/>
    <w:rsid w:val="00663EC6"/>
    <w:rsid w:val="006713CA"/>
    <w:rsid w:val="00672B65"/>
    <w:rsid w:val="00676C5C"/>
    <w:rsid w:val="00680D6F"/>
    <w:rsid w:val="0068499A"/>
    <w:rsid w:val="00685595"/>
    <w:rsid w:val="00687099"/>
    <w:rsid w:val="00693C44"/>
    <w:rsid w:val="006A2B8A"/>
    <w:rsid w:val="006A375D"/>
    <w:rsid w:val="006B38F5"/>
    <w:rsid w:val="006B4EED"/>
    <w:rsid w:val="006B6E7E"/>
    <w:rsid w:val="006C78C1"/>
    <w:rsid w:val="006D6352"/>
    <w:rsid w:val="006E76B4"/>
    <w:rsid w:val="00701192"/>
    <w:rsid w:val="0071058F"/>
    <w:rsid w:val="007120F0"/>
    <w:rsid w:val="00714EA1"/>
    <w:rsid w:val="00723C19"/>
    <w:rsid w:val="00724C5A"/>
    <w:rsid w:val="007261C4"/>
    <w:rsid w:val="007334B8"/>
    <w:rsid w:val="00750D88"/>
    <w:rsid w:val="00752679"/>
    <w:rsid w:val="00765337"/>
    <w:rsid w:val="00776A96"/>
    <w:rsid w:val="00777AE2"/>
    <w:rsid w:val="00783725"/>
    <w:rsid w:val="007A6F95"/>
    <w:rsid w:val="007A7FD4"/>
    <w:rsid w:val="007B2F87"/>
    <w:rsid w:val="007C17F4"/>
    <w:rsid w:val="007C4887"/>
    <w:rsid w:val="007D1613"/>
    <w:rsid w:val="007D4FB5"/>
    <w:rsid w:val="007E255C"/>
    <w:rsid w:val="007E760A"/>
    <w:rsid w:val="007F73E0"/>
    <w:rsid w:val="00812B4C"/>
    <w:rsid w:val="00826890"/>
    <w:rsid w:val="00833308"/>
    <w:rsid w:val="00835620"/>
    <w:rsid w:val="008508D0"/>
    <w:rsid w:val="00852E7E"/>
    <w:rsid w:val="0087131F"/>
    <w:rsid w:val="008A438E"/>
    <w:rsid w:val="008A5763"/>
    <w:rsid w:val="008A7607"/>
    <w:rsid w:val="008B2CC1"/>
    <w:rsid w:val="008B60B2"/>
    <w:rsid w:val="008B7ACB"/>
    <w:rsid w:val="008C1012"/>
    <w:rsid w:val="008C1D38"/>
    <w:rsid w:val="008C7E64"/>
    <w:rsid w:val="008D1D00"/>
    <w:rsid w:val="008E2D8C"/>
    <w:rsid w:val="008E55B9"/>
    <w:rsid w:val="008F0082"/>
    <w:rsid w:val="008F19CB"/>
    <w:rsid w:val="009004C9"/>
    <w:rsid w:val="0090731E"/>
    <w:rsid w:val="0091233C"/>
    <w:rsid w:val="00915D05"/>
    <w:rsid w:val="00916EE2"/>
    <w:rsid w:val="00926686"/>
    <w:rsid w:val="00927250"/>
    <w:rsid w:val="0093061B"/>
    <w:rsid w:val="0093162E"/>
    <w:rsid w:val="00933A81"/>
    <w:rsid w:val="00942D9A"/>
    <w:rsid w:val="00944FDF"/>
    <w:rsid w:val="00945B3F"/>
    <w:rsid w:val="00946482"/>
    <w:rsid w:val="0094736D"/>
    <w:rsid w:val="009503C3"/>
    <w:rsid w:val="0096413D"/>
    <w:rsid w:val="00966A22"/>
    <w:rsid w:val="0096722F"/>
    <w:rsid w:val="00970611"/>
    <w:rsid w:val="00970B0A"/>
    <w:rsid w:val="00980843"/>
    <w:rsid w:val="00982293"/>
    <w:rsid w:val="00982C6E"/>
    <w:rsid w:val="00993FAE"/>
    <w:rsid w:val="00995B9C"/>
    <w:rsid w:val="00996BC6"/>
    <w:rsid w:val="009C0248"/>
    <w:rsid w:val="009C1E20"/>
    <w:rsid w:val="009C28D1"/>
    <w:rsid w:val="009D1794"/>
    <w:rsid w:val="009E2791"/>
    <w:rsid w:val="009E3F6F"/>
    <w:rsid w:val="009F499F"/>
    <w:rsid w:val="009F71B7"/>
    <w:rsid w:val="00A15D36"/>
    <w:rsid w:val="00A2207C"/>
    <w:rsid w:val="00A23A8B"/>
    <w:rsid w:val="00A31CEC"/>
    <w:rsid w:val="00A35E9B"/>
    <w:rsid w:val="00A42DAF"/>
    <w:rsid w:val="00A45BD8"/>
    <w:rsid w:val="00A50C21"/>
    <w:rsid w:val="00A52CC3"/>
    <w:rsid w:val="00A66ED0"/>
    <w:rsid w:val="00A72B68"/>
    <w:rsid w:val="00A7334C"/>
    <w:rsid w:val="00A869B7"/>
    <w:rsid w:val="00A94287"/>
    <w:rsid w:val="00A95ACB"/>
    <w:rsid w:val="00AA3BEA"/>
    <w:rsid w:val="00AB6CEA"/>
    <w:rsid w:val="00AC205C"/>
    <w:rsid w:val="00AC338E"/>
    <w:rsid w:val="00AD3A26"/>
    <w:rsid w:val="00AD4FC6"/>
    <w:rsid w:val="00AD5CBB"/>
    <w:rsid w:val="00AD69DF"/>
    <w:rsid w:val="00AE1944"/>
    <w:rsid w:val="00AE3FEC"/>
    <w:rsid w:val="00AE5347"/>
    <w:rsid w:val="00AF0A6B"/>
    <w:rsid w:val="00AF39CF"/>
    <w:rsid w:val="00B05A69"/>
    <w:rsid w:val="00B075B7"/>
    <w:rsid w:val="00B07FB8"/>
    <w:rsid w:val="00B159F1"/>
    <w:rsid w:val="00B2368B"/>
    <w:rsid w:val="00B4007B"/>
    <w:rsid w:val="00B449E3"/>
    <w:rsid w:val="00B523AC"/>
    <w:rsid w:val="00B660E8"/>
    <w:rsid w:val="00B72187"/>
    <w:rsid w:val="00B9734B"/>
    <w:rsid w:val="00BA17B5"/>
    <w:rsid w:val="00BA30E2"/>
    <w:rsid w:val="00BA5CE5"/>
    <w:rsid w:val="00BA6538"/>
    <w:rsid w:val="00BC0614"/>
    <w:rsid w:val="00BC2B8C"/>
    <w:rsid w:val="00BC6AFD"/>
    <w:rsid w:val="00BD0B72"/>
    <w:rsid w:val="00BD1274"/>
    <w:rsid w:val="00BE3C55"/>
    <w:rsid w:val="00BE5536"/>
    <w:rsid w:val="00BE6159"/>
    <w:rsid w:val="00BF6246"/>
    <w:rsid w:val="00BF73C8"/>
    <w:rsid w:val="00BF7F01"/>
    <w:rsid w:val="00C110D2"/>
    <w:rsid w:val="00C11BFE"/>
    <w:rsid w:val="00C23113"/>
    <w:rsid w:val="00C352E4"/>
    <w:rsid w:val="00C36BEA"/>
    <w:rsid w:val="00C40727"/>
    <w:rsid w:val="00C450C0"/>
    <w:rsid w:val="00C5216C"/>
    <w:rsid w:val="00C56C55"/>
    <w:rsid w:val="00C607B3"/>
    <w:rsid w:val="00C72070"/>
    <w:rsid w:val="00C740E2"/>
    <w:rsid w:val="00C83699"/>
    <w:rsid w:val="00C838CE"/>
    <w:rsid w:val="00C85077"/>
    <w:rsid w:val="00CA32B7"/>
    <w:rsid w:val="00CA6676"/>
    <w:rsid w:val="00CB47BC"/>
    <w:rsid w:val="00CB7290"/>
    <w:rsid w:val="00CB7636"/>
    <w:rsid w:val="00CC069F"/>
    <w:rsid w:val="00CC1273"/>
    <w:rsid w:val="00CD04F1"/>
    <w:rsid w:val="00CF0369"/>
    <w:rsid w:val="00CF4A3B"/>
    <w:rsid w:val="00CF4D83"/>
    <w:rsid w:val="00D0050B"/>
    <w:rsid w:val="00D00FBA"/>
    <w:rsid w:val="00D03613"/>
    <w:rsid w:val="00D04151"/>
    <w:rsid w:val="00D10829"/>
    <w:rsid w:val="00D11D15"/>
    <w:rsid w:val="00D12864"/>
    <w:rsid w:val="00D23E28"/>
    <w:rsid w:val="00D37420"/>
    <w:rsid w:val="00D407BD"/>
    <w:rsid w:val="00D43EC2"/>
    <w:rsid w:val="00D44075"/>
    <w:rsid w:val="00D45252"/>
    <w:rsid w:val="00D52198"/>
    <w:rsid w:val="00D54DC4"/>
    <w:rsid w:val="00D55136"/>
    <w:rsid w:val="00D65B67"/>
    <w:rsid w:val="00D71B4D"/>
    <w:rsid w:val="00D81E78"/>
    <w:rsid w:val="00D82268"/>
    <w:rsid w:val="00D85229"/>
    <w:rsid w:val="00D85F69"/>
    <w:rsid w:val="00D93D55"/>
    <w:rsid w:val="00DA1DA3"/>
    <w:rsid w:val="00DA256C"/>
    <w:rsid w:val="00DA4896"/>
    <w:rsid w:val="00DB1723"/>
    <w:rsid w:val="00DB7403"/>
    <w:rsid w:val="00DC4E90"/>
    <w:rsid w:val="00DD19CC"/>
    <w:rsid w:val="00DD4382"/>
    <w:rsid w:val="00DD4D3E"/>
    <w:rsid w:val="00E001F5"/>
    <w:rsid w:val="00E16EDC"/>
    <w:rsid w:val="00E207BD"/>
    <w:rsid w:val="00E21DAD"/>
    <w:rsid w:val="00E25451"/>
    <w:rsid w:val="00E335FE"/>
    <w:rsid w:val="00E45A76"/>
    <w:rsid w:val="00E45FB6"/>
    <w:rsid w:val="00E5090E"/>
    <w:rsid w:val="00E6351D"/>
    <w:rsid w:val="00E8159B"/>
    <w:rsid w:val="00E87EB9"/>
    <w:rsid w:val="00EA299C"/>
    <w:rsid w:val="00EB0E8A"/>
    <w:rsid w:val="00EB6CA7"/>
    <w:rsid w:val="00EC4E49"/>
    <w:rsid w:val="00EC733C"/>
    <w:rsid w:val="00ED0E6E"/>
    <w:rsid w:val="00ED52B7"/>
    <w:rsid w:val="00ED77FB"/>
    <w:rsid w:val="00EE45FA"/>
    <w:rsid w:val="00EE5FCC"/>
    <w:rsid w:val="00EE7BDA"/>
    <w:rsid w:val="00EF1875"/>
    <w:rsid w:val="00EF293E"/>
    <w:rsid w:val="00EF4683"/>
    <w:rsid w:val="00F150A9"/>
    <w:rsid w:val="00F360C5"/>
    <w:rsid w:val="00F454A5"/>
    <w:rsid w:val="00F50343"/>
    <w:rsid w:val="00F5047F"/>
    <w:rsid w:val="00F543D7"/>
    <w:rsid w:val="00F66152"/>
    <w:rsid w:val="00F678AD"/>
    <w:rsid w:val="00F67E3C"/>
    <w:rsid w:val="00F95F3A"/>
    <w:rsid w:val="00F963CC"/>
    <w:rsid w:val="00F970FE"/>
    <w:rsid w:val="00FA0C6F"/>
    <w:rsid w:val="00FC08A8"/>
    <w:rsid w:val="00FE4014"/>
    <w:rsid w:val="00FE4FD9"/>
    <w:rsid w:val="00FE5115"/>
    <w:rsid w:val="00FE63AC"/>
    <w:rsid w:val="00FF0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uiPriority w:val="99"/>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7F01"/>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7F01"/>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915D9"/>
    <w:rPr>
      <w:rFonts w:ascii="Times New Roman" w:hAnsi="Times New Roman" w:cs="Times New Roman"/>
      <w:sz w:val="24"/>
      <w:szCs w:val="24"/>
    </w:rPr>
  </w:style>
  <w:style w:type="character" w:styleId="Hyperlink">
    <w:name w:val="Hyperlink"/>
    <w:basedOn w:val="DefaultParagraphFont"/>
    <w:semiHidden/>
    <w:unhideWhenUsed/>
    <w:rsid w:val="00D23E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uiPriority w:val="99"/>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7F01"/>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7F01"/>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915D9"/>
    <w:rPr>
      <w:rFonts w:ascii="Times New Roman" w:hAnsi="Times New Roman" w:cs="Times New Roman"/>
      <w:sz w:val="24"/>
      <w:szCs w:val="24"/>
    </w:rPr>
  </w:style>
  <w:style w:type="character" w:styleId="Hyperlink">
    <w:name w:val="Hyperlink"/>
    <w:basedOn w:val="DefaultParagraphFont"/>
    <w:semiHidden/>
    <w:unhideWhenUsed/>
    <w:rsid w:val="00D23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6D78-59CF-4D63-8E5B-8FBCADF1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(E).dotm</Template>
  <TotalTime>723</TotalTime>
  <Pages>15</Pages>
  <Words>3599</Words>
  <Characters>20268</Characters>
  <Application>Microsoft Office Word</Application>
  <DocSecurity>0</DocSecurity>
  <Lines>5067</Lines>
  <Paragraphs>1325</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22542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ROURE Cécile</cp:lastModifiedBy>
  <cp:revision>128</cp:revision>
  <cp:lastPrinted>2018-10-05T09:05:00Z</cp:lastPrinted>
  <dcterms:created xsi:type="dcterms:W3CDTF">2018-10-01T13:21:00Z</dcterms:created>
  <dcterms:modified xsi:type="dcterms:W3CDTF">2018-10-05T12:05:00Z</dcterms:modified>
</cp:coreProperties>
</file>