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0076" w:rsidRPr="008B2CC1" w:rsidTr="00207D8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0076" w:rsidRPr="008B2CC1" w:rsidRDefault="00620076" w:rsidP="00207D8E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0076" w:rsidRPr="008B2CC1" w:rsidRDefault="00620076" w:rsidP="00207D8E">
            <w:r>
              <w:rPr>
                <w:noProof/>
                <w:lang w:val="fr-FR" w:eastAsia="fr-FR"/>
              </w:rPr>
              <w:drawing>
                <wp:inline distT="0" distB="0" distL="0" distR="0" wp14:anchorId="50A164F3" wp14:editId="5AAA9292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0076" w:rsidRPr="008B2CC1" w:rsidRDefault="00620076" w:rsidP="00207D8E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20076" w:rsidRPr="001832A6" w:rsidTr="00207D8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0076" w:rsidRPr="0090731E" w:rsidRDefault="00620076" w:rsidP="00207D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CDIP/22/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620076" w:rsidRPr="001832A6" w:rsidTr="00207D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0076" w:rsidRPr="0090731E" w:rsidRDefault="00620076" w:rsidP="00207D8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66488A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620076" w:rsidRPr="001832A6" w:rsidTr="00207D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0076" w:rsidRPr="0090731E" w:rsidRDefault="00620076" w:rsidP="00207D8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6488A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27 septembre 2018</w:t>
            </w:r>
          </w:p>
        </w:tc>
      </w:tr>
    </w:tbl>
    <w:p w:rsidR="00620076" w:rsidRPr="008B2CC1" w:rsidRDefault="00620076" w:rsidP="00620076"/>
    <w:p w:rsidR="00620076" w:rsidRPr="008B2CC1" w:rsidRDefault="00620076" w:rsidP="00620076"/>
    <w:p w:rsidR="00620076" w:rsidRPr="008B2CC1" w:rsidRDefault="00620076" w:rsidP="00620076"/>
    <w:p w:rsidR="00620076" w:rsidRPr="008B2CC1" w:rsidRDefault="00620076" w:rsidP="00620076"/>
    <w:p w:rsidR="00620076" w:rsidRPr="008B2CC1" w:rsidRDefault="00620076" w:rsidP="00620076"/>
    <w:p w:rsidR="00620076" w:rsidRPr="00620076" w:rsidRDefault="00620076" w:rsidP="00620076">
      <w:pPr>
        <w:rPr>
          <w:b/>
          <w:sz w:val="28"/>
          <w:szCs w:val="28"/>
          <w:lang w:val="fr-FR"/>
        </w:rPr>
      </w:pPr>
      <w:r w:rsidRPr="00620076">
        <w:rPr>
          <w:b/>
          <w:sz w:val="28"/>
          <w:szCs w:val="28"/>
          <w:lang w:val="fr-FR"/>
        </w:rPr>
        <w:t>Comité du développement et de la propriété intellectuelle (CDIP)</w:t>
      </w:r>
    </w:p>
    <w:p w:rsidR="00620076" w:rsidRPr="00620076" w:rsidRDefault="00620076" w:rsidP="00620076">
      <w:pPr>
        <w:rPr>
          <w:lang w:val="fr-FR"/>
        </w:rPr>
      </w:pPr>
    </w:p>
    <w:p w:rsidR="00620076" w:rsidRPr="00620076" w:rsidRDefault="00620076" w:rsidP="00620076">
      <w:pPr>
        <w:rPr>
          <w:lang w:val="fr-FR"/>
        </w:rPr>
      </w:pPr>
    </w:p>
    <w:p w:rsidR="00620076" w:rsidRPr="00B31DEE" w:rsidRDefault="00620076" w:rsidP="0062007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Vingt-deuxième</w:t>
      </w:r>
      <w:r w:rsidRPr="00B31DEE">
        <w:rPr>
          <w:b/>
          <w:sz w:val="24"/>
          <w:szCs w:val="24"/>
          <w:lang w:val="fr-FR"/>
        </w:rPr>
        <w:t> session</w:t>
      </w:r>
    </w:p>
    <w:p w:rsidR="00620076" w:rsidRPr="00B31DEE" w:rsidRDefault="00620076" w:rsidP="0062007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19</w:t>
      </w:r>
      <w:r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23</w:t>
      </w:r>
      <w:r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novembre 2018</w:t>
      </w:r>
    </w:p>
    <w:p w:rsidR="00620076" w:rsidRPr="00620076" w:rsidRDefault="00620076" w:rsidP="00620076">
      <w:pPr>
        <w:rPr>
          <w:lang w:val="fr-FR"/>
        </w:rPr>
      </w:pPr>
    </w:p>
    <w:p w:rsidR="00620076" w:rsidRPr="00620076" w:rsidRDefault="00620076" w:rsidP="00620076">
      <w:pPr>
        <w:rPr>
          <w:lang w:val="fr-FR"/>
        </w:rPr>
      </w:pPr>
    </w:p>
    <w:p w:rsidR="00620076" w:rsidRPr="00620076" w:rsidRDefault="00620076" w:rsidP="00620076">
      <w:pPr>
        <w:rPr>
          <w:lang w:val="fr-FR"/>
        </w:rPr>
      </w:pPr>
    </w:p>
    <w:p w:rsidR="00AE7B83" w:rsidRPr="00620076" w:rsidRDefault="00620076" w:rsidP="00AD7411">
      <w:pPr>
        <w:rPr>
          <w:caps/>
          <w:sz w:val="24"/>
          <w:lang w:val="fr-FR"/>
        </w:rPr>
      </w:pPr>
      <w:r w:rsidRPr="00620076">
        <w:rPr>
          <w:caps/>
          <w:sz w:val="24"/>
          <w:lang w:val="fr-FR"/>
        </w:rPr>
        <w:t>Contribution des organes compétents de l’OMPI à la mise en œuvre des recommandations du Plan d’action pour le développement qui les concernent</w:t>
      </w:r>
    </w:p>
    <w:p w:rsidR="00AE7B83" w:rsidRPr="00913F4F" w:rsidRDefault="00AE7B83" w:rsidP="008B2CC1">
      <w:pPr>
        <w:rPr>
          <w:lang w:val="fr-FR"/>
        </w:rPr>
      </w:pPr>
    </w:p>
    <w:p w:rsidR="00AE7B83" w:rsidRPr="00913F4F" w:rsidRDefault="00AD7411" w:rsidP="00AD7411">
      <w:pPr>
        <w:rPr>
          <w:i/>
          <w:lang w:val="fr-FR"/>
        </w:rPr>
      </w:pPr>
      <w:bookmarkStart w:id="4" w:name="Prepared"/>
      <w:bookmarkEnd w:id="4"/>
      <w:r w:rsidRPr="00913F4F">
        <w:rPr>
          <w:i/>
          <w:lang w:val="fr-FR"/>
        </w:rPr>
        <w:t>Document établi par le Secrétariat</w:t>
      </w:r>
    </w:p>
    <w:p w:rsidR="00AE7B83" w:rsidRPr="00913F4F" w:rsidRDefault="00AE7B83">
      <w:pPr>
        <w:rPr>
          <w:lang w:val="fr-FR"/>
        </w:rPr>
      </w:pPr>
    </w:p>
    <w:p w:rsidR="00AE7B83" w:rsidRPr="00913F4F" w:rsidRDefault="00AE7B83">
      <w:pPr>
        <w:rPr>
          <w:lang w:val="fr-FR"/>
        </w:rPr>
      </w:pPr>
    </w:p>
    <w:p w:rsidR="00AE7B83" w:rsidRPr="00913F4F" w:rsidRDefault="00AE7B83">
      <w:pPr>
        <w:rPr>
          <w:lang w:val="fr-FR"/>
        </w:rPr>
      </w:pPr>
    </w:p>
    <w:p w:rsidR="00AE7B83" w:rsidRPr="00913F4F" w:rsidRDefault="00AE7B83" w:rsidP="0053057A">
      <w:pPr>
        <w:rPr>
          <w:lang w:val="fr-FR"/>
        </w:rPr>
      </w:pPr>
    </w:p>
    <w:p w:rsidR="00AE7B83" w:rsidRPr="00FB086C" w:rsidRDefault="00AD7411" w:rsidP="00FB086C">
      <w:pPr>
        <w:pStyle w:val="ONUMFS"/>
        <w:rPr>
          <w:lang w:val="fr-FR"/>
        </w:rPr>
      </w:pPr>
      <w:r w:rsidRPr="00913F4F">
        <w:rPr>
          <w:lang w:val="fr-FR"/>
        </w:rPr>
        <w:t>À sa cinquant</w:t>
      </w:r>
      <w:r w:rsidR="00745FFE" w:rsidRPr="00913F4F">
        <w:rPr>
          <w:lang w:val="fr-FR"/>
        </w:rPr>
        <w:t>ième session</w:t>
      </w:r>
      <w:r w:rsidRPr="00913F4F">
        <w:rPr>
          <w:lang w:val="fr-FR"/>
        </w:rPr>
        <w:t xml:space="preserve"> tenue à Genève du 2</w:t>
      </w:r>
      <w:r w:rsidR="00745FFE" w:rsidRPr="00913F4F">
        <w:rPr>
          <w:lang w:val="fr-FR"/>
        </w:rPr>
        <w:t>4 septembre</w:t>
      </w:r>
      <w:r w:rsidRPr="00913F4F">
        <w:rPr>
          <w:lang w:val="fr-FR"/>
        </w:rPr>
        <w:t xml:space="preserve"> au </w:t>
      </w:r>
      <w:r w:rsidR="00745FFE" w:rsidRPr="00913F4F">
        <w:rPr>
          <w:lang w:val="fr-FR"/>
        </w:rPr>
        <w:t>2 octobre 20</w:t>
      </w:r>
      <w:r w:rsidRPr="00913F4F">
        <w:rPr>
          <w:lang w:val="fr-FR"/>
        </w:rPr>
        <w:t>18,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Assemblée générale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OMPI a examiné le document</w:t>
      </w:r>
      <w:r w:rsidR="009F35FE" w:rsidRPr="00913F4F">
        <w:rPr>
          <w:lang w:val="fr-FR"/>
        </w:rPr>
        <w:t> </w:t>
      </w:r>
      <w:r w:rsidRPr="00913F4F">
        <w:rPr>
          <w:lang w:val="fr-FR"/>
        </w:rPr>
        <w:t>WO/GA/50/13 sur la “Contribution des organes compétents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OMPI à la mise en œuvre des recommandations du Plan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action pour le développement qui les concernent”.</w:t>
      </w:r>
    </w:p>
    <w:p w:rsidR="00AE7B83" w:rsidRPr="00FB086C" w:rsidRDefault="00AD7411" w:rsidP="00F47A1C">
      <w:pPr>
        <w:pStyle w:val="ONUMFS"/>
        <w:rPr>
          <w:lang w:val="fr-FR"/>
        </w:rPr>
      </w:pPr>
      <w:r w:rsidRPr="00913F4F">
        <w:rPr>
          <w:lang w:val="fr-FR"/>
        </w:rPr>
        <w:t>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Assemblée générale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OMPI a pris note des informations contenues dans le document susmentionné et a décidé de transmettre au Comité du développement et de la propriété intellectuelle (CDIP) le rapport men</w:t>
      </w:r>
      <w:bookmarkStart w:id="5" w:name="_GoBack"/>
      <w:bookmarkEnd w:id="5"/>
      <w:r w:rsidRPr="00913F4F">
        <w:rPr>
          <w:lang w:val="fr-FR"/>
        </w:rPr>
        <w:t>tionné dans ce document.</w:t>
      </w:r>
    </w:p>
    <w:p w:rsidR="00AE7B83" w:rsidRPr="00913F4F" w:rsidRDefault="00AD7411" w:rsidP="00FB086C">
      <w:pPr>
        <w:pStyle w:val="ONUMFS"/>
        <w:rPr>
          <w:lang w:val="fr-FR"/>
        </w:rPr>
      </w:pPr>
      <w:r w:rsidRPr="00913F4F">
        <w:rPr>
          <w:lang w:val="fr-FR"/>
        </w:rPr>
        <w:t>En conséquence, la contribution du Comité intergouvernemental de la propriété intellectuelle relative aux ressources génétiques, aux savoirs traditionnels et au folklore (IGC) à la mise en œuvre des recommandations du Plan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action pour le développement qui le concernent, telle qu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elle figure dans son rapport à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Assemblée générale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OMPI, est reproduite ci</w:t>
      </w:r>
      <w:r w:rsidR="00745FFE" w:rsidRPr="00913F4F">
        <w:rPr>
          <w:lang w:val="fr-FR"/>
        </w:rPr>
        <w:t>-</w:t>
      </w:r>
      <w:r w:rsidRPr="00913F4F">
        <w:rPr>
          <w:lang w:val="fr-FR"/>
        </w:rPr>
        <w:t>après</w:t>
      </w:r>
      <w:r w:rsidR="00745FFE" w:rsidRPr="00913F4F">
        <w:rPr>
          <w:lang w:val="fr-FR"/>
        </w:rPr>
        <w:t> :</w:t>
      </w:r>
    </w:p>
    <w:p w:rsidR="00745FFE" w:rsidRPr="00913F4F" w:rsidRDefault="00AC61D2" w:rsidP="00AD7411">
      <w:pPr>
        <w:tabs>
          <w:tab w:val="left" w:pos="567"/>
        </w:tabs>
        <w:rPr>
          <w:szCs w:val="22"/>
          <w:lang w:val="fr-FR"/>
        </w:rPr>
      </w:pPr>
      <w:r w:rsidRPr="00913F4F">
        <w:rPr>
          <w:szCs w:val="22"/>
          <w:lang w:val="fr-FR"/>
        </w:rPr>
        <w:tab/>
      </w:r>
      <w:r w:rsidR="00AD7411" w:rsidRPr="00913F4F">
        <w:rPr>
          <w:szCs w:val="22"/>
          <w:u w:val="single"/>
          <w:lang w:val="fr-FR"/>
        </w:rPr>
        <w:t>Rapport sur l</w:t>
      </w:r>
      <w:r w:rsidR="009F35FE" w:rsidRPr="00913F4F">
        <w:rPr>
          <w:szCs w:val="22"/>
          <w:u w:val="single"/>
          <w:lang w:val="fr-FR"/>
        </w:rPr>
        <w:t>’</w:t>
      </w:r>
      <w:r w:rsidR="00AD7411" w:rsidRPr="00913F4F">
        <w:rPr>
          <w:szCs w:val="22"/>
          <w:u w:val="single"/>
          <w:lang w:val="fr-FR"/>
        </w:rPr>
        <w:t>IGC, document</w:t>
      </w:r>
      <w:r w:rsidR="009F35FE" w:rsidRPr="00913F4F">
        <w:rPr>
          <w:szCs w:val="22"/>
          <w:u w:val="single"/>
          <w:lang w:val="fr-FR"/>
        </w:rPr>
        <w:t> </w:t>
      </w:r>
      <w:r w:rsidR="00AD7411" w:rsidRPr="00913F4F">
        <w:rPr>
          <w:szCs w:val="22"/>
          <w:u w:val="single"/>
          <w:lang w:val="fr-FR"/>
        </w:rPr>
        <w:t xml:space="preserve">WO/GA/50/8, </w:t>
      </w:r>
      <w:r w:rsidR="00745FFE" w:rsidRPr="00913F4F">
        <w:rPr>
          <w:szCs w:val="22"/>
          <w:u w:val="single"/>
          <w:lang w:val="fr-FR"/>
        </w:rPr>
        <w:t>paragraphes 1</w:t>
      </w:r>
      <w:r w:rsidR="00AD7411" w:rsidRPr="00913F4F">
        <w:rPr>
          <w:szCs w:val="22"/>
          <w:u w:val="single"/>
          <w:lang w:val="fr-FR"/>
        </w:rPr>
        <w:t>4 et 15</w:t>
      </w:r>
      <w:r w:rsidR="00745FFE" w:rsidRPr="00913F4F">
        <w:rPr>
          <w:szCs w:val="22"/>
          <w:u w:val="single"/>
          <w:lang w:val="fr-FR"/>
        </w:rPr>
        <w:t> :</w:t>
      </w:r>
    </w:p>
    <w:p w:rsidR="00AE7B83" w:rsidRPr="00913F4F" w:rsidRDefault="00AE7B83" w:rsidP="00CB4A1D">
      <w:pPr>
        <w:tabs>
          <w:tab w:val="left" w:pos="567"/>
        </w:tabs>
        <w:rPr>
          <w:lang w:val="fr-FR"/>
        </w:rPr>
      </w:pPr>
    </w:p>
    <w:p w:rsidR="00745FFE" w:rsidRPr="00913F4F" w:rsidRDefault="00AD7411" w:rsidP="00FB086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913F4F">
        <w:rPr>
          <w:lang w:val="fr-FR"/>
        </w:rPr>
        <w:t>“14. À la suite de la décision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Assemblée générale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 xml:space="preserve">OMPI </w:t>
      </w:r>
      <w:r w:rsidR="00745FFE" w:rsidRPr="00913F4F">
        <w:rPr>
          <w:lang w:val="fr-FR"/>
        </w:rPr>
        <w:t>de 2010</w:t>
      </w:r>
      <w:r w:rsidRPr="00913F4F">
        <w:rPr>
          <w:lang w:val="fr-FR"/>
        </w:rPr>
        <w:t xml:space="preserve"> </w:t>
      </w:r>
      <w:r w:rsidR="009F35FE" w:rsidRPr="00913F4F">
        <w:rPr>
          <w:lang w:val="fr-FR"/>
        </w:rPr>
        <w:t>‘</w:t>
      </w:r>
      <w:r w:rsidRPr="00913F4F">
        <w:rPr>
          <w:lang w:val="fr-FR"/>
        </w:rPr>
        <w:t>de prier les organes compétents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OMPI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inclure dans leur rapport annuel aux assemblées une description de leur contribution à la mise en œuvre des recommandations du Plan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action pour le développement qui les concernent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,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IGC, à sa trente</w:t>
      </w:r>
      <w:r w:rsidR="00745FFE" w:rsidRPr="00913F4F">
        <w:rPr>
          <w:lang w:val="fr-FR"/>
        </w:rPr>
        <w:t>-</w:t>
      </w:r>
      <w:r w:rsidRPr="00913F4F">
        <w:rPr>
          <w:lang w:val="fr-FR"/>
        </w:rPr>
        <w:t>sept</w:t>
      </w:r>
      <w:r w:rsidR="00745FFE" w:rsidRPr="00913F4F">
        <w:rPr>
          <w:lang w:val="fr-FR"/>
        </w:rPr>
        <w:t>ième session</w:t>
      </w:r>
      <w:r w:rsidRPr="00913F4F">
        <w:rPr>
          <w:lang w:val="fr-FR"/>
        </w:rPr>
        <w:t>, a également discuté de sa contribution à la mise en œuvre des recommandations du Plan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action pour le développement.</w:t>
      </w:r>
    </w:p>
    <w:p w:rsidR="00745FFE" w:rsidRPr="00913F4F" w:rsidRDefault="009F35FE" w:rsidP="00FB086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913F4F">
        <w:rPr>
          <w:lang w:val="fr-FR"/>
        </w:rPr>
        <w:lastRenderedPageBreak/>
        <w:t>“</w:t>
      </w:r>
      <w:r w:rsidR="00AD7411" w:rsidRPr="00913F4F">
        <w:rPr>
          <w:lang w:val="fr-FR"/>
        </w:rPr>
        <w:t>15. À cet égard, les déclarations ci</w:t>
      </w:r>
      <w:r w:rsidR="00745FFE" w:rsidRPr="00913F4F">
        <w:rPr>
          <w:lang w:val="fr-FR"/>
        </w:rPr>
        <w:t>-</w:t>
      </w:r>
      <w:r w:rsidR="00AD7411" w:rsidRPr="00913F4F">
        <w:rPr>
          <w:lang w:val="fr-FR"/>
        </w:rPr>
        <w:t>après ont été faites à la trente</w:t>
      </w:r>
      <w:r w:rsidR="00745FFE" w:rsidRPr="00913F4F">
        <w:rPr>
          <w:lang w:val="fr-FR"/>
        </w:rPr>
        <w:t>-</w:t>
      </w:r>
      <w:r w:rsidR="00AD7411" w:rsidRPr="00913F4F">
        <w:rPr>
          <w:lang w:val="fr-FR"/>
        </w:rPr>
        <w:t>sept</w:t>
      </w:r>
      <w:r w:rsidR="00745FFE" w:rsidRPr="00913F4F">
        <w:rPr>
          <w:lang w:val="fr-FR"/>
        </w:rPr>
        <w:t>ième session</w:t>
      </w:r>
      <w:r w:rsidR="00AD7411" w:rsidRPr="00913F4F">
        <w:rPr>
          <w:lang w:val="fr-FR"/>
        </w:rPr>
        <w:t xml:space="preserve"> de l</w:t>
      </w:r>
      <w:r w:rsidRPr="00913F4F">
        <w:rPr>
          <w:lang w:val="fr-FR"/>
        </w:rPr>
        <w:t>’</w:t>
      </w:r>
      <w:r w:rsidR="00A23637" w:rsidRPr="00913F4F">
        <w:rPr>
          <w:lang w:val="fr-FR"/>
        </w:rPr>
        <w:t>IGC.  El</w:t>
      </w:r>
      <w:r w:rsidR="00AD7411" w:rsidRPr="00913F4F">
        <w:rPr>
          <w:lang w:val="fr-FR"/>
        </w:rPr>
        <w:t xml:space="preserve">les apparaîtront également dans le projet de rapport initial de la </w:t>
      </w:r>
      <w:r w:rsidR="00377068">
        <w:rPr>
          <w:lang w:val="fr-FR"/>
        </w:rPr>
        <w:t>trente-septième</w:t>
      </w:r>
      <w:r w:rsidR="00745FFE" w:rsidRPr="00913F4F">
        <w:rPr>
          <w:lang w:val="fr-FR"/>
        </w:rPr>
        <w:t> session</w:t>
      </w:r>
      <w:r w:rsidR="00AD7411" w:rsidRPr="00913F4F">
        <w:rPr>
          <w:lang w:val="fr-FR"/>
        </w:rPr>
        <w:t xml:space="preserve"> de l</w:t>
      </w:r>
      <w:r w:rsidRPr="00913F4F">
        <w:rPr>
          <w:lang w:val="fr-FR"/>
        </w:rPr>
        <w:t>’</w:t>
      </w:r>
      <w:r w:rsidR="00AD7411" w:rsidRPr="00913F4F">
        <w:rPr>
          <w:lang w:val="fr-FR"/>
        </w:rPr>
        <w:t>IGC (WIPO/GRTKF/IC/37/17</w:t>
      </w:r>
      <w:r w:rsidR="0057350A" w:rsidRPr="00913F4F">
        <w:rPr>
          <w:lang w:val="fr-FR"/>
        </w:rPr>
        <w:t> </w:t>
      </w:r>
      <w:proofErr w:type="spellStart"/>
      <w:r w:rsidR="00AD7411" w:rsidRPr="00913F4F">
        <w:rPr>
          <w:lang w:val="fr-FR"/>
        </w:rPr>
        <w:t>Prov</w:t>
      </w:r>
      <w:proofErr w:type="spellEnd"/>
      <w:r w:rsidR="00AD7411" w:rsidRPr="00913F4F">
        <w:rPr>
          <w:lang w:val="fr-FR"/>
        </w:rPr>
        <w:t>.) qui sera mis à disposition, comme l</w:t>
      </w:r>
      <w:r w:rsidRPr="00913F4F">
        <w:rPr>
          <w:lang w:val="fr-FR"/>
        </w:rPr>
        <w:t>’</w:t>
      </w:r>
      <w:r w:rsidR="00AD7411" w:rsidRPr="00913F4F">
        <w:rPr>
          <w:lang w:val="fr-FR"/>
        </w:rPr>
        <w:t>a demandé l</w:t>
      </w:r>
      <w:r w:rsidRPr="00913F4F">
        <w:rPr>
          <w:lang w:val="fr-FR"/>
        </w:rPr>
        <w:t>’</w:t>
      </w:r>
      <w:r w:rsidR="00AD7411" w:rsidRPr="00913F4F">
        <w:rPr>
          <w:lang w:val="fr-FR"/>
        </w:rPr>
        <w:t xml:space="preserve">IGC, le </w:t>
      </w:r>
      <w:r w:rsidR="00745FFE" w:rsidRPr="00913F4F">
        <w:rPr>
          <w:lang w:val="fr-FR"/>
        </w:rPr>
        <w:t>5 novembre :</w:t>
      </w:r>
    </w:p>
    <w:p w:rsidR="00745FFE" w:rsidRPr="00913F4F" w:rsidRDefault="00AD7411" w:rsidP="00FB086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13F4F">
        <w:rPr>
          <w:lang w:val="fr-FR"/>
        </w:rPr>
        <w:t>“La délégation du Maroc, s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exprimant au nom du groupe des pays africains, a salué les efforts déployés par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OMPI pour intégrer le Plan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action pour le développement à ses trava</w:t>
      </w:r>
      <w:r w:rsidR="00A23637" w:rsidRPr="00913F4F">
        <w:rPr>
          <w:lang w:val="fr-FR"/>
        </w:rPr>
        <w:t>ux.  El</w:t>
      </w:r>
      <w:r w:rsidRPr="00913F4F">
        <w:rPr>
          <w:lang w:val="fr-FR"/>
        </w:rPr>
        <w:t xml:space="preserve">le a rappelé la recommandation n° 18 ainsi que les autres recommandations pertinentes, </w:t>
      </w:r>
      <w:r w:rsidR="00745FFE" w:rsidRPr="00913F4F">
        <w:rPr>
          <w:lang w:val="fr-FR"/>
        </w:rPr>
        <w:t>à savoir</w:t>
      </w:r>
      <w:r w:rsidRPr="00913F4F">
        <w:rPr>
          <w:lang w:val="fr-FR"/>
        </w:rPr>
        <w:t xml:space="preserve"> les recommandations nos 15, 16, 17, 19 et 22. </w:t>
      </w:r>
      <w:r w:rsidR="0057350A" w:rsidRPr="00913F4F">
        <w:rPr>
          <w:lang w:val="fr-FR"/>
        </w:rPr>
        <w:t xml:space="preserve"> </w:t>
      </w:r>
      <w:r w:rsidRPr="00913F4F">
        <w:rPr>
          <w:lang w:val="fr-FR"/>
        </w:rPr>
        <w:t>Les réalisations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IGC sur ces trois</w:t>
      </w:r>
      <w:r w:rsidR="0057350A" w:rsidRPr="00913F4F">
        <w:rPr>
          <w:lang w:val="fr-FR"/>
        </w:rPr>
        <w:t> </w:t>
      </w:r>
      <w:r w:rsidRPr="00913F4F">
        <w:rPr>
          <w:lang w:val="fr-FR"/>
        </w:rPr>
        <w:t>thèmes ont constitué une contribution notable à la mise en œuvre du Plan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action pour le développement, avec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adoption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un traité international (ou de plusieurs traités internationaux) juridiquement contraignant(s), qui renforcerai(en)t la transparence et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efficacité du système international de la propriété intellectuelle, protégerai(en)t les trois</w:t>
      </w:r>
      <w:r w:rsidR="0057350A" w:rsidRPr="00913F4F">
        <w:rPr>
          <w:lang w:val="fr-FR"/>
        </w:rPr>
        <w:t> </w:t>
      </w:r>
      <w:r w:rsidRPr="00913F4F">
        <w:rPr>
          <w:lang w:val="fr-FR"/>
        </w:rPr>
        <w:t>objets de propriété intellectuelle, favoriserai(en)t la création, et garantirai(en)t aux détenteurs de savoirs traditionnels et de ressources génétiques le droit à un partage équitable des avantag</w:t>
      </w:r>
      <w:r w:rsidR="00A23637" w:rsidRPr="00913F4F">
        <w:rPr>
          <w:lang w:val="fr-FR"/>
        </w:rPr>
        <w:t>es.  L</w:t>
      </w:r>
      <w:r w:rsidR="009F35FE" w:rsidRPr="00913F4F">
        <w:rPr>
          <w:lang w:val="fr-FR"/>
        </w:rPr>
        <w:t>’</w:t>
      </w:r>
      <w:r w:rsidR="00A23637" w:rsidRPr="00913F4F">
        <w:rPr>
          <w:lang w:val="fr-FR"/>
        </w:rPr>
        <w:t>a</w:t>
      </w:r>
      <w:r w:rsidRPr="00913F4F">
        <w:rPr>
          <w:lang w:val="fr-FR"/>
        </w:rPr>
        <w:t>ssistance fournie par le Secrétariat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OMPI devrait répondre aux besoins spécifiques des pays concernés en matière de développement.  Le groupe des pays africains était déterminé à atteindre les objectifs fixés dans le cadre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IGC et continuerait de participer de façon constructive à ses travaux.  Il espérait que les sessions restantes permettraient de poursuivre la mise en œuvre de la recommandation n°</w:t>
      </w:r>
      <w:r w:rsidR="0057350A" w:rsidRPr="00913F4F">
        <w:rPr>
          <w:lang w:val="fr-FR"/>
        </w:rPr>
        <w:t> </w:t>
      </w:r>
      <w:r w:rsidRPr="00913F4F">
        <w:rPr>
          <w:lang w:val="fr-FR"/>
        </w:rPr>
        <w:t>18 ainsi que celle des autres recommandations pertinentes.</w:t>
      </w:r>
    </w:p>
    <w:p w:rsidR="00745FFE" w:rsidRPr="00913F4F" w:rsidRDefault="00745FFE" w:rsidP="00FB086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13F4F">
        <w:rPr>
          <w:lang w:val="fr-FR"/>
        </w:rPr>
        <w:t>“L</w:t>
      </w:r>
      <w:r w:rsidR="00AE7B83" w:rsidRPr="00913F4F">
        <w:rPr>
          <w:lang w:val="fr-FR"/>
        </w:rPr>
        <w:t>a délégation de la République islamique d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Iran a déclaré que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on ne saurait trop insister sur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importance des recommandations du Plan d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action pour le développeme</w:t>
      </w:r>
      <w:r w:rsidR="00A23637" w:rsidRPr="00913F4F">
        <w:rPr>
          <w:lang w:val="fr-FR"/>
        </w:rPr>
        <w:t>nt.  En</w:t>
      </w:r>
      <w:r w:rsidR="00AE7B83" w:rsidRPr="00913F4F">
        <w:rPr>
          <w:lang w:val="fr-FR"/>
        </w:rPr>
        <w:t xml:space="preserve"> tant que pays en développement, elle s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est prononcée en faveur de la simplification de la recommandation n°</w:t>
      </w:r>
      <w:r w:rsidR="0057350A" w:rsidRPr="00913F4F">
        <w:rPr>
          <w:lang w:val="fr-FR"/>
        </w:rPr>
        <w:t> </w:t>
      </w:r>
      <w:r w:rsidR="00AE7B83" w:rsidRPr="00913F4F">
        <w:rPr>
          <w:lang w:val="fr-FR"/>
        </w:rPr>
        <w:t>18. 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IGC figure parmi les comités importants de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OMPI et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une des recommandations concernant ses travaux était d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accélérer les négociations sur différents thèm</w:t>
      </w:r>
      <w:r w:rsidR="00A23637" w:rsidRPr="00913F4F">
        <w:rPr>
          <w:lang w:val="fr-FR"/>
        </w:rPr>
        <w:t>es.  La</w:t>
      </w:r>
      <w:r w:rsidR="00AE7B83" w:rsidRPr="00913F4F">
        <w:rPr>
          <w:lang w:val="fr-FR"/>
        </w:rPr>
        <w:t xml:space="preserve"> délégation a estimé que les travaux de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IGC contribuaient grandement à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actualisation et à la mise en œuvre des recommandations de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Assemblée généra</w:t>
      </w:r>
      <w:r w:rsidR="00A23637" w:rsidRPr="00913F4F">
        <w:rPr>
          <w:lang w:val="fr-FR"/>
        </w:rPr>
        <w:t>le.  El</w:t>
      </w:r>
      <w:r w:rsidR="00AE7B83" w:rsidRPr="00913F4F">
        <w:rPr>
          <w:lang w:val="fr-FR"/>
        </w:rPr>
        <w:t>le a encouragé tous les États membres à reconsidérer leur approche afin de mettre en œuvre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une des recommandations important</w:t>
      </w:r>
      <w:r w:rsidR="00A23637" w:rsidRPr="00913F4F">
        <w:rPr>
          <w:lang w:val="fr-FR"/>
        </w:rPr>
        <w:t>es.  El</w:t>
      </w:r>
      <w:r w:rsidR="00AE7B83" w:rsidRPr="00913F4F">
        <w:rPr>
          <w:lang w:val="fr-FR"/>
        </w:rPr>
        <w:t>le a souligné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intérêt de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assistance technique fournie par la Division des savoirs traditionnels à certains États membres concernant leur législation nationale, ainsi que pour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organisation et la conduite de projets conjoints, qui pourraient aussi être considérés comme l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un des éléments d</w:t>
      </w:r>
      <w:r w:rsidR="009F35FE" w:rsidRPr="00913F4F">
        <w:rPr>
          <w:lang w:val="fr-FR"/>
        </w:rPr>
        <w:t>’</w:t>
      </w:r>
      <w:r w:rsidR="00AE7B83" w:rsidRPr="00913F4F">
        <w:rPr>
          <w:lang w:val="fr-FR"/>
        </w:rPr>
        <w:t>application de cette recommandation.</w:t>
      </w:r>
    </w:p>
    <w:p w:rsidR="00745FFE" w:rsidRPr="00913F4F" w:rsidRDefault="00AD7411" w:rsidP="00FB086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13F4F">
        <w:rPr>
          <w:lang w:val="fr-FR"/>
        </w:rPr>
        <w:t>“La délégation du Brésil a déclaré que le succès de la mise en œuvre du Plan d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action pour le développement dans son ensemble dépendait des résultats des travaux de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IGC.  Elle a rappelé la recommandation n°</w:t>
      </w:r>
      <w:r w:rsidR="0057350A" w:rsidRPr="00913F4F">
        <w:rPr>
          <w:lang w:val="fr-FR"/>
        </w:rPr>
        <w:t> </w:t>
      </w:r>
      <w:r w:rsidRPr="00913F4F">
        <w:rPr>
          <w:lang w:val="fr-FR"/>
        </w:rPr>
        <w:t>18 sur l</w:t>
      </w:r>
      <w:r w:rsidR="009F35FE" w:rsidRPr="00913F4F">
        <w:rPr>
          <w:lang w:val="fr-FR"/>
        </w:rPr>
        <w:t>’</w:t>
      </w:r>
      <w:r w:rsidRPr="00913F4F">
        <w:rPr>
          <w:lang w:val="fr-FR"/>
        </w:rPr>
        <w:t>IGC et la recommandation n°</w:t>
      </w:r>
      <w:r w:rsidR="0057350A" w:rsidRPr="00913F4F">
        <w:rPr>
          <w:lang w:val="fr-FR"/>
        </w:rPr>
        <w:t> </w:t>
      </w:r>
      <w:r w:rsidRPr="00913F4F">
        <w:rPr>
          <w:lang w:val="fr-FR"/>
        </w:rPr>
        <w:t>20 sur le domaine publ</w:t>
      </w:r>
      <w:r w:rsidR="00A23637" w:rsidRPr="00913F4F">
        <w:rPr>
          <w:lang w:val="fr-FR"/>
        </w:rPr>
        <w:t>ic.  La</w:t>
      </w:r>
      <w:r w:rsidR="00D246AC" w:rsidRPr="00913F4F">
        <w:rPr>
          <w:lang w:val="fr-FR"/>
        </w:rPr>
        <w:t xml:space="preserve"> participation des peuples autochtones à 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IGC pourrait être considérée à 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 xml:space="preserve">aune de la recommandation n° 21. </w:t>
      </w:r>
      <w:r w:rsidR="0057350A" w:rsidRPr="00913F4F">
        <w:rPr>
          <w:lang w:val="fr-FR"/>
        </w:rPr>
        <w:t xml:space="preserve"> </w:t>
      </w:r>
      <w:r w:rsidR="00D246AC" w:rsidRPr="00913F4F">
        <w:rPr>
          <w:lang w:val="fr-FR"/>
        </w:rPr>
        <w:t xml:space="preserve">En veillant à la prise de considération des questions de propriété intellectuelle dans </w:t>
      </w:r>
      <w:proofErr w:type="gramStart"/>
      <w:r w:rsidR="00D246AC" w:rsidRPr="00913F4F">
        <w:rPr>
          <w:lang w:val="fr-FR"/>
        </w:rPr>
        <w:t>les</w:t>
      </w:r>
      <w:proofErr w:type="gramEnd"/>
      <w:r w:rsidR="00D246AC" w:rsidRPr="00913F4F">
        <w:rPr>
          <w:lang w:val="fr-FR"/>
        </w:rPr>
        <w:t xml:space="preserve"> pays comptant de vastes communautés traditionnelles et de grands groupes autochtones, qui sont riches de savoirs traditionnels et d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expressions culturelles traditionnelles, 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IGC a contribué de la manière la plus efficace possible à la réalisation des objectifs du Plan d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action pour le développeme</w:t>
      </w:r>
      <w:r w:rsidR="00A23637" w:rsidRPr="00913F4F">
        <w:rPr>
          <w:lang w:val="fr-FR"/>
        </w:rPr>
        <w:t>nt.  Ce</w:t>
      </w:r>
      <w:r w:rsidR="00D246AC" w:rsidRPr="00913F4F">
        <w:rPr>
          <w:lang w:val="fr-FR"/>
        </w:rPr>
        <w:t>la vaut pour tous les pays, quel que soit leur niveau de développement.</w:t>
      </w:r>
      <w:r w:rsidR="007D231A" w:rsidRPr="00913F4F">
        <w:rPr>
          <w:lang w:val="fr-FR"/>
        </w:rPr>
        <w:t xml:space="preserve">  </w:t>
      </w:r>
      <w:r w:rsidR="00D246AC" w:rsidRPr="00913F4F">
        <w:rPr>
          <w:lang w:val="fr-FR"/>
        </w:rPr>
        <w:t>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Australie, le Canada, les États</w:t>
      </w:r>
      <w:r w:rsidR="00745FFE" w:rsidRPr="00913F4F">
        <w:rPr>
          <w:lang w:val="fr-FR"/>
        </w:rPr>
        <w:t>-</w:t>
      </w:r>
      <w:r w:rsidR="00D246AC" w:rsidRPr="00913F4F">
        <w:rPr>
          <w:lang w:val="fr-FR"/>
        </w:rPr>
        <w:t>Unis d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Amérique et bien d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autres sont des pays plus riches qui disposent d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un immense trésor de savoirs traditionnels qu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il convient également de préserver et de protéger.</w:t>
      </w:r>
    </w:p>
    <w:p w:rsidR="00745FFE" w:rsidRPr="00FB086C" w:rsidRDefault="00745FFE" w:rsidP="00FB086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B086C">
        <w:rPr>
          <w:lang w:val="fr-FR"/>
        </w:rPr>
        <w:t>“L</w:t>
      </w:r>
      <w:r w:rsidR="00D246AC" w:rsidRPr="00FB086C">
        <w:rPr>
          <w:lang w:val="fr-FR"/>
        </w:rPr>
        <w:t xml:space="preserve">a délégation du Nigéria a rappelé les recommandations nos 18, 20 et 21. </w:t>
      </w:r>
      <w:r w:rsidR="0057350A" w:rsidRPr="00FB086C">
        <w:rPr>
          <w:lang w:val="fr-FR"/>
        </w:rPr>
        <w:t xml:space="preserve"> </w:t>
      </w:r>
      <w:r w:rsidR="00D246AC" w:rsidRPr="00FB086C">
        <w:rPr>
          <w:lang w:val="fr-FR"/>
        </w:rPr>
        <w:t>Les travaux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 xml:space="preserve">IGC concernant les ressources génétiques, les savoirs traditionnels et </w:t>
      </w:r>
      <w:r w:rsidR="00D246AC" w:rsidRPr="00FB086C">
        <w:rPr>
          <w:lang w:val="fr-FR"/>
        </w:rPr>
        <w:lastRenderedPageBreak/>
        <w:t>les expressions culturelles traditionnelles étaient essentiels pour combler les retards de développement dans le monde et renforcer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attractivité du système de la propriété intellectuel</w:t>
      </w:r>
      <w:r w:rsidR="00A23637" w:rsidRPr="00FB086C">
        <w:rPr>
          <w:lang w:val="fr-FR"/>
        </w:rPr>
        <w:t>le.  Le</w:t>
      </w:r>
      <w:r w:rsidR="00D246AC" w:rsidRPr="00FB086C">
        <w:rPr>
          <w:lang w:val="fr-FR"/>
        </w:rPr>
        <w:t>s retards touchaient surtout les groupes les plus vulnérables au monde, qui avaient pour principal atout pour combler ces retards les savoirs traditionnels et les expressions culturelles traditionnell</w:t>
      </w:r>
      <w:r w:rsidR="00A23637" w:rsidRPr="00FB086C">
        <w:rPr>
          <w:lang w:val="fr-FR"/>
        </w:rPr>
        <w:t>es.  Le</w:t>
      </w:r>
      <w:r w:rsidR="00D246AC" w:rsidRPr="00FB086C">
        <w:rPr>
          <w:lang w:val="fr-FR"/>
        </w:rPr>
        <w:t>s travaux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IGC ont joué un rôle crucial dans la réalisation du Plan d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action pour le développement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O</w:t>
      </w:r>
      <w:r w:rsidR="00A23637" w:rsidRPr="00FB086C">
        <w:rPr>
          <w:lang w:val="fr-FR"/>
        </w:rPr>
        <w:t>MPI.  Il</w:t>
      </w:r>
      <w:r w:rsidR="00D246AC" w:rsidRPr="00FB086C">
        <w:rPr>
          <w:lang w:val="fr-FR"/>
        </w:rPr>
        <w:t>s ont permis d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établir un lien entre le secteur industriel, les peuples autochtones et les communautés locales et le développement, de sorte que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idée de créer une dichotomie ou un conflit d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intérêts entre pays industrialisés et pays en développement dans les débats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IGC ne pouvait être envisagée de façon durab</w:t>
      </w:r>
      <w:r w:rsidR="00A23637" w:rsidRPr="00FB086C">
        <w:rPr>
          <w:lang w:val="fr-FR"/>
        </w:rPr>
        <w:t>le.  Po</w:t>
      </w:r>
      <w:r w:rsidR="00D246AC" w:rsidRPr="00FB086C">
        <w:rPr>
          <w:lang w:val="fr-FR"/>
        </w:rPr>
        <w:t>ur combler les retards de développement dans le monde, il était indispensable de rapprocher le secteur industriel et les peuples autochtones et communautés locales du monde entier; 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IGC a fourni une plateforme à cette fin.  Dans le cadre du Plan d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action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OMPI pour le développement,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entente et la collaboration entre les différents groupes régionaux étaient essentielles.  Les travaux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IGC, plus que tous autres, ont permis de faire converger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ensemble des intérêts pour combler les retards de développement dans le mon</w:t>
      </w:r>
      <w:r w:rsidR="00A23637" w:rsidRPr="00FB086C">
        <w:rPr>
          <w:lang w:val="fr-FR"/>
        </w:rPr>
        <w:t>de.  Po</w:t>
      </w:r>
      <w:r w:rsidR="00D246AC" w:rsidRPr="00FB086C">
        <w:rPr>
          <w:lang w:val="fr-FR"/>
        </w:rPr>
        <w:t>ur cela, la participation des peuples autochtones et des communautés locales était primordia</w:t>
      </w:r>
      <w:r w:rsidR="00A23637" w:rsidRPr="00FB086C">
        <w:rPr>
          <w:lang w:val="fr-FR"/>
        </w:rPr>
        <w:t>le.  La</w:t>
      </w:r>
      <w:r w:rsidR="00D246AC" w:rsidRPr="00FB086C">
        <w:rPr>
          <w:lang w:val="fr-FR"/>
        </w:rPr>
        <w:t xml:space="preserve"> délégation a souligné le lien entre la légitimité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IGC et cette participation.</w:t>
      </w:r>
    </w:p>
    <w:p w:rsidR="00745FFE" w:rsidRPr="00FB086C" w:rsidRDefault="00FB086C" w:rsidP="00FB086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B086C">
        <w:rPr>
          <w:lang w:val="fr-FR"/>
        </w:rPr>
        <w:t>“</w:t>
      </w:r>
      <w:r w:rsidR="00D246AC" w:rsidRPr="00FB086C">
        <w:rPr>
          <w:lang w:val="fr-FR"/>
        </w:rPr>
        <w:t>La délégation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Afrique du Sud a fait sienne la déclaration de la délégation du Maroc au nom du groupe des pays africai</w:t>
      </w:r>
      <w:r w:rsidR="00A23637" w:rsidRPr="00FB086C">
        <w:rPr>
          <w:lang w:val="fr-FR"/>
        </w:rPr>
        <w:t>ns.  L</w:t>
      </w:r>
      <w:r w:rsidR="009F35FE" w:rsidRPr="00FB086C">
        <w:rPr>
          <w:lang w:val="fr-FR"/>
        </w:rPr>
        <w:t>’</w:t>
      </w:r>
      <w:r w:rsidR="00A23637" w:rsidRPr="00FB086C">
        <w:rPr>
          <w:lang w:val="fr-FR"/>
        </w:rPr>
        <w:t>a</w:t>
      </w:r>
      <w:r w:rsidR="00D246AC" w:rsidRPr="00FB086C">
        <w:rPr>
          <w:lang w:val="fr-FR"/>
        </w:rPr>
        <w:t>doption du Plan d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 xml:space="preserve">action pour le développement </w:t>
      </w:r>
      <w:r w:rsidR="00745FFE" w:rsidRPr="00FB086C">
        <w:rPr>
          <w:lang w:val="fr-FR"/>
        </w:rPr>
        <w:t>en 2007</w:t>
      </w:r>
      <w:r w:rsidR="00D246AC" w:rsidRPr="00FB086C">
        <w:rPr>
          <w:lang w:val="fr-FR"/>
        </w:rPr>
        <w:t xml:space="preserve"> avait modifié le mandat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OMPI pour y inclure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intégration de la dimension du développeme</w:t>
      </w:r>
      <w:r w:rsidR="00A23637" w:rsidRPr="00FB086C">
        <w:rPr>
          <w:lang w:val="fr-FR"/>
        </w:rPr>
        <w:t>nt.  Le</w:t>
      </w:r>
      <w:r w:rsidR="00D246AC" w:rsidRPr="00FB086C">
        <w:rPr>
          <w:lang w:val="fr-FR"/>
        </w:rPr>
        <w:t>s travaux de l</w:t>
      </w:r>
      <w:r w:rsidR="009F35FE" w:rsidRPr="00FB086C">
        <w:rPr>
          <w:lang w:val="fr-FR"/>
        </w:rPr>
        <w:t>’</w:t>
      </w:r>
      <w:r w:rsidR="00D246AC" w:rsidRPr="00FB086C">
        <w:rPr>
          <w:lang w:val="fr-FR"/>
        </w:rPr>
        <w:t>IGC ont joué un rôle important dans la mise en œuvre de ce mandat et devraient donc être pris au sérieux.</w:t>
      </w:r>
    </w:p>
    <w:p w:rsidR="00AE7B83" w:rsidRPr="00913F4F" w:rsidRDefault="00745FFE" w:rsidP="00FB086C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13F4F">
        <w:rPr>
          <w:lang w:val="fr-FR"/>
        </w:rPr>
        <w:t>“L</w:t>
      </w:r>
      <w:r w:rsidR="00D246AC" w:rsidRPr="00913F4F">
        <w:rPr>
          <w:lang w:val="fr-FR"/>
        </w:rPr>
        <w:t>a délégation de 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Indonésie a rappelé la recommandation n° 18 du Plan d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action pour le développement de 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O</w:t>
      </w:r>
      <w:r w:rsidR="00A23637" w:rsidRPr="00913F4F">
        <w:rPr>
          <w:lang w:val="fr-FR"/>
        </w:rPr>
        <w:t>MPI.  El</w:t>
      </w:r>
      <w:r w:rsidR="00D246AC" w:rsidRPr="00913F4F">
        <w:rPr>
          <w:lang w:val="fr-FR"/>
        </w:rPr>
        <w:t>le s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est déclarée favorable à ce que 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>IGC rende compte de sa contribution à la mise en œuvre de cette recommandation à l</w:t>
      </w:r>
      <w:r w:rsidR="009F35FE" w:rsidRPr="00913F4F">
        <w:rPr>
          <w:lang w:val="fr-FR"/>
        </w:rPr>
        <w:t>’</w:t>
      </w:r>
      <w:r w:rsidR="00D246AC" w:rsidRPr="00913F4F">
        <w:rPr>
          <w:lang w:val="fr-FR"/>
        </w:rPr>
        <w:t xml:space="preserve">Assemblée générale </w:t>
      </w:r>
      <w:r w:rsidRPr="00913F4F">
        <w:rPr>
          <w:lang w:val="fr-FR"/>
        </w:rPr>
        <w:t>de 2018</w:t>
      </w:r>
      <w:r w:rsidR="00D246AC" w:rsidRPr="00913F4F">
        <w:rPr>
          <w:lang w:val="fr-FR"/>
        </w:rPr>
        <w:t>, compte tenu de la situation ayant prévalu tout au long de son mandat, en indiquant si cette recommandation a été effectivement mise en œuvre”.</w:t>
      </w:r>
    </w:p>
    <w:p w:rsidR="00AE7B83" w:rsidRPr="00913F4F" w:rsidRDefault="00D246AC" w:rsidP="00FB086C">
      <w:pPr>
        <w:pStyle w:val="DecisionInvitationPara"/>
        <w:ind w:left="5533"/>
        <w:rPr>
          <w:lang w:val="fr-FR"/>
        </w:rPr>
      </w:pPr>
      <w:r w:rsidRPr="00FB086C">
        <w:rPr>
          <w:lang w:val="fr-FR"/>
        </w:rPr>
        <w:t>4.</w:t>
      </w:r>
      <w:r w:rsidRPr="00FB086C">
        <w:rPr>
          <w:lang w:val="fr-FR"/>
        </w:rPr>
        <w:tab/>
        <w:t>Le comité est invité à prendre note des informations contenues dans le présent document</w:t>
      </w:r>
      <w:r w:rsidRPr="00913F4F">
        <w:rPr>
          <w:lang w:val="fr-FR"/>
        </w:rPr>
        <w:t>.</w:t>
      </w:r>
    </w:p>
    <w:p w:rsidR="00AE7B83" w:rsidRPr="00913F4F" w:rsidRDefault="00FB086C" w:rsidP="00FB086C">
      <w:pPr>
        <w:pStyle w:val="Endofdocument-Annex"/>
        <w:spacing w:before="960"/>
      </w:pPr>
      <w:r>
        <w:t>[</w:t>
      </w:r>
      <w:r w:rsidR="00D246AC" w:rsidRPr="00913F4F">
        <w:t>Fin du document]</w:t>
      </w:r>
    </w:p>
    <w:sectPr w:rsidR="00AE7B83" w:rsidRPr="00913F4F" w:rsidSect="000A3E3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F5" w:rsidRDefault="00AB5CF5">
      <w:r>
        <w:separator/>
      </w:r>
    </w:p>
  </w:endnote>
  <w:endnote w:type="continuationSeparator" w:id="0">
    <w:p w:rsidR="00AB5CF5" w:rsidRDefault="00AB5CF5" w:rsidP="003B38C1">
      <w:r>
        <w:separator/>
      </w:r>
    </w:p>
    <w:p w:rsidR="00AB5CF5" w:rsidRPr="003B38C1" w:rsidRDefault="00AB5C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5CF5" w:rsidRPr="003B38C1" w:rsidRDefault="00AB5C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F5" w:rsidRDefault="00AB5CF5">
      <w:r>
        <w:separator/>
      </w:r>
    </w:p>
  </w:footnote>
  <w:footnote w:type="continuationSeparator" w:id="0">
    <w:p w:rsidR="00AB5CF5" w:rsidRDefault="00AB5CF5" w:rsidP="008B60B2">
      <w:r>
        <w:separator/>
      </w:r>
    </w:p>
    <w:p w:rsidR="00AB5CF5" w:rsidRPr="00ED77FB" w:rsidRDefault="00AB5C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5CF5" w:rsidRPr="00ED77FB" w:rsidRDefault="00AB5C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A3E3F" w:rsidP="00691489">
    <w:pPr>
      <w:jc w:val="right"/>
    </w:pPr>
    <w:bookmarkStart w:id="6" w:name="Code2"/>
    <w:bookmarkEnd w:id="6"/>
    <w:r>
      <w:t>C</w:t>
    </w:r>
    <w:r w:rsidR="007D231A">
      <w:t>DIP/22/13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9F35F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7706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2C4B95" w:rsidRDefault="002C4B9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1941CE"/>
    <w:multiLevelType w:val="hybridMultilevel"/>
    <w:tmpl w:val="596AA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2115CE"/>
    <w:multiLevelType w:val="hybridMultilevel"/>
    <w:tmpl w:val="C45A4FA8"/>
    <w:lvl w:ilvl="0" w:tplc="01B869A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696CF33A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Development\Developmen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0A3E3F"/>
    <w:rsid w:val="000239E0"/>
    <w:rsid w:val="00043CAA"/>
    <w:rsid w:val="00075432"/>
    <w:rsid w:val="000968ED"/>
    <w:rsid w:val="000A3E3F"/>
    <w:rsid w:val="000F5E56"/>
    <w:rsid w:val="001362EE"/>
    <w:rsid w:val="00141D93"/>
    <w:rsid w:val="001832A6"/>
    <w:rsid w:val="00185DAB"/>
    <w:rsid w:val="001D535C"/>
    <w:rsid w:val="001D6052"/>
    <w:rsid w:val="0024450D"/>
    <w:rsid w:val="002634C4"/>
    <w:rsid w:val="002928D3"/>
    <w:rsid w:val="002B0E0D"/>
    <w:rsid w:val="002C088F"/>
    <w:rsid w:val="002C4B95"/>
    <w:rsid w:val="002F1FE6"/>
    <w:rsid w:val="002F4E68"/>
    <w:rsid w:val="00300995"/>
    <w:rsid w:val="00312F7F"/>
    <w:rsid w:val="00313A69"/>
    <w:rsid w:val="00316B35"/>
    <w:rsid w:val="00327172"/>
    <w:rsid w:val="00341012"/>
    <w:rsid w:val="00361450"/>
    <w:rsid w:val="00361D2A"/>
    <w:rsid w:val="003673CF"/>
    <w:rsid w:val="003713B7"/>
    <w:rsid w:val="00377068"/>
    <w:rsid w:val="003845C1"/>
    <w:rsid w:val="00394759"/>
    <w:rsid w:val="003A6F89"/>
    <w:rsid w:val="003B38C1"/>
    <w:rsid w:val="003C0C55"/>
    <w:rsid w:val="00415C3E"/>
    <w:rsid w:val="00423E3E"/>
    <w:rsid w:val="00427AF4"/>
    <w:rsid w:val="004647DA"/>
    <w:rsid w:val="00474062"/>
    <w:rsid w:val="00477400"/>
    <w:rsid w:val="00477D6B"/>
    <w:rsid w:val="005019FF"/>
    <w:rsid w:val="0053057A"/>
    <w:rsid w:val="0054767F"/>
    <w:rsid w:val="00560A29"/>
    <w:rsid w:val="0057350A"/>
    <w:rsid w:val="005C6649"/>
    <w:rsid w:val="005E15E6"/>
    <w:rsid w:val="00605827"/>
    <w:rsid w:val="00620076"/>
    <w:rsid w:val="00646050"/>
    <w:rsid w:val="0066488A"/>
    <w:rsid w:val="0067127B"/>
    <w:rsid w:val="006713CA"/>
    <w:rsid w:val="00676C5C"/>
    <w:rsid w:val="00691489"/>
    <w:rsid w:val="006C1776"/>
    <w:rsid w:val="006F2088"/>
    <w:rsid w:val="00745FFE"/>
    <w:rsid w:val="00793BB0"/>
    <w:rsid w:val="007C7AB3"/>
    <w:rsid w:val="007D1613"/>
    <w:rsid w:val="007D231A"/>
    <w:rsid w:val="007E3008"/>
    <w:rsid w:val="007F4E99"/>
    <w:rsid w:val="0085273B"/>
    <w:rsid w:val="0086123B"/>
    <w:rsid w:val="008B2CC1"/>
    <w:rsid w:val="008B60B2"/>
    <w:rsid w:val="0090731E"/>
    <w:rsid w:val="00913F4F"/>
    <w:rsid w:val="00916EE2"/>
    <w:rsid w:val="00952A14"/>
    <w:rsid w:val="0096179B"/>
    <w:rsid w:val="00966A22"/>
    <w:rsid w:val="0096722F"/>
    <w:rsid w:val="00970611"/>
    <w:rsid w:val="00977558"/>
    <w:rsid w:val="00980843"/>
    <w:rsid w:val="009C2A9E"/>
    <w:rsid w:val="009E2791"/>
    <w:rsid w:val="009E3F6F"/>
    <w:rsid w:val="009F35FE"/>
    <w:rsid w:val="009F499F"/>
    <w:rsid w:val="00A23637"/>
    <w:rsid w:val="00A42DAF"/>
    <w:rsid w:val="00A45BD8"/>
    <w:rsid w:val="00A57DA4"/>
    <w:rsid w:val="00A869B7"/>
    <w:rsid w:val="00AB5CF5"/>
    <w:rsid w:val="00AC205C"/>
    <w:rsid w:val="00AC61D2"/>
    <w:rsid w:val="00AD7411"/>
    <w:rsid w:val="00AE7B83"/>
    <w:rsid w:val="00AF0A6B"/>
    <w:rsid w:val="00B05A69"/>
    <w:rsid w:val="00B0621F"/>
    <w:rsid w:val="00B828FD"/>
    <w:rsid w:val="00B9734B"/>
    <w:rsid w:val="00BA30E2"/>
    <w:rsid w:val="00BF7EED"/>
    <w:rsid w:val="00C11BFE"/>
    <w:rsid w:val="00CA3784"/>
    <w:rsid w:val="00CB4A1D"/>
    <w:rsid w:val="00CC1D39"/>
    <w:rsid w:val="00CD04F1"/>
    <w:rsid w:val="00D246AC"/>
    <w:rsid w:val="00D364D4"/>
    <w:rsid w:val="00D3752C"/>
    <w:rsid w:val="00D45252"/>
    <w:rsid w:val="00D63513"/>
    <w:rsid w:val="00D71B4D"/>
    <w:rsid w:val="00D76FA1"/>
    <w:rsid w:val="00D93D55"/>
    <w:rsid w:val="00DA6E94"/>
    <w:rsid w:val="00DD041A"/>
    <w:rsid w:val="00E124B4"/>
    <w:rsid w:val="00E335FE"/>
    <w:rsid w:val="00EB54D0"/>
    <w:rsid w:val="00EC0E48"/>
    <w:rsid w:val="00EC4E49"/>
    <w:rsid w:val="00EC7E07"/>
    <w:rsid w:val="00ED77FB"/>
    <w:rsid w:val="00EE45FA"/>
    <w:rsid w:val="00F3054A"/>
    <w:rsid w:val="00F47A1C"/>
    <w:rsid w:val="00F51D24"/>
    <w:rsid w:val="00F66152"/>
    <w:rsid w:val="00F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A3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3E3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47A1C"/>
    <w:pPr>
      <w:ind w:left="720"/>
      <w:contextualSpacing/>
    </w:pPr>
  </w:style>
  <w:style w:type="paragraph" w:customStyle="1" w:styleId="Default">
    <w:name w:val="Default"/>
    <w:rsid w:val="00CB4A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cisionInvitationPara">
    <w:name w:val="Decision Invitation Para."/>
    <w:basedOn w:val="Normal"/>
    <w:rsid w:val="00952A14"/>
    <w:pPr>
      <w:ind w:left="5534"/>
    </w:pPr>
    <w:rPr>
      <w:rFonts w:eastAsia="Times New Roman" w:cs="Times New Roman"/>
      <w:i/>
      <w:lang w:eastAsia="en-US"/>
    </w:rPr>
  </w:style>
  <w:style w:type="character" w:styleId="Hyperlink">
    <w:name w:val="Hyperlink"/>
    <w:basedOn w:val="DefaultParagraphFont"/>
    <w:semiHidden/>
    <w:unhideWhenUsed/>
    <w:rsid w:val="00A23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A3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3E3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47A1C"/>
    <w:pPr>
      <w:ind w:left="720"/>
      <w:contextualSpacing/>
    </w:pPr>
  </w:style>
  <w:style w:type="paragraph" w:customStyle="1" w:styleId="Default">
    <w:name w:val="Default"/>
    <w:rsid w:val="00CB4A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cisionInvitationPara">
    <w:name w:val="Decision Invitation Para."/>
    <w:basedOn w:val="Normal"/>
    <w:rsid w:val="00952A14"/>
    <w:pPr>
      <w:ind w:left="5534"/>
    </w:pPr>
    <w:rPr>
      <w:rFonts w:eastAsia="Times New Roman" w:cs="Times New Roman"/>
      <w:i/>
      <w:lang w:eastAsia="en-US"/>
    </w:rPr>
  </w:style>
  <w:style w:type="character" w:styleId="Hyperlink">
    <w:name w:val="Hyperlink"/>
    <w:basedOn w:val="DefaultParagraphFont"/>
    <w:semiHidden/>
    <w:unhideWhenUsed/>
    <w:rsid w:val="00A23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C866-B6F9-4137-A6FF-D72E8895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18 (E).dotm</Template>
  <TotalTime>9</TotalTime>
  <Pages>3</Pages>
  <Words>1262</Words>
  <Characters>7020</Characters>
  <Application>Microsoft Office Word</Application>
  <DocSecurity>0</DocSecurity>
  <Lines>118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CDIP/18/</vt:lpstr>
    </vt:vector>
  </TitlesOfParts>
  <Company>WIPO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</dc:title>
  <dc:creator>BRACI Biljana</dc:creator>
  <cp:lastModifiedBy>GAUTHIER Paul-Alexis</cp:lastModifiedBy>
  <cp:revision>6</cp:revision>
  <cp:lastPrinted>2018-10-02T08:50:00Z</cp:lastPrinted>
  <dcterms:created xsi:type="dcterms:W3CDTF">2018-10-24T09:21:00Z</dcterms:created>
  <dcterms:modified xsi:type="dcterms:W3CDTF">2018-10-24T09:58:00Z</dcterms:modified>
</cp:coreProperties>
</file>