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C46FE" w:rsidRPr="008C46FE" w14:paraId="0D98848C" w14:textId="77777777" w:rsidTr="00CD33B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F58E9FD" w14:textId="77777777" w:rsidR="00F508A0" w:rsidRPr="00162476" w:rsidRDefault="00F508A0" w:rsidP="00CD33B8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1158645" w14:textId="77777777" w:rsidR="00F508A0" w:rsidRPr="008C46FE" w:rsidRDefault="00F508A0" w:rsidP="00CD33B8">
            <w:pPr>
              <w:rPr>
                <w:lang w:val="fr-FR"/>
              </w:rPr>
            </w:pPr>
            <w:r w:rsidRPr="008C46FE">
              <w:rPr>
                <w:noProof/>
                <w:lang w:val="fr-FR" w:eastAsia="fr-FR"/>
              </w:rPr>
              <w:drawing>
                <wp:inline distT="0" distB="0" distL="0" distR="0" wp14:anchorId="52BA8D32" wp14:editId="59C79486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1CCEC77" w14:textId="77777777" w:rsidR="00F508A0" w:rsidRPr="008C46FE" w:rsidRDefault="00F508A0" w:rsidP="00CD33B8">
            <w:pPr>
              <w:jc w:val="right"/>
              <w:rPr>
                <w:lang w:val="fr-FR"/>
              </w:rPr>
            </w:pPr>
            <w:r w:rsidRPr="008C46FE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8C46FE" w:rsidRPr="008C46FE" w14:paraId="3B7F8AD5" w14:textId="77777777" w:rsidTr="00CD33B8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2F21B73E" w14:textId="77777777" w:rsidR="00F508A0" w:rsidRPr="008C46FE" w:rsidRDefault="00F508A0" w:rsidP="00CD33B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C46FE">
              <w:rPr>
                <w:rFonts w:ascii="Arial Black" w:hAnsi="Arial Black"/>
                <w:caps/>
                <w:sz w:val="15"/>
                <w:lang w:val="fr-FR"/>
              </w:rPr>
              <w:t>CDIP/22/</w:t>
            </w:r>
            <w:bookmarkStart w:id="0" w:name="Code"/>
            <w:bookmarkEnd w:id="0"/>
            <w:r w:rsidRPr="008C46FE">
              <w:rPr>
                <w:rFonts w:ascii="Arial Black" w:hAnsi="Arial Black"/>
                <w:caps/>
                <w:sz w:val="15"/>
                <w:lang w:val="fr-FR"/>
              </w:rPr>
              <w:t>10</w:t>
            </w:r>
          </w:p>
        </w:tc>
      </w:tr>
      <w:tr w:rsidR="008C46FE" w:rsidRPr="008C46FE" w14:paraId="75B5FFD9" w14:textId="77777777" w:rsidTr="00CD33B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26FDE7E5" w14:textId="6635BE54" w:rsidR="00F508A0" w:rsidRPr="008C46FE" w:rsidRDefault="00F508A0" w:rsidP="00CD33B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C46FE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7A129D" w:rsidRPr="008C46FE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8C46FE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Original"/>
            <w:bookmarkEnd w:id="1"/>
            <w:r w:rsidRPr="008C46FE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722380" w:rsidRPr="008C46FE" w14:paraId="469D51AB" w14:textId="77777777" w:rsidTr="00CD33B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622528DB" w14:textId="3A722E43" w:rsidR="00F508A0" w:rsidRPr="008C46FE" w:rsidRDefault="00F508A0" w:rsidP="00CD33B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C46FE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7A129D" w:rsidRPr="008C46FE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8C46FE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Date"/>
            <w:bookmarkEnd w:id="2"/>
            <w:r w:rsidRPr="008C46FE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7A129D" w:rsidRPr="008C46FE">
              <w:rPr>
                <w:rFonts w:ascii="Arial Black" w:hAnsi="Arial Black"/>
                <w:caps/>
                <w:sz w:val="15"/>
                <w:lang w:val="fr-FR"/>
              </w:rPr>
              <w:t>8 septembre 20</w:t>
            </w:r>
            <w:r w:rsidRPr="008C46FE">
              <w:rPr>
                <w:rFonts w:ascii="Arial Black" w:hAnsi="Arial Black"/>
                <w:caps/>
                <w:sz w:val="15"/>
                <w:lang w:val="fr-FR"/>
              </w:rPr>
              <w:t>18</w:t>
            </w:r>
          </w:p>
        </w:tc>
      </w:tr>
    </w:tbl>
    <w:p w14:paraId="1C52ED7B" w14:textId="77777777" w:rsidR="00F508A0" w:rsidRPr="008C46FE" w:rsidRDefault="00F508A0" w:rsidP="00F508A0">
      <w:pPr>
        <w:rPr>
          <w:lang w:val="fr-FR"/>
        </w:rPr>
      </w:pPr>
    </w:p>
    <w:p w14:paraId="346D51CA" w14:textId="77777777" w:rsidR="00F508A0" w:rsidRPr="008C46FE" w:rsidRDefault="00F508A0" w:rsidP="00F508A0">
      <w:pPr>
        <w:rPr>
          <w:lang w:val="fr-FR"/>
        </w:rPr>
      </w:pPr>
    </w:p>
    <w:p w14:paraId="60E77E82" w14:textId="77777777" w:rsidR="00F508A0" w:rsidRPr="008C46FE" w:rsidRDefault="00F508A0" w:rsidP="00F508A0">
      <w:pPr>
        <w:rPr>
          <w:lang w:val="fr-FR"/>
        </w:rPr>
      </w:pPr>
    </w:p>
    <w:p w14:paraId="2BED300C" w14:textId="77777777" w:rsidR="00F508A0" w:rsidRPr="008C46FE" w:rsidRDefault="00F508A0" w:rsidP="00F508A0">
      <w:pPr>
        <w:rPr>
          <w:lang w:val="fr-FR"/>
        </w:rPr>
      </w:pPr>
    </w:p>
    <w:p w14:paraId="455908A3" w14:textId="77777777" w:rsidR="00F508A0" w:rsidRPr="008C46FE" w:rsidRDefault="00F508A0" w:rsidP="00F508A0">
      <w:pPr>
        <w:rPr>
          <w:lang w:val="fr-FR"/>
        </w:rPr>
      </w:pPr>
    </w:p>
    <w:p w14:paraId="03AD2B9C" w14:textId="77777777" w:rsidR="00F508A0" w:rsidRPr="008C46FE" w:rsidRDefault="00F508A0" w:rsidP="00F508A0">
      <w:pPr>
        <w:rPr>
          <w:b/>
          <w:sz w:val="28"/>
          <w:szCs w:val="28"/>
          <w:lang w:val="fr-FR"/>
        </w:rPr>
      </w:pPr>
      <w:r w:rsidRPr="008C46FE">
        <w:rPr>
          <w:b/>
          <w:sz w:val="28"/>
          <w:szCs w:val="28"/>
          <w:lang w:val="fr-FR"/>
        </w:rPr>
        <w:t>Comité du développement et de la propriété intellectuelle (CDIP)</w:t>
      </w:r>
    </w:p>
    <w:p w14:paraId="256EC3B5" w14:textId="77777777" w:rsidR="00F508A0" w:rsidRPr="008C46FE" w:rsidRDefault="00F508A0" w:rsidP="00F508A0">
      <w:pPr>
        <w:rPr>
          <w:lang w:val="fr-FR"/>
        </w:rPr>
      </w:pPr>
    </w:p>
    <w:p w14:paraId="2556CDE6" w14:textId="77777777" w:rsidR="00F508A0" w:rsidRPr="008C46FE" w:rsidRDefault="00F508A0" w:rsidP="00F508A0">
      <w:pPr>
        <w:rPr>
          <w:lang w:val="fr-FR"/>
        </w:rPr>
      </w:pPr>
    </w:p>
    <w:p w14:paraId="0E25AD8D" w14:textId="17BE88B2" w:rsidR="00F508A0" w:rsidRPr="008C46FE" w:rsidRDefault="00F508A0" w:rsidP="00F508A0">
      <w:pPr>
        <w:rPr>
          <w:b/>
          <w:sz w:val="24"/>
          <w:szCs w:val="24"/>
          <w:lang w:val="fr-FR"/>
        </w:rPr>
      </w:pPr>
      <w:r w:rsidRPr="008C46FE">
        <w:rPr>
          <w:b/>
          <w:sz w:val="24"/>
          <w:szCs w:val="24"/>
          <w:lang w:val="fr-FR"/>
        </w:rPr>
        <w:t>Vingt</w:t>
      </w:r>
      <w:r w:rsidR="00FF1E34" w:rsidRPr="008C46FE">
        <w:rPr>
          <w:b/>
          <w:sz w:val="24"/>
          <w:szCs w:val="24"/>
          <w:lang w:val="fr-FR"/>
        </w:rPr>
        <w:noBreakHyphen/>
      </w:r>
      <w:r w:rsidRPr="008C46FE">
        <w:rPr>
          <w:b/>
          <w:sz w:val="24"/>
          <w:szCs w:val="24"/>
          <w:lang w:val="fr-FR"/>
        </w:rPr>
        <w:t>deux</w:t>
      </w:r>
      <w:r w:rsidR="007A129D" w:rsidRPr="008C46FE">
        <w:rPr>
          <w:b/>
          <w:sz w:val="24"/>
          <w:szCs w:val="24"/>
          <w:lang w:val="fr-FR"/>
        </w:rPr>
        <w:t>ième session</w:t>
      </w:r>
    </w:p>
    <w:p w14:paraId="567FA827" w14:textId="77777777" w:rsidR="00F508A0" w:rsidRPr="008C46FE" w:rsidRDefault="00F508A0" w:rsidP="00F508A0">
      <w:pPr>
        <w:rPr>
          <w:b/>
          <w:sz w:val="24"/>
          <w:szCs w:val="24"/>
          <w:lang w:val="fr-FR"/>
        </w:rPr>
      </w:pPr>
      <w:r w:rsidRPr="008C46FE">
        <w:rPr>
          <w:b/>
          <w:sz w:val="24"/>
          <w:szCs w:val="24"/>
          <w:lang w:val="fr-FR"/>
        </w:rPr>
        <w:t>Genève, 19 – 23 novembre 2018</w:t>
      </w:r>
    </w:p>
    <w:p w14:paraId="7A62C744" w14:textId="77777777" w:rsidR="00F508A0" w:rsidRPr="008C46FE" w:rsidRDefault="00F508A0" w:rsidP="00F508A0">
      <w:pPr>
        <w:rPr>
          <w:lang w:val="fr-FR"/>
        </w:rPr>
      </w:pPr>
    </w:p>
    <w:p w14:paraId="3A837982" w14:textId="77777777" w:rsidR="00F508A0" w:rsidRPr="008C46FE" w:rsidRDefault="00F508A0" w:rsidP="00F508A0">
      <w:pPr>
        <w:rPr>
          <w:lang w:val="fr-FR"/>
        </w:rPr>
      </w:pPr>
    </w:p>
    <w:p w14:paraId="60D9492A" w14:textId="77777777" w:rsidR="00F508A0" w:rsidRPr="008C46FE" w:rsidRDefault="00F508A0" w:rsidP="00F508A0">
      <w:pPr>
        <w:rPr>
          <w:lang w:val="fr-FR"/>
        </w:rPr>
      </w:pPr>
    </w:p>
    <w:p w14:paraId="0AD8C167" w14:textId="1E5B704F" w:rsidR="00F508A0" w:rsidRPr="008C46FE" w:rsidRDefault="00BF659C" w:rsidP="00BF659C">
      <w:pPr>
        <w:rPr>
          <w:sz w:val="24"/>
          <w:szCs w:val="24"/>
          <w:lang w:val="fr-FR"/>
        </w:rPr>
      </w:pPr>
      <w:r w:rsidRPr="008C46FE">
        <w:rPr>
          <w:sz w:val="24"/>
          <w:szCs w:val="24"/>
          <w:lang w:val="fr-FR"/>
        </w:rPr>
        <w:t>ÉVALUATION DES OUTILS ET MÉTHODES EN VIGUEUR DE L</w:t>
      </w:r>
      <w:r w:rsidR="007A129D" w:rsidRPr="008C46FE">
        <w:rPr>
          <w:sz w:val="24"/>
          <w:szCs w:val="24"/>
          <w:lang w:val="fr-FR"/>
        </w:rPr>
        <w:t>’</w:t>
      </w:r>
      <w:r w:rsidRPr="008C46FE">
        <w:rPr>
          <w:sz w:val="24"/>
          <w:szCs w:val="24"/>
          <w:lang w:val="fr-FR"/>
        </w:rPr>
        <w:t>OMPI POUR</w:t>
      </w:r>
      <w:r w:rsidR="008C46FE">
        <w:rPr>
          <w:sz w:val="24"/>
          <w:szCs w:val="24"/>
          <w:lang w:val="fr-FR"/>
        </w:rPr>
        <w:t> </w:t>
      </w:r>
      <w:r w:rsidRPr="008C46FE">
        <w:rPr>
          <w:sz w:val="24"/>
          <w:szCs w:val="24"/>
          <w:lang w:val="fr-FR"/>
        </w:rPr>
        <w:t>MESURER L</w:t>
      </w:r>
      <w:r w:rsidR="007A129D" w:rsidRPr="008C46FE">
        <w:rPr>
          <w:sz w:val="24"/>
          <w:szCs w:val="24"/>
          <w:lang w:val="fr-FR"/>
        </w:rPr>
        <w:t>’</w:t>
      </w:r>
      <w:r w:rsidRPr="008C46FE">
        <w:rPr>
          <w:sz w:val="24"/>
          <w:szCs w:val="24"/>
          <w:lang w:val="fr-FR"/>
        </w:rPr>
        <w:t>INCIDENCE, L</w:t>
      </w:r>
      <w:r w:rsidR="007A129D" w:rsidRPr="008C46FE">
        <w:rPr>
          <w:sz w:val="24"/>
          <w:szCs w:val="24"/>
          <w:lang w:val="fr-FR"/>
        </w:rPr>
        <w:t>’</w:t>
      </w:r>
      <w:r w:rsidRPr="008C46FE">
        <w:rPr>
          <w:sz w:val="24"/>
          <w:szCs w:val="24"/>
          <w:lang w:val="fr-FR"/>
        </w:rPr>
        <w:t>EFFICACITÉ ET LE BON FONCTIONNEMENT DE</w:t>
      </w:r>
      <w:r w:rsidR="008C46FE">
        <w:rPr>
          <w:sz w:val="24"/>
          <w:szCs w:val="24"/>
          <w:lang w:val="fr-FR"/>
        </w:rPr>
        <w:t> </w:t>
      </w:r>
      <w:r w:rsidRPr="008C46FE">
        <w:rPr>
          <w:sz w:val="24"/>
          <w:szCs w:val="24"/>
          <w:lang w:val="fr-FR"/>
        </w:rPr>
        <w:t>SES</w:t>
      </w:r>
      <w:r w:rsidR="008C46FE">
        <w:rPr>
          <w:sz w:val="24"/>
          <w:szCs w:val="24"/>
          <w:lang w:val="fr-FR"/>
        </w:rPr>
        <w:t> </w:t>
      </w:r>
      <w:r w:rsidRPr="008C46FE">
        <w:rPr>
          <w:sz w:val="24"/>
          <w:szCs w:val="24"/>
          <w:lang w:val="fr-FR"/>
        </w:rPr>
        <w:t>ACTIVITÉS D</w:t>
      </w:r>
      <w:r w:rsidR="007A129D" w:rsidRPr="008C46FE">
        <w:rPr>
          <w:sz w:val="24"/>
          <w:szCs w:val="24"/>
          <w:lang w:val="fr-FR"/>
        </w:rPr>
        <w:t>’</w:t>
      </w:r>
      <w:r w:rsidRPr="008C46FE">
        <w:rPr>
          <w:sz w:val="24"/>
          <w:szCs w:val="24"/>
          <w:lang w:val="fr-FR"/>
        </w:rPr>
        <w:t>ASSISTANCE TECHNIQUE</w:t>
      </w:r>
    </w:p>
    <w:p w14:paraId="38804A89" w14:textId="77777777" w:rsidR="00F508A0" w:rsidRPr="008C46FE" w:rsidRDefault="00F508A0" w:rsidP="008B2CC1">
      <w:pPr>
        <w:rPr>
          <w:lang w:val="fr-FR"/>
        </w:rPr>
      </w:pPr>
    </w:p>
    <w:p w14:paraId="2CB83380" w14:textId="77777777" w:rsidR="00F508A0" w:rsidRPr="008C46FE" w:rsidRDefault="009A3FE9" w:rsidP="008B2CC1">
      <w:pPr>
        <w:rPr>
          <w:i/>
          <w:lang w:val="fr-FR"/>
        </w:rPr>
      </w:pPr>
      <w:bookmarkStart w:id="3" w:name="Prepared"/>
      <w:bookmarkEnd w:id="3"/>
      <w:proofErr w:type="gramStart"/>
      <w:r w:rsidRPr="008C46FE">
        <w:rPr>
          <w:i/>
          <w:lang w:val="fr-FR"/>
        </w:rPr>
        <w:t>établi</w:t>
      </w:r>
      <w:proofErr w:type="gramEnd"/>
      <w:r w:rsidRPr="008C46FE">
        <w:rPr>
          <w:i/>
          <w:lang w:val="fr-FR"/>
        </w:rPr>
        <w:t xml:space="preserve"> par le Secrétariat</w:t>
      </w:r>
    </w:p>
    <w:p w14:paraId="319C8526" w14:textId="77777777" w:rsidR="00F508A0" w:rsidRPr="00CD33B8" w:rsidRDefault="00F508A0">
      <w:pPr>
        <w:rPr>
          <w:lang w:val="fr-FR"/>
        </w:rPr>
      </w:pPr>
    </w:p>
    <w:p w14:paraId="5CACDFDD" w14:textId="77777777" w:rsidR="00F508A0" w:rsidRPr="00CD33B8" w:rsidRDefault="00F508A0">
      <w:pPr>
        <w:rPr>
          <w:lang w:val="fr-FR"/>
        </w:rPr>
      </w:pPr>
    </w:p>
    <w:p w14:paraId="6F15120D" w14:textId="77777777" w:rsidR="00F508A0" w:rsidRPr="00CD33B8" w:rsidRDefault="00F508A0">
      <w:pPr>
        <w:rPr>
          <w:lang w:val="fr-FR"/>
        </w:rPr>
      </w:pPr>
    </w:p>
    <w:p w14:paraId="166264BA" w14:textId="77777777" w:rsidR="00F508A0" w:rsidRPr="00CD33B8" w:rsidRDefault="00F508A0" w:rsidP="00EC7A3C">
      <w:pPr>
        <w:rPr>
          <w:szCs w:val="22"/>
          <w:lang w:val="fr-FR"/>
        </w:rPr>
      </w:pPr>
    </w:p>
    <w:p w14:paraId="3F95F67F" w14:textId="18A672FC" w:rsidR="007A129D" w:rsidRDefault="00BF659C" w:rsidP="00F508A0">
      <w:pPr>
        <w:pStyle w:val="ONUMFS"/>
        <w:rPr>
          <w:lang w:val="fr-FR"/>
        </w:rPr>
      </w:pPr>
      <w:r w:rsidRPr="00CD33B8">
        <w:rPr>
          <w:lang w:val="fr-FR"/>
        </w:rPr>
        <w:t>Le Comité du développement et de la propriété intellectuelle (CDIP), lors de sa dix</w:t>
      </w:r>
      <w:r w:rsidR="00FF1E34">
        <w:rPr>
          <w:lang w:val="fr-FR"/>
        </w:rPr>
        <w:noBreakHyphen/>
      </w:r>
      <w:r w:rsidRPr="00CD33B8">
        <w:rPr>
          <w:lang w:val="fr-FR"/>
        </w:rPr>
        <w:t>huit</w:t>
      </w:r>
      <w:r w:rsidR="007A129D">
        <w:rPr>
          <w:lang w:val="fr-FR"/>
        </w:rPr>
        <w:t>ième session</w:t>
      </w:r>
      <w:r w:rsidRPr="00CD33B8">
        <w:rPr>
          <w:lang w:val="fr-FR"/>
        </w:rPr>
        <w:t xml:space="preserve"> tenue du 31</w:t>
      </w:r>
      <w:r w:rsidR="006A3DF0">
        <w:rPr>
          <w:lang w:val="fr-FR"/>
        </w:rPr>
        <w:t> </w:t>
      </w:r>
      <w:r w:rsidRPr="00CD33B8">
        <w:rPr>
          <w:lang w:val="fr-FR"/>
        </w:rPr>
        <w:t>octobre au 4</w:t>
      </w:r>
      <w:r w:rsidR="006A3DF0">
        <w:rPr>
          <w:lang w:val="fr-FR"/>
        </w:rPr>
        <w:t> </w:t>
      </w:r>
      <w:r w:rsidRPr="00CD33B8">
        <w:rPr>
          <w:lang w:val="fr-FR"/>
        </w:rPr>
        <w:t>novembre</w:t>
      </w:r>
      <w:r w:rsidR="006A3DF0">
        <w:rPr>
          <w:lang w:val="fr-FR"/>
        </w:rPr>
        <w:t> </w:t>
      </w:r>
      <w:r w:rsidRPr="00CD33B8">
        <w:rPr>
          <w:lang w:val="fr-FR"/>
        </w:rPr>
        <w:t>2016, a approuvé une prop</w:t>
      </w:r>
      <w:r w:rsidR="00D96338">
        <w:rPr>
          <w:lang w:val="fr-FR"/>
        </w:rPr>
        <w:t>osition en six</w:t>
      </w:r>
      <w:r w:rsidR="001661CA">
        <w:rPr>
          <w:lang w:val="fr-FR"/>
        </w:rPr>
        <w:t> </w:t>
      </w:r>
      <w:r w:rsidR="00D96338">
        <w:rPr>
          <w:lang w:val="fr-FR"/>
        </w:rPr>
        <w:t>points demandant</w:t>
      </w:r>
      <w:r w:rsidRPr="00CD33B8">
        <w:rPr>
          <w:lang w:val="fr-FR"/>
        </w:rPr>
        <w:t xml:space="preserve"> </w:t>
      </w:r>
      <w:r w:rsidR="00D96338">
        <w:rPr>
          <w:lang w:val="fr-FR"/>
        </w:rPr>
        <w:t xml:space="preserve">notamment </w:t>
      </w:r>
      <w:r w:rsidRPr="00CD33B8">
        <w:rPr>
          <w:lang w:val="fr-FR"/>
        </w:rPr>
        <w:t>au Secrétariat</w:t>
      </w:r>
      <w:r w:rsidR="00D96338" w:rsidRPr="00CD33B8">
        <w:rPr>
          <w:lang w:val="fr-FR"/>
        </w:rPr>
        <w:t xml:space="preserve"> </w:t>
      </w:r>
      <w:r w:rsidRPr="00CD33B8">
        <w:rPr>
          <w:lang w:val="fr-FR"/>
        </w:rPr>
        <w:t>d</w:t>
      </w:r>
      <w:r w:rsidR="007A129D">
        <w:rPr>
          <w:lang w:val="fr-FR"/>
        </w:rPr>
        <w:t>’“</w:t>
      </w:r>
      <w:r w:rsidR="007A129D" w:rsidRPr="00CD33B8">
        <w:rPr>
          <w:lang w:val="fr-FR"/>
        </w:rPr>
        <w:t>é</w:t>
      </w:r>
      <w:r w:rsidRPr="00CD33B8">
        <w:rPr>
          <w:lang w:val="fr-FR"/>
        </w:rPr>
        <w:t>valuer les outils et méthodes en vigueur pour mesurer l</w:t>
      </w:r>
      <w:r w:rsidR="007A129D">
        <w:rPr>
          <w:lang w:val="fr-FR"/>
        </w:rPr>
        <w:t>’</w:t>
      </w:r>
      <w:r w:rsidRPr="00CD33B8">
        <w:rPr>
          <w:lang w:val="fr-FR"/>
        </w:rPr>
        <w:t>incidence, l</w:t>
      </w:r>
      <w:r w:rsidR="007A129D">
        <w:rPr>
          <w:lang w:val="fr-FR"/>
        </w:rPr>
        <w:t>’</w:t>
      </w:r>
      <w:r w:rsidRPr="00CD33B8">
        <w:rPr>
          <w:lang w:val="fr-FR"/>
        </w:rPr>
        <w:t>efficacité et le bon fonctionnement des activités d</w:t>
      </w:r>
      <w:r w:rsidR="007A129D">
        <w:rPr>
          <w:lang w:val="fr-FR"/>
        </w:rPr>
        <w:t>’</w:t>
      </w:r>
      <w:r w:rsidRPr="00CD33B8">
        <w:rPr>
          <w:lang w:val="fr-FR"/>
        </w:rPr>
        <w:t>assistance technique à différents niveaux et, dans ce processus, tenter de définir des domaines d</w:t>
      </w:r>
      <w:r w:rsidR="007A129D">
        <w:rPr>
          <w:lang w:val="fr-FR"/>
        </w:rPr>
        <w:t>’</w:t>
      </w:r>
      <w:r w:rsidRPr="00CD33B8">
        <w:rPr>
          <w:lang w:val="fr-FR"/>
        </w:rPr>
        <w:t>amélioration possibl</w:t>
      </w:r>
      <w:r w:rsidR="007A129D" w:rsidRPr="00CD33B8">
        <w:rPr>
          <w:lang w:val="fr-FR"/>
        </w:rPr>
        <w:t>e</w:t>
      </w:r>
      <w:r w:rsidR="007A129D">
        <w:rPr>
          <w:lang w:val="fr-FR"/>
        </w:rPr>
        <w:t>”</w:t>
      </w:r>
      <w:r w:rsidR="00E44A0B" w:rsidRPr="00CD33B8">
        <w:rPr>
          <w:vertAlign w:val="superscript"/>
          <w:lang w:val="fr-FR"/>
        </w:rPr>
        <w:footnoteReference w:id="2"/>
      </w:r>
      <w:r w:rsidRPr="00CD33B8">
        <w:rPr>
          <w:lang w:val="fr-FR"/>
        </w:rPr>
        <w:t xml:space="preserve">. </w:t>
      </w:r>
      <w:r w:rsidR="006A3DF0">
        <w:rPr>
          <w:lang w:val="fr-FR"/>
        </w:rPr>
        <w:t xml:space="preserve"> </w:t>
      </w:r>
      <w:r w:rsidRPr="00CD33B8">
        <w:rPr>
          <w:lang w:val="fr-FR"/>
        </w:rPr>
        <w:t>Le présent document a pour objet de répondre à cette demande.</w:t>
      </w:r>
    </w:p>
    <w:p w14:paraId="5D8F2DBF" w14:textId="7947E991" w:rsidR="007A129D" w:rsidRDefault="00BF659C" w:rsidP="00F508A0">
      <w:pPr>
        <w:pStyle w:val="ONUMFS"/>
        <w:rPr>
          <w:lang w:val="fr-FR"/>
        </w:rPr>
      </w:pPr>
      <w:r w:rsidRPr="00CD33B8">
        <w:rPr>
          <w:lang w:val="fr-FR"/>
        </w:rPr>
        <w:t>Comme défini dans la Compilation des pratiques, méthodes et outils de l</w:t>
      </w:r>
      <w:r w:rsidR="007A129D">
        <w:rPr>
          <w:lang w:val="fr-FR"/>
        </w:rPr>
        <w:t>’</w:t>
      </w:r>
      <w:r w:rsidRPr="00CD33B8">
        <w:rPr>
          <w:lang w:val="fr-FR"/>
        </w:rPr>
        <w:t>OMPI actuels concernant la fourniture d</w:t>
      </w:r>
      <w:r w:rsidR="007A129D">
        <w:rPr>
          <w:lang w:val="fr-FR"/>
        </w:rPr>
        <w:t>’</w:t>
      </w:r>
      <w:r w:rsidRPr="00CD33B8">
        <w:rPr>
          <w:lang w:val="fr-FR"/>
        </w:rPr>
        <w:t>une assistance technique (Document</w:t>
      </w:r>
      <w:r w:rsidR="006A3DF0">
        <w:rPr>
          <w:lang w:val="fr-FR"/>
        </w:rPr>
        <w:t> </w:t>
      </w:r>
      <w:r w:rsidRPr="00CD33B8">
        <w:rPr>
          <w:lang w:val="fr-FR"/>
        </w:rPr>
        <w:t>CDIP/21/4, paragraphe</w:t>
      </w:r>
      <w:r w:rsidR="006A3DF0">
        <w:rPr>
          <w:lang w:val="fr-FR"/>
        </w:rPr>
        <w:t> </w:t>
      </w:r>
      <w:r w:rsidRPr="00CD33B8">
        <w:rPr>
          <w:lang w:val="fr-FR"/>
        </w:rPr>
        <w:t>10), les activités d</w:t>
      </w:r>
      <w:r w:rsidR="007A129D">
        <w:rPr>
          <w:lang w:val="fr-FR"/>
        </w:rPr>
        <w:t>’</w:t>
      </w:r>
      <w:r w:rsidRPr="00CD33B8">
        <w:rPr>
          <w:lang w:val="fr-FR"/>
        </w:rPr>
        <w:t>assistance technique de l</w:t>
      </w:r>
      <w:r w:rsidR="007A129D">
        <w:rPr>
          <w:lang w:val="fr-FR"/>
        </w:rPr>
        <w:t>’</w:t>
      </w:r>
      <w:r w:rsidRPr="00CD33B8">
        <w:rPr>
          <w:lang w:val="fr-FR"/>
        </w:rPr>
        <w:t>OMPI sont catégorisées comme suit</w:t>
      </w:r>
      <w:r w:rsidR="007A129D">
        <w:rPr>
          <w:lang w:val="fr-FR"/>
        </w:rPr>
        <w:t> :</w:t>
      </w:r>
      <w:r w:rsidRPr="00CD33B8">
        <w:rPr>
          <w:lang w:val="fr-FR"/>
        </w:rPr>
        <w:t xml:space="preserve"> a)</w:t>
      </w:r>
      <w:r w:rsidR="001661CA">
        <w:rPr>
          <w:lang w:val="fr-FR"/>
        </w:rPr>
        <w:t> </w:t>
      </w:r>
      <w:r w:rsidRPr="00CD33B8">
        <w:rPr>
          <w:lang w:val="fr-FR"/>
        </w:rPr>
        <w:t>stratégies et plans de développement nationaux en matière de propriété intellectuelle;</w:t>
      </w:r>
      <w:r w:rsidR="006A3DF0">
        <w:rPr>
          <w:lang w:val="fr-FR"/>
        </w:rPr>
        <w:t xml:space="preserve"> </w:t>
      </w:r>
      <w:r w:rsidRPr="00CD33B8">
        <w:rPr>
          <w:lang w:val="fr-FR"/>
        </w:rPr>
        <w:t xml:space="preserve"> b)</w:t>
      </w:r>
      <w:r w:rsidR="001661CA">
        <w:rPr>
          <w:lang w:val="fr-FR"/>
        </w:rPr>
        <w:t> </w:t>
      </w:r>
      <w:r w:rsidRPr="00CD33B8">
        <w:rPr>
          <w:lang w:val="fr-FR"/>
        </w:rPr>
        <w:t>infrastructure technique et administrative (solutions pour les offices de propriété intellectuelle, bases de données);</w:t>
      </w:r>
      <w:r w:rsidR="006A3DF0">
        <w:rPr>
          <w:lang w:val="fr-FR"/>
        </w:rPr>
        <w:t xml:space="preserve"> </w:t>
      </w:r>
      <w:r w:rsidRPr="00CD33B8">
        <w:rPr>
          <w:lang w:val="fr-FR"/>
        </w:rPr>
        <w:t xml:space="preserve"> c)</w:t>
      </w:r>
      <w:r w:rsidR="001661CA">
        <w:rPr>
          <w:lang w:val="fr-FR"/>
        </w:rPr>
        <w:t> </w:t>
      </w:r>
      <w:r w:rsidRPr="00CD33B8">
        <w:rPr>
          <w:lang w:val="fr-FR"/>
        </w:rPr>
        <w:t>renforcement des capacités;</w:t>
      </w:r>
      <w:r w:rsidR="006A3DF0">
        <w:rPr>
          <w:lang w:val="fr-FR"/>
        </w:rPr>
        <w:t xml:space="preserve"> </w:t>
      </w:r>
      <w:r w:rsidRPr="00CD33B8">
        <w:rPr>
          <w:lang w:val="fr-FR"/>
        </w:rPr>
        <w:t xml:space="preserve"> d)</w:t>
      </w:r>
      <w:r w:rsidR="001661CA">
        <w:rPr>
          <w:lang w:val="fr-FR"/>
        </w:rPr>
        <w:t> </w:t>
      </w:r>
      <w:r w:rsidRPr="00CD33B8">
        <w:rPr>
          <w:lang w:val="fr-FR"/>
        </w:rPr>
        <w:t>assistance législative;</w:t>
      </w:r>
      <w:r w:rsidR="006A3DF0">
        <w:rPr>
          <w:lang w:val="fr-FR"/>
        </w:rPr>
        <w:t xml:space="preserve"> </w:t>
      </w:r>
      <w:r w:rsidRPr="00CD33B8">
        <w:rPr>
          <w:lang w:val="fr-FR"/>
        </w:rPr>
        <w:t xml:space="preserve"> e)</w:t>
      </w:r>
      <w:r w:rsidR="001661CA">
        <w:rPr>
          <w:lang w:val="fr-FR"/>
        </w:rPr>
        <w:t> </w:t>
      </w:r>
      <w:r w:rsidRPr="00CD33B8">
        <w:rPr>
          <w:lang w:val="fr-FR"/>
        </w:rPr>
        <w:t>projets relatifs au Plan d</w:t>
      </w:r>
      <w:r w:rsidR="007A129D">
        <w:rPr>
          <w:lang w:val="fr-FR"/>
        </w:rPr>
        <w:t>’</w:t>
      </w:r>
      <w:r w:rsidRPr="00CD33B8">
        <w:rPr>
          <w:lang w:val="fr-FR"/>
        </w:rPr>
        <w:t>action pour le développement;</w:t>
      </w:r>
      <w:r w:rsidR="006A3DF0">
        <w:rPr>
          <w:lang w:val="fr-FR"/>
        </w:rPr>
        <w:t xml:space="preserve"> </w:t>
      </w:r>
      <w:r w:rsidRPr="00CD33B8">
        <w:rPr>
          <w:lang w:val="fr-FR"/>
        </w:rPr>
        <w:t xml:space="preserve"> et f)</w:t>
      </w:r>
      <w:r w:rsidR="001661CA">
        <w:rPr>
          <w:lang w:val="fr-FR"/>
        </w:rPr>
        <w:t> </w:t>
      </w:r>
      <w:r w:rsidRPr="00CD33B8">
        <w:rPr>
          <w:lang w:val="fr-FR"/>
        </w:rPr>
        <w:t>partenariats publics</w:t>
      </w:r>
      <w:r w:rsidR="00FF1E34">
        <w:rPr>
          <w:lang w:val="fr-FR"/>
        </w:rPr>
        <w:noBreakHyphen/>
      </w:r>
      <w:r w:rsidRPr="00CD33B8">
        <w:rPr>
          <w:lang w:val="fr-FR"/>
        </w:rPr>
        <w:t>privés (plateformes multipartit</w:t>
      </w:r>
      <w:r w:rsidR="007559F4" w:rsidRPr="00CD33B8">
        <w:rPr>
          <w:lang w:val="fr-FR"/>
        </w:rPr>
        <w:t>es)</w:t>
      </w:r>
      <w:r w:rsidR="007559F4">
        <w:rPr>
          <w:lang w:val="fr-FR"/>
        </w:rPr>
        <w:t xml:space="preserve">.  </w:t>
      </w:r>
      <w:r w:rsidR="007559F4" w:rsidRPr="00CD33B8">
        <w:rPr>
          <w:lang w:val="fr-FR"/>
        </w:rPr>
        <w:t>Af</w:t>
      </w:r>
      <w:r w:rsidRPr="00CD33B8">
        <w:rPr>
          <w:lang w:val="fr-FR"/>
        </w:rPr>
        <w:t xml:space="preserve">in </w:t>
      </w:r>
      <w:r w:rsidR="00D96338">
        <w:rPr>
          <w:lang w:val="fr-FR"/>
        </w:rPr>
        <w:t>d</w:t>
      </w:r>
      <w:r w:rsidR="007A129D">
        <w:rPr>
          <w:lang w:val="fr-FR"/>
        </w:rPr>
        <w:t>’</w:t>
      </w:r>
      <w:r w:rsidR="00D96338">
        <w:rPr>
          <w:lang w:val="fr-FR"/>
        </w:rPr>
        <w:t xml:space="preserve">évaluer et de </w:t>
      </w:r>
      <w:r w:rsidRPr="00CD33B8">
        <w:rPr>
          <w:lang w:val="fr-FR"/>
        </w:rPr>
        <w:t>mesurer l</w:t>
      </w:r>
      <w:r w:rsidR="007A129D">
        <w:rPr>
          <w:lang w:val="fr-FR"/>
        </w:rPr>
        <w:t>’</w:t>
      </w:r>
      <w:r w:rsidRPr="00CD33B8">
        <w:rPr>
          <w:lang w:val="fr-FR"/>
        </w:rPr>
        <w:t>incidence, l</w:t>
      </w:r>
      <w:r w:rsidR="007A129D">
        <w:rPr>
          <w:lang w:val="fr-FR"/>
        </w:rPr>
        <w:t>’</w:t>
      </w:r>
      <w:r w:rsidRPr="00CD33B8">
        <w:rPr>
          <w:lang w:val="fr-FR"/>
        </w:rPr>
        <w:t>efficacité et le bon fonctionnement des activités d</w:t>
      </w:r>
      <w:r w:rsidR="007A129D">
        <w:rPr>
          <w:lang w:val="fr-FR"/>
        </w:rPr>
        <w:t>’</w:t>
      </w:r>
      <w:r w:rsidRPr="00CD33B8">
        <w:rPr>
          <w:lang w:val="fr-FR"/>
        </w:rPr>
        <w:t>assistance technique aux niveaux de l</w:t>
      </w:r>
      <w:r w:rsidR="007A129D">
        <w:rPr>
          <w:lang w:val="fr-FR"/>
        </w:rPr>
        <w:t>’</w:t>
      </w:r>
      <w:r w:rsidRPr="00CD33B8">
        <w:rPr>
          <w:lang w:val="fr-FR"/>
        </w:rPr>
        <w:t>organisation, des programmes et des projets, ainsi que par zone géographique et par catégorie d</w:t>
      </w:r>
      <w:r w:rsidR="007A129D">
        <w:rPr>
          <w:lang w:val="fr-FR"/>
        </w:rPr>
        <w:t>’</w:t>
      </w:r>
      <w:r w:rsidRPr="00CD33B8">
        <w:rPr>
          <w:lang w:val="fr-FR"/>
        </w:rPr>
        <w:t>assistance technique, l</w:t>
      </w:r>
      <w:r w:rsidR="007A129D">
        <w:rPr>
          <w:lang w:val="fr-FR"/>
        </w:rPr>
        <w:t>’</w:t>
      </w:r>
      <w:r w:rsidRPr="00CD33B8">
        <w:rPr>
          <w:lang w:val="fr-FR"/>
        </w:rPr>
        <w:t xml:space="preserve">OMPI adopte </w:t>
      </w:r>
      <w:r w:rsidR="005A4282">
        <w:rPr>
          <w:lang w:val="fr-FR"/>
        </w:rPr>
        <w:t xml:space="preserve">une </w:t>
      </w:r>
      <w:r w:rsidRPr="00CD33B8">
        <w:rPr>
          <w:lang w:val="fr-FR"/>
        </w:rPr>
        <w:t>approche multidimensionnelle</w:t>
      </w:r>
      <w:r w:rsidR="005A4282">
        <w:rPr>
          <w:lang w:val="fr-FR"/>
        </w:rPr>
        <w:t xml:space="preserve"> décrite dans le présent document</w:t>
      </w:r>
      <w:r w:rsidRPr="00CD33B8">
        <w:rPr>
          <w:lang w:val="fr-FR"/>
        </w:rPr>
        <w:t>.</w:t>
      </w:r>
    </w:p>
    <w:p w14:paraId="0A790FE1" w14:textId="56173C07" w:rsidR="007A129D" w:rsidRDefault="00BF659C" w:rsidP="00F508A0">
      <w:pPr>
        <w:pStyle w:val="ONUMFS"/>
        <w:rPr>
          <w:lang w:val="fr-FR"/>
        </w:rPr>
      </w:pPr>
      <w:r w:rsidRPr="00CD33B8">
        <w:rPr>
          <w:lang w:val="fr-FR"/>
        </w:rPr>
        <w:lastRenderedPageBreak/>
        <w:t>Au niveau organisationnel, le cadre de gestion axée sur les résultats de l</w:t>
      </w:r>
      <w:r w:rsidR="007A129D">
        <w:rPr>
          <w:lang w:val="fr-FR"/>
        </w:rPr>
        <w:t>’</w:t>
      </w:r>
      <w:r w:rsidRPr="00CD33B8">
        <w:rPr>
          <w:lang w:val="fr-FR"/>
        </w:rPr>
        <w:t>OMPI, ét</w:t>
      </w:r>
      <w:r w:rsidR="00467FE5">
        <w:rPr>
          <w:lang w:val="fr-FR"/>
        </w:rPr>
        <w:t>abli et approuvé par les États m</w:t>
      </w:r>
      <w:r w:rsidRPr="00CD33B8">
        <w:rPr>
          <w:lang w:val="fr-FR"/>
        </w:rPr>
        <w:t xml:space="preserve">embres dans le programme et budget, fixe les critères </w:t>
      </w:r>
      <w:r w:rsidR="00D96338">
        <w:rPr>
          <w:lang w:val="fr-FR"/>
        </w:rPr>
        <w:t>(</w:t>
      </w:r>
      <w:r w:rsidRPr="00CD33B8">
        <w:rPr>
          <w:lang w:val="fr-FR"/>
        </w:rPr>
        <w:t>indicateurs d</w:t>
      </w:r>
      <w:r w:rsidR="007A129D">
        <w:rPr>
          <w:lang w:val="fr-FR"/>
        </w:rPr>
        <w:t>’</w:t>
      </w:r>
      <w:r w:rsidRPr="00CD33B8">
        <w:rPr>
          <w:lang w:val="fr-FR"/>
        </w:rPr>
        <w:t xml:space="preserve">exécution, niveaux de référence et </w:t>
      </w:r>
      <w:r w:rsidR="00D96338">
        <w:rPr>
          <w:lang w:val="fr-FR"/>
        </w:rPr>
        <w:t>objectifs)</w:t>
      </w:r>
      <w:r w:rsidRPr="00CD33B8">
        <w:rPr>
          <w:lang w:val="fr-FR"/>
        </w:rPr>
        <w:t xml:space="preserve"> par rapport auxquels les activités visant à obtenir les résultats escomptés, </w:t>
      </w:r>
      <w:r w:rsidR="007A129D">
        <w:rPr>
          <w:lang w:val="fr-FR"/>
        </w:rPr>
        <w:t>y compris</w:t>
      </w:r>
      <w:r w:rsidRPr="00CD33B8">
        <w:rPr>
          <w:lang w:val="fr-FR"/>
        </w:rPr>
        <w:t xml:space="preserve"> les activités d</w:t>
      </w:r>
      <w:r w:rsidR="007A129D">
        <w:rPr>
          <w:lang w:val="fr-FR"/>
        </w:rPr>
        <w:t>’</w:t>
      </w:r>
      <w:r w:rsidRPr="00CD33B8">
        <w:rPr>
          <w:lang w:val="fr-FR"/>
        </w:rPr>
        <w:t>ass</w:t>
      </w:r>
      <w:r w:rsidR="00D96338">
        <w:rPr>
          <w:lang w:val="fr-FR"/>
        </w:rPr>
        <w:t>istance technique de l</w:t>
      </w:r>
      <w:r w:rsidR="007A129D">
        <w:rPr>
          <w:lang w:val="fr-FR"/>
        </w:rPr>
        <w:t>’</w:t>
      </w:r>
      <w:r w:rsidR="00D96338">
        <w:rPr>
          <w:lang w:val="fr-FR"/>
        </w:rPr>
        <w:t>OMPI, s</w:t>
      </w:r>
      <w:r w:rsidRPr="00CD33B8">
        <w:rPr>
          <w:lang w:val="fr-FR"/>
        </w:rPr>
        <w:t>ont évaluées pour chaque exercice bienn</w:t>
      </w:r>
      <w:r w:rsidR="007559F4" w:rsidRPr="00CD33B8">
        <w:rPr>
          <w:lang w:val="fr-FR"/>
        </w:rPr>
        <w:t>al</w:t>
      </w:r>
      <w:r w:rsidR="007559F4">
        <w:rPr>
          <w:lang w:val="fr-FR"/>
        </w:rPr>
        <w:t xml:space="preserve">.  </w:t>
      </w:r>
      <w:r w:rsidR="007559F4" w:rsidRPr="00CD33B8">
        <w:rPr>
          <w:lang w:val="fr-FR"/>
        </w:rPr>
        <w:t>Le</w:t>
      </w:r>
      <w:r w:rsidRPr="00CD33B8">
        <w:rPr>
          <w:lang w:val="fr-FR"/>
        </w:rPr>
        <w:t xml:space="preserve"> programme et budget de l</w:t>
      </w:r>
      <w:r w:rsidR="007A129D">
        <w:rPr>
          <w:lang w:val="fr-FR"/>
        </w:rPr>
        <w:t>’</w:t>
      </w:r>
      <w:r w:rsidRPr="00CD33B8">
        <w:rPr>
          <w:lang w:val="fr-FR"/>
        </w:rPr>
        <w:t>OMPI présente également le cadre de gestion axée sur les résultats par objectif stratégique, par résultat escompté et pour chacun des 31</w:t>
      </w:r>
      <w:r w:rsidR="006A3DF0">
        <w:rPr>
          <w:lang w:val="fr-FR"/>
        </w:rPr>
        <w:t> </w:t>
      </w:r>
      <w:r w:rsidRPr="00CD33B8">
        <w:rPr>
          <w:lang w:val="fr-FR"/>
        </w:rPr>
        <w:t>programmes de l</w:t>
      </w:r>
      <w:r w:rsidR="007A129D">
        <w:rPr>
          <w:lang w:val="fr-FR"/>
        </w:rPr>
        <w:t>’</w:t>
      </w:r>
      <w:r w:rsidRPr="00CD33B8">
        <w:rPr>
          <w:lang w:val="fr-FR"/>
        </w:rPr>
        <w:t>OMPI.</w:t>
      </w:r>
    </w:p>
    <w:p w14:paraId="296650DF" w14:textId="6956ACCF" w:rsidR="007A129D" w:rsidRDefault="00BF659C" w:rsidP="00F508A0">
      <w:pPr>
        <w:pStyle w:val="ONUMFS"/>
        <w:rPr>
          <w:lang w:val="fr-FR"/>
        </w:rPr>
      </w:pPr>
      <w:r w:rsidRPr="007A129D">
        <w:rPr>
          <w:lang w:val="fr-FR"/>
        </w:rPr>
        <w:t>Le principal outil en matière de responsabilité pour</w:t>
      </w:r>
      <w:r w:rsidR="008057A0" w:rsidRPr="007A129D">
        <w:rPr>
          <w:lang w:val="fr-FR"/>
        </w:rPr>
        <w:t xml:space="preserve"> informer les</w:t>
      </w:r>
      <w:r w:rsidRPr="007A129D">
        <w:rPr>
          <w:lang w:val="fr-FR"/>
        </w:rPr>
        <w:t xml:space="preserve"> </w:t>
      </w:r>
      <w:r w:rsidR="008057A0" w:rsidRPr="007A129D">
        <w:rPr>
          <w:lang w:val="fr-FR"/>
        </w:rPr>
        <w:t xml:space="preserve">États membres </w:t>
      </w:r>
      <w:r w:rsidRPr="007A129D">
        <w:rPr>
          <w:lang w:val="fr-FR"/>
        </w:rPr>
        <w:t>sur les performances organisationnelles est le Rapport annuel sur la performance de l</w:t>
      </w:r>
      <w:r w:rsidR="007A129D">
        <w:rPr>
          <w:lang w:val="fr-FR"/>
        </w:rPr>
        <w:t>’</w:t>
      </w:r>
      <w:r w:rsidRPr="007A129D">
        <w:rPr>
          <w:lang w:val="fr-FR"/>
        </w:rPr>
        <w:t>OMPI, qui fait partie intégrante du cadre de gestion axée sur les résultats.  Le Rapport sur la performance de l</w:t>
      </w:r>
      <w:r w:rsidR="007A129D">
        <w:rPr>
          <w:lang w:val="fr-FR"/>
        </w:rPr>
        <w:t>’</w:t>
      </w:r>
      <w:r w:rsidRPr="007A129D">
        <w:rPr>
          <w:lang w:val="fr-FR"/>
        </w:rPr>
        <w:t>OMPI est rédigé conformément aux règles</w:t>
      </w:r>
      <w:r w:rsidR="006A3DF0" w:rsidRPr="007A129D">
        <w:rPr>
          <w:lang w:val="fr-FR"/>
        </w:rPr>
        <w:t> </w:t>
      </w:r>
      <w:r w:rsidRPr="007A129D">
        <w:rPr>
          <w:lang w:val="fr-FR"/>
        </w:rPr>
        <w:t xml:space="preserve">2.14 et </w:t>
      </w:r>
      <w:proofErr w:type="spellStart"/>
      <w:r w:rsidRPr="007A129D">
        <w:rPr>
          <w:lang w:val="fr-FR"/>
        </w:rPr>
        <w:t>2.14</w:t>
      </w:r>
      <w:r w:rsidRPr="007A129D">
        <w:rPr>
          <w:i/>
          <w:lang w:val="fr-FR"/>
        </w:rPr>
        <w:t>bis</w:t>
      </w:r>
      <w:proofErr w:type="spellEnd"/>
      <w:r w:rsidRPr="007A129D">
        <w:rPr>
          <w:lang w:val="fr-FR"/>
        </w:rPr>
        <w:t xml:space="preserve"> du Règlement financier et règlement d</w:t>
      </w:r>
      <w:r w:rsidR="007A129D">
        <w:rPr>
          <w:lang w:val="fr-FR"/>
        </w:rPr>
        <w:t>’</w:t>
      </w:r>
      <w:r w:rsidRPr="007A129D">
        <w:rPr>
          <w:lang w:val="fr-FR"/>
        </w:rPr>
        <w:t>exécution du Règlement financier de l</w:t>
      </w:r>
      <w:r w:rsidR="007A129D">
        <w:rPr>
          <w:lang w:val="fr-FR"/>
        </w:rPr>
        <w:t>’</w:t>
      </w:r>
      <w:r w:rsidRPr="007A129D">
        <w:rPr>
          <w:lang w:val="fr-FR"/>
        </w:rPr>
        <w:t>OMPI approuvé par les Assemblées en octobre</w:t>
      </w:r>
      <w:r w:rsidR="006A3DF0" w:rsidRPr="007A129D">
        <w:rPr>
          <w:lang w:val="fr-FR"/>
        </w:rPr>
        <w:t> </w:t>
      </w:r>
      <w:r w:rsidRPr="007A129D">
        <w:rPr>
          <w:lang w:val="fr-FR"/>
        </w:rPr>
        <w:t xml:space="preserve">2017. </w:t>
      </w:r>
      <w:r w:rsidR="006A3DF0" w:rsidRPr="007A129D">
        <w:rPr>
          <w:lang w:val="fr-FR"/>
        </w:rPr>
        <w:t xml:space="preserve"> </w:t>
      </w:r>
      <w:r w:rsidRPr="007A129D">
        <w:rPr>
          <w:lang w:val="fr-FR"/>
        </w:rPr>
        <w:t xml:space="preserve">Il fournit une évaluation complète et transparente des </w:t>
      </w:r>
      <w:r w:rsidR="008057A0" w:rsidRPr="007A129D">
        <w:rPr>
          <w:lang w:val="fr-FR"/>
        </w:rPr>
        <w:t xml:space="preserve">performances financières et de la mise en </w:t>
      </w:r>
      <w:r w:rsidR="006A3DF0" w:rsidRPr="007A129D">
        <w:rPr>
          <w:lang w:val="fr-FR"/>
        </w:rPr>
        <w:t>œ</w:t>
      </w:r>
      <w:r w:rsidR="008057A0" w:rsidRPr="007A129D">
        <w:rPr>
          <w:lang w:val="fr-FR"/>
        </w:rPr>
        <w:t xml:space="preserve">uvre </w:t>
      </w:r>
      <w:r w:rsidRPr="007A129D">
        <w:rPr>
          <w:lang w:val="fr-FR"/>
        </w:rPr>
        <w:t>des programmes pour chaque exercice bienn</w:t>
      </w:r>
      <w:r w:rsidR="007559F4" w:rsidRPr="007A129D">
        <w:rPr>
          <w:lang w:val="fr-FR"/>
        </w:rPr>
        <w:t>al</w:t>
      </w:r>
      <w:r w:rsidR="007559F4">
        <w:rPr>
          <w:lang w:val="fr-FR"/>
        </w:rPr>
        <w:t xml:space="preserve">.  </w:t>
      </w:r>
      <w:r w:rsidR="007559F4" w:rsidRPr="007A129D">
        <w:rPr>
          <w:lang w:val="fr-FR"/>
        </w:rPr>
        <w:t>L</w:t>
      </w:r>
      <w:r w:rsidR="007559F4">
        <w:rPr>
          <w:lang w:val="fr-FR"/>
        </w:rPr>
        <w:t>’</w:t>
      </w:r>
      <w:r w:rsidR="007559F4" w:rsidRPr="007A129D">
        <w:rPr>
          <w:lang w:val="fr-FR"/>
        </w:rPr>
        <w:t>é</w:t>
      </w:r>
      <w:r w:rsidRPr="007A129D">
        <w:rPr>
          <w:lang w:val="fr-FR"/>
        </w:rPr>
        <w:t>valuation des performa</w:t>
      </w:r>
      <w:r w:rsidR="004479FC" w:rsidRPr="007A129D">
        <w:rPr>
          <w:lang w:val="fr-FR"/>
        </w:rPr>
        <w:t>nces est fondée sur le cadre de</w:t>
      </w:r>
      <w:r w:rsidRPr="007A129D">
        <w:rPr>
          <w:lang w:val="fr-FR"/>
        </w:rPr>
        <w:t xml:space="preserve"> résultats approuvé par les États membres dans le</w:t>
      </w:r>
      <w:r w:rsidR="00517E31" w:rsidRPr="007A129D">
        <w:rPr>
          <w:lang w:val="fr-FR"/>
        </w:rPr>
        <w:t xml:space="preserve"> programme et budget</w:t>
      </w:r>
      <w:r w:rsidRPr="007A129D">
        <w:rPr>
          <w:lang w:val="fr-FR"/>
        </w:rPr>
        <w:t>.</w:t>
      </w:r>
    </w:p>
    <w:p w14:paraId="2A6F2495" w14:textId="689D81A0" w:rsidR="007A129D" w:rsidRDefault="00BF659C" w:rsidP="00F508A0">
      <w:pPr>
        <w:pStyle w:val="ONUMFS"/>
        <w:rPr>
          <w:lang w:val="fr-FR"/>
        </w:rPr>
      </w:pPr>
      <w:r w:rsidRPr="00CD33B8">
        <w:rPr>
          <w:lang w:val="fr-FR"/>
        </w:rPr>
        <w:t>L</w:t>
      </w:r>
      <w:r w:rsidR="007A129D">
        <w:rPr>
          <w:lang w:val="fr-FR"/>
        </w:rPr>
        <w:t>’</w:t>
      </w:r>
      <w:r w:rsidRPr="00CD33B8">
        <w:rPr>
          <w:lang w:val="fr-FR"/>
        </w:rPr>
        <w:t>évaluation des performances réalisée pour le Rapport sur la performance de l</w:t>
      </w:r>
      <w:r w:rsidR="007A129D">
        <w:rPr>
          <w:lang w:val="fr-FR"/>
        </w:rPr>
        <w:t>’</w:t>
      </w:r>
      <w:r w:rsidRPr="00CD33B8">
        <w:rPr>
          <w:lang w:val="fr-FR"/>
        </w:rPr>
        <w:t>OMPI est également un outil d</w:t>
      </w:r>
      <w:r w:rsidR="007A129D">
        <w:rPr>
          <w:lang w:val="fr-FR"/>
        </w:rPr>
        <w:t>’</w:t>
      </w:r>
      <w:r w:rsidRPr="00CD33B8">
        <w:rPr>
          <w:lang w:val="fr-FR"/>
        </w:rPr>
        <w:t xml:space="preserve">apprentissage important pour faire en sorte que les enseignements tirés des résultats précédents soient dûment intégrés dans la mise en </w:t>
      </w:r>
      <w:r w:rsidR="006A3DF0">
        <w:rPr>
          <w:lang w:val="fr-FR"/>
        </w:rPr>
        <w:t>œ</w:t>
      </w:r>
      <w:r w:rsidRPr="00CD33B8">
        <w:rPr>
          <w:lang w:val="fr-FR"/>
        </w:rPr>
        <w:t>uvre des activités futures de l</w:t>
      </w:r>
      <w:r w:rsidR="007A129D">
        <w:rPr>
          <w:lang w:val="fr-FR"/>
        </w:rPr>
        <w:t>’</w:t>
      </w:r>
      <w:r w:rsidRPr="00CD33B8">
        <w:rPr>
          <w:lang w:val="fr-FR"/>
        </w:rPr>
        <w:t xml:space="preserve">OMPI et dans </w:t>
      </w:r>
      <w:r w:rsidR="00D96338">
        <w:rPr>
          <w:lang w:val="fr-FR"/>
        </w:rPr>
        <w:t>l</w:t>
      </w:r>
      <w:r w:rsidR="007A129D">
        <w:rPr>
          <w:lang w:val="fr-FR"/>
        </w:rPr>
        <w:t>’</w:t>
      </w:r>
      <w:r w:rsidR="00D96338">
        <w:rPr>
          <w:lang w:val="fr-FR"/>
        </w:rPr>
        <w:t>élaboration</w:t>
      </w:r>
      <w:r w:rsidR="004479FC">
        <w:rPr>
          <w:lang w:val="fr-FR"/>
        </w:rPr>
        <w:t xml:space="preserve"> des futurs cadres de</w:t>
      </w:r>
      <w:r w:rsidRPr="00CD33B8">
        <w:rPr>
          <w:lang w:val="fr-FR"/>
        </w:rPr>
        <w:t xml:space="preserve"> résulta</w:t>
      </w:r>
      <w:r w:rsidR="007559F4" w:rsidRPr="00CD33B8">
        <w:rPr>
          <w:lang w:val="fr-FR"/>
        </w:rPr>
        <w:t>ts</w:t>
      </w:r>
      <w:r w:rsidR="007559F4">
        <w:rPr>
          <w:lang w:val="fr-FR"/>
        </w:rPr>
        <w:t xml:space="preserve">.  </w:t>
      </w:r>
      <w:r w:rsidR="007559F4" w:rsidRPr="00CD33B8">
        <w:rPr>
          <w:lang w:val="fr-FR"/>
        </w:rPr>
        <w:t>Da</w:t>
      </w:r>
      <w:r w:rsidRPr="00CD33B8">
        <w:rPr>
          <w:lang w:val="fr-FR"/>
        </w:rPr>
        <w:t>ns ce contexte, la cadre de gestion axée sur les résultats de l</w:t>
      </w:r>
      <w:r w:rsidR="007A129D">
        <w:rPr>
          <w:lang w:val="fr-FR"/>
        </w:rPr>
        <w:t>’</w:t>
      </w:r>
      <w:r w:rsidRPr="00CD33B8">
        <w:rPr>
          <w:lang w:val="fr-FR"/>
        </w:rPr>
        <w:t xml:space="preserve">OMPI a été </w:t>
      </w:r>
      <w:proofErr w:type="gramStart"/>
      <w:r w:rsidRPr="00CD33B8">
        <w:rPr>
          <w:lang w:val="fr-FR"/>
        </w:rPr>
        <w:t>amélioré</w:t>
      </w:r>
      <w:proofErr w:type="gramEnd"/>
      <w:r w:rsidRPr="00CD33B8">
        <w:rPr>
          <w:lang w:val="fr-FR"/>
        </w:rPr>
        <w:t xml:space="preserve"> en continu depuis l</w:t>
      </w:r>
      <w:r w:rsidR="007A129D">
        <w:rPr>
          <w:lang w:val="fr-FR"/>
        </w:rPr>
        <w:t>’</w:t>
      </w:r>
      <w:r w:rsidRPr="00CD33B8">
        <w:rPr>
          <w:lang w:val="fr-FR"/>
        </w:rPr>
        <w:t>exercice</w:t>
      </w:r>
      <w:r w:rsidR="006A3DF0">
        <w:rPr>
          <w:lang w:val="fr-FR"/>
        </w:rPr>
        <w:t> </w:t>
      </w:r>
      <w:r w:rsidRPr="00CD33B8">
        <w:rPr>
          <w:lang w:val="fr-FR"/>
        </w:rPr>
        <w:t>2012</w:t>
      </w:r>
      <w:r w:rsidR="00FF1E34">
        <w:rPr>
          <w:lang w:val="fr-FR"/>
        </w:rPr>
        <w:noBreakHyphen/>
      </w:r>
      <w:r w:rsidRPr="00CD33B8">
        <w:rPr>
          <w:lang w:val="fr-FR"/>
        </w:rPr>
        <w:t>2013, comme le montre le Rapport de validation du Rapport sur la performance de l</w:t>
      </w:r>
      <w:r w:rsidR="007A129D">
        <w:rPr>
          <w:lang w:val="fr-FR"/>
        </w:rPr>
        <w:t>’</w:t>
      </w:r>
      <w:r w:rsidRPr="00CD33B8">
        <w:rPr>
          <w:lang w:val="fr-FR"/>
        </w:rPr>
        <w:t>OMPI</w:t>
      </w:r>
      <w:r w:rsidR="006A3DF0">
        <w:rPr>
          <w:lang w:val="fr-FR"/>
        </w:rPr>
        <w:t> </w:t>
      </w:r>
      <w:r w:rsidRPr="00CD33B8">
        <w:rPr>
          <w:lang w:val="fr-FR"/>
        </w:rPr>
        <w:t>2016</w:t>
      </w:r>
      <w:r w:rsidR="00FF1E34">
        <w:rPr>
          <w:lang w:val="fr-FR"/>
        </w:rPr>
        <w:noBreakHyphen/>
      </w:r>
      <w:r w:rsidRPr="00CD33B8">
        <w:rPr>
          <w:lang w:val="fr-FR"/>
        </w:rPr>
        <w:t xml:space="preserve">2017 établi par la </w:t>
      </w:r>
      <w:hyperlink r:id="rId10" w:history="1">
        <w:r w:rsidRPr="00CD33B8">
          <w:rPr>
            <w:rStyle w:val="Hyperlink"/>
            <w:szCs w:val="22"/>
            <w:lang w:val="fr-FR"/>
          </w:rPr>
          <w:t>Division de la supervision interne (</w:t>
        </w:r>
        <w:proofErr w:type="spellStart"/>
        <w:r w:rsidRPr="00CD33B8">
          <w:rPr>
            <w:rStyle w:val="Hyperlink"/>
            <w:szCs w:val="22"/>
            <w:lang w:val="fr-FR"/>
          </w:rPr>
          <w:t>DSI</w:t>
        </w:r>
        <w:proofErr w:type="spellEnd"/>
        <w:r w:rsidRPr="00CD33B8">
          <w:rPr>
            <w:rStyle w:val="Hyperlink"/>
            <w:szCs w:val="22"/>
            <w:lang w:val="fr-FR"/>
          </w:rPr>
          <w:t>)</w:t>
        </w:r>
      </w:hyperlink>
      <w:r w:rsidR="00162476">
        <w:rPr>
          <w:lang w:val="fr-FR"/>
        </w:rPr>
        <w:t xml:space="preserve"> (</w:t>
      </w:r>
      <w:r w:rsidR="007A129D">
        <w:rPr>
          <w:lang w:val="fr-FR"/>
        </w:rPr>
        <w:t>d</w:t>
      </w:r>
      <w:r w:rsidR="007A129D" w:rsidRPr="00CD33B8">
        <w:rPr>
          <w:lang w:val="fr-FR"/>
        </w:rPr>
        <w:t>ocument</w:t>
      </w:r>
      <w:r w:rsidR="007A129D">
        <w:rPr>
          <w:lang w:val="fr-FR"/>
        </w:rPr>
        <w:t xml:space="preserve"> </w:t>
      </w:r>
      <w:r w:rsidR="007A129D" w:rsidRPr="00CD33B8">
        <w:rPr>
          <w:lang w:val="fr-FR"/>
        </w:rPr>
        <w:t>WO</w:t>
      </w:r>
      <w:r w:rsidRPr="00CD33B8">
        <w:rPr>
          <w:lang w:val="fr-FR"/>
        </w:rPr>
        <w:t>/PBC</w:t>
      </w:r>
      <w:r w:rsidR="00A259C4">
        <w:rPr>
          <w:lang w:val="fr-FR"/>
        </w:rPr>
        <w:t>/28</w:t>
      </w:r>
      <w:r w:rsidRPr="00CD33B8">
        <w:rPr>
          <w:lang w:val="fr-FR"/>
        </w:rPr>
        <w:t>/8).</w:t>
      </w:r>
    </w:p>
    <w:p w14:paraId="3AD31852" w14:textId="16C491E8" w:rsidR="007A129D" w:rsidRDefault="00BF659C" w:rsidP="00F508A0">
      <w:pPr>
        <w:pStyle w:val="ONUMFS"/>
        <w:rPr>
          <w:lang w:val="fr-FR"/>
        </w:rPr>
      </w:pPr>
      <w:r w:rsidRPr="00CD33B8">
        <w:rPr>
          <w:lang w:val="fr-FR"/>
        </w:rPr>
        <w:t>Afin de renforcer la validité de l</w:t>
      </w:r>
      <w:r w:rsidR="007A129D">
        <w:rPr>
          <w:lang w:val="fr-FR"/>
        </w:rPr>
        <w:t>’</w:t>
      </w:r>
      <w:r w:rsidRPr="00CD33B8">
        <w:rPr>
          <w:lang w:val="fr-FR"/>
        </w:rPr>
        <w:t>évaluation des performances dans le Rapport sur la performance de l</w:t>
      </w:r>
      <w:r w:rsidR="007A129D">
        <w:rPr>
          <w:lang w:val="fr-FR"/>
        </w:rPr>
        <w:t>’</w:t>
      </w:r>
      <w:r w:rsidRPr="00CD33B8">
        <w:rPr>
          <w:lang w:val="fr-FR"/>
        </w:rPr>
        <w:t>OMPI,</w:t>
      </w:r>
      <w:r w:rsidR="007A129D" w:rsidRPr="00CD33B8">
        <w:rPr>
          <w:lang w:val="fr-FR"/>
        </w:rPr>
        <w:t xml:space="preserve"> la</w:t>
      </w:r>
      <w:r w:rsidR="007A129D">
        <w:rPr>
          <w:lang w:val="fr-FR"/>
        </w:rPr>
        <w:t> </w:t>
      </w:r>
      <w:proofErr w:type="spellStart"/>
      <w:r w:rsidR="007A129D">
        <w:rPr>
          <w:lang w:val="fr-FR"/>
        </w:rPr>
        <w:t>DSI</w:t>
      </w:r>
      <w:proofErr w:type="spellEnd"/>
      <w:r w:rsidR="004479FC">
        <w:rPr>
          <w:lang w:val="fr-FR"/>
        </w:rPr>
        <w:t xml:space="preserve"> de l</w:t>
      </w:r>
      <w:r w:rsidR="007A129D">
        <w:rPr>
          <w:lang w:val="fr-FR"/>
        </w:rPr>
        <w:t>’</w:t>
      </w:r>
      <w:r w:rsidR="004479FC">
        <w:rPr>
          <w:lang w:val="fr-FR"/>
        </w:rPr>
        <w:t>OMPI vérifie</w:t>
      </w:r>
      <w:r w:rsidRPr="00CD33B8">
        <w:rPr>
          <w:lang w:val="fr-FR"/>
        </w:rPr>
        <w:t xml:space="preserve"> les données sur les performances tous les deux</w:t>
      </w:r>
      <w:r w:rsidR="001661CA">
        <w:rPr>
          <w:lang w:val="fr-FR"/>
        </w:rPr>
        <w:t> </w:t>
      </w:r>
      <w:r w:rsidRPr="00CD33B8">
        <w:rPr>
          <w:lang w:val="fr-FR"/>
        </w:rPr>
        <w:t>a</w:t>
      </w:r>
      <w:r w:rsidR="007559F4" w:rsidRPr="00CD33B8">
        <w:rPr>
          <w:lang w:val="fr-FR"/>
        </w:rPr>
        <w:t>ns</w:t>
      </w:r>
      <w:r w:rsidR="007559F4">
        <w:rPr>
          <w:lang w:val="fr-FR"/>
        </w:rPr>
        <w:t xml:space="preserve">.  </w:t>
      </w:r>
      <w:r w:rsidR="007559F4" w:rsidRPr="00CD33B8">
        <w:rPr>
          <w:lang w:val="fr-FR"/>
        </w:rPr>
        <w:t>Le</w:t>
      </w:r>
      <w:r w:rsidRPr="00CD33B8">
        <w:rPr>
          <w:lang w:val="fr-FR"/>
        </w:rPr>
        <w:t xml:space="preserve">s conclusions et les recommandations issues de la validation sont un outil précieux pour </w:t>
      </w:r>
      <w:r w:rsidR="004479FC">
        <w:rPr>
          <w:lang w:val="fr-FR"/>
        </w:rPr>
        <w:t>orienter</w:t>
      </w:r>
      <w:r w:rsidRPr="00CD33B8">
        <w:rPr>
          <w:lang w:val="fr-FR"/>
        </w:rPr>
        <w:t xml:space="preserve"> les cycles de planification </w:t>
      </w:r>
      <w:r w:rsidR="004479FC">
        <w:rPr>
          <w:lang w:val="fr-FR"/>
        </w:rPr>
        <w:t>suivants</w:t>
      </w:r>
      <w:r w:rsidRPr="00CD33B8">
        <w:rPr>
          <w:lang w:val="fr-FR"/>
        </w:rPr>
        <w:t xml:space="preserve">, notamment en ce </w:t>
      </w:r>
      <w:r w:rsidR="004479FC">
        <w:rPr>
          <w:lang w:val="fr-FR"/>
        </w:rPr>
        <w:t>qui concerne l</w:t>
      </w:r>
      <w:r w:rsidR="007A129D">
        <w:rPr>
          <w:lang w:val="fr-FR"/>
        </w:rPr>
        <w:t>’</w:t>
      </w:r>
      <w:r w:rsidR="004479FC">
        <w:rPr>
          <w:lang w:val="fr-FR"/>
        </w:rPr>
        <w:t>améliora</w:t>
      </w:r>
      <w:r w:rsidRPr="00CD33B8">
        <w:rPr>
          <w:lang w:val="fr-FR"/>
        </w:rPr>
        <w:t>tion des indicateurs d</w:t>
      </w:r>
      <w:r w:rsidR="007A129D">
        <w:rPr>
          <w:lang w:val="fr-FR"/>
        </w:rPr>
        <w:t>’</w:t>
      </w:r>
      <w:r w:rsidRPr="00CD33B8">
        <w:rPr>
          <w:lang w:val="fr-FR"/>
        </w:rPr>
        <w:t>exécution, des niveaux de référence et de la formulation des objectifs, le perfectionnement et la rationalisation du cadre de gestion des résultats, ainsi que l</w:t>
      </w:r>
      <w:r w:rsidR="007A129D">
        <w:rPr>
          <w:lang w:val="fr-FR"/>
        </w:rPr>
        <w:t>’</w:t>
      </w:r>
      <w:r w:rsidRPr="00CD33B8">
        <w:rPr>
          <w:lang w:val="fr-FR"/>
        </w:rPr>
        <w:t>amélioration des mécanismes de collecte de données pour faire en sorte que les données soient</w:t>
      </w:r>
      <w:r w:rsidR="007A129D">
        <w:rPr>
          <w:lang w:val="fr-FR"/>
        </w:rPr>
        <w:t> :</w:t>
      </w:r>
      <w:r w:rsidRPr="00CD33B8">
        <w:rPr>
          <w:lang w:val="fr-FR"/>
        </w:rPr>
        <w:t xml:space="preserve"> i)</w:t>
      </w:r>
      <w:r w:rsidR="001661CA">
        <w:rPr>
          <w:lang w:val="fr-FR"/>
        </w:rPr>
        <w:t> </w:t>
      </w:r>
      <w:r w:rsidRPr="00CD33B8">
        <w:rPr>
          <w:lang w:val="fr-FR"/>
        </w:rPr>
        <w:t xml:space="preserve">pertinentes et utiles; </w:t>
      </w:r>
      <w:r w:rsidR="006A3DF0">
        <w:rPr>
          <w:lang w:val="fr-FR"/>
        </w:rPr>
        <w:t xml:space="preserve"> </w:t>
      </w:r>
      <w:r w:rsidRPr="00CD33B8">
        <w:rPr>
          <w:lang w:val="fr-FR"/>
        </w:rPr>
        <w:t>ii)</w:t>
      </w:r>
      <w:r w:rsidR="001661CA">
        <w:rPr>
          <w:lang w:val="fr-FR"/>
        </w:rPr>
        <w:t> </w:t>
      </w:r>
      <w:r w:rsidRPr="00CD33B8">
        <w:rPr>
          <w:lang w:val="fr-FR"/>
        </w:rPr>
        <w:t xml:space="preserve">suffisantes et détaillées; </w:t>
      </w:r>
      <w:r w:rsidR="006A3DF0">
        <w:rPr>
          <w:lang w:val="fr-FR"/>
        </w:rPr>
        <w:t xml:space="preserve"> </w:t>
      </w:r>
      <w:r w:rsidRPr="00CD33B8">
        <w:rPr>
          <w:lang w:val="fr-FR"/>
        </w:rPr>
        <w:t>iii)</w:t>
      </w:r>
      <w:r w:rsidR="001661CA">
        <w:rPr>
          <w:lang w:val="fr-FR"/>
        </w:rPr>
        <w:t> </w:t>
      </w:r>
      <w:r w:rsidRPr="00CD33B8">
        <w:rPr>
          <w:lang w:val="fr-FR"/>
        </w:rPr>
        <w:t>collectées efficacement et facilement accessibles;</w:t>
      </w:r>
      <w:r w:rsidR="006A3DF0">
        <w:rPr>
          <w:lang w:val="fr-FR"/>
        </w:rPr>
        <w:t xml:space="preserve"> </w:t>
      </w:r>
      <w:r w:rsidRPr="00CD33B8">
        <w:rPr>
          <w:lang w:val="fr-FR"/>
        </w:rPr>
        <w:t xml:space="preserve"> iv)</w:t>
      </w:r>
      <w:r w:rsidR="001661CA">
        <w:rPr>
          <w:lang w:val="fr-FR"/>
        </w:rPr>
        <w:t> </w:t>
      </w:r>
      <w:r w:rsidRPr="00CD33B8">
        <w:rPr>
          <w:lang w:val="fr-FR"/>
        </w:rPr>
        <w:t>exactes et vérifiables;</w:t>
      </w:r>
      <w:r w:rsidR="006A3DF0">
        <w:rPr>
          <w:lang w:val="fr-FR"/>
        </w:rPr>
        <w:t xml:space="preserve"> </w:t>
      </w:r>
      <w:r w:rsidRPr="00CD33B8">
        <w:rPr>
          <w:lang w:val="fr-FR"/>
        </w:rPr>
        <w:t xml:space="preserve"> v)</w:t>
      </w:r>
      <w:r w:rsidR="001661CA">
        <w:rPr>
          <w:lang w:val="fr-FR"/>
        </w:rPr>
        <w:t> </w:t>
      </w:r>
      <w:r w:rsidRPr="00CD33B8">
        <w:rPr>
          <w:lang w:val="fr-FR"/>
        </w:rPr>
        <w:t xml:space="preserve">présentées </w:t>
      </w:r>
      <w:r w:rsidR="004479FC">
        <w:rPr>
          <w:lang w:val="fr-FR"/>
        </w:rPr>
        <w:t xml:space="preserve">en </w:t>
      </w:r>
      <w:r w:rsidR="002B49E5">
        <w:rPr>
          <w:lang w:val="fr-FR"/>
        </w:rPr>
        <w:t>temps voulu</w:t>
      </w:r>
      <w:r w:rsidRPr="00CD33B8">
        <w:rPr>
          <w:lang w:val="fr-FR"/>
        </w:rPr>
        <w:t xml:space="preserve">; </w:t>
      </w:r>
      <w:r w:rsidR="006A3DF0">
        <w:rPr>
          <w:lang w:val="fr-FR"/>
        </w:rPr>
        <w:t xml:space="preserve"> </w:t>
      </w:r>
      <w:r w:rsidRPr="00CD33B8">
        <w:rPr>
          <w:lang w:val="fr-FR"/>
        </w:rPr>
        <w:t>et vi)</w:t>
      </w:r>
      <w:r w:rsidR="001661CA">
        <w:rPr>
          <w:lang w:val="fr-FR"/>
        </w:rPr>
        <w:t> </w:t>
      </w:r>
      <w:r w:rsidRPr="00CD33B8">
        <w:rPr>
          <w:lang w:val="fr-FR"/>
        </w:rPr>
        <w:t>claires et transparentes.</w:t>
      </w:r>
    </w:p>
    <w:p w14:paraId="4B4D418E" w14:textId="6A234EE1" w:rsidR="00F508A0" w:rsidRPr="00CD33B8" w:rsidRDefault="00BF659C" w:rsidP="00F508A0">
      <w:pPr>
        <w:pStyle w:val="ONUMFS"/>
        <w:rPr>
          <w:lang w:val="fr-FR"/>
        </w:rPr>
      </w:pPr>
      <w:r w:rsidRPr="00CD33B8">
        <w:rPr>
          <w:lang w:val="fr-FR"/>
        </w:rPr>
        <w:t>En vue d</w:t>
      </w:r>
      <w:r w:rsidR="007A129D">
        <w:rPr>
          <w:lang w:val="fr-FR"/>
        </w:rPr>
        <w:t>’</w:t>
      </w:r>
      <w:r w:rsidRPr="00CD33B8">
        <w:rPr>
          <w:lang w:val="fr-FR"/>
        </w:rPr>
        <w:t>évaluer plus en profondeur l</w:t>
      </w:r>
      <w:r w:rsidR="007A129D">
        <w:rPr>
          <w:lang w:val="fr-FR"/>
        </w:rPr>
        <w:t>’</w:t>
      </w:r>
      <w:r w:rsidRPr="00CD33B8">
        <w:rPr>
          <w:lang w:val="fr-FR"/>
        </w:rPr>
        <w:t>efficacité, l</w:t>
      </w:r>
      <w:r w:rsidR="007A129D">
        <w:rPr>
          <w:lang w:val="fr-FR"/>
        </w:rPr>
        <w:t>’</w:t>
      </w:r>
      <w:r w:rsidRPr="00CD33B8">
        <w:rPr>
          <w:lang w:val="fr-FR"/>
        </w:rPr>
        <w:t>incidence et la durabilité des travaux de l</w:t>
      </w:r>
      <w:r w:rsidR="007A129D">
        <w:rPr>
          <w:lang w:val="fr-FR"/>
        </w:rPr>
        <w:t>’</w:t>
      </w:r>
      <w:r w:rsidRPr="00CD33B8">
        <w:rPr>
          <w:lang w:val="fr-FR"/>
        </w:rPr>
        <w:t>OMPI,</w:t>
      </w:r>
      <w:r w:rsidR="007A129D" w:rsidRPr="00CD33B8">
        <w:rPr>
          <w:lang w:val="fr-FR"/>
        </w:rPr>
        <w:t xml:space="preserve"> </w:t>
      </w:r>
      <w:r w:rsidR="007A129D">
        <w:rPr>
          <w:lang w:val="fr-FR"/>
        </w:rPr>
        <w:t>la </w:t>
      </w:r>
      <w:proofErr w:type="spellStart"/>
      <w:r w:rsidR="007A129D">
        <w:rPr>
          <w:lang w:val="fr-FR"/>
        </w:rPr>
        <w:t>DSI</w:t>
      </w:r>
      <w:proofErr w:type="spellEnd"/>
      <w:r w:rsidRPr="00CD33B8">
        <w:rPr>
          <w:lang w:val="fr-FR"/>
        </w:rPr>
        <w:t xml:space="preserve"> réalise cinq</w:t>
      </w:r>
      <w:r w:rsidR="001661CA">
        <w:rPr>
          <w:lang w:val="fr-FR"/>
        </w:rPr>
        <w:t> </w:t>
      </w:r>
      <w:r w:rsidRPr="00CD33B8">
        <w:rPr>
          <w:lang w:val="fr-FR"/>
        </w:rPr>
        <w:t>principaux types d</w:t>
      </w:r>
      <w:r w:rsidR="007A129D">
        <w:rPr>
          <w:lang w:val="fr-FR"/>
        </w:rPr>
        <w:t>’</w:t>
      </w:r>
      <w:r w:rsidRPr="00CD33B8">
        <w:rPr>
          <w:lang w:val="fr-FR"/>
        </w:rPr>
        <w:t>évaluations approfondies</w:t>
      </w:r>
      <w:r w:rsidR="007A129D">
        <w:rPr>
          <w:lang w:val="fr-FR"/>
        </w:rPr>
        <w:t> :</w:t>
      </w:r>
      <w:r w:rsidRPr="00CD33B8">
        <w:rPr>
          <w:lang w:val="fr-FR"/>
        </w:rPr>
        <w:t xml:space="preserve"> i)</w:t>
      </w:r>
      <w:r w:rsidR="001661CA">
        <w:rPr>
          <w:lang w:val="fr-FR"/>
        </w:rPr>
        <w:t> </w:t>
      </w:r>
      <w:r w:rsidRPr="00CD33B8">
        <w:rPr>
          <w:lang w:val="fr-FR"/>
        </w:rPr>
        <w:t xml:space="preserve">évaluations de programmes; </w:t>
      </w:r>
      <w:r w:rsidR="006A3DF0">
        <w:rPr>
          <w:lang w:val="fr-FR"/>
        </w:rPr>
        <w:t xml:space="preserve"> </w:t>
      </w:r>
      <w:r w:rsidRPr="00CD33B8">
        <w:rPr>
          <w:lang w:val="fr-FR"/>
        </w:rPr>
        <w:t>ii)</w:t>
      </w:r>
      <w:r w:rsidR="001661CA">
        <w:rPr>
          <w:lang w:val="fr-FR"/>
        </w:rPr>
        <w:t> </w:t>
      </w:r>
      <w:r w:rsidRPr="00CD33B8">
        <w:rPr>
          <w:lang w:val="fr-FR"/>
        </w:rPr>
        <w:t xml:space="preserve">évaluations stratégiques; </w:t>
      </w:r>
      <w:r w:rsidR="006A3DF0">
        <w:rPr>
          <w:lang w:val="fr-FR"/>
        </w:rPr>
        <w:t xml:space="preserve"> </w:t>
      </w:r>
      <w:r w:rsidRPr="00CD33B8">
        <w:rPr>
          <w:lang w:val="fr-FR"/>
        </w:rPr>
        <w:t>iii)</w:t>
      </w:r>
      <w:r w:rsidR="001661CA">
        <w:rPr>
          <w:lang w:val="fr-FR"/>
        </w:rPr>
        <w:t> </w:t>
      </w:r>
      <w:r w:rsidRPr="00CD33B8">
        <w:rPr>
          <w:lang w:val="fr-FR"/>
        </w:rPr>
        <w:t xml:space="preserve">évaluations thématiques; </w:t>
      </w:r>
      <w:r w:rsidR="006A3DF0">
        <w:rPr>
          <w:lang w:val="fr-FR"/>
        </w:rPr>
        <w:t xml:space="preserve"> </w:t>
      </w:r>
      <w:r w:rsidRPr="00CD33B8">
        <w:rPr>
          <w:lang w:val="fr-FR"/>
        </w:rPr>
        <w:t>iv)</w:t>
      </w:r>
      <w:r w:rsidR="001661CA">
        <w:rPr>
          <w:lang w:val="fr-FR"/>
        </w:rPr>
        <w:t> </w:t>
      </w:r>
      <w:r w:rsidRPr="00CD33B8">
        <w:rPr>
          <w:lang w:val="fr-FR"/>
        </w:rPr>
        <w:t xml:space="preserve">évaluations géographiques (au niveau national et </w:t>
      </w:r>
      <w:r w:rsidR="00794EF0">
        <w:rPr>
          <w:lang w:val="fr-FR"/>
        </w:rPr>
        <w:t xml:space="preserve">régional); </w:t>
      </w:r>
      <w:r w:rsidR="006A3DF0">
        <w:rPr>
          <w:lang w:val="fr-FR"/>
        </w:rPr>
        <w:t xml:space="preserve"> </w:t>
      </w:r>
      <w:r w:rsidR="00794EF0">
        <w:rPr>
          <w:lang w:val="fr-FR"/>
        </w:rPr>
        <w:t>et v)</w:t>
      </w:r>
      <w:r w:rsidR="001661CA">
        <w:rPr>
          <w:lang w:val="fr-FR"/>
        </w:rPr>
        <w:t> </w:t>
      </w:r>
      <w:r w:rsidR="00794EF0">
        <w:rPr>
          <w:lang w:val="fr-FR"/>
        </w:rPr>
        <w:t>évaluations de</w:t>
      </w:r>
      <w:r w:rsidRPr="00CD33B8">
        <w:rPr>
          <w:lang w:val="fr-FR"/>
        </w:rPr>
        <w:t xml:space="preserve"> projets et process</w:t>
      </w:r>
      <w:r w:rsidR="007559F4" w:rsidRPr="00CD33B8">
        <w:rPr>
          <w:lang w:val="fr-FR"/>
        </w:rPr>
        <w:t>us</w:t>
      </w:r>
      <w:r w:rsidR="007559F4">
        <w:rPr>
          <w:lang w:val="fr-FR"/>
        </w:rPr>
        <w:t xml:space="preserve">.  </w:t>
      </w:r>
      <w:r w:rsidR="007559F4" w:rsidRPr="00CD33B8">
        <w:rPr>
          <w:lang w:val="fr-FR"/>
        </w:rPr>
        <w:t>Le</w:t>
      </w:r>
      <w:r w:rsidRPr="00CD33B8">
        <w:rPr>
          <w:lang w:val="fr-FR"/>
        </w:rPr>
        <w:t>s recommandations et conclusions issues de ces évaluations sont ensuite dûment prises en considération dans les cycles de planification organisationnelle et dans la planification des projets, en vue d</w:t>
      </w:r>
      <w:r w:rsidR="007A129D">
        <w:rPr>
          <w:lang w:val="fr-FR"/>
        </w:rPr>
        <w:t>’</w:t>
      </w:r>
      <w:r w:rsidRPr="00CD33B8">
        <w:rPr>
          <w:lang w:val="fr-FR"/>
        </w:rPr>
        <w:t xml:space="preserve">améliorer </w:t>
      </w:r>
      <w:r w:rsidR="0082185F">
        <w:rPr>
          <w:lang w:val="fr-FR"/>
        </w:rPr>
        <w:t>sans cesse</w:t>
      </w:r>
      <w:r w:rsidRPr="00CD33B8">
        <w:rPr>
          <w:lang w:val="fr-FR"/>
        </w:rPr>
        <w:t xml:space="preserve"> l</w:t>
      </w:r>
      <w:r w:rsidR="007A129D">
        <w:rPr>
          <w:lang w:val="fr-FR"/>
        </w:rPr>
        <w:t>’</w:t>
      </w:r>
      <w:r w:rsidRPr="00CD33B8">
        <w:rPr>
          <w:lang w:val="fr-FR"/>
        </w:rPr>
        <w:t>assistance technique fournie par l</w:t>
      </w:r>
      <w:r w:rsidR="007A129D">
        <w:rPr>
          <w:lang w:val="fr-FR"/>
        </w:rPr>
        <w:t>’</w:t>
      </w:r>
      <w:r w:rsidRPr="00CD33B8">
        <w:rPr>
          <w:lang w:val="fr-FR"/>
        </w:rPr>
        <w:t>OMPI.</w:t>
      </w:r>
    </w:p>
    <w:p w14:paraId="1CB55AC5" w14:textId="6DEFDB5D" w:rsidR="007A129D" w:rsidRDefault="00BF659C" w:rsidP="00F508A0">
      <w:pPr>
        <w:pStyle w:val="ONUMFS"/>
        <w:rPr>
          <w:lang w:val="fr-FR"/>
        </w:rPr>
      </w:pPr>
      <w:r w:rsidRPr="00CD33B8">
        <w:rPr>
          <w:lang w:val="fr-FR"/>
        </w:rPr>
        <w:t xml:space="preserve">En plus des évaluations </w:t>
      </w:r>
      <w:r w:rsidR="00716992">
        <w:rPr>
          <w:lang w:val="fr-FR"/>
        </w:rPr>
        <w:t>réalisées</w:t>
      </w:r>
      <w:r w:rsidRPr="00CD33B8">
        <w:rPr>
          <w:lang w:val="fr-FR"/>
        </w:rPr>
        <w:t xml:space="preserve"> par</w:t>
      </w:r>
      <w:r w:rsidR="007A129D" w:rsidRPr="00CD33B8">
        <w:rPr>
          <w:lang w:val="fr-FR"/>
        </w:rPr>
        <w:t xml:space="preserve"> la</w:t>
      </w:r>
      <w:r w:rsidR="007A129D">
        <w:rPr>
          <w:lang w:val="fr-FR"/>
        </w:rPr>
        <w:t> </w:t>
      </w:r>
      <w:proofErr w:type="spellStart"/>
      <w:r w:rsidR="007A129D" w:rsidRPr="00CD33B8">
        <w:rPr>
          <w:lang w:val="fr-FR"/>
        </w:rPr>
        <w:t>DSI</w:t>
      </w:r>
      <w:proofErr w:type="spellEnd"/>
      <w:r w:rsidRPr="00CD33B8">
        <w:rPr>
          <w:lang w:val="fr-FR"/>
        </w:rPr>
        <w:t xml:space="preserve">, tous les projets </w:t>
      </w:r>
      <w:r w:rsidR="002B49E5">
        <w:rPr>
          <w:lang w:val="fr-FR"/>
        </w:rPr>
        <w:t>relatifs au</w:t>
      </w:r>
      <w:r w:rsidRPr="00CD33B8">
        <w:rPr>
          <w:lang w:val="fr-FR"/>
        </w:rPr>
        <w:t xml:space="preserve"> Plan d</w:t>
      </w:r>
      <w:r w:rsidR="007A129D">
        <w:rPr>
          <w:lang w:val="fr-FR"/>
        </w:rPr>
        <w:t>’</w:t>
      </w:r>
      <w:r w:rsidRPr="00CD33B8">
        <w:rPr>
          <w:lang w:val="fr-FR"/>
        </w:rPr>
        <w:t>action pour le développement sont évalués après leur achèvement par un spécialiste externe indépendant</w:t>
      </w:r>
      <w:r w:rsidR="00716992">
        <w:rPr>
          <w:lang w:val="fr-FR"/>
        </w:rPr>
        <w:t>,</w:t>
      </w:r>
      <w:r w:rsidRPr="00CD33B8">
        <w:rPr>
          <w:lang w:val="fr-FR"/>
        </w:rPr>
        <w:t xml:space="preserve"> sélectio</w:t>
      </w:r>
      <w:r w:rsidR="00716992">
        <w:rPr>
          <w:lang w:val="fr-FR"/>
        </w:rPr>
        <w:t>nné expressément pour chaque projet, en vue de</w:t>
      </w:r>
      <w:r w:rsidRPr="00CD33B8">
        <w:rPr>
          <w:lang w:val="fr-FR"/>
        </w:rPr>
        <w:t xml:space="preserve"> mesurer la réussite du projet, </w:t>
      </w:r>
      <w:r w:rsidR="00716992">
        <w:rPr>
          <w:lang w:val="fr-FR"/>
        </w:rPr>
        <w:t xml:space="preserve">de </w:t>
      </w:r>
      <w:r w:rsidRPr="00CD33B8">
        <w:rPr>
          <w:lang w:val="fr-FR"/>
        </w:rPr>
        <w:t xml:space="preserve">garantir la durabilité des résultats et </w:t>
      </w:r>
      <w:r w:rsidR="00716992">
        <w:rPr>
          <w:lang w:val="fr-FR"/>
        </w:rPr>
        <w:t xml:space="preserve">de </w:t>
      </w:r>
      <w:r w:rsidRPr="00CD33B8">
        <w:rPr>
          <w:lang w:val="fr-FR"/>
        </w:rPr>
        <w:t>faciliter leur intégration efficace dans les activités régulières de l</w:t>
      </w:r>
      <w:r w:rsidR="007A129D">
        <w:rPr>
          <w:lang w:val="fr-FR"/>
        </w:rPr>
        <w:t>’</w:t>
      </w:r>
      <w:r w:rsidRPr="00CD33B8">
        <w:rPr>
          <w:lang w:val="fr-FR"/>
        </w:rPr>
        <w:t>Organisation, le cas échéant.</w:t>
      </w:r>
    </w:p>
    <w:p w14:paraId="532C4599" w14:textId="57C659C6" w:rsidR="007A129D" w:rsidRDefault="00BF659C" w:rsidP="00F508A0">
      <w:pPr>
        <w:pStyle w:val="ONUMFS"/>
        <w:rPr>
          <w:lang w:val="fr-FR"/>
        </w:rPr>
      </w:pPr>
      <w:r w:rsidRPr="00CD33B8">
        <w:rPr>
          <w:lang w:val="fr-FR"/>
        </w:rPr>
        <w:t>Les paragraphes ci</w:t>
      </w:r>
      <w:r w:rsidR="00FF1E34">
        <w:rPr>
          <w:lang w:val="fr-FR"/>
        </w:rPr>
        <w:noBreakHyphen/>
      </w:r>
      <w:r w:rsidRPr="00CD33B8">
        <w:rPr>
          <w:lang w:val="fr-FR"/>
        </w:rPr>
        <w:t>après présentent des exemples concrets de l</w:t>
      </w:r>
      <w:r w:rsidR="007A129D">
        <w:rPr>
          <w:lang w:val="fr-FR"/>
        </w:rPr>
        <w:t>’</w:t>
      </w:r>
      <w:r w:rsidRPr="00CD33B8">
        <w:rPr>
          <w:lang w:val="fr-FR"/>
        </w:rPr>
        <w:t>évolution des outils, méthodes et cadres d</w:t>
      </w:r>
      <w:r w:rsidR="007A129D">
        <w:rPr>
          <w:lang w:val="fr-FR"/>
        </w:rPr>
        <w:t>’</w:t>
      </w:r>
      <w:r w:rsidRPr="00CD33B8">
        <w:rPr>
          <w:lang w:val="fr-FR"/>
        </w:rPr>
        <w:t>indicateurs utilisés pour évaluer l</w:t>
      </w:r>
      <w:r w:rsidR="007A129D">
        <w:rPr>
          <w:lang w:val="fr-FR"/>
        </w:rPr>
        <w:t>’</w:t>
      </w:r>
      <w:r w:rsidRPr="00CD33B8">
        <w:rPr>
          <w:lang w:val="fr-FR"/>
        </w:rPr>
        <w:t>incidence, l</w:t>
      </w:r>
      <w:r w:rsidR="007A129D">
        <w:rPr>
          <w:lang w:val="fr-FR"/>
        </w:rPr>
        <w:t>’</w:t>
      </w:r>
      <w:r w:rsidRPr="00CD33B8">
        <w:rPr>
          <w:lang w:val="fr-FR"/>
        </w:rPr>
        <w:t>efficacité et le bon fonctionnement des activités d</w:t>
      </w:r>
      <w:r w:rsidR="007A129D">
        <w:rPr>
          <w:lang w:val="fr-FR"/>
        </w:rPr>
        <w:t>’</w:t>
      </w:r>
      <w:r w:rsidRPr="00CD33B8">
        <w:rPr>
          <w:lang w:val="fr-FR"/>
        </w:rPr>
        <w:t xml:space="preserve">assistance technique liées i) aux stratégies et plans de développement nationaux en matière de propriété intellectuelle; </w:t>
      </w:r>
      <w:r w:rsidR="006A3DF0">
        <w:rPr>
          <w:lang w:val="fr-FR"/>
        </w:rPr>
        <w:t xml:space="preserve"> </w:t>
      </w:r>
      <w:r w:rsidRPr="00CD33B8">
        <w:rPr>
          <w:lang w:val="fr-FR"/>
        </w:rPr>
        <w:t>ii)</w:t>
      </w:r>
      <w:r w:rsidR="001661CA">
        <w:rPr>
          <w:lang w:val="fr-FR"/>
        </w:rPr>
        <w:t> </w:t>
      </w:r>
      <w:r w:rsidRPr="00CD33B8">
        <w:rPr>
          <w:lang w:val="fr-FR"/>
        </w:rPr>
        <w:t>aux Centres d</w:t>
      </w:r>
      <w:r w:rsidR="007A129D">
        <w:rPr>
          <w:lang w:val="fr-FR"/>
        </w:rPr>
        <w:t>’</w:t>
      </w:r>
      <w:r w:rsidRPr="00CD33B8">
        <w:rPr>
          <w:lang w:val="fr-FR"/>
        </w:rPr>
        <w:t>appui à la technologie et l</w:t>
      </w:r>
      <w:r w:rsidR="007A129D">
        <w:rPr>
          <w:lang w:val="fr-FR"/>
        </w:rPr>
        <w:t>’</w:t>
      </w:r>
      <w:r w:rsidRPr="00CD33B8">
        <w:rPr>
          <w:lang w:val="fr-FR"/>
        </w:rPr>
        <w:t xml:space="preserve">innovation (CATI); </w:t>
      </w:r>
      <w:r w:rsidR="006A3DF0">
        <w:rPr>
          <w:lang w:val="fr-FR"/>
        </w:rPr>
        <w:t xml:space="preserve"> </w:t>
      </w:r>
      <w:r w:rsidRPr="00CD33B8">
        <w:rPr>
          <w:lang w:val="fr-FR"/>
        </w:rPr>
        <w:t>et iii)</w:t>
      </w:r>
      <w:r w:rsidR="001661CA">
        <w:rPr>
          <w:lang w:val="fr-FR"/>
        </w:rPr>
        <w:t> </w:t>
      </w:r>
      <w:r w:rsidRPr="00CD33B8">
        <w:rPr>
          <w:lang w:val="fr-FR"/>
        </w:rPr>
        <w:t>au renforcement des capacités.</w:t>
      </w:r>
    </w:p>
    <w:p w14:paraId="302D096E" w14:textId="7467F4EE" w:rsidR="00F508A0" w:rsidRPr="008C46FE" w:rsidRDefault="00F508A0" w:rsidP="00F508A0">
      <w:pPr>
        <w:pStyle w:val="Heading1"/>
        <w:rPr>
          <w:caps w:val="0"/>
          <w:lang w:val="fr-FR"/>
        </w:rPr>
      </w:pPr>
      <w:r w:rsidRPr="008C46FE">
        <w:rPr>
          <w:caps w:val="0"/>
          <w:lang w:val="fr-FR"/>
        </w:rPr>
        <w:lastRenderedPageBreak/>
        <w:t>Stratégies et plans de développement nationaux en matière de propriété intellectuelle</w:t>
      </w:r>
    </w:p>
    <w:p w14:paraId="4ACF9208" w14:textId="77777777" w:rsidR="00F508A0" w:rsidRPr="00CD33B8" w:rsidRDefault="00F508A0" w:rsidP="00BF659C">
      <w:pPr>
        <w:rPr>
          <w:szCs w:val="22"/>
          <w:lang w:val="fr-FR"/>
        </w:rPr>
      </w:pPr>
    </w:p>
    <w:p w14:paraId="3D3FC595" w14:textId="0A80CC9B" w:rsidR="007A129D" w:rsidRDefault="00BF659C" w:rsidP="00F508A0">
      <w:pPr>
        <w:pStyle w:val="ONUMFS"/>
        <w:rPr>
          <w:lang w:val="fr-FR"/>
        </w:rPr>
      </w:pPr>
      <w:r w:rsidRPr="00CD33B8">
        <w:rPr>
          <w:lang w:val="fr-FR"/>
        </w:rPr>
        <w:t>Depuis l</w:t>
      </w:r>
      <w:r w:rsidR="007A129D">
        <w:rPr>
          <w:lang w:val="fr-FR"/>
        </w:rPr>
        <w:t>’</w:t>
      </w:r>
      <w:r w:rsidRPr="00CD33B8">
        <w:rPr>
          <w:lang w:val="fr-FR"/>
        </w:rPr>
        <w:t>exercice</w:t>
      </w:r>
      <w:r w:rsidR="006A3DF0">
        <w:rPr>
          <w:lang w:val="fr-FR"/>
        </w:rPr>
        <w:t> </w:t>
      </w:r>
      <w:r w:rsidRPr="00CD33B8">
        <w:rPr>
          <w:lang w:val="fr-FR"/>
        </w:rPr>
        <w:t>2010</w:t>
      </w:r>
      <w:r w:rsidR="00FF1E34">
        <w:rPr>
          <w:lang w:val="fr-FR"/>
        </w:rPr>
        <w:noBreakHyphen/>
      </w:r>
      <w:r w:rsidRPr="00CD33B8">
        <w:rPr>
          <w:lang w:val="fr-FR"/>
        </w:rPr>
        <w:t>2011, la formulation</w:t>
      </w:r>
      <w:r w:rsidRPr="00CD33B8" w:rsidDel="00B01C30">
        <w:rPr>
          <w:lang w:val="fr-FR"/>
        </w:rPr>
        <w:t xml:space="preserve"> </w:t>
      </w:r>
      <w:r w:rsidRPr="00CD33B8">
        <w:rPr>
          <w:lang w:val="fr-FR"/>
        </w:rPr>
        <w:t xml:space="preserve">de stratégies et </w:t>
      </w:r>
      <w:r w:rsidR="002349F5">
        <w:rPr>
          <w:lang w:val="fr-FR"/>
        </w:rPr>
        <w:t xml:space="preserve">de </w:t>
      </w:r>
      <w:r w:rsidRPr="00CD33B8">
        <w:rPr>
          <w:lang w:val="fr-FR"/>
        </w:rPr>
        <w:t>plans de développement nationaux en matière de propriété intellectuelle fait partie intégrante du travail de l</w:t>
      </w:r>
      <w:r w:rsidR="007A129D">
        <w:rPr>
          <w:lang w:val="fr-FR"/>
        </w:rPr>
        <w:t>’</w:t>
      </w:r>
      <w:r w:rsidRPr="00CD33B8">
        <w:rPr>
          <w:lang w:val="fr-FR"/>
        </w:rPr>
        <w:t>OMPI, et est facilitée par l</w:t>
      </w:r>
      <w:r w:rsidR="007A129D">
        <w:rPr>
          <w:lang w:val="fr-FR"/>
        </w:rPr>
        <w:t>’</w:t>
      </w:r>
      <w:r w:rsidRPr="00CD33B8">
        <w:rPr>
          <w:lang w:val="fr-FR"/>
        </w:rPr>
        <w:t>élaboration d</w:t>
      </w:r>
      <w:r w:rsidR="007A129D">
        <w:rPr>
          <w:lang w:val="fr-FR"/>
        </w:rPr>
        <w:t>’</w:t>
      </w:r>
      <w:r w:rsidRPr="00CD33B8">
        <w:rPr>
          <w:lang w:val="fr-FR"/>
        </w:rPr>
        <w:t>une méthode normalisée, mais souple, et d</w:t>
      </w:r>
      <w:r w:rsidR="007A129D">
        <w:rPr>
          <w:lang w:val="fr-FR"/>
        </w:rPr>
        <w:t>’</w:t>
      </w:r>
      <w:r w:rsidRPr="00CD33B8">
        <w:rPr>
          <w:lang w:val="fr-FR"/>
        </w:rPr>
        <w:t>un ensemble d</w:t>
      </w:r>
      <w:r w:rsidR="007A129D">
        <w:rPr>
          <w:lang w:val="fr-FR"/>
        </w:rPr>
        <w:t>’</w:t>
      </w:r>
      <w:r w:rsidRPr="00CD33B8">
        <w:rPr>
          <w:lang w:val="fr-FR"/>
        </w:rPr>
        <w:t>outils de comparaison pratiqu</w:t>
      </w:r>
      <w:r w:rsidR="007559F4" w:rsidRPr="00CD33B8">
        <w:rPr>
          <w:lang w:val="fr-FR"/>
        </w:rPr>
        <w:t>es</w:t>
      </w:r>
      <w:r w:rsidR="007559F4">
        <w:rPr>
          <w:lang w:val="fr-FR"/>
        </w:rPr>
        <w:t xml:space="preserve">.  </w:t>
      </w:r>
      <w:r w:rsidR="007559F4" w:rsidRPr="00CD33B8">
        <w:rPr>
          <w:lang w:val="fr-FR"/>
        </w:rPr>
        <w:t>Ce</w:t>
      </w:r>
      <w:r w:rsidRPr="00CD33B8">
        <w:rPr>
          <w:lang w:val="fr-FR"/>
        </w:rPr>
        <w:t>s outils visent à aider les fonctionnaires participant à l</w:t>
      </w:r>
      <w:r w:rsidR="007A129D">
        <w:rPr>
          <w:lang w:val="fr-FR"/>
        </w:rPr>
        <w:t>’</w:t>
      </w:r>
      <w:r w:rsidRPr="00CD33B8">
        <w:rPr>
          <w:lang w:val="fr-FR"/>
        </w:rPr>
        <w:t>élaboration de stratégies nationales en matière de propriété intellectuelle à évaluer l</w:t>
      </w:r>
      <w:r w:rsidR="007A129D">
        <w:rPr>
          <w:lang w:val="fr-FR"/>
        </w:rPr>
        <w:t>’</w:t>
      </w:r>
      <w:r w:rsidRPr="00CD33B8">
        <w:rPr>
          <w:lang w:val="fr-FR"/>
        </w:rPr>
        <w:t>état de leur système national, à connaître leurs besoins spécifiques dans ce domaine, et à fixer des objectifs stratégiques.</w:t>
      </w:r>
    </w:p>
    <w:p w14:paraId="6964E570" w14:textId="697282C3" w:rsidR="007A129D" w:rsidRDefault="00BF659C" w:rsidP="00F508A0">
      <w:pPr>
        <w:pStyle w:val="ONUMFS"/>
        <w:rPr>
          <w:lang w:val="fr-FR"/>
        </w:rPr>
      </w:pPr>
      <w:r w:rsidRPr="00CD33B8">
        <w:rPr>
          <w:lang w:val="fr-FR"/>
        </w:rPr>
        <w:t>Le cadre d</w:t>
      </w:r>
      <w:r w:rsidR="007A129D">
        <w:rPr>
          <w:lang w:val="fr-FR"/>
        </w:rPr>
        <w:t>’</w:t>
      </w:r>
      <w:r w:rsidRPr="00CD33B8">
        <w:rPr>
          <w:lang w:val="fr-FR"/>
        </w:rPr>
        <w:t>indicateurs d</w:t>
      </w:r>
      <w:r w:rsidR="007A129D">
        <w:rPr>
          <w:lang w:val="fr-FR"/>
        </w:rPr>
        <w:t>’</w:t>
      </w:r>
      <w:r w:rsidRPr="00CD33B8">
        <w:rPr>
          <w:lang w:val="fr-FR"/>
        </w:rPr>
        <w:t>exécution utilisé pour mesurer l</w:t>
      </w:r>
      <w:r w:rsidR="007A129D">
        <w:rPr>
          <w:lang w:val="fr-FR"/>
        </w:rPr>
        <w:t>’</w:t>
      </w:r>
      <w:r w:rsidRPr="00CD33B8">
        <w:rPr>
          <w:lang w:val="fr-FR"/>
        </w:rPr>
        <w:t>incidence de l</w:t>
      </w:r>
      <w:r w:rsidR="007A129D">
        <w:rPr>
          <w:lang w:val="fr-FR"/>
        </w:rPr>
        <w:t>’</w:t>
      </w:r>
      <w:r w:rsidRPr="00CD33B8">
        <w:rPr>
          <w:lang w:val="fr-FR"/>
        </w:rPr>
        <w:t>assistance technique apportée par l</w:t>
      </w:r>
      <w:r w:rsidR="007A129D">
        <w:rPr>
          <w:lang w:val="fr-FR"/>
        </w:rPr>
        <w:t>’</w:t>
      </w:r>
      <w:r w:rsidRPr="00CD33B8">
        <w:rPr>
          <w:lang w:val="fr-FR"/>
        </w:rPr>
        <w:t>OMPI dans ce domaine a évolué au cours de cinq</w:t>
      </w:r>
      <w:r w:rsidR="001661CA">
        <w:rPr>
          <w:lang w:val="fr-FR"/>
        </w:rPr>
        <w:t> </w:t>
      </w:r>
      <w:r w:rsidRPr="00CD33B8">
        <w:rPr>
          <w:lang w:val="fr-FR"/>
        </w:rPr>
        <w:t>exercices biennaux, grâce aux informations tirées des cycl</w:t>
      </w:r>
      <w:r w:rsidR="00574D1C">
        <w:rPr>
          <w:lang w:val="fr-FR"/>
        </w:rPr>
        <w:t>es d</w:t>
      </w:r>
      <w:r w:rsidR="007A129D">
        <w:rPr>
          <w:lang w:val="fr-FR"/>
        </w:rPr>
        <w:t>’</w:t>
      </w:r>
      <w:r w:rsidR="00574D1C">
        <w:rPr>
          <w:lang w:val="fr-FR"/>
        </w:rPr>
        <w:t xml:space="preserve">exécution précédents et </w:t>
      </w:r>
      <w:r w:rsidRPr="00CD33B8">
        <w:rPr>
          <w:lang w:val="fr-FR"/>
        </w:rPr>
        <w:t>à l</w:t>
      </w:r>
      <w:r w:rsidR="007A129D">
        <w:rPr>
          <w:lang w:val="fr-FR"/>
        </w:rPr>
        <w:t>’</w:t>
      </w:r>
      <w:r w:rsidRPr="00CD33B8">
        <w:rPr>
          <w:lang w:val="fr-FR"/>
        </w:rPr>
        <w:t xml:space="preserve">intégration des enseignements tirés, en vue de communiquer </w:t>
      </w:r>
      <w:r w:rsidR="00BF5FAA" w:rsidRPr="00CD33B8">
        <w:rPr>
          <w:lang w:val="fr-FR"/>
        </w:rPr>
        <w:t xml:space="preserve">de façon claire et mesurable </w:t>
      </w:r>
      <w:r w:rsidRPr="00CD33B8">
        <w:rPr>
          <w:lang w:val="fr-FR"/>
        </w:rPr>
        <w:t>sur l</w:t>
      </w:r>
      <w:r w:rsidR="007A129D">
        <w:rPr>
          <w:lang w:val="fr-FR"/>
        </w:rPr>
        <w:t>’</w:t>
      </w:r>
      <w:r w:rsidRPr="00CD33B8">
        <w:rPr>
          <w:lang w:val="fr-FR"/>
        </w:rPr>
        <w:t>incidence à plus long terme.</w:t>
      </w:r>
    </w:p>
    <w:p w14:paraId="2E41C1E2" w14:textId="04DB3AA1" w:rsidR="00BF659C" w:rsidRPr="00CD33B8" w:rsidRDefault="00BF659C" w:rsidP="00BF659C">
      <w:pPr>
        <w:rPr>
          <w:bCs/>
          <w:szCs w:val="22"/>
          <w:lang w:val="fr-FR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34"/>
        <w:gridCol w:w="4441"/>
        <w:gridCol w:w="3896"/>
      </w:tblGrid>
      <w:tr w:rsidR="00E45DD2" w:rsidRPr="00162476" w14:paraId="7E5F6B6B" w14:textId="77777777" w:rsidTr="008C46FE">
        <w:trPr>
          <w:cantSplit/>
          <w:tblHeader/>
        </w:trPr>
        <w:tc>
          <w:tcPr>
            <w:tcW w:w="1234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2BB7BCF7" w14:textId="77777777" w:rsidR="00E45DD2" w:rsidRPr="00162476" w:rsidRDefault="00E45DD2" w:rsidP="008C46FE">
            <w:pPr>
              <w:jc w:val="center"/>
              <w:rPr>
                <w:i/>
                <w:sz w:val="20"/>
                <w:lang w:val="fr-FR"/>
              </w:rPr>
            </w:pPr>
            <w:r w:rsidRPr="00162476">
              <w:rPr>
                <w:i/>
                <w:color w:val="FFFFFF" w:themeColor="background1"/>
                <w:sz w:val="20"/>
                <w:lang w:val="fr-F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Exercice biennal</w:t>
            </w:r>
          </w:p>
        </w:tc>
        <w:tc>
          <w:tcPr>
            <w:tcW w:w="4441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42D91C9B" w14:textId="47211C39" w:rsidR="00E45DD2" w:rsidRPr="00162476" w:rsidRDefault="00E45DD2" w:rsidP="008C46FE">
            <w:pPr>
              <w:jc w:val="center"/>
              <w:rPr>
                <w:i/>
                <w:sz w:val="20"/>
                <w:lang w:val="fr-FR"/>
              </w:rPr>
            </w:pPr>
            <w:r w:rsidRPr="00162476">
              <w:rPr>
                <w:i/>
                <w:color w:val="FFFFFF" w:themeColor="background1"/>
                <w:sz w:val="20"/>
                <w:lang w:val="fr-F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Indicateurs</w:t>
            </w:r>
            <w:r w:rsidR="002349F5" w:rsidRPr="00162476">
              <w:rPr>
                <w:i/>
                <w:color w:val="FFFFFF" w:themeColor="background1"/>
                <w:sz w:val="20"/>
                <w:lang w:val="fr-F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62476">
              <w:rPr>
                <w:i/>
                <w:color w:val="FFFFFF" w:themeColor="background1"/>
                <w:sz w:val="20"/>
                <w:lang w:val="fr-F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</w:t>
            </w:r>
            <w:r w:rsidR="007A129D" w:rsidRPr="00162476">
              <w:rPr>
                <w:i/>
                <w:color w:val="FFFFFF" w:themeColor="background1"/>
                <w:sz w:val="20"/>
                <w:lang w:val="fr-F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’</w:t>
            </w:r>
            <w:r w:rsidRPr="00162476">
              <w:rPr>
                <w:i/>
                <w:color w:val="FFFFFF" w:themeColor="background1"/>
                <w:sz w:val="20"/>
                <w:lang w:val="fr-F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exécution</w:t>
            </w:r>
          </w:p>
        </w:tc>
        <w:tc>
          <w:tcPr>
            <w:tcW w:w="3896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1E2B4E16" w14:textId="77777777" w:rsidR="00E45DD2" w:rsidRPr="00162476" w:rsidRDefault="00E45DD2" w:rsidP="008C46FE">
            <w:pPr>
              <w:jc w:val="center"/>
              <w:rPr>
                <w:i/>
                <w:sz w:val="20"/>
                <w:lang w:val="fr-FR"/>
              </w:rPr>
            </w:pPr>
            <w:r w:rsidRPr="00162476">
              <w:rPr>
                <w:i/>
                <w:color w:val="FFFFFF" w:themeColor="background1"/>
                <w:sz w:val="20"/>
                <w:lang w:val="fr-F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Commentaires</w:t>
            </w:r>
          </w:p>
        </w:tc>
      </w:tr>
      <w:tr w:rsidR="008C46FE" w:rsidRPr="00162476" w14:paraId="286A821C" w14:textId="77777777" w:rsidTr="008C46FE">
        <w:trPr>
          <w:cantSplit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E860" w14:textId="54E0442D" w:rsidR="00E45DD2" w:rsidRPr="00162476" w:rsidRDefault="00722380" w:rsidP="008C46FE">
            <w:pPr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2010</w:t>
            </w:r>
            <w:r w:rsidR="00FF1E34" w:rsidRPr="00162476">
              <w:rPr>
                <w:sz w:val="20"/>
                <w:lang w:val="fr-FR"/>
              </w:rPr>
              <w:noBreakHyphen/>
            </w:r>
            <w:r w:rsidRPr="00162476">
              <w:rPr>
                <w:sz w:val="20"/>
                <w:lang w:val="fr-FR"/>
              </w:rPr>
              <w:t>20</w:t>
            </w:r>
            <w:r w:rsidR="00E45DD2" w:rsidRPr="00162476">
              <w:rPr>
                <w:sz w:val="20"/>
                <w:lang w:val="fr-FR"/>
              </w:rPr>
              <w:t>11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7222" w14:textId="0DFD884B" w:rsidR="00F508A0" w:rsidRPr="00162476" w:rsidRDefault="00F508A0" w:rsidP="008C46FE">
            <w:pPr>
              <w:numPr>
                <w:ilvl w:val="0"/>
                <w:numId w:val="21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Jusqu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à cinq pays ont lancé le processus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élaboration des politiques/stratégies en matière de propriété intellectuelle, quatre pays ont adopté des politiques/stratégies dans ce domaine et trois pays mettent en œuvre des plans nationaux de propriété intellectuelle (Afrique)</w:t>
            </w:r>
          </w:p>
          <w:p w14:paraId="2112523A" w14:textId="77777777" w:rsidR="00F508A0" w:rsidRPr="00162476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56E946AC" w14:textId="4E01B30C" w:rsidR="00F508A0" w:rsidRPr="00162476" w:rsidRDefault="00F508A0" w:rsidP="008C46FE">
            <w:pPr>
              <w:numPr>
                <w:ilvl w:val="0"/>
                <w:numId w:val="21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Trois stratégies nationales en matière de propriété intellectuelle formulées et adoptées sur la base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une coordination et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une consultation multisectorielles (pays arabes)</w:t>
            </w:r>
          </w:p>
          <w:p w14:paraId="4E4918E3" w14:textId="77777777" w:rsidR="00F508A0" w:rsidRPr="00162476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654CA596" w14:textId="77777777" w:rsidR="00F508A0" w:rsidRPr="00162476" w:rsidRDefault="00E45DD2" w:rsidP="008C46FE">
            <w:pPr>
              <w:numPr>
                <w:ilvl w:val="0"/>
                <w:numId w:val="21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Neuf nouveaux pays ont formulé ou adopté des politiques, stratégies ou plans nationaux en matière de propriété intellectuelle (Asie et Pacifique)</w:t>
            </w:r>
          </w:p>
          <w:p w14:paraId="487965A0" w14:textId="77777777" w:rsidR="00F508A0" w:rsidRPr="00162476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743C87CF" w14:textId="690F5931" w:rsidR="00F508A0" w:rsidRPr="00162476" w:rsidRDefault="00E45DD2" w:rsidP="008C46FE">
            <w:pPr>
              <w:numPr>
                <w:ilvl w:val="0"/>
                <w:numId w:val="21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Jusqu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à trois</w:t>
            </w:r>
            <w:r w:rsidR="001661CA" w:rsidRPr="00162476">
              <w:rPr>
                <w:sz w:val="20"/>
                <w:lang w:val="fr-FR"/>
              </w:rPr>
              <w:t> </w:t>
            </w:r>
            <w:r w:rsidRPr="00162476">
              <w:rPr>
                <w:sz w:val="20"/>
                <w:lang w:val="fr-FR"/>
              </w:rPr>
              <w:t>nouveaux pays ont formulé ou adopté des politiques, stratégies ou plans nationaux en matière de propriété intellectuelle (Amérique latine et Caraïbes)</w:t>
            </w:r>
          </w:p>
          <w:p w14:paraId="5133047D" w14:textId="77777777" w:rsidR="00F508A0" w:rsidRPr="00162476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2D4005A7" w14:textId="5B360432" w:rsidR="00E45DD2" w:rsidRPr="00162476" w:rsidRDefault="00F508A0" w:rsidP="008C46FE">
            <w:pPr>
              <w:numPr>
                <w:ilvl w:val="0"/>
                <w:numId w:val="21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Politiques/stratégies en matière de propriété intellectuelle élaborées jusque dans cinq </w:t>
            </w:r>
            <w:r w:rsidR="00BF5FAA" w:rsidRPr="00162476">
              <w:rPr>
                <w:sz w:val="20"/>
                <w:lang w:val="fr-FR"/>
              </w:rPr>
              <w:t>pays les moins avancés (PMA)</w:t>
            </w:r>
            <w:r w:rsidRPr="00162476">
              <w:rPr>
                <w:sz w:val="20"/>
                <w:lang w:val="fr-FR"/>
              </w:rPr>
              <w:t xml:space="preserve"> au cours de l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exercice biennal (PMA)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B422" w14:textId="24181AB3" w:rsidR="00F508A0" w:rsidRPr="00162476" w:rsidRDefault="00E45DD2" w:rsidP="008C46FE">
            <w:pPr>
              <w:numPr>
                <w:ilvl w:val="0"/>
                <w:numId w:val="21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Manque de cohérence dans la formulation des résultats escomptés et des indicateurs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exécution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un bureau à l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autre, ce qui entraîne un manque de comparabilité e</w:t>
            </w:r>
            <w:r w:rsidR="00BF5FAA" w:rsidRPr="00162476">
              <w:rPr>
                <w:sz w:val="20"/>
                <w:lang w:val="fr-FR"/>
              </w:rPr>
              <w:t>ntre les régions</w:t>
            </w:r>
          </w:p>
          <w:p w14:paraId="1D7C3560" w14:textId="77777777" w:rsidR="00F508A0" w:rsidRPr="00162476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4118601E" w14:textId="4F03458E" w:rsidR="00F508A0" w:rsidRPr="00162476" w:rsidRDefault="00E45DD2" w:rsidP="008C46FE">
            <w:pPr>
              <w:numPr>
                <w:ilvl w:val="0"/>
                <w:numId w:val="21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Les indicateurs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exécution ne couvrent pas l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ensemble du processus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élaboration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 xml:space="preserve">une stratégie nationale en matière de propriété intellectuelle, </w:t>
            </w:r>
            <w:r w:rsidR="007A129D" w:rsidRPr="00162476">
              <w:rPr>
                <w:sz w:val="20"/>
                <w:lang w:val="fr-FR"/>
              </w:rPr>
              <w:t>à savoir</w:t>
            </w:r>
            <w:r w:rsidRPr="00162476">
              <w:rPr>
                <w:sz w:val="20"/>
                <w:lang w:val="fr-FR"/>
              </w:rPr>
              <w:t xml:space="preserve"> la formulation, l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 xml:space="preserve">adoption, la mise en </w:t>
            </w:r>
            <w:r w:rsidR="006A3DF0" w:rsidRPr="00162476">
              <w:rPr>
                <w:sz w:val="20"/>
                <w:lang w:val="fr-FR"/>
              </w:rPr>
              <w:t>œ</w:t>
            </w:r>
            <w:r w:rsidRPr="00162476">
              <w:rPr>
                <w:sz w:val="20"/>
                <w:lang w:val="fr-FR"/>
              </w:rPr>
              <w:t>uvre et les révisions subséquentes</w:t>
            </w:r>
          </w:p>
          <w:p w14:paraId="5F2C3A3C" w14:textId="77777777" w:rsidR="00F508A0" w:rsidRPr="00162476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76309192" w14:textId="774A017D" w:rsidR="007A129D" w:rsidRPr="00162476" w:rsidRDefault="00E45DD2" w:rsidP="008C46FE">
            <w:pPr>
              <w:numPr>
                <w:ilvl w:val="0"/>
                <w:numId w:val="21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Les indicateurs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exécution mesurent plusieurs éléments, ce qui crée un manque de clarté</w:t>
            </w:r>
          </w:p>
          <w:p w14:paraId="58F3E815" w14:textId="5EC2E74E" w:rsidR="00F508A0" w:rsidRPr="00162476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50F37F61" w14:textId="4E643DC8" w:rsidR="00E45DD2" w:rsidRPr="00162476" w:rsidRDefault="00E45DD2" w:rsidP="008C46FE">
            <w:pPr>
              <w:numPr>
                <w:ilvl w:val="0"/>
                <w:numId w:val="21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Les indicateurs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exécution sont axés sur les résultats,</w:t>
            </w:r>
            <w:r w:rsidR="00BF5FAA" w:rsidRPr="00162476">
              <w:rPr>
                <w:sz w:val="20"/>
                <w:lang w:val="fr-FR"/>
              </w:rPr>
              <w:t xml:space="preserve"> et leur capacité de mesurer l</w:t>
            </w:r>
            <w:r w:rsidR="007A129D" w:rsidRPr="00162476">
              <w:rPr>
                <w:sz w:val="20"/>
                <w:lang w:val="fr-FR"/>
              </w:rPr>
              <w:t>’</w:t>
            </w:r>
            <w:r w:rsidR="00BF5FAA" w:rsidRPr="00162476">
              <w:rPr>
                <w:sz w:val="20"/>
                <w:lang w:val="fr-FR"/>
              </w:rPr>
              <w:t>incidence</w:t>
            </w:r>
            <w:r w:rsidRPr="00162476">
              <w:rPr>
                <w:sz w:val="20"/>
                <w:lang w:val="fr-FR"/>
              </w:rPr>
              <w:t xml:space="preserve"> de l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assistance technique est limitée</w:t>
            </w:r>
          </w:p>
        </w:tc>
      </w:tr>
      <w:tr w:rsidR="008C46FE" w:rsidRPr="00162476" w14:paraId="5E3C625A" w14:textId="77777777" w:rsidTr="008C46FE">
        <w:trPr>
          <w:cantSplit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25CB" w14:textId="4C285DD1" w:rsidR="00E45DD2" w:rsidRPr="00162476" w:rsidRDefault="00722380" w:rsidP="008C46FE">
            <w:pPr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lastRenderedPageBreak/>
              <w:t>2012</w:t>
            </w:r>
            <w:r w:rsidR="00FF1E34" w:rsidRPr="00162476">
              <w:rPr>
                <w:sz w:val="20"/>
                <w:lang w:val="fr-FR"/>
              </w:rPr>
              <w:noBreakHyphen/>
            </w:r>
            <w:r w:rsidRPr="00162476">
              <w:rPr>
                <w:sz w:val="20"/>
                <w:lang w:val="fr-FR"/>
              </w:rPr>
              <w:t>20</w:t>
            </w:r>
            <w:r w:rsidR="00E45DD2" w:rsidRPr="00162476">
              <w:rPr>
                <w:sz w:val="20"/>
                <w:lang w:val="fr-FR"/>
              </w:rPr>
              <w:t>13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AA5F" w14:textId="77777777" w:rsidR="00F508A0" w:rsidRPr="00162476" w:rsidRDefault="00F508A0" w:rsidP="008C46FE">
            <w:pPr>
              <w:numPr>
                <w:ilvl w:val="0"/>
                <w:numId w:val="22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Nombre de pays ayant élaboré leurs politiques, leurs stratégies ou leurs plans en matière de propriété intellectuelle ou ayant entrepris leur mise en œuvre chaque année (Afrique)</w:t>
            </w:r>
          </w:p>
          <w:p w14:paraId="1CB0DF3F" w14:textId="77777777" w:rsidR="00F508A0" w:rsidRPr="00162476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48713A78" w14:textId="4D2120F5" w:rsidR="00F508A0" w:rsidRPr="00162476" w:rsidRDefault="00F508A0" w:rsidP="008C46FE">
            <w:pPr>
              <w:numPr>
                <w:ilvl w:val="0"/>
                <w:numId w:val="22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Nombre de pays dotés de mécanismes appropriés pour l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élaboration et la mise en œuvre de stratégies en matière de propriété intellectuelle (pays arabes)</w:t>
            </w:r>
          </w:p>
          <w:p w14:paraId="3ADCEB7B" w14:textId="77777777" w:rsidR="00F508A0" w:rsidRPr="00162476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48429803" w14:textId="77777777" w:rsidR="00F508A0" w:rsidRPr="00162476" w:rsidRDefault="00F508A0" w:rsidP="008C46FE">
            <w:pPr>
              <w:numPr>
                <w:ilvl w:val="0"/>
                <w:numId w:val="22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Nombre de pays ayant des initiatives présentant des liens avec les plans nationaux en matière de propriété intellectuelle (pays arabes)</w:t>
            </w:r>
          </w:p>
          <w:p w14:paraId="3DCE8C1F" w14:textId="77777777" w:rsidR="00F508A0" w:rsidRPr="00162476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37E263B8" w14:textId="3EB73788" w:rsidR="00F508A0" w:rsidRPr="00162476" w:rsidRDefault="00F508A0" w:rsidP="008C46FE">
            <w:pPr>
              <w:numPr>
                <w:ilvl w:val="0"/>
                <w:numId w:val="22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Nombre de pays ayant introduit des politiques et des stratégies en matière de propriété intellectuelle dans leurs procédures nationales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approbation (Asie et Pacifique)</w:t>
            </w:r>
          </w:p>
          <w:p w14:paraId="03185740" w14:textId="77777777" w:rsidR="00F508A0" w:rsidRPr="00162476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57D7D7B7" w14:textId="77777777" w:rsidR="00F508A0" w:rsidRPr="00162476" w:rsidRDefault="00F508A0" w:rsidP="008C46FE">
            <w:pPr>
              <w:numPr>
                <w:ilvl w:val="0"/>
                <w:numId w:val="22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Nombre de pays ayant adopté des politiques et des stratégies en matière de propriété intellectuelle (Asie et Pacifique)</w:t>
            </w:r>
          </w:p>
          <w:p w14:paraId="0E7B5A6F" w14:textId="77777777" w:rsidR="00F508A0" w:rsidRPr="00162476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2D48FB5D" w14:textId="70DB4F7C" w:rsidR="00F508A0" w:rsidRPr="00162476" w:rsidRDefault="00F508A0" w:rsidP="008C46FE">
            <w:pPr>
              <w:numPr>
                <w:ilvl w:val="0"/>
                <w:numId w:val="22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Nombre de pays dans lesquels ont été menés des activités ou des projets qui contribuent à l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élaboration de stratégies et politiques en matière de propriété intellectuelle (Amérique latine et Caraïbes)</w:t>
            </w:r>
          </w:p>
          <w:p w14:paraId="63DFEA9C" w14:textId="77777777" w:rsidR="00F508A0" w:rsidRPr="00162476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20385BFC" w14:textId="77777777" w:rsidR="00F508A0" w:rsidRPr="00162476" w:rsidRDefault="00F508A0" w:rsidP="008C46FE">
            <w:pPr>
              <w:numPr>
                <w:ilvl w:val="0"/>
                <w:numId w:val="22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Nombre de pays dans lesquels ont été menés des activités ou projets qui contribuent à la mise en œuvre de stratégies et politiques en matière de propriété intellectuelle (Amérique latine et Caraïbes)</w:t>
            </w:r>
          </w:p>
          <w:p w14:paraId="2D2D88F2" w14:textId="77777777" w:rsidR="00F508A0" w:rsidRPr="00162476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53B95752" w14:textId="32122ECA" w:rsidR="00E45DD2" w:rsidRPr="00162476" w:rsidRDefault="00F508A0" w:rsidP="008C46FE">
            <w:pPr>
              <w:numPr>
                <w:ilvl w:val="0"/>
                <w:numId w:val="22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Nombre de PMA ayant introduit des considérations de propriété intellectuelle propres</w:t>
            </w:r>
            <w:r w:rsidR="007A129D" w:rsidRPr="00162476">
              <w:rPr>
                <w:sz w:val="20"/>
                <w:lang w:val="fr-FR"/>
              </w:rPr>
              <w:t xml:space="preserve"> aux PMA</w:t>
            </w:r>
            <w:r w:rsidRPr="00162476">
              <w:rPr>
                <w:sz w:val="20"/>
                <w:lang w:val="fr-FR"/>
              </w:rPr>
              <w:t xml:space="preserve"> dans leurs stratégies ou politiques nationales en matière de propriété intellectuelle (PMA)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C1A1" w14:textId="79095ADE" w:rsidR="00F508A0" w:rsidRPr="00162476" w:rsidRDefault="00E45DD2" w:rsidP="008C46FE">
            <w:pPr>
              <w:numPr>
                <w:ilvl w:val="0"/>
                <w:numId w:val="22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Les résultats escomptés sont harmonisés à l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échelle de l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organisation</w:t>
            </w:r>
          </w:p>
          <w:p w14:paraId="29ABF2FD" w14:textId="77777777" w:rsidR="00F508A0" w:rsidRPr="00162476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4495A1E9" w14:textId="43AB0F81" w:rsidR="00F508A0" w:rsidRPr="00162476" w:rsidRDefault="00E45DD2" w:rsidP="008C46FE">
            <w:pPr>
              <w:numPr>
                <w:ilvl w:val="0"/>
                <w:numId w:val="22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Manque de cohérence dans la formulation des indicateurs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exécution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un bureau à l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autre, ce qui entraîne un manque de comparabilité entre les régions</w:t>
            </w:r>
          </w:p>
          <w:p w14:paraId="3B7144DB" w14:textId="77777777" w:rsidR="00F508A0" w:rsidRPr="00162476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036B5DE7" w14:textId="587FB242" w:rsidR="00F508A0" w:rsidRPr="00162476" w:rsidRDefault="00E45DD2" w:rsidP="008C46FE">
            <w:pPr>
              <w:numPr>
                <w:ilvl w:val="0"/>
                <w:numId w:val="22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Les indicateurs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exécution ne couvrent pas l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ensemble du processus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élaboration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 xml:space="preserve">une stratégie nationale en matière de propriété intellectuelle, </w:t>
            </w:r>
            <w:r w:rsidR="007A129D" w:rsidRPr="00162476">
              <w:rPr>
                <w:sz w:val="20"/>
                <w:lang w:val="fr-FR"/>
              </w:rPr>
              <w:t>à savoir</w:t>
            </w:r>
            <w:r w:rsidRPr="00162476">
              <w:rPr>
                <w:sz w:val="20"/>
                <w:lang w:val="fr-FR"/>
              </w:rPr>
              <w:t xml:space="preserve"> la formulation, l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 xml:space="preserve">adoption, la mise en </w:t>
            </w:r>
            <w:r w:rsidR="006A3DF0" w:rsidRPr="00162476">
              <w:rPr>
                <w:sz w:val="20"/>
                <w:lang w:val="fr-FR"/>
              </w:rPr>
              <w:t>œ</w:t>
            </w:r>
            <w:r w:rsidRPr="00162476">
              <w:rPr>
                <w:sz w:val="20"/>
                <w:lang w:val="fr-FR"/>
              </w:rPr>
              <w:t>uvre et les révisions</w:t>
            </w:r>
          </w:p>
          <w:p w14:paraId="48FE2050" w14:textId="77777777" w:rsidR="00F508A0" w:rsidRPr="00162476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78348AD7" w14:textId="65CFF013" w:rsidR="007A129D" w:rsidRPr="00162476" w:rsidRDefault="00E45DD2" w:rsidP="008C46FE">
            <w:pPr>
              <w:numPr>
                <w:ilvl w:val="0"/>
                <w:numId w:val="22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Les indicateurs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exécution mesurent plusieurs éléments, ce qui crée un manque de clarté</w:t>
            </w:r>
          </w:p>
          <w:p w14:paraId="70E98489" w14:textId="404D8001" w:rsidR="00F508A0" w:rsidRPr="00162476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498E6797" w14:textId="73D39A66" w:rsidR="00F508A0" w:rsidRPr="00162476" w:rsidRDefault="00E45DD2" w:rsidP="008C46FE">
            <w:pPr>
              <w:numPr>
                <w:ilvl w:val="0"/>
                <w:numId w:val="22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Les indicateurs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exécution sont axés sur les résultats,</w:t>
            </w:r>
            <w:r w:rsidR="00BF5FAA" w:rsidRPr="00162476">
              <w:rPr>
                <w:sz w:val="20"/>
                <w:lang w:val="fr-FR"/>
              </w:rPr>
              <w:t xml:space="preserve"> et leur capacité de mesurer l</w:t>
            </w:r>
            <w:r w:rsidR="007A129D" w:rsidRPr="00162476">
              <w:rPr>
                <w:sz w:val="20"/>
                <w:lang w:val="fr-FR"/>
              </w:rPr>
              <w:t>’</w:t>
            </w:r>
            <w:r w:rsidR="00BF5FAA" w:rsidRPr="00162476">
              <w:rPr>
                <w:sz w:val="20"/>
                <w:lang w:val="fr-FR"/>
              </w:rPr>
              <w:t>incidence</w:t>
            </w:r>
            <w:r w:rsidRPr="00162476">
              <w:rPr>
                <w:sz w:val="20"/>
                <w:lang w:val="fr-FR"/>
              </w:rPr>
              <w:t xml:space="preserve"> de l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assistance technique est limitée</w:t>
            </w:r>
          </w:p>
          <w:p w14:paraId="7728F461" w14:textId="77777777" w:rsidR="00F508A0" w:rsidRPr="00162476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793415FC" w14:textId="77777777" w:rsidR="00E45DD2" w:rsidRPr="00162476" w:rsidRDefault="00E45DD2" w:rsidP="008C46FE">
            <w:pPr>
              <w:ind w:left="284" w:hanging="284"/>
              <w:rPr>
                <w:sz w:val="20"/>
                <w:lang w:val="fr-FR"/>
              </w:rPr>
            </w:pPr>
          </w:p>
        </w:tc>
      </w:tr>
      <w:tr w:rsidR="008C46FE" w:rsidRPr="00162476" w14:paraId="6C64D1F4" w14:textId="77777777" w:rsidTr="008C4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FA2" w14:textId="03735A92" w:rsidR="00E45DD2" w:rsidRPr="00162476" w:rsidRDefault="00722380" w:rsidP="008C46FE">
            <w:pPr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lastRenderedPageBreak/>
              <w:t>2014</w:t>
            </w:r>
            <w:r w:rsidR="00FF1E34" w:rsidRPr="00162476">
              <w:rPr>
                <w:sz w:val="20"/>
                <w:lang w:val="fr-FR"/>
              </w:rPr>
              <w:noBreakHyphen/>
            </w:r>
            <w:r w:rsidRPr="00162476">
              <w:rPr>
                <w:sz w:val="20"/>
                <w:lang w:val="fr-FR"/>
              </w:rPr>
              <w:t>20</w:t>
            </w:r>
            <w:r w:rsidR="00E45DD2" w:rsidRPr="00162476">
              <w:rPr>
                <w:sz w:val="20"/>
                <w:lang w:val="fr-FR"/>
              </w:rPr>
              <w:t>15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562D" w14:textId="379E9E00" w:rsidR="007A129D" w:rsidRPr="00162476" w:rsidRDefault="00F508A0" w:rsidP="008C46FE">
            <w:pPr>
              <w:numPr>
                <w:ilvl w:val="0"/>
                <w:numId w:val="23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Nombre de pays qui sont en train de formuler</w:t>
            </w:r>
            <w:r w:rsidR="00517E31" w:rsidRPr="00162476">
              <w:rPr>
                <w:sz w:val="20"/>
                <w:lang w:val="fr-FR"/>
              </w:rPr>
              <w:t xml:space="preserve"> ou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adopter des stratégies ou des plans de développement nationaux en matière de propriété intellectuelle</w:t>
            </w:r>
          </w:p>
          <w:p w14:paraId="6B0D96C0" w14:textId="12BF4A34" w:rsidR="00F508A0" w:rsidRPr="00162476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035D33D9" w14:textId="4FACD228" w:rsidR="00E45DD2" w:rsidRPr="00162476" w:rsidRDefault="00F508A0" w:rsidP="008C46FE">
            <w:pPr>
              <w:numPr>
                <w:ilvl w:val="0"/>
                <w:numId w:val="23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Nombre de pays qui ont adopté des stratégies</w:t>
            </w:r>
            <w:r w:rsidR="00517E31" w:rsidRPr="00162476">
              <w:rPr>
                <w:sz w:val="20"/>
                <w:lang w:val="fr-FR"/>
              </w:rPr>
              <w:t xml:space="preserve"> </w:t>
            </w:r>
            <w:r w:rsidRPr="00162476">
              <w:rPr>
                <w:sz w:val="20"/>
                <w:lang w:val="fr-FR"/>
              </w:rPr>
              <w:t>ou des plans de développement nationaux en matière de propriété intellectuelle et sont en train de les mettre en œuvre</w:t>
            </w:r>
            <w:r w:rsidR="00E45DD2" w:rsidRPr="00162476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B51F" w14:textId="7CD9A852" w:rsidR="00F508A0" w:rsidRPr="00162476" w:rsidRDefault="00E45DD2" w:rsidP="008C46FE">
            <w:pPr>
              <w:numPr>
                <w:ilvl w:val="0"/>
                <w:numId w:val="23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Les indicateurs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exécution ont été harmonisés pour tous les bureaux, ce qui permet de réaliser des comparaisons entre les régions</w:t>
            </w:r>
          </w:p>
          <w:p w14:paraId="2F231CF6" w14:textId="77777777" w:rsidR="00F508A0" w:rsidRPr="00162476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711AD3C5" w14:textId="2DBDE26C" w:rsidR="00F508A0" w:rsidRPr="00162476" w:rsidRDefault="00E45DD2" w:rsidP="008C46FE">
            <w:pPr>
              <w:numPr>
                <w:ilvl w:val="0"/>
                <w:numId w:val="23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Les indicateurs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exécution couvrent le processus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élaboration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 xml:space="preserve">une stratégie nationale en matière de propriété intellectuelle de la formulation à la mise en </w:t>
            </w:r>
            <w:r w:rsidR="006A3DF0" w:rsidRPr="00162476">
              <w:rPr>
                <w:sz w:val="20"/>
                <w:lang w:val="fr-FR"/>
              </w:rPr>
              <w:t>œ</w:t>
            </w:r>
            <w:r w:rsidRPr="00162476">
              <w:rPr>
                <w:sz w:val="20"/>
                <w:lang w:val="fr-FR"/>
              </w:rPr>
              <w:t>uvre</w:t>
            </w:r>
          </w:p>
          <w:p w14:paraId="2D3B1491" w14:textId="77777777" w:rsidR="00F508A0" w:rsidRPr="00162476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267B89DE" w14:textId="3131538D" w:rsidR="002119A6" w:rsidRPr="00162476" w:rsidRDefault="00E45DD2" w:rsidP="008C46FE">
            <w:pPr>
              <w:numPr>
                <w:ilvl w:val="0"/>
                <w:numId w:val="23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Les indicateurs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exécution mesurent plusieurs éléments, ce qui crée un manque de clarté</w:t>
            </w:r>
          </w:p>
        </w:tc>
      </w:tr>
      <w:tr w:rsidR="008C46FE" w:rsidRPr="00162476" w14:paraId="1FCB4E72" w14:textId="77777777" w:rsidTr="008C4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6257" w14:textId="1C085A82" w:rsidR="00E45DD2" w:rsidRPr="00162476" w:rsidRDefault="00722380" w:rsidP="008C46FE">
            <w:pPr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2016</w:t>
            </w:r>
            <w:r w:rsidR="00FF1E34" w:rsidRPr="00162476">
              <w:rPr>
                <w:sz w:val="20"/>
                <w:lang w:val="fr-FR"/>
              </w:rPr>
              <w:noBreakHyphen/>
            </w:r>
            <w:r w:rsidRPr="00162476">
              <w:rPr>
                <w:sz w:val="20"/>
                <w:lang w:val="fr-FR"/>
              </w:rPr>
              <w:t>20</w:t>
            </w:r>
            <w:r w:rsidR="00E45DD2" w:rsidRPr="00162476">
              <w:rPr>
                <w:sz w:val="20"/>
                <w:lang w:val="fr-FR"/>
              </w:rPr>
              <w:t>17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89A" w14:textId="77777777" w:rsidR="00F508A0" w:rsidRPr="00162476" w:rsidRDefault="00F508A0" w:rsidP="008C46FE">
            <w:pPr>
              <w:numPr>
                <w:ilvl w:val="0"/>
                <w:numId w:val="23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Nombre de pays en train de formuler des stratégies nationales de propriété intellectuelle</w:t>
            </w:r>
          </w:p>
          <w:p w14:paraId="1E2505AC" w14:textId="77777777" w:rsidR="00F508A0" w:rsidRPr="00162476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0D575647" w14:textId="5507A9D9" w:rsidR="00F508A0" w:rsidRPr="00162476" w:rsidRDefault="00F508A0" w:rsidP="008C46FE">
            <w:pPr>
              <w:numPr>
                <w:ilvl w:val="0"/>
                <w:numId w:val="23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Nombre de pays ayant adopté des stratégies nationales en matière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innovation et de propriété intellectuelle</w:t>
            </w:r>
          </w:p>
          <w:p w14:paraId="6A959D82" w14:textId="77777777" w:rsidR="00F508A0" w:rsidRPr="00162476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08C87B84" w14:textId="78F8856C" w:rsidR="00E45DD2" w:rsidRPr="00162476" w:rsidRDefault="00722380" w:rsidP="008C46FE">
            <w:pPr>
              <w:numPr>
                <w:ilvl w:val="0"/>
                <w:numId w:val="23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Nombre de pays en train de mettre en œuvre des stratégies en matière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innovation et de propriété intellectuelle et des plans de développement relatifs à la propriété intellectuelle à l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échelle nationale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3107" w14:textId="7887AB81" w:rsidR="00F508A0" w:rsidRPr="00162476" w:rsidRDefault="00E45DD2" w:rsidP="008C46FE">
            <w:pPr>
              <w:numPr>
                <w:ilvl w:val="0"/>
                <w:numId w:val="23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Les indicateurs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exécution ont été harmonisés pour tous les bureaux, ce qui permet de réaliser des comparaisons entre les régions</w:t>
            </w:r>
          </w:p>
          <w:p w14:paraId="76608440" w14:textId="77777777" w:rsidR="00F508A0" w:rsidRPr="00162476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6FBE799E" w14:textId="2AB26F7C" w:rsidR="00F508A0" w:rsidRPr="00162476" w:rsidRDefault="00E45DD2" w:rsidP="008C46FE">
            <w:pPr>
              <w:numPr>
                <w:ilvl w:val="0"/>
                <w:numId w:val="23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Les indicateurs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exécution couvrent le processus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élaboration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une stratégie nationale en matière de propriété intellectuelle, de la formulation et l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 xml:space="preserve">adoption à la mise en </w:t>
            </w:r>
            <w:r w:rsidR="006A3DF0" w:rsidRPr="00162476">
              <w:rPr>
                <w:sz w:val="20"/>
                <w:lang w:val="fr-FR"/>
              </w:rPr>
              <w:t>œ</w:t>
            </w:r>
            <w:r w:rsidRPr="00162476">
              <w:rPr>
                <w:sz w:val="20"/>
                <w:lang w:val="fr-FR"/>
              </w:rPr>
              <w:t>uvre</w:t>
            </w:r>
          </w:p>
          <w:p w14:paraId="794C91AA" w14:textId="77777777" w:rsidR="00F508A0" w:rsidRPr="00162476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097D1CEC" w14:textId="5E3A04DE" w:rsidR="00E45DD2" w:rsidRPr="00162476" w:rsidRDefault="00E45DD2" w:rsidP="008C46FE">
            <w:pPr>
              <w:numPr>
                <w:ilvl w:val="0"/>
                <w:numId w:val="23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Les indicateurs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exécution sont clairement définis, c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est</w:t>
            </w:r>
            <w:r w:rsidR="00FF1E34" w:rsidRPr="00162476">
              <w:rPr>
                <w:sz w:val="20"/>
                <w:lang w:val="fr-FR"/>
              </w:rPr>
              <w:noBreakHyphen/>
            </w:r>
            <w:r w:rsidR="00574D1C" w:rsidRPr="00162476">
              <w:rPr>
                <w:sz w:val="20"/>
                <w:lang w:val="fr-FR"/>
              </w:rPr>
              <w:t>à</w:t>
            </w:r>
            <w:r w:rsidR="00FF1E34" w:rsidRPr="00162476">
              <w:rPr>
                <w:sz w:val="20"/>
                <w:lang w:val="fr-FR"/>
              </w:rPr>
              <w:noBreakHyphen/>
            </w:r>
            <w:r w:rsidR="00574D1C" w:rsidRPr="00162476">
              <w:rPr>
                <w:sz w:val="20"/>
                <w:lang w:val="fr-FR"/>
              </w:rPr>
              <w:t>dire que chaque indicateur</w:t>
            </w:r>
            <w:r w:rsidRPr="00162476">
              <w:rPr>
                <w:sz w:val="20"/>
                <w:lang w:val="fr-FR"/>
              </w:rPr>
              <w:t xml:space="preserve"> mesure une étape du processus</w:t>
            </w:r>
          </w:p>
        </w:tc>
      </w:tr>
      <w:tr w:rsidR="008C46FE" w:rsidRPr="00162476" w14:paraId="7599BDC7" w14:textId="77777777" w:rsidTr="008C46FE">
        <w:trPr>
          <w:cantSplit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348B" w14:textId="20261377" w:rsidR="00E45DD2" w:rsidRPr="00162476" w:rsidRDefault="00E45DD2" w:rsidP="008C46FE">
            <w:pPr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2018</w:t>
            </w:r>
            <w:r w:rsidR="00FF1E34" w:rsidRPr="00162476">
              <w:rPr>
                <w:sz w:val="20"/>
                <w:lang w:val="fr-FR"/>
              </w:rPr>
              <w:noBreakHyphen/>
            </w:r>
            <w:r w:rsidR="00722380" w:rsidRPr="00162476">
              <w:rPr>
                <w:sz w:val="20"/>
                <w:lang w:val="fr-FR"/>
              </w:rPr>
              <w:t>20</w:t>
            </w:r>
            <w:r w:rsidRPr="00162476">
              <w:rPr>
                <w:sz w:val="20"/>
                <w:lang w:val="fr-FR"/>
              </w:rPr>
              <w:t>19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9D20" w14:textId="77777777" w:rsidR="00F508A0" w:rsidRPr="00162476" w:rsidRDefault="00722380" w:rsidP="008C46FE">
            <w:pPr>
              <w:numPr>
                <w:ilvl w:val="0"/>
                <w:numId w:val="24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Nombre de pays ayant commencé à formuler des stratégies nationales de propriété intellectuelle</w:t>
            </w:r>
          </w:p>
          <w:p w14:paraId="2F09AC4B" w14:textId="77777777" w:rsidR="00F508A0" w:rsidRPr="00162476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212380A8" w14:textId="77777777" w:rsidR="00F508A0" w:rsidRPr="00162476" w:rsidRDefault="00722380" w:rsidP="008C46FE">
            <w:pPr>
              <w:numPr>
                <w:ilvl w:val="0"/>
                <w:numId w:val="24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Nombre de pays ayant adopté une stratégie nationale en matière de propriété intellectuelle</w:t>
            </w:r>
          </w:p>
          <w:p w14:paraId="6A0B647A" w14:textId="77777777" w:rsidR="00F508A0" w:rsidRPr="00162476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521A860B" w14:textId="2F959991" w:rsidR="00F508A0" w:rsidRPr="00162476" w:rsidRDefault="00722380" w:rsidP="008C46FE">
            <w:pPr>
              <w:numPr>
                <w:ilvl w:val="0"/>
                <w:numId w:val="24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Nombre de pays qui mettent en œuvre actuellement des stratégies en matière de propriété intellectuelle et des plans de développement relatifs à la propriété intellectuelle à l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échelle nationale</w:t>
            </w:r>
          </w:p>
          <w:p w14:paraId="5E953926" w14:textId="77777777" w:rsidR="00F508A0" w:rsidRPr="00162476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27FEFD64" w14:textId="519F6605" w:rsidR="00E45DD2" w:rsidRPr="00162476" w:rsidRDefault="00722380" w:rsidP="008C46FE">
            <w:pPr>
              <w:numPr>
                <w:ilvl w:val="0"/>
                <w:numId w:val="24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Nombre de pays révisant leurs stratégies de propriété intellectuelle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9F65" w14:textId="0E297D98" w:rsidR="00F508A0" w:rsidRPr="00162476" w:rsidRDefault="00E45DD2" w:rsidP="008C46FE">
            <w:pPr>
              <w:numPr>
                <w:ilvl w:val="0"/>
                <w:numId w:val="24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Les indicateurs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exécution ont été harmonisés pour tous les bureaux, ce qui permet de réaliser des comparaisons entre les régions</w:t>
            </w:r>
          </w:p>
          <w:p w14:paraId="7C2EDD20" w14:textId="77777777" w:rsidR="00F508A0" w:rsidRPr="00162476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61A46341" w14:textId="09EA814D" w:rsidR="007A129D" w:rsidRPr="00162476" w:rsidRDefault="00E45DD2" w:rsidP="008C46FE">
            <w:pPr>
              <w:numPr>
                <w:ilvl w:val="0"/>
                <w:numId w:val="24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Les indicateurs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exécution couvrent l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ensemble du processus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élaboration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 xml:space="preserve">une stratégie nationale en matière de propriété intellectuelle, </w:t>
            </w:r>
            <w:r w:rsidR="007A129D" w:rsidRPr="00162476">
              <w:rPr>
                <w:sz w:val="20"/>
                <w:lang w:val="fr-FR"/>
              </w:rPr>
              <w:t>à savoir</w:t>
            </w:r>
            <w:r w:rsidRPr="00162476">
              <w:rPr>
                <w:sz w:val="20"/>
                <w:lang w:val="fr-FR"/>
              </w:rPr>
              <w:t xml:space="preserve"> la formulation, l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 xml:space="preserve">adoption, la mise en </w:t>
            </w:r>
            <w:r w:rsidR="006A3DF0" w:rsidRPr="00162476">
              <w:rPr>
                <w:sz w:val="20"/>
                <w:lang w:val="fr-FR"/>
              </w:rPr>
              <w:t>œ</w:t>
            </w:r>
            <w:r w:rsidRPr="00162476">
              <w:rPr>
                <w:sz w:val="20"/>
                <w:lang w:val="fr-FR"/>
              </w:rPr>
              <w:t>uvre et les révisions</w:t>
            </w:r>
          </w:p>
          <w:p w14:paraId="0F137949" w14:textId="342DF1DC" w:rsidR="00F508A0" w:rsidRPr="00162476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7920ACFF" w14:textId="3181B01C" w:rsidR="00E45DD2" w:rsidRPr="00162476" w:rsidRDefault="00E45DD2" w:rsidP="008C46FE">
            <w:pPr>
              <w:numPr>
                <w:ilvl w:val="0"/>
                <w:numId w:val="24"/>
              </w:numPr>
              <w:ind w:left="284" w:hanging="284"/>
              <w:rPr>
                <w:sz w:val="20"/>
                <w:lang w:val="fr-FR"/>
              </w:rPr>
            </w:pPr>
            <w:r w:rsidRPr="00162476">
              <w:rPr>
                <w:sz w:val="20"/>
                <w:lang w:val="fr-FR"/>
              </w:rPr>
              <w:t>Les indicateurs d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exécution sont clairement définis, c</w:t>
            </w:r>
            <w:r w:rsidR="007A129D" w:rsidRPr="00162476">
              <w:rPr>
                <w:sz w:val="20"/>
                <w:lang w:val="fr-FR"/>
              </w:rPr>
              <w:t>’</w:t>
            </w:r>
            <w:r w:rsidRPr="00162476">
              <w:rPr>
                <w:sz w:val="20"/>
                <w:lang w:val="fr-FR"/>
              </w:rPr>
              <w:t>e</w:t>
            </w:r>
            <w:r w:rsidR="00574D1C" w:rsidRPr="00162476">
              <w:rPr>
                <w:sz w:val="20"/>
                <w:lang w:val="fr-FR"/>
              </w:rPr>
              <w:t>st</w:t>
            </w:r>
            <w:r w:rsidR="00FF1E34" w:rsidRPr="00162476">
              <w:rPr>
                <w:sz w:val="20"/>
                <w:lang w:val="fr-FR"/>
              </w:rPr>
              <w:noBreakHyphen/>
            </w:r>
            <w:r w:rsidR="00574D1C" w:rsidRPr="00162476">
              <w:rPr>
                <w:sz w:val="20"/>
                <w:lang w:val="fr-FR"/>
              </w:rPr>
              <w:t>à</w:t>
            </w:r>
            <w:r w:rsidR="00FF1E34" w:rsidRPr="00162476">
              <w:rPr>
                <w:sz w:val="20"/>
                <w:lang w:val="fr-FR"/>
              </w:rPr>
              <w:noBreakHyphen/>
            </w:r>
            <w:r w:rsidR="00574D1C" w:rsidRPr="00162476">
              <w:rPr>
                <w:sz w:val="20"/>
                <w:lang w:val="fr-FR"/>
              </w:rPr>
              <w:t>dire que chaque indicateur</w:t>
            </w:r>
            <w:r w:rsidRPr="00162476">
              <w:rPr>
                <w:sz w:val="20"/>
                <w:lang w:val="fr-FR"/>
              </w:rPr>
              <w:t xml:space="preserve"> mesure une étape du processus</w:t>
            </w:r>
          </w:p>
        </w:tc>
      </w:tr>
    </w:tbl>
    <w:p w14:paraId="261260F9" w14:textId="77777777" w:rsidR="00F508A0" w:rsidRPr="00CD33B8" w:rsidRDefault="00F508A0" w:rsidP="00E45DD2">
      <w:pPr>
        <w:rPr>
          <w:szCs w:val="22"/>
          <w:lang w:val="fr-FR"/>
        </w:rPr>
      </w:pPr>
    </w:p>
    <w:p w14:paraId="2A1EF6AB" w14:textId="77777777" w:rsidR="00F508A0" w:rsidRPr="00CD33B8" w:rsidRDefault="00F508A0" w:rsidP="00E45DD2">
      <w:pPr>
        <w:rPr>
          <w:szCs w:val="22"/>
          <w:lang w:val="fr-FR"/>
        </w:rPr>
      </w:pPr>
    </w:p>
    <w:p w14:paraId="00E9B92B" w14:textId="403128C6" w:rsidR="00BF659C" w:rsidRPr="00CD33B8" w:rsidRDefault="00BF659C" w:rsidP="00F508A0">
      <w:pPr>
        <w:pStyle w:val="ONUMFS"/>
        <w:rPr>
          <w:lang w:val="fr-FR"/>
        </w:rPr>
      </w:pPr>
      <w:r w:rsidRPr="00CD33B8">
        <w:rPr>
          <w:lang w:val="fr-FR"/>
        </w:rPr>
        <w:t>Les améliorations apportées au cadre d</w:t>
      </w:r>
      <w:r w:rsidR="007A129D">
        <w:rPr>
          <w:lang w:val="fr-FR"/>
        </w:rPr>
        <w:t>’</w:t>
      </w:r>
      <w:r w:rsidRPr="00CD33B8">
        <w:rPr>
          <w:lang w:val="fr-FR"/>
        </w:rPr>
        <w:t>indicateurs d</w:t>
      </w:r>
      <w:r w:rsidR="007A129D">
        <w:rPr>
          <w:lang w:val="fr-FR"/>
        </w:rPr>
        <w:t>’</w:t>
      </w:r>
      <w:r w:rsidRPr="00CD33B8">
        <w:rPr>
          <w:lang w:val="fr-FR"/>
        </w:rPr>
        <w:t>exécution ont renforcé la capacité de l</w:t>
      </w:r>
      <w:r w:rsidR="007A129D">
        <w:rPr>
          <w:lang w:val="fr-FR"/>
        </w:rPr>
        <w:t>’</w:t>
      </w:r>
      <w:r w:rsidRPr="00CD33B8">
        <w:rPr>
          <w:lang w:val="fr-FR"/>
        </w:rPr>
        <w:t>OMPI à mesurer l</w:t>
      </w:r>
      <w:r w:rsidR="007A129D">
        <w:rPr>
          <w:lang w:val="fr-FR"/>
        </w:rPr>
        <w:t>’</w:t>
      </w:r>
      <w:r w:rsidRPr="00CD33B8">
        <w:rPr>
          <w:lang w:val="fr-FR"/>
        </w:rPr>
        <w:t>évolution des résultats et l</w:t>
      </w:r>
      <w:r w:rsidR="007A129D">
        <w:rPr>
          <w:lang w:val="fr-FR"/>
        </w:rPr>
        <w:t>’</w:t>
      </w:r>
      <w:r w:rsidRPr="00CD33B8">
        <w:rPr>
          <w:lang w:val="fr-FR"/>
        </w:rPr>
        <w:t>incidence à plus long terme sur les différents exercices biennaux, comme illustré dans le</w:t>
      </w:r>
      <w:r w:rsidR="0049633C">
        <w:rPr>
          <w:lang w:val="fr-FR"/>
        </w:rPr>
        <w:t>s</w:t>
      </w:r>
      <w:r w:rsidRPr="00CD33B8">
        <w:rPr>
          <w:lang w:val="fr-FR"/>
        </w:rPr>
        <w:t xml:space="preserve"> graphique</w:t>
      </w:r>
      <w:r w:rsidR="0049633C">
        <w:rPr>
          <w:lang w:val="fr-FR"/>
        </w:rPr>
        <w:t>s</w:t>
      </w:r>
      <w:r w:rsidRPr="00CD33B8">
        <w:rPr>
          <w:lang w:val="fr-FR"/>
        </w:rPr>
        <w:t xml:space="preserve">.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716"/>
      </w:tblGrid>
      <w:tr w:rsidR="008C46FE" w:rsidRPr="008C46FE" w14:paraId="12B09F62" w14:textId="77777777" w:rsidTr="00F508A0">
        <w:trPr>
          <w:jc w:val="center"/>
        </w:trPr>
        <w:tc>
          <w:tcPr>
            <w:tcW w:w="4691" w:type="dxa"/>
          </w:tcPr>
          <w:p w14:paraId="155DB9F7" w14:textId="77777777" w:rsidR="00BF659C" w:rsidRPr="008C46FE" w:rsidRDefault="00F14ADE" w:rsidP="008C46FE">
            <w:pPr>
              <w:keepNext/>
              <w:jc w:val="center"/>
              <w:rPr>
                <w:i/>
                <w:sz w:val="18"/>
                <w:szCs w:val="22"/>
                <w:lang w:val="fr-FR"/>
              </w:rPr>
            </w:pPr>
            <w:r w:rsidRPr="008C46FE">
              <w:rPr>
                <w:i/>
                <w:sz w:val="18"/>
                <w:szCs w:val="22"/>
                <w:lang w:val="fr-FR"/>
              </w:rPr>
              <w:lastRenderedPageBreak/>
              <w:t>Nombre de pays ayant adopté une stratégie nationale en matière de propriété intellectuelle</w:t>
            </w:r>
          </w:p>
        </w:tc>
        <w:tc>
          <w:tcPr>
            <w:tcW w:w="4716" w:type="dxa"/>
          </w:tcPr>
          <w:p w14:paraId="5C611006" w14:textId="209B81F7" w:rsidR="00BF659C" w:rsidRPr="008C46FE" w:rsidRDefault="00F14ADE" w:rsidP="008C46FE">
            <w:pPr>
              <w:keepNext/>
              <w:jc w:val="center"/>
              <w:rPr>
                <w:sz w:val="18"/>
                <w:szCs w:val="22"/>
                <w:lang w:val="fr-FR"/>
              </w:rPr>
            </w:pPr>
            <w:r w:rsidRPr="008C46FE">
              <w:rPr>
                <w:i/>
                <w:sz w:val="18"/>
                <w:szCs w:val="22"/>
                <w:lang w:val="fr-FR"/>
              </w:rPr>
              <w:t xml:space="preserve">Nombre de pays mettant en </w:t>
            </w:r>
            <w:r w:rsidR="006A3DF0" w:rsidRPr="008C46FE">
              <w:rPr>
                <w:i/>
                <w:sz w:val="18"/>
                <w:szCs w:val="22"/>
                <w:lang w:val="fr-FR"/>
              </w:rPr>
              <w:t>œ</w:t>
            </w:r>
            <w:r w:rsidRPr="008C46FE">
              <w:rPr>
                <w:i/>
                <w:sz w:val="18"/>
                <w:szCs w:val="22"/>
                <w:lang w:val="fr-FR"/>
              </w:rPr>
              <w:t>uvre une stratégie nationale en matière de propriété intellectuelle</w:t>
            </w:r>
          </w:p>
        </w:tc>
      </w:tr>
      <w:tr w:rsidR="00BF659C" w:rsidRPr="00CD33B8" w14:paraId="385F2D44" w14:textId="77777777" w:rsidTr="00F508A0">
        <w:trPr>
          <w:jc w:val="center"/>
        </w:trPr>
        <w:tc>
          <w:tcPr>
            <w:tcW w:w="4691" w:type="dxa"/>
          </w:tcPr>
          <w:p w14:paraId="1CDF26FB" w14:textId="42AC9E67" w:rsidR="00BF659C" w:rsidRPr="00CD33B8" w:rsidRDefault="008C46FE" w:rsidP="00BF659C">
            <w:pPr>
              <w:rPr>
                <w:szCs w:val="22"/>
                <w:lang w:val="fr-FR"/>
              </w:rPr>
            </w:pPr>
            <w:r>
              <w:rPr>
                <w:noProof/>
                <w:szCs w:val="22"/>
                <w:lang w:val="fr-FR" w:eastAsia="fr-FR"/>
              </w:rPr>
              <w:drawing>
                <wp:inline distT="0" distB="0" distL="0" distR="0" wp14:anchorId="6E3B0162" wp14:editId="1A029C9B">
                  <wp:extent cx="2838340" cy="1494576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267"/>
                          <a:stretch/>
                        </pic:blipFill>
                        <pic:spPr bwMode="auto">
                          <a:xfrm>
                            <a:off x="0" y="0"/>
                            <a:ext cx="2840400" cy="1495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</w:tcPr>
          <w:p w14:paraId="37E71D63" w14:textId="1FA180F1" w:rsidR="00BF659C" w:rsidRPr="00CD33B8" w:rsidRDefault="008C46FE" w:rsidP="00BF659C">
            <w:pPr>
              <w:rPr>
                <w:szCs w:val="22"/>
                <w:lang w:val="fr-FR"/>
              </w:rPr>
            </w:pPr>
            <w:r>
              <w:rPr>
                <w:noProof/>
                <w:szCs w:val="22"/>
                <w:lang w:val="fr-FR" w:eastAsia="fr-FR"/>
              </w:rPr>
              <w:drawing>
                <wp:inline distT="0" distB="0" distL="0" distR="0" wp14:anchorId="79644A87" wp14:editId="45B5E60A">
                  <wp:extent cx="2830754" cy="1495811"/>
                  <wp:effectExtent l="0" t="0" r="825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72" t="27767" r="372" b="1251"/>
                          <a:stretch/>
                        </pic:blipFill>
                        <pic:spPr bwMode="auto">
                          <a:xfrm>
                            <a:off x="0" y="0"/>
                            <a:ext cx="2840400" cy="1500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585C6D" w14:textId="77777777" w:rsidR="00F508A0" w:rsidRPr="00CD33B8" w:rsidRDefault="00F508A0" w:rsidP="00BF659C">
      <w:pPr>
        <w:rPr>
          <w:bCs/>
          <w:szCs w:val="22"/>
          <w:lang w:val="fr-FR"/>
        </w:rPr>
      </w:pPr>
    </w:p>
    <w:p w14:paraId="524C0866" w14:textId="602B025D" w:rsidR="00F508A0" w:rsidRPr="00CD33B8" w:rsidRDefault="00BF659C" w:rsidP="00F508A0">
      <w:pPr>
        <w:pStyle w:val="Heading1"/>
        <w:rPr>
          <w:caps w:val="0"/>
          <w:lang w:val="fr-FR"/>
        </w:rPr>
      </w:pPr>
      <w:r w:rsidRPr="00CD33B8">
        <w:rPr>
          <w:caps w:val="0"/>
          <w:lang w:val="fr-FR"/>
        </w:rPr>
        <w:t>Centres d</w:t>
      </w:r>
      <w:r w:rsidR="007A129D">
        <w:rPr>
          <w:caps w:val="0"/>
          <w:lang w:val="fr-FR"/>
        </w:rPr>
        <w:t>’</w:t>
      </w:r>
      <w:r w:rsidRPr="00CD33B8">
        <w:rPr>
          <w:caps w:val="0"/>
          <w:lang w:val="fr-FR"/>
        </w:rPr>
        <w:t>appui à la technologie et l</w:t>
      </w:r>
      <w:r w:rsidR="007A129D">
        <w:rPr>
          <w:caps w:val="0"/>
          <w:lang w:val="fr-FR"/>
        </w:rPr>
        <w:t>’</w:t>
      </w:r>
      <w:r w:rsidRPr="00CD33B8">
        <w:rPr>
          <w:caps w:val="0"/>
          <w:lang w:val="fr-FR"/>
        </w:rPr>
        <w:t>innovation (CATI)</w:t>
      </w:r>
    </w:p>
    <w:p w14:paraId="49EB0234" w14:textId="77777777" w:rsidR="00F508A0" w:rsidRPr="00CD33B8" w:rsidRDefault="00F508A0" w:rsidP="00BF659C">
      <w:pPr>
        <w:rPr>
          <w:szCs w:val="22"/>
          <w:lang w:val="fr-FR"/>
        </w:rPr>
      </w:pPr>
    </w:p>
    <w:p w14:paraId="57C053DD" w14:textId="6334AE81" w:rsidR="00BF659C" w:rsidRPr="00CD33B8" w:rsidRDefault="00BF659C" w:rsidP="00F508A0">
      <w:pPr>
        <w:pStyle w:val="ONUMFS"/>
        <w:rPr>
          <w:lang w:val="fr-FR"/>
        </w:rPr>
      </w:pPr>
      <w:r w:rsidRPr="00CD33B8">
        <w:rPr>
          <w:lang w:val="fr-FR"/>
        </w:rPr>
        <w:t>Le projet du Plan d</w:t>
      </w:r>
      <w:r w:rsidR="007A129D">
        <w:rPr>
          <w:lang w:val="fr-FR"/>
        </w:rPr>
        <w:t>’</w:t>
      </w:r>
      <w:r w:rsidRPr="00CD33B8">
        <w:rPr>
          <w:lang w:val="fr-FR"/>
        </w:rPr>
        <w:t>action pour le développement visant à mettre en place</w:t>
      </w:r>
      <w:r w:rsidR="007A129D" w:rsidRPr="00CD33B8">
        <w:rPr>
          <w:lang w:val="fr-FR"/>
        </w:rPr>
        <w:t xml:space="preserve"> des</w:t>
      </w:r>
      <w:r w:rsidR="007A129D">
        <w:rPr>
          <w:lang w:val="fr-FR"/>
        </w:rPr>
        <w:t> </w:t>
      </w:r>
      <w:r w:rsidR="007A129D" w:rsidRPr="00CD33B8">
        <w:rPr>
          <w:lang w:val="fr-FR"/>
        </w:rPr>
        <w:t>CAT</w:t>
      </w:r>
      <w:r w:rsidRPr="00CD33B8">
        <w:rPr>
          <w:lang w:val="fr-FR"/>
        </w:rPr>
        <w:t xml:space="preserve">I a été lancé </w:t>
      </w:r>
      <w:r w:rsidR="007A129D" w:rsidRPr="00CD33B8">
        <w:rPr>
          <w:lang w:val="fr-FR"/>
        </w:rPr>
        <w:t>en</w:t>
      </w:r>
      <w:r w:rsidR="007A129D">
        <w:rPr>
          <w:lang w:val="fr-FR"/>
        </w:rPr>
        <w:t> </w:t>
      </w:r>
      <w:r w:rsidR="007A129D" w:rsidRPr="00CD33B8">
        <w:rPr>
          <w:lang w:val="fr-FR"/>
        </w:rPr>
        <w:t>2009</w:t>
      </w:r>
      <w:r w:rsidRPr="00CD33B8">
        <w:rPr>
          <w:lang w:val="fr-FR"/>
        </w:rPr>
        <w:t xml:space="preserve"> et pleinement intégré dans les activités régulières de l</w:t>
      </w:r>
      <w:r w:rsidR="007A129D">
        <w:rPr>
          <w:lang w:val="fr-FR"/>
        </w:rPr>
        <w:t>’</w:t>
      </w:r>
      <w:r w:rsidRPr="00CD33B8">
        <w:rPr>
          <w:lang w:val="fr-FR"/>
        </w:rPr>
        <w:t xml:space="preserve">OMPI </w:t>
      </w:r>
      <w:r w:rsidR="007A129D" w:rsidRPr="00CD33B8">
        <w:rPr>
          <w:lang w:val="fr-FR"/>
        </w:rPr>
        <w:t>en</w:t>
      </w:r>
      <w:r w:rsidR="007A129D">
        <w:rPr>
          <w:lang w:val="fr-FR"/>
        </w:rPr>
        <w:t> </w:t>
      </w:r>
      <w:r w:rsidR="007A129D" w:rsidRPr="00CD33B8">
        <w:rPr>
          <w:lang w:val="fr-FR"/>
        </w:rPr>
        <w:t>2014</w:t>
      </w:r>
      <w:r w:rsidRPr="00CD33B8">
        <w:rPr>
          <w:lang w:val="fr-FR"/>
        </w:rPr>
        <w:t>.  Le programme et budget</w:t>
      </w:r>
      <w:r w:rsidR="006A3DF0">
        <w:rPr>
          <w:lang w:val="fr-FR"/>
        </w:rPr>
        <w:t> </w:t>
      </w:r>
      <w:r w:rsidRPr="00CD33B8">
        <w:rPr>
          <w:lang w:val="fr-FR"/>
        </w:rPr>
        <w:t>2010</w:t>
      </w:r>
      <w:r w:rsidR="00FF1E34">
        <w:rPr>
          <w:lang w:val="fr-FR"/>
        </w:rPr>
        <w:noBreakHyphen/>
      </w:r>
      <w:r w:rsidRPr="00CD33B8">
        <w:rPr>
          <w:lang w:val="fr-FR"/>
        </w:rPr>
        <w:t xml:space="preserve">2011 </w:t>
      </w:r>
      <w:r w:rsidR="005B4148">
        <w:rPr>
          <w:lang w:val="fr-FR"/>
        </w:rPr>
        <w:t>a</w:t>
      </w:r>
      <w:r w:rsidRPr="00CD33B8">
        <w:rPr>
          <w:lang w:val="fr-FR"/>
        </w:rPr>
        <w:t xml:space="preserve"> intégré, pour la première fois, un indicateur d</w:t>
      </w:r>
      <w:r w:rsidR="007A129D">
        <w:rPr>
          <w:lang w:val="fr-FR"/>
        </w:rPr>
        <w:t>’</w:t>
      </w:r>
      <w:r w:rsidRPr="00CD33B8">
        <w:rPr>
          <w:lang w:val="fr-FR"/>
        </w:rPr>
        <w:t>exécution spécifique re</w:t>
      </w:r>
      <w:r w:rsidR="004479FC">
        <w:rPr>
          <w:lang w:val="fr-FR"/>
        </w:rPr>
        <w:t>latif</w:t>
      </w:r>
      <w:r w:rsidR="007A129D">
        <w:rPr>
          <w:lang w:val="fr-FR"/>
        </w:rPr>
        <w:t xml:space="preserve"> aux CAT</w:t>
      </w:r>
      <w:r w:rsidR="004479FC">
        <w:rPr>
          <w:lang w:val="fr-FR"/>
        </w:rPr>
        <w:t>I dans le cadre de</w:t>
      </w:r>
      <w:r w:rsidRPr="00CD33B8">
        <w:rPr>
          <w:lang w:val="fr-FR"/>
        </w:rPr>
        <w:t xml:space="preserve"> résultats permettant de mesurer l</w:t>
      </w:r>
      <w:r w:rsidR="007A129D">
        <w:rPr>
          <w:lang w:val="fr-FR"/>
        </w:rPr>
        <w:t>’</w:t>
      </w:r>
      <w:r w:rsidRPr="00CD33B8">
        <w:rPr>
          <w:lang w:val="fr-FR"/>
        </w:rPr>
        <w:t>incidence d</w:t>
      </w:r>
      <w:r w:rsidR="007A129D">
        <w:rPr>
          <w:lang w:val="fr-FR"/>
        </w:rPr>
        <w:t>’</w:t>
      </w:r>
      <w:r w:rsidRPr="00CD33B8">
        <w:rPr>
          <w:lang w:val="fr-FR"/>
        </w:rPr>
        <w:t>un projet.  Le cadre d</w:t>
      </w:r>
      <w:r w:rsidR="007A129D">
        <w:rPr>
          <w:lang w:val="fr-FR"/>
        </w:rPr>
        <w:t>’</w:t>
      </w:r>
      <w:r w:rsidRPr="00CD33B8">
        <w:rPr>
          <w:lang w:val="fr-FR"/>
        </w:rPr>
        <w:t>indicateurs d</w:t>
      </w:r>
      <w:r w:rsidR="007A129D">
        <w:rPr>
          <w:lang w:val="fr-FR"/>
        </w:rPr>
        <w:t>’</w:t>
      </w:r>
      <w:r w:rsidRPr="00CD33B8">
        <w:rPr>
          <w:lang w:val="fr-FR"/>
        </w:rPr>
        <w:t xml:space="preserve">exécution utilisé pour mesurer </w:t>
      </w:r>
      <w:r w:rsidR="005B4148">
        <w:rPr>
          <w:lang w:val="fr-FR"/>
        </w:rPr>
        <w:t>l</w:t>
      </w:r>
      <w:r w:rsidR="007A129D">
        <w:rPr>
          <w:lang w:val="fr-FR"/>
        </w:rPr>
        <w:t>’</w:t>
      </w:r>
      <w:r w:rsidR="005B4148">
        <w:rPr>
          <w:lang w:val="fr-FR"/>
        </w:rPr>
        <w:t xml:space="preserve">impact </w:t>
      </w:r>
      <w:r w:rsidRPr="00CD33B8">
        <w:rPr>
          <w:lang w:val="fr-FR"/>
        </w:rPr>
        <w:t>de l</w:t>
      </w:r>
      <w:r w:rsidR="007A129D">
        <w:rPr>
          <w:lang w:val="fr-FR"/>
        </w:rPr>
        <w:t>’</w:t>
      </w:r>
      <w:r w:rsidRPr="00CD33B8">
        <w:rPr>
          <w:lang w:val="fr-FR"/>
        </w:rPr>
        <w:t>assistance technique apportée par l</w:t>
      </w:r>
      <w:r w:rsidR="007A129D">
        <w:rPr>
          <w:lang w:val="fr-FR"/>
        </w:rPr>
        <w:t>’</w:t>
      </w:r>
      <w:r w:rsidRPr="00CD33B8">
        <w:rPr>
          <w:lang w:val="fr-FR"/>
        </w:rPr>
        <w:t>OMPI dans ce domaine a évolué au cours de cinq</w:t>
      </w:r>
      <w:r w:rsidR="001661CA">
        <w:rPr>
          <w:lang w:val="fr-FR"/>
        </w:rPr>
        <w:t> </w:t>
      </w:r>
      <w:r w:rsidRPr="00CD33B8">
        <w:rPr>
          <w:lang w:val="fr-FR"/>
        </w:rPr>
        <w:t>exercices biennaux, grâce aux informations tirées des cycles d</w:t>
      </w:r>
      <w:r w:rsidR="007A129D">
        <w:rPr>
          <w:lang w:val="fr-FR"/>
        </w:rPr>
        <w:t>’</w:t>
      </w:r>
      <w:r w:rsidRPr="00CD33B8">
        <w:rPr>
          <w:lang w:val="fr-FR"/>
        </w:rPr>
        <w:t>exécution précédents et à l</w:t>
      </w:r>
      <w:r w:rsidR="007A129D">
        <w:rPr>
          <w:lang w:val="fr-FR"/>
        </w:rPr>
        <w:t>’</w:t>
      </w:r>
      <w:r w:rsidRPr="00CD33B8">
        <w:rPr>
          <w:lang w:val="fr-FR"/>
        </w:rPr>
        <w:t xml:space="preserve">intégration des enseignements tirés, </w:t>
      </w:r>
      <w:r w:rsidR="00F61532">
        <w:rPr>
          <w:lang w:val="fr-FR"/>
        </w:rPr>
        <w:t>en passant</w:t>
      </w:r>
      <w:r w:rsidRPr="00CD33B8">
        <w:rPr>
          <w:lang w:val="fr-FR"/>
        </w:rPr>
        <w:t xml:space="preserve"> d</w:t>
      </w:r>
      <w:r w:rsidR="007A129D">
        <w:rPr>
          <w:lang w:val="fr-FR"/>
        </w:rPr>
        <w:t>’</w:t>
      </w:r>
      <w:r w:rsidRPr="00CD33B8">
        <w:rPr>
          <w:lang w:val="fr-FR"/>
        </w:rPr>
        <w:t xml:space="preserve">une évaluation axée sur les </w:t>
      </w:r>
      <w:r w:rsidR="005B4148">
        <w:rPr>
          <w:lang w:val="fr-FR"/>
        </w:rPr>
        <w:t>résultats</w:t>
      </w:r>
      <w:r w:rsidRPr="00CD33B8">
        <w:rPr>
          <w:lang w:val="fr-FR"/>
        </w:rPr>
        <w:t xml:space="preserve"> à une </w:t>
      </w:r>
      <w:r w:rsidR="005B4148">
        <w:rPr>
          <w:lang w:val="fr-FR"/>
        </w:rPr>
        <w:t>évaluation axée sur l</w:t>
      </w:r>
      <w:r w:rsidR="007A129D">
        <w:rPr>
          <w:lang w:val="fr-FR"/>
        </w:rPr>
        <w:t>’</w:t>
      </w:r>
      <w:r w:rsidR="005B4148">
        <w:rPr>
          <w:lang w:val="fr-FR"/>
        </w:rPr>
        <w:t>incidence</w:t>
      </w:r>
      <w:r w:rsidR="00F61532">
        <w:rPr>
          <w:lang w:val="fr-FR"/>
        </w:rPr>
        <w:t xml:space="preserve">, </w:t>
      </w:r>
      <w:r w:rsidR="0049633C">
        <w:rPr>
          <w:lang w:val="fr-FR"/>
        </w:rPr>
        <w:t>et en adoptant</w:t>
      </w:r>
      <w:r w:rsidR="00F61532">
        <w:rPr>
          <w:lang w:val="fr-FR"/>
        </w:rPr>
        <w:t xml:space="preserve"> </w:t>
      </w:r>
      <w:r w:rsidRPr="00CD33B8">
        <w:rPr>
          <w:lang w:val="fr-FR"/>
        </w:rPr>
        <w:t>une méthode de mesure clairement définie.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87"/>
        <w:gridCol w:w="4465"/>
        <w:gridCol w:w="3919"/>
      </w:tblGrid>
      <w:tr w:rsidR="008C46FE" w:rsidRPr="008C46FE" w14:paraId="2644E5DD" w14:textId="77777777" w:rsidTr="008C46FE">
        <w:trPr>
          <w:cantSplit/>
          <w:tblHeader/>
        </w:trPr>
        <w:tc>
          <w:tcPr>
            <w:tcW w:w="1187" w:type="dxa"/>
            <w:shd w:val="clear" w:color="auto" w:fill="365F91" w:themeFill="accent1" w:themeFillShade="BF"/>
          </w:tcPr>
          <w:p w14:paraId="085E305D" w14:textId="77777777" w:rsidR="00D15D25" w:rsidRPr="008C46FE" w:rsidRDefault="00D15D25" w:rsidP="008C46FE">
            <w:pPr>
              <w:jc w:val="center"/>
              <w:rPr>
                <w:i/>
                <w:color w:val="FFFFFF" w:themeColor="background1"/>
                <w:szCs w:val="22"/>
                <w:lang w:val="fr-FR"/>
              </w:rPr>
            </w:pPr>
            <w:r w:rsidRPr="008C46FE">
              <w:rPr>
                <w:i/>
                <w:color w:val="FFFFFF" w:themeColor="background1"/>
                <w:szCs w:val="22"/>
                <w:lang w:val="fr-F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Exercice biennal</w:t>
            </w:r>
          </w:p>
        </w:tc>
        <w:tc>
          <w:tcPr>
            <w:tcW w:w="4465" w:type="dxa"/>
            <w:shd w:val="clear" w:color="auto" w:fill="365F91" w:themeFill="accent1" w:themeFillShade="BF"/>
          </w:tcPr>
          <w:p w14:paraId="2072028E" w14:textId="20FBC990" w:rsidR="00D15D25" w:rsidRPr="008C46FE" w:rsidRDefault="00D15D25" w:rsidP="008C46FE">
            <w:pPr>
              <w:jc w:val="center"/>
              <w:rPr>
                <w:i/>
                <w:color w:val="FFFFFF" w:themeColor="background1"/>
                <w:szCs w:val="22"/>
                <w:lang w:val="fr-FR"/>
              </w:rPr>
            </w:pPr>
            <w:r w:rsidRPr="008C46FE">
              <w:rPr>
                <w:i/>
                <w:color w:val="FFFFFF" w:themeColor="background1"/>
                <w:szCs w:val="22"/>
                <w:lang w:val="fr-F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Indicateurs</w:t>
            </w:r>
            <w:r w:rsidR="00F61532" w:rsidRPr="008C46FE">
              <w:rPr>
                <w:i/>
                <w:color w:val="FFFFFF" w:themeColor="background1"/>
                <w:szCs w:val="22"/>
                <w:lang w:val="fr-F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8C46FE">
              <w:rPr>
                <w:i/>
                <w:color w:val="FFFFFF" w:themeColor="background1"/>
                <w:szCs w:val="22"/>
                <w:lang w:val="fr-F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</w:t>
            </w:r>
            <w:r w:rsidR="007A129D" w:rsidRPr="008C46FE">
              <w:rPr>
                <w:i/>
                <w:color w:val="FFFFFF" w:themeColor="background1"/>
                <w:szCs w:val="22"/>
                <w:lang w:val="fr-F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’</w:t>
            </w:r>
            <w:r w:rsidRPr="008C46FE">
              <w:rPr>
                <w:i/>
                <w:color w:val="FFFFFF" w:themeColor="background1"/>
                <w:szCs w:val="22"/>
                <w:lang w:val="fr-F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exécution</w:t>
            </w:r>
          </w:p>
        </w:tc>
        <w:tc>
          <w:tcPr>
            <w:tcW w:w="3919" w:type="dxa"/>
            <w:shd w:val="clear" w:color="auto" w:fill="365F91" w:themeFill="accent1" w:themeFillShade="BF"/>
          </w:tcPr>
          <w:p w14:paraId="50D8BFDA" w14:textId="77777777" w:rsidR="00D15D25" w:rsidRPr="008C46FE" w:rsidRDefault="00D15D25" w:rsidP="008C46FE">
            <w:pPr>
              <w:jc w:val="center"/>
              <w:rPr>
                <w:i/>
                <w:color w:val="FFFFFF" w:themeColor="background1"/>
                <w:szCs w:val="22"/>
                <w:lang w:val="fr-FR"/>
              </w:rPr>
            </w:pPr>
            <w:r w:rsidRPr="008C46FE">
              <w:rPr>
                <w:i/>
                <w:color w:val="FFFFFF" w:themeColor="background1"/>
                <w:szCs w:val="22"/>
                <w:lang w:val="fr-F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Critères</w:t>
            </w:r>
          </w:p>
        </w:tc>
      </w:tr>
      <w:tr w:rsidR="008C46FE" w:rsidRPr="008C46FE" w14:paraId="2C683CA6" w14:textId="77777777" w:rsidTr="008C46FE">
        <w:trPr>
          <w:cantSplit/>
        </w:trPr>
        <w:tc>
          <w:tcPr>
            <w:tcW w:w="1187" w:type="dxa"/>
          </w:tcPr>
          <w:p w14:paraId="3C3316B1" w14:textId="5B7E7105" w:rsidR="00E45DD2" w:rsidRPr="008C46FE" w:rsidRDefault="00E45DD2" w:rsidP="008C46FE">
            <w:pPr>
              <w:rPr>
                <w:sz w:val="20"/>
                <w:lang w:val="fr-FR"/>
              </w:rPr>
            </w:pPr>
            <w:r w:rsidRPr="008C46FE">
              <w:rPr>
                <w:sz w:val="20"/>
                <w:lang w:val="fr-FR"/>
              </w:rPr>
              <w:t>2010</w:t>
            </w:r>
            <w:r w:rsidR="00FF1E34" w:rsidRPr="008C46FE">
              <w:rPr>
                <w:sz w:val="20"/>
                <w:lang w:val="fr-FR"/>
              </w:rPr>
              <w:noBreakHyphen/>
            </w:r>
            <w:r w:rsidR="00722380" w:rsidRPr="008C46FE">
              <w:rPr>
                <w:sz w:val="20"/>
                <w:lang w:val="fr-FR"/>
              </w:rPr>
              <w:t>20</w:t>
            </w:r>
            <w:r w:rsidRPr="008C46FE">
              <w:rPr>
                <w:sz w:val="20"/>
                <w:lang w:val="fr-FR"/>
              </w:rPr>
              <w:t>11</w:t>
            </w:r>
          </w:p>
        </w:tc>
        <w:tc>
          <w:tcPr>
            <w:tcW w:w="4465" w:type="dxa"/>
          </w:tcPr>
          <w:p w14:paraId="0EFA621D" w14:textId="4FAC2A9D" w:rsidR="00E45DD2" w:rsidRPr="008C46FE" w:rsidRDefault="00E45DD2" w:rsidP="008C46FE">
            <w:pPr>
              <w:rPr>
                <w:sz w:val="20"/>
                <w:lang w:val="fr-FR"/>
              </w:rPr>
            </w:pPr>
            <w:r w:rsidRPr="008C46FE">
              <w:rPr>
                <w:sz w:val="20"/>
                <w:lang w:val="fr-FR"/>
              </w:rPr>
              <w:t>Nombre de bénéficiaires</w:t>
            </w:r>
            <w:r w:rsidR="007A129D" w:rsidRPr="008C46FE">
              <w:rPr>
                <w:sz w:val="20"/>
                <w:lang w:val="fr-FR"/>
              </w:rPr>
              <w:t xml:space="preserve"> des CAT</w:t>
            </w:r>
            <w:r w:rsidRPr="008C46FE">
              <w:rPr>
                <w:sz w:val="20"/>
                <w:lang w:val="fr-FR"/>
              </w:rPr>
              <w:t>I qui considèrent ces centres comme des services spécialisés nationaux dans le domaine de l</w:t>
            </w:r>
            <w:r w:rsidR="007A129D" w:rsidRPr="008C46FE">
              <w:rPr>
                <w:sz w:val="20"/>
                <w:lang w:val="fr-FR"/>
              </w:rPr>
              <w:t>’</w:t>
            </w:r>
            <w:r w:rsidRPr="008C46FE">
              <w:rPr>
                <w:sz w:val="20"/>
                <w:lang w:val="fr-FR"/>
              </w:rPr>
              <w:t>information en matière de brevets et de technologie</w:t>
            </w:r>
          </w:p>
        </w:tc>
        <w:tc>
          <w:tcPr>
            <w:tcW w:w="3919" w:type="dxa"/>
          </w:tcPr>
          <w:p w14:paraId="3692B5E6" w14:textId="77777777" w:rsidR="00F508A0" w:rsidRPr="008C46FE" w:rsidRDefault="00E45DD2" w:rsidP="008C46FE">
            <w:pPr>
              <w:numPr>
                <w:ilvl w:val="0"/>
                <w:numId w:val="25"/>
              </w:numPr>
              <w:ind w:left="284" w:hanging="284"/>
              <w:rPr>
                <w:sz w:val="20"/>
                <w:lang w:val="fr-FR"/>
              </w:rPr>
            </w:pPr>
            <w:r w:rsidRPr="008C46FE">
              <w:rPr>
                <w:sz w:val="20"/>
                <w:lang w:val="fr-FR"/>
              </w:rPr>
              <w:t>Les données sur les performances effectivement rapportées font référence au nombre de CATI mis en place, et non à la perception de ces centres comme des services spécialisés nationaux</w:t>
            </w:r>
          </w:p>
          <w:p w14:paraId="3558F758" w14:textId="77777777" w:rsidR="00F508A0" w:rsidRPr="008C46FE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3115CD0D" w14:textId="77777777" w:rsidR="00E45DD2" w:rsidRPr="008C46FE" w:rsidRDefault="00E45DD2" w:rsidP="008C46FE">
            <w:pPr>
              <w:numPr>
                <w:ilvl w:val="0"/>
                <w:numId w:val="25"/>
              </w:numPr>
              <w:ind w:left="284" w:hanging="284"/>
              <w:rPr>
                <w:sz w:val="20"/>
                <w:lang w:val="fr-FR"/>
              </w:rPr>
            </w:pPr>
            <w:r w:rsidRPr="008C46FE">
              <w:rPr>
                <w:sz w:val="20"/>
                <w:lang w:val="fr-FR"/>
              </w:rPr>
              <w:t>Les critères de mesure ne sont pas clairement définis</w:t>
            </w:r>
          </w:p>
        </w:tc>
      </w:tr>
      <w:tr w:rsidR="008C46FE" w:rsidRPr="008C46FE" w14:paraId="67B180ED" w14:textId="77777777" w:rsidTr="008C46FE">
        <w:trPr>
          <w:cantSplit/>
        </w:trPr>
        <w:tc>
          <w:tcPr>
            <w:tcW w:w="1187" w:type="dxa"/>
          </w:tcPr>
          <w:p w14:paraId="35EB6660" w14:textId="76CA5B4C" w:rsidR="00E45DD2" w:rsidRPr="008C46FE" w:rsidRDefault="00E45DD2" w:rsidP="008C46FE">
            <w:pPr>
              <w:rPr>
                <w:sz w:val="20"/>
                <w:lang w:val="fr-FR"/>
              </w:rPr>
            </w:pPr>
            <w:r w:rsidRPr="008C46FE">
              <w:rPr>
                <w:sz w:val="20"/>
                <w:lang w:val="fr-FR"/>
              </w:rPr>
              <w:t>2012</w:t>
            </w:r>
            <w:r w:rsidR="00FF1E34" w:rsidRPr="008C46FE">
              <w:rPr>
                <w:sz w:val="20"/>
                <w:lang w:val="fr-FR"/>
              </w:rPr>
              <w:noBreakHyphen/>
            </w:r>
            <w:r w:rsidR="00722380" w:rsidRPr="008C46FE">
              <w:rPr>
                <w:sz w:val="20"/>
                <w:lang w:val="fr-FR"/>
              </w:rPr>
              <w:t>20</w:t>
            </w:r>
            <w:r w:rsidRPr="008C46FE">
              <w:rPr>
                <w:sz w:val="20"/>
                <w:lang w:val="fr-FR"/>
              </w:rPr>
              <w:t>13</w:t>
            </w:r>
          </w:p>
        </w:tc>
        <w:tc>
          <w:tcPr>
            <w:tcW w:w="4465" w:type="dxa"/>
          </w:tcPr>
          <w:p w14:paraId="22C341F3" w14:textId="062BC6B8" w:rsidR="00E45DD2" w:rsidRPr="008C46FE" w:rsidRDefault="00722380" w:rsidP="008C46FE">
            <w:pPr>
              <w:rPr>
                <w:sz w:val="20"/>
                <w:lang w:val="fr-FR"/>
              </w:rPr>
            </w:pPr>
            <w:r w:rsidRPr="008C46FE">
              <w:rPr>
                <w:sz w:val="20"/>
                <w:lang w:val="fr-FR"/>
              </w:rPr>
              <w:t>Nombre de réseaux nationaux de centres d</w:t>
            </w:r>
            <w:r w:rsidR="007A129D" w:rsidRPr="008C46FE">
              <w:rPr>
                <w:sz w:val="20"/>
                <w:lang w:val="fr-FR"/>
              </w:rPr>
              <w:t>’</w:t>
            </w:r>
            <w:r w:rsidRPr="008C46FE">
              <w:rPr>
                <w:sz w:val="20"/>
                <w:lang w:val="fr-FR"/>
              </w:rPr>
              <w:t>appui à la technologie et à l</w:t>
            </w:r>
            <w:r w:rsidR="007A129D" w:rsidRPr="008C46FE">
              <w:rPr>
                <w:sz w:val="20"/>
                <w:lang w:val="fr-FR"/>
              </w:rPr>
              <w:t>’</w:t>
            </w:r>
            <w:r w:rsidRPr="008C46FE">
              <w:rPr>
                <w:sz w:val="20"/>
                <w:lang w:val="fr-FR"/>
              </w:rPr>
              <w:t>innovation lancés</w:t>
            </w:r>
          </w:p>
        </w:tc>
        <w:tc>
          <w:tcPr>
            <w:tcW w:w="3919" w:type="dxa"/>
          </w:tcPr>
          <w:p w14:paraId="37C5CF49" w14:textId="77777777" w:rsidR="00F508A0" w:rsidRPr="008C46FE" w:rsidRDefault="00E45DD2" w:rsidP="008C46FE">
            <w:pPr>
              <w:numPr>
                <w:ilvl w:val="0"/>
                <w:numId w:val="25"/>
              </w:numPr>
              <w:ind w:left="284" w:hanging="284"/>
              <w:rPr>
                <w:sz w:val="20"/>
                <w:lang w:val="fr-FR"/>
              </w:rPr>
            </w:pPr>
            <w:r w:rsidRPr="008C46FE">
              <w:rPr>
                <w:sz w:val="20"/>
                <w:lang w:val="fr-FR"/>
              </w:rPr>
              <w:t>Les données sur les performances effectivement rapportées font référence à la fois au nombre de réseaux de CATI mis en place, et au nombre de CATI établis</w:t>
            </w:r>
          </w:p>
          <w:p w14:paraId="3AADEC5A" w14:textId="77777777" w:rsidR="00F508A0" w:rsidRPr="008C46FE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3D510174" w14:textId="77777777" w:rsidR="00E45DD2" w:rsidRPr="008C46FE" w:rsidRDefault="00E45DD2" w:rsidP="008C46FE">
            <w:pPr>
              <w:numPr>
                <w:ilvl w:val="0"/>
                <w:numId w:val="25"/>
              </w:numPr>
              <w:ind w:left="284" w:hanging="284"/>
              <w:rPr>
                <w:sz w:val="20"/>
                <w:lang w:val="fr-FR"/>
              </w:rPr>
            </w:pPr>
            <w:r w:rsidRPr="008C46FE">
              <w:rPr>
                <w:sz w:val="20"/>
                <w:lang w:val="fr-FR"/>
              </w:rPr>
              <w:t>Les critères de mesure ne sont pas clairement définis</w:t>
            </w:r>
          </w:p>
        </w:tc>
      </w:tr>
      <w:tr w:rsidR="008C46FE" w:rsidRPr="008C46FE" w14:paraId="41D8F72D" w14:textId="77777777" w:rsidTr="008C46FE">
        <w:trPr>
          <w:cantSplit/>
        </w:trPr>
        <w:tc>
          <w:tcPr>
            <w:tcW w:w="1187" w:type="dxa"/>
          </w:tcPr>
          <w:p w14:paraId="1FABF05F" w14:textId="20856A6A" w:rsidR="00E45DD2" w:rsidRPr="008C46FE" w:rsidRDefault="00722380" w:rsidP="008C46FE">
            <w:pPr>
              <w:rPr>
                <w:sz w:val="20"/>
                <w:lang w:val="fr-FR"/>
              </w:rPr>
            </w:pPr>
            <w:r w:rsidRPr="008C46FE">
              <w:rPr>
                <w:sz w:val="20"/>
                <w:lang w:val="fr-FR"/>
              </w:rPr>
              <w:t>2014</w:t>
            </w:r>
            <w:r w:rsidR="00FF1E34" w:rsidRPr="008C46FE">
              <w:rPr>
                <w:sz w:val="20"/>
                <w:lang w:val="fr-FR"/>
              </w:rPr>
              <w:noBreakHyphen/>
            </w:r>
            <w:r w:rsidRPr="008C46FE">
              <w:rPr>
                <w:sz w:val="20"/>
                <w:lang w:val="fr-FR"/>
              </w:rPr>
              <w:t>20</w:t>
            </w:r>
            <w:r w:rsidR="00E45DD2" w:rsidRPr="008C46FE">
              <w:rPr>
                <w:sz w:val="20"/>
                <w:lang w:val="fr-FR"/>
              </w:rPr>
              <w:t>15</w:t>
            </w:r>
          </w:p>
        </w:tc>
        <w:tc>
          <w:tcPr>
            <w:tcW w:w="4465" w:type="dxa"/>
          </w:tcPr>
          <w:p w14:paraId="2231320C" w14:textId="77777777" w:rsidR="00E45DD2" w:rsidRPr="008C46FE" w:rsidRDefault="00722380" w:rsidP="008C46FE">
            <w:pPr>
              <w:rPr>
                <w:sz w:val="20"/>
                <w:lang w:val="fr-FR"/>
              </w:rPr>
            </w:pPr>
            <w:r w:rsidRPr="008C46FE">
              <w:rPr>
                <w:sz w:val="20"/>
                <w:lang w:val="fr-FR"/>
              </w:rPr>
              <w:t>Nombre de réseaux nationaux de CATI durables</w:t>
            </w:r>
          </w:p>
        </w:tc>
        <w:tc>
          <w:tcPr>
            <w:tcW w:w="3919" w:type="dxa"/>
          </w:tcPr>
          <w:p w14:paraId="5459BF6A" w14:textId="77777777" w:rsidR="00F508A0" w:rsidRPr="008C46FE" w:rsidRDefault="00E45DD2" w:rsidP="008C46FE">
            <w:pPr>
              <w:numPr>
                <w:ilvl w:val="0"/>
                <w:numId w:val="25"/>
              </w:numPr>
              <w:ind w:left="284" w:hanging="284"/>
              <w:rPr>
                <w:sz w:val="20"/>
                <w:lang w:val="fr-FR"/>
              </w:rPr>
            </w:pPr>
            <w:r w:rsidRPr="008C46FE">
              <w:rPr>
                <w:sz w:val="20"/>
                <w:lang w:val="fr-FR"/>
              </w:rPr>
              <w:t>Mesure de la durabilité du réseau de CATI</w:t>
            </w:r>
          </w:p>
          <w:p w14:paraId="1211232C" w14:textId="77777777" w:rsidR="00F508A0" w:rsidRPr="008C46FE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367F0469" w14:textId="77777777" w:rsidR="00E45DD2" w:rsidRPr="008C46FE" w:rsidRDefault="00E45DD2" w:rsidP="008C46FE">
            <w:pPr>
              <w:numPr>
                <w:ilvl w:val="0"/>
                <w:numId w:val="25"/>
              </w:numPr>
              <w:ind w:left="284" w:hanging="284"/>
              <w:rPr>
                <w:sz w:val="20"/>
                <w:lang w:val="fr-FR"/>
              </w:rPr>
            </w:pPr>
            <w:r w:rsidRPr="008C46FE">
              <w:rPr>
                <w:sz w:val="20"/>
                <w:lang w:val="fr-FR"/>
              </w:rPr>
              <w:t>Les critères de durabilité ne sont pas clairement définis</w:t>
            </w:r>
          </w:p>
        </w:tc>
      </w:tr>
      <w:tr w:rsidR="008C46FE" w:rsidRPr="008C46FE" w14:paraId="44B55B16" w14:textId="77777777" w:rsidTr="008C46FE">
        <w:trPr>
          <w:cantSplit/>
        </w:trPr>
        <w:tc>
          <w:tcPr>
            <w:tcW w:w="1187" w:type="dxa"/>
          </w:tcPr>
          <w:p w14:paraId="3B8F5AAE" w14:textId="5501DEB0" w:rsidR="00E45DD2" w:rsidRPr="008C46FE" w:rsidRDefault="00E45DD2" w:rsidP="008C46FE">
            <w:pPr>
              <w:rPr>
                <w:sz w:val="20"/>
                <w:lang w:val="fr-FR"/>
              </w:rPr>
            </w:pPr>
            <w:r w:rsidRPr="008C46FE">
              <w:rPr>
                <w:sz w:val="20"/>
                <w:lang w:val="fr-FR"/>
              </w:rPr>
              <w:t>2016</w:t>
            </w:r>
            <w:r w:rsidR="00FF1E34" w:rsidRPr="008C46FE">
              <w:rPr>
                <w:sz w:val="20"/>
                <w:lang w:val="fr-FR"/>
              </w:rPr>
              <w:noBreakHyphen/>
            </w:r>
            <w:r w:rsidR="00722380" w:rsidRPr="008C46FE">
              <w:rPr>
                <w:sz w:val="20"/>
                <w:lang w:val="fr-FR"/>
              </w:rPr>
              <w:t>20</w:t>
            </w:r>
            <w:r w:rsidRPr="008C46FE">
              <w:rPr>
                <w:sz w:val="20"/>
                <w:lang w:val="fr-FR"/>
              </w:rPr>
              <w:t>17</w:t>
            </w:r>
          </w:p>
        </w:tc>
        <w:tc>
          <w:tcPr>
            <w:tcW w:w="4465" w:type="dxa"/>
          </w:tcPr>
          <w:p w14:paraId="05969D2E" w14:textId="77777777" w:rsidR="00E45DD2" w:rsidRPr="008C46FE" w:rsidRDefault="00E45DD2" w:rsidP="008C46FE">
            <w:pPr>
              <w:rPr>
                <w:sz w:val="20"/>
                <w:lang w:val="fr-FR"/>
              </w:rPr>
            </w:pPr>
            <w:r w:rsidRPr="008C46FE">
              <w:rPr>
                <w:sz w:val="20"/>
                <w:lang w:val="fr-FR"/>
              </w:rPr>
              <w:t>Nombre cumulé de réseaux nationaux de CATI durables</w:t>
            </w:r>
          </w:p>
        </w:tc>
        <w:tc>
          <w:tcPr>
            <w:tcW w:w="3919" w:type="dxa"/>
          </w:tcPr>
          <w:p w14:paraId="7E18AAA0" w14:textId="77777777" w:rsidR="00F508A0" w:rsidRPr="008C46FE" w:rsidRDefault="00E45DD2" w:rsidP="008C46FE">
            <w:pPr>
              <w:numPr>
                <w:ilvl w:val="0"/>
                <w:numId w:val="25"/>
              </w:numPr>
              <w:ind w:left="284" w:hanging="284"/>
              <w:rPr>
                <w:sz w:val="20"/>
                <w:lang w:val="fr-FR"/>
              </w:rPr>
            </w:pPr>
            <w:r w:rsidRPr="008C46FE">
              <w:rPr>
                <w:sz w:val="20"/>
                <w:lang w:val="fr-FR"/>
              </w:rPr>
              <w:t>Les critères de durabilité sont clairement définis</w:t>
            </w:r>
          </w:p>
          <w:p w14:paraId="7A80A8C0" w14:textId="77777777" w:rsidR="007A129D" w:rsidRPr="008C46FE" w:rsidRDefault="007A129D" w:rsidP="008C46FE">
            <w:pPr>
              <w:ind w:left="284" w:hanging="284"/>
              <w:rPr>
                <w:sz w:val="20"/>
                <w:lang w:val="fr-FR"/>
              </w:rPr>
            </w:pPr>
          </w:p>
          <w:p w14:paraId="7FA3A9C8" w14:textId="5AA1BB35" w:rsidR="00E45DD2" w:rsidRPr="008C46FE" w:rsidRDefault="00E45DD2" w:rsidP="008C46FE">
            <w:pPr>
              <w:numPr>
                <w:ilvl w:val="0"/>
                <w:numId w:val="25"/>
              </w:numPr>
              <w:ind w:left="284" w:hanging="284"/>
              <w:rPr>
                <w:sz w:val="20"/>
                <w:lang w:val="fr-FR"/>
              </w:rPr>
            </w:pPr>
            <w:r w:rsidRPr="008C46FE">
              <w:rPr>
                <w:sz w:val="20"/>
                <w:lang w:val="fr-FR"/>
              </w:rPr>
              <w:t xml:space="preserve">Mesure </w:t>
            </w:r>
            <w:r w:rsidR="005B4148" w:rsidRPr="008C46FE">
              <w:rPr>
                <w:sz w:val="20"/>
                <w:lang w:val="fr-FR"/>
              </w:rPr>
              <w:t>selon</w:t>
            </w:r>
            <w:r w:rsidRPr="008C46FE">
              <w:rPr>
                <w:sz w:val="20"/>
                <w:lang w:val="fr-FR"/>
              </w:rPr>
              <w:t xml:space="preserve"> des niveaux de développement clairement définis</w:t>
            </w:r>
          </w:p>
        </w:tc>
      </w:tr>
      <w:tr w:rsidR="008C46FE" w:rsidRPr="008C46FE" w14:paraId="18DFB555" w14:textId="77777777" w:rsidTr="008C46FE">
        <w:trPr>
          <w:cantSplit/>
        </w:trPr>
        <w:tc>
          <w:tcPr>
            <w:tcW w:w="1187" w:type="dxa"/>
          </w:tcPr>
          <w:p w14:paraId="7C743786" w14:textId="0B5A912F" w:rsidR="00E45DD2" w:rsidRPr="008C46FE" w:rsidRDefault="00E45DD2" w:rsidP="008C46FE">
            <w:pPr>
              <w:rPr>
                <w:sz w:val="20"/>
                <w:lang w:val="fr-FR"/>
              </w:rPr>
            </w:pPr>
            <w:r w:rsidRPr="008C46FE">
              <w:rPr>
                <w:sz w:val="20"/>
                <w:lang w:val="fr-FR"/>
              </w:rPr>
              <w:lastRenderedPageBreak/>
              <w:t>2018</w:t>
            </w:r>
            <w:r w:rsidR="00FF1E34" w:rsidRPr="008C46FE">
              <w:rPr>
                <w:sz w:val="20"/>
                <w:lang w:val="fr-FR"/>
              </w:rPr>
              <w:noBreakHyphen/>
            </w:r>
            <w:r w:rsidR="00722380" w:rsidRPr="008C46FE">
              <w:rPr>
                <w:sz w:val="20"/>
                <w:lang w:val="fr-FR"/>
              </w:rPr>
              <w:t>20</w:t>
            </w:r>
            <w:r w:rsidRPr="008C46FE">
              <w:rPr>
                <w:sz w:val="20"/>
                <w:lang w:val="fr-FR"/>
              </w:rPr>
              <w:t>19</w:t>
            </w:r>
          </w:p>
        </w:tc>
        <w:tc>
          <w:tcPr>
            <w:tcW w:w="4465" w:type="dxa"/>
          </w:tcPr>
          <w:p w14:paraId="11831C66" w14:textId="7BB21063" w:rsidR="00E45DD2" w:rsidRPr="008C46FE" w:rsidRDefault="00722380" w:rsidP="008C46FE">
            <w:pPr>
              <w:rPr>
                <w:sz w:val="20"/>
                <w:lang w:val="fr-FR"/>
              </w:rPr>
            </w:pPr>
            <w:r w:rsidRPr="008C46FE">
              <w:rPr>
                <w:sz w:val="20"/>
                <w:lang w:val="fr-FR"/>
              </w:rPr>
              <w:t>Nombre de réseaux nationaux de centres de technologie et d</w:t>
            </w:r>
            <w:r w:rsidR="007A129D" w:rsidRPr="008C46FE">
              <w:rPr>
                <w:sz w:val="20"/>
                <w:lang w:val="fr-FR"/>
              </w:rPr>
              <w:t>’</w:t>
            </w:r>
            <w:r w:rsidRPr="008C46FE">
              <w:rPr>
                <w:sz w:val="20"/>
                <w:lang w:val="fr-FR"/>
              </w:rPr>
              <w:t>appui à l</w:t>
            </w:r>
            <w:r w:rsidR="007A129D" w:rsidRPr="008C46FE">
              <w:rPr>
                <w:sz w:val="20"/>
                <w:lang w:val="fr-FR"/>
              </w:rPr>
              <w:t>’</w:t>
            </w:r>
            <w:r w:rsidRPr="008C46FE">
              <w:rPr>
                <w:sz w:val="20"/>
                <w:lang w:val="fr-FR"/>
              </w:rPr>
              <w:t>innovation</w:t>
            </w:r>
          </w:p>
        </w:tc>
        <w:tc>
          <w:tcPr>
            <w:tcW w:w="3919" w:type="dxa"/>
          </w:tcPr>
          <w:p w14:paraId="6DE52D53" w14:textId="77777777" w:rsidR="00F508A0" w:rsidRPr="008C46FE" w:rsidRDefault="00E45DD2" w:rsidP="008C46FE">
            <w:pPr>
              <w:numPr>
                <w:ilvl w:val="0"/>
                <w:numId w:val="25"/>
              </w:numPr>
              <w:ind w:left="284" w:hanging="284"/>
              <w:rPr>
                <w:sz w:val="20"/>
                <w:lang w:val="fr-FR"/>
              </w:rPr>
            </w:pPr>
            <w:r w:rsidRPr="008C46FE">
              <w:rPr>
                <w:sz w:val="20"/>
                <w:lang w:val="fr-FR"/>
              </w:rPr>
              <w:t>Les critères de durabilité sont clairement définis</w:t>
            </w:r>
          </w:p>
          <w:p w14:paraId="34D6BC6C" w14:textId="77777777" w:rsidR="007A129D" w:rsidRPr="008C46FE" w:rsidRDefault="007A129D" w:rsidP="008C46FE">
            <w:pPr>
              <w:ind w:left="284" w:hanging="284"/>
              <w:rPr>
                <w:sz w:val="20"/>
                <w:lang w:val="fr-FR"/>
              </w:rPr>
            </w:pPr>
          </w:p>
          <w:p w14:paraId="44C040CF" w14:textId="1E158D85" w:rsidR="00F508A0" w:rsidRPr="008C46FE" w:rsidRDefault="00E45DD2" w:rsidP="008C46FE">
            <w:pPr>
              <w:numPr>
                <w:ilvl w:val="0"/>
                <w:numId w:val="25"/>
              </w:numPr>
              <w:ind w:left="284" w:hanging="284"/>
              <w:rPr>
                <w:sz w:val="20"/>
                <w:lang w:val="fr-FR"/>
              </w:rPr>
            </w:pPr>
            <w:r w:rsidRPr="008C46FE">
              <w:rPr>
                <w:sz w:val="20"/>
                <w:lang w:val="fr-FR"/>
              </w:rPr>
              <w:t xml:space="preserve">Mesure </w:t>
            </w:r>
            <w:r w:rsidR="005B4148" w:rsidRPr="008C46FE">
              <w:rPr>
                <w:sz w:val="20"/>
                <w:lang w:val="fr-FR"/>
              </w:rPr>
              <w:t>selon</w:t>
            </w:r>
            <w:r w:rsidRPr="008C46FE">
              <w:rPr>
                <w:sz w:val="20"/>
                <w:lang w:val="fr-FR"/>
              </w:rPr>
              <w:t xml:space="preserve"> des niveaux de développement clairement définis</w:t>
            </w:r>
          </w:p>
          <w:p w14:paraId="1E8312FA" w14:textId="77777777" w:rsidR="00F508A0" w:rsidRPr="008C46FE" w:rsidRDefault="00F508A0" w:rsidP="008C46FE">
            <w:pPr>
              <w:ind w:left="284" w:hanging="284"/>
              <w:rPr>
                <w:sz w:val="20"/>
                <w:lang w:val="fr-FR"/>
              </w:rPr>
            </w:pPr>
          </w:p>
          <w:p w14:paraId="257BC921" w14:textId="77777777" w:rsidR="00E45DD2" w:rsidRPr="008C46FE" w:rsidRDefault="00E45DD2" w:rsidP="008C46FE">
            <w:pPr>
              <w:numPr>
                <w:ilvl w:val="0"/>
                <w:numId w:val="25"/>
              </w:numPr>
              <w:ind w:left="284" w:hanging="284"/>
              <w:rPr>
                <w:sz w:val="20"/>
                <w:lang w:val="fr-FR"/>
              </w:rPr>
            </w:pPr>
            <w:r w:rsidRPr="008C46FE">
              <w:rPr>
                <w:sz w:val="20"/>
                <w:lang w:val="fr-FR"/>
              </w:rPr>
              <w:t>Possibilité de faire des comparaisons entre les exercices biennaux</w:t>
            </w:r>
          </w:p>
        </w:tc>
      </w:tr>
    </w:tbl>
    <w:p w14:paraId="593C3626" w14:textId="77777777" w:rsidR="00F508A0" w:rsidRPr="00CD33B8" w:rsidRDefault="00F508A0" w:rsidP="00E45DD2">
      <w:pPr>
        <w:rPr>
          <w:szCs w:val="22"/>
          <w:lang w:val="fr-FR"/>
        </w:rPr>
      </w:pPr>
    </w:p>
    <w:p w14:paraId="093B7AE9" w14:textId="17D98E9C" w:rsidR="007A129D" w:rsidRPr="008C46FE" w:rsidRDefault="00E45DD2" w:rsidP="00F508A0">
      <w:pPr>
        <w:pStyle w:val="ONUMFS"/>
        <w:rPr>
          <w:lang w:val="fr-FR"/>
        </w:rPr>
      </w:pPr>
      <w:r w:rsidRPr="008C46FE">
        <w:rPr>
          <w:lang w:val="fr-FR"/>
        </w:rPr>
        <w:t>Selon la nouvelle méthode,</w:t>
      </w:r>
      <w:r w:rsidR="007A129D" w:rsidRPr="008C46FE">
        <w:rPr>
          <w:lang w:val="fr-FR"/>
        </w:rPr>
        <w:t xml:space="preserve"> les CAT</w:t>
      </w:r>
      <w:r w:rsidRPr="008C46FE">
        <w:rPr>
          <w:lang w:val="fr-FR"/>
        </w:rPr>
        <w:t>I durables sont définis comme des institutions autonomes sur le plan financier et technique, auxquelles l</w:t>
      </w:r>
      <w:r w:rsidR="007A129D" w:rsidRPr="008C46FE">
        <w:rPr>
          <w:lang w:val="fr-FR"/>
        </w:rPr>
        <w:t>’</w:t>
      </w:r>
      <w:r w:rsidRPr="008C46FE">
        <w:rPr>
          <w:lang w:val="fr-FR"/>
        </w:rPr>
        <w:t>OMPI fournit des conseils sur deman</w:t>
      </w:r>
      <w:r w:rsidR="007559F4" w:rsidRPr="008C46FE">
        <w:rPr>
          <w:lang w:val="fr-FR"/>
        </w:rPr>
        <w:t>de.  La</w:t>
      </w:r>
      <w:r w:rsidRPr="008C46FE">
        <w:rPr>
          <w:lang w:val="fr-FR"/>
        </w:rPr>
        <w:t xml:space="preserve"> durabilité est mesurée en fonction des niveaux de développement suivants</w:t>
      </w:r>
      <w:r w:rsidR="007A129D" w:rsidRPr="008C46FE">
        <w:rPr>
          <w:lang w:val="fr-FR"/>
        </w:rPr>
        <w:t> :</w:t>
      </w:r>
    </w:p>
    <w:p w14:paraId="0206F554" w14:textId="63CF5F77" w:rsidR="00F508A0" w:rsidRPr="008C46FE" w:rsidRDefault="00F508A0" w:rsidP="00F508A0">
      <w:pPr>
        <w:pStyle w:val="ONUMFS"/>
        <w:numPr>
          <w:ilvl w:val="0"/>
          <w:numId w:val="19"/>
        </w:numPr>
        <w:ind w:left="567" w:hanging="567"/>
        <w:rPr>
          <w:lang w:val="fr-FR"/>
        </w:rPr>
      </w:pPr>
      <w:r w:rsidRPr="008C46FE">
        <w:rPr>
          <w:b/>
          <w:lang w:val="fr-FR"/>
        </w:rPr>
        <w:t>Développement niveau</w:t>
      </w:r>
      <w:r w:rsidR="006A3DF0" w:rsidRPr="008C46FE">
        <w:rPr>
          <w:b/>
          <w:lang w:val="fr-FR"/>
        </w:rPr>
        <w:t> </w:t>
      </w:r>
      <w:r w:rsidRPr="008C46FE">
        <w:rPr>
          <w:b/>
          <w:lang w:val="fr-FR"/>
        </w:rPr>
        <w:t>1</w:t>
      </w:r>
      <w:r w:rsidR="007A129D" w:rsidRPr="008C46FE">
        <w:rPr>
          <w:b/>
          <w:lang w:val="fr-FR"/>
        </w:rPr>
        <w:t> :</w:t>
      </w:r>
      <w:r w:rsidRPr="008C46FE">
        <w:rPr>
          <w:lang w:val="fr-FR"/>
        </w:rPr>
        <w:t xml:space="preserve"> a)</w:t>
      </w:r>
      <w:r w:rsidR="001661CA" w:rsidRPr="008C46FE">
        <w:rPr>
          <w:b/>
          <w:lang w:val="fr-FR"/>
        </w:rPr>
        <w:t> </w:t>
      </w:r>
      <w:r w:rsidRPr="008C46FE">
        <w:rPr>
          <w:lang w:val="fr-FR"/>
        </w:rPr>
        <w:t>Signature d</w:t>
      </w:r>
      <w:r w:rsidR="007A129D" w:rsidRPr="008C46FE">
        <w:rPr>
          <w:lang w:val="fr-FR"/>
        </w:rPr>
        <w:t>’</w:t>
      </w:r>
      <w:r w:rsidRPr="008C46FE">
        <w:rPr>
          <w:lang w:val="fr-FR"/>
        </w:rPr>
        <w:t>un accord de niveau de services entre l</w:t>
      </w:r>
      <w:r w:rsidR="007A129D" w:rsidRPr="008C46FE">
        <w:rPr>
          <w:lang w:val="fr-FR"/>
        </w:rPr>
        <w:t>’</w:t>
      </w:r>
      <w:r w:rsidRPr="008C46FE">
        <w:rPr>
          <w:lang w:val="fr-FR"/>
        </w:rPr>
        <w:t>OMPI et le coordonnateur national;</w:t>
      </w:r>
      <w:r w:rsidR="006A3DF0" w:rsidRPr="008C46FE">
        <w:rPr>
          <w:lang w:val="fr-FR"/>
        </w:rPr>
        <w:t xml:space="preserve"> </w:t>
      </w:r>
      <w:r w:rsidRPr="008C46FE">
        <w:rPr>
          <w:lang w:val="fr-FR"/>
        </w:rPr>
        <w:t xml:space="preserve"> b)</w:t>
      </w:r>
      <w:r w:rsidR="001661CA" w:rsidRPr="008C46FE">
        <w:rPr>
          <w:lang w:val="fr-FR"/>
        </w:rPr>
        <w:t> </w:t>
      </w:r>
      <w:r w:rsidRPr="008C46FE">
        <w:rPr>
          <w:lang w:val="fr-FR"/>
        </w:rPr>
        <w:t>signature d</w:t>
      </w:r>
      <w:r w:rsidR="007A129D" w:rsidRPr="008C46FE">
        <w:rPr>
          <w:lang w:val="fr-FR"/>
        </w:rPr>
        <w:t>’</w:t>
      </w:r>
      <w:r w:rsidRPr="008C46FE">
        <w:rPr>
          <w:lang w:val="fr-FR"/>
        </w:rPr>
        <w:t>accords institutionnels entre le coordonnateur national et les institutions hôtes</w:t>
      </w:r>
      <w:r w:rsidR="007A129D" w:rsidRPr="008C46FE">
        <w:rPr>
          <w:lang w:val="fr-FR"/>
        </w:rPr>
        <w:t xml:space="preserve"> des CAT</w:t>
      </w:r>
      <w:r w:rsidRPr="008C46FE">
        <w:rPr>
          <w:lang w:val="fr-FR"/>
        </w:rPr>
        <w:t>I;</w:t>
      </w:r>
      <w:r w:rsidR="006A3DF0" w:rsidRPr="008C46FE">
        <w:rPr>
          <w:lang w:val="fr-FR"/>
        </w:rPr>
        <w:t xml:space="preserve"> </w:t>
      </w:r>
      <w:r w:rsidRPr="008C46FE">
        <w:rPr>
          <w:lang w:val="fr-FR"/>
        </w:rPr>
        <w:t xml:space="preserve"> et c)</w:t>
      </w:r>
      <w:r w:rsidR="001661CA" w:rsidRPr="008C46FE">
        <w:rPr>
          <w:lang w:val="fr-FR"/>
        </w:rPr>
        <w:t> </w:t>
      </w:r>
      <w:r w:rsidRPr="008C46FE">
        <w:rPr>
          <w:lang w:val="fr-FR"/>
        </w:rPr>
        <w:t>remise d</w:t>
      </w:r>
      <w:r w:rsidR="007A129D" w:rsidRPr="008C46FE">
        <w:rPr>
          <w:lang w:val="fr-FR"/>
        </w:rPr>
        <w:t>’</w:t>
      </w:r>
      <w:r w:rsidRPr="008C46FE">
        <w:rPr>
          <w:lang w:val="fr-FR"/>
        </w:rPr>
        <w:t>au moins un rapport annuel sur les activités</w:t>
      </w:r>
      <w:r w:rsidR="007A129D" w:rsidRPr="008C46FE">
        <w:rPr>
          <w:lang w:val="fr-FR"/>
        </w:rPr>
        <w:t xml:space="preserve"> du CAT</w:t>
      </w:r>
      <w:r w:rsidRPr="008C46FE">
        <w:rPr>
          <w:lang w:val="fr-FR"/>
        </w:rPr>
        <w:t xml:space="preserve">I au niveau national; </w:t>
      </w:r>
      <w:r w:rsidR="006A3DF0" w:rsidRPr="008C46FE">
        <w:rPr>
          <w:lang w:val="fr-FR"/>
        </w:rPr>
        <w:t xml:space="preserve"> </w:t>
      </w:r>
      <w:r w:rsidRPr="008C46FE">
        <w:rPr>
          <w:lang w:val="fr-FR"/>
        </w:rPr>
        <w:t>le développement niveau 1 est pleinement atteint avec a + b + c.</w:t>
      </w:r>
    </w:p>
    <w:p w14:paraId="3D5712C2" w14:textId="0352556C" w:rsidR="007A129D" w:rsidRPr="008C46FE" w:rsidRDefault="00F508A0" w:rsidP="00F508A0">
      <w:pPr>
        <w:pStyle w:val="ONUMFS"/>
        <w:numPr>
          <w:ilvl w:val="0"/>
          <w:numId w:val="19"/>
        </w:numPr>
        <w:ind w:left="567" w:hanging="567"/>
        <w:rPr>
          <w:lang w:val="fr-FR"/>
        </w:rPr>
      </w:pPr>
      <w:r w:rsidRPr="008C46FE">
        <w:rPr>
          <w:b/>
          <w:lang w:val="fr-FR"/>
        </w:rPr>
        <w:t>Développement niveau</w:t>
      </w:r>
      <w:r w:rsidR="006A3DF0" w:rsidRPr="008C46FE">
        <w:rPr>
          <w:b/>
          <w:lang w:val="fr-FR"/>
        </w:rPr>
        <w:t> </w:t>
      </w:r>
      <w:r w:rsidRPr="008C46FE">
        <w:rPr>
          <w:b/>
          <w:lang w:val="fr-FR"/>
        </w:rPr>
        <w:t>2</w:t>
      </w:r>
      <w:r w:rsidR="007A129D" w:rsidRPr="008C46FE">
        <w:rPr>
          <w:b/>
          <w:lang w:val="fr-FR"/>
        </w:rPr>
        <w:t> :</w:t>
      </w:r>
      <w:r w:rsidRPr="008C46FE">
        <w:rPr>
          <w:lang w:val="fr-FR"/>
        </w:rPr>
        <w:t xml:space="preserve"> Les conditions du niveau de développement</w:t>
      </w:r>
      <w:r w:rsidR="006A3DF0" w:rsidRPr="008C46FE">
        <w:rPr>
          <w:lang w:val="fr-FR"/>
        </w:rPr>
        <w:t> </w:t>
      </w:r>
      <w:r w:rsidRPr="008C46FE">
        <w:rPr>
          <w:lang w:val="fr-FR"/>
        </w:rPr>
        <w:t>1 sont remplies et des recherches sur les informations essentielles en matière de brevets sont faites, par exemple des recherches sur l</w:t>
      </w:r>
      <w:r w:rsidR="007A129D" w:rsidRPr="008C46FE">
        <w:rPr>
          <w:lang w:val="fr-FR"/>
        </w:rPr>
        <w:t>’</w:t>
      </w:r>
      <w:r w:rsidRPr="008C46FE">
        <w:rPr>
          <w:lang w:val="fr-FR"/>
        </w:rPr>
        <w:t xml:space="preserve">état de la technique en matière de brevets; </w:t>
      </w:r>
      <w:r w:rsidR="006A3DF0" w:rsidRPr="008C46FE">
        <w:rPr>
          <w:lang w:val="fr-FR"/>
        </w:rPr>
        <w:t xml:space="preserve"> </w:t>
      </w:r>
      <w:r w:rsidRPr="008C46FE">
        <w:rPr>
          <w:lang w:val="fr-FR"/>
        </w:rPr>
        <w:t>et</w:t>
      </w:r>
    </w:p>
    <w:p w14:paraId="3B6CEE7B" w14:textId="0ACC2EFF" w:rsidR="00F508A0" w:rsidRPr="008C46FE" w:rsidRDefault="00F508A0" w:rsidP="00F508A0">
      <w:pPr>
        <w:pStyle w:val="ONUMFS"/>
        <w:numPr>
          <w:ilvl w:val="0"/>
          <w:numId w:val="19"/>
        </w:numPr>
        <w:ind w:left="567" w:hanging="567"/>
        <w:rPr>
          <w:lang w:val="fr-FR"/>
        </w:rPr>
      </w:pPr>
      <w:r w:rsidRPr="008C46FE">
        <w:rPr>
          <w:b/>
          <w:lang w:val="fr-FR"/>
        </w:rPr>
        <w:t>Développement niveau</w:t>
      </w:r>
      <w:r w:rsidR="006A3DF0" w:rsidRPr="008C46FE">
        <w:rPr>
          <w:b/>
          <w:lang w:val="fr-FR"/>
        </w:rPr>
        <w:t> </w:t>
      </w:r>
      <w:r w:rsidRPr="008C46FE">
        <w:rPr>
          <w:b/>
          <w:lang w:val="fr-FR"/>
        </w:rPr>
        <w:t>3</w:t>
      </w:r>
      <w:r w:rsidR="007A129D" w:rsidRPr="008C46FE">
        <w:rPr>
          <w:b/>
          <w:lang w:val="fr-FR"/>
        </w:rPr>
        <w:t> :</w:t>
      </w:r>
      <w:r w:rsidRPr="008C46FE">
        <w:rPr>
          <w:lang w:val="fr-FR"/>
        </w:rPr>
        <w:t xml:space="preserve"> Les conditions du développement niveau 2 sont remplies et des services de propriété intellectuelle à valeur ajoutée sont fournis, par exemple par exemple l</w:t>
      </w:r>
      <w:r w:rsidR="007A129D" w:rsidRPr="008C46FE">
        <w:rPr>
          <w:lang w:val="fr-FR"/>
        </w:rPr>
        <w:t>’</w:t>
      </w:r>
      <w:r w:rsidRPr="008C46FE">
        <w:rPr>
          <w:lang w:val="fr-FR"/>
        </w:rPr>
        <w:t>élaboration de cartographies de brevets.</w:t>
      </w:r>
    </w:p>
    <w:p w14:paraId="74940428" w14:textId="74F798A9" w:rsidR="007A129D" w:rsidRDefault="00E45DD2" w:rsidP="00F508A0">
      <w:pPr>
        <w:pStyle w:val="ONUMFS"/>
        <w:numPr>
          <w:ilvl w:val="0"/>
          <w:numId w:val="0"/>
        </w:numPr>
        <w:rPr>
          <w:lang w:val="fr-FR"/>
        </w:rPr>
      </w:pPr>
      <w:r w:rsidRPr="008C46FE">
        <w:rPr>
          <w:lang w:val="fr-FR"/>
        </w:rPr>
        <w:t>Les améliorations apportées au cadre d</w:t>
      </w:r>
      <w:r w:rsidR="007A129D" w:rsidRPr="008C46FE">
        <w:rPr>
          <w:lang w:val="fr-FR"/>
        </w:rPr>
        <w:t>’</w:t>
      </w:r>
      <w:r w:rsidRPr="008C46FE">
        <w:rPr>
          <w:lang w:val="fr-FR"/>
        </w:rPr>
        <w:t>indicateurs d</w:t>
      </w:r>
      <w:r w:rsidR="007A129D" w:rsidRPr="008C46FE">
        <w:rPr>
          <w:lang w:val="fr-FR"/>
        </w:rPr>
        <w:t>’</w:t>
      </w:r>
      <w:r w:rsidRPr="008C46FE">
        <w:rPr>
          <w:lang w:val="fr-FR"/>
        </w:rPr>
        <w:t>exécution ont renforcé la capacité de l</w:t>
      </w:r>
      <w:r w:rsidR="007A129D" w:rsidRPr="008C46FE">
        <w:rPr>
          <w:lang w:val="fr-FR"/>
        </w:rPr>
        <w:t>’</w:t>
      </w:r>
      <w:r w:rsidRPr="008C46FE">
        <w:rPr>
          <w:lang w:val="fr-FR"/>
        </w:rPr>
        <w:t>OMPI à mesurer l</w:t>
      </w:r>
      <w:r w:rsidR="007A129D" w:rsidRPr="008C46FE">
        <w:rPr>
          <w:lang w:val="fr-FR"/>
        </w:rPr>
        <w:t>’</w:t>
      </w:r>
      <w:r w:rsidRPr="008C46FE">
        <w:rPr>
          <w:lang w:val="fr-FR"/>
        </w:rPr>
        <w:t>évolution des résultats et l</w:t>
      </w:r>
      <w:r w:rsidR="007A129D" w:rsidRPr="008C46FE">
        <w:rPr>
          <w:lang w:val="fr-FR"/>
        </w:rPr>
        <w:t>’</w:t>
      </w:r>
      <w:r w:rsidRPr="008C46FE">
        <w:rPr>
          <w:lang w:val="fr-FR"/>
        </w:rPr>
        <w:t>incidence à plus long terme sur les différents exercices biennaux, comme illustré dans le graphique.</w:t>
      </w:r>
    </w:p>
    <w:p w14:paraId="52A73B24" w14:textId="77777777" w:rsidR="00162476" w:rsidRPr="008C46FE" w:rsidRDefault="00162476" w:rsidP="00162476">
      <w:pPr>
        <w:rPr>
          <w:lang w:val="fr-FR"/>
        </w:rPr>
      </w:pPr>
    </w:p>
    <w:p w14:paraId="08985DC1" w14:textId="0BE148BC" w:rsidR="00F508A0" w:rsidRPr="008C46FE" w:rsidRDefault="004202C0" w:rsidP="00E82CD4">
      <w:pPr>
        <w:pStyle w:val="Caption"/>
        <w:keepNext/>
        <w:jc w:val="center"/>
        <w:rPr>
          <w:b w:val="0"/>
          <w:i/>
          <w:szCs w:val="16"/>
          <w:lang w:val="fr-FR"/>
        </w:rPr>
      </w:pPr>
      <w:r w:rsidRPr="008C46FE">
        <w:rPr>
          <w:b w:val="0"/>
          <w:i/>
          <w:szCs w:val="16"/>
          <w:lang w:val="fr-FR"/>
        </w:rPr>
        <w:t>Répartition des réseaux de CATI durables par niveau de développement (fin</w:t>
      </w:r>
      <w:r w:rsidR="006A3DF0" w:rsidRPr="008C46FE">
        <w:rPr>
          <w:b w:val="0"/>
          <w:i/>
          <w:szCs w:val="16"/>
          <w:lang w:val="fr-FR"/>
        </w:rPr>
        <w:t> </w:t>
      </w:r>
      <w:r w:rsidRPr="008C46FE">
        <w:rPr>
          <w:b w:val="0"/>
          <w:i/>
          <w:szCs w:val="16"/>
          <w:lang w:val="fr-FR"/>
        </w:rPr>
        <w:t>2017)</w:t>
      </w:r>
    </w:p>
    <w:p w14:paraId="48E39AF9" w14:textId="4D5BE587" w:rsidR="00F508A0" w:rsidRPr="00CD33B8" w:rsidRDefault="008C46FE" w:rsidP="00E45DD2">
      <w:pPr>
        <w:jc w:val="center"/>
        <w:rPr>
          <w:b/>
          <w:lang w:val="fr-FR"/>
        </w:rPr>
      </w:pPr>
      <w:r w:rsidRPr="008C46FE">
        <w:rPr>
          <w:noProof/>
          <w:lang w:val="fr-FR" w:eastAsia="fr-FR"/>
        </w:rPr>
        <w:drawing>
          <wp:inline distT="0" distB="0" distL="0" distR="0" wp14:anchorId="571B12E0" wp14:editId="59815BAF">
            <wp:extent cx="4406400" cy="291960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400" cy="291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D13C1" w14:textId="77777777" w:rsidR="00F508A0" w:rsidRPr="00CD33B8" w:rsidRDefault="00F508A0" w:rsidP="00162476">
      <w:pPr>
        <w:rPr>
          <w:lang w:val="fr-FR"/>
        </w:rPr>
      </w:pPr>
    </w:p>
    <w:p w14:paraId="58A271F8" w14:textId="77777777" w:rsidR="00F508A0" w:rsidRPr="008C46FE" w:rsidRDefault="00722380" w:rsidP="00722380">
      <w:pPr>
        <w:pStyle w:val="Heading1"/>
        <w:rPr>
          <w:caps w:val="0"/>
          <w:lang w:val="fr-FR"/>
        </w:rPr>
      </w:pPr>
      <w:r w:rsidRPr="008C46FE">
        <w:rPr>
          <w:caps w:val="0"/>
          <w:lang w:val="fr-FR"/>
        </w:rPr>
        <w:lastRenderedPageBreak/>
        <w:t>Renforcement des capacités</w:t>
      </w:r>
    </w:p>
    <w:p w14:paraId="6AFB14AD" w14:textId="77777777" w:rsidR="00F508A0" w:rsidRPr="00CD33B8" w:rsidRDefault="00F508A0" w:rsidP="00E45DD2">
      <w:pPr>
        <w:rPr>
          <w:szCs w:val="22"/>
          <w:lang w:val="fr-FR"/>
        </w:rPr>
      </w:pPr>
    </w:p>
    <w:p w14:paraId="135603D7" w14:textId="58655278" w:rsidR="007A129D" w:rsidRDefault="00E45DD2" w:rsidP="00F508A0">
      <w:pPr>
        <w:pStyle w:val="ONUMFS"/>
        <w:rPr>
          <w:lang w:val="fr-FR"/>
        </w:rPr>
      </w:pPr>
      <w:r w:rsidRPr="00CD33B8">
        <w:rPr>
          <w:lang w:val="fr-FR"/>
        </w:rPr>
        <w:t>L</w:t>
      </w:r>
      <w:r w:rsidR="007A129D">
        <w:rPr>
          <w:lang w:val="fr-FR"/>
        </w:rPr>
        <w:t>’</w:t>
      </w:r>
      <w:r w:rsidRPr="00CD33B8">
        <w:rPr>
          <w:lang w:val="fr-FR"/>
        </w:rPr>
        <w:t>OMPI investit une quantité de ressources significative dans l</w:t>
      </w:r>
      <w:r w:rsidR="007A129D">
        <w:rPr>
          <w:lang w:val="fr-FR"/>
        </w:rPr>
        <w:t>’</w:t>
      </w:r>
      <w:r w:rsidRPr="00CD33B8">
        <w:rPr>
          <w:lang w:val="fr-FR"/>
        </w:rPr>
        <w:t xml:space="preserve">amélioration des capacités humaines, afin que la propriété intellectuelle soit utilisée efficacement dans les pays en développement et en transition, ainsi que les pays les moins avancés (PMA); </w:t>
      </w:r>
      <w:r w:rsidR="006A3DF0">
        <w:rPr>
          <w:lang w:val="fr-FR"/>
        </w:rPr>
        <w:t xml:space="preserve"> </w:t>
      </w:r>
      <w:r w:rsidRPr="00CD33B8">
        <w:rPr>
          <w:lang w:val="fr-FR"/>
        </w:rPr>
        <w:t>il est essent</w:t>
      </w:r>
      <w:r w:rsidR="00E20C96">
        <w:rPr>
          <w:lang w:val="fr-FR"/>
        </w:rPr>
        <w:t>iel d</w:t>
      </w:r>
      <w:r w:rsidR="007A129D">
        <w:rPr>
          <w:lang w:val="fr-FR"/>
        </w:rPr>
        <w:t>’</w:t>
      </w:r>
      <w:r w:rsidR="00E20C96">
        <w:rPr>
          <w:lang w:val="fr-FR"/>
        </w:rPr>
        <w:t xml:space="preserve">évaluer </w:t>
      </w:r>
      <w:r w:rsidRPr="00CD33B8">
        <w:rPr>
          <w:lang w:val="fr-FR"/>
        </w:rPr>
        <w:t>les résultats de ce travail pour obtenir les résultats souhait</w:t>
      </w:r>
      <w:r w:rsidR="007559F4" w:rsidRPr="00CD33B8">
        <w:rPr>
          <w:lang w:val="fr-FR"/>
        </w:rPr>
        <w:t>és</w:t>
      </w:r>
      <w:r w:rsidR="007559F4">
        <w:rPr>
          <w:lang w:val="fr-FR"/>
        </w:rPr>
        <w:t xml:space="preserve">.  </w:t>
      </w:r>
      <w:r w:rsidR="007559F4" w:rsidRPr="00CD33B8">
        <w:rPr>
          <w:lang w:val="fr-FR"/>
        </w:rPr>
        <w:t>Le</w:t>
      </w:r>
      <w:r w:rsidRPr="00CD33B8">
        <w:rPr>
          <w:lang w:val="fr-FR"/>
        </w:rPr>
        <w:t xml:space="preserve"> tableau ci</w:t>
      </w:r>
      <w:r w:rsidR="00FF1E34">
        <w:rPr>
          <w:lang w:val="fr-FR"/>
        </w:rPr>
        <w:noBreakHyphen/>
      </w:r>
      <w:r w:rsidRPr="00CD33B8">
        <w:rPr>
          <w:lang w:val="fr-FR"/>
        </w:rPr>
        <w:t>après illustre les types d</w:t>
      </w:r>
      <w:r w:rsidR="007A129D">
        <w:rPr>
          <w:lang w:val="fr-FR"/>
        </w:rPr>
        <w:t>’</w:t>
      </w:r>
      <w:r w:rsidRPr="00CD33B8">
        <w:rPr>
          <w:lang w:val="fr-FR"/>
        </w:rPr>
        <w:t>indicateurs d</w:t>
      </w:r>
      <w:r w:rsidR="007A129D">
        <w:rPr>
          <w:lang w:val="fr-FR"/>
        </w:rPr>
        <w:t>’</w:t>
      </w:r>
      <w:r w:rsidRPr="00CD33B8">
        <w:rPr>
          <w:lang w:val="fr-FR"/>
        </w:rPr>
        <w:t>exécution utilisés pour évaluer les résultats des activités de renforcement des capacités de l</w:t>
      </w:r>
      <w:r w:rsidR="007A129D">
        <w:rPr>
          <w:lang w:val="fr-FR"/>
        </w:rPr>
        <w:t>’</w:t>
      </w:r>
      <w:r w:rsidRPr="00CD33B8">
        <w:rPr>
          <w:lang w:val="fr-FR"/>
        </w:rPr>
        <w:t>OMPI sur cinq</w:t>
      </w:r>
      <w:r w:rsidR="001661CA">
        <w:rPr>
          <w:lang w:val="fr-FR"/>
        </w:rPr>
        <w:t> </w:t>
      </w:r>
      <w:r w:rsidRPr="00CD33B8">
        <w:rPr>
          <w:lang w:val="fr-FR"/>
        </w:rPr>
        <w:t>exercices biennaux, en utilisant le modèle d</w:t>
      </w:r>
      <w:r w:rsidR="007A129D">
        <w:rPr>
          <w:lang w:val="fr-FR"/>
        </w:rPr>
        <w:t>’</w:t>
      </w:r>
      <w:r w:rsidRPr="00CD33B8">
        <w:rPr>
          <w:lang w:val="fr-FR"/>
        </w:rPr>
        <w:t xml:space="preserve">évaluation du renforcement des capacités de </w:t>
      </w:r>
      <w:proofErr w:type="spellStart"/>
      <w:r w:rsidRPr="00CD33B8">
        <w:rPr>
          <w:lang w:val="fr-FR"/>
        </w:rPr>
        <w:t>Kirkpatrick</w:t>
      </w:r>
      <w:proofErr w:type="spellEnd"/>
      <w:r w:rsidRPr="00CD33B8">
        <w:rPr>
          <w:lang w:val="fr-FR"/>
        </w:rPr>
        <w:t xml:space="preserve"> (modèle de </w:t>
      </w:r>
      <w:proofErr w:type="spellStart"/>
      <w:r w:rsidRPr="00CD33B8">
        <w:rPr>
          <w:lang w:val="fr-FR"/>
        </w:rPr>
        <w:t>Kirkpatrick</w:t>
      </w:r>
      <w:proofErr w:type="spellEnd"/>
      <w:r w:rsidRPr="00CD33B8">
        <w:rPr>
          <w:lang w:val="fr-FR"/>
        </w:rPr>
        <w:t>).</w:t>
      </w:r>
    </w:p>
    <w:p w14:paraId="0786FA10" w14:textId="50777F28" w:rsidR="00E45DD2" w:rsidRPr="00CD33B8" w:rsidRDefault="00E45DD2" w:rsidP="00E45DD2">
      <w:pPr>
        <w:rPr>
          <w:szCs w:val="22"/>
          <w:lang w:val="fr-FR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91"/>
        <w:gridCol w:w="2348"/>
        <w:gridCol w:w="1074"/>
        <w:gridCol w:w="1074"/>
        <w:gridCol w:w="1120"/>
        <w:gridCol w:w="1182"/>
        <w:gridCol w:w="1182"/>
      </w:tblGrid>
      <w:tr w:rsidR="00E45DD2" w:rsidRPr="00CD33B8" w14:paraId="6652674E" w14:textId="77777777" w:rsidTr="00162476">
        <w:tc>
          <w:tcPr>
            <w:tcW w:w="15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033F268" w14:textId="77777777" w:rsidR="00E45DD2" w:rsidRPr="00CD33B8" w:rsidRDefault="00E45DD2" w:rsidP="00162476">
            <w:pPr>
              <w:rPr>
                <w:rFonts w:ascii="Arial Narrow" w:eastAsia="Times New Roman" w:hAnsi="Arial Narrow"/>
                <w:b/>
                <w:color w:val="FFFFFF" w:themeColor="background1"/>
                <w:sz w:val="20"/>
                <w:lang w:val="fr-FR" w:eastAsia="en-US"/>
              </w:rPr>
            </w:pPr>
          </w:p>
        </w:tc>
        <w:tc>
          <w:tcPr>
            <w:tcW w:w="2252" w:type="dxa"/>
            <w:tcBorders>
              <w:top w:val="nil"/>
              <w:left w:val="nil"/>
            </w:tcBorders>
            <w:shd w:val="clear" w:color="auto" w:fill="auto"/>
          </w:tcPr>
          <w:p w14:paraId="43E75B45" w14:textId="77777777" w:rsidR="00E45DD2" w:rsidRPr="00CD33B8" w:rsidRDefault="00E45DD2" w:rsidP="00162476">
            <w:pPr>
              <w:rPr>
                <w:rFonts w:ascii="Arial Narrow" w:eastAsia="Times New Roman" w:hAnsi="Arial Narrow"/>
                <w:b/>
                <w:color w:val="FFFFFF" w:themeColor="background1"/>
                <w:sz w:val="20"/>
                <w:lang w:val="fr-FR" w:eastAsia="en-US"/>
              </w:rPr>
            </w:pPr>
          </w:p>
        </w:tc>
        <w:tc>
          <w:tcPr>
            <w:tcW w:w="5402" w:type="dxa"/>
            <w:gridSpan w:val="5"/>
            <w:shd w:val="clear" w:color="auto" w:fill="365F91" w:themeFill="accent1" w:themeFillShade="BF"/>
            <w:vAlign w:val="center"/>
          </w:tcPr>
          <w:p w14:paraId="1DA53797" w14:textId="77777777" w:rsidR="00E45DD2" w:rsidRPr="00CD33B8" w:rsidRDefault="00E45DD2" w:rsidP="00162476">
            <w:pPr>
              <w:jc w:val="center"/>
              <w:rPr>
                <w:rFonts w:ascii="Arial Narrow" w:eastAsia="Times New Roman" w:hAnsi="Arial Narrow"/>
                <w:b/>
                <w:color w:val="FFFFFF" w:themeColor="background1"/>
                <w:sz w:val="20"/>
                <w:lang w:val="fr-FR" w:eastAsia="en-US"/>
              </w:rPr>
            </w:pPr>
            <w:r w:rsidRPr="00CD33B8">
              <w:rPr>
                <w:rFonts w:ascii="Arial Narrow" w:eastAsia="Times New Roman" w:hAnsi="Arial Narrow"/>
                <w:b/>
                <w:color w:val="FFFFFF" w:themeColor="background1"/>
                <w:sz w:val="20"/>
                <w:lang w:val="fr-FR" w:eastAsia="en-US"/>
              </w:rPr>
              <w:t>Exercice biennal</w:t>
            </w:r>
          </w:p>
        </w:tc>
      </w:tr>
      <w:tr w:rsidR="00E45DD2" w:rsidRPr="00CD33B8" w14:paraId="014CE679" w14:textId="77777777" w:rsidTr="00162476">
        <w:tc>
          <w:tcPr>
            <w:tcW w:w="1526" w:type="dxa"/>
            <w:shd w:val="clear" w:color="auto" w:fill="DBE5F1" w:themeFill="accent1" w:themeFillTint="33"/>
            <w:vAlign w:val="center"/>
          </w:tcPr>
          <w:p w14:paraId="0252182C" w14:textId="77777777" w:rsidR="00E45DD2" w:rsidRPr="00CD33B8" w:rsidRDefault="00E45DD2" w:rsidP="00162476">
            <w:pPr>
              <w:jc w:val="center"/>
              <w:rPr>
                <w:rFonts w:ascii="Arial Narrow" w:eastAsia="Times New Roman" w:hAnsi="Arial Narrow"/>
                <w:b/>
                <w:sz w:val="20"/>
                <w:lang w:val="fr-FR" w:eastAsia="en-US"/>
              </w:rPr>
            </w:pPr>
            <w:r w:rsidRPr="00CD33B8">
              <w:rPr>
                <w:rFonts w:ascii="Arial Narrow" w:eastAsia="Times New Roman" w:hAnsi="Arial Narrow"/>
                <w:b/>
                <w:bCs/>
                <w:sz w:val="20"/>
                <w:lang w:val="fr-FR" w:eastAsia="en-US"/>
              </w:rPr>
              <w:t xml:space="preserve">Niveau de </w:t>
            </w:r>
            <w:proofErr w:type="spellStart"/>
            <w:r w:rsidRPr="00CD33B8">
              <w:rPr>
                <w:rFonts w:ascii="Arial Narrow" w:eastAsia="Times New Roman" w:hAnsi="Arial Narrow"/>
                <w:b/>
                <w:bCs/>
                <w:sz w:val="20"/>
                <w:lang w:val="fr-FR" w:eastAsia="en-US"/>
              </w:rPr>
              <w:t>Kirkpatrick</w:t>
            </w:r>
            <w:proofErr w:type="spellEnd"/>
          </w:p>
        </w:tc>
        <w:tc>
          <w:tcPr>
            <w:tcW w:w="2252" w:type="dxa"/>
            <w:shd w:val="clear" w:color="auto" w:fill="DBE5F1" w:themeFill="accent1" w:themeFillTint="33"/>
            <w:vAlign w:val="center"/>
          </w:tcPr>
          <w:p w14:paraId="2275F4A0" w14:textId="77777777" w:rsidR="00E45DD2" w:rsidRPr="00CD33B8" w:rsidRDefault="00E45DD2" w:rsidP="00162476">
            <w:pPr>
              <w:jc w:val="center"/>
              <w:rPr>
                <w:rFonts w:ascii="Arial Narrow" w:eastAsia="Times New Roman" w:hAnsi="Arial Narrow"/>
                <w:b/>
                <w:sz w:val="20"/>
                <w:lang w:val="fr-FR" w:eastAsia="en-US"/>
              </w:rPr>
            </w:pPr>
            <w:r w:rsidRPr="00CD33B8">
              <w:rPr>
                <w:rFonts w:ascii="Arial Narrow" w:eastAsia="Times New Roman" w:hAnsi="Arial Narrow"/>
                <w:b/>
                <w:bCs/>
                <w:sz w:val="20"/>
                <w:lang w:val="fr-FR" w:eastAsia="en-US"/>
              </w:rPr>
              <w:t>Ce qui est mesuré</w:t>
            </w:r>
          </w:p>
        </w:tc>
        <w:tc>
          <w:tcPr>
            <w:tcW w:w="1030" w:type="dxa"/>
            <w:shd w:val="clear" w:color="auto" w:fill="DBE5F1" w:themeFill="accent1" w:themeFillTint="33"/>
            <w:vAlign w:val="center"/>
          </w:tcPr>
          <w:p w14:paraId="22367126" w14:textId="6B5C9EA0" w:rsidR="00E45DD2" w:rsidRPr="00CD33B8" w:rsidRDefault="002B2BCF" w:rsidP="00162476">
            <w:pPr>
              <w:jc w:val="center"/>
              <w:rPr>
                <w:rFonts w:ascii="Arial Narrow" w:eastAsia="Times New Roman" w:hAnsi="Arial Narrow"/>
                <w:b/>
                <w:sz w:val="20"/>
                <w:lang w:val="fr-FR" w:eastAsia="en-US"/>
              </w:rPr>
            </w:pPr>
            <w:r>
              <w:rPr>
                <w:rFonts w:ascii="Arial Narrow" w:eastAsia="Times New Roman" w:hAnsi="Arial Narrow"/>
                <w:b/>
                <w:sz w:val="20"/>
                <w:lang w:val="fr-FR" w:eastAsia="en-US"/>
              </w:rPr>
              <w:t>2010</w:t>
            </w:r>
            <w:r w:rsidR="00FF1E34">
              <w:rPr>
                <w:rFonts w:ascii="Arial Narrow" w:eastAsia="Times New Roman" w:hAnsi="Arial Narrow"/>
                <w:b/>
                <w:sz w:val="20"/>
                <w:lang w:val="fr-FR" w:eastAsia="en-US"/>
              </w:rPr>
              <w:noBreakHyphen/>
            </w:r>
            <w:r>
              <w:rPr>
                <w:rFonts w:ascii="Arial Narrow" w:eastAsia="Times New Roman" w:hAnsi="Arial Narrow"/>
                <w:b/>
                <w:sz w:val="20"/>
                <w:lang w:val="fr-FR" w:eastAsia="en-US"/>
              </w:rPr>
              <w:t>20</w:t>
            </w:r>
            <w:r w:rsidR="00E45DD2" w:rsidRPr="00CD33B8">
              <w:rPr>
                <w:rFonts w:ascii="Arial Narrow" w:eastAsia="Times New Roman" w:hAnsi="Arial Narrow"/>
                <w:b/>
                <w:sz w:val="20"/>
                <w:lang w:val="fr-FR" w:eastAsia="en-US"/>
              </w:rPr>
              <w:t>11</w:t>
            </w:r>
          </w:p>
        </w:tc>
        <w:tc>
          <w:tcPr>
            <w:tcW w:w="1030" w:type="dxa"/>
            <w:shd w:val="clear" w:color="auto" w:fill="DBE5F1" w:themeFill="accent1" w:themeFillTint="33"/>
            <w:vAlign w:val="center"/>
          </w:tcPr>
          <w:p w14:paraId="1D9F932D" w14:textId="7F2294CD" w:rsidR="00E45DD2" w:rsidRPr="00CD33B8" w:rsidRDefault="002B2BCF" w:rsidP="00162476">
            <w:pPr>
              <w:jc w:val="center"/>
              <w:rPr>
                <w:rFonts w:ascii="Arial Narrow" w:eastAsia="Times New Roman" w:hAnsi="Arial Narrow"/>
                <w:b/>
                <w:sz w:val="20"/>
                <w:lang w:val="fr-FR" w:eastAsia="en-US"/>
              </w:rPr>
            </w:pPr>
            <w:r>
              <w:rPr>
                <w:rFonts w:ascii="Arial Narrow" w:eastAsia="Times New Roman" w:hAnsi="Arial Narrow"/>
                <w:b/>
                <w:sz w:val="20"/>
                <w:lang w:val="fr-FR" w:eastAsia="en-US"/>
              </w:rPr>
              <w:t>2012</w:t>
            </w:r>
            <w:r w:rsidR="00FF1E34">
              <w:rPr>
                <w:rFonts w:ascii="Arial Narrow" w:eastAsia="Times New Roman" w:hAnsi="Arial Narrow"/>
                <w:b/>
                <w:sz w:val="20"/>
                <w:lang w:val="fr-FR" w:eastAsia="en-US"/>
              </w:rPr>
              <w:noBreakHyphen/>
            </w:r>
            <w:r>
              <w:rPr>
                <w:rFonts w:ascii="Arial Narrow" w:eastAsia="Times New Roman" w:hAnsi="Arial Narrow"/>
                <w:b/>
                <w:sz w:val="20"/>
                <w:lang w:val="fr-FR" w:eastAsia="en-US"/>
              </w:rPr>
              <w:t>20</w:t>
            </w:r>
            <w:r w:rsidR="00E45DD2" w:rsidRPr="00CD33B8">
              <w:rPr>
                <w:rFonts w:ascii="Arial Narrow" w:eastAsia="Times New Roman" w:hAnsi="Arial Narrow"/>
                <w:b/>
                <w:sz w:val="20"/>
                <w:lang w:val="fr-FR" w:eastAsia="en-US"/>
              </w:rPr>
              <w:t>13</w:t>
            </w:r>
          </w:p>
        </w:tc>
        <w:tc>
          <w:tcPr>
            <w:tcW w:w="1074" w:type="dxa"/>
            <w:shd w:val="clear" w:color="auto" w:fill="DBE5F1" w:themeFill="accent1" w:themeFillTint="33"/>
            <w:vAlign w:val="center"/>
          </w:tcPr>
          <w:p w14:paraId="0DDDED0F" w14:textId="3D0AA749" w:rsidR="00E45DD2" w:rsidRPr="00CD33B8" w:rsidRDefault="002B2BCF" w:rsidP="00162476">
            <w:pPr>
              <w:jc w:val="center"/>
              <w:rPr>
                <w:rFonts w:ascii="Arial Narrow" w:eastAsia="Times New Roman" w:hAnsi="Arial Narrow"/>
                <w:b/>
                <w:sz w:val="20"/>
                <w:lang w:val="fr-FR" w:eastAsia="en-US"/>
              </w:rPr>
            </w:pPr>
            <w:r>
              <w:rPr>
                <w:rFonts w:ascii="Arial Narrow" w:eastAsia="Times New Roman" w:hAnsi="Arial Narrow"/>
                <w:b/>
                <w:sz w:val="20"/>
                <w:lang w:val="fr-FR" w:eastAsia="en-US"/>
              </w:rPr>
              <w:t>2014</w:t>
            </w:r>
            <w:r w:rsidR="00FF1E34">
              <w:rPr>
                <w:rFonts w:ascii="Arial Narrow" w:eastAsia="Times New Roman" w:hAnsi="Arial Narrow"/>
                <w:b/>
                <w:sz w:val="20"/>
                <w:lang w:val="fr-FR" w:eastAsia="en-US"/>
              </w:rPr>
              <w:noBreakHyphen/>
            </w:r>
            <w:r>
              <w:rPr>
                <w:rFonts w:ascii="Arial Narrow" w:eastAsia="Times New Roman" w:hAnsi="Arial Narrow"/>
                <w:b/>
                <w:sz w:val="20"/>
                <w:lang w:val="fr-FR" w:eastAsia="en-US"/>
              </w:rPr>
              <w:t>20</w:t>
            </w:r>
            <w:r w:rsidR="00E45DD2" w:rsidRPr="00CD33B8">
              <w:rPr>
                <w:rFonts w:ascii="Arial Narrow" w:eastAsia="Times New Roman" w:hAnsi="Arial Narrow"/>
                <w:b/>
                <w:sz w:val="20"/>
                <w:lang w:val="fr-FR" w:eastAsia="en-US"/>
              </w:rPr>
              <w:t>15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5DC0569" w14:textId="602387EB" w:rsidR="00E45DD2" w:rsidRPr="00CD33B8" w:rsidRDefault="002B2BCF" w:rsidP="00162476">
            <w:pPr>
              <w:jc w:val="center"/>
              <w:rPr>
                <w:rFonts w:ascii="Arial Narrow" w:eastAsia="Times New Roman" w:hAnsi="Arial Narrow"/>
                <w:b/>
                <w:sz w:val="20"/>
                <w:lang w:val="fr-FR" w:eastAsia="en-US"/>
              </w:rPr>
            </w:pPr>
            <w:r>
              <w:rPr>
                <w:rFonts w:ascii="Arial Narrow" w:eastAsia="Times New Roman" w:hAnsi="Arial Narrow"/>
                <w:b/>
                <w:sz w:val="20"/>
                <w:lang w:val="fr-FR" w:eastAsia="en-US"/>
              </w:rPr>
              <w:t>2016</w:t>
            </w:r>
            <w:r w:rsidR="00FF1E34">
              <w:rPr>
                <w:rFonts w:ascii="Arial Narrow" w:eastAsia="Times New Roman" w:hAnsi="Arial Narrow"/>
                <w:b/>
                <w:sz w:val="20"/>
                <w:lang w:val="fr-FR" w:eastAsia="en-US"/>
              </w:rPr>
              <w:noBreakHyphen/>
            </w:r>
            <w:r>
              <w:rPr>
                <w:rFonts w:ascii="Arial Narrow" w:eastAsia="Times New Roman" w:hAnsi="Arial Narrow"/>
                <w:b/>
                <w:sz w:val="20"/>
                <w:lang w:val="fr-FR" w:eastAsia="en-US"/>
              </w:rPr>
              <w:t>20</w:t>
            </w:r>
            <w:r w:rsidR="00E45DD2" w:rsidRPr="00CD33B8">
              <w:rPr>
                <w:rFonts w:ascii="Arial Narrow" w:eastAsia="Times New Roman" w:hAnsi="Arial Narrow"/>
                <w:b/>
                <w:sz w:val="20"/>
                <w:lang w:val="fr-FR" w:eastAsia="en-US"/>
              </w:rPr>
              <w:t>17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4C84006" w14:textId="0EF44608" w:rsidR="00E45DD2" w:rsidRPr="00CD33B8" w:rsidRDefault="002B2BCF" w:rsidP="00162476">
            <w:pPr>
              <w:jc w:val="center"/>
              <w:rPr>
                <w:rFonts w:ascii="Arial Narrow" w:eastAsia="Times New Roman" w:hAnsi="Arial Narrow"/>
                <w:b/>
                <w:sz w:val="20"/>
                <w:lang w:val="fr-FR" w:eastAsia="en-US"/>
              </w:rPr>
            </w:pPr>
            <w:r>
              <w:rPr>
                <w:rFonts w:ascii="Arial Narrow" w:eastAsia="Times New Roman" w:hAnsi="Arial Narrow"/>
                <w:b/>
                <w:sz w:val="20"/>
                <w:lang w:val="fr-FR" w:eastAsia="en-US"/>
              </w:rPr>
              <w:t>2018</w:t>
            </w:r>
            <w:r w:rsidR="00FF1E34">
              <w:rPr>
                <w:rFonts w:ascii="Arial Narrow" w:eastAsia="Times New Roman" w:hAnsi="Arial Narrow"/>
                <w:b/>
                <w:sz w:val="20"/>
                <w:lang w:val="fr-FR" w:eastAsia="en-US"/>
              </w:rPr>
              <w:noBreakHyphen/>
            </w:r>
            <w:r>
              <w:rPr>
                <w:rFonts w:ascii="Arial Narrow" w:eastAsia="Times New Roman" w:hAnsi="Arial Narrow"/>
                <w:b/>
                <w:sz w:val="20"/>
                <w:lang w:val="fr-FR" w:eastAsia="en-US"/>
              </w:rPr>
              <w:t>20</w:t>
            </w:r>
            <w:r w:rsidR="00E45DD2" w:rsidRPr="00CD33B8">
              <w:rPr>
                <w:rFonts w:ascii="Arial Narrow" w:eastAsia="Times New Roman" w:hAnsi="Arial Narrow"/>
                <w:b/>
                <w:sz w:val="20"/>
                <w:lang w:val="fr-FR" w:eastAsia="en-US"/>
              </w:rPr>
              <w:t>19</w:t>
            </w:r>
          </w:p>
        </w:tc>
      </w:tr>
      <w:tr w:rsidR="00E45DD2" w:rsidRPr="00CD33B8" w14:paraId="749FFD78" w14:textId="77777777" w:rsidTr="00162476">
        <w:tc>
          <w:tcPr>
            <w:tcW w:w="1526" w:type="dxa"/>
            <w:vAlign w:val="center"/>
          </w:tcPr>
          <w:p w14:paraId="7E325D96" w14:textId="472FBD2C" w:rsidR="00E45DD2" w:rsidRPr="00CD33B8" w:rsidRDefault="00E45DD2" w:rsidP="00162476">
            <w:pPr>
              <w:rPr>
                <w:rFonts w:ascii="Arial Narrow" w:eastAsia="Times New Roman" w:hAnsi="Arial Narrow"/>
                <w:sz w:val="20"/>
                <w:lang w:val="fr-FR" w:eastAsia="de-DE"/>
              </w:rPr>
            </w:pPr>
            <w:r w:rsidRPr="00CD33B8">
              <w:rPr>
                <w:rFonts w:ascii="Arial Narrow" w:eastAsia="Times New Roman" w:hAnsi="Arial Narrow"/>
                <w:bCs/>
                <w:sz w:val="20"/>
                <w:lang w:val="fr-FR" w:eastAsia="de-DE"/>
              </w:rPr>
              <w:t>1</w:t>
            </w:r>
            <w:r w:rsidR="002B2BCF">
              <w:rPr>
                <w:rFonts w:ascii="Arial Narrow" w:eastAsia="Times New Roman" w:hAnsi="Arial Narrow"/>
                <w:bCs/>
                <w:sz w:val="20"/>
                <w:lang w:val="fr-FR" w:eastAsia="de-DE"/>
              </w:rPr>
              <w:t>.</w:t>
            </w:r>
            <w:r w:rsidRPr="00CD33B8">
              <w:rPr>
                <w:rFonts w:ascii="Arial Narrow" w:eastAsia="Times New Roman" w:hAnsi="Arial Narrow"/>
                <w:bCs/>
                <w:sz w:val="20"/>
                <w:lang w:val="fr-FR" w:eastAsia="de-DE"/>
              </w:rPr>
              <w:t xml:space="preserve"> </w:t>
            </w:r>
            <w:r w:rsidR="001661CA">
              <w:rPr>
                <w:rFonts w:ascii="Arial Narrow" w:eastAsia="Times New Roman" w:hAnsi="Arial Narrow"/>
                <w:bCs/>
                <w:sz w:val="20"/>
                <w:lang w:val="fr-FR" w:eastAsia="de-DE"/>
              </w:rPr>
              <w:t xml:space="preserve"> </w:t>
            </w:r>
            <w:r w:rsidRPr="00CD33B8">
              <w:rPr>
                <w:rFonts w:ascii="Arial Narrow" w:eastAsia="Times New Roman" w:hAnsi="Arial Narrow"/>
                <w:bCs/>
                <w:sz w:val="20"/>
                <w:lang w:val="fr-FR" w:eastAsia="de-DE"/>
              </w:rPr>
              <w:t>Réaction</w:t>
            </w:r>
          </w:p>
        </w:tc>
        <w:tc>
          <w:tcPr>
            <w:tcW w:w="2252" w:type="dxa"/>
            <w:vAlign w:val="center"/>
          </w:tcPr>
          <w:p w14:paraId="6D3D3515" w14:textId="77777777" w:rsidR="00E45DD2" w:rsidRPr="00CD33B8" w:rsidRDefault="00E45DD2" w:rsidP="00162476">
            <w:pPr>
              <w:rPr>
                <w:rFonts w:ascii="Arial Narrow" w:eastAsia="Times New Roman" w:hAnsi="Arial Narrow"/>
                <w:sz w:val="20"/>
                <w:lang w:val="fr-FR" w:eastAsia="de-DE"/>
              </w:rPr>
            </w:pPr>
            <w:r w:rsidRPr="00CD33B8">
              <w:rPr>
                <w:rFonts w:ascii="Arial Narrow" w:eastAsia="Times New Roman" w:hAnsi="Arial Narrow"/>
                <w:bCs/>
                <w:sz w:val="20"/>
                <w:lang w:val="fr-FR" w:eastAsia="de-DE"/>
              </w:rPr>
              <w:t>Mesure le degré de satisfaction du participant</w:t>
            </w:r>
          </w:p>
        </w:tc>
        <w:tc>
          <w:tcPr>
            <w:tcW w:w="1030" w:type="dxa"/>
            <w:vAlign w:val="center"/>
          </w:tcPr>
          <w:p w14:paraId="602A5A17" w14:textId="77777777" w:rsidR="00E45DD2" w:rsidRPr="00CD33B8" w:rsidRDefault="00E45DD2" w:rsidP="00162476">
            <w:pPr>
              <w:jc w:val="center"/>
              <w:rPr>
                <w:rFonts w:ascii="Webdings" w:eastAsia="Times New Roman" w:hAnsi="Webdings"/>
                <w:sz w:val="48"/>
                <w:szCs w:val="48"/>
                <w:lang w:val="fr-FR" w:eastAsia="en-US"/>
              </w:rPr>
            </w:pPr>
            <w:r w:rsidRPr="00CD33B8">
              <w:rPr>
                <w:rFonts w:ascii="Webdings" w:eastAsia="Times New Roman" w:hAnsi="Webdings"/>
                <w:sz w:val="48"/>
                <w:szCs w:val="48"/>
                <w:lang w:val="fr-FR" w:eastAsia="en-US"/>
              </w:rPr>
              <w:t></w:t>
            </w:r>
          </w:p>
        </w:tc>
        <w:tc>
          <w:tcPr>
            <w:tcW w:w="1030" w:type="dxa"/>
            <w:vAlign w:val="center"/>
          </w:tcPr>
          <w:p w14:paraId="53CF211C" w14:textId="77777777" w:rsidR="00E45DD2" w:rsidRPr="00CD33B8" w:rsidRDefault="00E45DD2" w:rsidP="00162476">
            <w:pPr>
              <w:jc w:val="center"/>
              <w:rPr>
                <w:rFonts w:ascii="Wingdings" w:eastAsia="Times New Roman" w:hAnsi="Wingdings"/>
                <w:sz w:val="20"/>
                <w:lang w:val="fr-FR" w:eastAsia="en-US"/>
              </w:rPr>
            </w:pPr>
            <w:r w:rsidRPr="00CD33B8">
              <w:rPr>
                <w:rFonts w:ascii="Webdings" w:eastAsia="Times New Roman" w:hAnsi="Webdings"/>
                <w:sz w:val="48"/>
                <w:szCs w:val="48"/>
                <w:lang w:val="fr-FR" w:eastAsia="en-US"/>
              </w:rPr>
              <w:t></w:t>
            </w:r>
          </w:p>
        </w:tc>
        <w:tc>
          <w:tcPr>
            <w:tcW w:w="1074" w:type="dxa"/>
            <w:vAlign w:val="center"/>
          </w:tcPr>
          <w:p w14:paraId="4C361992" w14:textId="77777777" w:rsidR="00E45DD2" w:rsidRPr="00CD33B8" w:rsidRDefault="00E45DD2" w:rsidP="00162476">
            <w:pPr>
              <w:jc w:val="center"/>
              <w:rPr>
                <w:rFonts w:ascii="Wingdings" w:eastAsia="Times New Roman" w:hAnsi="Wingdings"/>
                <w:sz w:val="20"/>
                <w:lang w:val="fr-FR" w:eastAsia="en-US"/>
              </w:rPr>
            </w:pPr>
            <w:r w:rsidRPr="00CD33B8">
              <w:rPr>
                <w:rFonts w:ascii="Webdings" w:eastAsia="Times New Roman" w:hAnsi="Webdings"/>
                <w:sz w:val="48"/>
                <w:szCs w:val="48"/>
                <w:lang w:val="fr-FR" w:eastAsia="en-US"/>
              </w:rPr>
              <w:t></w:t>
            </w:r>
          </w:p>
        </w:tc>
        <w:tc>
          <w:tcPr>
            <w:tcW w:w="1134" w:type="dxa"/>
            <w:vAlign w:val="center"/>
          </w:tcPr>
          <w:p w14:paraId="527FCD2E" w14:textId="77777777" w:rsidR="00E45DD2" w:rsidRPr="00CD33B8" w:rsidRDefault="00E45DD2" w:rsidP="00162476">
            <w:pPr>
              <w:jc w:val="center"/>
              <w:rPr>
                <w:rFonts w:ascii="Wingdings" w:eastAsia="Times New Roman" w:hAnsi="Wingdings"/>
                <w:sz w:val="20"/>
                <w:lang w:val="fr-FR" w:eastAsia="en-US"/>
              </w:rPr>
            </w:pPr>
            <w:r w:rsidRPr="00CD33B8">
              <w:rPr>
                <w:rFonts w:ascii="Webdings" w:eastAsia="Times New Roman" w:hAnsi="Webdings"/>
                <w:sz w:val="48"/>
                <w:szCs w:val="48"/>
                <w:lang w:val="fr-FR" w:eastAsia="en-US"/>
              </w:rPr>
              <w:t></w:t>
            </w:r>
          </w:p>
        </w:tc>
        <w:tc>
          <w:tcPr>
            <w:tcW w:w="1134" w:type="dxa"/>
            <w:vAlign w:val="center"/>
          </w:tcPr>
          <w:p w14:paraId="0BEF4112" w14:textId="77777777" w:rsidR="00E45DD2" w:rsidRPr="00CD33B8" w:rsidRDefault="00E45DD2" w:rsidP="00162476">
            <w:pPr>
              <w:jc w:val="center"/>
              <w:rPr>
                <w:rFonts w:ascii="Wingdings" w:eastAsia="Times New Roman" w:hAnsi="Wingdings"/>
                <w:sz w:val="20"/>
                <w:lang w:val="fr-FR" w:eastAsia="en-US"/>
              </w:rPr>
            </w:pPr>
            <w:r w:rsidRPr="00CD33B8">
              <w:rPr>
                <w:rFonts w:ascii="Webdings" w:eastAsia="Times New Roman" w:hAnsi="Webdings"/>
                <w:sz w:val="48"/>
                <w:szCs w:val="48"/>
                <w:lang w:val="fr-FR" w:eastAsia="en-US"/>
              </w:rPr>
              <w:t></w:t>
            </w:r>
          </w:p>
        </w:tc>
      </w:tr>
      <w:tr w:rsidR="00E45DD2" w:rsidRPr="00CD33B8" w14:paraId="0BC00228" w14:textId="77777777" w:rsidTr="00162476">
        <w:tc>
          <w:tcPr>
            <w:tcW w:w="1526" w:type="dxa"/>
            <w:vAlign w:val="center"/>
          </w:tcPr>
          <w:p w14:paraId="38CBCBB2" w14:textId="0D791C53" w:rsidR="00E45DD2" w:rsidRPr="00CD33B8" w:rsidRDefault="00E45DD2" w:rsidP="00162476">
            <w:pPr>
              <w:rPr>
                <w:rFonts w:ascii="Arial Narrow" w:eastAsia="Times New Roman" w:hAnsi="Arial Narrow"/>
                <w:sz w:val="20"/>
                <w:lang w:val="fr-FR" w:eastAsia="de-DE"/>
              </w:rPr>
            </w:pPr>
            <w:r w:rsidRPr="00CD33B8">
              <w:rPr>
                <w:rFonts w:ascii="Arial Narrow" w:eastAsia="Times New Roman" w:hAnsi="Arial Narrow"/>
                <w:bCs/>
                <w:sz w:val="20"/>
                <w:lang w:val="fr-FR" w:eastAsia="de-DE"/>
              </w:rPr>
              <w:t>2</w:t>
            </w:r>
            <w:r w:rsidR="002B2BCF">
              <w:rPr>
                <w:rFonts w:ascii="Arial Narrow" w:eastAsia="Times New Roman" w:hAnsi="Arial Narrow"/>
                <w:bCs/>
                <w:sz w:val="20"/>
                <w:lang w:val="fr-FR" w:eastAsia="de-DE"/>
              </w:rPr>
              <w:t>.</w:t>
            </w:r>
            <w:r w:rsidRPr="00CD33B8">
              <w:rPr>
                <w:rFonts w:ascii="Arial Narrow" w:eastAsia="Times New Roman" w:hAnsi="Arial Narrow"/>
                <w:bCs/>
                <w:sz w:val="20"/>
                <w:lang w:val="fr-FR" w:eastAsia="de-DE"/>
              </w:rPr>
              <w:t xml:space="preserve"> </w:t>
            </w:r>
            <w:r w:rsidR="001661CA">
              <w:rPr>
                <w:rFonts w:ascii="Arial Narrow" w:eastAsia="Times New Roman" w:hAnsi="Arial Narrow"/>
                <w:bCs/>
                <w:sz w:val="20"/>
                <w:lang w:val="fr-FR" w:eastAsia="de-DE"/>
              </w:rPr>
              <w:t xml:space="preserve"> </w:t>
            </w:r>
            <w:r w:rsidRPr="00CD33B8">
              <w:rPr>
                <w:rFonts w:ascii="Arial Narrow" w:eastAsia="Times New Roman" w:hAnsi="Arial Narrow"/>
                <w:bCs/>
                <w:sz w:val="20"/>
                <w:lang w:val="fr-FR" w:eastAsia="de-DE"/>
              </w:rPr>
              <w:t>Apprentissage</w:t>
            </w:r>
          </w:p>
        </w:tc>
        <w:tc>
          <w:tcPr>
            <w:tcW w:w="2252" w:type="dxa"/>
            <w:vAlign w:val="center"/>
          </w:tcPr>
          <w:p w14:paraId="7D52431A" w14:textId="649EB0ED" w:rsidR="00E45DD2" w:rsidRPr="00CD33B8" w:rsidRDefault="00E45DD2" w:rsidP="00162476">
            <w:pPr>
              <w:rPr>
                <w:rFonts w:ascii="Arial Narrow" w:eastAsia="Times New Roman" w:hAnsi="Arial Narrow"/>
                <w:sz w:val="20"/>
                <w:lang w:val="fr-FR" w:eastAsia="de-DE"/>
              </w:rPr>
            </w:pPr>
            <w:r w:rsidRPr="00CD33B8">
              <w:rPr>
                <w:rFonts w:ascii="Arial Narrow" w:eastAsia="Times New Roman" w:hAnsi="Arial Narrow"/>
                <w:bCs/>
                <w:sz w:val="20"/>
                <w:lang w:val="fr-FR" w:eastAsia="de-DE"/>
              </w:rPr>
              <w:t>Mesure</w:t>
            </w:r>
            <w:r w:rsidRPr="00CD33B8">
              <w:rPr>
                <w:rFonts w:ascii="Arial Narrow" w:eastAsia="Times New Roman" w:hAnsi="Arial Narrow"/>
                <w:sz w:val="20"/>
                <w:lang w:val="fr-FR" w:eastAsia="de-DE"/>
              </w:rPr>
              <w:t xml:space="preserve"> l</w:t>
            </w:r>
            <w:r w:rsidR="007A129D">
              <w:rPr>
                <w:rFonts w:ascii="Arial Narrow" w:eastAsia="Times New Roman" w:hAnsi="Arial Narrow"/>
                <w:sz w:val="20"/>
                <w:lang w:val="fr-FR" w:eastAsia="de-DE"/>
              </w:rPr>
              <w:t>’</w:t>
            </w:r>
            <w:r w:rsidRPr="00CD33B8">
              <w:rPr>
                <w:rFonts w:ascii="Arial Narrow" w:eastAsia="Times New Roman" w:hAnsi="Arial Narrow"/>
                <w:sz w:val="20"/>
                <w:lang w:val="fr-FR" w:eastAsia="de-DE"/>
              </w:rPr>
              <w:t>augmentation</w:t>
            </w:r>
            <w:r w:rsidRPr="00CD33B8">
              <w:rPr>
                <w:rFonts w:ascii="Arial Narrow" w:eastAsia="Times New Roman" w:hAnsi="Arial Narrow"/>
                <w:bCs/>
                <w:sz w:val="20"/>
                <w:lang w:val="fr-FR" w:eastAsia="de-DE"/>
              </w:rPr>
              <w:t xml:space="preserve"> du savoir </w:t>
            </w:r>
            <w:r w:rsidR="007559F4">
              <w:rPr>
                <w:rFonts w:ascii="Arial Narrow" w:eastAsia="Times New Roman" w:hAnsi="Arial Narrow"/>
                <w:sz w:val="20"/>
                <w:lang w:val="fr-FR" w:eastAsia="de-DE"/>
              </w:rPr>
              <w:t>–</w:t>
            </w:r>
            <w:r w:rsidRPr="00CD33B8">
              <w:rPr>
                <w:rFonts w:ascii="Arial Narrow" w:eastAsia="Times New Roman" w:hAnsi="Arial Narrow"/>
                <w:sz w:val="20"/>
                <w:lang w:val="fr-FR" w:eastAsia="de-DE"/>
              </w:rPr>
              <w:t xml:space="preserve"> avant et après la formation</w:t>
            </w:r>
          </w:p>
        </w:tc>
        <w:tc>
          <w:tcPr>
            <w:tcW w:w="1030" w:type="dxa"/>
            <w:vAlign w:val="center"/>
          </w:tcPr>
          <w:p w14:paraId="57E53BAC" w14:textId="77777777" w:rsidR="00E45DD2" w:rsidRPr="00CD33B8" w:rsidRDefault="00E45DD2" w:rsidP="00162476">
            <w:pPr>
              <w:jc w:val="center"/>
              <w:rPr>
                <w:rFonts w:ascii="Webdings" w:eastAsia="Times New Roman" w:hAnsi="Webdings"/>
                <w:sz w:val="20"/>
                <w:lang w:val="fr-FR" w:eastAsia="en-US"/>
              </w:rPr>
            </w:pPr>
          </w:p>
        </w:tc>
        <w:tc>
          <w:tcPr>
            <w:tcW w:w="1030" w:type="dxa"/>
            <w:vAlign w:val="center"/>
          </w:tcPr>
          <w:p w14:paraId="102F1FD0" w14:textId="77777777" w:rsidR="00E45DD2" w:rsidRPr="00CD33B8" w:rsidRDefault="00E45DD2" w:rsidP="00162476">
            <w:pPr>
              <w:jc w:val="center"/>
              <w:rPr>
                <w:rFonts w:ascii="Wingdings" w:eastAsia="Times New Roman" w:hAnsi="Wingdings"/>
                <w:sz w:val="20"/>
                <w:lang w:val="fr-FR" w:eastAsia="en-US"/>
              </w:rPr>
            </w:pPr>
          </w:p>
        </w:tc>
        <w:tc>
          <w:tcPr>
            <w:tcW w:w="1074" w:type="dxa"/>
            <w:vAlign w:val="center"/>
          </w:tcPr>
          <w:p w14:paraId="7AE4185F" w14:textId="77777777" w:rsidR="00E45DD2" w:rsidRPr="00CD33B8" w:rsidRDefault="00E45DD2" w:rsidP="00162476">
            <w:pPr>
              <w:jc w:val="center"/>
              <w:rPr>
                <w:rFonts w:ascii="Wingdings" w:eastAsia="Times New Roman" w:hAnsi="Wingdings"/>
                <w:sz w:val="20"/>
                <w:lang w:val="fr-FR" w:eastAsia="en-US"/>
              </w:rPr>
            </w:pPr>
          </w:p>
        </w:tc>
        <w:tc>
          <w:tcPr>
            <w:tcW w:w="1134" w:type="dxa"/>
            <w:vAlign w:val="center"/>
          </w:tcPr>
          <w:p w14:paraId="1B87DBFE" w14:textId="77777777" w:rsidR="00E45DD2" w:rsidRPr="00CD33B8" w:rsidRDefault="00E45DD2" w:rsidP="00162476">
            <w:pPr>
              <w:jc w:val="center"/>
              <w:rPr>
                <w:rFonts w:ascii="Wingdings" w:eastAsia="Times New Roman" w:hAnsi="Wingdings"/>
                <w:sz w:val="20"/>
                <w:lang w:val="fr-FR" w:eastAsia="en-US"/>
              </w:rPr>
            </w:pPr>
          </w:p>
        </w:tc>
        <w:tc>
          <w:tcPr>
            <w:tcW w:w="1134" w:type="dxa"/>
            <w:vAlign w:val="center"/>
          </w:tcPr>
          <w:p w14:paraId="460F4CE8" w14:textId="77777777" w:rsidR="00F508A0" w:rsidRPr="00CD33B8" w:rsidRDefault="00E45DD2" w:rsidP="00162476">
            <w:pPr>
              <w:jc w:val="center"/>
              <w:rPr>
                <w:rFonts w:ascii="Webdings" w:eastAsia="Times New Roman" w:hAnsi="Webdings"/>
                <w:sz w:val="48"/>
                <w:szCs w:val="48"/>
                <w:lang w:val="fr-FR" w:eastAsia="en-US"/>
              </w:rPr>
            </w:pPr>
            <w:r w:rsidRPr="00CD33B8">
              <w:rPr>
                <w:rFonts w:ascii="Webdings" w:eastAsia="Times New Roman" w:hAnsi="Webdings"/>
                <w:sz w:val="48"/>
                <w:szCs w:val="48"/>
                <w:lang w:val="fr-FR" w:eastAsia="en-US"/>
              </w:rPr>
              <w:t></w:t>
            </w:r>
          </w:p>
          <w:p w14:paraId="54062B82" w14:textId="77777777" w:rsidR="00E45DD2" w:rsidRPr="00CD33B8" w:rsidRDefault="00E45DD2" w:rsidP="00162476">
            <w:pPr>
              <w:jc w:val="center"/>
              <w:rPr>
                <w:rFonts w:ascii="Wingdings" w:eastAsia="Times New Roman" w:hAnsi="Wingdings"/>
                <w:sz w:val="20"/>
                <w:lang w:val="fr-FR" w:eastAsia="en-US"/>
              </w:rPr>
            </w:pPr>
          </w:p>
        </w:tc>
      </w:tr>
      <w:tr w:rsidR="00E45DD2" w:rsidRPr="00CD33B8" w14:paraId="716030E3" w14:textId="77777777" w:rsidTr="00162476">
        <w:tc>
          <w:tcPr>
            <w:tcW w:w="1526" w:type="dxa"/>
            <w:vAlign w:val="center"/>
          </w:tcPr>
          <w:p w14:paraId="601F6988" w14:textId="77777777" w:rsidR="00E45DD2" w:rsidRPr="00CD33B8" w:rsidRDefault="00E45DD2" w:rsidP="00162476">
            <w:pPr>
              <w:rPr>
                <w:rFonts w:ascii="Arial Narrow" w:eastAsia="Times New Roman" w:hAnsi="Arial Narrow"/>
                <w:sz w:val="20"/>
                <w:lang w:val="fr-FR" w:eastAsia="de-DE"/>
              </w:rPr>
            </w:pPr>
            <w:r w:rsidRPr="00CD33B8">
              <w:rPr>
                <w:rFonts w:ascii="Arial Narrow" w:eastAsia="Times New Roman" w:hAnsi="Arial Narrow"/>
                <w:bCs/>
                <w:sz w:val="20"/>
                <w:lang w:val="fr-FR" w:eastAsia="de-DE"/>
              </w:rPr>
              <w:t>3 Comportement</w:t>
            </w:r>
          </w:p>
        </w:tc>
        <w:tc>
          <w:tcPr>
            <w:tcW w:w="2252" w:type="dxa"/>
            <w:vAlign w:val="center"/>
          </w:tcPr>
          <w:p w14:paraId="30207EAB" w14:textId="25B4B4CC" w:rsidR="00E45DD2" w:rsidRPr="00CD33B8" w:rsidRDefault="00E45DD2" w:rsidP="00162476">
            <w:pPr>
              <w:rPr>
                <w:rFonts w:ascii="Arial Narrow" w:eastAsia="Times New Roman" w:hAnsi="Arial Narrow"/>
                <w:sz w:val="20"/>
                <w:lang w:val="fr-FR" w:eastAsia="de-DE"/>
              </w:rPr>
            </w:pPr>
            <w:r w:rsidRPr="00CD33B8">
              <w:rPr>
                <w:rFonts w:ascii="Arial Narrow" w:eastAsia="Times New Roman" w:hAnsi="Arial Narrow"/>
                <w:bCs/>
                <w:sz w:val="20"/>
                <w:lang w:val="fr-FR" w:eastAsia="de-DE"/>
              </w:rPr>
              <w:t>Mesure</w:t>
            </w:r>
            <w:r w:rsidRPr="00CD33B8">
              <w:rPr>
                <w:rFonts w:ascii="Arial Narrow" w:eastAsia="Times New Roman" w:hAnsi="Arial Narrow"/>
                <w:sz w:val="20"/>
                <w:lang w:val="fr-FR" w:eastAsia="de-DE"/>
              </w:rPr>
              <w:t xml:space="preserve"> la portée de </w:t>
            </w:r>
            <w:r w:rsidRPr="00CD33B8">
              <w:rPr>
                <w:rFonts w:ascii="Arial Narrow" w:eastAsia="Times New Roman" w:hAnsi="Arial Narrow"/>
                <w:bCs/>
                <w:sz w:val="20"/>
                <w:lang w:val="fr-FR" w:eastAsia="de-DE"/>
              </w:rPr>
              <w:t>l</w:t>
            </w:r>
            <w:r w:rsidR="007A129D">
              <w:rPr>
                <w:rFonts w:ascii="Arial Narrow" w:eastAsia="Times New Roman" w:hAnsi="Arial Narrow"/>
                <w:bCs/>
                <w:sz w:val="20"/>
                <w:lang w:val="fr-FR" w:eastAsia="de-DE"/>
              </w:rPr>
              <w:t>’</w:t>
            </w:r>
            <w:r w:rsidRPr="00CD33B8">
              <w:rPr>
                <w:rFonts w:ascii="Arial Narrow" w:eastAsia="Times New Roman" w:hAnsi="Arial Narrow"/>
                <w:bCs/>
                <w:sz w:val="20"/>
                <w:lang w:val="fr-FR" w:eastAsia="de-DE"/>
              </w:rPr>
              <w:t>application du savoir</w:t>
            </w:r>
            <w:r w:rsidR="00E20C96">
              <w:rPr>
                <w:rFonts w:ascii="Arial Narrow" w:eastAsia="Times New Roman" w:hAnsi="Arial Narrow"/>
                <w:sz w:val="20"/>
                <w:lang w:val="fr-FR" w:eastAsia="de-DE"/>
              </w:rPr>
              <w:t xml:space="preserve"> dans l</w:t>
            </w:r>
            <w:r w:rsidR="007A129D">
              <w:rPr>
                <w:rFonts w:ascii="Arial Narrow" w:eastAsia="Times New Roman" w:hAnsi="Arial Narrow"/>
                <w:sz w:val="20"/>
                <w:lang w:val="fr-FR" w:eastAsia="de-DE"/>
              </w:rPr>
              <w:t>’</w:t>
            </w:r>
            <w:r w:rsidR="00E20C96">
              <w:rPr>
                <w:rFonts w:ascii="Arial Narrow" w:eastAsia="Times New Roman" w:hAnsi="Arial Narrow"/>
                <w:sz w:val="20"/>
                <w:lang w:val="fr-FR" w:eastAsia="de-DE"/>
              </w:rPr>
              <w:t>activité</w:t>
            </w:r>
            <w:r w:rsidR="006A3DF0">
              <w:rPr>
                <w:rFonts w:ascii="Arial Narrow" w:eastAsia="Times New Roman" w:hAnsi="Arial Narrow"/>
                <w:sz w:val="20"/>
                <w:lang w:val="fr-FR" w:eastAsia="de-DE"/>
              </w:rPr>
              <w:t> </w:t>
            </w:r>
            <w:r w:rsidR="00E20C96">
              <w:rPr>
                <w:rFonts w:ascii="Arial Narrow" w:eastAsia="Times New Roman" w:hAnsi="Arial Narrow"/>
                <w:sz w:val="20"/>
                <w:lang w:val="fr-FR" w:eastAsia="de-DE"/>
              </w:rPr>
              <w:t>professionnelle</w:t>
            </w:r>
          </w:p>
        </w:tc>
        <w:tc>
          <w:tcPr>
            <w:tcW w:w="1030" w:type="dxa"/>
            <w:vAlign w:val="center"/>
          </w:tcPr>
          <w:p w14:paraId="69A82E0D" w14:textId="77777777" w:rsidR="00E45DD2" w:rsidRPr="00CD33B8" w:rsidRDefault="00E45DD2" w:rsidP="00162476">
            <w:pPr>
              <w:jc w:val="center"/>
              <w:rPr>
                <w:rFonts w:ascii="Wingdings 3" w:eastAsia="Times New Roman" w:hAnsi="Wingdings 3"/>
                <w:szCs w:val="22"/>
                <w:lang w:val="fr-FR" w:eastAsia="en-US"/>
              </w:rPr>
            </w:pPr>
            <w:r w:rsidRPr="00CD33B8">
              <w:rPr>
                <w:rFonts w:ascii="Webdings" w:eastAsia="Times New Roman" w:hAnsi="Webdings"/>
                <w:szCs w:val="22"/>
                <w:lang w:val="fr-FR" w:eastAsia="en-US"/>
              </w:rPr>
              <w:t></w:t>
            </w:r>
          </w:p>
        </w:tc>
        <w:tc>
          <w:tcPr>
            <w:tcW w:w="1030" w:type="dxa"/>
            <w:vAlign w:val="center"/>
          </w:tcPr>
          <w:p w14:paraId="73FB90F2" w14:textId="77777777" w:rsidR="00E45DD2" w:rsidRPr="00CD33B8" w:rsidRDefault="00E45DD2" w:rsidP="00162476">
            <w:pPr>
              <w:jc w:val="center"/>
              <w:rPr>
                <w:rFonts w:ascii="Wingdings" w:eastAsia="Times New Roman" w:hAnsi="Wingdings"/>
                <w:szCs w:val="22"/>
                <w:lang w:val="fr-FR" w:eastAsia="en-US"/>
              </w:rPr>
            </w:pPr>
            <w:r w:rsidRPr="00CD33B8">
              <w:rPr>
                <w:rFonts w:ascii="Webdings" w:eastAsia="Times New Roman" w:hAnsi="Webdings"/>
                <w:szCs w:val="22"/>
                <w:lang w:val="fr-FR" w:eastAsia="en-US"/>
              </w:rPr>
              <w:t></w:t>
            </w:r>
          </w:p>
        </w:tc>
        <w:tc>
          <w:tcPr>
            <w:tcW w:w="1074" w:type="dxa"/>
            <w:vAlign w:val="center"/>
          </w:tcPr>
          <w:p w14:paraId="14F48728" w14:textId="77777777" w:rsidR="00E45DD2" w:rsidRPr="00CD33B8" w:rsidRDefault="00E45DD2" w:rsidP="00162476">
            <w:pPr>
              <w:jc w:val="center"/>
              <w:rPr>
                <w:rFonts w:ascii="Wingdings" w:eastAsia="Times New Roman" w:hAnsi="Wingdings"/>
                <w:szCs w:val="22"/>
                <w:lang w:val="fr-FR" w:eastAsia="en-US"/>
              </w:rPr>
            </w:pPr>
            <w:r w:rsidRPr="00CD33B8">
              <w:rPr>
                <w:rFonts w:ascii="Webdings" w:eastAsia="Times New Roman" w:hAnsi="Webdings"/>
                <w:szCs w:val="22"/>
                <w:lang w:val="fr-FR" w:eastAsia="en-US"/>
              </w:rPr>
              <w:t></w:t>
            </w:r>
          </w:p>
        </w:tc>
        <w:tc>
          <w:tcPr>
            <w:tcW w:w="1134" w:type="dxa"/>
            <w:vAlign w:val="center"/>
          </w:tcPr>
          <w:p w14:paraId="03F1CB19" w14:textId="77777777" w:rsidR="00E45DD2" w:rsidRPr="00CD33B8" w:rsidRDefault="00E45DD2" w:rsidP="00162476">
            <w:pPr>
              <w:jc w:val="center"/>
              <w:rPr>
                <w:rFonts w:ascii="Wingdings" w:eastAsia="Times New Roman" w:hAnsi="Wingdings"/>
                <w:szCs w:val="22"/>
                <w:lang w:val="fr-FR" w:eastAsia="en-US"/>
              </w:rPr>
            </w:pPr>
            <w:r w:rsidRPr="00CD33B8">
              <w:rPr>
                <w:rFonts w:ascii="Webdings" w:eastAsia="Times New Roman" w:hAnsi="Webdings"/>
                <w:szCs w:val="22"/>
                <w:lang w:val="fr-FR" w:eastAsia="en-US"/>
              </w:rPr>
              <w:t></w:t>
            </w:r>
          </w:p>
        </w:tc>
        <w:tc>
          <w:tcPr>
            <w:tcW w:w="1134" w:type="dxa"/>
            <w:vAlign w:val="center"/>
          </w:tcPr>
          <w:p w14:paraId="6E092F15" w14:textId="77777777" w:rsidR="00E45DD2" w:rsidRPr="00CD33B8" w:rsidRDefault="00E45DD2" w:rsidP="00162476">
            <w:pPr>
              <w:jc w:val="center"/>
              <w:rPr>
                <w:rFonts w:ascii="Wingdings" w:eastAsia="Times New Roman" w:hAnsi="Wingdings"/>
                <w:szCs w:val="22"/>
                <w:lang w:val="fr-FR" w:eastAsia="en-US"/>
              </w:rPr>
            </w:pPr>
            <w:r w:rsidRPr="00CD33B8">
              <w:rPr>
                <w:rFonts w:ascii="Webdings" w:eastAsia="Times New Roman" w:hAnsi="Webdings"/>
                <w:sz w:val="48"/>
                <w:szCs w:val="48"/>
                <w:lang w:val="fr-FR" w:eastAsia="en-US"/>
              </w:rPr>
              <w:t></w:t>
            </w:r>
          </w:p>
        </w:tc>
      </w:tr>
      <w:tr w:rsidR="00E45DD2" w:rsidRPr="00CD33B8" w14:paraId="283C80E4" w14:textId="77777777" w:rsidTr="00162476">
        <w:tc>
          <w:tcPr>
            <w:tcW w:w="1526" w:type="dxa"/>
            <w:vAlign w:val="center"/>
          </w:tcPr>
          <w:p w14:paraId="124062D6" w14:textId="77777777" w:rsidR="00E45DD2" w:rsidRPr="00CD33B8" w:rsidRDefault="00E45DD2" w:rsidP="00162476">
            <w:pPr>
              <w:rPr>
                <w:rFonts w:ascii="Arial Narrow" w:eastAsia="Times New Roman" w:hAnsi="Arial Narrow"/>
                <w:sz w:val="20"/>
                <w:lang w:val="fr-FR" w:eastAsia="de-DE"/>
              </w:rPr>
            </w:pPr>
            <w:r w:rsidRPr="00CD33B8">
              <w:rPr>
                <w:rFonts w:ascii="Arial Narrow" w:eastAsia="Times New Roman" w:hAnsi="Arial Narrow"/>
                <w:bCs/>
                <w:sz w:val="20"/>
                <w:lang w:val="fr-FR" w:eastAsia="de-DE"/>
              </w:rPr>
              <w:t>4 Résultats</w:t>
            </w:r>
          </w:p>
        </w:tc>
        <w:tc>
          <w:tcPr>
            <w:tcW w:w="2252" w:type="dxa"/>
            <w:vAlign w:val="center"/>
          </w:tcPr>
          <w:p w14:paraId="4B1C74A6" w14:textId="5A5C5700" w:rsidR="00E45DD2" w:rsidRPr="00CD33B8" w:rsidRDefault="00E45DD2" w:rsidP="00162476">
            <w:pPr>
              <w:rPr>
                <w:rFonts w:ascii="Arial Narrow" w:eastAsia="Times New Roman" w:hAnsi="Arial Narrow"/>
                <w:sz w:val="20"/>
                <w:lang w:val="fr-FR" w:eastAsia="de-DE"/>
              </w:rPr>
            </w:pPr>
            <w:r w:rsidRPr="00CD33B8">
              <w:rPr>
                <w:rFonts w:ascii="Arial Narrow" w:eastAsia="Times New Roman" w:hAnsi="Arial Narrow"/>
                <w:bCs/>
                <w:sz w:val="20"/>
                <w:lang w:val="fr-FR" w:eastAsia="de-DE"/>
              </w:rPr>
              <w:t>Mesure l</w:t>
            </w:r>
            <w:r w:rsidR="007A129D">
              <w:rPr>
                <w:rFonts w:ascii="Arial Narrow" w:eastAsia="Times New Roman" w:hAnsi="Arial Narrow"/>
                <w:bCs/>
                <w:sz w:val="20"/>
                <w:lang w:val="fr-FR" w:eastAsia="de-DE"/>
              </w:rPr>
              <w:t>’</w:t>
            </w:r>
            <w:r w:rsidRPr="00CD33B8">
              <w:rPr>
                <w:rFonts w:ascii="Arial Narrow" w:eastAsia="Times New Roman" w:hAnsi="Arial Narrow"/>
                <w:bCs/>
                <w:sz w:val="20"/>
                <w:lang w:val="fr-FR" w:eastAsia="de-DE"/>
              </w:rPr>
              <w:t>effet</w:t>
            </w:r>
            <w:r w:rsidRPr="00CD33B8">
              <w:rPr>
                <w:rFonts w:ascii="Arial Narrow" w:eastAsia="Times New Roman" w:hAnsi="Arial Narrow"/>
                <w:sz w:val="20"/>
                <w:lang w:val="fr-FR" w:eastAsia="de-DE"/>
              </w:rPr>
              <w:t xml:space="preserve"> </w:t>
            </w:r>
            <w:r w:rsidRPr="00CD33B8">
              <w:rPr>
                <w:rFonts w:ascii="Arial Narrow" w:eastAsia="Times New Roman" w:hAnsi="Arial Narrow"/>
                <w:bCs/>
                <w:sz w:val="20"/>
                <w:lang w:val="fr-FR" w:eastAsia="de-DE"/>
              </w:rPr>
              <w:t>global de la formation sur l</w:t>
            </w:r>
            <w:r w:rsidR="007A129D">
              <w:rPr>
                <w:rFonts w:ascii="Arial Narrow" w:eastAsia="Times New Roman" w:hAnsi="Arial Narrow"/>
                <w:bCs/>
                <w:sz w:val="20"/>
                <w:lang w:val="fr-FR" w:eastAsia="de-DE"/>
              </w:rPr>
              <w:t>’</w:t>
            </w:r>
            <w:r w:rsidRPr="00CD33B8">
              <w:rPr>
                <w:rFonts w:ascii="Arial Narrow" w:eastAsia="Times New Roman" w:hAnsi="Arial Narrow"/>
                <w:bCs/>
                <w:sz w:val="20"/>
                <w:lang w:val="fr-FR" w:eastAsia="de-DE"/>
              </w:rPr>
              <w:t>entreprise, l</w:t>
            </w:r>
            <w:r w:rsidR="007A129D">
              <w:rPr>
                <w:rFonts w:ascii="Arial Narrow" w:eastAsia="Times New Roman" w:hAnsi="Arial Narrow"/>
                <w:bCs/>
                <w:sz w:val="20"/>
                <w:lang w:val="fr-FR" w:eastAsia="de-DE"/>
              </w:rPr>
              <w:t>’</w:t>
            </w:r>
            <w:r w:rsidRPr="00CD33B8">
              <w:rPr>
                <w:rFonts w:ascii="Arial Narrow" w:eastAsia="Times New Roman" w:hAnsi="Arial Narrow"/>
                <w:bCs/>
                <w:sz w:val="20"/>
                <w:lang w:val="fr-FR" w:eastAsia="de-DE"/>
              </w:rPr>
              <w:t>environnement ou le participant</w:t>
            </w:r>
          </w:p>
        </w:tc>
        <w:tc>
          <w:tcPr>
            <w:tcW w:w="1030" w:type="dxa"/>
            <w:vAlign w:val="center"/>
          </w:tcPr>
          <w:p w14:paraId="1DB3D408" w14:textId="77777777" w:rsidR="00E45DD2" w:rsidRPr="00CD33B8" w:rsidRDefault="00E45DD2" w:rsidP="00162476">
            <w:pPr>
              <w:jc w:val="center"/>
              <w:rPr>
                <w:rFonts w:ascii="Wingdings" w:eastAsia="Times New Roman" w:hAnsi="Wingdings"/>
                <w:sz w:val="20"/>
                <w:lang w:val="fr-FR" w:eastAsia="en-US"/>
              </w:rPr>
            </w:pPr>
          </w:p>
        </w:tc>
        <w:tc>
          <w:tcPr>
            <w:tcW w:w="1030" w:type="dxa"/>
            <w:vAlign w:val="center"/>
          </w:tcPr>
          <w:p w14:paraId="16D9F493" w14:textId="77777777" w:rsidR="00E45DD2" w:rsidRPr="00CD33B8" w:rsidRDefault="00E45DD2" w:rsidP="00162476">
            <w:pPr>
              <w:jc w:val="center"/>
              <w:rPr>
                <w:rFonts w:ascii="Wingdings" w:eastAsia="Times New Roman" w:hAnsi="Wingdings"/>
                <w:sz w:val="20"/>
                <w:lang w:val="fr-FR" w:eastAsia="en-US"/>
              </w:rPr>
            </w:pPr>
          </w:p>
        </w:tc>
        <w:tc>
          <w:tcPr>
            <w:tcW w:w="1074" w:type="dxa"/>
            <w:vAlign w:val="center"/>
          </w:tcPr>
          <w:p w14:paraId="428871AF" w14:textId="77777777" w:rsidR="00E45DD2" w:rsidRPr="00CD33B8" w:rsidRDefault="00E45DD2" w:rsidP="00162476">
            <w:pPr>
              <w:jc w:val="center"/>
              <w:rPr>
                <w:rFonts w:ascii="Wingdings" w:eastAsia="Times New Roman" w:hAnsi="Wingdings"/>
                <w:sz w:val="20"/>
                <w:lang w:val="fr-FR" w:eastAsia="en-US"/>
              </w:rPr>
            </w:pPr>
          </w:p>
        </w:tc>
        <w:tc>
          <w:tcPr>
            <w:tcW w:w="1134" w:type="dxa"/>
            <w:vAlign w:val="center"/>
          </w:tcPr>
          <w:p w14:paraId="077E2EF4" w14:textId="77777777" w:rsidR="00E45DD2" w:rsidRPr="00CD33B8" w:rsidRDefault="00E45DD2" w:rsidP="00162476">
            <w:pPr>
              <w:jc w:val="center"/>
              <w:rPr>
                <w:rFonts w:ascii="Wingdings" w:eastAsia="Times New Roman" w:hAnsi="Wingdings"/>
                <w:sz w:val="20"/>
                <w:lang w:val="fr-FR" w:eastAsia="en-US"/>
              </w:rPr>
            </w:pPr>
          </w:p>
        </w:tc>
        <w:tc>
          <w:tcPr>
            <w:tcW w:w="1134" w:type="dxa"/>
            <w:vAlign w:val="center"/>
          </w:tcPr>
          <w:p w14:paraId="0EDBFB18" w14:textId="77777777" w:rsidR="00E45DD2" w:rsidRPr="00CD33B8" w:rsidRDefault="00E45DD2" w:rsidP="00162476">
            <w:pPr>
              <w:jc w:val="center"/>
              <w:rPr>
                <w:rFonts w:ascii="Wingdings" w:eastAsia="Times New Roman" w:hAnsi="Wingdings"/>
                <w:sz w:val="20"/>
                <w:lang w:val="fr-FR" w:eastAsia="en-US"/>
              </w:rPr>
            </w:pPr>
          </w:p>
        </w:tc>
      </w:tr>
    </w:tbl>
    <w:p w14:paraId="34297502" w14:textId="77777777" w:rsidR="00F508A0" w:rsidRPr="00CD33B8" w:rsidRDefault="00F508A0" w:rsidP="00E45DD2">
      <w:pPr>
        <w:rPr>
          <w:szCs w:val="22"/>
          <w:lang w:val="fr-FR"/>
        </w:rPr>
      </w:pPr>
    </w:p>
    <w:p w14:paraId="357AA0D3" w14:textId="7C1588B6" w:rsidR="00F508A0" w:rsidRPr="00CD33B8" w:rsidRDefault="001E4717" w:rsidP="00F508A0">
      <w:pPr>
        <w:pStyle w:val="ONUMFS"/>
        <w:rPr>
          <w:lang w:val="fr-FR"/>
        </w:rPr>
      </w:pPr>
      <w:r>
        <w:rPr>
          <w:lang w:val="fr-FR"/>
        </w:rPr>
        <w:t>Par le passé</w:t>
      </w:r>
      <w:r w:rsidR="00E45DD2" w:rsidRPr="00CD33B8">
        <w:rPr>
          <w:lang w:val="fr-FR"/>
        </w:rPr>
        <w:t>, le cadre d</w:t>
      </w:r>
      <w:r w:rsidR="007A129D">
        <w:rPr>
          <w:lang w:val="fr-FR"/>
        </w:rPr>
        <w:t>’</w:t>
      </w:r>
      <w:r w:rsidR="00E45DD2" w:rsidRPr="00CD33B8">
        <w:rPr>
          <w:lang w:val="fr-FR"/>
        </w:rPr>
        <w:t>indicateurs d</w:t>
      </w:r>
      <w:r w:rsidR="007A129D">
        <w:rPr>
          <w:lang w:val="fr-FR"/>
        </w:rPr>
        <w:t>’</w:t>
      </w:r>
      <w:r w:rsidR="00E45DD2" w:rsidRPr="00CD33B8">
        <w:rPr>
          <w:lang w:val="fr-FR"/>
        </w:rPr>
        <w:t>exécution visant à mesurer l</w:t>
      </w:r>
      <w:r w:rsidR="007A129D">
        <w:rPr>
          <w:lang w:val="fr-FR"/>
        </w:rPr>
        <w:t>’</w:t>
      </w:r>
      <w:r w:rsidR="00E45DD2" w:rsidRPr="00CD33B8">
        <w:rPr>
          <w:lang w:val="fr-FR"/>
        </w:rPr>
        <w:t>incidence des activités de renforcement des capacités de l</w:t>
      </w:r>
      <w:r w:rsidR="007A129D">
        <w:rPr>
          <w:lang w:val="fr-FR"/>
        </w:rPr>
        <w:t>’</w:t>
      </w:r>
      <w:r w:rsidR="00E45DD2" w:rsidRPr="00CD33B8">
        <w:rPr>
          <w:lang w:val="fr-FR"/>
        </w:rPr>
        <w:t>OMPI s</w:t>
      </w:r>
      <w:r w:rsidR="007A129D">
        <w:rPr>
          <w:lang w:val="fr-FR"/>
        </w:rPr>
        <w:t>’</w:t>
      </w:r>
      <w:r w:rsidR="00E45DD2" w:rsidRPr="00CD33B8">
        <w:rPr>
          <w:lang w:val="fr-FR"/>
        </w:rPr>
        <w:t>est concentré sur le degré de satisfaction relatif aux événements de renforcement des capacités, ce qui correspond au niveau</w:t>
      </w:r>
      <w:r w:rsidR="006A3DF0">
        <w:rPr>
          <w:lang w:val="fr-FR"/>
        </w:rPr>
        <w:t> </w:t>
      </w:r>
      <w:r w:rsidR="00E45DD2" w:rsidRPr="00CD33B8">
        <w:rPr>
          <w:lang w:val="fr-FR"/>
        </w:rPr>
        <w:t>1</w:t>
      </w:r>
      <w:r w:rsidR="001734F8">
        <w:rPr>
          <w:lang w:val="fr-FR"/>
        </w:rPr>
        <w:t xml:space="preserve"> (Réaction)</w:t>
      </w:r>
      <w:r w:rsidR="00E45DD2" w:rsidRPr="00CD33B8">
        <w:rPr>
          <w:lang w:val="fr-FR"/>
        </w:rPr>
        <w:t xml:space="preserve"> du mod</w:t>
      </w:r>
      <w:r w:rsidR="001734F8">
        <w:rPr>
          <w:lang w:val="fr-FR"/>
        </w:rPr>
        <w:t xml:space="preserve">èle de </w:t>
      </w:r>
      <w:proofErr w:type="spellStart"/>
      <w:r w:rsidR="001734F8">
        <w:rPr>
          <w:lang w:val="fr-FR"/>
        </w:rPr>
        <w:t>Kirkpatrick</w:t>
      </w:r>
      <w:proofErr w:type="spellEnd"/>
      <w:r w:rsidR="001734F8">
        <w:rPr>
          <w:lang w:val="fr-FR"/>
        </w:rPr>
        <w:t>.</w:t>
      </w:r>
    </w:p>
    <w:p w14:paraId="3C7882FD" w14:textId="23AADCC4" w:rsidR="00E45DD2" w:rsidRPr="00CD33B8" w:rsidRDefault="00E45DD2" w:rsidP="00F508A0">
      <w:pPr>
        <w:pStyle w:val="ONUMFS"/>
        <w:rPr>
          <w:lang w:val="fr-FR"/>
        </w:rPr>
      </w:pPr>
      <w:r w:rsidRPr="00CD33B8">
        <w:rPr>
          <w:lang w:val="fr-FR"/>
        </w:rPr>
        <w:t>Dans le cadre des efforts con</w:t>
      </w:r>
      <w:r w:rsidR="001734F8">
        <w:rPr>
          <w:lang w:val="fr-FR"/>
        </w:rPr>
        <w:t>stant</w:t>
      </w:r>
      <w:r w:rsidRPr="00CD33B8">
        <w:rPr>
          <w:lang w:val="fr-FR"/>
        </w:rPr>
        <w:t>s déployés par l</w:t>
      </w:r>
      <w:r w:rsidR="007A129D">
        <w:rPr>
          <w:lang w:val="fr-FR"/>
        </w:rPr>
        <w:t>’</w:t>
      </w:r>
      <w:r w:rsidRPr="00CD33B8">
        <w:rPr>
          <w:lang w:val="fr-FR"/>
        </w:rPr>
        <w:t>OMPI pour se concentrer davantage sur l</w:t>
      </w:r>
      <w:r w:rsidR="007A129D">
        <w:rPr>
          <w:lang w:val="fr-FR"/>
        </w:rPr>
        <w:t>’</w:t>
      </w:r>
      <w:r w:rsidRPr="00CD33B8">
        <w:rPr>
          <w:lang w:val="fr-FR"/>
        </w:rPr>
        <w:t>incidence et sur les effets à long terme en matière d</w:t>
      </w:r>
      <w:r w:rsidR="007A129D">
        <w:rPr>
          <w:lang w:val="fr-FR"/>
        </w:rPr>
        <w:t>’</w:t>
      </w:r>
      <w:r w:rsidRPr="00CD33B8">
        <w:rPr>
          <w:lang w:val="fr-FR"/>
        </w:rPr>
        <w:t xml:space="preserve">amélioration des capacités institutionnelles des bénéficiaires, un projet pilote </w:t>
      </w:r>
      <w:r w:rsidR="001734F8">
        <w:rPr>
          <w:lang w:val="fr-FR"/>
        </w:rPr>
        <w:t>visant à améliorer le cadre d</w:t>
      </w:r>
      <w:r w:rsidR="007A129D">
        <w:rPr>
          <w:lang w:val="fr-FR"/>
        </w:rPr>
        <w:t>’</w:t>
      </w:r>
      <w:r w:rsidR="001734F8">
        <w:rPr>
          <w:lang w:val="fr-FR"/>
        </w:rPr>
        <w:t>indicateurs d</w:t>
      </w:r>
      <w:r w:rsidR="007A129D">
        <w:rPr>
          <w:lang w:val="fr-FR"/>
        </w:rPr>
        <w:t>’</w:t>
      </w:r>
      <w:r w:rsidR="001734F8">
        <w:rPr>
          <w:lang w:val="fr-FR"/>
        </w:rPr>
        <w:t>exécution relatif</w:t>
      </w:r>
      <w:r w:rsidRPr="00CD33B8">
        <w:rPr>
          <w:lang w:val="fr-FR"/>
        </w:rPr>
        <w:t xml:space="preserve"> au renforcement </w:t>
      </w:r>
      <w:r w:rsidR="00E20C96">
        <w:rPr>
          <w:lang w:val="fr-FR"/>
        </w:rPr>
        <w:t>des capacités en appliquant le m</w:t>
      </w:r>
      <w:r w:rsidRPr="00CD33B8">
        <w:rPr>
          <w:lang w:val="fr-FR"/>
        </w:rPr>
        <w:t xml:space="preserve">odèle de </w:t>
      </w:r>
      <w:proofErr w:type="spellStart"/>
      <w:r w:rsidRPr="00CD33B8">
        <w:rPr>
          <w:lang w:val="fr-FR"/>
        </w:rPr>
        <w:t>Kirkpatrick</w:t>
      </w:r>
      <w:proofErr w:type="spellEnd"/>
      <w:r w:rsidRPr="00CD33B8">
        <w:rPr>
          <w:lang w:val="fr-FR"/>
        </w:rPr>
        <w:t xml:space="preserve"> de manière plus systématique a été lancé pour l</w:t>
      </w:r>
      <w:r w:rsidR="007A129D">
        <w:rPr>
          <w:lang w:val="fr-FR"/>
        </w:rPr>
        <w:t>’</w:t>
      </w:r>
      <w:r w:rsidRPr="00CD33B8">
        <w:rPr>
          <w:lang w:val="fr-FR"/>
        </w:rPr>
        <w:t>exercice biennal</w:t>
      </w:r>
      <w:r w:rsidR="006A3DF0">
        <w:rPr>
          <w:lang w:val="fr-FR"/>
        </w:rPr>
        <w:t> </w:t>
      </w:r>
      <w:r w:rsidRPr="00CD33B8">
        <w:rPr>
          <w:lang w:val="fr-FR"/>
        </w:rPr>
        <w:t>2018</w:t>
      </w:r>
      <w:r w:rsidR="00FF1E34">
        <w:rPr>
          <w:lang w:val="fr-FR"/>
        </w:rPr>
        <w:noBreakHyphen/>
      </w:r>
      <w:bookmarkStart w:id="4" w:name="_GoBack"/>
      <w:bookmarkEnd w:id="4"/>
      <w:r w:rsidRPr="00CD33B8">
        <w:rPr>
          <w:lang w:val="fr-FR"/>
        </w:rPr>
        <w:t>2019.  Le projet pilote porte sur une sélection de programmes de l</w:t>
      </w:r>
      <w:r w:rsidR="007A129D">
        <w:rPr>
          <w:lang w:val="fr-FR"/>
        </w:rPr>
        <w:t>’</w:t>
      </w:r>
      <w:r w:rsidRPr="00CD33B8">
        <w:rPr>
          <w:lang w:val="fr-FR"/>
        </w:rPr>
        <w:t>OMPI, et vise à</w:t>
      </w:r>
      <w:r w:rsidR="007A129D">
        <w:rPr>
          <w:lang w:val="fr-FR"/>
        </w:rPr>
        <w:t> :</w:t>
      </w:r>
      <w:r w:rsidRPr="00CD33B8">
        <w:rPr>
          <w:lang w:val="fr-FR"/>
        </w:rPr>
        <w:t xml:space="preserve"> i)</w:t>
      </w:r>
      <w:r w:rsidR="001661CA">
        <w:rPr>
          <w:lang w:val="fr-FR"/>
        </w:rPr>
        <w:t> </w:t>
      </w:r>
      <w:r w:rsidRPr="00CD33B8">
        <w:rPr>
          <w:lang w:val="fr-FR"/>
        </w:rPr>
        <w:t xml:space="preserve">répartir les activités de renforcement des capacités </w:t>
      </w:r>
      <w:r w:rsidR="00E20C96">
        <w:rPr>
          <w:lang w:val="fr-FR"/>
        </w:rPr>
        <w:t>en</w:t>
      </w:r>
      <w:r w:rsidRPr="00CD33B8">
        <w:rPr>
          <w:lang w:val="fr-FR"/>
        </w:rPr>
        <w:t xml:space="preserve"> catégories claires; </w:t>
      </w:r>
      <w:r w:rsidR="006A3DF0">
        <w:rPr>
          <w:lang w:val="fr-FR"/>
        </w:rPr>
        <w:t xml:space="preserve"> </w:t>
      </w:r>
      <w:r w:rsidRPr="00CD33B8">
        <w:rPr>
          <w:lang w:val="fr-FR"/>
        </w:rPr>
        <w:t>ii)</w:t>
      </w:r>
      <w:r w:rsidR="001661CA">
        <w:rPr>
          <w:lang w:val="fr-FR"/>
        </w:rPr>
        <w:t> </w:t>
      </w:r>
      <w:r w:rsidRPr="00CD33B8">
        <w:rPr>
          <w:lang w:val="fr-FR"/>
        </w:rPr>
        <w:t>renforcer le cadre d</w:t>
      </w:r>
      <w:r w:rsidR="007A129D">
        <w:rPr>
          <w:lang w:val="fr-FR"/>
        </w:rPr>
        <w:t>’</w:t>
      </w:r>
      <w:r w:rsidRPr="00CD33B8">
        <w:rPr>
          <w:lang w:val="fr-FR"/>
        </w:rPr>
        <w:t>indicateurs d</w:t>
      </w:r>
      <w:r w:rsidR="007A129D">
        <w:rPr>
          <w:lang w:val="fr-FR"/>
        </w:rPr>
        <w:t>’</w:t>
      </w:r>
      <w:r w:rsidRPr="00CD33B8">
        <w:rPr>
          <w:lang w:val="fr-FR"/>
        </w:rPr>
        <w:t>exécu</w:t>
      </w:r>
      <w:r w:rsidR="001734F8">
        <w:rPr>
          <w:lang w:val="fr-FR"/>
        </w:rPr>
        <w:t>tion pour mesurer le niveau</w:t>
      </w:r>
      <w:r w:rsidR="006A3DF0">
        <w:rPr>
          <w:lang w:val="fr-FR"/>
        </w:rPr>
        <w:t> </w:t>
      </w:r>
      <w:r w:rsidR="001734F8">
        <w:rPr>
          <w:lang w:val="fr-FR"/>
        </w:rPr>
        <w:t>2 (Apprentissage)</w:t>
      </w:r>
      <w:r w:rsidRPr="00CD33B8">
        <w:rPr>
          <w:lang w:val="fr-FR"/>
        </w:rPr>
        <w:t xml:space="preserve"> et améliorer les indicat</w:t>
      </w:r>
      <w:r w:rsidR="001734F8">
        <w:rPr>
          <w:lang w:val="fr-FR"/>
        </w:rPr>
        <w:t>eurs pour mesurer le niveau</w:t>
      </w:r>
      <w:r w:rsidR="006A3DF0">
        <w:rPr>
          <w:lang w:val="fr-FR"/>
        </w:rPr>
        <w:t> </w:t>
      </w:r>
      <w:r w:rsidR="001734F8">
        <w:rPr>
          <w:lang w:val="fr-FR"/>
        </w:rPr>
        <w:t>3 (Comportement)</w:t>
      </w:r>
      <w:r w:rsidRPr="00CD33B8">
        <w:rPr>
          <w:lang w:val="fr-FR"/>
        </w:rPr>
        <w:t xml:space="preserve"> du modèle de </w:t>
      </w:r>
      <w:proofErr w:type="spellStart"/>
      <w:r w:rsidRPr="00CD33B8">
        <w:rPr>
          <w:lang w:val="fr-FR"/>
        </w:rPr>
        <w:t>Kirkpatrick</w:t>
      </w:r>
      <w:proofErr w:type="spellEnd"/>
      <w:r w:rsidRPr="00CD33B8">
        <w:rPr>
          <w:lang w:val="fr-FR"/>
        </w:rPr>
        <w:t xml:space="preserve">; </w:t>
      </w:r>
      <w:r w:rsidR="006A3DF0">
        <w:rPr>
          <w:lang w:val="fr-FR"/>
        </w:rPr>
        <w:t xml:space="preserve"> </w:t>
      </w:r>
      <w:r w:rsidRPr="00CD33B8">
        <w:rPr>
          <w:lang w:val="fr-FR"/>
        </w:rPr>
        <w:t>iii)</w:t>
      </w:r>
      <w:r w:rsidR="001661CA">
        <w:rPr>
          <w:lang w:val="fr-FR"/>
        </w:rPr>
        <w:t> </w:t>
      </w:r>
      <w:r w:rsidR="001734F8">
        <w:rPr>
          <w:lang w:val="fr-FR"/>
        </w:rPr>
        <w:t>améliorer</w:t>
      </w:r>
      <w:r w:rsidRPr="00CD33B8">
        <w:rPr>
          <w:lang w:val="fr-FR"/>
        </w:rPr>
        <w:t xml:space="preserve"> et harmoniser la formulation des indicateurs d</w:t>
      </w:r>
      <w:r w:rsidR="007A129D">
        <w:rPr>
          <w:lang w:val="fr-FR"/>
        </w:rPr>
        <w:t>’</w:t>
      </w:r>
      <w:r w:rsidRPr="00CD33B8">
        <w:rPr>
          <w:lang w:val="fr-FR"/>
        </w:rPr>
        <w:t>exécution, des niveaux de référence et des objectifs dans toute l</w:t>
      </w:r>
      <w:r w:rsidR="007A129D">
        <w:rPr>
          <w:lang w:val="fr-FR"/>
        </w:rPr>
        <w:t>’</w:t>
      </w:r>
      <w:r w:rsidRPr="00CD33B8">
        <w:rPr>
          <w:lang w:val="fr-FR"/>
        </w:rPr>
        <w:t xml:space="preserve">Organisation; </w:t>
      </w:r>
      <w:r w:rsidR="006A3DF0">
        <w:rPr>
          <w:lang w:val="fr-FR"/>
        </w:rPr>
        <w:t xml:space="preserve"> </w:t>
      </w:r>
      <w:r w:rsidRPr="00CD33B8">
        <w:rPr>
          <w:lang w:val="fr-FR"/>
        </w:rPr>
        <w:t>iv)</w:t>
      </w:r>
      <w:r w:rsidR="001661CA">
        <w:rPr>
          <w:lang w:val="fr-FR"/>
        </w:rPr>
        <w:t> </w:t>
      </w:r>
      <w:r w:rsidRPr="00CD33B8">
        <w:rPr>
          <w:lang w:val="fr-FR"/>
        </w:rPr>
        <w:t xml:space="preserve">élaborer des mécanismes plus systématiques et harmonisés de collecte de données; </w:t>
      </w:r>
      <w:r w:rsidR="006A3DF0">
        <w:rPr>
          <w:lang w:val="fr-FR"/>
        </w:rPr>
        <w:t xml:space="preserve"> </w:t>
      </w:r>
      <w:r w:rsidRPr="00CD33B8">
        <w:rPr>
          <w:lang w:val="fr-FR"/>
        </w:rPr>
        <w:t>et v)</w:t>
      </w:r>
      <w:r w:rsidR="001661CA">
        <w:rPr>
          <w:lang w:val="fr-FR"/>
        </w:rPr>
        <w:t> </w:t>
      </w:r>
      <w:r w:rsidRPr="00CD33B8">
        <w:rPr>
          <w:lang w:val="fr-FR"/>
        </w:rPr>
        <w:t>favoriser une plus grande collaboration intersectorielle et un meilleur partage des connaissances.  Le tableau ci</w:t>
      </w:r>
      <w:r w:rsidR="00FF1E34">
        <w:rPr>
          <w:lang w:val="fr-FR"/>
        </w:rPr>
        <w:noBreakHyphen/>
      </w:r>
      <w:r w:rsidRPr="00CD33B8">
        <w:rPr>
          <w:lang w:val="fr-FR"/>
        </w:rPr>
        <w:t>après donne des exemples d</w:t>
      </w:r>
      <w:r w:rsidR="007A129D">
        <w:rPr>
          <w:lang w:val="fr-FR"/>
        </w:rPr>
        <w:t>’</w:t>
      </w:r>
      <w:r w:rsidRPr="00CD33B8">
        <w:rPr>
          <w:lang w:val="fr-FR"/>
        </w:rPr>
        <w:t>indicateurs d</w:t>
      </w:r>
      <w:r w:rsidR="007A129D">
        <w:rPr>
          <w:lang w:val="fr-FR"/>
        </w:rPr>
        <w:t>’</w:t>
      </w:r>
      <w:r w:rsidRPr="00CD33B8">
        <w:rPr>
          <w:lang w:val="fr-FR"/>
        </w:rPr>
        <w:t>exécution du cadre d</w:t>
      </w:r>
      <w:r w:rsidR="00E20C96">
        <w:rPr>
          <w:lang w:val="fr-FR"/>
        </w:rPr>
        <w:t>e résultats</w:t>
      </w:r>
      <w:r w:rsidR="006A3DF0">
        <w:rPr>
          <w:lang w:val="fr-FR"/>
        </w:rPr>
        <w:t> </w:t>
      </w:r>
      <w:r w:rsidR="00E20C96">
        <w:rPr>
          <w:lang w:val="fr-FR"/>
        </w:rPr>
        <w:t>2018</w:t>
      </w:r>
      <w:r w:rsidR="00FF1E34">
        <w:rPr>
          <w:lang w:val="fr-FR"/>
        </w:rPr>
        <w:noBreakHyphen/>
      </w:r>
      <w:r w:rsidR="00E20C96">
        <w:rPr>
          <w:lang w:val="fr-FR"/>
        </w:rPr>
        <w:t>2019 de l</w:t>
      </w:r>
      <w:r w:rsidR="007A129D">
        <w:rPr>
          <w:lang w:val="fr-FR"/>
        </w:rPr>
        <w:t>’</w:t>
      </w:r>
      <w:r w:rsidR="00E20C96">
        <w:rPr>
          <w:lang w:val="fr-FR"/>
        </w:rPr>
        <w:t>OMPI</w:t>
      </w:r>
      <w:r w:rsidRPr="00CD33B8">
        <w:rPr>
          <w:lang w:val="fr-FR"/>
        </w:rPr>
        <w:t xml:space="preserve"> qui font partie du projet pilote.</w:t>
      </w:r>
    </w:p>
    <w:tbl>
      <w:tblPr>
        <w:tblStyle w:val="TableGrid"/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4108"/>
        <w:gridCol w:w="1179"/>
        <w:gridCol w:w="1248"/>
        <w:gridCol w:w="1801"/>
        <w:gridCol w:w="1235"/>
      </w:tblGrid>
      <w:tr w:rsidR="00162476" w:rsidRPr="00162476" w14:paraId="742A972E" w14:textId="77777777" w:rsidTr="00162476">
        <w:trPr>
          <w:jc w:val="center"/>
        </w:trPr>
        <w:tc>
          <w:tcPr>
            <w:tcW w:w="5000" w:type="pct"/>
            <w:gridSpan w:val="5"/>
            <w:shd w:val="clear" w:color="auto" w:fill="365F91" w:themeFill="accent1" w:themeFillShade="BF"/>
            <w:vAlign w:val="center"/>
          </w:tcPr>
          <w:p w14:paraId="7645F08F" w14:textId="0363173B" w:rsidR="00E45DD2" w:rsidRPr="00162476" w:rsidRDefault="00E45DD2" w:rsidP="00162476">
            <w:pPr>
              <w:pageBreakBefore/>
              <w:jc w:val="center"/>
              <w:rPr>
                <w:rFonts w:ascii="Arial Narrow" w:eastAsia="Times New Roman" w:hAnsi="Arial Narrow"/>
                <w:b/>
                <w:color w:val="FFFFFF" w:themeColor="background1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b/>
                <w:color w:val="FFFFFF" w:themeColor="background1"/>
                <w:sz w:val="18"/>
                <w:szCs w:val="18"/>
                <w:lang w:val="fr-FR" w:eastAsia="en-US"/>
              </w:rPr>
              <w:lastRenderedPageBreak/>
              <w:t>Cadre de résultats</w:t>
            </w:r>
            <w:r w:rsidR="006A3DF0" w:rsidRPr="00162476">
              <w:rPr>
                <w:rFonts w:ascii="Arial Narrow" w:eastAsia="Times New Roman" w:hAnsi="Arial Narrow"/>
                <w:b/>
                <w:color w:val="FFFFFF" w:themeColor="background1"/>
                <w:sz w:val="18"/>
                <w:szCs w:val="18"/>
                <w:lang w:val="fr-FR" w:eastAsia="en-US"/>
              </w:rPr>
              <w:t> </w:t>
            </w:r>
            <w:r w:rsidRPr="00162476">
              <w:rPr>
                <w:rFonts w:ascii="Arial Narrow" w:eastAsia="Times New Roman" w:hAnsi="Arial Narrow"/>
                <w:b/>
                <w:color w:val="FFFFFF" w:themeColor="background1"/>
                <w:sz w:val="18"/>
                <w:szCs w:val="18"/>
                <w:lang w:val="fr-FR" w:eastAsia="en-US"/>
              </w:rPr>
              <w:t>2018</w:t>
            </w:r>
            <w:r w:rsidR="00FF1E34" w:rsidRPr="00162476">
              <w:rPr>
                <w:rFonts w:ascii="Arial Narrow" w:eastAsia="Times New Roman" w:hAnsi="Arial Narrow"/>
                <w:b/>
                <w:color w:val="FFFFFF" w:themeColor="background1"/>
                <w:sz w:val="18"/>
                <w:szCs w:val="18"/>
                <w:lang w:val="fr-FR" w:eastAsia="en-US"/>
              </w:rPr>
              <w:noBreakHyphen/>
            </w:r>
            <w:r w:rsidRPr="00162476">
              <w:rPr>
                <w:rFonts w:ascii="Arial Narrow" w:eastAsia="Times New Roman" w:hAnsi="Arial Narrow"/>
                <w:b/>
                <w:color w:val="FFFFFF" w:themeColor="background1"/>
                <w:sz w:val="18"/>
                <w:szCs w:val="18"/>
                <w:lang w:val="fr-FR" w:eastAsia="en-US"/>
              </w:rPr>
              <w:t>2019</w:t>
            </w:r>
            <w:r w:rsidR="007A129D" w:rsidRPr="00162476">
              <w:rPr>
                <w:rFonts w:ascii="Arial Narrow" w:eastAsia="Times New Roman" w:hAnsi="Arial Narrow"/>
                <w:b/>
                <w:color w:val="FFFFFF" w:themeColor="background1"/>
                <w:sz w:val="18"/>
                <w:szCs w:val="18"/>
                <w:lang w:val="fr-FR" w:eastAsia="en-US"/>
              </w:rPr>
              <w:t> :</w:t>
            </w:r>
            <w:r w:rsidRPr="00162476">
              <w:rPr>
                <w:rFonts w:ascii="Arial Narrow" w:eastAsia="Times New Roman" w:hAnsi="Arial Narrow"/>
                <w:b/>
                <w:color w:val="FFFFFF" w:themeColor="background1"/>
                <w:sz w:val="18"/>
                <w:szCs w:val="18"/>
                <w:lang w:val="fr-FR" w:eastAsia="en-US"/>
              </w:rPr>
              <w:t xml:space="preserve"> Indicateurs d</w:t>
            </w:r>
            <w:r w:rsidR="007A129D" w:rsidRPr="00162476">
              <w:rPr>
                <w:rFonts w:ascii="Arial Narrow" w:eastAsia="Times New Roman" w:hAnsi="Arial Narrow"/>
                <w:b/>
                <w:color w:val="FFFFFF" w:themeColor="background1"/>
                <w:sz w:val="18"/>
                <w:szCs w:val="18"/>
                <w:lang w:val="fr-FR" w:eastAsia="en-US"/>
              </w:rPr>
              <w:t>’</w:t>
            </w:r>
            <w:r w:rsidRPr="00162476">
              <w:rPr>
                <w:rFonts w:ascii="Arial Narrow" w:eastAsia="Times New Roman" w:hAnsi="Arial Narrow"/>
                <w:b/>
                <w:color w:val="FFFFFF" w:themeColor="background1"/>
                <w:sz w:val="18"/>
                <w:szCs w:val="18"/>
                <w:lang w:val="fr-FR" w:eastAsia="en-US"/>
              </w:rPr>
              <w:t xml:space="preserve">exécution en matière de renforcement des capacités </w:t>
            </w:r>
            <w:r w:rsidR="007559F4" w:rsidRPr="00162476">
              <w:rPr>
                <w:rFonts w:ascii="Arial Narrow" w:eastAsia="Times New Roman" w:hAnsi="Arial Narrow"/>
                <w:b/>
                <w:color w:val="FFFFFF" w:themeColor="background1"/>
                <w:sz w:val="18"/>
                <w:szCs w:val="18"/>
                <w:lang w:val="fr-FR" w:eastAsia="en-US"/>
              </w:rPr>
              <w:t>–</w:t>
            </w:r>
            <w:r w:rsidRPr="00162476">
              <w:rPr>
                <w:rFonts w:ascii="Arial Narrow" w:eastAsia="Times New Roman" w:hAnsi="Arial Narrow"/>
                <w:b/>
                <w:color w:val="FFFFFF" w:themeColor="background1"/>
                <w:sz w:val="18"/>
                <w:szCs w:val="18"/>
                <w:lang w:val="fr-FR" w:eastAsia="en-US"/>
              </w:rPr>
              <w:t xml:space="preserve"> projet pilote (exemples)</w:t>
            </w:r>
          </w:p>
        </w:tc>
      </w:tr>
      <w:tr w:rsidR="00162476" w:rsidRPr="00162476" w14:paraId="3497CC7B" w14:textId="77777777" w:rsidTr="00162476">
        <w:trPr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14:paraId="20F6BC05" w14:textId="77777777" w:rsidR="00E45DD2" w:rsidRPr="00162476" w:rsidRDefault="00E45DD2" w:rsidP="00162476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  <w:t>Activités de promotion et de sensibilisation</w:t>
            </w:r>
          </w:p>
        </w:tc>
      </w:tr>
      <w:tr w:rsidR="00162476" w:rsidRPr="00162476" w14:paraId="5E4CC1C1" w14:textId="77777777" w:rsidTr="00162476">
        <w:trPr>
          <w:jc w:val="center"/>
        </w:trPr>
        <w:tc>
          <w:tcPr>
            <w:tcW w:w="2146" w:type="pct"/>
          </w:tcPr>
          <w:p w14:paraId="3E8C5B28" w14:textId="63596E29" w:rsidR="00E45DD2" w:rsidRPr="00162476" w:rsidRDefault="00E45DD2" w:rsidP="00162476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  <w:t>Indicateur d</w:t>
            </w:r>
            <w:r w:rsidR="007A129D" w:rsidRPr="00162476"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  <w:t>’</w:t>
            </w:r>
            <w:r w:rsidRPr="00162476"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  <w:t>exécution</w:t>
            </w:r>
          </w:p>
        </w:tc>
        <w:tc>
          <w:tcPr>
            <w:tcW w:w="616" w:type="pct"/>
          </w:tcPr>
          <w:p w14:paraId="2991EA85" w14:textId="77777777" w:rsidR="00E45DD2" w:rsidRPr="00162476" w:rsidRDefault="00E45DD2" w:rsidP="00162476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  <w:t>Niveau de référence</w:t>
            </w:r>
          </w:p>
        </w:tc>
        <w:tc>
          <w:tcPr>
            <w:tcW w:w="652" w:type="pct"/>
          </w:tcPr>
          <w:p w14:paraId="5DDEB3C0" w14:textId="77777777" w:rsidR="00E45DD2" w:rsidRPr="00162476" w:rsidRDefault="00E45DD2" w:rsidP="00162476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  <w:t>Objectif</w:t>
            </w:r>
          </w:p>
        </w:tc>
        <w:tc>
          <w:tcPr>
            <w:tcW w:w="941" w:type="pct"/>
          </w:tcPr>
          <w:p w14:paraId="43A2B8DF" w14:textId="77777777" w:rsidR="00E45DD2" w:rsidRPr="00162476" w:rsidRDefault="00E45DD2" w:rsidP="00162476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  <w:t>Mécanisme de collecte de données</w:t>
            </w:r>
          </w:p>
        </w:tc>
        <w:tc>
          <w:tcPr>
            <w:tcW w:w="645" w:type="pct"/>
          </w:tcPr>
          <w:p w14:paraId="549B20F9" w14:textId="77777777" w:rsidR="00E45DD2" w:rsidRPr="00162476" w:rsidRDefault="00E45DD2" w:rsidP="00162476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  <w:t xml:space="preserve">Niveau de </w:t>
            </w:r>
            <w:proofErr w:type="spellStart"/>
            <w:r w:rsidRPr="00162476"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  <w:t>Kirkpatrick</w:t>
            </w:r>
            <w:proofErr w:type="spellEnd"/>
          </w:p>
        </w:tc>
      </w:tr>
      <w:tr w:rsidR="00162476" w:rsidRPr="00162476" w14:paraId="2FD71F94" w14:textId="77777777" w:rsidTr="00162476">
        <w:trPr>
          <w:jc w:val="center"/>
        </w:trPr>
        <w:tc>
          <w:tcPr>
            <w:tcW w:w="2146" w:type="pct"/>
          </w:tcPr>
          <w:p w14:paraId="60D25702" w14:textId="0640E6AC" w:rsidR="00E45DD2" w:rsidRPr="00162476" w:rsidRDefault="00722380" w:rsidP="00A259C4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Nombre et pourcentage de participants fournissant un retour d</w:t>
            </w:r>
            <w:r w:rsidR="007A129D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’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information positif quant aux activités de sensibilisation et de promotion en matière de marques, de dessins et modèles industriels et d</w:t>
            </w:r>
            <w:r w:rsidR="007A129D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’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indications géographiques (programme</w:t>
            </w:r>
            <w:r w:rsidR="006A3DF0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 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2)</w:t>
            </w:r>
          </w:p>
        </w:tc>
        <w:tc>
          <w:tcPr>
            <w:tcW w:w="616" w:type="pct"/>
          </w:tcPr>
          <w:p w14:paraId="0060D7F9" w14:textId="77777777" w:rsidR="00E45DD2" w:rsidRPr="00162476" w:rsidRDefault="00722380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à déterminer</w:t>
            </w:r>
          </w:p>
        </w:tc>
        <w:tc>
          <w:tcPr>
            <w:tcW w:w="652" w:type="pct"/>
          </w:tcPr>
          <w:p w14:paraId="1E4A22AE" w14:textId="571422A2" w:rsidR="00E45DD2" w:rsidRPr="00162476" w:rsidRDefault="00722380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80% des personnes donnent un retour d</w:t>
            </w:r>
            <w:r w:rsidR="007A129D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’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information positif</w:t>
            </w:r>
          </w:p>
        </w:tc>
        <w:tc>
          <w:tcPr>
            <w:tcW w:w="941" w:type="pct"/>
          </w:tcPr>
          <w:p w14:paraId="1D214209" w14:textId="18601B08" w:rsidR="00E45DD2" w:rsidRPr="00162476" w:rsidRDefault="00E45DD2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Questionnaire d</w:t>
            </w:r>
            <w:r w:rsidR="007A129D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’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enquête</w:t>
            </w:r>
          </w:p>
        </w:tc>
        <w:tc>
          <w:tcPr>
            <w:tcW w:w="645" w:type="pct"/>
          </w:tcPr>
          <w:p w14:paraId="1FEF0673" w14:textId="77777777" w:rsidR="00E45DD2" w:rsidRPr="00162476" w:rsidRDefault="00E45DD2" w:rsidP="00162476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Réaction</w:t>
            </w:r>
          </w:p>
        </w:tc>
      </w:tr>
      <w:tr w:rsidR="00162476" w:rsidRPr="00162476" w14:paraId="05E1F863" w14:textId="77777777" w:rsidTr="00162476">
        <w:trPr>
          <w:jc w:val="center"/>
        </w:trPr>
        <w:tc>
          <w:tcPr>
            <w:tcW w:w="2146" w:type="pct"/>
          </w:tcPr>
          <w:p w14:paraId="6AE33446" w14:textId="679F8598" w:rsidR="00E45DD2" w:rsidRPr="00162476" w:rsidRDefault="00722380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Degré de satisfaction des participants aux activités générales de sensibilisation et de promotion relatives aux ressources génétiques, aux savoirs traditionnels et aux expressions culturelles traditionnelles (programme</w:t>
            </w:r>
            <w:r w:rsidR="006A3DF0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 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4)</w:t>
            </w:r>
          </w:p>
        </w:tc>
        <w:tc>
          <w:tcPr>
            <w:tcW w:w="616" w:type="pct"/>
          </w:tcPr>
          <w:p w14:paraId="29595485" w14:textId="335C1B5F" w:rsidR="00E45DD2" w:rsidRPr="00162476" w:rsidRDefault="00722380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proofErr w:type="spellStart"/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n.d</w:t>
            </w:r>
            <w:proofErr w:type="spellEnd"/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.</w:t>
            </w:r>
          </w:p>
        </w:tc>
        <w:tc>
          <w:tcPr>
            <w:tcW w:w="652" w:type="pct"/>
          </w:tcPr>
          <w:p w14:paraId="630C4C27" w14:textId="16CE3BD0" w:rsidR="00E45DD2" w:rsidRPr="00162476" w:rsidRDefault="00E45DD2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 xml:space="preserve">80% </w:t>
            </w:r>
          </w:p>
        </w:tc>
        <w:tc>
          <w:tcPr>
            <w:tcW w:w="941" w:type="pct"/>
          </w:tcPr>
          <w:p w14:paraId="69D26C33" w14:textId="3BA7A2A9" w:rsidR="00E45DD2" w:rsidRPr="00162476" w:rsidRDefault="00E45DD2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Questionnaire d</w:t>
            </w:r>
            <w:r w:rsidR="007A129D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’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enquête</w:t>
            </w:r>
          </w:p>
        </w:tc>
        <w:tc>
          <w:tcPr>
            <w:tcW w:w="645" w:type="pct"/>
          </w:tcPr>
          <w:p w14:paraId="488DE048" w14:textId="77777777" w:rsidR="00E45DD2" w:rsidRPr="00162476" w:rsidRDefault="00E45DD2" w:rsidP="00162476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Réaction</w:t>
            </w:r>
          </w:p>
        </w:tc>
      </w:tr>
      <w:tr w:rsidR="00162476" w:rsidRPr="00162476" w14:paraId="02DBD60A" w14:textId="77777777" w:rsidTr="00162476">
        <w:trPr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14:paraId="4902935B" w14:textId="1BA365E9" w:rsidR="00E45DD2" w:rsidRPr="00162476" w:rsidRDefault="00E20C96" w:rsidP="00162476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  <w:t>Activités d</w:t>
            </w:r>
            <w:r w:rsidR="007A129D" w:rsidRPr="00162476"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  <w:t>’</w:t>
            </w:r>
            <w:r w:rsidRPr="00162476"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  <w:t>apprentissage</w:t>
            </w:r>
          </w:p>
        </w:tc>
      </w:tr>
      <w:tr w:rsidR="00162476" w:rsidRPr="00162476" w14:paraId="4D7D5B40" w14:textId="77777777" w:rsidTr="00162476">
        <w:trPr>
          <w:jc w:val="center"/>
        </w:trPr>
        <w:tc>
          <w:tcPr>
            <w:tcW w:w="2146" w:type="pct"/>
          </w:tcPr>
          <w:p w14:paraId="46AEF827" w14:textId="3C261003" w:rsidR="00E45DD2" w:rsidRPr="00162476" w:rsidRDefault="00E45DD2" w:rsidP="00162476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  <w:t>Indicateur d</w:t>
            </w:r>
            <w:r w:rsidR="007A129D" w:rsidRPr="00162476"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  <w:t>’</w:t>
            </w:r>
            <w:r w:rsidRPr="00162476"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  <w:t>exécution</w:t>
            </w:r>
          </w:p>
        </w:tc>
        <w:tc>
          <w:tcPr>
            <w:tcW w:w="616" w:type="pct"/>
          </w:tcPr>
          <w:p w14:paraId="4172C4B1" w14:textId="77777777" w:rsidR="00E45DD2" w:rsidRPr="00162476" w:rsidRDefault="00E45DD2" w:rsidP="00162476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  <w:t>Niveau de référence</w:t>
            </w:r>
          </w:p>
        </w:tc>
        <w:tc>
          <w:tcPr>
            <w:tcW w:w="652" w:type="pct"/>
          </w:tcPr>
          <w:p w14:paraId="6AF08095" w14:textId="77777777" w:rsidR="00E45DD2" w:rsidRPr="00162476" w:rsidRDefault="00E45DD2" w:rsidP="00162476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  <w:t>Objectif</w:t>
            </w:r>
          </w:p>
        </w:tc>
        <w:tc>
          <w:tcPr>
            <w:tcW w:w="941" w:type="pct"/>
          </w:tcPr>
          <w:p w14:paraId="2781BC81" w14:textId="77777777" w:rsidR="00E45DD2" w:rsidRPr="00162476" w:rsidRDefault="00E45DD2" w:rsidP="00162476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  <w:t>Mécanisme de collecte de données</w:t>
            </w:r>
          </w:p>
        </w:tc>
        <w:tc>
          <w:tcPr>
            <w:tcW w:w="645" w:type="pct"/>
          </w:tcPr>
          <w:p w14:paraId="37297BC1" w14:textId="77777777" w:rsidR="00E45DD2" w:rsidRPr="00162476" w:rsidRDefault="00E45DD2" w:rsidP="00162476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  <w:t xml:space="preserve">Niveau de </w:t>
            </w:r>
            <w:proofErr w:type="spellStart"/>
            <w:r w:rsidRPr="00162476"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  <w:t>Kirkpatrick</w:t>
            </w:r>
            <w:proofErr w:type="spellEnd"/>
          </w:p>
        </w:tc>
      </w:tr>
      <w:tr w:rsidR="00162476" w:rsidRPr="00162476" w14:paraId="76103F2B" w14:textId="77777777" w:rsidTr="00162476">
        <w:trPr>
          <w:jc w:val="center"/>
        </w:trPr>
        <w:tc>
          <w:tcPr>
            <w:tcW w:w="2146" w:type="pct"/>
          </w:tcPr>
          <w:p w14:paraId="5D2292AB" w14:textId="4963C305" w:rsidR="00E45DD2" w:rsidRPr="00162476" w:rsidRDefault="00E45DD2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Taux de réussite des examens dans les cours de perfectionnement d</w:t>
            </w:r>
            <w:r w:rsidR="007A129D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’</w:t>
            </w:r>
            <w:r w:rsidR="00A259C4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enseignement à distance (p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rogramme</w:t>
            </w:r>
            <w:r w:rsidR="006A3DF0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 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11)</w:t>
            </w:r>
          </w:p>
        </w:tc>
        <w:tc>
          <w:tcPr>
            <w:tcW w:w="616" w:type="pct"/>
          </w:tcPr>
          <w:p w14:paraId="1261A3F5" w14:textId="00D957DC" w:rsidR="00E45DD2" w:rsidRPr="00162476" w:rsidRDefault="00E45DD2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69% (2014/15)</w:t>
            </w:r>
          </w:p>
        </w:tc>
        <w:tc>
          <w:tcPr>
            <w:tcW w:w="652" w:type="pct"/>
          </w:tcPr>
          <w:p w14:paraId="46DBAED1" w14:textId="2D0C365D" w:rsidR="00E45DD2" w:rsidRPr="00162476" w:rsidRDefault="00E45DD2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70%</w:t>
            </w:r>
          </w:p>
        </w:tc>
        <w:tc>
          <w:tcPr>
            <w:tcW w:w="941" w:type="pct"/>
          </w:tcPr>
          <w:p w14:paraId="74CE6655" w14:textId="77777777" w:rsidR="00E45DD2" w:rsidRPr="00162476" w:rsidRDefault="00E45DD2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Examens</w:t>
            </w:r>
          </w:p>
        </w:tc>
        <w:tc>
          <w:tcPr>
            <w:tcW w:w="645" w:type="pct"/>
          </w:tcPr>
          <w:p w14:paraId="2D38C5FD" w14:textId="77777777" w:rsidR="00E45DD2" w:rsidRPr="00162476" w:rsidRDefault="00E45DD2" w:rsidP="00162476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Apprentissage</w:t>
            </w:r>
          </w:p>
        </w:tc>
      </w:tr>
      <w:tr w:rsidR="00162476" w:rsidRPr="00162476" w14:paraId="0341B744" w14:textId="77777777" w:rsidTr="00162476">
        <w:trPr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14:paraId="685440AA" w14:textId="77777777" w:rsidR="00E45DD2" w:rsidRPr="00162476" w:rsidRDefault="00E45DD2" w:rsidP="00162476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  <w:t xml:space="preserve">Activités de formation et de </w:t>
            </w:r>
            <w:r w:rsidRPr="00162476">
              <w:rPr>
                <w:rFonts w:ascii="Arial Narrow" w:eastAsia="Times New Roman" w:hAnsi="Arial Narrow"/>
                <w:b/>
                <w:sz w:val="18"/>
                <w:szCs w:val="18"/>
                <w:shd w:val="clear" w:color="auto" w:fill="DBE5F1" w:themeFill="accent1" w:themeFillTint="33"/>
                <w:lang w:val="fr-FR" w:eastAsia="en-US"/>
              </w:rPr>
              <w:t>renforcement des capacités</w:t>
            </w:r>
          </w:p>
        </w:tc>
      </w:tr>
      <w:tr w:rsidR="00162476" w:rsidRPr="00162476" w14:paraId="233FB21E" w14:textId="77777777" w:rsidTr="00162476">
        <w:trPr>
          <w:jc w:val="center"/>
        </w:trPr>
        <w:tc>
          <w:tcPr>
            <w:tcW w:w="2146" w:type="pct"/>
          </w:tcPr>
          <w:p w14:paraId="0B2068B3" w14:textId="7BE0B019" w:rsidR="00E45DD2" w:rsidRPr="00162476" w:rsidRDefault="00E45DD2" w:rsidP="00162476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  <w:t>Indicateur d</w:t>
            </w:r>
            <w:r w:rsidR="007A129D" w:rsidRPr="00162476"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  <w:t>’</w:t>
            </w:r>
            <w:r w:rsidRPr="00162476"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  <w:t>exécution</w:t>
            </w:r>
          </w:p>
        </w:tc>
        <w:tc>
          <w:tcPr>
            <w:tcW w:w="616" w:type="pct"/>
          </w:tcPr>
          <w:p w14:paraId="755D48F5" w14:textId="77777777" w:rsidR="00E45DD2" w:rsidRPr="00162476" w:rsidRDefault="00E45DD2" w:rsidP="00162476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  <w:t>Niveau de référence</w:t>
            </w:r>
          </w:p>
        </w:tc>
        <w:tc>
          <w:tcPr>
            <w:tcW w:w="652" w:type="pct"/>
          </w:tcPr>
          <w:p w14:paraId="16C4DD1A" w14:textId="77777777" w:rsidR="00E45DD2" w:rsidRPr="00162476" w:rsidRDefault="00E45DD2" w:rsidP="00162476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  <w:t>Objectif</w:t>
            </w:r>
          </w:p>
        </w:tc>
        <w:tc>
          <w:tcPr>
            <w:tcW w:w="941" w:type="pct"/>
          </w:tcPr>
          <w:p w14:paraId="1962ED9D" w14:textId="77777777" w:rsidR="00E45DD2" w:rsidRPr="00162476" w:rsidRDefault="00E45DD2" w:rsidP="00162476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  <w:t>Mécanisme de collecte de données</w:t>
            </w:r>
          </w:p>
        </w:tc>
        <w:tc>
          <w:tcPr>
            <w:tcW w:w="645" w:type="pct"/>
          </w:tcPr>
          <w:p w14:paraId="0342583C" w14:textId="77777777" w:rsidR="00E45DD2" w:rsidRPr="00162476" w:rsidRDefault="00E45DD2" w:rsidP="00162476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  <w:t xml:space="preserve">Niveau de </w:t>
            </w:r>
            <w:proofErr w:type="spellStart"/>
            <w:r w:rsidRPr="00162476">
              <w:rPr>
                <w:rFonts w:ascii="Arial Narrow" w:eastAsia="Times New Roman" w:hAnsi="Arial Narrow"/>
                <w:b/>
                <w:sz w:val="18"/>
                <w:szCs w:val="18"/>
                <w:lang w:val="fr-FR" w:eastAsia="en-US"/>
              </w:rPr>
              <w:t>Kirkpatrick</w:t>
            </w:r>
            <w:proofErr w:type="spellEnd"/>
          </w:p>
        </w:tc>
      </w:tr>
      <w:tr w:rsidR="00162476" w:rsidRPr="00162476" w14:paraId="477A1988" w14:textId="77777777" w:rsidTr="00162476">
        <w:trPr>
          <w:jc w:val="center"/>
        </w:trPr>
        <w:tc>
          <w:tcPr>
            <w:tcW w:w="2146" w:type="pct"/>
          </w:tcPr>
          <w:p w14:paraId="007808F1" w14:textId="20AF24B8" w:rsidR="00E45DD2" w:rsidRPr="00162476" w:rsidRDefault="00E45DD2" w:rsidP="00A259C4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Degré de satisfaction des participants aux activités de formation et de renforcement des capacités de l</w:t>
            </w:r>
            <w:r w:rsidR="007A129D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’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 xml:space="preserve">OMPI relatives aux brevets </w:t>
            </w:r>
            <w:r w:rsidR="00A259C4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(p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rogramme</w:t>
            </w:r>
            <w:r w:rsidR="006A3DF0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 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1)</w:t>
            </w:r>
          </w:p>
        </w:tc>
        <w:tc>
          <w:tcPr>
            <w:tcW w:w="616" w:type="pct"/>
          </w:tcPr>
          <w:p w14:paraId="17FBAA32" w14:textId="0A6F4781" w:rsidR="00E45DD2" w:rsidRPr="00162476" w:rsidRDefault="00722380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à déterminer fin</w:t>
            </w:r>
            <w:r w:rsidR="006A3DF0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 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2017</w:t>
            </w:r>
          </w:p>
        </w:tc>
        <w:tc>
          <w:tcPr>
            <w:tcW w:w="652" w:type="pct"/>
          </w:tcPr>
          <w:p w14:paraId="2CBCECD3" w14:textId="488E6467" w:rsidR="00E45DD2" w:rsidRPr="00162476" w:rsidRDefault="00E45DD2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 xml:space="preserve">90% </w:t>
            </w:r>
          </w:p>
        </w:tc>
        <w:tc>
          <w:tcPr>
            <w:tcW w:w="941" w:type="pct"/>
          </w:tcPr>
          <w:p w14:paraId="66D62385" w14:textId="5561B457" w:rsidR="00E45DD2" w:rsidRPr="00162476" w:rsidRDefault="00E45DD2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Questionnaire d</w:t>
            </w:r>
            <w:r w:rsidR="007A129D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’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enquête</w:t>
            </w:r>
          </w:p>
        </w:tc>
        <w:tc>
          <w:tcPr>
            <w:tcW w:w="645" w:type="pct"/>
          </w:tcPr>
          <w:p w14:paraId="401D84BD" w14:textId="77777777" w:rsidR="00E45DD2" w:rsidRPr="00162476" w:rsidRDefault="00E45DD2" w:rsidP="00162476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 xml:space="preserve">Réaction </w:t>
            </w:r>
          </w:p>
        </w:tc>
      </w:tr>
      <w:tr w:rsidR="00162476" w:rsidRPr="00162476" w14:paraId="6005D0B8" w14:textId="77777777" w:rsidTr="00162476">
        <w:trPr>
          <w:jc w:val="center"/>
        </w:trPr>
        <w:tc>
          <w:tcPr>
            <w:tcW w:w="2146" w:type="pct"/>
          </w:tcPr>
          <w:p w14:paraId="32324C33" w14:textId="77605D8F" w:rsidR="00E45DD2" w:rsidRPr="00162476" w:rsidRDefault="00E45DD2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Degré de satisfaction des participants aux activités de formation et de renforcement des capacités de l</w:t>
            </w:r>
            <w:r w:rsidR="007A129D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’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OMPI (</w:t>
            </w:r>
            <w:r w:rsidR="00A259C4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programme 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17)</w:t>
            </w:r>
          </w:p>
        </w:tc>
        <w:tc>
          <w:tcPr>
            <w:tcW w:w="616" w:type="pct"/>
          </w:tcPr>
          <w:p w14:paraId="4EA2198B" w14:textId="2ACF2BCC" w:rsidR="00F508A0" w:rsidRPr="00162476" w:rsidRDefault="00E45DD2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Utilité</w:t>
            </w:r>
            <w:r w:rsidR="007A129D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 :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 xml:space="preserve"> 92%</w:t>
            </w:r>
          </w:p>
          <w:p w14:paraId="3BBABB3E" w14:textId="10521D2D" w:rsidR="00E45DD2" w:rsidRPr="00162476" w:rsidRDefault="00E45DD2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Satisfaction</w:t>
            </w:r>
            <w:r w:rsidR="007A129D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 :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 xml:space="preserve"> 92%</w:t>
            </w:r>
          </w:p>
        </w:tc>
        <w:tc>
          <w:tcPr>
            <w:tcW w:w="652" w:type="pct"/>
          </w:tcPr>
          <w:p w14:paraId="05AE19E3" w14:textId="68DE2B90" w:rsidR="00F508A0" w:rsidRPr="00162476" w:rsidRDefault="00E45DD2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Pertinence</w:t>
            </w:r>
            <w:r w:rsidR="007A129D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 :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 xml:space="preserve"> &gt; 85%</w:t>
            </w:r>
          </w:p>
          <w:p w14:paraId="0323BD36" w14:textId="04901D69" w:rsidR="00E45DD2" w:rsidRPr="00162476" w:rsidRDefault="00E45DD2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Utilité</w:t>
            </w:r>
            <w:r w:rsidR="007A129D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 :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 xml:space="preserve"> &gt; 85%</w:t>
            </w:r>
          </w:p>
        </w:tc>
        <w:tc>
          <w:tcPr>
            <w:tcW w:w="941" w:type="pct"/>
          </w:tcPr>
          <w:p w14:paraId="0D1E6662" w14:textId="518ED7AF" w:rsidR="00E45DD2" w:rsidRPr="00162476" w:rsidRDefault="00E45DD2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Questionnaire d</w:t>
            </w:r>
            <w:r w:rsidR="007A129D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’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enquête</w:t>
            </w:r>
          </w:p>
        </w:tc>
        <w:tc>
          <w:tcPr>
            <w:tcW w:w="645" w:type="pct"/>
          </w:tcPr>
          <w:p w14:paraId="624A860F" w14:textId="77777777" w:rsidR="00E45DD2" w:rsidRPr="00162476" w:rsidRDefault="00E45DD2" w:rsidP="00162476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 xml:space="preserve">Réaction </w:t>
            </w:r>
          </w:p>
        </w:tc>
      </w:tr>
      <w:tr w:rsidR="00162476" w:rsidRPr="00162476" w14:paraId="0C16BB1E" w14:textId="77777777" w:rsidTr="00162476">
        <w:trPr>
          <w:jc w:val="center"/>
        </w:trPr>
        <w:tc>
          <w:tcPr>
            <w:tcW w:w="2146" w:type="pct"/>
          </w:tcPr>
          <w:p w14:paraId="5A25073F" w14:textId="5FE8F434" w:rsidR="00E45DD2" w:rsidRPr="00162476" w:rsidRDefault="00E45DD2" w:rsidP="00162476">
            <w:pPr>
              <w:rPr>
                <w:rFonts w:ascii="Arial Narrow" w:eastAsia="Times New Roman" w:hAnsi="Arial Narrow"/>
                <w:i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Pourcentage des participants aux activités de formation et de renforcement des capacités de l</w:t>
            </w:r>
            <w:r w:rsidR="007A129D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’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OMPI relatives aux brevets qui démontrent une amélioration de leur savoir (</w:t>
            </w:r>
            <w:r w:rsidR="00A259C4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programme 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1)</w:t>
            </w:r>
          </w:p>
        </w:tc>
        <w:tc>
          <w:tcPr>
            <w:tcW w:w="616" w:type="pct"/>
          </w:tcPr>
          <w:p w14:paraId="5993E503" w14:textId="7BE6E9A4" w:rsidR="00E45DD2" w:rsidRPr="00162476" w:rsidRDefault="00722380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à déterminer fin</w:t>
            </w:r>
            <w:r w:rsidR="006A3DF0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 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2017</w:t>
            </w:r>
          </w:p>
        </w:tc>
        <w:tc>
          <w:tcPr>
            <w:tcW w:w="652" w:type="pct"/>
          </w:tcPr>
          <w:p w14:paraId="19C577DD" w14:textId="3DF57265" w:rsidR="00F508A0" w:rsidRPr="00162476" w:rsidRDefault="00E45DD2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90%</w:t>
            </w:r>
          </w:p>
          <w:p w14:paraId="47940F9C" w14:textId="77777777" w:rsidR="00E45DD2" w:rsidRPr="00162476" w:rsidRDefault="00E45DD2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</w:p>
        </w:tc>
        <w:tc>
          <w:tcPr>
            <w:tcW w:w="941" w:type="pct"/>
          </w:tcPr>
          <w:p w14:paraId="1627A19A" w14:textId="02DD3360" w:rsidR="00E45DD2" w:rsidRPr="00162476" w:rsidRDefault="00E45DD2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Brefs questionnaires à choix multip</w:t>
            </w:r>
            <w:r w:rsidR="00071815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l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es sur des questions de fond (avant et après la formation)</w:t>
            </w:r>
          </w:p>
        </w:tc>
        <w:tc>
          <w:tcPr>
            <w:tcW w:w="645" w:type="pct"/>
          </w:tcPr>
          <w:p w14:paraId="096F40D4" w14:textId="77777777" w:rsidR="00E45DD2" w:rsidRPr="00162476" w:rsidRDefault="00E45DD2" w:rsidP="00162476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Apprentissage</w:t>
            </w:r>
          </w:p>
        </w:tc>
      </w:tr>
      <w:tr w:rsidR="00162476" w:rsidRPr="00162476" w14:paraId="653DB1F4" w14:textId="77777777" w:rsidTr="00162476">
        <w:trPr>
          <w:jc w:val="center"/>
        </w:trPr>
        <w:tc>
          <w:tcPr>
            <w:tcW w:w="2146" w:type="pct"/>
          </w:tcPr>
          <w:p w14:paraId="5F1526EB" w14:textId="26F4CB63" w:rsidR="00E45DD2" w:rsidRPr="00162476" w:rsidRDefault="00722380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Nombre et pourcentage de participants aux activités de formation et de renforcement des capacités qui ont obtenu un score de 60% ou plus au bref questionnaire à choix multiple sur des questions de fond (programme</w:t>
            </w:r>
            <w:r w:rsidR="006A3DF0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 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9)</w:t>
            </w:r>
          </w:p>
        </w:tc>
        <w:tc>
          <w:tcPr>
            <w:tcW w:w="616" w:type="pct"/>
          </w:tcPr>
          <w:p w14:paraId="4982E7FA" w14:textId="720818C5" w:rsidR="00E45DD2" w:rsidRPr="00162476" w:rsidRDefault="00722380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proofErr w:type="spellStart"/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n.d</w:t>
            </w:r>
            <w:proofErr w:type="spellEnd"/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.</w:t>
            </w:r>
          </w:p>
        </w:tc>
        <w:tc>
          <w:tcPr>
            <w:tcW w:w="652" w:type="pct"/>
          </w:tcPr>
          <w:p w14:paraId="3E0A3D29" w14:textId="051B5B01" w:rsidR="00E45DD2" w:rsidRPr="00162476" w:rsidRDefault="00722380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Asie et Pacifique (80%)</w:t>
            </w:r>
          </w:p>
        </w:tc>
        <w:tc>
          <w:tcPr>
            <w:tcW w:w="941" w:type="pct"/>
          </w:tcPr>
          <w:p w14:paraId="29D9117B" w14:textId="13D9FF43" w:rsidR="00E45DD2" w:rsidRPr="00162476" w:rsidRDefault="00E45DD2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Bref</w:t>
            </w:r>
            <w:r w:rsidR="00071815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s questionnaires à choix multiple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s sur des questions de fond (avant et après la formation)</w:t>
            </w:r>
          </w:p>
        </w:tc>
        <w:tc>
          <w:tcPr>
            <w:tcW w:w="645" w:type="pct"/>
          </w:tcPr>
          <w:p w14:paraId="07806F62" w14:textId="77777777" w:rsidR="00E45DD2" w:rsidRPr="00162476" w:rsidRDefault="00E45DD2" w:rsidP="00162476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Apprentissage</w:t>
            </w:r>
          </w:p>
        </w:tc>
      </w:tr>
      <w:tr w:rsidR="00162476" w:rsidRPr="00162476" w14:paraId="541E727A" w14:textId="77777777" w:rsidTr="00162476">
        <w:trPr>
          <w:jc w:val="center"/>
        </w:trPr>
        <w:tc>
          <w:tcPr>
            <w:tcW w:w="2146" w:type="pct"/>
          </w:tcPr>
          <w:p w14:paraId="6E808697" w14:textId="1A23A2B5" w:rsidR="00E45DD2" w:rsidRPr="00162476" w:rsidRDefault="00722380" w:rsidP="00A259C4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Pourcentage de participants aux activités de formation et de renforcement des capacités de l</w:t>
            </w:r>
            <w:r w:rsidR="007A129D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’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OMPI provenant de bureaux de gestion de la technologie au sein d</w:t>
            </w:r>
            <w:r w:rsidR="007A129D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’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universités ou d</w:t>
            </w:r>
            <w:r w:rsidR="007A129D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’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instituts de recherche qui appliquent les connaissances et compétences nouvellement acquises dans le cadre de leur activité professionnelle (programme</w:t>
            </w:r>
            <w:r w:rsidR="006A3DF0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 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30)</w:t>
            </w:r>
          </w:p>
        </w:tc>
        <w:tc>
          <w:tcPr>
            <w:tcW w:w="616" w:type="pct"/>
          </w:tcPr>
          <w:p w14:paraId="53B82ED6" w14:textId="309EE0A5" w:rsidR="00E45DD2" w:rsidRPr="00162476" w:rsidRDefault="00722380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proofErr w:type="spellStart"/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n.d</w:t>
            </w:r>
            <w:proofErr w:type="spellEnd"/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.</w:t>
            </w:r>
          </w:p>
        </w:tc>
        <w:tc>
          <w:tcPr>
            <w:tcW w:w="652" w:type="pct"/>
          </w:tcPr>
          <w:p w14:paraId="5BE9BBCE" w14:textId="057EE685" w:rsidR="00E45DD2" w:rsidRPr="00162476" w:rsidRDefault="00E45DD2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65%</w:t>
            </w:r>
          </w:p>
        </w:tc>
        <w:tc>
          <w:tcPr>
            <w:tcW w:w="941" w:type="pct"/>
          </w:tcPr>
          <w:p w14:paraId="30D6B58A" w14:textId="765D7ECA" w:rsidR="00E45DD2" w:rsidRPr="00162476" w:rsidRDefault="00E45DD2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Questionnaires envoyés six</w:t>
            </w:r>
            <w:r w:rsidR="001661CA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 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mois après la formation aux participants et à leur superviseur</w:t>
            </w:r>
          </w:p>
        </w:tc>
        <w:tc>
          <w:tcPr>
            <w:tcW w:w="645" w:type="pct"/>
          </w:tcPr>
          <w:p w14:paraId="37FF3198" w14:textId="77777777" w:rsidR="00E45DD2" w:rsidRPr="00162476" w:rsidRDefault="00E45DD2" w:rsidP="00162476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Comportement</w:t>
            </w:r>
          </w:p>
        </w:tc>
      </w:tr>
      <w:tr w:rsidR="00162476" w:rsidRPr="00162476" w14:paraId="1BD10091" w14:textId="77777777" w:rsidTr="00162476">
        <w:trPr>
          <w:jc w:val="center"/>
        </w:trPr>
        <w:tc>
          <w:tcPr>
            <w:tcW w:w="2146" w:type="pct"/>
          </w:tcPr>
          <w:p w14:paraId="2F1A9F7E" w14:textId="1DE6E31C" w:rsidR="00E45DD2" w:rsidRPr="00162476" w:rsidRDefault="00E45DD2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 xml:space="preserve">Pourcentage de professionnels et de fonctionnaires dans le domaine de la propriété intellectuelle qui </w:t>
            </w:r>
            <w:r w:rsidR="00221BB7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appliquent le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 xml:space="preserve">s compétences </w:t>
            </w:r>
            <w:r w:rsidR="00221BB7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nouvellement acquises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 xml:space="preserve"> dans </w:t>
            </w:r>
            <w:r w:rsidR="00221BB7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le cadre de leur activité professionnelle</w:t>
            </w:r>
            <w:r w:rsidR="00A259C4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 xml:space="preserve"> (p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rogramme</w:t>
            </w:r>
            <w:r w:rsidR="006A3DF0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 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10)</w:t>
            </w:r>
          </w:p>
        </w:tc>
        <w:tc>
          <w:tcPr>
            <w:tcW w:w="616" w:type="pct"/>
          </w:tcPr>
          <w:p w14:paraId="2B657134" w14:textId="705E35C9" w:rsidR="00E45DD2" w:rsidRPr="00162476" w:rsidRDefault="00E45DD2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 xml:space="preserve">83% </w:t>
            </w:r>
          </w:p>
        </w:tc>
        <w:tc>
          <w:tcPr>
            <w:tcW w:w="652" w:type="pct"/>
          </w:tcPr>
          <w:p w14:paraId="6DB495DB" w14:textId="69424612" w:rsidR="00E45DD2" w:rsidRPr="00162476" w:rsidRDefault="00E45DD2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80%</w:t>
            </w:r>
          </w:p>
        </w:tc>
        <w:tc>
          <w:tcPr>
            <w:tcW w:w="941" w:type="pct"/>
          </w:tcPr>
          <w:p w14:paraId="43E5D4B7" w14:textId="7BD60609" w:rsidR="00E45DD2" w:rsidRPr="00162476" w:rsidRDefault="00E45DD2" w:rsidP="00162476">
            <w:pPr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Questionnaires envoyés six</w:t>
            </w:r>
            <w:r w:rsidR="001661CA"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 </w:t>
            </w: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mois après la formation aux participants et à leur superviseur</w:t>
            </w:r>
          </w:p>
        </w:tc>
        <w:tc>
          <w:tcPr>
            <w:tcW w:w="645" w:type="pct"/>
          </w:tcPr>
          <w:p w14:paraId="631E4885" w14:textId="77777777" w:rsidR="00E45DD2" w:rsidRPr="00162476" w:rsidRDefault="00E45DD2" w:rsidP="00162476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</w:pPr>
            <w:r w:rsidRPr="00162476">
              <w:rPr>
                <w:rFonts w:ascii="Arial Narrow" w:eastAsia="Times New Roman" w:hAnsi="Arial Narrow"/>
                <w:sz w:val="18"/>
                <w:szCs w:val="18"/>
                <w:lang w:val="fr-FR" w:eastAsia="en-US"/>
              </w:rPr>
              <w:t>Comportement</w:t>
            </w:r>
          </w:p>
        </w:tc>
      </w:tr>
    </w:tbl>
    <w:p w14:paraId="3C0F83E2" w14:textId="77777777" w:rsidR="00F508A0" w:rsidRPr="00CD33B8" w:rsidRDefault="00F508A0" w:rsidP="00E45DD2">
      <w:pPr>
        <w:rPr>
          <w:szCs w:val="22"/>
          <w:lang w:val="fr-FR"/>
        </w:rPr>
      </w:pPr>
    </w:p>
    <w:p w14:paraId="3A433A56" w14:textId="0B766479" w:rsidR="00F508A0" w:rsidRPr="00162476" w:rsidRDefault="00E45DD2" w:rsidP="00162476">
      <w:pPr>
        <w:pStyle w:val="ONUMFS"/>
        <w:keepLines/>
        <w:rPr>
          <w:lang w:val="fr-FR"/>
        </w:rPr>
      </w:pPr>
      <w:r w:rsidRPr="00CD33B8">
        <w:rPr>
          <w:lang w:val="fr-FR"/>
        </w:rPr>
        <w:lastRenderedPageBreak/>
        <w:t>L</w:t>
      </w:r>
      <w:r w:rsidR="007A129D">
        <w:rPr>
          <w:lang w:val="fr-FR"/>
        </w:rPr>
        <w:t>’</w:t>
      </w:r>
      <w:r w:rsidRPr="00CD33B8">
        <w:rPr>
          <w:lang w:val="fr-FR"/>
        </w:rPr>
        <w:t>OMPI continuera de déployer des efforts concertés</w:t>
      </w:r>
      <w:r w:rsidR="00C0476A">
        <w:rPr>
          <w:lang w:val="fr-FR"/>
        </w:rPr>
        <w:t xml:space="preserve"> afin d</w:t>
      </w:r>
      <w:r w:rsidR="007A129D">
        <w:rPr>
          <w:lang w:val="fr-FR"/>
        </w:rPr>
        <w:t>’</w:t>
      </w:r>
      <w:r w:rsidR="00C0476A">
        <w:rPr>
          <w:lang w:val="fr-FR"/>
        </w:rPr>
        <w:t>évaluer s</w:t>
      </w:r>
      <w:r w:rsidRPr="00CD33B8">
        <w:rPr>
          <w:lang w:val="fr-FR"/>
        </w:rPr>
        <w:t>es outils et méthodes en vigueur pour mesurer l</w:t>
      </w:r>
      <w:r w:rsidR="007A129D">
        <w:rPr>
          <w:lang w:val="fr-FR"/>
        </w:rPr>
        <w:t>’</w:t>
      </w:r>
      <w:r w:rsidRPr="00CD33B8">
        <w:rPr>
          <w:lang w:val="fr-FR"/>
        </w:rPr>
        <w:t>incidence, l</w:t>
      </w:r>
      <w:r w:rsidR="007A129D">
        <w:rPr>
          <w:lang w:val="fr-FR"/>
        </w:rPr>
        <w:t>’</w:t>
      </w:r>
      <w:r w:rsidRPr="00CD33B8">
        <w:rPr>
          <w:lang w:val="fr-FR"/>
        </w:rPr>
        <w:t>efficacité et le bon fonctionnement des activités d</w:t>
      </w:r>
      <w:r w:rsidR="007A129D">
        <w:rPr>
          <w:lang w:val="fr-FR"/>
        </w:rPr>
        <w:t>’</w:t>
      </w:r>
      <w:r w:rsidRPr="00CD33B8">
        <w:rPr>
          <w:lang w:val="fr-FR"/>
        </w:rPr>
        <w:t>assistance</w:t>
      </w:r>
      <w:r w:rsidR="00221BB7">
        <w:rPr>
          <w:lang w:val="fr-FR"/>
        </w:rPr>
        <w:t xml:space="preserve"> technique à différents niveaux</w:t>
      </w:r>
      <w:r w:rsidRPr="00CD33B8">
        <w:rPr>
          <w:lang w:val="fr-FR"/>
        </w:rPr>
        <w:t xml:space="preserve">, en vue de mettre en place des améliorations qui </w:t>
      </w:r>
      <w:r w:rsidRPr="00162476">
        <w:rPr>
          <w:lang w:val="fr-FR"/>
        </w:rPr>
        <w:t>augmentent la valeur ajoutée</w:t>
      </w:r>
      <w:r w:rsidR="00A52E86" w:rsidRPr="00162476">
        <w:rPr>
          <w:lang w:val="fr-FR"/>
        </w:rPr>
        <w:t>, dans la mesure du possible,</w:t>
      </w:r>
      <w:r w:rsidRPr="00162476">
        <w:rPr>
          <w:lang w:val="fr-FR"/>
        </w:rPr>
        <w:t xml:space="preserve"> et de combler les lacunes.  L</w:t>
      </w:r>
      <w:r w:rsidR="007A129D" w:rsidRPr="00162476">
        <w:rPr>
          <w:lang w:val="fr-FR"/>
        </w:rPr>
        <w:t>’</w:t>
      </w:r>
      <w:r w:rsidRPr="00162476">
        <w:rPr>
          <w:lang w:val="fr-FR"/>
        </w:rPr>
        <w:t>OMPI continuera également à perfectionner et améliorer son cadre d</w:t>
      </w:r>
      <w:r w:rsidR="007A129D" w:rsidRPr="00162476">
        <w:rPr>
          <w:lang w:val="fr-FR"/>
        </w:rPr>
        <w:t>’</w:t>
      </w:r>
      <w:r w:rsidRPr="00162476">
        <w:rPr>
          <w:lang w:val="fr-FR"/>
        </w:rPr>
        <w:t>indicateurs d</w:t>
      </w:r>
      <w:r w:rsidR="007A129D" w:rsidRPr="00162476">
        <w:rPr>
          <w:lang w:val="fr-FR"/>
        </w:rPr>
        <w:t>’</w:t>
      </w:r>
      <w:r w:rsidRPr="00162476">
        <w:rPr>
          <w:lang w:val="fr-FR"/>
        </w:rPr>
        <w:t>exécution, en y intégrant les enseignements tirés et en prenant en considération les recommandations pertinentes issues des évaluations, afin de renforcer le suivi et l</w:t>
      </w:r>
      <w:r w:rsidR="007A129D" w:rsidRPr="00162476">
        <w:rPr>
          <w:lang w:val="fr-FR"/>
        </w:rPr>
        <w:t>’</w:t>
      </w:r>
      <w:r w:rsidRPr="00162476">
        <w:rPr>
          <w:lang w:val="fr-FR"/>
        </w:rPr>
        <w:t>évaluation des résultats à plus long terme de l</w:t>
      </w:r>
      <w:r w:rsidR="007A129D" w:rsidRPr="00162476">
        <w:rPr>
          <w:lang w:val="fr-FR"/>
        </w:rPr>
        <w:t>’</w:t>
      </w:r>
      <w:r w:rsidRPr="00162476">
        <w:rPr>
          <w:lang w:val="fr-FR"/>
        </w:rPr>
        <w:t>assistance technique fournie par l</w:t>
      </w:r>
      <w:r w:rsidR="007A129D" w:rsidRPr="00162476">
        <w:rPr>
          <w:lang w:val="fr-FR"/>
        </w:rPr>
        <w:t>’</w:t>
      </w:r>
      <w:r w:rsidRPr="00162476">
        <w:rPr>
          <w:lang w:val="fr-FR"/>
        </w:rPr>
        <w:t>OMPI.</w:t>
      </w:r>
    </w:p>
    <w:p w14:paraId="4021C8CA" w14:textId="77777777" w:rsidR="00F508A0" w:rsidRPr="00162476" w:rsidRDefault="00722380" w:rsidP="00722380">
      <w:pPr>
        <w:pStyle w:val="ONUMFS"/>
        <w:ind w:left="5533"/>
        <w:rPr>
          <w:i/>
          <w:lang w:val="fr-FR"/>
        </w:rPr>
      </w:pPr>
      <w:r w:rsidRPr="00162476">
        <w:rPr>
          <w:i/>
          <w:lang w:val="fr-FR"/>
        </w:rPr>
        <w:t>Le CDIP est invité à examiner les informations contenues dans le présent document.</w:t>
      </w:r>
    </w:p>
    <w:p w14:paraId="6B20B529" w14:textId="77777777" w:rsidR="00F508A0" w:rsidRPr="00162476" w:rsidRDefault="00F508A0" w:rsidP="00F508A0">
      <w:pPr>
        <w:rPr>
          <w:lang w:val="fr-FR"/>
        </w:rPr>
      </w:pPr>
    </w:p>
    <w:p w14:paraId="60D2E68B" w14:textId="77777777" w:rsidR="00F508A0" w:rsidRPr="00162476" w:rsidRDefault="00F508A0" w:rsidP="00F508A0">
      <w:pPr>
        <w:rPr>
          <w:lang w:val="fr-FR"/>
        </w:rPr>
      </w:pPr>
    </w:p>
    <w:p w14:paraId="15E35E0E" w14:textId="77777777" w:rsidR="00F508A0" w:rsidRPr="00162476" w:rsidRDefault="00F508A0">
      <w:pPr>
        <w:pStyle w:val="Endofdocument-Annex"/>
        <w:rPr>
          <w:lang w:val="fr-FR"/>
        </w:rPr>
      </w:pPr>
      <w:r w:rsidRPr="00162476">
        <w:rPr>
          <w:lang w:val="fr-FR"/>
        </w:rPr>
        <w:t>[Fin du document]</w:t>
      </w:r>
    </w:p>
    <w:p w14:paraId="4E9C06B8" w14:textId="77777777" w:rsidR="00F508A0" w:rsidRPr="00162476" w:rsidRDefault="00F508A0">
      <w:pPr>
        <w:pStyle w:val="Endofdocument-Annex"/>
        <w:rPr>
          <w:lang w:val="fr-FR"/>
        </w:rPr>
      </w:pPr>
    </w:p>
    <w:sectPr w:rsidR="00F508A0" w:rsidRPr="00162476" w:rsidSect="00F508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1"/>
      <w:pgMar w:top="567" w:right="1134" w:bottom="1417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5F697" w14:textId="77777777" w:rsidR="00517E31" w:rsidRDefault="00517E31">
      <w:r>
        <w:separator/>
      </w:r>
    </w:p>
  </w:endnote>
  <w:endnote w:type="continuationSeparator" w:id="0">
    <w:p w14:paraId="5006F012" w14:textId="77777777" w:rsidR="00517E31" w:rsidRDefault="00517E31" w:rsidP="003B38C1">
      <w:r>
        <w:separator/>
      </w:r>
    </w:p>
    <w:p w14:paraId="3534CA77" w14:textId="77777777" w:rsidR="00517E31" w:rsidRPr="003B38C1" w:rsidRDefault="00517E31" w:rsidP="003B38C1">
      <w:pPr>
        <w:spacing w:after="60"/>
        <w:rPr>
          <w:sz w:val="17"/>
        </w:rPr>
      </w:pPr>
      <w:r>
        <w:rPr>
          <w:sz w:val="17"/>
        </w:rPr>
        <w:t>[Suite de la note de fin de la page précédente]</w:t>
      </w:r>
    </w:p>
  </w:endnote>
  <w:endnote w:type="continuationNotice" w:id="1">
    <w:p w14:paraId="7864D57A" w14:textId="77777777" w:rsidR="00517E31" w:rsidRPr="003B38C1" w:rsidRDefault="00517E3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[La note de fin continue à la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F8686" w14:textId="77777777" w:rsidR="007559F4" w:rsidRDefault="007559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30A83" w14:textId="77777777" w:rsidR="007559F4" w:rsidRDefault="007559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6DA36" w14:textId="77777777" w:rsidR="007559F4" w:rsidRDefault="007559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F20E0" w14:textId="77777777" w:rsidR="00517E31" w:rsidRDefault="00517E31">
      <w:r>
        <w:separator/>
      </w:r>
    </w:p>
  </w:footnote>
  <w:footnote w:type="continuationSeparator" w:id="0">
    <w:p w14:paraId="4CCE4482" w14:textId="77777777" w:rsidR="00517E31" w:rsidRDefault="00517E31" w:rsidP="008B60B2">
      <w:r>
        <w:separator/>
      </w:r>
    </w:p>
    <w:p w14:paraId="20270E8A" w14:textId="77777777" w:rsidR="00517E31" w:rsidRPr="00ED77FB" w:rsidRDefault="00517E3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[Suite de la note de bas de page de la page précédente]</w:t>
      </w:r>
    </w:p>
  </w:footnote>
  <w:footnote w:type="continuationNotice" w:id="1">
    <w:p w14:paraId="70EF6A3D" w14:textId="77777777" w:rsidR="00517E31" w:rsidRPr="00ED77FB" w:rsidRDefault="00517E3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[La note de bas de page continue à la page suivante]</w:t>
      </w:r>
    </w:p>
  </w:footnote>
  <w:footnote w:id="2">
    <w:p w14:paraId="45A3AD84" w14:textId="7B1B9DF5" w:rsidR="00517E31" w:rsidRDefault="00517E31" w:rsidP="00E44A0B">
      <w:pPr>
        <w:pStyle w:val="FootnoteText"/>
      </w:pPr>
      <w:r w:rsidRPr="008C46FE">
        <w:rPr>
          <w:rStyle w:val="FootnoteReference"/>
        </w:rPr>
        <w:footnoteRef/>
      </w:r>
      <w:r w:rsidRPr="008C46FE">
        <w:t xml:space="preserve"> </w:t>
      </w:r>
      <w:r w:rsidRPr="008C46FE">
        <w:tab/>
        <w:t>L</w:t>
      </w:r>
      <w:r w:rsidR="007A5AFA" w:rsidRPr="008C46FE">
        <w:t>’</w:t>
      </w:r>
      <w:r w:rsidRPr="008C46FE">
        <w:t>appendice I du Résumé présenté par le président à la dix</w:t>
      </w:r>
      <w:r w:rsidR="007A5AFA" w:rsidRPr="008C46FE">
        <w:t>-</w:t>
      </w:r>
      <w:r w:rsidRPr="008C46FE">
        <w:t>sept</w:t>
      </w:r>
      <w:r w:rsidR="007A5AFA" w:rsidRPr="008C46FE">
        <w:t>ième session du </w:t>
      </w:r>
      <w:proofErr w:type="spellStart"/>
      <w:r w:rsidR="007A5AFA" w:rsidRPr="008C46FE">
        <w:t>CDI</w:t>
      </w:r>
      <w:r w:rsidRPr="008C46FE">
        <w:t>P</w:t>
      </w:r>
      <w:proofErr w:type="spellEnd"/>
      <w:r w:rsidRPr="008C46FE">
        <w:t xml:space="preserve"> est disponible à l</w:t>
      </w:r>
      <w:r w:rsidR="007A5AFA" w:rsidRPr="008C46FE">
        <w:t>’</w:t>
      </w:r>
      <w:r w:rsidRPr="008C46FE">
        <w:t>adresse suivante</w:t>
      </w:r>
      <w:r w:rsidR="007A5AFA" w:rsidRPr="008C46FE">
        <w:t> :</w:t>
      </w:r>
      <w:r w:rsidRPr="008C46FE">
        <w:t xml:space="preserve"> </w:t>
      </w:r>
      <w:hyperlink r:id="rId1" w:history="1">
        <w:r w:rsidRPr="00722380">
          <w:rPr>
            <w:rStyle w:val="Hyperlink"/>
          </w:rPr>
          <w:t>http://www.wipo.int/meetings/fr/doc_details.jsp?doc_id=335277</w:t>
        </w:r>
      </w:hyperlink>
      <w:r w:rsidRPr="008C46FE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1450C" w14:textId="77777777" w:rsidR="007559F4" w:rsidRDefault="007559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B4A42" w14:textId="77777777" w:rsidR="00517E31" w:rsidRDefault="00517E31" w:rsidP="002B313F">
    <w:pPr>
      <w:pStyle w:val="Header"/>
      <w:jc w:val="right"/>
    </w:pPr>
    <w:proofErr w:type="spellStart"/>
    <w:r>
      <w:t>CDIP</w:t>
    </w:r>
    <w:proofErr w:type="spellEnd"/>
    <w:r>
      <w:t>/22/10</w:t>
    </w:r>
  </w:p>
  <w:p w14:paraId="2F8CB938" w14:textId="77777777" w:rsidR="00517E31" w:rsidRDefault="00517E31" w:rsidP="0008664C">
    <w:pPr>
      <w:pStyle w:val="Header"/>
      <w:jc w:val="right"/>
      <w:rPr>
        <w:noProof/>
      </w:rPr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259C4">
      <w:rPr>
        <w:noProof/>
      </w:rPr>
      <w:t>8</w:t>
    </w:r>
    <w:r>
      <w:rPr>
        <w:noProof/>
      </w:rPr>
      <w:fldChar w:fldCharType="end"/>
    </w:r>
  </w:p>
  <w:p w14:paraId="44AA5AE8" w14:textId="77777777" w:rsidR="00517E31" w:rsidRDefault="00517E31" w:rsidP="0008664C">
    <w:pPr>
      <w:pStyle w:val="Header"/>
      <w:jc w:val="right"/>
      <w:rPr>
        <w:noProof/>
      </w:rPr>
    </w:pPr>
  </w:p>
  <w:p w14:paraId="566E4DA6" w14:textId="77777777" w:rsidR="00517E31" w:rsidRDefault="00517E31" w:rsidP="0008664C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54258" w14:textId="77777777" w:rsidR="007559F4" w:rsidRDefault="007559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>
    <w:nsid w:val="15EC35DA"/>
    <w:multiLevelType w:val="hybridMultilevel"/>
    <w:tmpl w:val="3A5EBC2E"/>
    <w:lvl w:ilvl="0" w:tplc="616AAF6A">
      <w:start w:val="56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57436C"/>
    <w:multiLevelType w:val="hybridMultilevel"/>
    <w:tmpl w:val="7FAA39A4"/>
    <w:lvl w:ilvl="0" w:tplc="3116A28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5A573C"/>
    <w:multiLevelType w:val="hybridMultilevel"/>
    <w:tmpl w:val="AC48D8A4"/>
    <w:lvl w:ilvl="0" w:tplc="3116A28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8FB66A6"/>
    <w:multiLevelType w:val="hybridMultilevel"/>
    <w:tmpl w:val="E68E9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4C76C3"/>
    <w:multiLevelType w:val="hybridMultilevel"/>
    <w:tmpl w:val="F9280144"/>
    <w:lvl w:ilvl="0" w:tplc="5BF08A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20F2B"/>
    <w:multiLevelType w:val="hybridMultilevel"/>
    <w:tmpl w:val="17B02A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50600"/>
    <w:multiLevelType w:val="multilevel"/>
    <w:tmpl w:val="A0B61656"/>
    <w:lvl w:ilvl="0">
      <w:start w:val="1"/>
      <w:numFmt w:val="bullet"/>
      <w:lvlText w:val="–"/>
      <w:lvlJc w:val="left"/>
      <w:pPr>
        <w:tabs>
          <w:tab w:val="num" w:pos="567"/>
        </w:tabs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853CBD"/>
    <w:multiLevelType w:val="hybridMultilevel"/>
    <w:tmpl w:val="B6986EE0"/>
    <w:lvl w:ilvl="0" w:tplc="32AE917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407D2"/>
    <w:multiLevelType w:val="hybridMultilevel"/>
    <w:tmpl w:val="58B0D1AE"/>
    <w:lvl w:ilvl="0" w:tplc="3116A28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0F7BE2"/>
    <w:multiLevelType w:val="hybridMultilevel"/>
    <w:tmpl w:val="DC10F3DA"/>
    <w:lvl w:ilvl="0" w:tplc="32AE917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14648"/>
    <w:multiLevelType w:val="hybridMultilevel"/>
    <w:tmpl w:val="E3FCC5BC"/>
    <w:lvl w:ilvl="0" w:tplc="87009630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F121F3"/>
    <w:multiLevelType w:val="hybridMultilevel"/>
    <w:tmpl w:val="21C4ABA4"/>
    <w:lvl w:ilvl="0" w:tplc="3116A28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62A7802"/>
    <w:multiLevelType w:val="hybridMultilevel"/>
    <w:tmpl w:val="72268A76"/>
    <w:lvl w:ilvl="0" w:tplc="3116A28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5258C1"/>
    <w:multiLevelType w:val="hybridMultilevel"/>
    <w:tmpl w:val="F860039A"/>
    <w:lvl w:ilvl="0" w:tplc="32AE917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80CC7"/>
    <w:multiLevelType w:val="hybridMultilevel"/>
    <w:tmpl w:val="D424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30017"/>
    <w:multiLevelType w:val="hybridMultilevel"/>
    <w:tmpl w:val="2836F7EA"/>
    <w:lvl w:ilvl="0" w:tplc="32AE917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7"/>
  </w:num>
  <w:num w:numId="5">
    <w:abstractNumId w:val="5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3"/>
  </w:num>
  <w:num w:numId="12">
    <w:abstractNumId w:val="9"/>
  </w:num>
  <w:num w:numId="13">
    <w:abstractNumId w:val="0"/>
  </w:num>
  <w:num w:numId="14">
    <w:abstractNumId w:val="4"/>
  </w:num>
  <w:num w:numId="15">
    <w:abstractNumId w:val="7"/>
  </w:num>
  <w:num w:numId="16">
    <w:abstractNumId w:val="16"/>
  </w:num>
  <w:num w:numId="17">
    <w:abstractNumId w:val="12"/>
  </w:num>
  <w:num w:numId="18">
    <w:abstractNumId w:val="18"/>
  </w:num>
  <w:num w:numId="19">
    <w:abstractNumId w:val="8"/>
  </w:num>
  <w:num w:numId="20">
    <w:abstractNumId w:val="10"/>
  </w:num>
  <w:num w:numId="21">
    <w:abstractNumId w:val="2"/>
  </w:num>
  <w:num w:numId="22">
    <w:abstractNumId w:val="14"/>
  </w:num>
  <w:num w:numId="23">
    <w:abstractNumId w:val="15"/>
  </w:num>
  <w:num w:numId="24">
    <w:abstractNumId w:val="3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9A3FE9"/>
    <w:rsid w:val="00001E20"/>
    <w:rsid w:val="00023AAE"/>
    <w:rsid w:val="00023C8A"/>
    <w:rsid w:val="000309E4"/>
    <w:rsid w:val="00043CAA"/>
    <w:rsid w:val="00065FE9"/>
    <w:rsid w:val="00071815"/>
    <w:rsid w:val="0007184C"/>
    <w:rsid w:val="000748E2"/>
    <w:rsid w:val="00075432"/>
    <w:rsid w:val="00083E7B"/>
    <w:rsid w:val="00084FC0"/>
    <w:rsid w:val="0008664C"/>
    <w:rsid w:val="000968ED"/>
    <w:rsid w:val="000A7E98"/>
    <w:rsid w:val="000B12F2"/>
    <w:rsid w:val="000B30A0"/>
    <w:rsid w:val="000B330E"/>
    <w:rsid w:val="000B6C5D"/>
    <w:rsid w:val="000B7FA5"/>
    <w:rsid w:val="000C2FF1"/>
    <w:rsid w:val="000C540C"/>
    <w:rsid w:val="000D0A9E"/>
    <w:rsid w:val="000D336C"/>
    <w:rsid w:val="000E2346"/>
    <w:rsid w:val="000E2837"/>
    <w:rsid w:val="000E35F0"/>
    <w:rsid w:val="000E4CBB"/>
    <w:rsid w:val="000E5E16"/>
    <w:rsid w:val="000E65DD"/>
    <w:rsid w:val="000F5E56"/>
    <w:rsid w:val="000F7FB6"/>
    <w:rsid w:val="001009EE"/>
    <w:rsid w:val="00101B8A"/>
    <w:rsid w:val="00105209"/>
    <w:rsid w:val="00107138"/>
    <w:rsid w:val="00110C5E"/>
    <w:rsid w:val="0011551C"/>
    <w:rsid w:val="001160B1"/>
    <w:rsid w:val="0013376C"/>
    <w:rsid w:val="001362EE"/>
    <w:rsid w:val="00140A04"/>
    <w:rsid w:val="001508C2"/>
    <w:rsid w:val="00162476"/>
    <w:rsid w:val="00163D54"/>
    <w:rsid w:val="001661CA"/>
    <w:rsid w:val="00172FE0"/>
    <w:rsid w:val="001734F8"/>
    <w:rsid w:val="00175AD2"/>
    <w:rsid w:val="0017628A"/>
    <w:rsid w:val="001832A6"/>
    <w:rsid w:val="001B1C2B"/>
    <w:rsid w:val="001C10FE"/>
    <w:rsid w:val="001C6003"/>
    <w:rsid w:val="001D59E6"/>
    <w:rsid w:val="001E0190"/>
    <w:rsid w:val="001E14C1"/>
    <w:rsid w:val="001E39B7"/>
    <w:rsid w:val="001E3D72"/>
    <w:rsid w:val="001E4717"/>
    <w:rsid w:val="001E6248"/>
    <w:rsid w:val="001F1272"/>
    <w:rsid w:val="001F3359"/>
    <w:rsid w:val="001F75A6"/>
    <w:rsid w:val="00201659"/>
    <w:rsid w:val="002028F4"/>
    <w:rsid w:val="00206061"/>
    <w:rsid w:val="00206C84"/>
    <w:rsid w:val="002119A6"/>
    <w:rsid w:val="0021217E"/>
    <w:rsid w:val="00221BB7"/>
    <w:rsid w:val="00222628"/>
    <w:rsid w:val="00227344"/>
    <w:rsid w:val="00231E11"/>
    <w:rsid w:val="00232CE0"/>
    <w:rsid w:val="002349F5"/>
    <w:rsid w:val="00234DCB"/>
    <w:rsid w:val="00240043"/>
    <w:rsid w:val="00254AE3"/>
    <w:rsid w:val="00257609"/>
    <w:rsid w:val="00260970"/>
    <w:rsid w:val="002634C4"/>
    <w:rsid w:val="0028539A"/>
    <w:rsid w:val="00290202"/>
    <w:rsid w:val="002928D3"/>
    <w:rsid w:val="00296A7C"/>
    <w:rsid w:val="002A1579"/>
    <w:rsid w:val="002A3346"/>
    <w:rsid w:val="002B2BCF"/>
    <w:rsid w:val="002B313F"/>
    <w:rsid w:val="002B49E5"/>
    <w:rsid w:val="002E068F"/>
    <w:rsid w:val="002E1734"/>
    <w:rsid w:val="002E6CEB"/>
    <w:rsid w:val="002F1FE6"/>
    <w:rsid w:val="002F46D5"/>
    <w:rsid w:val="002F4E68"/>
    <w:rsid w:val="002F62BD"/>
    <w:rsid w:val="00312D97"/>
    <w:rsid w:val="00312F7F"/>
    <w:rsid w:val="00323E66"/>
    <w:rsid w:val="00325CF0"/>
    <w:rsid w:val="003273BA"/>
    <w:rsid w:val="00331FA3"/>
    <w:rsid w:val="00341F32"/>
    <w:rsid w:val="0035218A"/>
    <w:rsid w:val="00353A31"/>
    <w:rsid w:val="00361450"/>
    <w:rsid w:val="0036153B"/>
    <w:rsid w:val="003673CF"/>
    <w:rsid w:val="00367479"/>
    <w:rsid w:val="003760F9"/>
    <w:rsid w:val="00381C97"/>
    <w:rsid w:val="00382CDE"/>
    <w:rsid w:val="003845C1"/>
    <w:rsid w:val="00386656"/>
    <w:rsid w:val="00386AB8"/>
    <w:rsid w:val="003920D2"/>
    <w:rsid w:val="00394B80"/>
    <w:rsid w:val="003A0218"/>
    <w:rsid w:val="003A35DF"/>
    <w:rsid w:val="003A560C"/>
    <w:rsid w:val="003A5DEF"/>
    <w:rsid w:val="003A652F"/>
    <w:rsid w:val="003A65F7"/>
    <w:rsid w:val="003A6728"/>
    <w:rsid w:val="003A6845"/>
    <w:rsid w:val="003A6F89"/>
    <w:rsid w:val="003B2F00"/>
    <w:rsid w:val="003B38C1"/>
    <w:rsid w:val="003C0CC3"/>
    <w:rsid w:val="003C1B97"/>
    <w:rsid w:val="003D0C68"/>
    <w:rsid w:val="003D6275"/>
    <w:rsid w:val="003D6783"/>
    <w:rsid w:val="003E04BE"/>
    <w:rsid w:val="003E318D"/>
    <w:rsid w:val="003E5718"/>
    <w:rsid w:val="003F030C"/>
    <w:rsid w:val="003F1ED8"/>
    <w:rsid w:val="003F274D"/>
    <w:rsid w:val="003F5941"/>
    <w:rsid w:val="003F5BEE"/>
    <w:rsid w:val="00401779"/>
    <w:rsid w:val="004057E8"/>
    <w:rsid w:val="00416D88"/>
    <w:rsid w:val="004202C0"/>
    <w:rsid w:val="0042061C"/>
    <w:rsid w:val="00423E3E"/>
    <w:rsid w:val="00427AF4"/>
    <w:rsid w:val="004322AB"/>
    <w:rsid w:val="00441216"/>
    <w:rsid w:val="004421C6"/>
    <w:rsid w:val="00447909"/>
    <w:rsid w:val="004479FC"/>
    <w:rsid w:val="004647DA"/>
    <w:rsid w:val="00466F74"/>
    <w:rsid w:val="00467FE5"/>
    <w:rsid w:val="00474062"/>
    <w:rsid w:val="004745CB"/>
    <w:rsid w:val="00477D6B"/>
    <w:rsid w:val="00490F5D"/>
    <w:rsid w:val="0049633C"/>
    <w:rsid w:val="004A3CDF"/>
    <w:rsid w:val="004A6368"/>
    <w:rsid w:val="004B5885"/>
    <w:rsid w:val="004C3E66"/>
    <w:rsid w:val="004D012A"/>
    <w:rsid w:val="004D15E6"/>
    <w:rsid w:val="004D34A5"/>
    <w:rsid w:val="004D5867"/>
    <w:rsid w:val="004D5909"/>
    <w:rsid w:val="004F3EA6"/>
    <w:rsid w:val="005019FF"/>
    <w:rsid w:val="00510A76"/>
    <w:rsid w:val="005169EE"/>
    <w:rsid w:val="00517753"/>
    <w:rsid w:val="00517B3F"/>
    <w:rsid w:val="00517E31"/>
    <w:rsid w:val="00521238"/>
    <w:rsid w:val="0052344F"/>
    <w:rsid w:val="005234C3"/>
    <w:rsid w:val="0052512C"/>
    <w:rsid w:val="0053057A"/>
    <w:rsid w:val="00532BC1"/>
    <w:rsid w:val="00532D54"/>
    <w:rsid w:val="00535933"/>
    <w:rsid w:val="00535BD9"/>
    <w:rsid w:val="00552F42"/>
    <w:rsid w:val="005558F9"/>
    <w:rsid w:val="00560A29"/>
    <w:rsid w:val="00574D1C"/>
    <w:rsid w:val="00595981"/>
    <w:rsid w:val="005A0766"/>
    <w:rsid w:val="005A4282"/>
    <w:rsid w:val="005B0242"/>
    <w:rsid w:val="005B4148"/>
    <w:rsid w:val="005C2E22"/>
    <w:rsid w:val="005C3142"/>
    <w:rsid w:val="005C448C"/>
    <w:rsid w:val="005C6649"/>
    <w:rsid w:val="005C7095"/>
    <w:rsid w:val="005C798D"/>
    <w:rsid w:val="005D1471"/>
    <w:rsid w:val="005D1C46"/>
    <w:rsid w:val="005D6460"/>
    <w:rsid w:val="005E7D86"/>
    <w:rsid w:val="005F4D37"/>
    <w:rsid w:val="006025D5"/>
    <w:rsid w:val="00603BC0"/>
    <w:rsid w:val="00605827"/>
    <w:rsid w:val="00607525"/>
    <w:rsid w:val="00623242"/>
    <w:rsid w:val="006236D7"/>
    <w:rsid w:val="006245C2"/>
    <w:rsid w:val="0063518D"/>
    <w:rsid w:val="00640B31"/>
    <w:rsid w:val="00646050"/>
    <w:rsid w:val="00652151"/>
    <w:rsid w:val="006643B7"/>
    <w:rsid w:val="006713CA"/>
    <w:rsid w:val="006733D1"/>
    <w:rsid w:val="00676C5C"/>
    <w:rsid w:val="00684F77"/>
    <w:rsid w:val="0068705B"/>
    <w:rsid w:val="006A3DF0"/>
    <w:rsid w:val="006B22FC"/>
    <w:rsid w:val="006C4180"/>
    <w:rsid w:val="006C6850"/>
    <w:rsid w:val="006D2B3D"/>
    <w:rsid w:val="006D6E43"/>
    <w:rsid w:val="006E71B6"/>
    <w:rsid w:val="006F0549"/>
    <w:rsid w:val="006F4797"/>
    <w:rsid w:val="006F51F5"/>
    <w:rsid w:val="00704655"/>
    <w:rsid w:val="007140B6"/>
    <w:rsid w:val="00716992"/>
    <w:rsid w:val="007178B7"/>
    <w:rsid w:val="00722380"/>
    <w:rsid w:val="00722C16"/>
    <w:rsid w:val="00724BAF"/>
    <w:rsid w:val="007300D1"/>
    <w:rsid w:val="0073530F"/>
    <w:rsid w:val="00740F30"/>
    <w:rsid w:val="00744707"/>
    <w:rsid w:val="007559F4"/>
    <w:rsid w:val="007746C4"/>
    <w:rsid w:val="007765B9"/>
    <w:rsid w:val="007930F2"/>
    <w:rsid w:val="0079392B"/>
    <w:rsid w:val="00794EF0"/>
    <w:rsid w:val="007963D7"/>
    <w:rsid w:val="00797946"/>
    <w:rsid w:val="007A129D"/>
    <w:rsid w:val="007A5AFA"/>
    <w:rsid w:val="007B00F9"/>
    <w:rsid w:val="007C2712"/>
    <w:rsid w:val="007C628F"/>
    <w:rsid w:val="007C6FCE"/>
    <w:rsid w:val="007D13A6"/>
    <w:rsid w:val="007D1613"/>
    <w:rsid w:val="007D1986"/>
    <w:rsid w:val="007D4AD0"/>
    <w:rsid w:val="007D666F"/>
    <w:rsid w:val="007E0F9B"/>
    <w:rsid w:val="007E4C0E"/>
    <w:rsid w:val="007E5BA1"/>
    <w:rsid w:val="007E6FF3"/>
    <w:rsid w:val="007F3700"/>
    <w:rsid w:val="007F7AFB"/>
    <w:rsid w:val="00804C4F"/>
    <w:rsid w:val="008057A0"/>
    <w:rsid w:val="0082185F"/>
    <w:rsid w:val="00823DD6"/>
    <w:rsid w:val="0082738F"/>
    <w:rsid w:val="00831EFE"/>
    <w:rsid w:val="0083589A"/>
    <w:rsid w:val="00840079"/>
    <w:rsid w:val="0084505D"/>
    <w:rsid w:val="008478EF"/>
    <w:rsid w:val="00850AC7"/>
    <w:rsid w:val="00871927"/>
    <w:rsid w:val="00871D5E"/>
    <w:rsid w:val="00872E60"/>
    <w:rsid w:val="00875DB4"/>
    <w:rsid w:val="00880680"/>
    <w:rsid w:val="00881F44"/>
    <w:rsid w:val="008830B1"/>
    <w:rsid w:val="008A7CD4"/>
    <w:rsid w:val="008B1EF0"/>
    <w:rsid w:val="008B2CC1"/>
    <w:rsid w:val="008B3729"/>
    <w:rsid w:val="008B60B2"/>
    <w:rsid w:val="008C101B"/>
    <w:rsid w:val="008C29CC"/>
    <w:rsid w:val="008C3FAA"/>
    <w:rsid w:val="008C46FE"/>
    <w:rsid w:val="008D5AF3"/>
    <w:rsid w:val="008E18B8"/>
    <w:rsid w:val="008E19B6"/>
    <w:rsid w:val="008E22B8"/>
    <w:rsid w:val="008F2F50"/>
    <w:rsid w:val="008F513F"/>
    <w:rsid w:val="00901473"/>
    <w:rsid w:val="0090188D"/>
    <w:rsid w:val="00902775"/>
    <w:rsid w:val="00904B02"/>
    <w:rsid w:val="0090731E"/>
    <w:rsid w:val="009128CA"/>
    <w:rsid w:val="009135FE"/>
    <w:rsid w:val="00916EE2"/>
    <w:rsid w:val="00917E94"/>
    <w:rsid w:val="0093615A"/>
    <w:rsid w:val="009362F9"/>
    <w:rsid w:val="00937922"/>
    <w:rsid w:val="00942C7F"/>
    <w:rsid w:val="009431A3"/>
    <w:rsid w:val="009601E1"/>
    <w:rsid w:val="0096378D"/>
    <w:rsid w:val="00965246"/>
    <w:rsid w:val="00966A22"/>
    <w:rsid w:val="00966DB9"/>
    <w:rsid w:val="0096722F"/>
    <w:rsid w:val="00971002"/>
    <w:rsid w:val="009732DB"/>
    <w:rsid w:val="009737B1"/>
    <w:rsid w:val="00980843"/>
    <w:rsid w:val="009813AB"/>
    <w:rsid w:val="00982C89"/>
    <w:rsid w:val="009848A8"/>
    <w:rsid w:val="009854EE"/>
    <w:rsid w:val="00987D53"/>
    <w:rsid w:val="009A2CDE"/>
    <w:rsid w:val="009A3FE9"/>
    <w:rsid w:val="009A7AAC"/>
    <w:rsid w:val="009B452F"/>
    <w:rsid w:val="009B477B"/>
    <w:rsid w:val="009B4977"/>
    <w:rsid w:val="009B50D9"/>
    <w:rsid w:val="009D30C3"/>
    <w:rsid w:val="009E2791"/>
    <w:rsid w:val="009E3846"/>
    <w:rsid w:val="009E3F6F"/>
    <w:rsid w:val="009E760E"/>
    <w:rsid w:val="009F459A"/>
    <w:rsid w:val="009F499F"/>
    <w:rsid w:val="00A0392A"/>
    <w:rsid w:val="00A04012"/>
    <w:rsid w:val="00A11F31"/>
    <w:rsid w:val="00A157C6"/>
    <w:rsid w:val="00A16E6A"/>
    <w:rsid w:val="00A22790"/>
    <w:rsid w:val="00A259C4"/>
    <w:rsid w:val="00A26BE0"/>
    <w:rsid w:val="00A409F6"/>
    <w:rsid w:val="00A417BB"/>
    <w:rsid w:val="00A42DAF"/>
    <w:rsid w:val="00A45BD8"/>
    <w:rsid w:val="00A47922"/>
    <w:rsid w:val="00A52611"/>
    <w:rsid w:val="00A52E86"/>
    <w:rsid w:val="00A56C39"/>
    <w:rsid w:val="00A64FEA"/>
    <w:rsid w:val="00A7022D"/>
    <w:rsid w:val="00A7366A"/>
    <w:rsid w:val="00A869B7"/>
    <w:rsid w:val="00AA6CD9"/>
    <w:rsid w:val="00AA6EBA"/>
    <w:rsid w:val="00AA6F94"/>
    <w:rsid w:val="00AB5BDF"/>
    <w:rsid w:val="00AC205C"/>
    <w:rsid w:val="00AC5DD4"/>
    <w:rsid w:val="00AF0A6B"/>
    <w:rsid w:val="00AF5CCA"/>
    <w:rsid w:val="00B00981"/>
    <w:rsid w:val="00B05A69"/>
    <w:rsid w:val="00B11C36"/>
    <w:rsid w:val="00B212AC"/>
    <w:rsid w:val="00B236A9"/>
    <w:rsid w:val="00B369DD"/>
    <w:rsid w:val="00B508C4"/>
    <w:rsid w:val="00B56D32"/>
    <w:rsid w:val="00B605E1"/>
    <w:rsid w:val="00B63AFE"/>
    <w:rsid w:val="00B64DD1"/>
    <w:rsid w:val="00B653B8"/>
    <w:rsid w:val="00B77066"/>
    <w:rsid w:val="00B80DCE"/>
    <w:rsid w:val="00B8312D"/>
    <w:rsid w:val="00B85B51"/>
    <w:rsid w:val="00B91308"/>
    <w:rsid w:val="00B9734B"/>
    <w:rsid w:val="00BA30E2"/>
    <w:rsid w:val="00BB0871"/>
    <w:rsid w:val="00BC5408"/>
    <w:rsid w:val="00BC5E4D"/>
    <w:rsid w:val="00BC6E83"/>
    <w:rsid w:val="00BD6D83"/>
    <w:rsid w:val="00BD709E"/>
    <w:rsid w:val="00BE177E"/>
    <w:rsid w:val="00BF2522"/>
    <w:rsid w:val="00BF32E2"/>
    <w:rsid w:val="00BF5FAA"/>
    <w:rsid w:val="00BF6088"/>
    <w:rsid w:val="00BF64D6"/>
    <w:rsid w:val="00BF659C"/>
    <w:rsid w:val="00C01F4C"/>
    <w:rsid w:val="00C0476A"/>
    <w:rsid w:val="00C11BFE"/>
    <w:rsid w:val="00C1310B"/>
    <w:rsid w:val="00C13D0E"/>
    <w:rsid w:val="00C20788"/>
    <w:rsid w:val="00C227A9"/>
    <w:rsid w:val="00C24089"/>
    <w:rsid w:val="00C3060E"/>
    <w:rsid w:val="00C31366"/>
    <w:rsid w:val="00C31878"/>
    <w:rsid w:val="00C35164"/>
    <w:rsid w:val="00C35F12"/>
    <w:rsid w:val="00C44695"/>
    <w:rsid w:val="00C5068F"/>
    <w:rsid w:val="00C541B6"/>
    <w:rsid w:val="00C54B2A"/>
    <w:rsid w:val="00C6131F"/>
    <w:rsid w:val="00C8309D"/>
    <w:rsid w:val="00C8360E"/>
    <w:rsid w:val="00C870B8"/>
    <w:rsid w:val="00CB0C76"/>
    <w:rsid w:val="00CB1367"/>
    <w:rsid w:val="00CB1CF4"/>
    <w:rsid w:val="00CB1DF6"/>
    <w:rsid w:val="00CB5B05"/>
    <w:rsid w:val="00CC392F"/>
    <w:rsid w:val="00CD04F1"/>
    <w:rsid w:val="00CD33B8"/>
    <w:rsid w:val="00CD3B55"/>
    <w:rsid w:val="00CD4D7B"/>
    <w:rsid w:val="00CD5D03"/>
    <w:rsid w:val="00CE47B0"/>
    <w:rsid w:val="00CE51AF"/>
    <w:rsid w:val="00D06E01"/>
    <w:rsid w:val="00D10698"/>
    <w:rsid w:val="00D15D25"/>
    <w:rsid w:val="00D17BE8"/>
    <w:rsid w:val="00D36D9E"/>
    <w:rsid w:val="00D42733"/>
    <w:rsid w:val="00D45252"/>
    <w:rsid w:val="00D57959"/>
    <w:rsid w:val="00D60685"/>
    <w:rsid w:val="00D71B4D"/>
    <w:rsid w:val="00D74EEA"/>
    <w:rsid w:val="00D768A1"/>
    <w:rsid w:val="00D85652"/>
    <w:rsid w:val="00D91310"/>
    <w:rsid w:val="00D92A9F"/>
    <w:rsid w:val="00D93D55"/>
    <w:rsid w:val="00D94443"/>
    <w:rsid w:val="00D95E6F"/>
    <w:rsid w:val="00D96338"/>
    <w:rsid w:val="00DA186B"/>
    <w:rsid w:val="00DA5C6A"/>
    <w:rsid w:val="00DA65BA"/>
    <w:rsid w:val="00DB0B48"/>
    <w:rsid w:val="00DB1F6E"/>
    <w:rsid w:val="00DB2734"/>
    <w:rsid w:val="00DB46C5"/>
    <w:rsid w:val="00DD4ACE"/>
    <w:rsid w:val="00DF15B3"/>
    <w:rsid w:val="00DF3FB3"/>
    <w:rsid w:val="00E015DB"/>
    <w:rsid w:val="00E06BC8"/>
    <w:rsid w:val="00E14987"/>
    <w:rsid w:val="00E15015"/>
    <w:rsid w:val="00E20A49"/>
    <w:rsid w:val="00E20C96"/>
    <w:rsid w:val="00E335FE"/>
    <w:rsid w:val="00E34B0F"/>
    <w:rsid w:val="00E44A0B"/>
    <w:rsid w:val="00E45DD2"/>
    <w:rsid w:val="00E51A89"/>
    <w:rsid w:val="00E55FEC"/>
    <w:rsid w:val="00E66C26"/>
    <w:rsid w:val="00E71F14"/>
    <w:rsid w:val="00E725E8"/>
    <w:rsid w:val="00E829AB"/>
    <w:rsid w:val="00E82CD4"/>
    <w:rsid w:val="00E87511"/>
    <w:rsid w:val="00EA1924"/>
    <w:rsid w:val="00EA2064"/>
    <w:rsid w:val="00EA283D"/>
    <w:rsid w:val="00EA39AB"/>
    <w:rsid w:val="00EA51C9"/>
    <w:rsid w:val="00EA5F0F"/>
    <w:rsid w:val="00EA7285"/>
    <w:rsid w:val="00EC1A1F"/>
    <w:rsid w:val="00EC1A41"/>
    <w:rsid w:val="00EC4E49"/>
    <w:rsid w:val="00EC63D0"/>
    <w:rsid w:val="00EC7A3C"/>
    <w:rsid w:val="00ED54D0"/>
    <w:rsid w:val="00ED77FB"/>
    <w:rsid w:val="00EE1FC0"/>
    <w:rsid w:val="00EE1FF1"/>
    <w:rsid w:val="00EE45FA"/>
    <w:rsid w:val="00EE4F65"/>
    <w:rsid w:val="00EF1D89"/>
    <w:rsid w:val="00EF4E34"/>
    <w:rsid w:val="00EF5380"/>
    <w:rsid w:val="00F03E8D"/>
    <w:rsid w:val="00F10B6C"/>
    <w:rsid w:val="00F1411C"/>
    <w:rsid w:val="00F14ADE"/>
    <w:rsid w:val="00F17CCA"/>
    <w:rsid w:val="00F21262"/>
    <w:rsid w:val="00F27E10"/>
    <w:rsid w:val="00F35996"/>
    <w:rsid w:val="00F3770A"/>
    <w:rsid w:val="00F40296"/>
    <w:rsid w:val="00F47EE3"/>
    <w:rsid w:val="00F508A0"/>
    <w:rsid w:val="00F61532"/>
    <w:rsid w:val="00F66152"/>
    <w:rsid w:val="00F70997"/>
    <w:rsid w:val="00F7189F"/>
    <w:rsid w:val="00F74D92"/>
    <w:rsid w:val="00F75ACB"/>
    <w:rsid w:val="00F84492"/>
    <w:rsid w:val="00F868A4"/>
    <w:rsid w:val="00F8780A"/>
    <w:rsid w:val="00F957AD"/>
    <w:rsid w:val="00FA090D"/>
    <w:rsid w:val="00FA0EB7"/>
    <w:rsid w:val="00FA1BB0"/>
    <w:rsid w:val="00FA2281"/>
    <w:rsid w:val="00FA42E3"/>
    <w:rsid w:val="00FA584E"/>
    <w:rsid w:val="00FB03E8"/>
    <w:rsid w:val="00FB3531"/>
    <w:rsid w:val="00FB47ED"/>
    <w:rsid w:val="00FC365C"/>
    <w:rsid w:val="00FC438A"/>
    <w:rsid w:val="00FE4749"/>
    <w:rsid w:val="00FF1E34"/>
    <w:rsid w:val="00FF4250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4204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A0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F508A0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F508A0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F508A0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F508A0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F508A0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F508A0"/>
    <w:pPr>
      <w:spacing w:after="220"/>
    </w:pPr>
  </w:style>
  <w:style w:type="paragraph" w:styleId="Caption">
    <w:name w:val="caption"/>
    <w:basedOn w:val="Normal"/>
    <w:next w:val="Normal"/>
    <w:qFormat/>
    <w:rsid w:val="00F508A0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F508A0"/>
    <w:rPr>
      <w:sz w:val="18"/>
    </w:rPr>
  </w:style>
  <w:style w:type="paragraph" w:styleId="EndnoteText">
    <w:name w:val="endnote text"/>
    <w:basedOn w:val="Normal"/>
    <w:semiHidden/>
    <w:rsid w:val="00F508A0"/>
    <w:rPr>
      <w:sz w:val="18"/>
    </w:rPr>
  </w:style>
  <w:style w:type="paragraph" w:styleId="Footer">
    <w:name w:val="footer"/>
    <w:basedOn w:val="Normal"/>
    <w:semiHidden/>
    <w:rsid w:val="00F508A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F508A0"/>
    <w:rPr>
      <w:sz w:val="18"/>
    </w:rPr>
  </w:style>
  <w:style w:type="paragraph" w:styleId="Header">
    <w:name w:val="header"/>
    <w:basedOn w:val="Normal"/>
    <w:semiHidden/>
    <w:rsid w:val="00F508A0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F508A0"/>
    <w:pPr>
      <w:numPr>
        <w:numId w:val="12"/>
      </w:numPr>
    </w:pPr>
  </w:style>
  <w:style w:type="paragraph" w:customStyle="1" w:styleId="ONUME">
    <w:name w:val="ONUM E"/>
    <w:basedOn w:val="BodyText"/>
    <w:rsid w:val="00F508A0"/>
    <w:pPr>
      <w:numPr>
        <w:numId w:val="13"/>
      </w:numPr>
    </w:pPr>
  </w:style>
  <w:style w:type="paragraph" w:customStyle="1" w:styleId="ONUMFS">
    <w:name w:val="ONUM FS"/>
    <w:basedOn w:val="BodyText"/>
    <w:rsid w:val="00F508A0"/>
    <w:pPr>
      <w:numPr>
        <w:numId w:val="14"/>
      </w:numPr>
    </w:pPr>
  </w:style>
  <w:style w:type="paragraph" w:styleId="Salutation">
    <w:name w:val="Salutation"/>
    <w:basedOn w:val="Normal"/>
    <w:next w:val="Normal"/>
    <w:semiHidden/>
    <w:rsid w:val="00F508A0"/>
  </w:style>
  <w:style w:type="paragraph" w:styleId="Signature">
    <w:name w:val="Signature"/>
    <w:basedOn w:val="Normal"/>
    <w:semiHidden/>
    <w:rsid w:val="00F508A0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F508A0"/>
    <w:pPr>
      <w:ind w:left="720"/>
      <w:contextualSpacing/>
    </w:pPr>
  </w:style>
  <w:style w:type="character" w:styleId="Hyperlink">
    <w:name w:val="Hyperlink"/>
    <w:basedOn w:val="DefaultParagraphFont"/>
    <w:rsid w:val="009A3FE9"/>
    <w:rPr>
      <w:color w:val="0000FF" w:themeColor="hyperlink"/>
      <w:u w:val="single"/>
    </w:rPr>
  </w:style>
  <w:style w:type="table" w:styleId="TableGrid">
    <w:name w:val="Table Grid"/>
    <w:basedOn w:val="TableNormal"/>
    <w:rsid w:val="009A3FE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callout"/>
    <w:basedOn w:val="DefaultParagraphFont"/>
    <w:rsid w:val="009A3FE9"/>
    <w:rPr>
      <w:vertAlign w:val="superscript"/>
    </w:rPr>
  </w:style>
  <w:style w:type="character" w:customStyle="1" w:styleId="Endofdocument-AnnexChar">
    <w:name w:val="[End of document - Annex] Char"/>
    <w:link w:val="Endofdocument-Annex"/>
    <w:rsid w:val="007140B6"/>
    <w:rPr>
      <w:rFonts w:ascii="Arial" w:eastAsia="SimSun" w:hAnsi="Arial" w:cs="Arial"/>
      <w:sz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8B1EF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FB3531"/>
    <w:rPr>
      <w:rFonts w:ascii="Arial" w:eastAsia="SimSun" w:hAnsi="Arial" w:cs="Arial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FB3531"/>
    <w:rPr>
      <w:rFonts w:ascii="Courier New" w:eastAsia="Calibri" w:hAnsi="Courier New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B3531"/>
    <w:rPr>
      <w:rFonts w:ascii="Courier New" w:eastAsia="Calibri" w:hAnsi="Courier New"/>
      <w:sz w:val="22"/>
      <w:szCs w:val="21"/>
      <w:lang w:val="en-US" w:eastAsia="en-US"/>
    </w:rPr>
  </w:style>
  <w:style w:type="character" w:styleId="CommentReference">
    <w:name w:val="annotation reference"/>
    <w:basedOn w:val="DefaultParagraphFont"/>
    <w:rsid w:val="00C35F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35F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5F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C35F12"/>
    <w:rPr>
      <w:rFonts w:ascii="Arial" w:eastAsia="SimSun" w:hAnsi="Arial" w:cs="Arial"/>
      <w:b/>
      <w:bCs/>
      <w:sz w:val="18"/>
      <w:lang w:val="en-US" w:eastAsia="zh-CN"/>
    </w:rPr>
  </w:style>
  <w:style w:type="paragraph" w:customStyle="1" w:styleId="Default">
    <w:name w:val="Default"/>
    <w:rsid w:val="005D1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3E318D"/>
    <w:rPr>
      <w:rFonts w:ascii="Arial" w:eastAsia="SimSun" w:hAnsi="Arial" w:cs="Arial"/>
      <w:sz w:val="18"/>
      <w:lang w:eastAsia="zh-CN"/>
    </w:rPr>
  </w:style>
  <w:style w:type="paragraph" w:customStyle="1" w:styleId="Meetingplacedate">
    <w:name w:val="Meeting place &amp; date"/>
    <w:basedOn w:val="Normal"/>
    <w:next w:val="Normal"/>
    <w:rsid w:val="00F508A0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F508A0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4479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A0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F508A0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F508A0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F508A0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F508A0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F508A0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F508A0"/>
    <w:pPr>
      <w:spacing w:after="220"/>
    </w:pPr>
  </w:style>
  <w:style w:type="paragraph" w:styleId="Caption">
    <w:name w:val="caption"/>
    <w:basedOn w:val="Normal"/>
    <w:next w:val="Normal"/>
    <w:qFormat/>
    <w:rsid w:val="00F508A0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F508A0"/>
    <w:rPr>
      <w:sz w:val="18"/>
    </w:rPr>
  </w:style>
  <w:style w:type="paragraph" w:styleId="EndnoteText">
    <w:name w:val="endnote text"/>
    <w:basedOn w:val="Normal"/>
    <w:semiHidden/>
    <w:rsid w:val="00F508A0"/>
    <w:rPr>
      <w:sz w:val="18"/>
    </w:rPr>
  </w:style>
  <w:style w:type="paragraph" w:styleId="Footer">
    <w:name w:val="footer"/>
    <w:basedOn w:val="Normal"/>
    <w:semiHidden/>
    <w:rsid w:val="00F508A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F508A0"/>
    <w:rPr>
      <w:sz w:val="18"/>
    </w:rPr>
  </w:style>
  <w:style w:type="paragraph" w:styleId="Header">
    <w:name w:val="header"/>
    <w:basedOn w:val="Normal"/>
    <w:semiHidden/>
    <w:rsid w:val="00F508A0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F508A0"/>
    <w:pPr>
      <w:numPr>
        <w:numId w:val="12"/>
      </w:numPr>
    </w:pPr>
  </w:style>
  <w:style w:type="paragraph" w:customStyle="1" w:styleId="ONUME">
    <w:name w:val="ONUM E"/>
    <w:basedOn w:val="BodyText"/>
    <w:rsid w:val="00F508A0"/>
    <w:pPr>
      <w:numPr>
        <w:numId w:val="13"/>
      </w:numPr>
    </w:pPr>
  </w:style>
  <w:style w:type="paragraph" w:customStyle="1" w:styleId="ONUMFS">
    <w:name w:val="ONUM FS"/>
    <w:basedOn w:val="BodyText"/>
    <w:rsid w:val="00F508A0"/>
    <w:pPr>
      <w:numPr>
        <w:numId w:val="14"/>
      </w:numPr>
    </w:pPr>
  </w:style>
  <w:style w:type="paragraph" w:styleId="Salutation">
    <w:name w:val="Salutation"/>
    <w:basedOn w:val="Normal"/>
    <w:next w:val="Normal"/>
    <w:semiHidden/>
    <w:rsid w:val="00F508A0"/>
  </w:style>
  <w:style w:type="paragraph" w:styleId="Signature">
    <w:name w:val="Signature"/>
    <w:basedOn w:val="Normal"/>
    <w:semiHidden/>
    <w:rsid w:val="00F508A0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F508A0"/>
    <w:pPr>
      <w:ind w:left="720"/>
      <w:contextualSpacing/>
    </w:pPr>
  </w:style>
  <w:style w:type="character" w:styleId="Hyperlink">
    <w:name w:val="Hyperlink"/>
    <w:basedOn w:val="DefaultParagraphFont"/>
    <w:rsid w:val="009A3FE9"/>
    <w:rPr>
      <w:color w:val="0000FF" w:themeColor="hyperlink"/>
      <w:u w:val="single"/>
    </w:rPr>
  </w:style>
  <w:style w:type="table" w:styleId="TableGrid">
    <w:name w:val="Table Grid"/>
    <w:basedOn w:val="TableNormal"/>
    <w:rsid w:val="009A3FE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callout"/>
    <w:basedOn w:val="DefaultParagraphFont"/>
    <w:rsid w:val="009A3FE9"/>
    <w:rPr>
      <w:vertAlign w:val="superscript"/>
    </w:rPr>
  </w:style>
  <w:style w:type="character" w:customStyle="1" w:styleId="Endofdocument-AnnexChar">
    <w:name w:val="[End of document - Annex] Char"/>
    <w:link w:val="Endofdocument-Annex"/>
    <w:rsid w:val="007140B6"/>
    <w:rPr>
      <w:rFonts w:ascii="Arial" w:eastAsia="SimSun" w:hAnsi="Arial" w:cs="Arial"/>
      <w:sz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8B1EF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FB3531"/>
    <w:rPr>
      <w:rFonts w:ascii="Arial" w:eastAsia="SimSun" w:hAnsi="Arial" w:cs="Arial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FB3531"/>
    <w:rPr>
      <w:rFonts w:ascii="Courier New" w:eastAsia="Calibri" w:hAnsi="Courier New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B3531"/>
    <w:rPr>
      <w:rFonts w:ascii="Courier New" w:eastAsia="Calibri" w:hAnsi="Courier New"/>
      <w:sz w:val="22"/>
      <w:szCs w:val="21"/>
      <w:lang w:val="en-US" w:eastAsia="en-US"/>
    </w:rPr>
  </w:style>
  <w:style w:type="character" w:styleId="CommentReference">
    <w:name w:val="annotation reference"/>
    <w:basedOn w:val="DefaultParagraphFont"/>
    <w:rsid w:val="00C35F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35F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5F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C35F12"/>
    <w:rPr>
      <w:rFonts w:ascii="Arial" w:eastAsia="SimSun" w:hAnsi="Arial" w:cs="Arial"/>
      <w:b/>
      <w:bCs/>
      <w:sz w:val="18"/>
      <w:lang w:val="en-US" w:eastAsia="zh-CN"/>
    </w:rPr>
  </w:style>
  <w:style w:type="paragraph" w:customStyle="1" w:styleId="Default">
    <w:name w:val="Default"/>
    <w:rsid w:val="005D1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3E318D"/>
    <w:rPr>
      <w:rFonts w:ascii="Arial" w:eastAsia="SimSun" w:hAnsi="Arial" w:cs="Arial"/>
      <w:sz w:val="18"/>
      <w:lang w:eastAsia="zh-CN"/>
    </w:rPr>
  </w:style>
  <w:style w:type="paragraph" w:customStyle="1" w:styleId="Meetingplacedate">
    <w:name w:val="Meeting place &amp; date"/>
    <w:basedOn w:val="Normal"/>
    <w:next w:val="Normal"/>
    <w:rsid w:val="00F508A0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F508A0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4479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1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5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69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3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9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2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wipo.int/meetings/fr/doc_details.jsp?doc_id=410994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po.int/meetings/fr/doc_details.jsp?doc_id=3352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A04FF-3CD5-4C9A-8FFC-FADBAB3C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3502</Words>
  <Characters>20807</Characters>
  <Application>Microsoft Office Word</Application>
  <DocSecurity>0</DocSecurity>
  <Lines>385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CDIP/20/</vt:lpstr>
    </vt:vector>
  </TitlesOfParts>
  <Company>WIPO</Company>
  <LinksUpToDate>false</LinksUpToDate>
  <CharactersWithSpaces>24051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CDIP/20/</dc:title>
  <dc:creator>DORE Marie-Pierre</dc:creator>
  <cp:lastModifiedBy>COUTURE Sébastien</cp:lastModifiedBy>
  <cp:revision>8</cp:revision>
  <cp:lastPrinted>2018-09-19T16:12:00Z</cp:lastPrinted>
  <dcterms:created xsi:type="dcterms:W3CDTF">2018-10-12T09:40:00Z</dcterms:created>
  <dcterms:modified xsi:type="dcterms:W3CDTF">2018-10-12T10:31:00Z</dcterms:modified>
</cp:coreProperties>
</file>