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7F70EA" w:rsidRPr="007F70EA" w:rsidTr="00B208AA">
        <w:tc>
          <w:tcPr>
            <w:tcW w:w="4513" w:type="dxa"/>
            <w:tcBorders>
              <w:bottom w:val="single" w:sz="4" w:space="0" w:color="auto"/>
            </w:tcBorders>
            <w:tcMar>
              <w:bottom w:w="170" w:type="dxa"/>
            </w:tcMar>
          </w:tcPr>
          <w:p w:rsidR="00A123F5" w:rsidRPr="007F70EA" w:rsidRDefault="00A123F5" w:rsidP="00B208AA">
            <w:pPr>
              <w:rPr>
                <w:lang w:val="fr-FR"/>
              </w:rPr>
            </w:pPr>
            <w:bookmarkStart w:id="0" w:name="TitleOfDoc"/>
            <w:bookmarkEnd w:id="0"/>
          </w:p>
        </w:tc>
        <w:tc>
          <w:tcPr>
            <w:tcW w:w="4337" w:type="dxa"/>
            <w:tcBorders>
              <w:bottom w:val="single" w:sz="4" w:space="0" w:color="auto"/>
            </w:tcBorders>
            <w:tcMar>
              <w:left w:w="0" w:type="dxa"/>
              <w:right w:w="0" w:type="dxa"/>
            </w:tcMar>
          </w:tcPr>
          <w:p w:rsidR="00A123F5" w:rsidRPr="007F70EA" w:rsidRDefault="00A123F5" w:rsidP="00B208AA">
            <w:pPr>
              <w:rPr>
                <w:lang w:val="fr-FR"/>
              </w:rPr>
            </w:pPr>
            <w:r w:rsidRPr="007F70EA">
              <w:rPr>
                <w:noProof/>
                <w:lang w:eastAsia="en-US"/>
              </w:rPr>
              <w:drawing>
                <wp:inline distT="0" distB="0" distL="0" distR="0" wp14:anchorId="6892DB54" wp14:editId="64F51010">
                  <wp:extent cx="1856740" cy="1323975"/>
                  <wp:effectExtent l="0" t="0" r="0"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74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A123F5" w:rsidRPr="007F70EA" w:rsidRDefault="00A123F5" w:rsidP="00B208AA">
            <w:pPr>
              <w:jc w:val="right"/>
              <w:rPr>
                <w:lang w:val="fr-FR"/>
              </w:rPr>
            </w:pPr>
            <w:r w:rsidRPr="007F70EA">
              <w:rPr>
                <w:b/>
                <w:bCs/>
                <w:sz w:val="40"/>
                <w:szCs w:val="40"/>
                <w:lang w:val="fr-FR"/>
              </w:rPr>
              <w:t>F</w:t>
            </w:r>
          </w:p>
        </w:tc>
      </w:tr>
      <w:tr w:rsidR="007F70EA" w:rsidRPr="007F70EA" w:rsidTr="00B208AA">
        <w:trPr>
          <w:trHeight w:hRule="exact" w:val="357"/>
        </w:trPr>
        <w:tc>
          <w:tcPr>
            <w:tcW w:w="9356" w:type="dxa"/>
            <w:gridSpan w:val="3"/>
            <w:tcBorders>
              <w:top w:val="single" w:sz="4" w:space="0" w:color="auto"/>
            </w:tcBorders>
            <w:tcMar>
              <w:top w:w="170" w:type="dxa"/>
              <w:left w:w="0" w:type="dxa"/>
              <w:right w:w="0" w:type="dxa"/>
            </w:tcMar>
            <w:vAlign w:val="bottom"/>
          </w:tcPr>
          <w:p w:rsidR="00A123F5" w:rsidRPr="007F70EA" w:rsidRDefault="00A123F5" w:rsidP="00B208AA">
            <w:pPr>
              <w:jc w:val="right"/>
              <w:rPr>
                <w:rFonts w:ascii="Arial Black" w:hAnsi="Arial Black"/>
                <w:caps/>
                <w:sz w:val="15"/>
                <w:lang w:val="fr-FR"/>
              </w:rPr>
            </w:pPr>
            <w:r w:rsidRPr="007F70EA">
              <w:rPr>
                <w:rFonts w:ascii="Arial Black" w:hAnsi="Arial Black"/>
                <w:caps/>
                <w:sz w:val="15"/>
                <w:lang w:val="fr-FR"/>
              </w:rPr>
              <w:t>CDIP/20/</w:t>
            </w:r>
            <w:bookmarkStart w:id="1" w:name="Code"/>
            <w:bookmarkEnd w:id="1"/>
            <w:r w:rsidRPr="007F70EA">
              <w:rPr>
                <w:rFonts w:ascii="Arial Black" w:hAnsi="Arial Black"/>
                <w:caps/>
                <w:sz w:val="15"/>
                <w:lang w:val="fr-FR"/>
              </w:rPr>
              <w:t>12</w:t>
            </w:r>
          </w:p>
        </w:tc>
      </w:tr>
      <w:tr w:rsidR="007F70EA" w:rsidRPr="007F70EA" w:rsidTr="00B208AA">
        <w:trPr>
          <w:trHeight w:hRule="exact" w:val="170"/>
        </w:trPr>
        <w:tc>
          <w:tcPr>
            <w:tcW w:w="9356" w:type="dxa"/>
            <w:gridSpan w:val="3"/>
            <w:noWrap/>
            <w:tcMar>
              <w:left w:w="0" w:type="dxa"/>
              <w:right w:w="0" w:type="dxa"/>
            </w:tcMar>
            <w:vAlign w:val="bottom"/>
          </w:tcPr>
          <w:p w:rsidR="00A123F5" w:rsidRPr="007F70EA" w:rsidRDefault="00A123F5" w:rsidP="00B208AA">
            <w:pPr>
              <w:jc w:val="right"/>
              <w:rPr>
                <w:rFonts w:ascii="Arial Black" w:hAnsi="Arial Black"/>
                <w:caps/>
                <w:sz w:val="15"/>
                <w:lang w:val="fr-FR"/>
              </w:rPr>
            </w:pPr>
            <w:r w:rsidRPr="007F70EA">
              <w:rPr>
                <w:rFonts w:ascii="Arial Black" w:hAnsi="Arial Black"/>
                <w:caps/>
                <w:sz w:val="15"/>
                <w:lang w:val="fr-FR"/>
              </w:rPr>
              <w:t>ORIGINAL</w:t>
            </w:r>
            <w:r w:rsidR="002160B3" w:rsidRPr="007F70EA">
              <w:rPr>
                <w:rFonts w:ascii="Arial Black" w:hAnsi="Arial Black"/>
                <w:caps/>
                <w:sz w:val="15"/>
                <w:lang w:val="fr-FR"/>
              </w:rPr>
              <w:t> :</w:t>
            </w:r>
            <w:r w:rsidRPr="007F70EA">
              <w:rPr>
                <w:rFonts w:ascii="Arial Black" w:hAnsi="Arial Black"/>
                <w:caps/>
                <w:sz w:val="15"/>
                <w:lang w:val="fr-FR"/>
              </w:rPr>
              <w:t xml:space="preserve"> </w:t>
            </w:r>
            <w:bookmarkStart w:id="2" w:name="Original"/>
            <w:bookmarkEnd w:id="2"/>
            <w:r w:rsidRPr="007F70EA">
              <w:rPr>
                <w:rFonts w:ascii="Arial Black" w:hAnsi="Arial Black"/>
                <w:caps/>
                <w:sz w:val="15"/>
                <w:lang w:val="fr-FR"/>
              </w:rPr>
              <w:t>anglais</w:t>
            </w:r>
          </w:p>
        </w:tc>
      </w:tr>
      <w:tr w:rsidR="007A19DC" w:rsidRPr="007F70EA" w:rsidTr="00B208AA">
        <w:trPr>
          <w:trHeight w:hRule="exact" w:val="198"/>
        </w:trPr>
        <w:tc>
          <w:tcPr>
            <w:tcW w:w="9356" w:type="dxa"/>
            <w:gridSpan w:val="3"/>
            <w:tcMar>
              <w:left w:w="0" w:type="dxa"/>
              <w:right w:w="0" w:type="dxa"/>
            </w:tcMar>
            <w:vAlign w:val="bottom"/>
          </w:tcPr>
          <w:p w:rsidR="00A123F5" w:rsidRPr="007F70EA" w:rsidRDefault="00A123F5" w:rsidP="00B208AA">
            <w:pPr>
              <w:jc w:val="right"/>
              <w:rPr>
                <w:rFonts w:ascii="Arial Black" w:hAnsi="Arial Black"/>
                <w:caps/>
                <w:sz w:val="15"/>
                <w:lang w:val="fr-FR"/>
              </w:rPr>
            </w:pPr>
            <w:r w:rsidRPr="007F70EA">
              <w:rPr>
                <w:rFonts w:ascii="Arial Black" w:hAnsi="Arial Black"/>
                <w:caps/>
                <w:sz w:val="15"/>
                <w:lang w:val="fr-FR"/>
              </w:rPr>
              <w:t>DATE</w:t>
            </w:r>
            <w:r w:rsidR="002160B3" w:rsidRPr="007F70EA">
              <w:rPr>
                <w:rFonts w:ascii="Arial Black" w:hAnsi="Arial Black"/>
                <w:caps/>
                <w:sz w:val="15"/>
                <w:lang w:val="fr-FR"/>
              </w:rPr>
              <w:t> :</w:t>
            </w:r>
            <w:r w:rsidRPr="007F70EA">
              <w:rPr>
                <w:rFonts w:ascii="Arial Black" w:hAnsi="Arial Black"/>
                <w:caps/>
                <w:sz w:val="15"/>
                <w:lang w:val="fr-FR"/>
              </w:rPr>
              <w:t xml:space="preserve"> </w:t>
            </w:r>
            <w:bookmarkStart w:id="3" w:name="Date"/>
            <w:bookmarkEnd w:id="3"/>
            <w:r w:rsidRPr="007F70EA">
              <w:rPr>
                <w:rFonts w:ascii="Arial Black" w:hAnsi="Arial Black"/>
                <w:caps/>
                <w:sz w:val="15"/>
                <w:lang w:val="fr-FR"/>
              </w:rPr>
              <w:t>1</w:t>
            </w:r>
            <w:r w:rsidR="002160B3" w:rsidRPr="007F70EA">
              <w:rPr>
                <w:rFonts w:ascii="Arial Black" w:hAnsi="Arial Black"/>
                <w:caps/>
                <w:sz w:val="15"/>
                <w:lang w:val="fr-FR"/>
              </w:rPr>
              <w:t>7 octobre 20</w:t>
            </w:r>
            <w:r w:rsidRPr="007F70EA">
              <w:rPr>
                <w:rFonts w:ascii="Arial Black" w:hAnsi="Arial Black"/>
                <w:caps/>
                <w:sz w:val="15"/>
                <w:lang w:val="fr-FR"/>
              </w:rPr>
              <w:t>17</w:t>
            </w:r>
          </w:p>
        </w:tc>
      </w:tr>
    </w:tbl>
    <w:p w:rsidR="00A27A71" w:rsidRPr="007F70EA" w:rsidRDefault="00A27A71" w:rsidP="00A123F5">
      <w:pPr>
        <w:rPr>
          <w:lang w:val="fr-FR"/>
        </w:rPr>
      </w:pPr>
    </w:p>
    <w:p w:rsidR="00A27A71" w:rsidRPr="007F70EA" w:rsidRDefault="00A27A71" w:rsidP="00A123F5">
      <w:pPr>
        <w:rPr>
          <w:lang w:val="fr-FR"/>
        </w:rPr>
      </w:pPr>
    </w:p>
    <w:p w:rsidR="00A27A71" w:rsidRPr="007F70EA" w:rsidRDefault="00A27A71" w:rsidP="00A123F5">
      <w:pPr>
        <w:rPr>
          <w:lang w:val="fr-FR"/>
        </w:rPr>
      </w:pPr>
    </w:p>
    <w:p w:rsidR="00A27A71" w:rsidRPr="007F70EA" w:rsidRDefault="00A27A71" w:rsidP="00A123F5">
      <w:pPr>
        <w:rPr>
          <w:lang w:val="fr-FR"/>
        </w:rPr>
      </w:pPr>
    </w:p>
    <w:p w:rsidR="00A27A71" w:rsidRPr="007F70EA" w:rsidRDefault="00A27A71" w:rsidP="00A123F5">
      <w:pPr>
        <w:rPr>
          <w:lang w:val="fr-FR"/>
        </w:rPr>
      </w:pPr>
    </w:p>
    <w:p w:rsidR="00A27A71" w:rsidRPr="007F70EA" w:rsidRDefault="00A123F5" w:rsidP="00A123F5">
      <w:pPr>
        <w:rPr>
          <w:b/>
          <w:sz w:val="28"/>
          <w:szCs w:val="28"/>
          <w:lang w:val="fr-FR"/>
        </w:rPr>
      </w:pPr>
      <w:r w:rsidRPr="007F70EA">
        <w:rPr>
          <w:b/>
          <w:bCs/>
          <w:sz w:val="28"/>
          <w:szCs w:val="28"/>
          <w:lang w:val="fr-FR"/>
        </w:rPr>
        <w:t>Comité du développement et de la propriété intellectuelle (CDIP)</w:t>
      </w:r>
    </w:p>
    <w:p w:rsidR="00A27A71" w:rsidRPr="007F70EA" w:rsidRDefault="00A27A71" w:rsidP="00A123F5">
      <w:pPr>
        <w:rPr>
          <w:lang w:val="fr-FR"/>
        </w:rPr>
      </w:pPr>
    </w:p>
    <w:p w:rsidR="00A27A71" w:rsidRPr="007F70EA" w:rsidRDefault="00A27A71" w:rsidP="00A123F5">
      <w:pPr>
        <w:rPr>
          <w:lang w:val="fr-FR"/>
        </w:rPr>
      </w:pPr>
    </w:p>
    <w:p w:rsidR="00A27A71" w:rsidRPr="007F70EA" w:rsidRDefault="00A123F5" w:rsidP="00A123F5">
      <w:pPr>
        <w:rPr>
          <w:b/>
          <w:sz w:val="24"/>
          <w:szCs w:val="24"/>
          <w:lang w:val="fr-FR"/>
        </w:rPr>
      </w:pPr>
      <w:r w:rsidRPr="007F70EA">
        <w:rPr>
          <w:b/>
          <w:bCs/>
          <w:sz w:val="24"/>
          <w:szCs w:val="24"/>
          <w:lang w:val="fr-FR"/>
        </w:rPr>
        <w:t>Vingt</w:t>
      </w:r>
      <w:r w:rsidR="002160B3" w:rsidRPr="007F70EA">
        <w:rPr>
          <w:b/>
          <w:bCs/>
          <w:sz w:val="24"/>
          <w:szCs w:val="24"/>
          <w:lang w:val="fr-FR"/>
        </w:rPr>
        <w:t>ième session</w:t>
      </w:r>
    </w:p>
    <w:p w:rsidR="00A27A71" w:rsidRPr="007F70EA" w:rsidRDefault="00A123F5" w:rsidP="00A123F5">
      <w:pPr>
        <w:rPr>
          <w:b/>
          <w:sz w:val="24"/>
          <w:szCs w:val="24"/>
          <w:lang w:val="fr-FR"/>
        </w:rPr>
      </w:pPr>
      <w:r w:rsidRPr="007F70EA">
        <w:rPr>
          <w:b/>
          <w:bCs/>
          <w:sz w:val="24"/>
          <w:szCs w:val="24"/>
          <w:lang w:val="fr-FR"/>
        </w:rPr>
        <w:t>Genève, 27 novembre –</w:t>
      </w:r>
      <w:r w:rsidR="002160B3" w:rsidRPr="007F70EA">
        <w:rPr>
          <w:b/>
          <w:bCs/>
          <w:sz w:val="24"/>
          <w:szCs w:val="24"/>
          <w:lang w:val="fr-FR"/>
        </w:rPr>
        <w:t xml:space="preserve"> 1</w:t>
      </w:r>
      <w:r w:rsidR="002160B3" w:rsidRPr="007F70EA">
        <w:rPr>
          <w:b/>
          <w:bCs/>
          <w:sz w:val="24"/>
          <w:szCs w:val="24"/>
          <w:vertAlign w:val="superscript"/>
          <w:lang w:val="fr-FR"/>
        </w:rPr>
        <w:t>er</w:t>
      </w:r>
      <w:r w:rsidR="002160B3" w:rsidRPr="007F70EA">
        <w:rPr>
          <w:b/>
          <w:bCs/>
          <w:sz w:val="24"/>
          <w:szCs w:val="24"/>
          <w:lang w:val="fr-FR"/>
        </w:rPr>
        <w:t> </w:t>
      </w:r>
      <w:r w:rsidRPr="007F70EA">
        <w:rPr>
          <w:b/>
          <w:bCs/>
          <w:sz w:val="24"/>
          <w:szCs w:val="24"/>
          <w:lang w:val="fr-FR"/>
        </w:rPr>
        <w:t>décembre 2017</w:t>
      </w:r>
    </w:p>
    <w:p w:rsidR="00A27A71" w:rsidRPr="007F70EA" w:rsidRDefault="00A27A71" w:rsidP="00A123F5">
      <w:pPr>
        <w:rPr>
          <w:lang w:val="fr-FR"/>
        </w:rPr>
      </w:pPr>
    </w:p>
    <w:p w:rsidR="00A27A71" w:rsidRPr="007F70EA" w:rsidRDefault="00A27A71" w:rsidP="00A123F5">
      <w:pPr>
        <w:rPr>
          <w:lang w:val="fr-FR"/>
        </w:rPr>
      </w:pPr>
    </w:p>
    <w:p w:rsidR="00A27A71" w:rsidRPr="007F70EA" w:rsidRDefault="00A27A71" w:rsidP="00A123F5">
      <w:pPr>
        <w:rPr>
          <w:lang w:val="fr-FR"/>
        </w:rPr>
      </w:pPr>
    </w:p>
    <w:p w:rsidR="00A27A71" w:rsidRPr="007F70EA" w:rsidRDefault="002816D6" w:rsidP="007A19DC">
      <w:pPr>
        <w:rPr>
          <w:caps/>
          <w:sz w:val="24"/>
          <w:lang w:val="fr-FR"/>
        </w:rPr>
      </w:pPr>
      <w:bookmarkStart w:id="4" w:name="_GoBack"/>
      <w:r>
        <w:rPr>
          <w:sz w:val="24"/>
          <w:lang w:val="fr-FR"/>
        </w:rPr>
        <w:t>I</w:t>
      </w:r>
      <w:r w:rsidRPr="007F70EA">
        <w:rPr>
          <w:sz w:val="24"/>
          <w:lang w:val="fr-FR"/>
        </w:rPr>
        <w:t>NVENTAIRE DES INSTANCES ET CONFÉRENCES INTERNATIONALES PRÉVOYANT DES INITIATIVES EN MATIÈRE DE TRANSFERT DE TECHNOLOGIE</w:t>
      </w:r>
      <w:bookmarkEnd w:id="4"/>
    </w:p>
    <w:p w:rsidR="00A27A71" w:rsidRPr="007F70EA" w:rsidRDefault="00A27A71" w:rsidP="008B2CC1">
      <w:pPr>
        <w:rPr>
          <w:lang w:val="fr-FR"/>
        </w:rPr>
      </w:pPr>
    </w:p>
    <w:p w:rsidR="00A27A71" w:rsidRPr="007F70EA" w:rsidRDefault="007A19DC" w:rsidP="007A19DC">
      <w:pPr>
        <w:rPr>
          <w:i/>
          <w:lang w:val="fr-FR"/>
        </w:rPr>
      </w:pPr>
      <w:bookmarkStart w:id="5" w:name="Prepared"/>
      <w:bookmarkEnd w:id="5"/>
      <w:r w:rsidRPr="007F70EA">
        <w:rPr>
          <w:i/>
          <w:iCs/>
          <w:lang w:val="fr-FR"/>
        </w:rPr>
        <w:t>Document établi par le Secrétariat</w:t>
      </w:r>
    </w:p>
    <w:p w:rsidR="00A27A71" w:rsidRPr="007F70EA" w:rsidRDefault="00A27A71">
      <w:pPr>
        <w:rPr>
          <w:lang w:val="fr-FR"/>
        </w:rPr>
      </w:pPr>
    </w:p>
    <w:p w:rsidR="00A27A71" w:rsidRPr="007F70EA" w:rsidRDefault="00A27A71">
      <w:pPr>
        <w:rPr>
          <w:lang w:val="fr-FR"/>
        </w:rPr>
      </w:pPr>
    </w:p>
    <w:p w:rsidR="00A27A71" w:rsidRPr="007F70EA" w:rsidRDefault="00A27A71">
      <w:pPr>
        <w:rPr>
          <w:lang w:val="fr-FR"/>
        </w:rPr>
      </w:pPr>
    </w:p>
    <w:p w:rsidR="00A27A71" w:rsidRPr="007F70EA" w:rsidRDefault="00A27A71">
      <w:pPr>
        <w:rPr>
          <w:lang w:val="fr-FR"/>
        </w:rPr>
      </w:pPr>
    </w:p>
    <w:p w:rsidR="00A27A71" w:rsidRPr="007F70EA" w:rsidRDefault="00A27A71">
      <w:pPr>
        <w:rPr>
          <w:lang w:val="fr-FR"/>
        </w:rPr>
      </w:pPr>
    </w:p>
    <w:p w:rsidR="00FE428A" w:rsidRDefault="007E6613" w:rsidP="00FE428A">
      <w:pPr>
        <w:pStyle w:val="ONUMFS"/>
        <w:rPr>
          <w:lang w:val="fr-FR"/>
        </w:rPr>
      </w:pPr>
      <w:r w:rsidRPr="007F70EA">
        <w:rPr>
          <w:lang w:val="fr-FR"/>
        </w:rPr>
        <w:t>À sa dix</w:t>
      </w:r>
      <w:r w:rsidR="007F70EA">
        <w:rPr>
          <w:lang w:val="fr-FR"/>
        </w:rPr>
        <w:noBreakHyphen/>
      </w:r>
      <w:r w:rsidRPr="007F70EA">
        <w:rPr>
          <w:lang w:val="fr-FR"/>
        </w:rPr>
        <w:t>huit</w:t>
      </w:r>
      <w:r w:rsidR="002160B3" w:rsidRPr="007F70EA">
        <w:rPr>
          <w:lang w:val="fr-FR"/>
        </w:rPr>
        <w:t>ième session</w:t>
      </w:r>
      <w:r w:rsidRPr="007F70EA">
        <w:rPr>
          <w:lang w:val="fr-FR"/>
        </w:rPr>
        <w:t>, tenue du 31 octobre au 4 novembre 2016, le Comité du développement et de la propriété intellectuelle (CDIP) a demandé au Secrétariat de l</w:t>
      </w:r>
      <w:r w:rsidR="002160B3" w:rsidRPr="007F70EA">
        <w:rPr>
          <w:lang w:val="fr-FR"/>
        </w:rPr>
        <w:t>’</w:t>
      </w:r>
      <w:r w:rsidRPr="007F70EA">
        <w:rPr>
          <w:lang w:val="fr-FR"/>
        </w:rPr>
        <w:t xml:space="preserve">OMPI </w:t>
      </w:r>
      <w:r w:rsidR="002160B3" w:rsidRPr="007F70EA">
        <w:rPr>
          <w:lang w:val="fr-FR"/>
        </w:rPr>
        <w:t>“</w:t>
      </w:r>
      <w:r w:rsidRPr="007F70EA">
        <w:rPr>
          <w:lang w:val="fr-FR"/>
        </w:rPr>
        <w:t>d</w:t>
      </w:r>
      <w:r w:rsidR="002160B3" w:rsidRPr="007F70EA">
        <w:rPr>
          <w:lang w:val="fr-FR"/>
        </w:rPr>
        <w:t>’</w:t>
      </w:r>
      <w:r w:rsidRPr="007F70EA">
        <w:rPr>
          <w:lang w:val="fr-FR"/>
        </w:rPr>
        <w:t>établir une cartographie des initiatives et activités actuellement mises en œuvre dans le cadre d</w:t>
      </w:r>
      <w:r w:rsidR="002160B3" w:rsidRPr="007F70EA">
        <w:rPr>
          <w:lang w:val="fr-FR"/>
        </w:rPr>
        <w:t>’</w:t>
      </w:r>
      <w:r w:rsidRPr="007F70EA">
        <w:rPr>
          <w:lang w:val="fr-FR"/>
        </w:rPr>
        <w:t>autres instances internationales en matière de transfert de technologie, afin de fournir au CDIP des informations actualisées sur les instances et conférences internationales dans le cadre desquelles les questions relatives au transfert de technologie sont actuellement examinées, ainsi que sur le rôle que l</w:t>
      </w:r>
      <w:r w:rsidR="002160B3" w:rsidRPr="007F70EA">
        <w:rPr>
          <w:lang w:val="fr-FR"/>
        </w:rPr>
        <w:t>’</w:t>
      </w:r>
      <w:r w:rsidRPr="007F70EA">
        <w:rPr>
          <w:lang w:val="fr-FR"/>
        </w:rPr>
        <w:t>OMPI pourrait continuer de jouer à cet égard</w:t>
      </w:r>
      <w:r w:rsidR="002160B3" w:rsidRPr="007F70EA">
        <w:rPr>
          <w:lang w:val="fr-FR"/>
        </w:rPr>
        <w:t>”</w:t>
      </w:r>
      <w:r w:rsidRPr="007F70EA">
        <w:rPr>
          <w:lang w:val="fr-FR"/>
        </w:rPr>
        <w:t>.</w:t>
      </w:r>
    </w:p>
    <w:p w:rsidR="00FE428A" w:rsidRDefault="007E6613" w:rsidP="00FE428A">
      <w:pPr>
        <w:pStyle w:val="ONUMFS"/>
        <w:rPr>
          <w:lang w:val="fr-FR"/>
        </w:rPr>
      </w:pPr>
      <w:r w:rsidRPr="007F70EA">
        <w:rPr>
          <w:lang w:val="fr-FR"/>
        </w:rPr>
        <w:t>En conséquence, l</w:t>
      </w:r>
      <w:r w:rsidR="002160B3" w:rsidRPr="007F70EA">
        <w:rPr>
          <w:lang w:val="fr-FR"/>
        </w:rPr>
        <w:t>’</w:t>
      </w:r>
      <w:r w:rsidRPr="007F70EA">
        <w:rPr>
          <w:lang w:val="fr-FR"/>
        </w:rPr>
        <w:t>annexe du présent document contient une compilation non exhaustive des instances et conférences internationales à l</w:t>
      </w:r>
      <w:r w:rsidR="002160B3" w:rsidRPr="007F70EA">
        <w:rPr>
          <w:lang w:val="fr-FR"/>
        </w:rPr>
        <w:t>’</w:t>
      </w:r>
      <w:r w:rsidRPr="007F70EA">
        <w:rPr>
          <w:lang w:val="fr-FR"/>
        </w:rPr>
        <w:t>extérieur de l</w:t>
      </w:r>
      <w:r w:rsidR="002160B3" w:rsidRPr="007F70EA">
        <w:rPr>
          <w:lang w:val="fr-FR"/>
        </w:rPr>
        <w:t>’</w:t>
      </w:r>
      <w:r w:rsidRPr="007F70EA">
        <w:rPr>
          <w:lang w:val="fr-FR"/>
        </w:rPr>
        <w:t>OMPI dans le cadre desquelles les questions relatives au transfert de technologie sont actuellement examinées ainsi qu</w:t>
      </w:r>
      <w:r w:rsidR="002160B3" w:rsidRPr="007F70EA">
        <w:rPr>
          <w:lang w:val="fr-FR"/>
        </w:rPr>
        <w:t>’</w:t>
      </w:r>
      <w:r w:rsidRPr="007F70EA">
        <w:rPr>
          <w:lang w:val="fr-FR"/>
        </w:rPr>
        <w:t>un bref aperçu du rôle que l</w:t>
      </w:r>
      <w:r w:rsidR="002160B3" w:rsidRPr="007F70EA">
        <w:rPr>
          <w:lang w:val="fr-FR"/>
        </w:rPr>
        <w:t>’</w:t>
      </w:r>
      <w:r w:rsidRPr="007F70EA">
        <w:rPr>
          <w:lang w:val="fr-FR"/>
        </w:rPr>
        <w:t>OMPI joue dans celles</w:t>
      </w:r>
      <w:r w:rsidR="007F70EA">
        <w:rPr>
          <w:lang w:val="fr-FR"/>
        </w:rPr>
        <w:noBreakHyphen/>
      </w:r>
      <w:r w:rsidRPr="007F70EA">
        <w:rPr>
          <w:lang w:val="fr-FR"/>
        </w:rPr>
        <w:t>ci.</w:t>
      </w:r>
    </w:p>
    <w:p w:rsidR="00FE428A" w:rsidRPr="00FE428A" w:rsidRDefault="007E6613" w:rsidP="00FE428A">
      <w:pPr>
        <w:pStyle w:val="ONUMFS"/>
        <w:ind w:left="5533"/>
        <w:rPr>
          <w:i/>
          <w:iCs/>
          <w:szCs w:val="22"/>
          <w:lang w:val="fr-FR"/>
        </w:rPr>
      </w:pPr>
      <w:r w:rsidRPr="00FE428A">
        <w:rPr>
          <w:i/>
          <w:iCs/>
          <w:szCs w:val="22"/>
          <w:lang w:val="fr-FR"/>
        </w:rPr>
        <w:t>Le CDIP est invité à prendre note des informations contenues dans l</w:t>
      </w:r>
      <w:r w:rsidR="002160B3" w:rsidRPr="00FE428A">
        <w:rPr>
          <w:i/>
          <w:iCs/>
          <w:szCs w:val="22"/>
          <w:lang w:val="fr-FR"/>
        </w:rPr>
        <w:t>’</w:t>
      </w:r>
      <w:r w:rsidRPr="00FE428A">
        <w:rPr>
          <w:i/>
          <w:iCs/>
          <w:szCs w:val="22"/>
          <w:lang w:val="fr-FR"/>
        </w:rPr>
        <w:t>annexe du présent document.</w:t>
      </w:r>
    </w:p>
    <w:p w:rsidR="00FE428A" w:rsidRPr="002816D6" w:rsidRDefault="00FE428A" w:rsidP="007E6613">
      <w:pPr>
        <w:ind w:left="4536"/>
        <w:rPr>
          <w:lang w:val="fr-CH"/>
        </w:rPr>
      </w:pPr>
    </w:p>
    <w:p w:rsidR="00FE428A" w:rsidRPr="007F70EA" w:rsidRDefault="00FE428A" w:rsidP="007E6613">
      <w:pPr>
        <w:ind w:left="4536"/>
        <w:rPr>
          <w:szCs w:val="22"/>
          <w:lang w:val="fr-FR"/>
        </w:rPr>
      </w:pPr>
    </w:p>
    <w:p w:rsidR="00A27A71" w:rsidRPr="007F70EA" w:rsidRDefault="007A19DC" w:rsidP="00FE428A">
      <w:pPr>
        <w:pStyle w:val="Endofdocument-Annex"/>
        <w:rPr>
          <w:szCs w:val="22"/>
          <w:lang w:val="fr-FR"/>
        </w:rPr>
      </w:pPr>
      <w:r w:rsidRPr="007F70EA">
        <w:rPr>
          <w:szCs w:val="22"/>
          <w:lang w:val="fr-FR"/>
        </w:rPr>
        <w:t>[</w:t>
      </w:r>
      <w:r w:rsidRPr="00FE428A">
        <w:t>L</w:t>
      </w:r>
      <w:r w:rsidR="002160B3" w:rsidRPr="00FE428A">
        <w:t>’</w:t>
      </w:r>
      <w:r w:rsidRPr="00FE428A">
        <w:t>annexe</w:t>
      </w:r>
      <w:r w:rsidRPr="007F70EA">
        <w:rPr>
          <w:szCs w:val="22"/>
          <w:lang w:val="fr-FR"/>
        </w:rPr>
        <w:t xml:space="preserve"> suit]</w:t>
      </w:r>
    </w:p>
    <w:p w:rsidR="00A42A89" w:rsidRPr="007F70EA" w:rsidRDefault="00A42A89" w:rsidP="007E6613">
      <w:pPr>
        <w:rPr>
          <w:lang w:val="fr-FR"/>
        </w:rPr>
        <w:sectPr w:rsidR="00A42A89" w:rsidRPr="007F70EA" w:rsidSect="007E6613">
          <w:headerReference w:type="default" r:id="rId10"/>
          <w:endnotePr>
            <w:numFmt w:val="decimal"/>
          </w:endnotePr>
          <w:pgSz w:w="11907" w:h="16840" w:code="9"/>
          <w:pgMar w:top="567" w:right="1134" w:bottom="1418" w:left="1418" w:header="510" w:footer="1021" w:gutter="0"/>
          <w:cols w:space="720"/>
          <w:titlePg/>
          <w:docGrid w:linePitch="299"/>
        </w:sectPr>
      </w:pPr>
    </w:p>
    <w:p w:rsidR="00A27A71" w:rsidRPr="007F70EA" w:rsidRDefault="00FE428A" w:rsidP="00FE428A">
      <w:pPr>
        <w:pStyle w:val="Heading2"/>
        <w:rPr>
          <w:lang w:val="fr-FR"/>
        </w:rPr>
      </w:pPr>
      <w:r w:rsidRPr="007F70EA">
        <w:rPr>
          <w:lang w:val="fr-FR"/>
        </w:rPr>
        <w:lastRenderedPageBreak/>
        <w:t>I.</w:t>
      </w:r>
      <w:r w:rsidRPr="007F70EA">
        <w:rPr>
          <w:lang w:val="fr-FR"/>
        </w:rPr>
        <w:tab/>
        <w:t>Introduction</w:t>
      </w:r>
    </w:p>
    <w:p w:rsidR="00A27A71" w:rsidRPr="007F70EA" w:rsidRDefault="00A27A71" w:rsidP="007E6613">
      <w:pPr>
        <w:autoSpaceDE w:val="0"/>
        <w:autoSpaceDN w:val="0"/>
        <w:adjustRightInd w:val="0"/>
        <w:rPr>
          <w:szCs w:val="22"/>
          <w:lang w:val="fr-FR"/>
        </w:rPr>
      </w:pPr>
    </w:p>
    <w:p w:rsidR="00A27A71" w:rsidRPr="00FE428A" w:rsidRDefault="007E6613" w:rsidP="00FE428A">
      <w:pPr>
        <w:pStyle w:val="ONUMFS"/>
        <w:numPr>
          <w:ilvl w:val="0"/>
          <w:numId w:val="4"/>
        </w:numPr>
        <w:rPr>
          <w:lang w:val="fr-FR"/>
        </w:rPr>
      </w:pPr>
      <w:r w:rsidRPr="00FE428A">
        <w:rPr>
          <w:lang w:val="fr-FR"/>
        </w:rPr>
        <w:t>Un</w:t>
      </w:r>
      <w:r w:rsidR="002F7C54" w:rsidRPr="00FE428A">
        <w:rPr>
          <w:lang w:val="fr-FR"/>
        </w:rPr>
        <w:t>e</w:t>
      </w:r>
      <w:r w:rsidRPr="00FE428A">
        <w:rPr>
          <w:lang w:val="fr-FR"/>
        </w:rPr>
        <w:t xml:space="preserve"> </w:t>
      </w:r>
      <w:r w:rsidR="002F7C54" w:rsidRPr="00FE428A">
        <w:rPr>
          <w:lang w:val="fr-FR"/>
        </w:rPr>
        <w:t>cartographie</w:t>
      </w:r>
      <w:r w:rsidRPr="00FE428A">
        <w:rPr>
          <w:lang w:val="fr-FR"/>
        </w:rPr>
        <w:t xml:space="preserve"> des initiatives et activités mises en </w:t>
      </w:r>
      <w:r w:rsidR="00BC0626" w:rsidRPr="00FE428A">
        <w:rPr>
          <w:lang w:val="fr-FR"/>
        </w:rPr>
        <w:t>œuvre</w:t>
      </w:r>
      <w:r w:rsidRPr="00FE428A">
        <w:rPr>
          <w:lang w:val="fr-FR"/>
        </w:rPr>
        <w:t xml:space="preserve"> </w:t>
      </w:r>
      <w:r w:rsidR="00BC0626" w:rsidRPr="00FE428A">
        <w:rPr>
          <w:lang w:val="fr-FR"/>
        </w:rPr>
        <w:t xml:space="preserve">à ce jour </w:t>
      </w:r>
      <w:r w:rsidRPr="00FE428A">
        <w:rPr>
          <w:lang w:val="fr-FR"/>
        </w:rPr>
        <w:t>dans le cadre d</w:t>
      </w:r>
      <w:r w:rsidR="002160B3" w:rsidRPr="00FE428A">
        <w:rPr>
          <w:lang w:val="fr-FR"/>
        </w:rPr>
        <w:t>’</w:t>
      </w:r>
      <w:r w:rsidRPr="00FE428A">
        <w:rPr>
          <w:lang w:val="fr-FR"/>
        </w:rPr>
        <w:t>instances internationales en matière de transfe</w:t>
      </w:r>
      <w:r w:rsidR="002F7C54" w:rsidRPr="00FE428A">
        <w:rPr>
          <w:lang w:val="fr-FR"/>
        </w:rPr>
        <w:t>rt de technologie a été réalisée</w:t>
      </w:r>
      <w:r w:rsidRPr="00FE428A">
        <w:rPr>
          <w:lang w:val="fr-FR"/>
        </w:rPr>
        <w:t xml:space="preserve">, </w:t>
      </w:r>
      <w:r w:rsidR="00BC0626" w:rsidRPr="00FE428A">
        <w:rPr>
          <w:lang w:val="fr-FR"/>
        </w:rPr>
        <w:t>et ses</w:t>
      </w:r>
      <w:r w:rsidRPr="00FE428A">
        <w:rPr>
          <w:lang w:val="fr-FR"/>
        </w:rPr>
        <w:t xml:space="preserve"> résultats font l</w:t>
      </w:r>
      <w:r w:rsidR="002160B3" w:rsidRPr="00FE428A">
        <w:rPr>
          <w:lang w:val="fr-FR"/>
        </w:rPr>
        <w:t>’</w:t>
      </w:r>
      <w:r w:rsidRPr="00FE428A">
        <w:rPr>
          <w:lang w:val="fr-FR"/>
        </w:rPr>
        <w:t>objet d</w:t>
      </w:r>
      <w:r w:rsidR="002160B3" w:rsidRPr="00FE428A">
        <w:rPr>
          <w:lang w:val="fr-FR"/>
        </w:rPr>
        <w:t>’</w:t>
      </w:r>
      <w:r w:rsidRPr="00FE428A">
        <w:rPr>
          <w:lang w:val="fr-FR"/>
        </w:rPr>
        <w:t>une compilation non exhaustive d</w:t>
      </w:r>
      <w:r w:rsidR="002160B3" w:rsidRPr="00FE428A">
        <w:rPr>
          <w:lang w:val="fr-FR"/>
        </w:rPr>
        <w:t>’</w:t>
      </w:r>
      <w:r w:rsidRPr="00FE428A">
        <w:rPr>
          <w:lang w:val="fr-FR"/>
        </w:rPr>
        <w:t xml:space="preserve">instances et de conférences internationales dans le cadre desquelles les questions relatives au transfert de technologie sont actuellement examinées dans les </w:t>
      </w:r>
      <w:r w:rsidR="002160B3" w:rsidRPr="00FE428A">
        <w:rPr>
          <w:lang w:val="fr-FR"/>
        </w:rPr>
        <w:t>sections I</w:t>
      </w:r>
      <w:r w:rsidRPr="00FE428A">
        <w:rPr>
          <w:lang w:val="fr-FR"/>
        </w:rPr>
        <w:t>II et IV ci</w:t>
      </w:r>
      <w:r w:rsidR="007F70EA" w:rsidRPr="00FE428A">
        <w:rPr>
          <w:lang w:val="fr-FR"/>
        </w:rPr>
        <w:noBreakHyphen/>
      </w:r>
      <w:r w:rsidRPr="00FE428A">
        <w:rPr>
          <w:lang w:val="fr-FR"/>
        </w:rPr>
        <w:t>apr</w:t>
      </w:r>
      <w:r w:rsidR="00B208AA" w:rsidRPr="00FE428A">
        <w:rPr>
          <w:lang w:val="fr-FR"/>
        </w:rPr>
        <w:t>ès.  La</w:t>
      </w:r>
      <w:r w:rsidRPr="00FE428A">
        <w:rPr>
          <w:lang w:val="fr-FR"/>
        </w:rPr>
        <w:t xml:space="preserve"> compilation porte principalement sur les instances et les conférences intergouvernementales de caractère mondial et régional au sein du</w:t>
      </w:r>
      <w:r w:rsidR="00AF2033" w:rsidRPr="00FE428A">
        <w:rPr>
          <w:lang w:val="fr-FR"/>
        </w:rPr>
        <w:t xml:space="preserve"> système des </w:t>
      </w:r>
      <w:r w:rsidR="002160B3" w:rsidRPr="00FE428A">
        <w:rPr>
          <w:lang w:val="fr-FR"/>
        </w:rPr>
        <w:t>Nations Uni</w:t>
      </w:r>
      <w:r w:rsidR="00B208AA" w:rsidRPr="00FE428A">
        <w:rPr>
          <w:lang w:val="fr-FR"/>
        </w:rPr>
        <w:t>es.  El</w:t>
      </w:r>
      <w:r w:rsidR="00AF2033" w:rsidRPr="00FE428A">
        <w:rPr>
          <w:lang w:val="fr-FR"/>
        </w:rPr>
        <w:t xml:space="preserve">le </w:t>
      </w:r>
      <w:r w:rsidRPr="00FE428A">
        <w:rPr>
          <w:lang w:val="fr-FR"/>
        </w:rPr>
        <w:t xml:space="preserve">est organisée selon le nom des différentes instances ou conférences </w:t>
      </w:r>
      <w:r w:rsidR="00AF2033" w:rsidRPr="00FE428A">
        <w:rPr>
          <w:lang w:val="fr-FR"/>
        </w:rPr>
        <w:t>et indique quels sont</w:t>
      </w:r>
      <w:r w:rsidRPr="00FE428A">
        <w:rPr>
          <w:lang w:val="fr-FR"/>
        </w:rPr>
        <w:t xml:space="preserve"> l</w:t>
      </w:r>
      <w:r w:rsidR="002160B3" w:rsidRPr="00FE428A">
        <w:rPr>
          <w:lang w:val="fr-FR"/>
        </w:rPr>
        <w:t>’</w:t>
      </w:r>
      <w:r w:rsidRPr="00FE428A">
        <w:rPr>
          <w:lang w:val="fr-FR"/>
        </w:rPr>
        <w:t xml:space="preserve">organisation coordinatrice, la thématique principale, </w:t>
      </w:r>
      <w:r w:rsidR="00AF2033" w:rsidRPr="00FE428A">
        <w:rPr>
          <w:lang w:val="fr-FR"/>
        </w:rPr>
        <w:t>les</w:t>
      </w:r>
      <w:r w:rsidRPr="00FE428A">
        <w:rPr>
          <w:lang w:val="fr-FR"/>
        </w:rPr>
        <w:t xml:space="preserve"> participants, </w:t>
      </w:r>
      <w:r w:rsidR="00AF2033" w:rsidRPr="00FE428A">
        <w:rPr>
          <w:lang w:val="fr-FR"/>
        </w:rPr>
        <w:t>ainsi que le</w:t>
      </w:r>
      <w:r w:rsidRPr="00FE428A">
        <w:rPr>
          <w:lang w:val="fr-FR"/>
        </w:rPr>
        <w:t xml:space="preserve"> lien </w:t>
      </w:r>
      <w:r w:rsidR="00AF2033" w:rsidRPr="00FE428A">
        <w:rPr>
          <w:lang w:val="fr-FR"/>
        </w:rPr>
        <w:t>avec</w:t>
      </w:r>
      <w:r w:rsidRPr="00FE428A">
        <w:rPr>
          <w:lang w:val="fr-FR"/>
        </w:rPr>
        <w:t xml:space="preserve"> le transfert de technologie, et donne également une brève description et la fréquence à laquelle ces instances et conférences ont li</w:t>
      </w:r>
      <w:r w:rsidR="00B208AA" w:rsidRPr="00FE428A">
        <w:rPr>
          <w:lang w:val="fr-FR"/>
        </w:rPr>
        <w:t>eu.  La</w:t>
      </w:r>
      <w:r w:rsidRPr="00FE428A">
        <w:rPr>
          <w:lang w:val="fr-FR"/>
        </w:rPr>
        <w:t xml:space="preserve"> fréquence indique les sessions ordinaires programmées, mais ne comprend pas les sessions extraordinaires ou les travaux intersessions</w:t>
      </w:r>
      <w:r w:rsidR="00B208AA" w:rsidRPr="00FE428A">
        <w:rPr>
          <w:lang w:val="fr-FR"/>
        </w:rPr>
        <w:t xml:space="preserve">.  </w:t>
      </w:r>
      <w:r w:rsidRPr="00FE428A">
        <w:rPr>
          <w:lang w:val="fr-FR"/>
        </w:rPr>
        <w:t>Les données utilisées dans la compilation ont été recueillies à partir de sources accessibles au publ</w:t>
      </w:r>
      <w:r w:rsidR="00B208AA" w:rsidRPr="00FE428A">
        <w:rPr>
          <w:lang w:val="fr-FR"/>
        </w:rPr>
        <w:t>ic.  Un</w:t>
      </w:r>
      <w:r w:rsidRPr="00FE428A">
        <w:rPr>
          <w:lang w:val="fr-FR"/>
        </w:rPr>
        <w:t xml:space="preserve"> bref aperçu du rôle que </w:t>
      </w:r>
      <w:r w:rsidR="00AF2033" w:rsidRPr="00FE428A">
        <w:rPr>
          <w:lang w:val="fr-FR"/>
        </w:rPr>
        <w:t xml:space="preserve">joue </w:t>
      </w:r>
      <w:r w:rsidRPr="00FE428A">
        <w:rPr>
          <w:lang w:val="fr-FR"/>
        </w:rPr>
        <w:t>l</w:t>
      </w:r>
      <w:r w:rsidR="002160B3" w:rsidRPr="00FE428A">
        <w:rPr>
          <w:lang w:val="fr-FR"/>
        </w:rPr>
        <w:t>’</w:t>
      </w:r>
      <w:r w:rsidRPr="00FE428A">
        <w:rPr>
          <w:lang w:val="fr-FR"/>
        </w:rPr>
        <w:t xml:space="preserve">OMPI dans les instances et conférences internationales consacrées au transfert de technologie est également disponible dans la </w:t>
      </w:r>
      <w:r w:rsidR="002160B3" w:rsidRPr="00FE428A">
        <w:rPr>
          <w:lang w:val="fr-FR"/>
        </w:rPr>
        <w:t>section I</w:t>
      </w:r>
      <w:r w:rsidRPr="00FE428A">
        <w:rPr>
          <w:lang w:val="fr-FR"/>
        </w:rPr>
        <w:t>I ci</w:t>
      </w:r>
      <w:r w:rsidR="007F70EA" w:rsidRPr="00FE428A">
        <w:rPr>
          <w:lang w:val="fr-FR"/>
        </w:rPr>
        <w:noBreakHyphen/>
      </w:r>
      <w:r w:rsidRPr="00FE428A">
        <w:rPr>
          <w:lang w:val="fr-FR"/>
        </w:rPr>
        <w:t>après.</w:t>
      </w:r>
    </w:p>
    <w:p w:rsidR="00A27A71" w:rsidRPr="00FE428A" w:rsidRDefault="007E6613" w:rsidP="00FE428A">
      <w:pPr>
        <w:pStyle w:val="Heading2"/>
        <w:rPr>
          <w:lang w:val="fr-FR"/>
        </w:rPr>
      </w:pPr>
      <w:r w:rsidRPr="007F70EA">
        <w:rPr>
          <w:lang w:val="fr-FR"/>
        </w:rPr>
        <w:t>II.</w:t>
      </w:r>
      <w:r w:rsidRPr="007F70EA">
        <w:rPr>
          <w:lang w:val="fr-FR"/>
        </w:rPr>
        <w:tab/>
      </w:r>
      <w:r w:rsidRPr="00FE428A">
        <w:rPr>
          <w:lang w:val="fr-FR"/>
        </w:rPr>
        <w:t>Le rôle de l</w:t>
      </w:r>
      <w:r w:rsidR="002160B3" w:rsidRPr="00FE428A">
        <w:rPr>
          <w:lang w:val="fr-FR"/>
        </w:rPr>
        <w:t>’</w:t>
      </w:r>
      <w:r w:rsidRPr="00FE428A">
        <w:rPr>
          <w:lang w:val="fr-FR"/>
        </w:rPr>
        <w:t xml:space="preserve">OMPI dans les instances et conférences internationales </w:t>
      </w:r>
      <w:r w:rsidR="00AF2033" w:rsidRPr="00FE428A">
        <w:rPr>
          <w:lang w:val="fr-FR"/>
        </w:rPr>
        <w:t>relatives</w:t>
      </w:r>
      <w:r w:rsidRPr="00FE428A">
        <w:rPr>
          <w:lang w:val="fr-FR"/>
        </w:rPr>
        <w:t xml:space="preserve"> au transfert de technologie</w:t>
      </w:r>
    </w:p>
    <w:p w:rsidR="00A27A71" w:rsidRPr="007F70EA" w:rsidRDefault="00A27A71" w:rsidP="007E6613">
      <w:pPr>
        <w:rPr>
          <w:lang w:val="fr-FR"/>
        </w:rPr>
      </w:pPr>
    </w:p>
    <w:p w:rsidR="00FE428A" w:rsidRDefault="004C1ED7" w:rsidP="00FE428A">
      <w:pPr>
        <w:pStyle w:val="ONUMFS"/>
        <w:rPr>
          <w:lang w:val="fr-FR"/>
        </w:rPr>
      </w:pPr>
      <w:r w:rsidRPr="007F70EA">
        <w:rPr>
          <w:lang w:val="fr-FR"/>
        </w:rPr>
        <w:t>L</w:t>
      </w:r>
      <w:r w:rsidR="002160B3" w:rsidRPr="007F70EA">
        <w:rPr>
          <w:lang w:val="fr-FR"/>
        </w:rPr>
        <w:t>’</w:t>
      </w:r>
      <w:r w:rsidRPr="007F70EA">
        <w:rPr>
          <w:lang w:val="fr-FR"/>
        </w:rPr>
        <w:t xml:space="preserve">OMPI supervise et participe à de nombreuses instances et conférences internationales </w:t>
      </w:r>
      <w:r w:rsidR="00206B8E" w:rsidRPr="007F70EA">
        <w:rPr>
          <w:lang w:val="fr-FR"/>
        </w:rPr>
        <w:t>relatives</w:t>
      </w:r>
      <w:r w:rsidRPr="007F70EA">
        <w:rPr>
          <w:lang w:val="fr-FR"/>
        </w:rPr>
        <w:t xml:space="preserve"> au transfert de technologie, conformément à son mand</w:t>
      </w:r>
      <w:r w:rsidR="00B208AA" w:rsidRPr="007F70EA">
        <w:rPr>
          <w:lang w:val="fr-FR"/>
        </w:rPr>
        <w:t>at.  So</w:t>
      </w:r>
      <w:r w:rsidRPr="007F70EA">
        <w:rPr>
          <w:lang w:val="fr-FR"/>
        </w:rPr>
        <w:t>n engagement vis</w:t>
      </w:r>
      <w:r w:rsidR="007F70EA">
        <w:rPr>
          <w:lang w:val="fr-FR"/>
        </w:rPr>
        <w:noBreakHyphen/>
      </w:r>
      <w:r w:rsidRPr="007F70EA">
        <w:rPr>
          <w:lang w:val="fr-FR"/>
        </w:rPr>
        <w:t>à</w:t>
      </w:r>
      <w:r w:rsidR="007F70EA">
        <w:rPr>
          <w:lang w:val="fr-FR"/>
        </w:rPr>
        <w:noBreakHyphen/>
      </w:r>
      <w:r w:rsidRPr="007F70EA">
        <w:rPr>
          <w:lang w:val="fr-FR"/>
        </w:rPr>
        <w:t xml:space="preserve">vis </w:t>
      </w:r>
      <w:r w:rsidR="00206B8E" w:rsidRPr="007F70EA">
        <w:rPr>
          <w:lang w:val="fr-FR"/>
        </w:rPr>
        <w:t>de celles</w:t>
      </w:r>
      <w:r w:rsidR="007F70EA">
        <w:rPr>
          <w:lang w:val="fr-FR"/>
        </w:rPr>
        <w:noBreakHyphen/>
      </w:r>
      <w:r w:rsidR="00206B8E" w:rsidRPr="007F70EA">
        <w:rPr>
          <w:lang w:val="fr-FR"/>
        </w:rPr>
        <w:t>ci</w:t>
      </w:r>
      <w:r w:rsidRPr="007F70EA">
        <w:rPr>
          <w:lang w:val="fr-FR"/>
        </w:rPr>
        <w:t xml:space="preserve"> exige, entre autres, le suivi des activités et débats en cours dans ces instances et conférences, </w:t>
      </w:r>
      <w:r w:rsidR="00191E77" w:rsidRPr="007F70EA">
        <w:rPr>
          <w:lang w:val="fr-FR"/>
        </w:rPr>
        <w:t xml:space="preserve">une </w:t>
      </w:r>
      <w:r w:rsidRPr="007F70EA">
        <w:rPr>
          <w:lang w:val="fr-FR"/>
        </w:rPr>
        <w:t>participation à ces débats le cas échéant, et une coordination interne des experts de l</w:t>
      </w:r>
      <w:r w:rsidR="002160B3" w:rsidRPr="007F70EA">
        <w:rPr>
          <w:lang w:val="fr-FR"/>
        </w:rPr>
        <w:t>’</w:t>
      </w:r>
      <w:r w:rsidRPr="007F70EA">
        <w:rPr>
          <w:lang w:val="fr-FR"/>
        </w:rPr>
        <w:t>OMPI en la matière afin de contribuer efficacement à ces discussio</w:t>
      </w:r>
      <w:r w:rsidR="00B208AA" w:rsidRPr="007F70EA">
        <w:rPr>
          <w:lang w:val="fr-FR"/>
        </w:rPr>
        <w:t xml:space="preserve">ns.  À </w:t>
      </w:r>
      <w:r w:rsidRPr="007F70EA">
        <w:rPr>
          <w:lang w:val="fr-FR"/>
        </w:rPr>
        <w:t>cette fin, l</w:t>
      </w:r>
      <w:r w:rsidR="002160B3" w:rsidRPr="007F70EA">
        <w:rPr>
          <w:lang w:val="fr-FR"/>
        </w:rPr>
        <w:t>’</w:t>
      </w:r>
      <w:r w:rsidRPr="007F70EA">
        <w:rPr>
          <w:lang w:val="fr-FR"/>
        </w:rPr>
        <w:t>OMPI s</w:t>
      </w:r>
      <w:r w:rsidR="002160B3" w:rsidRPr="007F70EA">
        <w:rPr>
          <w:lang w:val="fr-FR"/>
        </w:rPr>
        <w:t>’</w:t>
      </w:r>
      <w:r w:rsidRPr="007F70EA">
        <w:rPr>
          <w:lang w:val="fr-FR"/>
        </w:rPr>
        <w:t xml:space="preserve">emploie à travers ses divers programmes, </w:t>
      </w:r>
      <w:r w:rsidR="002160B3" w:rsidRPr="007F70EA">
        <w:rPr>
          <w:lang w:val="fr-FR"/>
        </w:rPr>
        <w:t>y compris</w:t>
      </w:r>
      <w:r w:rsidRPr="007F70EA">
        <w:rPr>
          <w:lang w:val="fr-FR"/>
        </w:rPr>
        <w:t xml:space="preserve"> les programmes</w:t>
      </w:r>
      <w:r w:rsidR="0060021D" w:rsidRPr="007F70EA">
        <w:rPr>
          <w:lang w:val="fr-FR"/>
        </w:rPr>
        <w:t> </w:t>
      </w:r>
      <w:r w:rsidRPr="007F70EA">
        <w:rPr>
          <w:lang w:val="fr-FR"/>
        </w:rPr>
        <w:t>9, 10, 14, 16, 18, 20, 21 et 30, à renforcer les partenariats avec d</w:t>
      </w:r>
      <w:r w:rsidR="002160B3" w:rsidRPr="007F70EA">
        <w:rPr>
          <w:lang w:val="fr-FR"/>
        </w:rPr>
        <w:t>’</w:t>
      </w:r>
      <w:r w:rsidRPr="007F70EA">
        <w:rPr>
          <w:lang w:val="fr-FR"/>
        </w:rPr>
        <w:t xml:space="preserve">autres organisations des </w:t>
      </w:r>
      <w:r w:rsidR="002160B3" w:rsidRPr="007F70EA">
        <w:rPr>
          <w:lang w:val="fr-FR"/>
        </w:rPr>
        <w:t>Nations Unies</w:t>
      </w:r>
      <w:r w:rsidRPr="007F70EA">
        <w:rPr>
          <w:lang w:val="fr-FR"/>
        </w:rPr>
        <w:t xml:space="preserve"> </w:t>
      </w:r>
      <w:r w:rsidR="00191E77" w:rsidRPr="007F70EA">
        <w:rPr>
          <w:lang w:val="fr-FR"/>
        </w:rPr>
        <w:t>et</w:t>
      </w:r>
      <w:r w:rsidRPr="007F70EA">
        <w:rPr>
          <w:lang w:val="fr-FR"/>
        </w:rPr>
        <w:t xml:space="preserve"> des organisations intergouvernementales et non</w:t>
      </w:r>
      <w:r w:rsidR="0060021D" w:rsidRPr="007F70EA">
        <w:rPr>
          <w:lang w:val="fr-FR"/>
        </w:rPr>
        <w:t xml:space="preserve"> </w:t>
      </w:r>
      <w:r w:rsidRPr="007F70EA">
        <w:rPr>
          <w:lang w:val="fr-FR"/>
        </w:rPr>
        <w:t>gouvernementales.</w:t>
      </w:r>
    </w:p>
    <w:p w:rsidR="00FE428A" w:rsidRDefault="00874C80" w:rsidP="00FE428A">
      <w:pPr>
        <w:pStyle w:val="ONUMFS"/>
        <w:rPr>
          <w:lang w:val="fr-FR"/>
        </w:rPr>
      </w:pPr>
      <w:r w:rsidRPr="007F70EA">
        <w:rPr>
          <w:lang w:val="fr-FR"/>
        </w:rPr>
        <w:t>L</w:t>
      </w:r>
      <w:r w:rsidR="002160B3" w:rsidRPr="007F70EA">
        <w:rPr>
          <w:lang w:val="fr-FR"/>
        </w:rPr>
        <w:t>’</w:t>
      </w:r>
      <w:r w:rsidRPr="007F70EA">
        <w:rPr>
          <w:lang w:val="fr-FR"/>
        </w:rPr>
        <w:t xml:space="preserve">OMPI participe, dans le cadre de son mandat, à des instances et conférences internationales </w:t>
      </w:r>
      <w:r w:rsidR="00644F51" w:rsidRPr="007F70EA">
        <w:rPr>
          <w:lang w:val="fr-FR"/>
        </w:rPr>
        <w:t>relatives</w:t>
      </w:r>
      <w:r w:rsidRPr="007F70EA">
        <w:rPr>
          <w:lang w:val="fr-FR"/>
        </w:rPr>
        <w:t xml:space="preserve"> au transfert de technologie en tant que membre ou observateur.  L</w:t>
      </w:r>
      <w:r w:rsidR="002160B3" w:rsidRPr="007F70EA">
        <w:rPr>
          <w:lang w:val="fr-FR"/>
        </w:rPr>
        <w:t>’</w:t>
      </w:r>
      <w:r w:rsidRPr="007F70EA">
        <w:rPr>
          <w:lang w:val="fr-FR"/>
        </w:rPr>
        <w:t xml:space="preserve">Organisation participe en particulier aux processus interinstitutions des </w:t>
      </w:r>
      <w:r w:rsidR="002160B3" w:rsidRPr="007F70EA">
        <w:rPr>
          <w:lang w:val="fr-FR"/>
        </w:rPr>
        <w:t>Nations Unies</w:t>
      </w:r>
      <w:r w:rsidRPr="007F70EA">
        <w:rPr>
          <w:lang w:val="fr-FR"/>
        </w:rPr>
        <w:t xml:space="preserve"> relatifs à la propriété intellectuelle et à l</w:t>
      </w:r>
      <w:r w:rsidR="002160B3" w:rsidRPr="007F70EA">
        <w:rPr>
          <w:lang w:val="fr-FR"/>
        </w:rPr>
        <w:t>’</w:t>
      </w:r>
      <w:r w:rsidRPr="007F70EA">
        <w:rPr>
          <w:lang w:val="fr-FR"/>
        </w:rPr>
        <w:t>innovation, notamment à l</w:t>
      </w:r>
      <w:r w:rsidR="002160B3" w:rsidRPr="007F70EA">
        <w:rPr>
          <w:lang w:val="fr-FR"/>
        </w:rPr>
        <w:t>’</w:t>
      </w:r>
      <w:r w:rsidRPr="007F70EA">
        <w:rPr>
          <w:lang w:val="fr-FR"/>
        </w:rPr>
        <w:t xml:space="preserve">Équipe spéciale interinstitutions des </w:t>
      </w:r>
      <w:r w:rsidR="002160B3" w:rsidRPr="007F70EA">
        <w:rPr>
          <w:lang w:val="fr-FR"/>
        </w:rPr>
        <w:t>Nations Unies</w:t>
      </w:r>
      <w:r w:rsidRPr="007F70EA">
        <w:rPr>
          <w:lang w:val="fr-FR"/>
        </w:rPr>
        <w:t xml:space="preserve"> sur la science, la technologie et l</w:t>
      </w:r>
      <w:r w:rsidR="002160B3" w:rsidRPr="007F70EA">
        <w:rPr>
          <w:lang w:val="fr-FR"/>
        </w:rPr>
        <w:t>’</w:t>
      </w:r>
      <w:r w:rsidRPr="007F70EA">
        <w:rPr>
          <w:lang w:val="fr-FR"/>
        </w:rPr>
        <w:t xml:space="preserve">innovation (IATT) pour les objectifs de développement durable (ODD), mise sur pied dans le cadre du mécanisme de facilitation de la technologie, </w:t>
      </w:r>
      <w:r w:rsidR="00644F51" w:rsidRPr="007F70EA">
        <w:rPr>
          <w:lang w:val="fr-FR"/>
        </w:rPr>
        <w:t>ainsi</w:t>
      </w:r>
      <w:r w:rsidRPr="007F70EA">
        <w:rPr>
          <w:lang w:val="fr-FR"/>
        </w:rPr>
        <w:t xml:space="preserve"> </w:t>
      </w:r>
      <w:r w:rsidR="00644F51" w:rsidRPr="007F70EA">
        <w:rPr>
          <w:lang w:val="fr-FR"/>
        </w:rPr>
        <w:t>qu</w:t>
      </w:r>
      <w:r w:rsidR="002160B3" w:rsidRPr="007F70EA">
        <w:rPr>
          <w:lang w:val="fr-FR"/>
        </w:rPr>
        <w:t>’</w:t>
      </w:r>
      <w:r w:rsidRPr="007F70EA">
        <w:rPr>
          <w:lang w:val="fr-FR"/>
        </w:rPr>
        <w:t xml:space="preserve">aux réunions en la matière des principaux organes des </w:t>
      </w:r>
      <w:r w:rsidR="002160B3" w:rsidRPr="007F70EA">
        <w:rPr>
          <w:lang w:val="fr-FR"/>
        </w:rPr>
        <w:t>Nations Unies</w:t>
      </w:r>
      <w:r w:rsidRPr="007F70EA">
        <w:rPr>
          <w:lang w:val="fr-FR"/>
        </w:rPr>
        <w:t xml:space="preserve"> tels que l</w:t>
      </w:r>
      <w:r w:rsidR="002160B3" w:rsidRPr="007F70EA">
        <w:rPr>
          <w:lang w:val="fr-FR"/>
        </w:rPr>
        <w:t>’</w:t>
      </w:r>
      <w:r w:rsidRPr="007F70EA">
        <w:rPr>
          <w:lang w:val="fr-FR"/>
        </w:rPr>
        <w:t xml:space="preserve">Assemblée générale et le Conseil économique et social des </w:t>
      </w:r>
      <w:r w:rsidR="002160B3" w:rsidRPr="007F70EA">
        <w:rPr>
          <w:lang w:val="fr-FR"/>
        </w:rPr>
        <w:t>Nations Unies</w:t>
      </w:r>
      <w:r w:rsidRPr="007F70EA">
        <w:rPr>
          <w:lang w:val="fr-FR"/>
        </w:rPr>
        <w:t xml:space="preserve"> (ECOSOC). </w:t>
      </w:r>
      <w:r w:rsidR="00CC68C1" w:rsidRPr="007F70EA">
        <w:rPr>
          <w:lang w:val="fr-FR"/>
        </w:rPr>
        <w:t xml:space="preserve"> </w:t>
      </w:r>
      <w:r w:rsidRPr="007F70EA">
        <w:rPr>
          <w:lang w:val="fr-FR"/>
        </w:rPr>
        <w:t>Dans ce contexte, l</w:t>
      </w:r>
      <w:r w:rsidR="002160B3" w:rsidRPr="007F70EA">
        <w:rPr>
          <w:lang w:val="fr-FR"/>
        </w:rPr>
        <w:t>’</w:t>
      </w:r>
      <w:r w:rsidRPr="007F70EA">
        <w:rPr>
          <w:lang w:val="fr-FR"/>
        </w:rPr>
        <w:t xml:space="preserve">OMPI fournit des informations et des contributions techniques aux processus et initiatives multilatéraux </w:t>
      </w:r>
      <w:r w:rsidR="00644F51" w:rsidRPr="007F70EA">
        <w:rPr>
          <w:lang w:val="fr-FR"/>
        </w:rPr>
        <w:t>appropriés</w:t>
      </w:r>
      <w:r w:rsidRPr="007F70EA">
        <w:rPr>
          <w:lang w:val="fr-FR"/>
        </w:rPr>
        <w:t>, veillant à ce que ces initiatives bénéficient pleinement des connaissances et de l</w:t>
      </w:r>
      <w:r w:rsidR="002160B3" w:rsidRPr="007F70EA">
        <w:rPr>
          <w:lang w:val="fr-FR"/>
        </w:rPr>
        <w:t>’</w:t>
      </w:r>
      <w:r w:rsidRPr="007F70EA">
        <w:rPr>
          <w:lang w:val="fr-FR"/>
        </w:rPr>
        <w:t>expertise de l</w:t>
      </w:r>
      <w:r w:rsidR="002160B3" w:rsidRPr="007F70EA">
        <w:rPr>
          <w:lang w:val="fr-FR"/>
        </w:rPr>
        <w:t>’</w:t>
      </w:r>
      <w:r w:rsidRPr="007F70EA">
        <w:rPr>
          <w:lang w:val="fr-FR"/>
        </w:rPr>
        <w:t>Organisation.</w:t>
      </w:r>
    </w:p>
    <w:p w:rsidR="00FE428A" w:rsidRDefault="00874C80" w:rsidP="00FE428A">
      <w:pPr>
        <w:pStyle w:val="ONUMFS"/>
        <w:rPr>
          <w:lang w:val="fr-FR"/>
        </w:rPr>
      </w:pPr>
      <w:r w:rsidRPr="007F70EA">
        <w:rPr>
          <w:lang w:val="fr-FR"/>
        </w:rPr>
        <w:t>En tant que membre de l</w:t>
      </w:r>
      <w:r w:rsidR="002160B3" w:rsidRPr="007F70EA">
        <w:rPr>
          <w:lang w:val="fr-FR"/>
        </w:rPr>
        <w:t>’</w:t>
      </w:r>
      <w:r w:rsidRPr="007F70EA">
        <w:rPr>
          <w:lang w:val="fr-FR"/>
        </w:rPr>
        <w:t xml:space="preserve">Équipe spéciale interinstitutions des </w:t>
      </w:r>
      <w:r w:rsidR="002160B3" w:rsidRPr="007F70EA">
        <w:rPr>
          <w:lang w:val="fr-FR"/>
        </w:rPr>
        <w:t>Nations Unies</w:t>
      </w:r>
      <w:r w:rsidRPr="007F70EA">
        <w:rPr>
          <w:lang w:val="fr-FR"/>
        </w:rPr>
        <w:t xml:space="preserve"> sur la science, la technologie et l</w:t>
      </w:r>
      <w:r w:rsidR="002160B3" w:rsidRPr="007F70EA">
        <w:rPr>
          <w:lang w:val="fr-FR"/>
        </w:rPr>
        <w:t>’</w:t>
      </w:r>
      <w:r w:rsidRPr="007F70EA">
        <w:rPr>
          <w:lang w:val="fr-FR"/>
        </w:rPr>
        <w:t>innovation (IATT) pour les objectifs de développement durable (ODD), l</w:t>
      </w:r>
      <w:r w:rsidR="002160B3" w:rsidRPr="007F70EA">
        <w:rPr>
          <w:lang w:val="fr-FR"/>
        </w:rPr>
        <w:t>’</w:t>
      </w:r>
      <w:r w:rsidRPr="007F70EA">
        <w:rPr>
          <w:lang w:val="fr-FR"/>
        </w:rPr>
        <w:t>OMPI contribue aux travaux de l</w:t>
      </w:r>
      <w:r w:rsidR="002160B3" w:rsidRPr="007F70EA">
        <w:rPr>
          <w:lang w:val="fr-FR"/>
        </w:rPr>
        <w:t>’</w:t>
      </w:r>
      <w:r w:rsidRPr="007F70EA">
        <w:rPr>
          <w:lang w:val="fr-FR"/>
        </w:rPr>
        <w:t>équipe spéciale dans le cadre d</w:t>
      </w:r>
      <w:r w:rsidR="002160B3" w:rsidRPr="007F70EA">
        <w:rPr>
          <w:lang w:val="fr-FR"/>
        </w:rPr>
        <w:t>’</w:t>
      </w:r>
      <w:r w:rsidRPr="007F70EA">
        <w:rPr>
          <w:lang w:val="fr-FR"/>
        </w:rPr>
        <w:t>un processus continu d</w:t>
      </w:r>
      <w:r w:rsidR="002160B3" w:rsidRPr="007F70EA">
        <w:rPr>
          <w:lang w:val="fr-FR"/>
        </w:rPr>
        <w:t>’</w:t>
      </w:r>
      <w:r w:rsidRPr="007F70EA">
        <w:rPr>
          <w:lang w:val="fr-FR"/>
        </w:rPr>
        <w:t>inventaire des initiatives, mécanismes et programmes en matière de science, de technologie et d</w:t>
      </w:r>
      <w:r w:rsidR="002160B3" w:rsidRPr="007F70EA">
        <w:rPr>
          <w:lang w:val="fr-FR"/>
        </w:rPr>
        <w:t>’</w:t>
      </w:r>
      <w:r w:rsidRPr="007F70EA">
        <w:rPr>
          <w:lang w:val="fr-FR"/>
        </w:rPr>
        <w:t xml:space="preserve">innovation au sein du système des </w:t>
      </w:r>
      <w:r w:rsidR="002160B3" w:rsidRPr="007F70EA">
        <w:rPr>
          <w:lang w:val="fr-FR"/>
        </w:rPr>
        <w:t>Nations Uni</w:t>
      </w:r>
      <w:r w:rsidR="00B208AA" w:rsidRPr="007F70EA">
        <w:rPr>
          <w:lang w:val="fr-FR"/>
        </w:rPr>
        <w:t>es.  Ce</w:t>
      </w:r>
      <w:r w:rsidRPr="007F70EA">
        <w:rPr>
          <w:lang w:val="fr-FR"/>
        </w:rPr>
        <w:t xml:space="preserve"> processus vise essentiellement à participer à la création d</w:t>
      </w:r>
      <w:r w:rsidR="002160B3" w:rsidRPr="007F70EA">
        <w:rPr>
          <w:lang w:val="fr-FR"/>
        </w:rPr>
        <w:t>’</w:t>
      </w:r>
      <w:r w:rsidRPr="007F70EA">
        <w:rPr>
          <w:lang w:val="fr-FR"/>
        </w:rPr>
        <w:t>une plateforme en ligne conçue pour</w:t>
      </w:r>
      <w:r w:rsidR="002160B3" w:rsidRPr="007F70EA">
        <w:rPr>
          <w:lang w:val="fr-FR"/>
        </w:rPr>
        <w:t> :</w:t>
      </w:r>
      <w:r w:rsidRPr="007F70EA">
        <w:rPr>
          <w:lang w:val="fr-FR"/>
        </w:rPr>
        <w:t xml:space="preserve"> </w:t>
      </w:r>
      <w:r w:rsidR="002160B3" w:rsidRPr="007F70EA">
        <w:rPr>
          <w:lang w:val="fr-FR"/>
        </w:rPr>
        <w:t>“</w:t>
      </w:r>
      <w:r w:rsidRPr="007F70EA">
        <w:rPr>
          <w:lang w:val="fr-FR"/>
        </w:rPr>
        <w:t>i)</w:t>
      </w:r>
      <w:r w:rsidR="00B208AA" w:rsidRPr="007F70EA">
        <w:rPr>
          <w:lang w:val="fr-FR"/>
        </w:rPr>
        <w:t> </w:t>
      </w:r>
      <w:r w:rsidRPr="007F70EA">
        <w:rPr>
          <w:lang w:val="fr-FR"/>
        </w:rPr>
        <w:t>être utilisée afin d</w:t>
      </w:r>
      <w:r w:rsidR="002160B3" w:rsidRPr="007F70EA">
        <w:rPr>
          <w:lang w:val="fr-FR"/>
        </w:rPr>
        <w:t>’</w:t>
      </w:r>
      <w:r w:rsidRPr="007F70EA">
        <w:rPr>
          <w:lang w:val="fr-FR"/>
        </w:rPr>
        <w:t>établir une cartographie complète et servir de passerelle pour toute information sur les initiatives, les mécanismes et les programmes existants en matière de science, de technologie et d</w:t>
      </w:r>
      <w:r w:rsidR="002160B3" w:rsidRPr="007F70EA">
        <w:rPr>
          <w:lang w:val="fr-FR"/>
        </w:rPr>
        <w:t>’</w:t>
      </w:r>
      <w:r w:rsidRPr="007F70EA">
        <w:rPr>
          <w:lang w:val="fr-FR"/>
        </w:rPr>
        <w:t xml:space="preserve">innovation, au sein des </w:t>
      </w:r>
      <w:r w:rsidR="002160B3" w:rsidRPr="007F70EA">
        <w:rPr>
          <w:lang w:val="fr-FR"/>
        </w:rPr>
        <w:t>Nations Unies</w:t>
      </w:r>
      <w:r w:rsidRPr="007F70EA">
        <w:rPr>
          <w:lang w:val="fr-FR"/>
        </w:rPr>
        <w:t xml:space="preserve"> et au</w:t>
      </w:r>
      <w:r w:rsidR="007F70EA">
        <w:rPr>
          <w:lang w:val="fr-FR"/>
        </w:rPr>
        <w:noBreakHyphen/>
      </w:r>
      <w:r w:rsidR="00B208AA" w:rsidRPr="007F70EA">
        <w:rPr>
          <w:lang w:val="fr-FR"/>
        </w:rPr>
        <w:t xml:space="preserve">delà;  </w:t>
      </w:r>
      <w:r w:rsidRPr="007F70EA">
        <w:rPr>
          <w:lang w:val="fr-FR"/>
        </w:rPr>
        <w:t>ii)</w:t>
      </w:r>
      <w:r w:rsidR="00B208AA" w:rsidRPr="007F70EA">
        <w:rPr>
          <w:lang w:val="fr-FR"/>
        </w:rPr>
        <w:t> </w:t>
      </w:r>
      <w:r w:rsidRPr="007F70EA">
        <w:rPr>
          <w:lang w:val="fr-FR"/>
        </w:rPr>
        <w:t>faciliter l</w:t>
      </w:r>
      <w:r w:rsidR="002160B3" w:rsidRPr="007F70EA">
        <w:rPr>
          <w:lang w:val="fr-FR"/>
        </w:rPr>
        <w:t>’</w:t>
      </w:r>
      <w:r w:rsidRPr="007F70EA">
        <w:rPr>
          <w:lang w:val="fr-FR"/>
        </w:rPr>
        <w:t>accès à l</w:t>
      </w:r>
      <w:r w:rsidR="002160B3" w:rsidRPr="007F70EA">
        <w:rPr>
          <w:lang w:val="fr-FR"/>
        </w:rPr>
        <w:t>’</w:t>
      </w:r>
      <w:r w:rsidRPr="007F70EA">
        <w:rPr>
          <w:lang w:val="fr-FR"/>
        </w:rPr>
        <w:t>information, à la connaissance et à l</w:t>
      </w:r>
      <w:r w:rsidR="002160B3" w:rsidRPr="007F70EA">
        <w:rPr>
          <w:lang w:val="fr-FR"/>
        </w:rPr>
        <w:t>’</w:t>
      </w:r>
      <w:r w:rsidRPr="007F70EA">
        <w:rPr>
          <w:lang w:val="fr-FR"/>
        </w:rPr>
        <w:t>expérience, ainsi qu</w:t>
      </w:r>
      <w:r w:rsidR="002160B3" w:rsidRPr="007F70EA">
        <w:rPr>
          <w:lang w:val="fr-FR"/>
        </w:rPr>
        <w:t>’</w:t>
      </w:r>
      <w:r w:rsidRPr="007F70EA">
        <w:rPr>
          <w:lang w:val="fr-FR"/>
        </w:rPr>
        <w:t>aux bonnes pratiques et aux enseignements tirés, concernant les initiatives et politiques de facilitation en matière de science, de technologie et d</w:t>
      </w:r>
      <w:r w:rsidR="002160B3" w:rsidRPr="007F70EA">
        <w:rPr>
          <w:lang w:val="fr-FR"/>
        </w:rPr>
        <w:t>’</w:t>
      </w:r>
      <w:r w:rsidRPr="007F70EA">
        <w:rPr>
          <w:lang w:val="fr-FR"/>
        </w:rPr>
        <w:t xml:space="preserve">innovation;  et </w:t>
      </w:r>
      <w:r w:rsidRPr="007F70EA">
        <w:rPr>
          <w:lang w:val="fr-FR"/>
        </w:rPr>
        <w:lastRenderedPageBreak/>
        <w:t>iii)</w:t>
      </w:r>
      <w:r w:rsidR="00B208AA" w:rsidRPr="007F70EA">
        <w:rPr>
          <w:lang w:val="fr-FR"/>
        </w:rPr>
        <w:t> </w:t>
      </w:r>
      <w:r w:rsidRPr="007F70EA">
        <w:rPr>
          <w:lang w:val="fr-FR"/>
        </w:rPr>
        <w:t>faciliter la diffusion en accès libre de publications scientifiques dignes d</w:t>
      </w:r>
      <w:r w:rsidR="002160B3" w:rsidRPr="007F70EA">
        <w:rPr>
          <w:lang w:val="fr-FR"/>
        </w:rPr>
        <w:t>’</w:t>
      </w:r>
      <w:r w:rsidRPr="007F70EA">
        <w:rPr>
          <w:lang w:val="fr-FR"/>
        </w:rPr>
        <w:t>intérêt éditées dans le monde entier</w:t>
      </w:r>
      <w:r w:rsidRPr="007F70EA">
        <w:rPr>
          <w:rStyle w:val="FootnoteReference"/>
          <w:lang w:val="fr-FR"/>
        </w:rPr>
        <w:footnoteReference w:id="2"/>
      </w:r>
      <w:r w:rsidR="0060021D" w:rsidRPr="007F70EA">
        <w:rPr>
          <w:lang w:val="fr-FR"/>
        </w:rPr>
        <w:t>”</w:t>
      </w:r>
      <w:r w:rsidR="00CC68C1" w:rsidRPr="007F70EA">
        <w:rPr>
          <w:lang w:val="fr-FR"/>
        </w:rPr>
        <w:t>.</w:t>
      </w:r>
    </w:p>
    <w:p w:rsidR="00FE428A" w:rsidRDefault="00874C80" w:rsidP="00FE428A">
      <w:pPr>
        <w:pStyle w:val="ONUMFS"/>
        <w:rPr>
          <w:lang w:val="fr-FR"/>
        </w:rPr>
      </w:pPr>
      <w:r w:rsidRPr="007F70EA">
        <w:rPr>
          <w:lang w:val="fr-FR"/>
        </w:rPr>
        <w:t>L</w:t>
      </w:r>
      <w:r w:rsidR="002160B3" w:rsidRPr="007F70EA">
        <w:rPr>
          <w:lang w:val="fr-FR"/>
        </w:rPr>
        <w:t>’</w:t>
      </w:r>
      <w:r w:rsidRPr="007F70EA">
        <w:rPr>
          <w:lang w:val="fr-FR"/>
        </w:rPr>
        <w:t>OMPI s</w:t>
      </w:r>
      <w:r w:rsidR="002160B3" w:rsidRPr="007F70EA">
        <w:rPr>
          <w:lang w:val="fr-FR"/>
        </w:rPr>
        <w:t>’</w:t>
      </w:r>
      <w:r w:rsidRPr="007F70EA">
        <w:rPr>
          <w:lang w:val="fr-FR"/>
        </w:rPr>
        <w:t>emploie également à mieux faire connaître ses programmes et services aux partenaires intergouvernementaux existants et potentiels, pour que ces programmes et services soient réellement disponibles et puissent être utilisés pour atteindre des objectifs communs.  L</w:t>
      </w:r>
      <w:r w:rsidR="002160B3" w:rsidRPr="007F70EA">
        <w:rPr>
          <w:lang w:val="fr-FR"/>
        </w:rPr>
        <w:t>’</w:t>
      </w:r>
      <w:r w:rsidRPr="007F70EA">
        <w:rPr>
          <w:lang w:val="fr-FR"/>
        </w:rPr>
        <w:t>OMPI fournit, entre autres choses, des informations factuelles à travers un large éventail de rapports et de publications sur des sujets abordés par des instances et des conférences internationales en matière de transfert de technolog</w:t>
      </w:r>
      <w:r w:rsidR="00B208AA" w:rsidRPr="007F70EA">
        <w:rPr>
          <w:lang w:val="fr-FR"/>
        </w:rPr>
        <w:t>ie.  Ce</w:t>
      </w:r>
      <w:r w:rsidRPr="007F70EA">
        <w:rPr>
          <w:lang w:val="fr-FR"/>
        </w:rPr>
        <w:t>s publications comprennent l</w:t>
      </w:r>
      <w:r w:rsidR="002160B3" w:rsidRPr="007F70EA">
        <w:rPr>
          <w:lang w:val="fr-FR"/>
        </w:rPr>
        <w:t>’</w:t>
      </w:r>
      <w:r w:rsidRPr="007F70EA">
        <w:rPr>
          <w:lang w:val="fr-FR"/>
        </w:rPr>
        <w:t>Indice mondial de l</w:t>
      </w:r>
      <w:r w:rsidR="002160B3" w:rsidRPr="007F70EA">
        <w:rPr>
          <w:lang w:val="fr-FR"/>
        </w:rPr>
        <w:t>’</w:t>
      </w:r>
      <w:r w:rsidRPr="007F70EA">
        <w:rPr>
          <w:lang w:val="fr-FR"/>
        </w:rPr>
        <w:t>innovation, les rapports panoramiques de l</w:t>
      </w:r>
      <w:r w:rsidR="002160B3" w:rsidRPr="007F70EA">
        <w:rPr>
          <w:lang w:val="fr-FR"/>
        </w:rPr>
        <w:t>’</w:t>
      </w:r>
      <w:r w:rsidRPr="007F70EA">
        <w:rPr>
          <w:lang w:val="fr-FR"/>
        </w:rPr>
        <w:t>OMPI sur les brevets, les rapports et les synthèses sur les défis mondiaux et l</w:t>
      </w:r>
      <w:r w:rsidR="002160B3" w:rsidRPr="007F70EA">
        <w:rPr>
          <w:lang w:val="fr-FR"/>
        </w:rPr>
        <w:t>’</w:t>
      </w:r>
      <w:r w:rsidRPr="007F70EA">
        <w:rPr>
          <w:lang w:val="fr-FR"/>
        </w:rPr>
        <w:t>aperçu sur la propriété intellectuelle et les ressources génétiques, les savoirs traditionnels et les expressions culturelles traditionnell</w:t>
      </w:r>
      <w:r w:rsidR="00B208AA" w:rsidRPr="007F70EA">
        <w:rPr>
          <w:lang w:val="fr-FR"/>
        </w:rPr>
        <w:t>es.  Un</w:t>
      </w:r>
      <w:r w:rsidRPr="007F70EA">
        <w:rPr>
          <w:lang w:val="fr-FR"/>
        </w:rPr>
        <w:t>e compilation plus détaillée des activités de l</w:t>
      </w:r>
      <w:r w:rsidR="002160B3" w:rsidRPr="007F70EA">
        <w:rPr>
          <w:lang w:val="fr-FR"/>
        </w:rPr>
        <w:t>’</w:t>
      </w:r>
      <w:r w:rsidRPr="007F70EA">
        <w:rPr>
          <w:lang w:val="fr-FR"/>
        </w:rPr>
        <w:t>OMPI relatives au transfert de technologie figure dans le document CDIP/17/9.</w:t>
      </w:r>
    </w:p>
    <w:p w:rsidR="00A27A71" w:rsidRPr="00FE428A" w:rsidRDefault="00DC13C2" w:rsidP="00FE428A">
      <w:pPr>
        <w:pStyle w:val="Heading2"/>
        <w:rPr>
          <w:lang w:val="fr-FR"/>
        </w:rPr>
      </w:pPr>
      <w:r w:rsidRPr="00FE428A">
        <w:rPr>
          <w:lang w:val="fr-FR"/>
        </w:rPr>
        <w:t>III.</w:t>
      </w:r>
      <w:r w:rsidRPr="00FE428A">
        <w:rPr>
          <w:lang w:val="fr-FR"/>
        </w:rPr>
        <w:tab/>
        <w:t xml:space="preserve">Quelques instances et conférences intergouvernementales mondiales au sein du système des </w:t>
      </w:r>
      <w:r w:rsidR="002160B3" w:rsidRPr="00FE428A">
        <w:rPr>
          <w:lang w:val="fr-FR"/>
        </w:rPr>
        <w:t>Nations Unies</w:t>
      </w:r>
    </w:p>
    <w:p w:rsidR="00A27A71" w:rsidRPr="007F70EA" w:rsidRDefault="00A27A71" w:rsidP="00DC13C2">
      <w:pPr>
        <w:rPr>
          <w:lang w:val="fr-FR"/>
        </w:rPr>
      </w:pPr>
    </w:p>
    <w:p w:rsidR="00A27A71" w:rsidRPr="007F70EA" w:rsidRDefault="007A19DC" w:rsidP="007A19DC">
      <w:pPr>
        <w:rPr>
          <w:b/>
          <w:lang w:val="fr-FR"/>
        </w:rPr>
      </w:pPr>
      <w:r w:rsidRPr="007F70EA">
        <w:rPr>
          <w:b/>
          <w:bCs/>
          <w:lang w:val="fr-FR"/>
        </w:rPr>
        <w:t>Conférence des Parties à la Convention sur la diversité biologique (CDB)</w:t>
      </w:r>
    </w:p>
    <w:p w:rsidR="00A27A71" w:rsidRPr="007F70EA" w:rsidRDefault="00A27A71" w:rsidP="00DC13C2">
      <w:pPr>
        <w:rPr>
          <w:b/>
          <w:lang w:val="fr-FR"/>
        </w:rPr>
      </w:pPr>
    </w:p>
    <w:p w:rsidR="002160B3" w:rsidRPr="007F70EA" w:rsidRDefault="00DC13C2" w:rsidP="00DC13C2">
      <w:pPr>
        <w:rPr>
          <w:lang w:val="fr-FR"/>
        </w:rPr>
      </w:pPr>
      <w:r w:rsidRPr="007F70EA">
        <w:rPr>
          <w:u w:val="single"/>
          <w:lang w:val="fr-FR"/>
        </w:rPr>
        <w:t>Organisation coordinatrice</w:t>
      </w:r>
      <w:r w:rsidR="002160B3" w:rsidRPr="007F70EA">
        <w:rPr>
          <w:lang w:val="fr-FR"/>
        </w:rPr>
        <w:t> :</w:t>
      </w:r>
      <w:r w:rsidRPr="007F70EA">
        <w:rPr>
          <w:lang w:val="fr-FR"/>
        </w:rPr>
        <w:t xml:space="preserve"> Secrétariat de </w:t>
      </w:r>
      <w:r w:rsidR="0060021D" w:rsidRPr="007F70EA">
        <w:rPr>
          <w:lang w:val="fr-FR"/>
        </w:rPr>
        <w:t>la Convention sur la diversité biologique (CDB)</w:t>
      </w:r>
    </w:p>
    <w:p w:rsidR="00A27A71" w:rsidRPr="007F70EA" w:rsidRDefault="00A27A71" w:rsidP="00DC13C2">
      <w:pPr>
        <w:rPr>
          <w:lang w:val="fr-FR"/>
        </w:rPr>
      </w:pPr>
    </w:p>
    <w:p w:rsidR="00A27A71" w:rsidRPr="007F70EA" w:rsidRDefault="00DC13C2" w:rsidP="00DC13C2">
      <w:pPr>
        <w:rPr>
          <w:lang w:val="fr-FR"/>
        </w:rPr>
      </w:pPr>
      <w:r w:rsidRPr="007F70EA">
        <w:rPr>
          <w:u w:val="single"/>
          <w:lang w:val="fr-FR"/>
        </w:rPr>
        <w:t>Thématique</w:t>
      </w:r>
      <w:r w:rsidR="002160B3" w:rsidRPr="007F70EA">
        <w:rPr>
          <w:lang w:val="fr-FR"/>
        </w:rPr>
        <w:t> :</w:t>
      </w:r>
      <w:r w:rsidR="003375EF" w:rsidRPr="007F70EA">
        <w:rPr>
          <w:lang w:val="fr-FR"/>
        </w:rPr>
        <w:t xml:space="preserve"> l</w:t>
      </w:r>
      <w:r w:rsidR="002160B3" w:rsidRPr="007F70EA">
        <w:rPr>
          <w:lang w:val="fr-FR"/>
        </w:rPr>
        <w:t>’</w:t>
      </w:r>
      <w:r w:rsidRPr="007F70EA">
        <w:rPr>
          <w:lang w:val="fr-FR"/>
        </w:rPr>
        <w:t>environnement (diversité biologique)</w:t>
      </w:r>
    </w:p>
    <w:p w:rsidR="00A27A71" w:rsidRPr="007F70EA" w:rsidRDefault="00A27A71" w:rsidP="00DC13C2">
      <w:pPr>
        <w:rPr>
          <w:lang w:val="fr-FR"/>
        </w:rPr>
      </w:pPr>
    </w:p>
    <w:p w:rsidR="00A27A71" w:rsidRPr="007F70EA" w:rsidRDefault="00DC13C2" w:rsidP="00340C1C">
      <w:pPr>
        <w:rPr>
          <w:lang w:val="fr-FR"/>
        </w:rPr>
      </w:pPr>
      <w:r w:rsidRPr="007F70EA">
        <w:rPr>
          <w:u w:val="single"/>
          <w:lang w:val="fr-FR"/>
        </w:rPr>
        <w:t>Participants</w:t>
      </w:r>
      <w:r w:rsidR="002160B3" w:rsidRPr="007F70EA">
        <w:rPr>
          <w:lang w:val="fr-FR"/>
        </w:rPr>
        <w:t> :</w:t>
      </w:r>
      <w:r w:rsidRPr="007F70EA">
        <w:rPr>
          <w:lang w:val="fr-FR"/>
        </w:rPr>
        <w:t xml:space="preserve"> États; </w:t>
      </w:r>
      <w:r w:rsidR="00CC68C1" w:rsidRPr="007F70EA">
        <w:rPr>
          <w:lang w:val="fr-FR"/>
        </w:rPr>
        <w:t xml:space="preserve"> </w:t>
      </w:r>
      <w:r w:rsidRPr="007F70EA">
        <w:rPr>
          <w:lang w:val="fr-FR"/>
        </w:rPr>
        <w:t>organisations intergouvernementales;</w:t>
      </w:r>
      <w:r w:rsidR="00CC68C1" w:rsidRPr="007F70EA">
        <w:rPr>
          <w:lang w:val="fr-FR"/>
        </w:rPr>
        <w:t xml:space="preserve"> </w:t>
      </w:r>
      <w:r w:rsidRPr="007F70EA">
        <w:rPr>
          <w:lang w:val="fr-FR"/>
        </w:rPr>
        <w:t xml:space="preserve"> organisations non</w:t>
      </w:r>
      <w:r w:rsidR="0060021D" w:rsidRPr="007F70EA">
        <w:rPr>
          <w:lang w:val="fr-FR"/>
        </w:rPr>
        <w:t xml:space="preserve"> </w:t>
      </w:r>
      <w:r w:rsidRPr="007F70EA">
        <w:rPr>
          <w:lang w:val="fr-FR"/>
        </w:rPr>
        <w:t>gouvernementales</w:t>
      </w:r>
    </w:p>
    <w:p w:rsidR="00A27A71" w:rsidRPr="007F70EA" w:rsidRDefault="00A27A71" w:rsidP="00DC13C2">
      <w:pPr>
        <w:rPr>
          <w:lang w:val="fr-FR"/>
        </w:rPr>
      </w:pPr>
    </w:p>
    <w:p w:rsidR="00A27A71" w:rsidRPr="007F70EA" w:rsidRDefault="007A19DC" w:rsidP="007A19DC">
      <w:pPr>
        <w:rPr>
          <w:lang w:val="fr-FR"/>
        </w:rPr>
      </w:pPr>
      <w:r w:rsidRPr="007F70EA">
        <w:rPr>
          <w:u w:val="single"/>
          <w:lang w:val="fr-FR"/>
        </w:rPr>
        <w:t>Lien avec le transfert de technologie</w:t>
      </w:r>
      <w:r w:rsidR="002160B3" w:rsidRPr="007F70EA">
        <w:rPr>
          <w:lang w:val="fr-FR"/>
        </w:rPr>
        <w:t> :</w:t>
      </w:r>
      <w:r w:rsidRPr="007F70EA">
        <w:rPr>
          <w:lang w:val="fr-FR"/>
        </w:rPr>
        <w:t xml:space="preserve"> Convention sur la diversité biologique, article 16</w:t>
      </w:r>
      <w:r w:rsidR="002160B3" w:rsidRPr="007F70EA">
        <w:rPr>
          <w:lang w:val="fr-FR"/>
        </w:rPr>
        <w:t> :</w:t>
      </w:r>
      <w:r w:rsidRPr="007F70EA">
        <w:rPr>
          <w:lang w:val="fr-FR"/>
        </w:rPr>
        <w:t xml:space="preserve"> “Chaque Partie contractante, reconnaissant que la technologie inclut la biotechnologie, et que l</w:t>
      </w:r>
      <w:r w:rsidR="002160B3" w:rsidRPr="007F70EA">
        <w:rPr>
          <w:lang w:val="fr-FR"/>
        </w:rPr>
        <w:t>’</w:t>
      </w:r>
      <w:r w:rsidRPr="007F70EA">
        <w:rPr>
          <w:lang w:val="fr-FR"/>
        </w:rPr>
        <w:t>accès à la technologie et le transfert de celle</w:t>
      </w:r>
      <w:r w:rsidR="007F70EA">
        <w:rPr>
          <w:lang w:val="fr-FR"/>
        </w:rPr>
        <w:noBreakHyphen/>
      </w:r>
      <w:r w:rsidRPr="007F70EA">
        <w:rPr>
          <w:lang w:val="fr-FR"/>
        </w:rPr>
        <w:t>ci entre Parties contractantes sont des éléments essentiels à la réalisation des objectifs de la présente Convention, s</w:t>
      </w:r>
      <w:r w:rsidR="002160B3" w:rsidRPr="007F70EA">
        <w:rPr>
          <w:lang w:val="fr-FR"/>
        </w:rPr>
        <w:t>’</w:t>
      </w:r>
      <w:r w:rsidRPr="007F70EA">
        <w:rPr>
          <w:lang w:val="fr-FR"/>
        </w:rPr>
        <w:t>engage, sous réserve des dispositions du présent article, à assurer et/ou à faciliter à d</w:t>
      </w:r>
      <w:r w:rsidR="002160B3" w:rsidRPr="007F70EA">
        <w:rPr>
          <w:lang w:val="fr-FR"/>
        </w:rPr>
        <w:t>’</w:t>
      </w:r>
      <w:r w:rsidRPr="007F70EA">
        <w:rPr>
          <w:lang w:val="fr-FR"/>
        </w:rPr>
        <w:t>autres Parties contractantes l</w:t>
      </w:r>
      <w:r w:rsidR="002160B3" w:rsidRPr="007F70EA">
        <w:rPr>
          <w:lang w:val="fr-FR"/>
        </w:rPr>
        <w:t>’</w:t>
      </w:r>
      <w:r w:rsidRPr="007F70EA">
        <w:rPr>
          <w:lang w:val="fr-FR"/>
        </w:rPr>
        <w:t>accès aux technologies nécessaires à la conservation et à l</w:t>
      </w:r>
      <w:r w:rsidR="002160B3" w:rsidRPr="007F70EA">
        <w:rPr>
          <w:lang w:val="fr-FR"/>
        </w:rPr>
        <w:t>’</w:t>
      </w:r>
      <w:r w:rsidRPr="007F70EA">
        <w:rPr>
          <w:lang w:val="fr-FR"/>
        </w:rPr>
        <w:t>utilisation durable de la diversité biologique, ou utilisant les ressources génétiques sans causer de dommages sensibles à l</w:t>
      </w:r>
      <w:r w:rsidR="002160B3" w:rsidRPr="007F70EA">
        <w:rPr>
          <w:lang w:val="fr-FR"/>
        </w:rPr>
        <w:t>’</w:t>
      </w:r>
      <w:r w:rsidRPr="007F70EA">
        <w:rPr>
          <w:lang w:val="fr-FR"/>
        </w:rPr>
        <w:t>environnement, et le transfert desdites technologies.”</w:t>
      </w:r>
    </w:p>
    <w:p w:rsidR="00A27A71" w:rsidRPr="007F70EA" w:rsidRDefault="00A27A71" w:rsidP="00DC13C2">
      <w:pPr>
        <w:rPr>
          <w:lang w:val="fr-FR"/>
        </w:rPr>
      </w:pPr>
    </w:p>
    <w:p w:rsidR="00A27A71" w:rsidRPr="007F70EA" w:rsidRDefault="00A27A71" w:rsidP="00A27A71">
      <w:pPr>
        <w:rPr>
          <w:lang w:val="fr-FR"/>
        </w:rPr>
      </w:pPr>
      <w:r w:rsidRPr="007F70EA">
        <w:rPr>
          <w:u w:val="single"/>
          <w:lang w:val="fr-FR"/>
        </w:rPr>
        <w:t>Description</w:t>
      </w:r>
      <w:r w:rsidR="002160B3" w:rsidRPr="007F70EA">
        <w:rPr>
          <w:lang w:val="fr-FR"/>
        </w:rPr>
        <w:t> :</w:t>
      </w:r>
      <w:r w:rsidRPr="007F70EA">
        <w:rPr>
          <w:lang w:val="fr-FR"/>
        </w:rPr>
        <w:t xml:space="preserve"> Convention sur la diversité biologique, </w:t>
      </w:r>
      <w:r w:rsidR="002160B3" w:rsidRPr="007F70EA">
        <w:rPr>
          <w:lang w:val="fr-FR"/>
        </w:rPr>
        <w:t>article 2</w:t>
      </w:r>
      <w:r w:rsidRPr="007F70EA">
        <w:rPr>
          <w:lang w:val="fr-FR"/>
        </w:rPr>
        <w:t>3.4</w:t>
      </w:r>
      <w:r w:rsidR="002160B3" w:rsidRPr="007F70EA">
        <w:rPr>
          <w:lang w:val="fr-FR"/>
        </w:rPr>
        <w:t> :</w:t>
      </w:r>
      <w:r w:rsidRPr="007F70EA">
        <w:rPr>
          <w:lang w:val="fr-FR"/>
        </w:rPr>
        <w:t xml:space="preserve"> “La Conférence des Parties examine l</w:t>
      </w:r>
      <w:r w:rsidR="002160B3" w:rsidRPr="007F70EA">
        <w:rPr>
          <w:lang w:val="fr-FR"/>
        </w:rPr>
        <w:t>’</w:t>
      </w:r>
      <w:r w:rsidRPr="007F70EA">
        <w:rPr>
          <w:lang w:val="fr-FR"/>
        </w:rPr>
        <w:t>application de la présente Convention et, à cette fin</w:t>
      </w:r>
      <w:r w:rsidR="002160B3" w:rsidRPr="007F70EA">
        <w:rPr>
          <w:lang w:val="fr-FR"/>
        </w:rPr>
        <w:t> :</w:t>
      </w:r>
      <w:r w:rsidRPr="007F70EA">
        <w:rPr>
          <w:lang w:val="fr-FR"/>
        </w:rPr>
        <w:t xml:space="preserve"> a)</w:t>
      </w:r>
      <w:r w:rsidR="00CC68C1" w:rsidRPr="007F70EA">
        <w:rPr>
          <w:lang w:val="fr-FR"/>
        </w:rPr>
        <w:t> </w:t>
      </w:r>
      <w:r w:rsidR="00B208AA" w:rsidRPr="007F70EA">
        <w:rPr>
          <w:lang w:val="fr-FR"/>
        </w:rPr>
        <w:t xml:space="preserve">établit </w:t>
      </w:r>
      <w:r w:rsidRPr="007F70EA">
        <w:rPr>
          <w:lang w:val="fr-FR"/>
        </w:rPr>
        <w:t>la forme et la fréquence de la communication des renseignements à présenter conformément à l</w:t>
      </w:r>
      <w:r w:rsidR="002160B3" w:rsidRPr="007F70EA">
        <w:rPr>
          <w:lang w:val="fr-FR"/>
        </w:rPr>
        <w:t>’article 2</w:t>
      </w:r>
      <w:r w:rsidRPr="007F70EA">
        <w:rPr>
          <w:lang w:val="fr-FR"/>
        </w:rPr>
        <w:t>6 et examine ces renseignements ainsi que les rapports présentés par tout organe subsidiaire;</w:t>
      </w:r>
      <w:r w:rsidR="00B208AA" w:rsidRPr="007F70EA">
        <w:rPr>
          <w:lang w:val="fr-FR"/>
        </w:rPr>
        <w:t xml:space="preserve">  </w:t>
      </w:r>
      <w:r w:rsidRPr="007F70EA">
        <w:rPr>
          <w:lang w:val="fr-FR"/>
        </w:rPr>
        <w:t>b)</w:t>
      </w:r>
      <w:r w:rsidR="00B208AA" w:rsidRPr="007F70EA">
        <w:rPr>
          <w:lang w:val="fr-FR"/>
        </w:rPr>
        <w:t xml:space="preserve"> étudie </w:t>
      </w:r>
      <w:r w:rsidRPr="007F70EA">
        <w:rPr>
          <w:lang w:val="fr-FR"/>
        </w:rPr>
        <w:t>les avis techniques, technologiques et scientifiques sur la diversité biologique fournis conformément à l</w:t>
      </w:r>
      <w:r w:rsidR="002160B3" w:rsidRPr="007F70EA">
        <w:rPr>
          <w:lang w:val="fr-FR"/>
        </w:rPr>
        <w:t>’article 2</w:t>
      </w:r>
      <w:r w:rsidRPr="007F70EA">
        <w:rPr>
          <w:lang w:val="fr-FR"/>
        </w:rPr>
        <w:t>5;  c)</w:t>
      </w:r>
      <w:r w:rsidR="00CC68C1" w:rsidRPr="007F70EA">
        <w:rPr>
          <w:lang w:val="fr-FR"/>
        </w:rPr>
        <w:t> </w:t>
      </w:r>
      <w:r w:rsidR="00B208AA" w:rsidRPr="007F70EA">
        <w:rPr>
          <w:lang w:val="fr-FR"/>
        </w:rPr>
        <w:t xml:space="preserve">examine </w:t>
      </w:r>
      <w:r w:rsidRPr="007F70EA">
        <w:rPr>
          <w:lang w:val="fr-FR"/>
        </w:rPr>
        <w:t>et adopte, en tant que de besoin, des protocoles conformément à l</w:t>
      </w:r>
      <w:r w:rsidR="002160B3" w:rsidRPr="007F70EA">
        <w:rPr>
          <w:lang w:val="fr-FR"/>
        </w:rPr>
        <w:t>’article 2</w:t>
      </w:r>
      <w:r w:rsidRPr="007F70EA">
        <w:rPr>
          <w:lang w:val="fr-FR"/>
        </w:rPr>
        <w:t>8;  d)</w:t>
      </w:r>
      <w:r w:rsidR="00CC68C1" w:rsidRPr="007F70EA">
        <w:rPr>
          <w:lang w:val="fr-FR"/>
        </w:rPr>
        <w:t> </w:t>
      </w:r>
      <w:r w:rsidR="00B208AA" w:rsidRPr="007F70EA">
        <w:rPr>
          <w:lang w:val="fr-FR"/>
        </w:rPr>
        <w:t xml:space="preserve">examine </w:t>
      </w:r>
      <w:r w:rsidRPr="007F70EA">
        <w:rPr>
          <w:lang w:val="fr-FR"/>
        </w:rPr>
        <w:t>et adopte, selon qu</w:t>
      </w:r>
      <w:r w:rsidR="002160B3" w:rsidRPr="007F70EA">
        <w:rPr>
          <w:lang w:val="fr-FR"/>
        </w:rPr>
        <w:t>’</w:t>
      </w:r>
      <w:r w:rsidRPr="007F70EA">
        <w:rPr>
          <w:lang w:val="fr-FR"/>
        </w:rPr>
        <w:t xml:space="preserve">il convient, les amendements à la présente Convention et à ses annexes, conformément aux </w:t>
      </w:r>
      <w:r w:rsidR="002160B3" w:rsidRPr="007F70EA">
        <w:rPr>
          <w:lang w:val="fr-FR"/>
        </w:rPr>
        <w:t>articles 2</w:t>
      </w:r>
      <w:r w:rsidRPr="007F70EA">
        <w:rPr>
          <w:lang w:val="fr-FR"/>
        </w:rPr>
        <w:t>9 et 30;  e)</w:t>
      </w:r>
      <w:r w:rsidR="00CC68C1" w:rsidRPr="007F70EA">
        <w:rPr>
          <w:lang w:val="fr-FR"/>
        </w:rPr>
        <w:t> </w:t>
      </w:r>
      <w:r w:rsidR="00B208AA" w:rsidRPr="007F70EA">
        <w:rPr>
          <w:lang w:val="fr-FR"/>
        </w:rPr>
        <w:t xml:space="preserve">examine </w:t>
      </w:r>
      <w:r w:rsidRPr="007F70EA">
        <w:rPr>
          <w:lang w:val="fr-FR"/>
        </w:rPr>
        <w:t>les amendements à tout protocole, ainsi qu</w:t>
      </w:r>
      <w:r w:rsidR="002160B3" w:rsidRPr="007F70EA">
        <w:rPr>
          <w:lang w:val="fr-FR"/>
        </w:rPr>
        <w:t>’</w:t>
      </w:r>
      <w:r w:rsidRPr="007F70EA">
        <w:rPr>
          <w:lang w:val="fr-FR"/>
        </w:rPr>
        <w:t>à toute annexe audit protocole et, s</w:t>
      </w:r>
      <w:r w:rsidR="002160B3" w:rsidRPr="007F70EA">
        <w:rPr>
          <w:lang w:val="fr-FR"/>
        </w:rPr>
        <w:t>’</w:t>
      </w:r>
      <w:r w:rsidRPr="007F70EA">
        <w:rPr>
          <w:lang w:val="fr-FR"/>
        </w:rPr>
        <w:t>il en est ainsi décidé, recommande leur adoption aux Parties au protocole considéré;  f)</w:t>
      </w:r>
      <w:r w:rsidR="00CC68C1" w:rsidRPr="007F70EA">
        <w:rPr>
          <w:lang w:val="fr-FR"/>
        </w:rPr>
        <w:t> </w:t>
      </w:r>
      <w:r w:rsidR="00B208AA" w:rsidRPr="007F70EA">
        <w:rPr>
          <w:lang w:val="fr-FR"/>
        </w:rPr>
        <w:t xml:space="preserve">examine </w:t>
      </w:r>
      <w:r w:rsidRPr="007F70EA">
        <w:rPr>
          <w:lang w:val="fr-FR"/>
        </w:rPr>
        <w:t>et adopte, en tant que de besoin, et conformément à l</w:t>
      </w:r>
      <w:r w:rsidR="002160B3" w:rsidRPr="007F70EA">
        <w:rPr>
          <w:lang w:val="fr-FR"/>
        </w:rPr>
        <w:t>’article 3</w:t>
      </w:r>
      <w:r w:rsidRPr="007F70EA">
        <w:rPr>
          <w:lang w:val="fr-FR"/>
        </w:rPr>
        <w:t>0, les annexes supplémentaires à la présente Convention;  g)</w:t>
      </w:r>
      <w:r w:rsidR="00CC68C1" w:rsidRPr="007F70EA">
        <w:rPr>
          <w:lang w:val="fr-FR"/>
        </w:rPr>
        <w:t> </w:t>
      </w:r>
      <w:r w:rsidR="00B208AA" w:rsidRPr="007F70EA">
        <w:rPr>
          <w:lang w:val="fr-FR"/>
        </w:rPr>
        <w:t xml:space="preserve">crée </w:t>
      </w:r>
      <w:r w:rsidRPr="007F70EA">
        <w:rPr>
          <w:lang w:val="fr-FR"/>
        </w:rPr>
        <w:t>les organes subsidiaires jugés nécessaires à l</w:t>
      </w:r>
      <w:r w:rsidR="002160B3" w:rsidRPr="007F70EA">
        <w:rPr>
          <w:lang w:val="fr-FR"/>
        </w:rPr>
        <w:t>’</w:t>
      </w:r>
      <w:r w:rsidRPr="007F70EA">
        <w:rPr>
          <w:lang w:val="fr-FR"/>
        </w:rPr>
        <w:t>application de la présente Convention, en particulier pour donner des avis scientifiques et techniques;  h)</w:t>
      </w:r>
      <w:r w:rsidR="00CC68C1" w:rsidRPr="007F70EA">
        <w:rPr>
          <w:lang w:val="fr-FR"/>
        </w:rPr>
        <w:t> </w:t>
      </w:r>
      <w:r w:rsidR="00B208AA" w:rsidRPr="007F70EA">
        <w:rPr>
          <w:lang w:val="fr-FR"/>
        </w:rPr>
        <w:t xml:space="preserve">se </w:t>
      </w:r>
      <w:r w:rsidRPr="007F70EA">
        <w:rPr>
          <w:lang w:val="fr-FR"/>
        </w:rPr>
        <w:t>met en rapport, par l</w:t>
      </w:r>
      <w:r w:rsidR="002160B3" w:rsidRPr="007F70EA">
        <w:rPr>
          <w:lang w:val="fr-FR"/>
        </w:rPr>
        <w:t>’</w:t>
      </w:r>
      <w:r w:rsidRPr="007F70EA">
        <w:rPr>
          <w:lang w:val="fr-FR"/>
        </w:rPr>
        <w:t>intermédiaire du Secrétariat, avec les organes exécutifs des conventions traitant des questions qui font l</w:t>
      </w:r>
      <w:r w:rsidR="002160B3" w:rsidRPr="007F70EA">
        <w:rPr>
          <w:lang w:val="fr-FR"/>
        </w:rPr>
        <w:t>’</w:t>
      </w:r>
      <w:r w:rsidRPr="007F70EA">
        <w:rPr>
          <w:lang w:val="fr-FR"/>
        </w:rPr>
        <w:t>objet de la présente Convention en vue de fixer avec eux les modalités de coopération appropriées;</w:t>
      </w:r>
      <w:r w:rsidR="00B208AA" w:rsidRPr="007F70EA">
        <w:rPr>
          <w:lang w:val="fr-FR"/>
        </w:rPr>
        <w:t xml:space="preserve">  et</w:t>
      </w:r>
      <w:r w:rsidRPr="007F70EA">
        <w:rPr>
          <w:lang w:val="fr-FR"/>
        </w:rPr>
        <w:t xml:space="preserve"> i)</w:t>
      </w:r>
      <w:r w:rsidR="00CC68C1" w:rsidRPr="007F70EA">
        <w:rPr>
          <w:lang w:val="fr-FR"/>
        </w:rPr>
        <w:t> </w:t>
      </w:r>
      <w:r w:rsidR="00B208AA" w:rsidRPr="007F70EA">
        <w:rPr>
          <w:lang w:val="fr-FR"/>
        </w:rPr>
        <w:t xml:space="preserve">examine </w:t>
      </w:r>
      <w:r w:rsidRPr="007F70EA">
        <w:rPr>
          <w:lang w:val="fr-FR"/>
        </w:rPr>
        <w:t xml:space="preserve">et prend toutes autres mesures </w:t>
      </w:r>
      <w:r w:rsidRPr="007F70EA">
        <w:rPr>
          <w:lang w:val="fr-FR"/>
        </w:rPr>
        <w:lastRenderedPageBreak/>
        <w:t>nécessaires à la poursuite des objectifs de la présente Convention en fonction des enseignements tirés de son application.”</w:t>
      </w:r>
    </w:p>
    <w:p w:rsidR="00A27A71" w:rsidRPr="007F70EA" w:rsidRDefault="00A27A71" w:rsidP="00DC13C2">
      <w:pPr>
        <w:rPr>
          <w:lang w:val="fr-FR"/>
        </w:rPr>
      </w:pPr>
    </w:p>
    <w:p w:rsidR="00A27A71" w:rsidRPr="007F70EA" w:rsidRDefault="00DC13C2" w:rsidP="00DC13C2">
      <w:pPr>
        <w:rPr>
          <w:lang w:val="fr-FR"/>
        </w:rPr>
      </w:pPr>
      <w:r w:rsidRPr="007F70EA">
        <w:rPr>
          <w:u w:val="single"/>
          <w:lang w:val="fr-FR"/>
        </w:rPr>
        <w:t>Fréquence</w:t>
      </w:r>
      <w:r w:rsidR="002160B3" w:rsidRPr="007F70EA">
        <w:rPr>
          <w:lang w:val="fr-FR"/>
        </w:rPr>
        <w:t> :</w:t>
      </w:r>
      <w:r w:rsidR="003375EF" w:rsidRPr="007F70EA">
        <w:rPr>
          <w:lang w:val="fr-FR"/>
        </w:rPr>
        <w:t xml:space="preserve"> b</w:t>
      </w:r>
      <w:r w:rsidR="008E22A3" w:rsidRPr="007F70EA">
        <w:rPr>
          <w:lang w:val="fr-FR"/>
        </w:rPr>
        <w:t>isannuelle</w:t>
      </w:r>
    </w:p>
    <w:p w:rsidR="00A27A71" w:rsidRPr="007F70EA" w:rsidRDefault="00A27A71" w:rsidP="00DC13C2">
      <w:pPr>
        <w:rPr>
          <w:lang w:val="fr-FR"/>
        </w:rPr>
      </w:pPr>
    </w:p>
    <w:p w:rsidR="00A27A71" w:rsidRPr="007F70EA" w:rsidRDefault="00DC13C2" w:rsidP="00DC13C2">
      <w:pPr>
        <w:rPr>
          <w:lang w:val="fr-FR"/>
        </w:rPr>
      </w:pPr>
      <w:r w:rsidRPr="007F70EA">
        <w:rPr>
          <w:u w:val="single"/>
          <w:lang w:val="fr-FR"/>
        </w:rPr>
        <w:t>Référence</w:t>
      </w:r>
      <w:r w:rsidR="002160B3" w:rsidRPr="007F70EA">
        <w:rPr>
          <w:lang w:val="fr-FR"/>
        </w:rPr>
        <w:t> :</w:t>
      </w:r>
      <w:r w:rsidRPr="007F70EA">
        <w:rPr>
          <w:lang w:val="fr-FR"/>
        </w:rPr>
        <w:t xml:space="preserve"> https://www.cbd.int/cop/</w:t>
      </w:r>
    </w:p>
    <w:p w:rsidR="00A27A71" w:rsidRPr="007F70EA" w:rsidRDefault="00A27A71" w:rsidP="00DC13C2">
      <w:pPr>
        <w:rPr>
          <w:lang w:val="fr-FR"/>
        </w:rPr>
      </w:pPr>
    </w:p>
    <w:p w:rsidR="00A27A71" w:rsidRPr="007F70EA" w:rsidRDefault="00A27A71" w:rsidP="00DC13C2">
      <w:pPr>
        <w:rPr>
          <w:lang w:val="fr-FR"/>
        </w:rPr>
      </w:pPr>
    </w:p>
    <w:p w:rsidR="00A27A71" w:rsidRPr="007F70EA" w:rsidRDefault="00A60473" w:rsidP="00A60473">
      <w:pPr>
        <w:rPr>
          <w:b/>
          <w:lang w:val="fr-FR"/>
        </w:rPr>
      </w:pPr>
      <w:r w:rsidRPr="007F70EA">
        <w:rPr>
          <w:b/>
          <w:bCs/>
          <w:lang w:val="fr-FR"/>
        </w:rPr>
        <w:t>Conférence des Parties à la Convention de Minamata</w:t>
      </w:r>
    </w:p>
    <w:p w:rsidR="00A27A71" w:rsidRPr="007F70EA" w:rsidRDefault="00A27A71" w:rsidP="00A60473">
      <w:pPr>
        <w:rPr>
          <w:lang w:val="fr-FR"/>
        </w:rPr>
      </w:pPr>
    </w:p>
    <w:p w:rsidR="00A27A71" w:rsidRPr="007F70EA" w:rsidRDefault="00A60473" w:rsidP="00A60473">
      <w:pPr>
        <w:rPr>
          <w:lang w:val="fr-FR"/>
        </w:rPr>
      </w:pPr>
      <w:r w:rsidRPr="007F70EA">
        <w:rPr>
          <w:u w:val="single"/>
          <w:lang w:val="fr-FR"/>
        </w:rPr>
        <w:t>Organisation coordinatrice</w:t>
      </w:r>
      <w:r w:rsidR="002160B3" w:rsidRPr="007F70EA">
        <w:rPr>
          <w:lang w:val="fr-FR"/>
        </w:rPr>
        <w:t> :</w:t>
      </w:r>
      <w:r w:rsidRPr="007F70EA">
        <w:rPr>
          <w:lang w:val="fr-FR"/>
        </w:rPr>
        <w:t xml:space="preserve"> </w:t>
      </w:r>
      <w:r w:rsidR="00B208AA" w:rsidRPr="007F70EA">
        <w:rPr>
          <w:lang w:val="fr-FR"/>
        </w:rPr>
        <w:t xml:space="preserve">Secrétariat </w:t>
      </w:r>
      <w:r w:rsidRPr="007F70EA">
        <w:rPr>
          <w:lang w:val="fr-FR"/>
        </w:rPr>
        <w:t>de la Convention de Minamata</w:t>
      </w:r>
    </w:p>
    <w:p w:rsidR="00A27A71" w:rsidRPr="007F70EA" w:rsidRDefault="00A27A71" w:rsidP="00A60473">
      <w:pPr>
        <w:rPr>
          <w:lang w:val="fr-FR"/>
        </w:rPr>
      </w:pPr>
    </w:p>
    <w:p w:rsidR="00A27A71" w:rsidRPr="007F70EA" w:rsidRDefault="00A60473" w:rsidP="00A60473">
      <w:pPr>
        <w:rPr>
          <w:lang w:val="fr-FR"/>
        </w:rPr>
      </w:pPr>
      <w:r w:rsidRPr="007F70EA">
        <w:rPr>
          <w:u w:val="single"/>
          <w:lang w:val="fr-FR"/>
        </w:rPr>
        <w:t>Thématique</w:t>
      </w:r>
      <w:r w:rsidR="002160B3" w:rsidRPr="007F70EA">
        <w:rPr>
          <w:lang w:val="fr-FR"/>
        </w:rPr>
        <w:t> :</w:t>
      </w:r>
      <w:r w:rsidR="003375EF" w:rsidRPr="007F70EA">
        <w:rPr>
          <w:lang w:val="fr-FR"/>
        </w:rPr>
        <w:t xml:space="preserve"> l</w:t>
      </w:r>
      <w:r w:rsidR="002160B3" w:rsidRPr="007F70EA">
        <w:rPr>
          <w:lang w:val="fr-FR"/>
        </w:rPr>
        <w:t>’</w:t>
      </w:r>
      <w:r w:rsidRPr="007F70EA">
        <w:rPr>
          <w:lang w:val="fr-FR"/>
        </w:rPr>
        <w:t>environnement (mercure)</w:t>
      </w:r>
    </w:p>
    <w:p w:rsidR="00A27A71" w:rsidRPr="007F70EA" w:rsidRDefault="00A27A71" w:rsidP="00A60473">
      <w:pPr>
        <w:rPr>
          <w:lang w:val="fr-FR"/>
        </w:rPr>
      </w:pPr>
    </w:p>
    <w:p w:rsidR="00A27A71" w:rsidRPr="007F70EA" w:rsidRDefault="00A60473" w:rsidP="00A60473">
      <w:pPr>
        <w:rPr>
          <w:lang w:val="fr-FR"/>
        </w:rPr>
      </w:pPr>
      <w:r w:rsidRPr="007F70EA">
        <w:rPr>
          <w:u w:val="single"/>
          <w:lang w:val="fr-FR"/>
        </w:rPr>
        <w:t>Participants</w:t>
      </w:r>
      <w:r w:rsidR="002160B3" w:rsidRPr="007F70EA">
        <w:rPr>
          <w:lang w:val="fr-FR"/>
        </w:rPr>
        <w:t> :</w:t>
      </w:r>
      <w:r w:rsidRPr="007F70EA">
        <w:rPr>
          <w:lang w:val="fr-FR"/>
        </w:rPr>
        <w:t xml:space="preserve"> États;  organisations intergouvernementales</w:t>
      </w:r>
    </w:p>
    <w:p w:rsidR="00A27A71" w:rsidRPr="007F70EA" w:rsidRDefault="00A27A71" w:rsidP="00A60473">
      <w:pPr>
        <w:rPr>
          <w:lang w:val="fr-FR"/>
        </w:rPr>
      </w:pPr>
    </w:p>
    <w:p w:rsidR="00A27A71" w:rsidRPr="007F70EA" w:rsidRDefault="00A60473" w:rsidP="00A60473">
      <w:pPr>
        <w:rPr>
          <w:lang w:val="fr-FR"/>
        </w:rPr>
      </w:pPr>
      <w:r w:rsidRPr="007F70EA">
        <w:rPr>
          <w:u w:val="single"/>
          <w:lang w:val="fr-FR"/>
        </w:rPr>
        <w:t>Lien avec le transfert de technologie</w:t>
      </w:r>
      <w:r w:rsidR="002160B3" w:rsidRPr="007F70EA">
        <w:rPr>
          <w:lang w:val="fr-FR"/>
        </w:rPr>
        <w:t> :</w:t>
      </w:r>
      <w:r w:rsidRPr="007F70EA">
        <w:rPr>
          <w:lang w:val="fr-FR"/>
        </w:rPr>
        <w:t xml:space="preserve"> Convention de Minamata, </w:t>
      </w:r>
      <w:r w:rsidR="002160B3" w:rsidRPr="007F70EA">
        <w:rPr>
          <w:lang w:val="fr-FR"/>
        </w:rPr>
        <w:t>article 1</w:t>
      </w:r>
      <w:r w:rsidRPr="007F70EA">
        <w:rPr>
          <w:lang w:val="fr-FR"/>
        </w:rPr>
        <w:t>3.3</w:t>
      </w:r>
      <w:r w:rsidR="002160B3" w:rsidRPr="007F70EA">
        <w:rPr>
          <w:lang w:val="fr-FR"/>
        </w:rPr>
        <w:t> :</w:t>
      </w:r>
      <w:r w:rsidRPr="007F70EA">
        <w:rPr>
          <w:lang w:val="fr-FR"/>
        </w:rPr>
        <w:t xml:space="preserve"> </w:t>
      </w:r>
      <w:r w:rsidR="002160B3" w:rsidRPr="007F70EA">
        <w:rPr>
          <w:lang w:val="fr-FR"/>
        </w:rPr>
        <w:t>“</w:t>
      </w:r>
      <w:r w:rsidRPr="007F70EA">
        <w:rPr>
          <w:lang w:val="fr-FR"/>
        </w:rPr>
        <w:t>Les sources multilatérales, régionales et bilatérales d</w:t>
      </w:r>
      <w:r w:rsidR="002160B3" w:rsidRPr="007F70EA">
        <w:rPr>
          <w:lang w:val="fr-FR"/>
        </w:rPr>
        <w:t>’</w:t>
      </w:r>
      <w:r w:rsidRPr="007F70EA">
        <w:rPr>
          <w:lang w:val="fr-FR"/>
        </w:rPr>
        <w:t>assistance dans les domaines financier et technique et dans ceux du renforcement des capacités et du transfert de technologies sont encouragées de façon urgente à renforcer et intensifier leurs activités se rapportant au mercure visant à appuyer les Parties qui sont des</w:t>
      </w:r>
      <w:r w:rsidR="002B3126" w:rsidRPr="007F70EA">
        <w:rPr>
          <w:lang w:val="fr-FR"/>
        </w:rPr>
        <w:t xml:space="preserve"> pays en développement dans la </w:t>
      </w:r>
      <w:r w:rsidRPr="007F70EA">
        <w:rPr>
          <w:lang w:val="fr-FR"/>
        </w:rPr>
        <w:t>mise en œuvre de la présente Convention pour ce qui est des ressources financières, de l</w:t>
      </w:r>
      <w:r w:rsidR="002160B3" w:rsidRPr="007F70EA">
        <w:rPr>
          <w:lang w:val="fr-FR"/>
        </w:rPr>
        <w:t>’</w:t>
      </w:r>
      <w:r w:rsidRPr="007F70EA">
        <w:rPr>
          <w:lang w:val="fr-FR"/>
        </w:rPr>
        <w:t>assistance technique et du transfert de technologies</w:t>
      </w:r>
      <w:r w:rsidR="002160B3" w:rsidRPr="007F70EA">
        <w:rPr>
          <w:lang w:val="fr-FR"/>
        </w:rPr>
        <w:t>”</w:t>
      </w:r>
      <w:r w:rsidRPr="007F70EA">
        <w:rPr>
          <w:lang w:val="fr-FR"/>
        </w:rPr>
        <w:t>.</w:t>
      </w:r>
    </w:p>
    <w:p w:rsidR="00A27A71" w:rsidRPr="007F70EA" w:rsidRDefault="00A27A71" w:rsidP="00A60473">
      <w:pPr>
        <w:rPr>
          <w:lang w:val="fr-FR"/>
        </w:rPr>
      </w:pPr>
    </w:p>
    <w:p w:rsidR="00A27A71" w:rsidRPr="007F70EA" w:rsidRDefault="00A60473" w:rsidP="00A60473">
      <w:pPr>
        <w:rPr>
          <w:lang w:val="fr-FR"/>
        </w:rPr>
      </w:pPr>
      <w:r w:rsidRPr="007F70EA">
        <w:rPr>
          <w:u w:val="single"/>
          <w:lang w:val="fr-FR"/>
        </w:rPr>
        <w:t>Description</w:t>
      </w:r>
      <w:r w:rsidR="002160B3" w:rsidRPr="007F70EA">
        <w:rPr>
          <w:lang w:val="fr-FR"/>
        </w:rPr>
        <w:t> :</w:t>
      </w:r>
      <w:r w:rsidRPr="007F70EA">
        <w:rPr>
          <w:lang w:val="fr-FR"/>
        </w:rPr>
        <w:t xml:space="preserve"> </w:t>
      </w:r>
      <w:r w:rsidR="002160B3" w:rsidRPr="007F70EA">
        <w:rPr>
          <w:lang w:val="fr-FR"/>
        </w:rPr>
        <w:t>“</w:t>
      </w:r>
      <w:r w:rsidRPr="007F70EA">
        <w:rPr>
          <w:lang w:val="fr-FR"/>
        </w:rPr>
        <w:t>La Convention de Minamata sur le mercure est un accord multilatéral concernant la protection de l</w:t>
      </w:r>
      <w:r w:rsidR="002160B3" w:rsidRPr="007F70EA">
        <w:rPr>
          <w:lang w:val="fr-FR"/>
        </w:rPr>
        <w:t>’</w:t>
      </w:r>
      <w:r w:rsidRPr="007F70EA">
        <w:rPr>
          <w:lang w:val="fr-FR"/>
        </w:rPr>
        <w:t>environnement qui examine la question des activités humaines spécifiques qui contribuent à une pollution généralisée par le mercure</w:t>
      </w:r>
      <w:r w:rsidR="002160B3" w:rsidRPr="007F70EA">
        <w:rPr>
          <w:lang w:val="fr-FR"/>
        </w:rPr>
        <w:t>”</w:t>
      </w:r>
      <w:r w:rsidRPr="007F70EA">
        <w:rPr>
          <w:lang w:val="fr-FR"/>
        </w:rPr>
        <w:t>.</w:t>
      </w:r>
    </w:p>
    <w:p w:rsidR="00A27A71" w:rsidRPr="007F70EA" w:rsidRDefault="00A27A71" w:rsidP="00A60473">
      <w:pPr>
        <w:rPr>
          <w:lang w:val="fr-FR"/>
        </w:rPr>
      </w:pPr>
    </w:p>
    <w:p w:rsidR="00A27A71" w:rsidRPr="007F70EA" w:rsidRDefault="00A60473" w:rsidP="00A60473">
      <w:pPr>
        <w:rPr>
          <w:lang w:val="fr-FR"/>
        </w:rPr>
      </w:pPr>
      <w:r w:rsidRPr="007F70EA">
        <w:rPr>
          <w:u w:val="single"/>
          <w:lang w:val="fr-FR"/>
        </w:rPr>
        <w:t>Fréquence</w:t>
      </w:r>
      <w:r w:rsidR="002160B3" w:rsidRPr="007F70EA">
        <w:rPr>
          <w:lang w:val="fr-FR"/>
        </w:rPr>
        <w:t> :</w:t>
      </w:r>
      <w:r w:rsidR="003375EF" w:rsidRPr="007F70EA">
        <w:rPr>
          <w:lang w:val="fr-FR"/>
        </w:rPr>
        <w:t xml:space="preserve"> r</w:t>
      </w:r>
      <w:r w:rsidRPr="007F70EA">
        <w:rPr>
          <w:lang w:val="fr-FR"/>
        </w:rPr>
        <w:t>égulière</w:t>
      </w:r>
    </w:p>
    <w:p w:rsidR="00A27A71" w:rsidRPr="007F70EA" w:rsidRDefault="00A27A71" w:rsidP="00A60473">
      <w:pPr>
        <w:rPr>
          <w:lang w:val="fr-FR"/>
        </w:rPr>
      </w:pPr>
    </w:p>
    <w:p w:rsidR="00A27A71" w:rsidRPr="007F70EA" w:rsidRDefault="00A60473" w:rsidP="00A60473">
      <w:pPr>
        <w:rPr>
          <w:lang w:val="fr-FR"/>
        </w:rPr>
      </w:pPr>
      <w:r w:rsidRPr="007F70EA">
        <w:rPr>
          <w:u w:val="single"/>
          <w:lang w:val="fr-FR"/>
        </w:rPr>
        <w:t>Référence</w:t>
      </w:r>
      <w:r w:rsidR="002160B3" w:rsidRPr="007F70EA">
        <w:rPr>
          <w:lang w:val="fr-FR"/>
        </w:rPr>
        <w:t> :</w:t>
      </w:r>
      <w:r w:rsidRPr="007F70EA">
        <w:rPr>
          <w:lang w:val="fr-FR"/>
        </w:rPr>
        <w:t xml:space="preserve"> http://www.mercuryconvention.org</w:t>
      </w:r>
    </w:p>
    <w:p w:rsidR="00A27A71" w:rsidRPr="007F70EA" w:rsidRDefault="00A27A71" w:rsidP="00A60473">
      <w:pPr>
        <w:rPr>
          <w:lang w:val="fr-FR"/>
        </w:rPr>
      </w:pPr>
    </w:p>
    <w:p w:rsidR="00A27A71" w:rsidRPr="007F70EA" w:rsidRDefault="00A27A71" w:rsidP="00A60473">
      <w:pPr>
        <w:rPr>
          <w:lang w:val="fr-FR"/>
        </w:rPr>
      </w:pPr>
    </w:p>
    <w:p w:rsidR="00A27A71" w:rsidRPr="007F70EA" w:rsidRDefault="00DC13C2" w:rsidP="00DC13C2">
      <w:pPr>
        <w:rPr>
          <w:b/>
          <w:lang w:val="fr-FR"/>
        </w:rPr>
      </w:pPr>
      <w:r w:rsidRPr="007F70EA">
        <w:rPr>
          <w:b/>
          <w:bCs/>
          <w:lang w:val="fr-FR"/>
        </w:rPr>
        <w:t>Conférence des Parties à la Convention</w:t>
      </w:r>
      <w:r w:rsidR="007F70EA">
        <w:rPr>
          <w:b/>
          <w:bCs/>
          <w:lang w:val="fr-FR"/>
        </w:rPr>
        <w:noBreakHyphen/>
      </w:r>
      <w:r w:rsidRPr="007F70EA">
        <w:rPr>
          <w:b/>
          <w:bCs/>
          <w:lang w:val="fr-FR"/>
        </w:rPr>
        <w:t xml:space="preserve">cadre des </w:t>
      </w:r>
      <w:r w:rsidR="002160B3" w:rsidRPr="007F70EA">
        <w:rPr>
          <w:b/>
          <w:bCs/>
          <w:lang w:val="fr-FR"/>
        </w:rPr>
        <w:t>Nations Unies</w:t>
      </w:r>
      <w:r w:rsidRPr="007F70EA">
        <w:rPr>
          <w:b/>
          <w:bCs/>
          <w:lang w:val="fr-FR"/>
        </w:rPr>
        <w:t xml:space="preserve"> sur les changements climatiques (CCNUCC)</w:t>
      </w:r>
    </w:p>
    <w:p w:rsidR="00A27A71" w:rsidRPr="007F70EA" w:rsidRDefault="00A27A71" w:rsidP="00DC13C2">
      <w:pPr>
        <w:rPr>
          <w:lang w:val="fr-FR"/>
        </w:rPr>
      </w:pPr>
    </w:p>
    <w:p w:rsidR="00A27A71" w:rsidRPr="007F70EA" w:rsidRDefault="00DC13C2" w:rsidP="00DC13C2">
      <w:pPr>
        <w:rPr>
          <w:lang w:val="fr-FR"/>
        </w:rPr>
      </w:pPr>
      <w:r w:rsidRPr="007F70EA">
        <w:rPr>
          <w:u w:val="single"/>
          <w:lang w:val="fr-FR"/>
        </w:rPr>
        <w:t>Organisation coordinatrice</w:t>
      </w:r>
      <w:r w:rsidR="002160B3" w:rsidRPr="007F70EA">
        <w:rPr>
          <w:lang w:val="fr-FR"/>
        </w:rPr>
        <w:t> :</w:t>
      </w:r>
      <w:r w:rsidRPr="007F70EA">
        <w:rPr>
          <w:lang w:val="fr-FR"/>
        </w:rPr>
        <w:t xml:space="preserve"> Secrétariat de la Convention</w:t>
      </w:r>
      <w:r w:rsidR="007F70EA">
        <w:rPr>
          <w:lang w:val="fr-FR"/>
        </w:rPr>
        <w:noBreakHyphen/>
      </w:r>
      <w:r w:rsidRPr="007F70EA">
        <w:rPr>
          <w:lang w:val="fr-FR"/>
        </w:rPr>
        <w:t xml:space="preserve">cadre des </w:t>
      </w:r>
      <w:r w:rsidR="002160B3" w:rsidRPr="007F70EA">
        <w:rPr>
          <w:lang w:val="fr-FR"/>
        </w:rPr>
        <w:t>Nations Unies</w:t>
      </w:r>
      <w:r w:rsidRPr="007F70EA">
        <w:rPr>
          <w:lang w:val="fr-FR"/>
        </w:rPr>
        <w:t xml:space="preserve"> sur les changements climatiques (CCNUCC)</w:t>
      </w:r>
    </w:p>
    <w:p w:rsidR="00A27A71" w:rsidRPr="007F70EA" w:rsidRDefault="00A27A71" w:rsidP="00DC13C2">
      <w:pPr>
        <w:rPr>
          <w:lang w:val="fr-FR"/>
        </w:rPr>
      </w:pPr>
    </w:p>
    <w:p w:rsidR="00A27A71" w:rsidRPr="007F70EA" w:rsidRDefault="00DC13C2" w:rsidP="00DC13C2">
      <w:pPr>
        <w:rPr>
          <w:lang w:val="fr-FR"/>
        </w:rPr>
      </w:pPr>
      <w:r w:rsidRPr="007F70EA">
        <w:rPr>
          <w:u w:val="single"/>
          <w:lang w:val="fr-FR"/>
        </w:rPr>
        <w:t>Thématique</w:t>
      </w:r>
      <w:r w:rsidR="002160B3" w:rsidRPr="007F70EA">
        <w:rPr>
          <w:lang w:val="fr-FR"/>
        </w:rPr>
        <w:t> :</w:t>
      </w:r>
      <w:r w:rsidR="003375EF" w:rsidRPr="007F70EA">
        <w:rPr>
          <w:lang w:val="fr-FR"/>
        </w:rPr>
        <w:t xml:space="preserve"> l</w:t>
      </w:r>
      <w:r w:rsidR="002160B3" w:rsidRPr="007F70EA">
        <w:rPr>
          <w:lang w:val="fr-FR"/>
        </w:rPr>
        <w:t>’</w:t>
      </w:r>
      <w:r w:rsidRPr="007F70EA">
        <w:rPr>
          <w:lang w:val="fr-FR"/>
        </w:rPr>
        <w:t>environnement (changements climatiques)</w:t>
      </w:r>
    </w:p>
    <w:p w:rsidR="00A27A71" w:rsidRPr="007F70EA" w:rsidRDefault="00A27A71" w:rsidP="00DC13C2">
      <w:pPr>
        <w:rPr>
          <w:lang w:val="fr-FR"/>
        </w:rPr>
      </w:pPr>
    </w:p>
    <w:p w:rsidR="00A27A71" w:rsidRPr="007F70EA" w:rsidRDefault="00DC13C2" w:rsidP="00DC13C2">
      <w:pPr>
        <w:rPr>
          <w:lang w:val="fr-FR"/>
        </w:rPr>
      </w:pPr>
      <w:r w:rsidRPr="007F70EA">
        <w:rPr>
          <w:u w:val="single"/>
          <w:lang w:val="fr-FR"/>
        </w:rPr>
        <w:t>Participants</w:t>
      </w:r>
      <w:r w:rsidR="002160B3" w:rsidRPr="007F70EA">
        <w:rPr>
          <w:lang w:val="fr-FR"/>
        </w:rPr>
        <w:t> :</w:t>
      </w:r>
      <w:r w:rsidRPr="007F70EA">
        <w:rPr>
          <w:lang w:val="fr-FR"/>
        </w:rPr>
        <w:t xml:space="preserve"> États; </w:t>
      </w:r>
      <w:r w:rsidR="00CC68C1" w:rsidRPr="007F70EA">
        <w:rPr>
          <w:lang w:val="fr-FR"/>
        </w:rPr>
        <w:t xml:space="preserve"> </w:t>
      </w:r>
      <w:r w:rsidRPr="007F70EA">
        <w:rPr>
          <w:lang w:val="fr-FR"/>
        </w:rPr>
        <w:t xml:space="preserve">organisations intergouvernementales; </w:t>
      </w:r>
      <w:r w:rsidR="00CC68C1" w:rsidRPr="007F70EA">
        <w:rPr>
          <w:lang w:val="fr-FR"/>
        </w:rPr>
        <w:t xml:space="preserve"> </w:t>
      </w:r>
      <w:r w:rsidRPr="007F70EA">
        <w:rPr>
          <w:lang w:val="fr-FR"/>
        </w:rPr>
        <w:t>organisations non</w:t>
      </w:r>
      <w:r w:rsidR="0060021D" w:rsidRPr="007F70EA">
        <w:rPr>
          <w:lang w:val="fr-FR"/>
        </w:rPr>
        <w:t xml:space="preserve"> </w:t>
      </w:r>
      <w:r w:rsidRPr="007F70EA">
        <w:rPr>
          <w:lang w:val="fr-FR"/>
        </w:rPr>
        <w:t>gouvernementales</w:t>
      </w:r>
    </w:p>
    <w:p w:rsidR="00A27A71" w:rsidRPr="007F70EA" w:rsidRDefault="00A27A71" w:rsidP="00DC13C2">
      <w:pPr>
        <w:rPr>
          <w:lang w:val="fr-FR"/>
        </w:rPr>
      </w:pPr>
    </w:p>
    <w:p w:rsidR="00A27A71" w:rsidRPr="007F70EA" w:rsidRDefault="00DC13C2" w:rsidP="00DC13C2">
      <w:pPr>
        <w:rPr>
          <w:lang w:val="fr-FR"/>
        </w:rPr>
      </w:pPr>
      <w:r w:rsidRPr="007F70EA">
        <w:rPr>
          <w:u w:val="single"/>
          <w:lang w:val="fr-FR"/>
        </w:rPr>
        <w:t>Lien avec le transfert de technologie</w:t>
      </w:r>
      <w:r w:rsidR="002160B3" w:rsidRPr="007F70EA">
        <w:rPr>
          <w:lang w:val="fr-FR"/>
        </w:rPr>
        <w:t> :</w:t>
      </w:r>
      <w:r w:rsidRPr="007F70EA">
        <w:rPr>
          <w:lang w:val="fr-FR"/>
        </w:rPr>
        <w:t xml:space="preserve"> Convention</w:t>
      </w:r>
      <w:r w:rsidR="007F70EA">
        <w:rPr>
          <w:lang w:val="fr-FR"/>
        </w:rPr>
        <w:noBreakHyphen/>
      </w:r>
      <w:r w:rsidRPr="007F70EA">
        <w:rPr>
          <w:lang w:val="fr-FR"/>
        </w:rPr>
        <w:t xml:space="preserve">cadre des </w:t>
      </w:r>
      <w:r w:rsidR="002160B3" w:rsidRPr="007F70EA">
        <w:rPr>
          <w:lang w:val="fr-FR"/>
        </w:rPr>
        <w:t>Nations Unies</w:t>
      </w:r>
      <w:r w:rsidRPr="007F70EA">
        <w:rPr>
          <w:lang w:val="fr-FR"/>
        </w:rPr>
        <w:t xml:space="preserve"> sur les changements climatiques, article 4</w:t>
      </w:r>
      <w:r w:rsidR="002160B3" w:rsidRPr="007F70EA">
        <w:rPr>
          <w:lang w:val="fr-FR"/>
        </w:rPr>
        <w:t> :</w:t>
      </w:r>
      <w:r w:rsidRPr="007F70EA">
        <w:rPr>
          <w:lang w:val="fr-FR"/>
        </w:rPr>
        <w:t xml:space="preserve"> </w:t>
      </w:r>
      <w:r w:rsidR="002160B3" w:rsidRPr="007F70EA">
        <w:rPr>
          <w:lang w:val="fr-FR"/>
        </w:rPr>
        <w:t>“</w:t>
      </w:r>
      <w:r w:rsidRPr="007F70EA">
        <w:rPr>
          <w:lang w:val="fr-FR"/>
        </w:rPr>
        <w:t>Toutes les Parties, tenant compte de leurs responsabilités communes mais différenciées et de la spécificité de leurs priorités nationales et régionales de développement, de leurs objectifs et de leur situation</w:t>
      </w:r>
      <w:r w:rsidR="002160B3" w:rsidRPr="007F70EA">
        <w:rPr>
          <w:lang w:val="fr-FR"/>
        </w:rPr>
        <w:t> :</w:t>
      </w:r>
      <w:r w:rsidRPr="007F70EA">
        <w:rPr>
          <w:lang w:val="fr-FR"/>
        </w:rPr>
        <w:t xml:space="preserve"> [</w:t>
      </w:r>
      <w:r w:rsidR="00CC68C1" w:rsidRPr="007F70EA">
        <w:rPr>
          <w:lang w:val="fr-FR"/>
        </w:rPr>
        <w:t>…</w:t>
      </w:r>
      <w:r w:rsidRPr="007F70EA">
        <w:rPr>
          <w:lang w:val="fr-FR"/>
        </w:rPr>
        <w:t>]Encouragent et soutiennent par leur coopération la mise au point, l</w:t>
      </w:r>
      <w:r w:rsidR="002160B3" w:rsidRPr="007F70EA">
        <w:rPr>
          <w:lang w:val="fr-FR"/>
        </w:rPr>
        <w:t>’</w:t>
      </w:r>
      <w:r w:rsidRPr="007F70EA">
        <w:rPr>
          <w:lang w:val="fr-FR"/>
        </w:rPr>
        <w:t>application et la diffusion − notamment par voie de transfert − de technolog</w:t>
      </w:r>
      <w:r w:rsidR="002B3126" w:rsidRPr="007F70EA">
        <w:rPr>
          <w:lang w:val="fr-FR"/>
        </w:rPr>
        <w:t xml:space="preserve">ies, pratiques et procédés qui </w:t>
      </w:r>
      <w:r w:rsidRPr="007F70EA">
        <w:rPr>
          <w:lang w:val="fr-FR"/>
        </w:rPr>
        <w:t>permettent de maîtriser, de réduire ou de prévenir les émissions anthropiques des gaz à effet de serre non réglementés par le Protocole de Montréal dans tous les secteurs pertinents, en particulier compris ceux de l</w:t>
      </w:r>
      <w:r w:rsidR="002160B3" w:rsidRPr="007F70EA">
        <w:rPr>
          <w:lang w:val="fr-FR"/>
        </w:rPr>
        <w:t>’</w:t>
      </w:r>
      <w:r w:rsidRPr="007F70EA">
        <w:rPr>
          <w:lang w:val="fr-FR"/>
        </w:rPr>
        <w:t>énergie, des transports, de l</w:t>
      </w:r>
      <w:r w:rsidR="002160B3" w:rsidRPr="007F70EA">
        <w:rPr>
          <w:lang w:val="fr-FR"/>
        </w:rPr>
        <w:t>’</w:t>
      </w:r>
      <w:r w:rsidRPr="007F70EA">
        <w:rPr>
          <w:lang w:val="fr-FR"/>
        </w:rPr>
        <w:t>industrie, de l</w:t>
      </w:r>
      <w:r w:rsidR="002160B3" w:rsidRPr="007F70EA">
        <w:rPr>
          <w:lang w:val="fr-FR"/>
        </w:rPr>
        <w:t>’</w:t>
      </w:r>
      <w:r w:rsidRPr="007F70EA">
        <w:rPr>
          <w:lang w:val="fr-FR"/>
        </w:rPr>
        <w:t>agriculture, des forêts et de la gestion des déchets.</w:t>
      </w:r>
      <w:r w:rsidR="002160B3" w:rsidRPr="007F70EA">
        <w:rPr>
          <w:lang w:val="fr-FR"/>
        </w:rPr>
        <w:t>”</w:t>
      </w:r>
    </w:p>
    <w:p w:rsidR="00A27A71" w:rsidRPr="007F70EA" w:rsidRDefault="00A27A71" w:rsidP="00DC13C2">
      <w:pPr>
        <w:rPr>
          <w:lang w:val="fr-FR"/>
        </w:rPr>
      </w:pPr>
    </w:p>
    <w:p w:rsidR="00A27A71" w:rsidRPr="007F70EA" w:rsidRDefault="00DC13C2" w:rsidP="00DC13C2">
      <w:pPr>
        <w:rPr>
          <w:lang w:val="fr-FR"/>
        </w:rPr>
      </w:pPr>
      <w:r w:rsidRPr="007F70EA">
        <w:rPr>
          <w:u w:val="single"/>
          <w:lang w:val="fr-FR"/>
        </w:rPr>
        <w:lastRenderedPageBreak/>
        <w:t>Description</w:t>
      </w:r>
      <w:r w:rsidR="002160B3" w:rsidRPr="007F70EA">
        <w:rPr>
          <w:lang w:val="fr-FR"/>
        </w:rPr>
        <w:t> :</w:t>
      </w:r>
      <w:r w:rsidRPr="007F70EA">
        <w:rPr>
          <w:lang w:val="fr-FR"/>
        </w:rPr>
        <w:t xml:space="preserve"> </w:t>
      </w:r>
      <w:r w:rsidR="002160B3" w:rsidRPr="007F70EA">
        <w:rPr>
          <w:lang w:val="fr-FR"/>
        </w:rPr>
        <w:t>“</w:t>
      </w:r>
      <w:r w:rsidRPr="007F70EA">
        <w:rPr>
          <w:lang w:val="fr-FR"/>
        </w:rPr>
        <w:t>La Conférence des Parties (COP) est l</w:t>
      </w:r>
      <w:r w:rsidR="002160B3" w:rsidRPr="007F70EA">
        <w:rPr>
          <w:lang w:val="fr-FR"/>
        </w:rPr>
        <w:t>’</w:t>
      </w:r>
      <w:r w:rsidRPr="007F70EA">
        <w:rPr>
          <w:lang w:val="fr-FR"/>
        </w:rPr>
        <w:t>organe de décision suprême de la Conventi</w:t>
      </w:r>
      <w:r w:rsidR="00B208AA" w:rsidRPr="007F70EA">
        <w:rPr>
          <w:lang w:val="fr-FR"/>
        </w:rPr>
        <w:t>on.  To</w:t>
      </w:r>
      <w:r w:rsidRPr="007F70EA">
        <w:rPr>
          <w:lang w:val="fr-FR"/>
        </w:rPr>
        <w:t>us les États qui sont Parties à la Convention sont représentés à</w:t>
      </w:r>
      <w:r w:rsidR="002160B3" w:rsidRPr="007F70EA">
        <w:rPr>
          <w:lang w:val="fr-FR"/>
        </w:rPr>
        <w:t xml:space="preserve"> la COP</w:t>
      </w:r>
      <w:r w:rsidRPr="007F70EA">
        <w:rPr>
          <w:lang w:val="fr-FR"/>
        </w:rPr>
        <w:t>, au cours de laquelle ils examinent la mise en œuvre de la Convention et tout autre instrument juridique que la Conférence adopte, et prennent les décisions nécessaires pour promouvoir l</w:t>
      </w:r>
      <w:r w:rsidR="002160B3" w:rsidRPr="007F70EA">
        <w:rPr>
          <w:lang w:val="fr-FR"/>
        </w:rPr>
        <w:t>’</w:t>
      </w:r>
      <w:r w:rsidRPr="007F70EA">
        <w:rPr>
          <w:lang w:val="fr-FR"/>
        </w:rPr>
        <w:t xml:space="preserve">exécution effective de la Convention, </w:t>
      </w:r>
      <w:r w:rsidR="002160B3" w:rsidRPr="007F70EA">
        <w:rPr>
          <w:lang w:val="fr-FR"/>
        </w:rPr>
        <w:t>y compris</w:t>
      </w:r>
      <w:r w:rsidRPr="007F70EA">
        <w:rPr>
          <w:lang w:val="fr-FR"/>
        </w:rPr>
        <w:t xml:space="preserve"> des dispositions institutionnelles et administratives</w:t>
      </w:r>
      <w:r w:rsidR="002160B3" w:rsidRPr="007F70EA">
        <w:rPr>
          <w:lang w:val="fr-FR"/>
        </w:rPr>
        <w:t>”</w:t>
      </w:r>
      <w:r w:rsidRPr="007F70EA">
        <w:rPr>
          <w:lang w:val="fr-FR"/>
        </w:rPr>
        <w:t>.</w:t>
      </w:r>
    </w:p>
    <w:p w:rsidR="00A27A71" w:rsidRPr="007F70EA" w:rsidRDefault="00A27A71" w:rsidP="00DC13C2">
      <w:pPr>
        <w:rPr>
          <w:lang w:val="fr-FR"/>
        </w:rPr>
      </w:pPr>
    </w:p>
    <w:p w:rsidR="00A27A71" w:rsidRPr="007F70EA" w:rsidRDefault="00DC13C2" w:rsidP="00DC13C2">
      <w:pPr>
        <w:rPr>
          <w:lang w:val="fr-FR"/>
        </w:rPr>
      </w:pPr>
      <w:r w:rsidRPr="007F70EA">
        <w:rPr>
          <w:u w:val="single"/>
          <w:lang w:val="fr-FR"/>
        </w:rPr>
        <w:t>Fréquence</w:t>
      </w:r>
      <w:r w:rsidR="002160B3" w:rsidRPr="007F70EA">
        <w:rPr>
          <w:lang w:val="fr-FR"/>
        </w:rPr>
        <w:t> :</w:t>
      </w:r>
      <w:r w:rsidR="003375EF" w:rsidRPr="007F70EA">
        <w:rPr>
          <w:lang w:val="fr-FR"/>
        </w:rPr>
        <w:t xml:space="preserve"> a</w:t>
      </w:r>
      <w:r w:rsidRPr="007F70EA">
        <w:rPr>
          <w:lang w:val="fr-FR"/>
        </w:rPr>
        <w:t>nnuelle</w:t>
      </w:r>
    </w:p>
    <w:p w:rsidR="00A27A71" w:rsidRPr="007F70EA" w:rsidRDefault="00A27A71" w:rsidP="00DC13C2">
      <w:pPr>
        <w:rPr>
          <w:lang w:val="fr-FR"/>
        </w:rPr>
      </w:pPr>
    </w:p>
    <w:p w:rsidR="00A27A71" w:rsidRPr="007F70EA" w:rsidRDefault="00DC13C2" w:rsidP="00DC13C2">
      <w:pPr>
        <w:rPr>
          <w:lang w:val="fr-FR"/>
        </w:rPr>
      </w:pPr>
      <w:r w:rsidRPr="007F70EA">
        <w:rPr>
          <w:u w:val="single"/>
          <w:lang w:val="fr-FR"/>
        </w:rPr>
        <w:t>Référence</w:t>
      </w:r>
      <w:r w:rsidR="002160B3" w:rsidRPr="007F70EA">
        <w:rPr>
          <w:lang w:val="fr-FR"/>
        </w:rPr>
        <w:t> :</w:t>
      </w:r>
      <w:r w:rsidRPr="007F70EA">
        <w:rPr>
          <w:lang w:val="fr-FR"/>
        </w:rPr>
        <w:t xml:space="preserve"> http://unfccc.int/bodies/body/6383.php</w:t>
      </w:r>
    </w:p>
    <w:p w:rsidR="00A27A71" w:rsidRPr="007F70EA" w:rsidRDefault="00A27A71" w:rsidP="00DC13C2">
      <w:pPr>
        <w:rPr>
          <w:lang w:val="fr-FR"/>
        </w:rPr>
      </w:pPr>
    </w:p>
    <w:p w:rsidR="00A27A71" w:rsidRPr="007F70EA" w:rsidRDefault="00A27A71" w:rsidP="00DC13C2">
      <w:pPr>
        <w:rPr>
          <w:lang w:val="fr-FR"/>
        </w:rPr>
      </w:pPr>
    </w:p>
    <w:p w:rsidR="00A27A71" w:rsidRPr="007F70EA" w:rsidRDefault="004D2426" w:rsidP="00DC13C2">
      <w:pPr>
        <w:rPr>
          <w:b/>
          <w:lang w:val="fr-FR"/>
        </w:rPr>
      </w:pPr>
      <w:r w:rsidRPr="007F70EA">
        <w:rPr>
          <w:b/>
          <w:bCs/>
          <w:lang w:val="fr-FR"/>
        </w:rPr>
        <w:t>Conseil d</w:t>
      </w:r>
      <w:r w:rsidR="002160B3" w:rsidRPr="007F70EA">
        <w:rPr>
          <w:b/>
          <w:bCs/>
          <w:lang w:val="fr-FR"/>
        </w:rPr>
        <w:t>’</w:t>
      </w:r>
      <w:r w:rsidRPr="007F70EA">
        <w:rPr>
          <w:b/>
          <w:bCs/>
          <w:lang w:val="fr-FR"/>
        </w:rPr>
        <w:t>administration de la Banque de technologies pour les pays les moins avancés</w:t>
      </w:r>
    </w:p>
    <w:p w:rsidR="00A27A71" w:rsidRPr="007F70EA" w:rsidRDefault="00A27A71" w:rsidP="00DC13C2">
      <w:pPr>
        <w:rPr>
          <w:lang w:val="fr-FR"/>
        </w:rPr>
      </w:pPr>
    </w:p>
    <w:p w:rsidR="00A27A71" w:rsidRPr="007F70EA" w:rsidRDefault="004D2426" w:rsidP="004D2426">
      <w:pPr>
        <w:tabs>
          <w:tab w:val="left" w:pos="3195"/>
        </w:tabs>
        <w:rPr>
          <w:lang w:val="fr-FR"/>
        </w:rPr>
      </w:pPr>
      <w:r w:rsidRPr="007F70EA">
        <w:rPr>
          <w:u w:val="single"/>
          <w:lang w:val="fr-FR"/>
        </w:rPr>
        <w:t>Organisations coordinatrices</w:t>
      </w:r>
      <w:r w:rsidR="002160B3" w:rsidRPr="007F70EA">
        <w:rPr>
          <w:lang w:val="fr-FR"/>
        </w:rPr>
        <w:t> :</w:t>
      </w:r>
      <w:r w:rsidRPr="007F70EA">
        <w:rPr>
          <w:lang w:val="fr-FR"/>
        </w:rPr>
        <w:t xml:space="preserve"> Banque de technologies pour les pays les moins avancés;  Bureau du Haut Représentant des </w:t>
      </w:r>
      <w:r w:rsidR="002160B3" w:rsidRPr="007F70EA">
        <w:rPr>
          <w:lang w:val="fr-FR"/>
        </w:rPr>
        <w:t>Nations Unies</w:t>
      </w:r>
      <w:r w:rsidRPr="007F70EA">
        <w:rPr>
          <w:lang w:val="fr-FR"/>
        </w:rPr>
        <w:t xml:space="preserve"> pour les pays les moins avancés, les pays en développement sans littoral et les petits États insulaires en développement (UN</w:t>
      </w:r>
      <w:r w:rsidR="007F70EA">
        <w:rPr>
          <w:lang w:val="fr-FR"/>
        </w:rPr>
        <w:noBreakHyphen/>
      </w:r>
      <w:r w:rsidRPr="007F70EA">
        <w:rPr>
          <w:lang w:val="fr-FR"/>
        </w:rPr>
        <w:t>OHRLLS)</w:t>
      </w:r>
    </w:p>
    <w:p w:rsidR="00A27A71" w:rsidRPr="007F70EA" w:rsidRDefault="00A27A71" w:rsidP="004D2426">
      <w:pPr>
        <w:tabs>
          <w:tab w:val="left" w:pos="3195"/>
        </w:tabs>
        <w:rPr>
          <w:lang w:val="fr-FR"/>
        </w:rPr>
      </w:pPr>
    </w:p>
    <w:p w:rsidR="00A27A71" w:rsidRPr="007F70EA" w:rsidRDefault="004D2426" w:rsidP="004D2426">
      <w:pPr>
        <w:tabs>
          <w:tab w:val="left" w:pos="3195"/>
        </w:tabs>
        <w:rPr>
          <w:lang w:val="fr-FR"/>
        </w:rPr>
      </w:pPr>
      <w:r w:rsidRPr="007F70EA">
        <w:rPr>
          <w:u w:val="single"/>
          <w:lang w:val="fr-FR"/>
        </w:rPr>
        <w:t>Thématique</w:t>
      </w:r>
      <w:r w:rsidR="002160B3" w:rsidRPr="007F70EA">
        <w:rPr>
          <w:lang w:val="fr-FR"/>
        </w:rPr>
        <w:t> :</w:t>
      </w:r>
      <w:r w:rsidR="003375EF" w:rsidRPr="007F70EA">
        <w:rPr>
          <w:lang w:val="fr-FR"/>
        </w:rPr>
        <w:t xml:space="preserve"> l</w:t>
      </w:r>
      <w:r w:rsidRPr="007F70EA">
        <w:rPr>
          <w:lang w:val="fr-FR"/>
        </w:rPr>
        <w:t>a science, la technologie et l</w:t>
      </w:r>
      <w:r w:rsidR="002160B3" w:rsidRPr="007F70EA">
        <w:rPr>
          <w:lang w:val="fr-FR"/>
        </w:rPr>
        <w:t>’</w:t>
      </w:r>
      <w:r w:rsidRPr="007F70EA">
        <w:rPr>
          <w:lang w:val="fr-FR"/>
        </w:rPr>
        <w:t>innovation</w:t>
      </w:r>
    </w:p>
    <w:p w:rsidR="00A27A71" w:rsidRPr="007F70EA" w:rsidRDefault="00A27A71" w:rsidP="00DC13C2">
      <w:pPr>
        <w:rPr>
          <w:lang w:val="fr-FR"/>
        </w:rPr>
      </w:pPr>
    </w:p>
    <w:p w:rsidR="00A27A71" w:rsidRPr="007F70EA" w:rsidRDefault="004D2426" w:rsidP="00DC13C2">
      <w:pPr>
        <w:rPr>
          <w:lang w:val="fr-FR"/>
        </w:rPr>
      </w:pPr>
      <w:r w:rsidRPr="007F70EA">
        <w:rPr>
          <w:u w:val="single"/>
          <w:lang w:val="fr-FR"/>
        </w:rPr>
        <w:t>Participants</w:t>
      </w:r>
      <w:r w:rsidR="002160B3" w:rsidRPr="007F70EA">
        <w:rPr>
          <w:lang w:val="fr-FR"/>
        </w:rPr>
        <w:t> :</w:t>
      </w:r>
      <w:r w:rsidRPr="007F70EA">
        <w:rPr>
          <w:lang w:val="fr-FR"/>
        </w:rPr>
        <w:t xml:space="preserve"> Experts nommés par le Secrétaire </w:t>
      </w:r>
      <w:r w:rsidR="0060021D" w:rsidRPr="007F70EA">
        <w:rPr>
          <w:lang w:val="fr-FR"/>
        </w:rPr>
        <w:t>g</w:t>
      </w:r>
      <w:r w:rsidRPr="007F70EA">
        <w:rPr>
          <w:lang w:val="fr-FR"/>
        </w:rPr>
        <w:t xml:space="preserve">énéral des </w:t>
      </w:r>
      <w:r w:rsidR="002160B3" w:rsidRPr="007F70EA">
        <w:rPr>
          <w:lang w:val="fr-FR"/>
        </w:rPr>
        <w:t>Nations Unies</w:t>
      </w:r>
      <w:r w:rsidRPr="007F70EA">
        <w:rPr>
          <w:lang w:val="fr-FR"/>
        </w:rPr>
        <w:t>;</w:t>
      </w:r>
      <w:r w:rsidR="00CC68C1" w:rsidRPr="007F70EA">
        <w:rPr>
          <w:lang w:val="fr-FR"/>
        </w:rPr>
        <w:t xml:space="preserve"> </w:t>
      </w:r>
      <w:r w:rsidRPr="007F70EA">
        <w:rPr>
          <w:lang w:val="fr-FR"/>
        </w:rPr>
        <w:t xml:space="preserve"> organisations intergouvernementales;</w:t>
      </w:r>
      <w:r w:rsidR="002B3126" w:rsidRPr="007F70EA">
        <w:rPr>
          <w:lang w:val="fr-FR"/>
        </w:rPr>
        <w:t xml:space="preserve"> </w:t>
      </w:r>
      <w:r w:rsidRPr="007F70EA">
        <w:rPr>
          <w:lang w:val="fr-FR"/>
        </w:rPr>
        <w:t xml:space="preserve"> organisations non</w:t>
      </w:r>
      <w:r w:rsidR="0060021D" w:rsidRPr="007F70EA">
        <w:rPr>
          <w:lang w:val="fr-FR"/>
        </w:rPr>
        <w:t xml:space="preserve"> </w:t>
      </w:r>
      <w:r w:rsidRPr="007F70EA">
        <w:rPr>
          <w:lang w:val="fr-FR"/>
        </w:rPr>
        <w:t>gouvernementales</w:t>
      </w:r>
    </w:p>
    <w:p w:rsidR="00A27A71" w:rsidRPr="007F70EA" w:rsidRDefault="00A27A71" w:rsidP="00DC13C2">
      <w:pPr>
        <w:rPr>
          <w:lang w:val="fr-FR"/>
        </w:rPr>
      </w:pPr>
    </w:p>
    <w:p w:rsidR="00A27A71" w:rsidRPr="007F70EA" w:rsidRDefault="004D2426" w:rsidP="004D2426">
      <w:pPr>
        <w:rPr>
          <w:lang w:val="fr-FR"/>
        </w:rPr>
      </w:pPr>
      <w:r w:rsidRPr="007F70EA">
        <w:rPr>
          <w:u w:val="single"/>
          <w:lang w:val="fr-FR"/>
        </w:rPr>
        <w:t>Lien avec le transfert de technologie</w:t>
      </w:r>
      <w:r w:rsidR="002160B3" w:rsidRPr="007F70EA">
        <w:rPr>
          <w:lang w:val="fr-FR"/>
        </w:rPr>
        <w:t> :</w:t>
      </w:r>
      <w:r w:rsidRPr="007F70EA">
        <w:rPr>
          <w:lang w:val="fr-FR"/>
        </w:rPr>
        <w:t xml:space="preserve"> Charte de la Banque de technologies pour les pays les moins avancés (A/71/363) </w:t>
      </w:r>
      <w:r w:rsidR="002160B3" w:rsidRPr="007F70EA">
        <w:rPr>
          <w:lang w:val="fr-FR"/>
        </w:rPr>
        <w:t>“</w:t>
      </w:r>
      <w:r w:rsidRPr="007F70EA">
        <w:rPr>
          <w:lang w:val="fr-FR"/>
        </w:rPr>
        <w:t>Les objectifs que poursuit la Banque de technologies sont les suivants</w:t>
      </w:r>
      <w:r w:rsidR="002160B3" w:rsidRPr="007F70EA">
        <w:rPr>
          <w:lang w:val="fr-FR"/>
        </w:rPr>
        <w:t> :</w:t>
      </w:r>
      <w:r w:rsidRPr="007F70EA">
        <w:rPr>
          <w:lang w:val="fr-FR"/>
        </w:rPr>
        <w:t xml:space="preserve"> [</w:t>
      </w:r>
      <w:r w:rsidR="00CC68C1" w:rsidRPr="007F70EA">
        <w:rPr>
          <w:lang w:val="fr-FR"/>
        </w:rPr>
        <w:t>…</w:t>
      </w:r>
      <w:r w:rsidRPr="007F70EA">
        <w:rPr>
          <w:lang w:val="fr-FR"/>
        </w:rPr>
        <w:t>]</w:t>
      </w:r>
      <w:r w:rsidR="00B208AA" w:rsidRPr="007F70EA">
        <w:rPr>
          <w:lang w:val="fr-FR"/>
        </w:rPr>
        <w:t xml:space="preserve"> </w:t>
      </w:r>
      <w:r w:rsidRPr="007F70EA">
        <w:rPr>
          <w:lang w:val="fr-FR"/>
        </w:rPr>
        <w:t>e)</w:t>
      </w:r>
      <w:r w:rsidR="00B208AA" w:rsidRPr="007F70EA">
        <w:rPr>
          <w:lang w:val="fr-FR"/>
        </w:rPr>
        <w:t> </w:t>
      </w:r>
      <w:r w:rsidRPr="007F70EA">
        <w:rPr>
          <w:lang w:val="fr-FR"/>
        </w:rPr>
        <w:t>Favoriser et faciliter l</w:t>
      </w:r>
      <w:r w:rsidR="002160B3" w:rsidRPr="007F70EA">
        <w:rPr>
          <w:lang w:val="fr-FR"/>
        </w:rPr>
        <w:t>’</w:t>
      </w:r>
      <w:r w:rsidRPr="007F70EA">
        <w:rPr>
          <w:lang w:val="fr-FR"/>
        </w:rPr>
        <w:t>identification et l</w:t>
      </w:r>
      <w:r w:rsidR="002160B3" w:rsidRPr="007F70EA">
        <w:rPr>
          <w:lang w:val="fr-FR"/>
        </w:rPr>
        <w:t>’</w:t>
      </w:r>
      <w:r w:rsidRPr="007F70EA">
        <w:rPr>
          <w:lang w:val="fr-FR"/>
        </w:rPr>
        <w:t>utilisation des technologies appropriées par les pays les moins avancés, ainsi que leur transfert à ces pays et l</w:t>
      </w:r>
      <w:r w:rsidR="002160B3" w:rsidRPr="007F70EA">
        <w:rPr>
          <w:lang w:val="fr-FR"/>
        </w:rPr>
        <w:t>’</w:t>
      </w:r>
      <w:r w:rsidRPr="007F70EA">
        <w:rPr>
          <w:lang w:val="fr-FR"/>
        </w:rPr>
        <w:t>accès de ces derniers auxdites technologies, tout en respectant les droits de propriété intellectuelle et en stimulant, aux plans national et régional, la capacité de ces pays à exploiter efficacement les technologies afin de susciter des changements en profondeur.</w:t>
      </w:r>
      <w:r w:rsidR="002160B3" w:rsidRPr="007F70EA">
        <w:rPr>
          <w:lang w:val="fr-FR"/>
        </w:rPr>
        <w:t>”</w:t>
      </w:r>
    </w:p>
    <w:p w:rsidR="00A27A71" w:rsidRPr="007F70EA" w:rsidRDefault="00A27A71" w:rsidP="004D2426">
      <w:pPr>
        <w:rPr>
          <w:lang w:val="fr-FR"/>
        </w:rPr>
      </w:pPr>
    </w:p>
    <w:p w:rsidR="00A27A71" w:rsidRPr="007F70EA" w:rsidRDefault="004D2426" w:rsidP="004D2426">
      <w:pPr>
        <w:rPr>
          <w:lang w:val="fr-FR"/>
        </w:rPr>
      </w:pPr>
      <w:r w:rsidRPr="007F70EA">
        <w:rPr>
          <w:u w:val="single"/>
          <w:lang w:val="fr-FR"/>
        </w:rPr>
        <w:t>Description</w:t>
      </w:r>
      <w:r w:rsidR="002160B3" w:rsidRPr="007F70EA">
        <w:rPr>
          <w:lang w:val="fr-FR"/>
        </w:rPr>
        <w:t> :</w:t>
      </w:r>
      <w:r w:rsidRPr="007F70EA">
        <w:rPr>
          <w:lang w:val="fr-FR"/>
        </w:rPr>
        <w:t xml:space="preserve"> </w:t>
      </w:r>
      <w:r w:rsidR="002160B3" w:rsidRPr="007F70EA">
        <w:rPr>
          <w:lang w:val="fr-FR"/>
        </w:rPr>
        <w:t>“</w:t>
      </w:r>
      <w:r w:rsidRPr="007F70EA">
        <w:rPr>
          <w:lang w:val="fr-FR"/>
        </w:rPr>
        <w:t>La Banque de technologies se compose des organes suivants</w:t>
      </w:r>
      <w:r w:rsidR="002160B3" w:rsidRPr="007F70EA">
        <w:rPr>
          <w:lang w:val="fr-FR"/>
        </w:rPr>
        <w:t> :</w:t>
      </w:r>
      <w:r w:rsidRPr="007F70EA">
        <w:rPr>
          <w:lang w:val="fr-FR"/>
        </w:rPr>
        <w:t xml:space="preserve"> (i) Un Conseil, qui fait office d</w:t>
      </w:r>
      <w:r w:rsidR="002160B3" w:rsidRPr="007F70EA">
        <w:rPr>
          <w:lang w:val="fr-FR"/>
        </w:rPr>
        <w:t>’</w:t>
      </w:r>
      <w:r w:rsidRPr="007F70EA">
        <w:rPr>
          <w:lang w:val="fr-FR"/>
        </w:rPr>
        <w:t>organe directeur de la Banque [</w:t>
      </w:r>
      <w:r w:rsidR="00CC68C1" w:rsidRPr="007F70EA">
        <w:rPr>
          <w:lang w:val="fr-FR"/>
        </w:rPr>
        <w:t>…</w:t>
      </w:r>
      <w:r w:rsidRPr="007F70EA">
        <w:rPr>
          <w:lang w:val="fr-FR"/>
        </w:rPr>
        <w:t>]</w:t>
      </w:r>
      <w:r w:rsidR="002160B3" w:rsidRPr="007F70EA">
        <w:rPr>
          <w:lang w:val="fr-FR"/>
        </w:rPr>
        <w:t>”</w:t>
      </w:r>
      <w:r w:rsidRPr="007F70EA">
        <w:rPr>
          <w:lang w:val="fr-FR"/>
        </w:rPr>
        <w:t>.</w:t>
      </w:r>
    </w:p>
    <w:p w:rsidR="00A27A71" w:rsidRPr="007F70EA" w:rsidRDefault="00A27A71" w:rsidP="00DC13C2">
      <w:pPr>
        <w:rPr>
          <w:lang w:val="fr-FR"/>
        </w:rPr>
      </w:pPr>
    </w:p>
    <w:p w:rsidR="00A27A71" w:rsidRPr="007F70EA" w:rsidRDefault="004D2426" w:rsidP="00DC13C2">
      <w:pPr>
        <w:rPr>
          <w:lang w:val="fr-FR"/>
        </w:rPr>
      </w:pPr>
      <w:r w:rsidRPr="007F70EA">
        <w:rPr>
          <w:u w:val="single"/>
          <w:lang w:val="fr-FR"/>
        </w:rPr>
        <w:t>Fréquence</w:t>
      </w:r>
      <w:r w:rsidR="002160B3" w:rsidRPr="007F70EA">
        <w:rPr>
          <w:lang w:val="fr-FR"/>
        </w:rPr>
        <w:t> :</w:t>
      </w:r>
      <w:r w:rsidR="003375EF" w:rsidRPr="007F70EA">
        <w:rPr>
          <w:lang w:val="fr-FR"/>
        </w:rPr>
        <w:t xml:space="preserve"> a</w:t>
      </w:r>
      <w:r w:rsidRPr="007F70EA">
        <w:rPr>
          <w:lang w:val="fr-FR"/>
        </w:rPr>
        <w:t>nnuel</w:t>
      </w:r>
      <w:r w:rsidR="008E22A3" w:rsidRPr="007F70EA">
        <w:rPr>
          <w:lang w:val="fr-FR"/>
        </w:rPr>
        <w:t>le</w:t>
      </w:r>
      <w:r w:rsidRPr="007F70EA">
        <w:rPr>
          <w:lang w:val="fr-FR"/>
        </w:rPr>
        <w:t xml:space="preserve"> (ou davantage)</w:t>
      </w:r>
    </w:p>
    <w:p w:rsidR="00A27A71" w:rsidRPr="007F70EA" w:rsidRDefault="00A27A71" w:rsidP="00DC13C2">
      <w:pPr>
        <w:rPr>
          <w:lang w:val="fr-FR"/>
        </w:rPr>
      </w:pPr>
    </w:p>
    <w:p w:rsidR="00A27A71" w:rsidRPr="007F70EA" w:rsidRDefault="00BE61D1" w:rsidP="00DC13C2">
      <w:pPr>
        <w:rPr>
          <w:lang w:val="fr-FR"/>
        </w:rPr>
      </w:pPr>
      <w:r w:rsidRPr="007F70EA">
        <w:rPr>
          <w:u w:val="single"/>
          <w:lang w:val="fr-FR"/>
        </w:rPr>
        <w:t>Référence</w:t>
      </w:r>
      <w:r w:rsidR="002160B3" w:rsidRPr="007F70EA">
        <w:rPr>
          <w:lang w:val="fr-FR"/>
        </w:rPr>
        <w:t> :</w:t>
      </w:r>
      <w:r w:rsidRPr="007F70EA">
        <w:rPr>
          <w:lang w:val="fr-FR"/>
        </w:rPr>
        <w:t xml:space="preserve"> http://unohrlls.org/technologybank/</w:t>
      </w:r>
    </w:p>
    <w:p w:rsidR="00A27A71" w:rsidRPr="007F70EA" w:rsidRDefault="00A27A71" w:rsidP="00DC13C2">
      <w:pPr>
        <w:rPr>
          <w:lang w:val="fr-FR"/>
        </w:rPr>
      </w:pPr>
    </w:p>
    <w:p w:rsidR="00A27A71" w:rsidRPr="007F70EA" w:rsidRDefault="00A27A71" w:rsidP="00DC13C2">
      <w:pPr>
        <w:rPr>
          <w:lang w:val="fr-FR"/>
        </w:rPr>
      </w:pPr>
    </w:p>
    <w:p w:rsidR="00A27A71" w:rsidRPr="007F70EA" w:rsidRDefault="00A60473" w:rsidP="00A60473">
      <w:pPr>
        <w:rPr>
          <w:b/>
          <w:lang w:val="fr-FR"/>
        </w:rPr>
      </w:pPr>
      <w:r w:rsidRPr="007F70EA">
        <w:rPr>
          <w:b/>
          <w:bCs/>
          <w:lang w:val="fr-FR"/>
        </w:rPr>
        <w:t>Dialogue global et multipartite de petits États insulaires en développement</w:t>
      </w:r>
    </w:p>
    <w:p w:rsidR="00A27A71" w:rsidRPr="007F70EA" w:rsidRDefault="00A27A71" w:rsidP="00A60473">
      <w:pPr>
        <w:rPr>
          <w:lang w:val="fr-FR"/>
        </w:rPr>
      </w:pPr>
    </w:p>
    <w:p w:rsidR="00A27A71" w:rsidRPr="007F70EA" w:rsidRDefault="00A60473" w:rsidP="00A60473">
      <w:pPr>
        <w:rPr>
          <w:lang w:val="fr-FR"/>
        </w:rPr>
      </w:pPr>
      <w:r w:rsidRPr="007F70EA">
        <w:rPr>
          <w:u w:val="single"/>
          <w:lang w:val="fr-FR"/>
        </w:rPr>
        <w:t>Organisation coordinatrice</w:t>
      </w:r>
      <w:r w:rsidR="002160B3" w:rsidRPr="007F70EA">
        <w:rPr>
          <w:lang w:val="fr-FR"/>
        </w:rPr>
        <w:t> :</w:t>
      </w:r>
      <w:r w:rsidRPr="007F70EA">
        <w:rPr>
          <w:lang w:val="fr-FR"/>
        </w:rPr>
        <w:t xml:space="preserve"> Département des affaires économiques et sociales des </w:t>
      </w:r>
      <w:r w:rsidR="002160B3" w:rsidRPr="007F70EA">
        <w:rPr>
          <w:lang w:val="fr-FR"/>
        </w:rPr>
        <w:t>Nations Unies</w:t>
      </w:r>
      <w:r w:rsidRPr="007F70EA">
        <w:rPr>
          <w:lang w:val="fr-FR"/>
        </w:rPr>
        <w:t xml:space="preserve"> (UNDAES)</w:t>
      </w:r>
    </w:p>
    <w:p w:rsidR="00A27A71" w:rsidRPr="007F70EA" w:rsidRDefault="00A27A71" w:rsidP="00A60473">
      <w:pPr>
        <w:rPr>
          <w:lang w:val="fr-FR"/>
        </w:rPr>
      </w:pPr>
    </w:p>
    <w:p w:rsidR="002160B3" w:rsidRPr="007F70EA" w:rsidRDefault="00A60473" w:rsidP="00A60473">
      <w:pPr>
        <w:rPr>
          <w:lang w:val="fr-FR"/>
        </w:rPr>
      </w:pPr>
      <w:r w:rsidRPr="007F70EA">
        <w:rPr>
          <w:u w:val="single"/>
          <w:lang w:val="fr-FR"/>
        </w:rPr>
        <w:t>Thématique</w:t>
      </w:r>
      <w:r w:rsidR="002160B3" w:rsidRPr="007F70EA">
        <w:rPr>
          <w:lang w:val="fr-FR"/>
        </w:rPr>
        <w:t> :</w:t>
      </w:r>
      <w:r w:rsidR="003375EF" w:rsidRPr="007F70EA">
        <w:rPr>
          <w:lang w:val="fr-FR"/>
        </w:rPr>
        <w:t xml:space="preserve"> l</w:t>
      </w:r>
      <w:r w:rsidRPr="007F70EA">
        <w:rPr>
          <w:lang w:val="fr-FR"/>
        </w:rPr>
        <w:t>e développement</w:t>
      </w:r>
    </w:p>
    <w:p w:rsidR="00A27A71" w:rsidRPr="007F70EA" w:rsidRDefault="00A27A71" w:rsidP="00A60473">
      <w:pPr>
        <w:rPr>
          <w:lang w:val="fr-FR"/>
        </w:rPr>
      </w:pPr>
    </w:p>
    <w:p w:rsidR="00A27A71" w:rsidRPr="007F70EA" w:rsidRDefault="00A60473" w:rsidP="00A60473">
      <w:pPr>
        <w:rPr>
          <w:lang w:val="fr-FR"/>
        </w:rPr>
      </w:pPr>
      <w:r w:rsidRPr="007F70EA">
        <w:rPr>
          <w:u w:val="single"/>
          <w:lang w:val="fr-FR"/>
        </w:rPr>
        <w:t>Participants</w:t>
      </w:r>
      <w:r w:rsidR="002160B3" w:rsidRPr="007F70EA">
        <w:rPr>
          <w:lang w:val="fr-FR"/>
        </w:rPr>
        <w:t> :</w:t>
      </w:r>
      <w:r w:rsidRPr="007F70EA">
        <w:rPr>
          <w:lang w:val="fr-FR"/>
        </w:rPr>
        <w:t xml:space="preserve"> États; </w:t>
      </w:r>
      <w:r w:rsidR="00CC68C1" w:rsidRPr="007F70EA">
        <w:rPr>
          <w:lang w:val="fr-FR"/>
        </w:rPr>
        <w:t xml:space="preserve"> </w:t>
      </w:r>
      <w:r w:rsidRPr="007F70EA">
        <w:rPr>
          <w:lang w:val="fr-FR"/>
        </w:rPr>
        <w:t xml:space="preserve">organisations intergouvernementales; </w:t>
      </w:r>
      <w:r w:rsidR="00CC68C1" w:rsidRPr="007F70EA">
        <w:rPr>
          <w:lang w:val="fr-FR"/>
        </w:rPr>
        <w:t xml:space="preserve"> </w:t>
      </w:r>
      <w:r w:rsidRPr="007F70EA">
        <w:rPr>
          <w:lang w:val="fr-FR"/>
        </w:rPr>
        <w:t>organisations non</w:t>
      </w:r>
      <w:r w:rsidR="0060021D" w:rsidRPr="007F70EA">
        <w:rPr>
          <w:lang w:val="fr-FR"/>
        </w:rPr>
        <w:t xml:space="preserve"> </w:t>
      </w:r>
      <w:r w:rsidRPr="007F70EA">
        <w:rPr>
          <w:lang w:val="fr-FR"/>
        </w:rPr>
        <w:t>gouvernementales</w:t>
      </w:r>
    </w:p>
    <w:p w:rsidR="00A27A71" w:rsidRPr="007F70EA" w:rsidRDefault="00A27A71" w:rsidP="00A60473">
      <w:pPr>
        <w:rPr>
          <w:lang w:val="fr-FR"/>
        </w:rPr>
      </w:pPr>
    </w:p>
    <w:p w:rsidR="00A27A71" w:rsidRPr="007F70EA" w:rsidRDefault="00A60473" w:rsidP="00A60473">
      <w:pPr>
        <w:rPr>
          <w:lang w:val="fr-FR"/>
        </w:rPr>
      </w:pPr>
      <w:r w:rsidRPr="007F70EA">
        <w:rPr>
          <w:u w:val="single"/>
          <w:lang w:val="fr-FR"/>
        </w:rPr>
        <w:t>Lien avec le transfert de technologie</w:t>
      </w:r>
      <w:r w:rsidR="002160B3" w:rsidRPr="007F70EA">
        <w:rPr>
          <w:lang w:val="fr-FR"/>
        </w:rPr>
        <w:t> :</w:t>
      </w:r>
      <w:r w:rsidRPr="007F70EA">
        <w:rPr>
          <w:lang w:val="fr-FR"/>
        </w:rPr>
        <w:t xml:space="preserve"> </w:t>
      </w:r>
      <w:r w:rsidR="002160B3" w:rsidRPr="007F70EA">
        <w:rPr>
          <w:lang w:val="fr-FR"/>
        </w:rPr>
        <w:t>“</w:t>
      </w:r>
      <w:r w:rsidRPr="007F70EA">
        <w:rPr>
          <w:lang w:val="fr-FR"/>
        </w:rPr>
        <w:t>Le dialogue a pour objectif de s</w:t>
      </w:r>
      <w:r w:rsidR="002160B3" w:rsidRPr="007F70EA">
        <w:rPr>
          <w:lang w:val="fr-FR"/>
        </w:rPr>
        <w:t>’</w:t>
      </w:r>
      <w:r w:rsidRPr="007F70EA">
        <w:rPr>
          <w:lang w:val="fr-FR"/>
        </w:rPr>
        <w:t>assurer que l</w:t>
      </w:r>
      <w:r w:rsidR="002160B3" w:rsidRPr="007F70EA">
        <w:rPr>
          <w:lang w:val="fr-FR"/>
        </w:rPr>
        <w:t>’</w:t>
      </w:r>
      <w:r w:rsidRPr="007F70EA">
        <w:rPr>
          <w:lang w:val="fr-FR"/>
        </w:rPr>
        <w:t>expérience des petits États insulaires en développement en matière de partenariats et de réponses existants puisse éclairer les futurs partenariats, notamment en matière de financement, renforcement des capacités, transfert de technologie, coopération technique ou développement institutionnel.</w:t>
      </w:r>
      <w:r w:rsidR="002160B3" w:rsidRPr="007F70EA">
        <w:rPr>
          <w:lang w:val="fr-FR"/>
        </w:rPr>
        <w:t>”</w:t>
      </w:r>
    </w:p>
    <w:p w:rsidR="00A27A71" w:rsidRPr="007F70EA" w:rsidRDefault="00A27A71" w:rsidP="00A60473">
      <w:pPr>
        <w:rPr>
          <w:lang w:val="fr-FR"/>
        </w:rPr>
      </w:pPr>
    </w:p>
    <w:p w:rsidR="00A27A71" w:rsidRPr="007F70EA" w:rsidRDefault="00A60473" w:rsidP="00A60473">
      <w:pPr>
        <w:rPr>
          <w:lang w:val="fr-FR"/>
        </w:rPr>
      </w:pPr>
      <w:r w:rsidRPr="007F70EA">
        <w:rPr>
          <w:u w:val="single"/>
          <w:lang w:val="fr-FR"/>
        </w:rPr>
        <w:lastRenderedPageBreak/>
        <w:t>Description</w:t>
      </w:r>
      <w:r w:rsidR="002160B3" w:rsidRPr="007F70EA">
        <w:rPr>
          <w:lang w:val="fr-FR"/>
        </w:rPr>
        <w:t> :</w:t>
      </w:r>
      <w:r w:rsidRPr="007F70EA">
        <w:rPr>
          <w:lang w:val="fr-FR"/>
        </w:rPr>
        <w:t xml:space="preserve"> Résolution de l</w:t>
      </w:r>
      <w:r w:rsidR="002160B3" w:rsidRPr="007F70EA">
        <w:rPr>
          <w:lang w:val="fr-FR"/>
        </w:rPr>
        <w:t>’</w:t>
      </w:r>
      <w:r w:rsidRPr="007F70EA">
        <w:rPr>
          <w:lang w:val="fr-FR"/>
        </w:rPr>
        <w:t>Assemblée générale 70/202</w:t>
      </w:r>
      <w:r w:rsidR="002160B3" w:rsidRPr="007F70EA">
        <w:rPr>
          <w:lang w:val="fr-FR"/>
        </w:rPr>
        <w:t> :</w:t>
      </w:r>
      <w:r w:rsidRPr="007F70EA">
        <w:rPr>
          <w:lang w:val="fr-FR"/>
        </w:rPr>
        <w:t xml:space="preserve"> </w:t>
      </w:r>
      <w:r w:rsidR="002160B3" w:rsidRPr="007F70EA">
        <w:rPr>
          <w:lang w:val="fr-FR"/>
        </w:rPr>
        <w:t>“</w:t>
      </w:r>
      <w:r w:rsidRPr="007F70EA">
        <w:rPr>
          <w:lang w:val="fr-FR"/>
        </w:rPr>
        <w:t>L</w:t>
      </w:r>
      <w:r w:rsidR="002160B3" w:rsidRPr="007F70EA">
        <w:rPr>
          <w:lang w:val="fr-FR"/>
        </w:rPr>
        <w:t>’</w:t>
      </w:r>
      <w:r w:rsidRPr="007F70EA">
        <w:rPr>
          <w:lang w:val="fr-FR"/>
        </w:rPr>
        <w:t>Assemblée générale [</w:t>
      </w:r>
      <w:r w:rsidR="00CC68C1" w:rsidRPr="007F70EA">
        <w:rPr>
          <w:lang w:val="fr-FR"/>
        </w:rPr>
        <w:t>…</w:t>
      </w:r>
      <w:r w:rsidRPr="007F70EA">
        <w:rPr>
          <w:lang w:val="fr-FR"/>
        </w:rPr>
        <w:t xml:space="preserve">] décide, conformément aux dispositions du </w:t>
      </w:r>
      <w:r w:rsidR="002160B3" w:rsidRPr="007F70EA">
        <w:rPr>
          <w:lang w:val="fr-FR"/>
        </w:rPr>
        <w:t>paragraphe 1</w:t>
      </w:r>
      <w:r w:rsidRPr="007F70EA">
        <w:rPr>
          <w:lang w:val="fr-FR"/>
        </w:rPr>
        <w:t>01 des Orientations de Samoa et compte tenu des priorités des petits États insulaires en développement, de créer le Cadre de partenariats pour les petits États insulaires en développement afin de suivre et d</w:t>
      </w:r>
      <w:r w:rsidR="002160B3" w:rsidRPr="007F70EA">
        <w:rPr>
          <w:lang w:val="fr-FR"/>
        </w:rPr>
        <w:t>’</w:t>
      </w:r>
      <w:r w:rsidRPr="007F70EA">
        <w:rPr>
          <w:lang w:val="fr-FR"/>
        </w:rPr>
        <w:t>assurer la pleine exécution des engagements pris dans ce contexte pour permettre un suivi efficace et rationnel des partenariats existants, en particulier ceux lancés lors de la troisième Conférence internationale sur les petits États insulaires en développement, et encourager l</w:t>
      </w:r>
      <w:r w:rsidR="002160B3" w:rsidRPr="007F70EA">
        <w:rPr>
          <w:lang w:val="fr-FR"/>
        </w:rPr>
        <w:t>’</w:t>
      </w:r>
      <w:r w:rsidRPr="007F70EA">
        <w:rPr>
          <w:lang w:val="fr-FR"/>
        </w:rPr>
        <w:t>établissement de partenariats véritables et durables en faveur du développement durable des petits États insulaires en développement</w:t>
      </w:r>
      <w:r w:rsidR="002160B3" w:rsidRPr="007F70EA">
        <w:rPr>
          <w:lang w:val="fr-FR"/>
        </w:rPr>
        <w:t>”</w:t>
      </w:r>
      <w:r w:rsidRPr="007F70EA">
        <w:rPr>
          <w:lang w:val="fr-FR"/>
        </w:rPr>
        <w:t>.</w:t>
      </w:r>
    </w:p>
    <w:p w:rsidR="00A27A71" w:rsidRPr="007F70EA" w:rsidRDefault="00A27A71" w:rsidP="00A60473">
      <w:pPr>
        <w:rPr>
          <w:lang w:val="fr-FR"/>
        </w:rPr>
      </w:pPr>
    </w:p>
    <w:p w:rsidR="00A27A71" w:rsidRPr="007F70EA" w:rsidRDefault="00A60473" w:rsidP="00A60473">
      <w:pPr>
        <w:rPr>
          <w:lang w:val="fr-FR"/>
        </w:rPr>
      </w:pPr>
      <w:r w:rsidRPr="007F70EA">
        <w:rPr>
          <w:u w:val="single"/>
          <w:lang w:val="fr-FR"/>
        </w:rPr>
        <w:t>Fréquence</w:t>
      </w:r>
      <w:r w:rsidR="002160B3" w:rsidRPr="007F70EA">
        <w:rPr>
          <w:lang w:val="fr-FR"/>
        </w:rPr>
        <w:t> :</w:t>
      </w:r>
      <w:r w:rsidR="003375EF" w:rsidRPr="007F70EA">
        <w:rPr>
          <w:lang w:val="fr-FR"/>
        </w:rPr>
        <w:t xml:space="preserve"> a</w:t>
      </w:r>
      <w:r w:rsidRPr="007F70EA">
        <w:rPr>
          <w:lang w:val="fr-FR"/>
        </w:rPr>
        <w:t>nnuel</w:t>
      </w:r>
      <w:r w:rsidR="008E22A3" w:rsidRPr="007F70EA">
        <w:rPr>
          <w:lang w:val="fr-FR"/>
        </w:rPr>
        <w:t>le</w:t>
      </w:r>
    </w:p>
    <w:p w:rsidR="00A27A71" w:rsidRPr="007F70EA" w:rsidRDefault="00A27A71" w:rsidP="00A60473">
      <w:pPr>
        <w:rPr>
          <w:lang w:val="fr-FR"/>
        </w:rPr>
      </w:pPr>
    </w:p>
    <w:p w:rsidR="002160B3" w:rsidRPr="007F70EA" w:rsidRDefault="00A60473" w:rsidP="00A60473">
      <w:pPr>
        <w:rPr>
          <w:lang w:val="fr-FR"/>
        </w:rPr>
      </w:pPr>
      <w:r w:rsidRPr="007F70EA">
        <w:rPr>
          <w:u w:val="single"/>
          <w:lang w:val="fr-FR"/>
        </w:rPr>
        <w:t>Référence</w:t>
      </w:r>
      <w:r w:rsidR="002160B3" w:rsidRPr="007F70EA">
        <w:rPr>
          <w:lang w:val="fr-FR"/>
        </w:rPr>
        <w:t> :</w:t>
      </w:r>
      <w:r w:rsidRPr="007F70EA">
        <w:rPr>
          <w:lang w:val="fr-FR"/>
        </w:rPr>
        <w:t xml:space="preserve"> http://www.sids2014.org/partnershipframework</w:t>
      </w:r>
    </w:p>
    <w:p w:rsidR="00A27A71" w:rsidRPr="007F70EA" w:rsidRDefault="00A27A71" w:rsidP="00A60473">
      <w:pPr>
        <w:rPr>
          <w:lang w:val="fr-FR"/>
        </w:rPr>
      </w:pPr>
    </w:p>
    <w:p w:rsidR="003375EF" w:rsidRPr="007F70EA" w:rsidRDefault="003375EF" w:rsidP="00A60473">
      <w:pPr>
        <w:rPr>
          <w:lang w:val="fr-FR"/>
        </w:rPr>
      </w:pPr>
    </w:p>
    <w:p w:rsidR="00A27A71" w:rsidRPr="007F70EA" w:rsidRDefault="00CE2E98" w:rsidP="00DC13C2">
      <w:pPr>
        <w:rPr>
          <w:b/>
          <w:lang w:val="fr-FR"/>
        </w:rPr>
      </w:pPr>
      <w:r w:rsidRPr="007F70EA">
        <w:rPr>
          <w:b/>
          <w:bCs/>
          <w:lang w:val="fr-FR"/>
        </w:rPr>
        <w:t>Sommet GREAT (</w:t>
      </w:r>
      <w:r w:rsidRPr="007F70EA">
        <w:rPr>
          <w:lang w:val="fr-FR"/>
        </w:rPr>
        <w:t>sommet mondial sur la recherche, l</w:t>
      </w:r>
      <w:r w:rsidR="002160B3" w:rsidRPr="007F70EA">
        <w:rPr>
          <w:lang w:val="fr-FR"/>
        </w:rPr>
        <w:t>’</w:t>
      </w:r>
      <w:r w:rsidRPr="007F70EA">
        <w:rPr>
          <w:lang w:val="fr-FR"/>
        </w:rPr>
        <w:t>innovation et l</w:t>
      </w:r>
      <w:r w:rsidR="002160B3" w:rsidRPr="007F70EA">
        <w:rPr>
          <w:lang w:val="fr-FR"/>
        </w:rPr>
        <w:t>’</w:t>
      </w:r>
      <w:r w:rsidRPr="007F70EA">
        <w:rPr>
          <w:lang w:val="fr-FR"/>
        </w:rPr>
        <w:t>éducation en matière de technologies d</w:t>
      </w:r>
      <w:r w:rsidR="002160B3" w:rsidRPr="007F70EA">
        <w:rPr>
          <w:lang w:val="fr-FR"/>
        </w:rPr>
        <w:t>’</w:t>
      </w:r>
      <w:r w:rsidRPr="007F70EA">
        <w:rPr>
          <w:lang w:val="fr-FR"/>
        </w:rPr>
        <w:t>assistance</w:t>
      </w:r>
      <w:r w:rsidR="00A541D6" w:rsidRPr="007F70EA">
        <w:rPr>
          <w:lang w:val="fr-FR"/>
        </w:rPr>
        <w:t>)</w:t>
      </w:r>
    </w:p>
    <w:p w:rsidR="00A27A71" w:rsidRPr="007F70EA" w:rsidRDefault="00A27A71" w:rsidP="00DC13C2">
      <w:pPr>
        <w:rPr>
          <w:lang w:val="fr-FR"/>
        </w:rPr>
      </w:pPr>
    </w:p>
    <w:p w:rsidR="00A27A71" w:rsidRPr="007F70EA" w:rsidRDefault="00DC13C2" w:rsidP="00DC13C2">
      <w:pPr>
        <w:rPr>
          <w:lang w:val="fr-FR"/>
        </w:rPr>
      </w:pPr>
      <w:r w:rsidRPr="007F70EA">
        <w:rPr>
          <w:u w:val="single"/>
          <w:lang w:val="fr-FR"/>
        </w:rPr>
        <w:t>Organisation coordinatrice</w:t>
      </w:r>
      <w:r w:rsidR="002160B3" w:rsidRPr="007F70EA">
        <w:rPr>
          <w:lang w:val="fr-FR"/>
        </w:rPr>
        <w:t> :</w:t>
      </w:r>
      <w:r w:rsidRPr="007F70EA">
        <w:rPr>
          <w:lang w:val="fr-FR"/>
        </w:rPr>
        <w:t xml:space="preserve"> Organisation mondiale de la </w:t>
      </w:r>
      <w:r w:rsidR="00CC68C1" w:rsidRPr="007F70EA">
        <w:rPr>
          <w:lang w:val="fr-FR"/>
        </w:rPr>
        <w:t>Santé</w:t>
      </w:r>
      <w:r w:rsidRPr="007F70EA">
        <w:rPr>
          <w:lang w:val="fr-FR"/>
        </w:rPr>
        <w:t xml:space="preserve"> (OMS)</w:t>
      </w:r>
    </w:p>
    <w:p w:rsidR="00A27A71" w:rsidRPr="007F70EA" w:rsidRDefault="00A27A71" w:rsidP="00DC13C2">
      <w:pPr>
        <w:rPr>
          <w:lang w:val="fr-FR"/>
        </w:rPr>
      </w:pPr>
    </w:p>
    <w:p w:rsidR="002160B3" w:rsidRPr="007F70EA" w:rsidRDefault="00DC13C2" w:rsidP="00DC13C2">
      <w:pPr>
        <w:rPr>
          <w:lang w:val="fr-FR"/>
        </w:rPr>
      </w:pPr>
      <w:r w:rsidRPr="007F70EA">
        <w:rPr>
          <w:u w:val="single"/>
          <w:lang w:val="fr-FR"/>
        </w:rPr>
        <w:t>Thématique</w:t>
      </w:r>
      <w:r w:rsidR="002160B3" w:rsidRPr="007F70EA">
        <w:rPr>
          <w:lang w:val="fr-FR"/>
        </w:rPr>
        <w:t> :</w:t>
      </w:r>
      <w:r w:rsidR="003375EF" w:rsidRPr="007F70EA">
        <w:rPr>
          <w:lang w:val="fr-FR"/>
        </w:rPr>
        <w:t xml:space="preserve"> l</w:t>
      </w:r>
      <w:r w:rsidRPr="007F70EA">
        <w:rPr>
          <w:lang w:val="fr-FR"/>
        </w:rPr>
        <w:t>a santé publique (technologies d</w:t>
      </w:r>
      <w:r w:rsidR="002160B3" w:rsidRPr="007F70EA">
        <w:rPr>
          <w:lang w:val="fr-FR"/>
        </w:rPr>
        <w:t>’</w:t>
      </w:r>
      <w:r w:rsidRPr="007F70EA">
        <w:rPr>
          <w:lang w:val="fr-FR"/>
        </w:rPr>
        <w:t>assistance)</w:t>
      </w:r>
    </w:p>
    <w:p w:rsidR="00A27A71" w:rsidRPr="007F70EA" w:rsidRDefault="00A27A71" w:rsidP="00DC13C2">
      <w:pPr>
        <w:rPr>
          <w:lang w:val="fr-FR"/>
        </w:rPr>
      </w:pPr>
    </w:p>
    <w:p w:rsidR="00A27A71" w:rsidRPr="007F70EA" w:rsidRDefault="00DC13C2" w:rsidP="00DC13C2">
      <w:pPr>
        <w:rPr>
          <w:lang w:val="fr-FR"/>
        </w:rPr>
      </w:pPr>
      <w:r w:rsidRPr="007F70EA">
        <w:rPr>
          <w:u w:val="single"/>
          <w:lang w:val="fr-FR"/>
        </w:rPr>
        <w:t>Participants</w:t>
      </w:r>
      <w:r w:rsidR="002160B3" w:rsidRPr="007F70EA">
        <w:rPr>
          <w:lang w:val="fr-FR"/>
        </w:rPr>
        <w:t> :</w:t>
      </w:r>
      <w:r w:rsidRPr="007F70EA">
        <w:rPr>
          <w:lang w:val="fr-FR"/>
        </w:rPr>
        <w:t xml:space="preserve"> États (agences donatrices); </w:t>
      </w:r>
      <w:r w:rsidR="00CC68C1" w:rsidRPr="007F70EA">
        <w:rPr>
          <w:lang w:val="fr-FR"/>
        </w:rPr>
        <w:t xml:space="preserve"> </w:t>
      </w:r>
      <w:r w:rsidRPr="007F70EA">
        <w:rPr>
          <w:lang w:val="fr-FR"/>
        </w:rPr>
        <w:t>organisations intergouvernementales;</w:t>
      </w:r>
      <w:r w:rsidR="00CC68C1" w:rsidRPr="007F70EA">
        <w:rPr>
          <w:lang w:val="fr-FR"/>
        </w:rPr>
        <w:t xml:space="preserve"> </w:t>
      </w:r>
      <w:r w:rsidRPr="007F70EA">
        <w:rPr>
          <w:lang w:val="fr-FR"/>
        </w:rPr>
        <w:t xml:space="preserve"> organisations non</w:t>
      </w:r>
      <w:r w:rsidR="0060021D" w:rsidRPr="007F70EA">
        <w:rPr>
          <w:lang w:val="fr-FR"/>
        </w:rPr>
        <w:t xml:space="preserve"> </w:t>
      </w:r>
      <w:r w:rsidRPr="007F70EA">
        <w:rPr>
          <w:lang w:val="fr-FR"/>
        </w:rPr>
        <w:t>gouvernementales (organisations professionnelles, universités, groupes d</w:t>
      </w:r>
      <w:r w:rsidR="002160B3" w:rsidRPr="007F70EA">
        <w:rPr>
          <w:lang w:val="fr-FR"/>
        </w:rPr>
        <w:t>’</w:t>
      </w:r>
      <w:r w:rsidRPr="007F70EA">
        <w:rPr>
          <w:lang w:val="fr-FR"/>
        </w:rPr>
        <w:t>utilisateurs)</w:t>
      </w:r>
    </w:p>
    <w:p w:rsidR="00A27A71" w:rsidRPr="007F70EA" w:rsidRDefault="00A27A71" w:rsidP="00DC13C2">
      <w:pPr>
        <w:rPr>
          <w:lang w:val="fr-FR"/>
        </w:rPr>
      </w:pPr>
    </w:p>
    <w:p w:rsidR="00A27A71" w:rsidRPr="007F70EA" w:rsidRDefault="00DC13C2" w:rsidP="00DC13C2">
      <w:pPr>
        <w:rPr>
          <w:lang w:val="fr-FR"/>
        </w:rPr>
      </w:pPr>
      <w:r w:rsidRPr="007F70EA">
        <w:rPr>
          <w:u w:val="single"/>
          <w:lang w:val="fr-FR"/>
        </w:rPr>
        <w:t>Lien avec le transfert de technologie</w:t>
      </w:r>
      <w:r w:rsidR="002160B3" w:rsidRPr="007F70EA">
        <w:rPr>
          <w:lang w:val="fr-FR"/>
        </w:rPr>
        <w:t> :</w:t>
      </w:r>
      <w:r w:rsidRPr="007F70EA">
        <w:rPr>
          <w:lang w:val="fr-FR"/>
        </w:rPr>
        <w:t xml:space="preserve"> </w:t>
      </w:r>
      <w:r w:rsidR="0060021D" w:rsidRPr="007F70EA">
        <w:rPr>
          <w:lang w:val="fr-FR"/>
        </w:rPr>
        <w:t>“L</w:t>
      </w:r>
      <w:r w:rsidRPr="007F70EA">
        <w:rPr>
          <w:lang w:val="fr-FR"/>
        </w:rPr>
        <w:t xml:space="preserve">e sommet </w:t>
      </w:r>
      <w:r w:rsidR="00CE2E98" w:rsidRPr="007F70EA">
        <w:rPr>
          <w:lang w:val="fr-FR"/>
        </w:rPr>
        <w:t>GREAT</w:t>
      </w:r>
      <w:r w:rsidRPr="007F70EA">
        <w:rPr>
          <w:lang w:val="fr-FR"/>
        </w:rPr>
        <w:t xml:space="preserve"> vise à</w:t>
      </w:r>
      <w:r w:rsidR="002160B3" w:rsidRPr="007F70EA">
        <w:rPr>
          <w:lang w:val="fr-FR"/>
        </w:rPr>
        <w:t> :</w:t>
      </w:r>
      <w:r w:rsidRPr="007F70EA">
        <w:rPr>
          <w:lang w:val="fr-FR"/>
        </w:rPr>
        <w:t xml:space="preserve"> i)</w:t>
      </w:r>
      <w:r w:rsidR="00B208AA" w:rsidRPr="007F70EA">
        <w:rPr>
          <w:lang w:val="fr-FR"/>
        </w:rPr>
        <w:t> </w:t>
      </w:r>
      <w:r w:rsidRPr="007F70EA">
        <w:rPr>
          <w:lang w:val="fr-FR"/>
        </w:rPr>
        <w:t>faire avancer le programme de recherche prioritaire mondial;</w:t>
      </w:r>
      <w:r w:rsidR="008E22A3" w:rsidRPr="007F70EA">
        <w:rPr>
          <w:lang w:val="fr-FR"/>
        </w:rPr>
        <w:t xml:space="preserve"> </w:t>
      </w:r>
      <w:r w:rsidR="00B208AA" w:rsidRPr="007F70EA">
        <w:rPr>
          <w:lang w:val="fr-FR"/>
        </w:rPr>
        <w:t xml:space="preserve"> </w:t>
      </w:r>
      <w:r w:rsidRPr="007F70EA">
        <w:rPr>
          <w:lang w:val="fr-FR"/>
        </w:rPr>
        <w:t>ii)</w:t>
      </w:r>
      <w:r w:rsidR="00B208AA" w:rsidRPr="007F70EA">
        <w:rPr>
          <w:lang w:val="fr-FR"/>
        </w:rPr>
        <w:t> </w:t>
      </w:r>
      <w:r w:rsidRPr="007F70EA">
        <w:rPr>
          <w:lang w:val="fr-FR"/>
        </w:rPr>
        <w:t>établir des collaborations en matière de recherche par thème sur</w:t>
      </w:r>
      <w:r w:rsidR="002160B3" w:rsidRPr="007F70EA">
        <w:rPr>
          <w:lang w:val="fr-FR"/>
        </w:rPr>
        <w:t> :</w:t>
      </w:r>
      <w:r w:rsidRPr="007F70EA">
        <w:rPr>
          <w:lang w:val="fr-FR"/>
        </w:rPr>
        <w:t xml:space="preserve"> les effets, les coûts et l</w:t>
      </w:r>
      <w:r w:rsidR="002160B3" w:rsidRPr="007F70EA">
        <w:rPr>
          <w:lang w:val="fr-FR"/>
        </w:rPr>
        <w:t>’</w:t>
      </w:r>
      <w:r w:rsidRPr="007F70EA">
        <w:rPr>
          <w:lang w:val="fr-FR"/>
        </w:rPr>
        <w:t>impact économique des technologies d</w:t>
      </w:r>
      <w:r w:rsidR="002160B3" w:rsidRPr="007F70EA">
        <w:rPr>
          <w:lang w:val="fr-FR"/>
        </w:rPr>
        <w:t>’</w:t>
      </w:r>
      <w:r w:rsidRPr="007F70EA">
        <w:rPr>
          <w:lang w:val="fr-FR"/>
        </w:rPr>
        <w:t xml:space="preserve">assistance; </w:t>
      </w:r>
      <w:r w:rsidR="00CC68C1" w:rsidRPr="007F70EA">
        <w:rPr>
          <w:lang w:val="fr-FR"/>
        </w:rPr>
        <w:t xml:space="preserve"> </w:t>
      </w:r>
      <w:r w:rsidRPr="007F70EA">
        <w:rPr>
          <w:lang w:val="fr-FR"/>
        </w:rPr>
        <w:t>la politique, les systèmes, les modèles de prestation de services et les bonnes pratiques en matière de technologies d</w:t>
      </w:r>
      <w:r w:rsidR="002160B3" w:rsidRPr="007F70EA">
        <w:rPr>
          <w:lang w:val="fr-FR"/>
        </w:rPr>
        <w:t>’</w:t>
      </w:r>
      <w:r w:rsidRPr="007F70EA">
        <w:rPr>
          <w:lang w:val="fr-FR"/>
        </w:rPr>
        <w:t xml:space="preserve">assistance; </w:t>
      </w:r>
      <w:r w:rsidR="00CC68C1" w:rsidRPr="007F70EA">
        <w:rPr>
          <w:lang w:val="fr-FR"/>
        </w:rPr>
        <w:t xml:space="preserve"> </w:t>
      </w:r>
      <w:r w:rsidRPr="007F70EA">
        <w:rPr>
          <w:lang w:val="fr-FR"/>
        </w:rPr>
        <w:t>des technologies d</w:t>
      </w:r>
      <w:r w:rsidR="002160B3" w:rsidRPr="007F70EA">
        <w:rPr>
          <w:lang w:val="fr-FR"/>
        </w:rPr>
        <w:t>’</w:t>
      </w:r>
      <w:r w:rsidRPr="007F70EA">
        <w:rPr>
          <w:lang w:val="fr-FR"/>
        </w:rPr>
        <w:t xml:space="preserve">assistance de haute qualité et abordables; </w:t>
      </w:r>
      <w:r w:rsidR="00CC68C1" w:rsidRPr="007F70EA">
        <w:rPr>
          <w:lang w:val="fr-FR"/>
        </w:rPr>
        <w:t xml:space="preserve"> </w:t>
      </w:r>
      <w:r w:rsidRPr="007F70EA">
        <w:rPr>
          <w:lang w:val="fr-FR"/>
        </w:rPr>
        <w:t>des ressources humaines pour le secteur des technologies d</w:t>
      </w:r>
      <w:r w:rsidR="002160B3" w:rsidRPr="007F70EA">
        <w:rPr>
          <w:lang w:val="fr-FR"/>
        </w:rPr>
        <w:t>’</w:t>
      </w:r>
      <w:r w:rsidRPr="007F70EA">
        <w:rPr>
          <w:lang w:val="fr-FR"/>
        </w:rPr>
        <w:t>assistance;</w:t>
      </w:r>
      <w:r w:rsidR="00CC68C1" w:rsidRPr="007F70EA">
        <w:rPr>
          <w:lang w:val="fr-FR"/>
        </w:rPr>
        <w:t xml:space="preserve"> </w:t>
      </w:r>
      <w:r w:rsidRPr="007F70EA">
        <w:rPr>
          <w:lang w:val="fr-FR"/>
        </w:rPr>
        <w:t xml:space="preserve"> des normes et méthodologies pour l</w:t>
      </w:r>
      <w:r w:rsidR="002160B3" w:rsidRPr="007F70EA">
        <w:rPr>
          <w:lang w:val="fr-FR"/>
        </w:rPr>
        <w:t>’</w:t>
      </w:r>
      <w:r w:rsidRPr="007F70EA">
        <w:rPr>
          <w:lang w:val="fr-FR"/>
        </w:rPr>
        <w:t>évaluation des besoins en technologies d</w:t>
      </w:r>
      <w:r w:rsidR="002160B3" w:rsidRPr="007F70EA">
        <w:rPr>
          <w:lang w:val="fr-FR"/>
        </w:rPr>
        <w:t>’</w:t>
      </w:r>
      <w:r w:rsidRPr="007F70EA">
        <w:rPr>
          <w:lang w:val="fr-FR"/>
        </w:rPr>
        <w:t>assistance e</w:t>
      </w:r>
      <w:r w:rsidR="00B208AA" w:rsidRPr="007F70EA">
        <w:rPr>
          <w:lang w:val="fr-FR"/>
        </w:rPr>
        <w:t xml:space="preserve">t des besoins non satisfaits;  </w:t>
      </w:r>
      <w:r w:rsidRPr="007F70EA">
        <w:rPr>
          <w:lang w:val="fr-FR"/>
        </w:rPr>
        <w:t>iii)</w:t>
      </w:r>
      <w:r w:rsidR="00B208AA" w:rsidRPr="007F70EA">
        <w:rPr>
          <w:lang w:val="fr-FR"/>
        </w:rPr>
        <w:t> </w:t>
      </w:r>
      <w:r w:rsidRPr="007F70EA">
        <w:rPr>
          <w:lang w:val="fr-FR"/>
        </w:rPr>
        <w:t>identifier de nouvelles sources de financement</w:t>
      </w:r>
      <w:r w:rsidR="00B208AA" w:rsidRPr="007F70EA">
        <w:rPr>
          <w:lang w:val="fr-FR"/>
        </w:rPr>
        <w:t xml:space="preserve"> de la recherche;  </w:t>
      </w:r>
      <w:r w:rsidRPr="007F70EA">
        <w:rPr>
          <w:lang w:val="fr-FR"/>
        </w:rPr>
        <w:t>iv)</w:t>
      </w:r>
      <w:r w:rsidR="00B208AA" w:rsidRPr="007F70EA">
        <w:rPr>
          <w:lang w:val="fr-FR"/>
        </w:rPr>
        <w:t> </w:t>
      </w:r>
      <w:r w:rsidRPr="007F70EA">
        <w:rPr>
          <w:lang w:val="fr-FR"/>
        </w:rPr>
        <w:t>accélérer l</w:t>
      </w:r>
      <w:r w:rsidR="002160B3" w:rsidRPr="007F70EA">
        <w:rPr>
          <w:lang w:val="fr-FR"/>
        </w:rPr>
        <w:t>’</w:t>
      </w:r>
      <w:r w:rsidRPr="007F70EA">
        <w:rPr>
          <w:lang w:val="fr-FR"/>
        </w:rPr>
        <w:t>éducation et</w:t>
      </w:r>
      <w:r w:rsidR="00B208AA" w:rsidRPr="007F70EA">
        <w:rPr>
          <w:lang w:val="fr-FR"/>
        </w:rPr>
        <w:t xml:space="preserve"> la certification innovantes;  </w:t>
      </w:r>
      <w:r w:rsidRPr="007F70EA">
        <w:rPr>
          <w:lang w:val="fr-FR"/>
        </w:rPr>
        <w:t>v)</w:t>
      </w:r>
      <w:r w:rsidR="00B208AA" w:rsidRPr="007F70EA">
        <w:rPr>
          <w:lang w:val="fr-FR"/>
        </w:rPr>
        <w:t> </w:t>
      </w:r>
      <w:r w:rsidRPr="007F70EA">
        <w:rPr>
          <w:lang w:val="fr-FR"/>
        </w:rPr>
        <w:t>travailler à l</w:t>
      </w:r>
      <w:r w:rsidR="002160B3" w:rsidRPr="007F70EA">
        <w:rPr>
          <w:lang w:val="fr-FR"/>
        </w:rPr>
        <w:t>’</w:t>
      </w:r>
      <w:r w:rsidRPr="007F70EA">
        <w:rPr>
          <w:lang w:val="fr-FR"/>
        </w:rPr>
        <w:t>élaboration d</w:t>
      </w:r>
      <w:r w:rsidR="002160B3" w:rsidRPr="007F70EA">
        <w:rPr>
          <w:lang w:val="fr-FR"/>
        </w:rPr>
        <w:t>’</w:t>
      </w:r>
      <w:r w:rsidRPr="007F70EA">
        <w:rPr>
          <w:lang w:val="fr-FR"/>
        </w:rPr>
        <w:t>un instrument commun d</w:t>
      </w:r>
      <w:r w:rsidR="002160B3" w:rsidRPr="007F70EA">
        <w:rPr>
          <w:lang w:val="fr-FR"/>
        </w:rPr>
        <w:t>’</w:t>
      </w:r>
      <w:r w:rsidRPr="007F70EA">
        <w:rPr>
          <w:lang w:val="fr-FR"/>
        </w:rPr>
        <w:t>évaluation de l</w:t>
      </w:r>
      <w:r w:rsidR="002160B3" w:rsidRPr="007F70EA">
        <w:rPr>
          <w:lang w:val="fr-FR"/>
        </w:rPr>
        <w:t>’</w:t>
      </w:r>
      <w:r w:rsidR="00B208AA" w:rsidRPr="007F70EA">
        <w:rPr>
          <w:lang w:val="fr-FR"/>
        </w:rPr>
        <w:t xml:space="preserve">incidence;  et </w:t>
      </w:r>
      <w:r w:rsidRPr="007F70EA">
        <w:rPr>
          <w:lang w:val="fr-FR"/>
        </w:rPr>
        <w:t>vi)</w:t>
      </w:r>
      <w:r w:rsidR="00B208AA" w:rsidRPr="007F70EA">
        <w:rPr>
          <w:lang w:val="fr-FR"/>
        </w:rPr>
        <w:t> </w:t>
      </w:r>
      <w:r w:rsidRPr="007F70EA">
        <w:rPr>
          <w:lang w:val="fr-FR"/>
        </w:rPr>
        <w:t xml:space="preserve">mettre en évidence une recherche et </w:t>
      </w:r>
      <w:r w:rsidR="0060021D" w:rsidRPr="007F70EA">
        <w:rPr>
          <w:lang w:val="fr-FR"/>
        </w:rPr>
        <w:t>une é</w:t>
      </w:r>
      <w:r w:rsidRPr="007F70EA">
        <w:rPr>
          <w:lang w:val="fr-FR"/>
        </w:rPr>
        <w:t>ducation novatrices.</w:t>
      </w:r>
      <w:r w:rsidR="002160B3" w:rsidRPr="007F70EA">
        <w:rPr>
          <w:lang w:val="fr-FR"/>
        </w:rPr>
        <w:t>”</w:t>
      </w:r>
    </w:p>
    <w:p w:rsidR="00A27A71" w:rsidRPr="007F70EA" w:rsidRDefault="00A27A71" w:rsidP="00DC13C2">
      <w:pPr>
        <w:rPr>
          <w:lang w:val="fr-FR"/>
        </w:rPr>
      </w:pPr>
    </w:p>
    <w:p w:rsidR="00A27A71" w:rsidRPr="007F70EA" w:rsidRDefault="00DC13C2" w:rsidP="00DC13C2">
      <w:pPr>
        <w:rPr>
          <w:lang w:val="fr-FR"/>
        </w:rPr>
      </w:pPr>
      <w:r w:rsidRPr="007F70EA">
        <w:rPr>
          <w:u w:val="single"/>
          <w:lang w:val="fr-FR"/>
        </w:rPr>
        <w:t>Description</w:t>
      </w:r>
      <w:r w:rsidR="002160B3" w:rsidRPr="007F70EA">
        <w:rPr>
          <w:lang w:val="fr-FR"/>
        </w:rPr>
        <w:t> :</w:t>
      </w:r>
      <w:r w:rsidRPr="007F70EA">
        <w:rPr>
          <w:lang w:val="fr-FR"/>
        </w:rPr>
        <w:t xml:space="preserve"> </w:t>
      </w:r>
      <w:r w:rsidR="002160B3" w:rsidRPr="007F70EA">
        <w:rPr>
          <w:lang w:val="fr-FR"/>
        </w:rPr>
        <w:t>“</w:t>
      </w:r>
      <w:r w:rsidRPr="007F70EA">
        <w:rPr>
          <w:lang w:val="fr-FR"/>
        </w:rPr>
        <w:t xml:space="preserve">Le Sommet </w:t>
      </w:r>
      <w:r w:rsidR="00A541D6" w:rsidRPr="007F70EA">
        <w:rPr>
          <w:lang w:val="fr-FR"/>
        </w:rPr>
        <w:t>GREAT</w:t>
      </w:r>
      <w:r w:rsidRPr="007F70EA">
        <w:rPr>
          <w:lang w:val="fr-FR"/>
        </w:rPr>
        <w:t xml:space="preserve"> est un projet de l</w:t>
      </w:r>
      <w:r w:rsidR="002160B3" w:rsidRPr="007F70EA">
        <w:rPr>
          <w:lang w:val="fr-FR"/>
        </w:rPr>
        <w:t>’</w:t>
      </w:r>
      <w:r w:rsidRPr="007F70EA">
        <w:rPr>
          <w:lang w:val="fr-FR"/>
        </w:rPr>
        <w:t>initiative de coopération mondiale relative aux technologies d</w:t>
      </w:r>
      <w:r w:rsidR="002160B3" w:rsidRPr="007F70EA">
        <w:rPr>
          <w:lang w:val="fr-FR"/>
        </w:rPr>
        <w:t>’</w:t>
      </w:r>
      <w:r w:rsidRPr="007F70EA">
        <w:rPr>
          <w:lang w:val="fr-FR"/>
        </w:rPr>
        <w:t>assistance (GATE), créée par l</w:t>
      </w:r>
      <w:r w:rsidR="002160B3" w:rsidRPr="007F70EA">
        <w:rPr>
          <w:lang w:val="fr-FR"/>
        </w:rPr>
        <w:t>’</w:t>
      </w:r>
      <w:r w:rsidRPr="007F70EA">
        <w:rPr>
          <w:lang w:val="fr-FR"/>
        </w:rPr>
        <w:t xml:space="preserve">OMS </w:t>
      </w:r>
      <w:r w:rsidR="002160B3" w:rsidRPr="007F70EA">
        <w:rPr>
          <w:lang w:val="fr-FR"/>
        </w:rPr>
        <w:t>en 2014</w:t>
      </w:r>
      <w:r w:rsidRPr="007F70EA">
        <w:rPr>
          <w:lang w:val="fr-FR"/>
        </w:rPr>
        <w:t>, pour accélérer les progrès vers la réalisation d</w:t>
      </w:r>
      <w:r w:rsidR="002160B3" w:rsidRPr="007F70EA">
        <w:rPr>
          <w:lang w:val="fr-FR"/>
        </w:rPr>
        <w:t>’</w:t>
      </w:r>
      <w:r w:rsidRPr="007F70EA">
        <w:rPr>
          <w:lang w:val="fr-FR"/>
        </w:rPr>
        <w:t xml:space="preserve">un monde où tous ceux qui en ont besoin auraient accès à des technologies </w:t>
      </w:r>
      <w:r w:rsidR="00C335AB" w:rsidRPr="007F70EA">
        <w:rPr>
          <w:lang w:val="fr-FR"/>
        </w:rPr>
        <w:t>d</w:t>
      </w:r>
      <w:r w:rsidR="002160B3" w:rsidRPr="007F70EA">
        <w:rPr>
          <w:lang w:val="fr-FR"/>
        </w:rPr>
        <w:t>’</w:t>
      </w:r>
      <w:r w:rsidR="00C335AB" w:rsidRPr="007F70EA">
        <w:rPr>
          <w:lang w:val="fr-FR"/>
        </w:rPr>
        <w:t xml:space="preserve">assistance </w:t>
      </w:r>
      <w:r w:rsidRPr="007F70EA">
        <w:rPr>
          <w:lang w:val="fr-FR"/>
        </w:rPr>
        <w:t>de haute qualité et abordables pour mener une vie saine et producti</w:t>
      </w:r>
      <w:r w:rsidR="00B208AA" w:rsidRPr="007F70EA">
        <w:rPr>
          <w:lang w:val="fr-FR"/>
        </w:rPr>
        <w:t>ve.  Le</w:t>
      </w:r>
      <w:r w:rsidRPr="007F70EA">
        <w:rPr>
          <w:lang w:val="fr-FR"/>
        </w:rPr>
        <w:t xml:space="preserve"> Sommet </w:t>
      </w:r>
      <w:r w:rsidR="00A541D6" w:rsidRPr="007F70EA">
        <w:rPr>
          <w:lang w:val="fr-FR"/>
        </w:rPr>
        <w:t>GREAT</w:t>
      </w:r>
      <w:r w:rsidRPr="007F70EA">
        <w:rPr>
          <w:lang w:val="fr-FR"/>
        </w:rPr>
        <w:t xml:space="preserve"> vise à faire avancer le programme mondial de recherche en technologies d</w:t>
      </w:r>
      <w:r w:rsidR="002160B3" w:rsidRPr="007F70EA">
        <w:rPr>
          <w:lang w:val="fr-FR"/>
        </w:rPr>
        <w:t>’</w:t>
      </w:r>
      <w:r w:rsidRPr="007F70EA">
        <w:rPr>
          <w:lang w:val="fr-FR"/>
        </w:rPr>
        <w:t xml:space="preserve">assistance, à mettre sur pied des collaborations en matière de recherche, à accélérer </w:t>
      </w:r>
      <w:r w:rsidR="006A55FA" w:rsidRPr="007F70EA">
        <w:rPr>
          <w:lang w:val="fr-FR"/>
        </w:rPr>
        <w:t>les progrès en termes d</w:t>
      </w:r>
      <w:r w:rsidR="002160B3" w:rsidRPr="007F70EA">
        <w:rPr>
          <w:lang w:val="fr-FR"/>
        </w:rPr>
        <w:t>’</w:t>
      </w:r>
      <w:r w:rsidRPr="007F70EA">
        <w:rPr>
          <w:lang w:val="fr-FR"/>
        </w:rPr>
        <w:t xml:space="preserve">éducation et </w:t>
      </w:r>
      <w:r w:rsidR="006A55FA" w:rsidRPr="007F70EA">
        <w:rPr>
          <w:lang w:val="fr-FR"/>
        </w:rPr>
        <w:t>de</w:t>
      </w:r>
      <w:r w:rsidRPr="007F70EA">
        <w:rPr>
          <w:lang w:val="fr-FR"/>
        </w:rPr>
        <w:t xml:space="preserve"> certification innovantes et à mettre en évidence des développements novateurs dans le secteur des technologies d</w:t>
      </w:r>
      <w:r w:rsidR="002160B3" w:rsidRPr="007F70EA">
        <w:rPr>
          <w:lang w:val="fr-FR"/>
        </w:rPr>
        <w:t>’</w:t>
      </w:r>
      <w:r w:rsidRPr="007F70EA">
        <w:rPr>
          <w:lang w:val="fr-FR"/>
        </w:rPr>
        <w:t>assistance</w:t>
      </w:r>
      <w:r w:rsidR="002160B3" w:rsidRPr="007F70EA">
        <w:rPr>
          <w:lang w:val="fr-FR"/>
        </w:rPr>
        <w:t>”</w:t>
      </w:r>
      <w:r w:rsidRPr="007F70EA">
        <w:rPr>
          <w:lang w:val="fr-FR"/>
        </w:rPr>
        <w:t>.</w:t>
      </w:r>
    </w:p>
    <w:p w:rsidR="00A27A71" w:rsidRPr="007F70EA" w:rsidRDefault="00A27A71" w:rsidP="00DC13C2">
      <w:pPr>
        <w:rPr>
          <w:lang w:val="fr-FR"/>
        </w:rPr>
      </w:pPr>
    </w:p>
    <w:p w:rsidR="00A27A71" w:rsidRPr="007F70EA" w:rsidRDefault="00C335AB" w:rsidP="00DC13C2">
      <w:pPr>
        <w:rPr>
          <w:lang w:val="fr-FR"/>
        </w:rPr>
      </w:pPr>
      <w:r w:rsidRPr="007F70EA">
        <w:rPr>
          <w:u w:val="single"/>
          <w:lang w:val="fr-FR"/>
        </w:rPr>
        <w:t>Référence</w:t>
      </w:r>
      <w:r w:rsidR="002160B3" w:rsidRPr="007F70EA">
        <w:rPr>
          <w:lang w:val="fr-FR"/>
        </w:rPr>
        <w:t> :</w:t>
      </w:r>
      <w:r w:rsidR="00DC13C2" w:rsidRPr="007F70EA">
        <w:rPr>
          <w:lang w:val="fr-FR"/>
        </w:rPr>
        <w:t xml:space="preserve"> http://www.who.int/phi/implementation/assistive_technology/great_summit/en/</w:t>
      </w:r>
    </w:p>
    <w:p w:rsidR="00A27A71" w:rsidRPr="007F70EA" w:rsidRDefault="00A27A71" w:rsidP="00DC13C2">
      <w:pPr>
        <w:rPr>
          <w:lang w:val="fr-FR"/>
        </w:rPr>
      </w:pPr>
    </w:p>
    <w:p w:rsidR="003375EF" w:rsidRPr="007F70EA" w:rsidRDefault="003375EF" w:rsidP="00DC13C2">
      <w:pPr>
        <w:rPr>
          <w:lang w:val="fr-FR"/>
        </w:rPr>
      </w:pPr>
    </w:p>
    <w:p w:rsidR="00A27A71" w:rsidRPr="007F70EA" w:rsidRDefault="00A60473" w:rsidP="007F70EA">
      <w:pPr>
        <w:keepNext/>
        <w:rPr>
          <w:b/>
          <w:lang w:val="fr-FR"/>
        </w:rPr>
      </w:pPr>
      <w:r w:rsidRPr="007F70EA">
        <w:rPr>
          <w:b/>
          <w:bCs/>
          <w:lang w:val="fr-FR"/>
        </w:rPr>
        <w:t>Groupe consultatif interinstitutions sur les petits États insulaires en développement</w:t>
      </w:r>
    </w:p>
    <w:p w:rsidR="00A27A71" w:rsidRPr="007F70EA" w:rsidRDefault="00A27A71" w:rsidP="00A60473">
      <w:pPr>
        <w:rPr>
          <w:lang w:val="fr-FR"/>
        </w:rPr>
      </w:pPr>
    </w:p>
    <w:p w:rsidR="002160B3" w:rsidRPr="007F70EA" w:rsidRDefault="00A60473" w:rsidP="00A60473">
      <w:pPr>
        <w:rPr>
          <w:lang w:val="fr-FR"/>
        </w:rPr>
      </w:pPr>
      <w:r w:rsidRPr="007F70EA">
        <w:rPr>
          <w:u w:val="single"/>
          <w:lang w:val="fr-FR"/>
        </w:rPr>
        <w:t>Organisation coordinatrice</w:t>
      </w:r>
      <w:r w:rsidR="002160B3" w:rsidRPr="007F70EA">
        <w:rPr>
          <w:lang w:val="fr-FR"/>
        </w:rPr>
        <w:t> :</w:t>
      </w:r>
      <w:r w:rsidRPr="007F70EA">
        <w:rPr>
          <w:lang w:val="fr-FR"/>
        </w:rPr>
        <w:t xml:space="preserve"> </w:t>
      </w:r>
      <w:r w:rsidR="002160B3" w:rsidRPr="007F70EA">
        <w:rPr>
          <w:lang w:val="fr-FR"/>
        </w:rPr>
        <w:t>Nations Unies</w:t>
      </w:r>
    </w:p>
    <w:p w:rsidR="00A27A71" w:rsidRPr="007F70EA" w:rsidRDefault="00A27A71" w:rsidP="00A60473">
      <w:pPr>
        <w:rPr>
          <w:lang w:val="fr-FR"/>
        </w:rPr>
      </w:pPr>
    </w:p>
    <w:p w:rsidR="00A27A71" w:rsidRPr="007F70EA" w:rsidRDefault="00A60473" w:rsidP="00A60473">
      <w:pPr>
        <w:rPr>
          <w:lang w:val="fr-FR"/>
        </w:rPr>
      </w:pPr>
      <w:r w:rsidRPr="007F70EA">
        <w:rPr>
          <w:u w:val="single"/>
          <w:lang w:val="fr-FR"/>
        </w:rPr>
        <w:t>Thématique</w:t>
      </w:r>
      <w:r w:rsidR="002160B3" w:rsidRPr="007F70EA">
        <w:rPr>
          <w:lang w:val="fr-FR"/>
        </w:rPr>
        <w:t> :</w:t>
      </w:r>
      <w:r w:rsidR="003375EF" w:rsidRPr="007F70EA">
        <w:rPr>
          <w:lang w:val="fr-FR"/>
        </w:rPr>
        <w:t xml:space="preserve"> l</w:t>
      </w:r>
      <w:r w:rsidRPr="007F70EA">
        <w:rPr>
          <w:lang w:val="fr-FR"/>
        </w:rPr>
        <w:t>e développement</w:t>
      </w:r>
    </w:p>
    <w:p w:rsidR="00A27A71" w:rsidRPr="007F70EA" w:rsidRDefault="00A27A71" w:rsidP="00A60473">
      <w:pPr>
        <w:rPr>
          <w:lang w:val="fr-FR"/>
        </w:rPr>
      </w:pPr>
    </w:p>
    <w:p w:rsidR="00A27A71" w:rsidRPr="007F70EA" w:rsidRDefault="00A60473" w:rsidP="00A60473">
      <w:pPr>
        <w:rPr>
          <w:lang w:val="fr-FR"/>
        </w:rPr>
      </w:pPr>
      <w:r w:rsidRPr="007F70EA">
        <w:rPr>
          <w:u w:val="single"/>
          <w:lang w:val="fr-FR"/>
        </w:rPr>
        <w:lastRenderedPageBreak/>
        <w:t>Participants</w:t>
      </w:r>
      <w:r w:rsidR="002160B3" w:rsidRPr="007F70EA">
        <w:rPr>
          <w:lang w:val="fr-FR"/>
        </w:rPr>
        <w:t> :</w:t>
      </w:r>
      <w:r w:rsidRPr="007F70EA">
        <w:rPr>
          <w:lang w:val="fr-FR"/>
        </w:rPr>
        <w:t xml:space="preserve"> États; </w:t>
      </w:r>
      <w:r w:rsidR="00CC68C1" w:rsidRPr="007F70EA">
        <w:rPr>
          <w:lang w:val="fr-FR"/>
        </w:rPr>
        <w:t xml:space="preserve"> </w:t>
      </w:r>
      <w:r w:rsidRPr="007F70EA">
        <w:rPr>
          <w:lang w:val="fr-FR"/>
        </w:rPr>
        <w:t>organisations intergouvernementales</w:t>
      </w:r>
    </w:p>
    <w:p w:rsidR="00A27A71" w:rsidRPr="007F70EA" w:rsidRDefault="00A27A71" w:rsidP="00A60473">
      <w:pPr>
        <w:rPr>
          <w:lang w:val="fr-FR"/>
        </w:rPr>
      </w:pPr>
    </w:p>
    <w:p w:rsidR="00A27A71" w:rsidRPr="007F70EA" w:rsidRDefault="00A60473" w:rsidP="00A60473">
      <w:pPr>
        <w:rPr>
          <w:lang w:val="fr-FR"/>
        </w:rPr>
      </w:pPr>
      <w:r w:rsidRPr="007F70EA">
        <w:rPr>
          <w:u w:val="single"/>
          <w:lang w:val="fr-FR"/>
        </w:rPr>
        <w:t>Lien avec le transfert de technologie</w:t>
      </w:r>
      <w:r w:rsidR="002160B3" w:rsidRPr="007F70EA">
        <w:rPr>
          <w:lang w:val="fr-FR"/>
        </w:rPr>
        <w:t> :</w:t>
      </w:r>
      <w:r w:rsidRPr="007F70EA">
        <w:rPr>
          <w:lang w:val="fr-FR"/>
        </w:rPr>
        <w:t xml:space="preserve"> Programme d</w:t>
      </w:r>
      <w:r w:rsidR="002160B3" w:rsidRPr="007F70EA">
        <w:rPr>
          <w:lang w:val="fr-FR"/>
        </w:rPr>
        <w:t>’</w:t>
      </w:r>
      <w:r w:rsidRPr="007F70EA">
        <w:rPr>
          <w:lang w:val="fr-FR"/>
        </w:rPr>
        <w:t>action d</w:t>
      </w:r>
      <w:r w:rsidR="002160B3" w:rsidRPr="007F70EA">
        <w:rPr>
          <w:lang w:val="fr-FR"/>
        </w:rPr>
        <w:t>’</w:t>
      </w:r>
      <w:r w:rsidRPr="007F70EA">
        <w:rPr>
          <w:lang w:val="fr-FR"/>
        </w:rPr>
        <w:t>Addis</w:t>
      </w:r>
      <w:r w:rsidR="007F70EA">
        <w:rPr>
          <w:lang w:val="fr-FR"/>
        </w:rPr>
        <w:noBreakHyphen/>
      </w:r>
      <w:r w:rsidRPr="007F70EA">
        <w:rPr>
          <w:lang w:val="fr-FR"/>
        </w:rPr>
        <w:t>Abeba</w:t>
      </w:r>
      <w:r w:rsidR="002160B3" w:rsidRPr="007F70EA">
        <w:rPr>
          <w:lang w:val="fr-FR"/>
        </w:rPr>
        <w:t> :</w:t>
      </w:r>
      <w:r w:rsidRPr="007F70EA">
        <w:rPr>
          <w:lang w:val="fr-FR"/>
        </w:rPr>
        <w:t xml:space="preserve"> </w:t>
      </w:r>
      <w:r w:rsidR="002160B3" w:rsidRPr="007F70EA">
        <w:rPr>
          <w:lang w:val="fr-FR"/>
        </w:rPr>
        <w:t>“</w:t>
      </w:r>
      <w:r w:rsidRPr="007F70EA">
        <w:rPr>
          <w:lang w:val="fr-FR"/>
        </w:rPr>
        <w:t xml:space="preserve">Nous engageons la communauté internationale, notamment les banques de développement régionales et internationales, les donateurs bilatéraux, le système des </w:t>
      </w:r>
      <w:r w:rsidR="002160B3" w:rsidRPr="007F70EA">
        <w:rPr>
          <w:lang w:val="fr-FR"/>
        </w:rPr>
        <w:t>Nations Unies</w:t>
      </w:r>
      <w:r w:rsidRPr="007F70EA">
        <w:rPr>
          <w:lang w:val="fr-FR"/>
        </w:rPr>
        <w:t>, l</w:t>
      </w:r>
      <w:r w:rsidR="002160B3" w:rsidRPr="007F70EA">
        <w:rPr>
          <w:lang w:val="fr-FR"/>
        </w:rPr>
        <w:t>’</w:t>
      </w:r>
      <w:r w:rsidRPr="007F70EA">
        <w:rPr>
          <w:lang w:val="fr-FR"/>
        </w:rPr>
        <w:t>Agence internationale pour les énergies renouvelables et les autres parties prenantes à continuer de fournir un appui suffisant, notamment en ce qui concerne le transfert de technologies et le renforcement des capacités nécessaires pour élaborer et mettre en œuvre, aux niveaux national, régional et interrégional, selon des modalités arrêtées d</w:t>
      </w:r>
      <w:r w:rsidR="002160B3" w:rsidRPr="007F70EA">
        <w:rPr>
          <w:lang w:val="fr-FR"/>
        </w:rPr>
        <w:t>’</w:t>
      </w:r>
      <w:r w:rsidRPr="007F70EA">
        <w:rPr>
          <w:lang w:val="fr-FR"/>
        </w:rPr>
        <w:t>un commun accord, des politiques, plans et stratégies énergétiques visant à remédier aux vulnérabilités propres aux petits États insulaires en développement.</w:t>
      </w:r>
      <w:r w:rsidR="002160B3" w:rsidRPr="007F70EA">
        <w:rPr>
          <w:lang w:val="fr-FR"/>
        </w:rPr>
        <w:t>”</w:t>
      </w:r>
    </w:p>
    <w:p w:rsidR="00A27A71" w:rsidRPr="007F70EA" w:rsidRDefault="00A27A71" w:rsidP="00A60473">
      <w:pPr>
        <w:rPr>
          <w:lang w:val="fr-FR"/>
        </w:rPr>
      </w:pPr>
    </w:p>
    <w:p w:rsidR="00A27A71" w:rsidRPr="007F70EA" w:rsidRDefault="00A60473" w:rsidP="00A60473">
      <w:pPr>
        <w:rPr>
          <w:lang w:val="fr-FR"/>
        </w:rPr>
      </w:pPr>
      <w:r w:rsidRPr="007F70EA">
        <w:rPr>
          <w:u w:val="single"/>
          <w:lang w:val="fr-FR"/>
        </w:rPr>
        <w:t>Description</w:t>
      </w:r>
      <w:r w:rsidR="002160B3" w:rsidRPr="007F70EA">
        <w:rPr>
          <w:lang w:val="fr-FR"/>
        </w:rPr>
        <w:t> :</w:t>
      </w:r>
      <w:r w:rsidRPr="007F70EA">
        <w:rPr>
          <w:lang w:val="fr-FR"/>
        </w:rPr>
        <w:t xml:space="preserve"> </w:t>
      </w:r>
      <w:r w:rsidR="002160B3" w:rsidRPr="007F70EA">
        <w:rPr>
          <w:lang w:val="fr-FR"/>
        </w:rPr>
        <w:t>“</w:t>
      </w:r>
      <w:r w:rsidRPr="007F70EA">
        <w:rPr>
          <w:lang w:val="fr-FR"/>
        </w:rPr>
        <w:t xml:space="preserve">Le Groupe consultatif interinstitutions constitue un mécanisme consultatif informel au niveau opérationnel qui rassemble les coordonnateurs des petits États insulaires en développement des agences des </w:t>
      </w:r>
      <w:r w:rsidR="002160B3" w:rsidRPr="007F70EA">
        <w:rPr>
          <w:lang w:val="fr-FR"/>
        </w:rPr>
        <w:t>Nations Unies</w:t>
      </w:r>
      <w:r w:rsidRPr="007F70EA">
        <w:rPr>
          <w:lang w:val="fr-FR"/>
        </w:rPr>
        <w:t xml:space="preserve"> concernées, ainsi que les organisations intergouvernementales internationales et régionales (OIG) afin d</w:t>
      </w:r>
      <w:r w:rsidR="002160B3" w:rsidRPr="007F70EA">
        <w:rPr>
          <w:lang w:val="fr-FR"/>
        </w:rPr>
        <w:t>’</w:t>
      </w:r>
      <w:r w:rsidRPr="007F70EA">
        <w:rPr>
          <w:lang w:val="fr-FR"/>
        </w:rPr>
        <w:t>échanger points de vue et informatio</w:t>
      </w:r>
      <w:r w:rsidR="00B208AA" w:rsidRPr="007F70EA">
        <w:rPr>
          <w:lang w:val="fr-FR"/>
        </w:rPr>
        <w:t>ns.  Le</w:t>
      </w:r>
      <w:r w:rsidRPr="007F70EA">
        <w:rPr>
          <w:lang w:val="fr-FR"/>
        </w:rPr>
        <w:t xml:space="preserve"> groupe étudie les moyens visant à renforcer les actions coordonnées et concertées en faveur des petits États insulaires en développement</w:t>
      </w:r>
      <w:r w:rsidRPr="007F70EA">
        <w:rPr>
          <w:b/>
          <w:bCs/>
          <w:lang w:val="fr-FR"/>
        </w:rPr>
        <w:t xml:space="preserve"> </w:t>
      </w:r>
      <w:r w:rsidRPr="007F70EA">
        <w:rPr>
          <w:lang w:val="fr-FR"/>
        </w:rPr>
        <w:t>pour la mise en œuvre des Modalités d</w:t>
      </w:r>
      <w:r w:rsidR="002160B3" w:rsidRPr="007F70EA">
        <w:rPr>
          <w:lang w:val="fr-FR"/>
        </w:rPr>
        <w:t>’</w:t>
      </w:r>
      <w:r w:rsidRPr="007F70EA">
        <w:rPr>
          <w:lang w:val="fr-FR"/>
        </w:rPr>
        <w:t>action accélérées des petits États insulaires en développement (Orientations de Samoa) basée sur leurs domaines d</w:t>
      </w:r>
      <w:r w:rsidR="002160B3" w:rsidRPr="007F70EA">
        <w:rPr>
          <w:lang w:val="fr-FR"/>
        </w:rPr>
        <w:t>’</w:t>
      </w:r>
      <w:r w:rsidRPr="007F70EA">
        <w:rPr>
          <w:lang w:val="fr-FR"/>
        </w:rPr>
        <w:t>expertise respectifs.</w:t>
      </w:r>
      <w:r w:rsidR="002160B3" w:rsidRPr="007F70EA">
        <w:rPr>
          <w:lang w:val="fr-FR"/>
        </w:rPr>
        <w:t>”</w:t>
      </w:r>
    </w:p>
    <w:p w:rsidR="00A27A71" w:rsidRPr="007F70EA" w:rsidRDefault="00A27A71" w:rsidP="00A60473">
      <w:pPr>
        <w:rPr>
          <w:lang w:val="fr-FR"/>
        </w:rPr>
      </w:pPr>
    </w:p>
    <w:p w:rsidR="00A27A71" w:rsidRPr="007F70EA" w:rsidRDefault="00A60473" w:rsidP="00A60473">
      <w:pPr>
        <w:rPr>
          <w:i/>
          <w:lang w:val="fr-FR"/>
        </w:rPr>
      </w:pPr>
      <w:r w:rsidRPr="007F70EA">
        <w:rPr>
          <w:u w:val="single"/>
          <w:lang w:val="fr-FR"/>
        </w:rPr>
        <w:t>Fréquence</w:t>
      </w:r>
      <w:r w:rsidR="002160B3" w:rsidRPr="007F70EA">
        <w:rPr>
          <w:lang w:val="fr-FR"/>
        </w:rPr>
        <w:t> :</w:t>
      </w:r>
      <w:r w:rsidR="00A01EBF" w:rsidRPr="007F70EA">
        <w:rPr>
          <w:lang w:val="fr-FR"/>
        </w:rPr>
        <w:t xml:space="preserve"> </w:t>
      </w:r>
      <w:r w:rsidR="003375EF" w:rsidRPr="007F70EA">
        <w:rPr>
          <w:i/>
          <w:iCs/>
          <w:lang w:val="fr-FR"/>
        </w:rPr>
        <w:t>a</w:t>
      </w:r>
      <w:r w:rsidRPr="007F70EA">
        <w:rPr>
          <w:i/>
          <w:iCs/>
          <w:lang w:val="fr-FR"/>
        </w:rPr>
        <w:t>d</w:t>
      </w:r>
      <w:r w:rsidR="00CC68C1" w:rsidRPr="007F70EA">
        <w:rPr>
          <w:i/>
          <w:iCs/>
          <w:lang w:val="fr-FR"/>
        </w:rPr>
        <w:t> </w:t>
      </w:r>
      <w:r w:rsidRPr="007F70EA">
        <w:rPr>
          <w:i/>
          <w:iCs/>
          <w:lang w:val="fr-FR"/>
        </w:rPr>
        <w:t>hoc</w:t>
      </w:r>
    </w:p>
    <w:p w:rsidR="00A27A71" w:rsidRPr="007F70EA" w:rsidRDefault="00A27A71" w:rsidP="00A60473">
      <w:pPr>
        <w:rPr>
          <w:lang w:val="fr-FR"/>
        </w:rPr>
      </w:pPr>
    </w:p>
    <w:p w:rsidR="002160B3" w:rsidRPr="007F70EA" w:rsidRDefault="00A60473" w:rsidP="00A60473">
      <w:pPr>
        <w:rPr>
          <w:lang w:val="fr-FR"/>
        </w:rPr>
      </w:pPr>
      <w:r w:rsidRPr="007F70EA">
        <w:rPr>
          <w:u w:val="single"/>
          <w:lang w:val="fr-FR"/>
        </w:rPr>
        <w:t>Référence</w:t>
      </w:r>
      <w:r w:rsidR="002160B3" w:rsidRPr="007F70EA">
        <w:rPr>
          <w:lang w:val="fr-FR"/>
        </w:rPr>
        <w:t> :</w:t>
      </w:r>
      <w:r w:rsidRPr="007F70EA">
        <w:rPr>
          <w:lang w:val="fr-FR"/>
        </w:rPr>
        <w:t xml:space="preserve"> https://sustainabledevelopment.un.org/topics/sids/iacg</w:t>
      </w:r>
    </w:p>
    <w:p w:rsidR="003375EF" w:rsidRPr="007F70EA" w:rsidRDefault="003375EF" w:rsidP="00A60473">
      <w:pPr>
        <w:rPr>
          <w:lang w:val="fr-FR"/>
        </w:rPr>
      </w:pPr>
    </w:p>
    <w:p w:rsidR="003375EF" w:rsidRPr="007F70EA" w:rsidRDefault="003375EF" w:rsidP="00DC13C2">
      <w:pPr>
        <w:rPr>
          <w:b/>
          <w:bCs/>
          <w:lang w:val="fr-FR"/>
        </w:rPr>
      </w:pPr>
    </w:p>
    <w:p w:rsidR="00A27A71" w:rsidRPr="007F70EA" w:rsidRDefault="00DC13C2" w:rsidP="00DC13C2">
      <w:pPr>
        <w:rPr>
          <w:b/>
          <w:lang w:val="fr-FR"/>
        </w:rPr>
      </w:pPr>
      <w:r w:rsidRPr="007F70EA">
        <w:rPr>
          <w:b/>
          <w:bCs/>
          <w:lang w:val="fr-FR"/>
        </w:rPr>
        <w:t xml:space="preserve">Groupe de coordination </w:t>
      </w:r>
      <w:r w:rsidR="0060021D" w:rsidRPr="007F70EA">
        <w:rPr>
          <w:b/>
          <w:bCs/>
          <w:lang w:val="fr-FR"/>
        </w:rPr>
        <w:t>interinstitutions</w:t>
      </w:r>
      <w:r w:rsidRPr="007F70EA">
        <w:rPr>
          <w:b/>
          <w:bCs/>
          <w:lang w:val="fr-FR"/>
        </w:rPr>
        <w:t xml:space="preserve"> sur la résistance aux agents microbiens</w:t>
      </w:r>
    </w:p>
    <w:p w:rsidR="00A27A71" w:rsidRPr="007F70EA" w:rsidRDefault="00A27A71" w:rsidP="00DC13C2">
      <w:pPr>
        <w:rPr>
          <w:lang w:val="fr-FR"/>
        </w:rPr>
      </w:pPr>
    </w:p>
    <w:p w:rsidR="00A27A71" w:rsidRPr="007F70EA" w:rsidRDefault="00DC13C2" w:rsidP="00DC13C2">
      <w:pPr>
        <w:rPr>
          <w:lang w:val="fr-FR"/>
        </w:rPr>
      </w:pPr>
      <w:r w:rsidRPr="007F70EA">
        <w:rPr>
          <w:u w:val="single"/>
          <w:lang w:val="fr-FR"/>
        </w:rPr>
        <w:t>Organisations coordinatrices</w:t>
      </w:r>
      <w:r w:rsidR="002160B3" w:rsidRPr="007F70EA">
        <w:rPr>
          <w:lang w:val="fr-FR"/>
        </w:rPr>
        <w:t> :</w:t>
      </w:r>
      <w:r w:rsidRPr="007F70EA">
        <w:rPr>
          <w:lang w:val="fr-FR"/>
        </w:rPr>
        <w:t xml:space="preserve"> </w:t>
      </w:r>
      <w:r w:rsidR="002160B3" w:rsidRPr="007F70EA">
        <w:rPr>
          <w:lang w:val="fr-FR"/>
        </w:rPr>
        <w:t>Nations Unies</w:t>
      </w:r>
      <w:r w:rsidRPr="007F70EA">
        <w:rPr>
          <w:lang w:val="fr-FR"/>
        </w:rPr>
        <w:t xml:space="preserve">; </w:t>
      </w:r>
      <w:r w:rsidR="00CC68C1" w:rsidRPr="007F70EA">
        <w:rPr>
          <w:lang w:val="fr-FR"/>
        </w:rPr>
        <w:t xml:space="preserve"> </w:t>
      </w:r>
      <w:r w:rsidRPr="007F70EA">
        <w:rPr>
          <w:lang w:val="fr-FR"/>
        </w:rPr>
        <w:t xml:space="preserve">Organisation mondiale de la </w:t>
      </w:r>
      <w:r w:rsidR="00CC68C1" w:rsidRPr="007F70EA">
        <w:rPr>
          <w:lang w:val="fr-FR"/>
        </w:rPr>
        <w:t>Santé</w:t>
      </w:r>
      <w:r w:rsidRPr="007F70EA">
        <w:rPr>
          <w:lang w:val="fr-FR"/>
        </w:rPr>
        <w:t xml:space="preserve"> (OMS)</w:t>
      </w:r>
    </w:p>
    <w:p w:rsidR="00A27A71" w:rsidRPr="007F70EA" w:rsidRDefault="00A27A71" w:rsidP="00DC13C2">
      <w:pPr>
        <w:rPr>
          <w:lang w:val="fr-FR"/>
        </w:rPr>
      </w:pPr>
    </w:p>
    <w:p w:rsidR="00A27A71" w:rsidRPr="007F70EA" w:rsidRDefault="00DC13C2" w:rsidP="00DC13C2">
      <w:pPr>
        <w:rPr>
          <w:lang w:val="fr-FR"/>
        </w:rPr>
      </w:pPr>
      <w:r w:rsidRPr="007F70EA">
        <w:rPr>
          <w:u w:val="single"/>
          <w:lang w:val="fr-FR"/>
        </w:rPr>
        <w:t>Thématique</w:t>
      </w:r>
      <w:r w:rsidR="002160B3" w:rsidRPr="007F70EA">
        <w:rPr>
          <w:lang w:val="fr-FR"/>
        </w:rPr>
        <w:t> :</w:t>
      </w:r>
      <w:r w:rsidR="00A01EBF" w:rsidRPr="007F70EA">
        <w:rPr>
          <w:lang w:val="fr-FR"/>
        </w:rPr>
        <w:t xml:space="preserve"> </w:t>
      </w:r>
      <w:r w:rsidR="003375EF" w:rsidRPr="007F70EA">
        <w:rPr>
          <w:lang w:val="fr-FR"/>
        </w:rPr>
        <w:t>l</w:t>
      </w:r>
      <w:r w:rsidRPr="007F70EA">
        <w:rPr>
          <w:lang w:val="fr-FR"/>
        </w:rPr>
        <w:t>a santé publique</w:t>
      </w:r>
    </w:p>
    <w:p w:rsidR="00A27A71" w:rsidRPr="007F70EA" w:rsidRDefault="00A27A71" w:rsidP="00DC13C2">
      <w:pPr>
        <w:rPr>
          <w:lang w:val="fr-FR"/>
        </w:rPr>
      </w:pPr>
    </w:p>
    <w:p w:rsidR="00A27A71" w:rsidRPr="007F70EA" w:rsidRDefault="00DC13C2" w:rsidP="00DC13C2">
      <w:pPr>
        <w:rPr>
          <w:lang w:val="fr-FR"/>
        </w:rPr>
      </w:pPr>
      <w:r w:rsidRPr="007F70EA">
        <w:rPr>
          <w:u w:val="single"/>
          <w:lang w:val="fr-FR"/>
        </w:rPr>
        <w:t>Participants</w:t>
      </w:r>
      <w:r w:rsidR="002160B3" w:rsidRPr="007F70EA">
        <w:rPr>
          <w:lang w:val="fr-FR"/>
        </w:rPr>
        <w:t> :</w:t>
      </w:r>
      <w:r w:rsidRPr="007F70EA">
        <w:rPr>
          <w:lang w:val="fr-FR"/>
        </w:rPr>
        <w:t xml:space="preserve"> États; </w:t>
      </w:r>
      <w:r w:rsidR="00CC68C1" w:rsidRPr="007F70EA">
        <w:rPr>
          <w:lang w:val="fr-FR"/>
        </w:rPr>
        <w:t xml:space="preserve"> </w:t>
      </w:r>
      <w:r w:rsidRPr="007F70EA">
        <w:rPr>
          <w:lang w:val="fr-FR"/>
        </w:rPr>
        <w:t>organisations intergouvernementales</w:t>
      </w:r>
    </w:p>
    <w:p w:rsidR="00A27A71" w:rsidRPr="007F70EA" w:rsidRDefault="00A27A71" w:rsidP="00DC13C2">
      <w:pPr>
        <w:rPr>
          <w:lang w:val="fr-FR"/>
        </w:rPr>
      </w:pPr>
    </w:p>
    <w:p w:rsidR="00A27A71" w:rsidRPr="007F70EA" w:rsidRDefault="00DC13C2" w:rsidP="00DC13C2">
      <w:pPr>
        <w:rPr>
          <w:lang w:val="fr-FR"/>
        </w:rPr>
      </w:pPr>
      <w:r w:rsidRPr="007F70EA">
        <w:rPr>
          <w:u w:val="single"/>
          <w:lang w:val="fr-FR"/>
        </w:rPr>
        <w:t>Lien avec le transfert de technologie</w:t>
      </w:r>
      <w:r w:rsidR="002160B3" w:rsidRPr="007F70EA">
        <w:rPr>
          <w:lang w:val="fr-FR"/>
        </w:rPr>
        <w:t> :</w:t>
      </w:r>
      <w:r w:rsidRPr="007F70EA">
        <w:rPr>
          <w:lang w:val="fr-FR"/>
        </w:rPr>
        <w:t xml:space="preserve"> Il est attendu du Groupe de coordination </w:t>
      </w:r>
      <w:r w:rsidR="0060021D" w:rsidRPr="007F70EA">
        <w:rPr>
          <w:lang w:val="fr-FR"/>
        </w:rPr>
        <w:t>interinstitutions</w:t>
      </w:r>
      <w:r w:rsidRPr="007F70EA">
        <w:rPr>
          <w:lang w:val="fr-FR"/>
        </w:rPr>
        <w:t xml:space="preserve"> sur la résistance aux agents microbiens qu</w:t>
      </w:r>
      <w:r w:rsidR="002160B3" w:rsidRPr="007F70EA">
        <w:rPr>
          <w:lang w:val="fr-FR"/>
        </w:rPr>
        <w:t>’</w:t>
      </w:r>
      <w:r w:rsidRPr="007F70EA">
        <w:rPr>
          <w:lang w:val="fr-FR"/>
        </w:rPr>
        <w:t xml:space="preserve">il </w:t>
      </w:r>
      <w:r w:rsidR="002160B3" w:rsidRPr="007F70EA">
        <w:rPr>
          <w:lang w:val="fr-FR"/>
        </w:rPr>
        <w:t>“</w:t>
      </w:r>
      <w:r w:rsidRPr="007F70EA">
        <w:rPr>
          <w:lang w:val="fr-FR"/>
        </w:rPr>
        <w:t>[encourage] le renforcement des capacités, les transferts de technologies à des conditions mutuellement satisfaisantes, ainsi que l</w:t>
      </w:r>
      <w:r w:rsidR="002160B3" w:rsidRPr="007F70EA">
        <w:rPr>
          <w:lang w:val="fr-FR"/>
        </w:rPr>
        <w:t>’</w:t>
      </w:r>
      <w:r w:rsidRPr="007F70EA">
        <w:rPr>
          <w:lang w:val="fr-FR"/>
        </w:rPr>
        <w:t>assistance et la coopération techniques en matière de contrôle et de prévention de la résistance aux agents antimicrobiens, de même que le renforcement de la coopération internationale et des moyens de financement aux fins de l</w:t>
      </w:r>
      <w:r w:rsidR="002160B3" w:rsidRPr="007F70EA">
        <w:rPr>
          <w:lang w:val="fr-FR"/>
        </w:rPr>
        <w:t>’</w:t>
      </w:r>
      <w:r w:rsidRPr="007F70EA">
        <w:rPr>
          <w:lang w:val="fr-FR"/>
        </w:rPr>
        <w:t>élaboration et de l</w:t>
      </w:r>
      <w:r w:rsidR="002160B3" w:rsidRPr="007F70EA">
        <w:rPr>
          <w:lang w:val="fr-FR"/>
        </w:rPr>
        <w:t>’</w:t>
      </w:r>
      <w:r w:rsidRPr="007F70EA">
        <w:rPr>
          <w:lang w:val="fr-FR"/>
        </w:rPr>
        <w:t>exécution de plans d</w:t>
      </w:r>
      <w:r w:rsidR="002160B3" w:rsidRPr="007F70EA">
        <w:rPr>
          <w:lang w:val="fr-FR"/>
        </w:rPr>
        <w:t>’</w:t>
      </w:r>
      <w:r w:rsidRPr="007F70EA">
        <w:rPr>
          <w:lang w:val="fr-FR"/>
        </w:rPr>
        <w:t>action nationaux axés notamment sur la surveillance et le suivi, ainsi que sur la consolidation des systèmes de santé et des capacités en matière de recherche et de réglementation, sans mettre en péril la santé ni entraver l</w:t>
      </w:r>
      <w:r w:rsidR="002160B3" w:rsidRPr="007F70EA">
        <w:rPr>
          <w:lang w:val="fr-FR"/>
        </w:rPr>
        <w:t>’</w:t>
      </w:r>
      <w:r w:rsidRPr="007F70EA">
        <w:rPr>
          <w:lang w:val="fr-FR"/>
        </w:rPr>
        <w:t>accès aux soins, surtout dans les pays à revenu faible et les pays à revenu intermédiaire</w:t>
      </w:r>
      <w:r w:rsidR="002160B3" w:rsidRPr="007F70EA">
        <w:rPr>
          <w:lang w:val="fr-FR"/>
        </w:rPr>
        <w:t>”</w:t>
      </w:r>
      <w:r w:rsidRPr="007F70EA">
        <w:rPr>
          <w:lang w:val="fr-FR"/>
        </w:rPr>
        <w:t>.</w:t>
      </w:r>
    </w:p>
    <w:p w:rsidR="00A27A71" w:rsidRPr="007F70EA" w:rsidRDefault="00A27A71" w:rsidP="00DC13C2">
      <w:pPr>
        <w:rPr>
          <w:lang w:val="fr-FR"/>
        </w:rPr>
      </w:pPr>
    </w:p>
    <w:p w:rsidR="00A27A71" w:rsidRPr="007F70EA" w:rsidRDefault="00DC13C2" w:rsidP="00DC13C2">
      <w:pPr>
        <w:rPr>
          <w:lang w:val="fr-FR"/>
        </w:rPr>
      </w:pPr>
      <w:r w:rsidRPr="007F70EA">
        <w:rPr>
          <w:u w:val="single"/>
          <w:lang w:val="fr-FR"/>
        </w:rPr>
        <w:t>Description</w:t>
      </w:r>
      <w:r w:rsidR="002160B3" w:rsidRPr="007F70EA">
        <w:rPr>
          <w:lang w:val="fr-FR"/>
        </w:rPr>
        <w:t> :</w:t>
      </w:r>
      <w:r w:rsidRPr="007F70EA">
        <w:rPr>
          <w:lang w:val="fr-FR"/>
        </w:rPr>
        <w:t xml:space="preserve"> Le Groupe de coordination </w:t>
      </w:r>
      <w:r w:rsidR="0060021D" w:rsidRPr="007F70EA">
        <w:rPr>
          <w:lang w:val="fr-FR"/>
        </w:rPr>
        <w:t>interinstitutions</w:t>
      </w:r>
      <w:r w:rsidRPr="007F70EA">
        <w:rPr>
          <w:lang w:val="fr-FR"/>
        </w:rPr>
        <w:t xml:space="preserve"> sur la résistance aux agents microbiens est </w:t>
      </w:r>
      <w:r w:rsidR="002160B3" w:rsidRPr="007F70EA">
        <w:rPr>
          <w:lang w:val="fr-FR"/>
        </w:rPr>
        <w:t>“</w:t>
      </w:r>
      <w:r w:rsidRPr="007F70EA">
        <w:rPr>
          <w:lang w:val="fr-FR"/>
        </w:rPr>
        <w:t xml:space="preserve">un groupe spécial de coordination </w:t>
      </w:r>
      <w:r w:rsidR="0060021D" w:rsidRPr="007F70EA">
        <w:rPr>
          <w:lang w:val="fr-FR"/>
        </w:rPr>
        <w:t>interinstitutions</w:t>
      </w:r>
      <w:r w:rsidRPr="007F70EA">
        <w:rPr>
          <w:lang w:val="fr-FR"/>
        </w:rPr>
        <w:t xml:space="preserve"> [qui a été établi par le Secrétaire général des </w:t>
      </w:r>
      <w:r w:rsidR="002160B3" w:rsidRPr="007F70EA">
        <w:rPr>
          <w:lang w:val="fr-FR"/>
        </w:rPr>
        <w:t>Nations Unies</w:t>
      </w:r>
      <w:r w:rsidRPr="007F70EA">
        <w:rPr>
          <w:lang w:val="fr-FR"/>
        </w:rPr>
        <w:t xml:space="preserve"> en concertation avec l</w:t>
      </w:r>
      <w:r w:rsidR="002160B3" w:rsidRPr="007F70EA">
        <w:rPr>
          <w:lang w:val="fr-FR"/>
        </w:rPr>
        <w:t>’</w:t>
      </w:r>
      <w:r w:rsidRPr="007F70EA">
        <w:rPr>
          <w:lang w:val="fr-FR"/>
        </w:rPr>
        <w:t xml:space="preserve">Organisation mondiale de la </w:t>
      </w:r>
      <w:r w:rsidR="00CC68C1" w:rsidRPr="007F70EA">
        <w:rPr>
          <w:lang w:val="fr-FR"/>
        </w:rPr>
        <w:t>Santé</w:t>
      </w:r>
      <w:r w:rsidRPr="007F70EA">
        <w:rPr>
          <w:lang w:val="fr-FR"/>
        </w:rPr>
        <w:t>, l</w:t>
      </w:r>
      <w:r w:rsidR="002160B3" w:rsidRPr="007F70EA">
        <w:rPr>
          <w:lang w:val="fr-FR"/>
        </w:rPr>
        <w:t>’</w:t>
      </w:r>
      <w:r w:rsidRPr="007F70EA">
        <w:rPr>
          <w:lang w:val="fr-FR"/>
        </w:rPr>
        <w:t>Organisation mondiale de la santé animale et l</w:t>
      </w:r>
      <w:r w:rsidR="002160B3" w:rsidRPr="007F70EA">
        <w:rPr>
          <w:lang w:val="fr-FR"/>
        </w:rPr>
        <w:t>’</w:t>
      </w:r>
      <w:r w:rsidRPr="007F70EA">
        <w:rPr>
          <w:lang w:val="fr-FR"/>
        </w:rPr>
        <w:t>Organisation pour l</w:t>
      </w:r>
      <w:r w:rsidR="002160B3" w:rsidRPr="007F70EA">
        <w:rPr>
          <w:lang w:val="fr-FR"/>
        </w:rPr>
        <w:t>’</w:t>
      </w:r>
      <w:r w:rsidRPr="007F70EA">
        <w:rPr>
          <w:lang w:val="fr-FR"/>
        </w:rPr>
        <w:t>alimentation et l</w:t>
      </w:r>
      <w:r w:rsidR="002160B3" w:rsidRPr="007F70EA">
        <w:rPr>
          <w:lang w:val="fr-FR"/>
        </w:rPr>
        <w:t>’</w:t>
      </w:r>
      <w:r w:rsidRPr="007F70EA">
        <w:rPr>
          <w:lang w:val="fr-FR"/>
        </w:rPr>
        <w:t>agriculture] pour donner des indications pratiques quant aux approches à suivre pour que l</w:t>
      </w:r>
      <w:r w:rsidR="002160B3" w:rsidRPr="007F70EA">
        <w:rPr>
          <w:lang w:val="fr-FR"/>
        </w:rPr>
        <w:t>’</w:t>
      </w:r>
      <w:r w:rsidRPr="007F70EA">
        <w:rPr>
          <w:lang w:val="fr-FR"/>
        </w:rPr>
        <w:t>action mondiale menée pour lutter contre la résistance aux agents antimicrobiens soit efficace et durable.</w:t>
      </w:r>
      <w:r w:rsidR="002160B3" w:rsidRPr="007F70EA">
        <w:rPr>
          <w:lang w:val="fr-FR"/>
        </w:rPr>
        <w:t>”</w:t>
      </w:r>
    </w:p>
    <w:p w:rsidR="00A27A71" w:rsidRPr="007F70EA" w:rsidRDefault="00A27A71" w:rsidP="00DC13C2">
      <w:pPr>
        <w:rPr>
          <w:lang w:val="fr-FR"/>
        </w:rPr>
      </w:pPr>
    </w:p>
    <w:p w:rsidR="00A27A71" w:rsidRPr="007F70EA" w:rsidRDefault="00DC13C2" w:rsidP="00DC13C2">
      <w:pPr>
        <w:rPr>
          <w:lang w:val="fr-FR"/>
        </w:rPr>
      </w:pPr>
      <w:r w:rsidRPr="007F70EA">
        <w:rPr>
          <w:u w:val="single"/>
          <w:lang w:val="fr-FR"/>
        </w:rPr>
        <w:t>Fréquence</w:t>
      </w:r>
      <w:r w:rsidR="002160B3" w:rsidRPr="007F70EA">
        <w:rPr>
          <w:lang w:val="fr-FR"/>
        </w:rPr>
        <w:t> :</w:t>
      </w:r>
      <w:r w:rsidRPr="007F70EA">
        <w:rPr>
          <w:lang w:val="fr-FR"/>
        </w:rPr>
        <w:t xml:space="preserve"> </w:t>
      </w:r>
      <w:r w:rsidR="003375EF" w:rsidRPr="007F70EA">
        <w:rPr>
          <w:i/>
          <w:iCs/>
          <w:lang w:val="fr-FR"/>
        </w:rPr>
        <w:t>a</w:t>
      </w:r>
      <w:r w:rsidRPr="007F70EA">
        <w:rPr>
          <w:i/>
          <w:iCs/>
          <w:lang w:val="fr-FR"/>
        </w:rPr>
        <w:t>d</w:t>
      </w:r>
      <w:r w:rsidR="00CC68C1" w:rsidRPr="007F70EA">
        <w:rPr>
          <w:i/>
          <w:iCs/>
          <w:lang w:val="fr-FR"/>
        </w:rPr>
        <w:t> </w:t>
      </w:r>
      <w:r w:rsidRPr="007F70EA">
        <w:rPr>
          <w:i/>
          <w:iCs/>
          <w:lang w:val="fr-FR"/>
        </w:rPr>
        <w:t>hoc</w:t>
      </w:r>
    </w:p>
    <w:p w:rsidR="00A27A71" w:rsidRPr="007F70EA" w:rsidRDefault="00A27A71" w:rsidP="00DC13C2">
      <w:pPr>
        <w:rPr>
          <w:lang w:val="fr-FR"/>
        </w:rPr>
      </w:pPr>
    </w:p>
    <w:p w:rsidR="00FE428A" w:rsidRDefault="00DC13C2">
      <w:pPr>
        <w:rPr>
          <w:b/>
          <w:bCs/>
          <w:lang w:val="fr-FR"/>
        </w:rPr>
      </w:pPr>
      <w:r w:rsidRPr="007F70EA">
        <w:rPr>
          <w:u w:val="single"/>
          <w:lang w:val="fr-FR"/>
        </w:rPr>
        <w:t>Référence</w:t>
      </w:r>
      <w:r w:rsidR="002160B3" w:rsidRPr="007F70EA">
        <w:rPr>
          <w:lang w:val="fr-FR"/>
        </w:rPr>
        <w:t> :</w:t>
      </w:r>
      <w:r w:rsidR="003375EF" w:rsidRPr="007F70EA">
        <w:rPr>
          <w:u w:val="single"/>
          <w:lang w:val="fr-FR"/>
        </w:rPr>
        <w:t xml:space="preserve"> </w:t>
      </w:r>
      <w:r w:rsidRPr="007F70EA">
        <w:rPr>
          <w:lang w:val="fr-FR"/>
        </w:rPr>
        <w:t>http://www.who.int/antimicrobial</w:t>
      </w:r>
      <w:r w:rsidR="007F70EA">
        <w:rPr>
          <w:lang w:val="fr-FR"/>
        </w:rPr>
        <w:noBreakHyphen/>
      </w:r>
      <w:r w:rsidRPr="007F70EA">
        <w:rPr>
          <w:lang w:val="fr-FR"/>
        </w:rPr>
        <w:t>resistance/interagency</w:t>
      </w:r>
      <w:r w:rsidR="007F70EA">
        <w:rPr>
          <w:lang w:val="fr-FR"/>
        </w:rPr>
        <w:noBreakHyphen/>
      </w:r>
      <w:r w:rsidRPr="007F70EA">
        <w:rPr>
          <w:lang w:val="fr-FR"/>
        </w:rPr>
        <w:t>coordination</w:t>
      </w:r>
      <w:r w:rsidR="007F70EA">
        <w:rPr>
          <w:lang w:val="fr-FR"/>
        </w:rPr>
        <w:noBreakHyphen/>
      </w:r>
      <w:r w:rsidRPr="007F70EA">
        <w:rPr>
          <w:lang w:val="fr-FR"/>
        </w:rPr>
        <w:t>group/en/</w:t>
      </w:r>
      <w:r w:rsidR="00FE428A">
        <w:rPr>
          <w:b/>
          <w:bCs/>
          <w:lang w:val="fr-FR"/>
        </w:rPr>
        <w:br w:type="page"/>
      </w:r>
    </w:p>
    <w:p w:rsidR="00A27A71" w:rsidRPr="007F70EA" w:rsidRDefault="00DC13C2" w:rsidP="00DC13C2">
      <w:pPr>
        <w:rPr>
          <w:b/>
          <w:lang w:val="fr-FR"/>
        </w:rPr>
      </w:pPr>
      <w:r w:rsidRPr="007F70EA">
        <w:rPr>
          <w:b/>
          <w:bCs/>
          <w:lang w:val="fr-FR"/>
        </w:rPr>
        <w:lastRenderedPageBreak/>
        <w:t>Les Groupes d</w:t>
      </w:r>
      <w:r w:rsidR="002160B3" w:rsidRPr="007F70EA">
        <w:rPr>
          <w:b/>
          <w:bCs/>
          <w:lang w:val="fr-FR"/>
        </w:rPr>
        <w:t>’</w:t>
      </w:r>
      <w:r w:rsidRPr="007F70EA">
        <w:rPr>
          <w:b/>
          <w:bCs/>
          <w:lang w:val="fr-FR"/>
        </w:rPr>
        <w:t>étude UIT</w:t>
      </w:r>
      <w:r w:rsidR="007F70EA">
        <w:rPr>
          <w:b/>
          <w:bCs/>
          <w:lang w:val="fr-FR"/>
        </w:rPr>
        <w:noBreakHyphen/>
      </w:r>
      <w:r w:rsidRPr="007F70EA">
        <w:rPr>
          <w:b/>
          <w:bCs/>
          <w:lang w:val="fr-FR"/>
        </w:rPr>
        <w:t>D</w:t>
      </w:r>
    </w:p>
    <w:p w:rsidR="00A27A71" w:rsidRPr="007F70EA" w:rsidRDefault="00A27A71" w:rsidP="00DC13C2">
      <w:pPr>
        <w:rPr>
          <w:lang w:val="fr-FR"/>
        </w:rPr>
      </w:pPr>
    </w:p>
    <w:p w:rsidR="00A27A71" w:rsidRPr="007F70EA" w:rsidRDefault="00DC13C2" w:rsidP="00DC13C2">
      <w:pPr>
        <w:rPr>
          <w:lang w:val="fr-FR"/>
        </w:rPr>
      </w:pPr>
      <w:r w:rsidRPr="007F70EA">
        <w:rPr>
          <w:u w:val="single"/>
          <w:lang w:val="fr-FR"/>
        </w:rPr>
        <w:t>Organisation coordinatrice</w:t>
      </w:r>
      <w:r w:rsidR="002160B3" w:rsidRPr="007F70EA">
        <w:rPr>
          <w:lang w:val="fr-FR"/>
        </w:rPr>
        <w:t> :</w:t>
      </w:r>
      <w:r w:rsidRPr="007F70EA">
        <w:rPr>
          <w:lang w:val="fr-FR"/>
        </w:rPr>
        <w:t xml:space="preserve"> Union internationale des télécommunications (UIT)</w:t>
      </w:r>
    </w:p>
    <w:p w:rsidR="00A27A71" w:rsidRPr="007F70EA" w:rsidRDefault="00A27A71" w:rsidP="00DC13C2">
      <w:pPr>
        <w:rPr>
          <w:lang w:val="fr-FR"/>
        </w:rPr>
      </w:pPr>
    </w:p>
    <w:p w:rsidR="00A27A71" w:rsidRPr="007F70EA" w:rsidRDefault="00DC13C2" w:rsidP="00DC13C2">
      <w:pPr>
        <w:rPr>
          <w:lang w:val="fr-FR"/>
        </w:rPr>
      </w:pPr>
      <w:r w:rsidRPr="007F70EA">
        <w:rPr>
          <w:u w:val="single"/>
          <w:lang w:val="fr-FR"/>
        </w:rPr>
        <w:t>Thématique</w:t>
      </w:r>
      <w:r w:rsidR="002160B3" w:rsidRPr="007F70EA">
        <w:rPr>
          <w:lang w:val="fr-FR"/>
        </w:rPr>
        <w:t> :</w:t>
      </w:r>
      <w:r w:rsidR="003375EF" w:rsidRPr="007F70EA">
        <w:rPr>
          <w:lang w:val="fr-FR"/>
        </w:rPr>
        <w:t xml:space="preserve"> l</w:t>
      </w:r>
      <w:r w:rsidRPr="007F70EA">
        <w:rPr>
          <w:lang w:val="fr-FR"/>
        </w:rPr>
        <w:t>es technologies de l</w:t>
      </w:r>
      <w:r w:rsidR="002160B3" w:rsidRPr="007F70EA">
        <w:rPr>
          <w:lang w:val="fr-FR"/>
        </w:rPr>
        <w:t>’</w:t>
      </w:r>
      <w:r w:rsidRPr="007F70EA">
        <w:rPr>
          <w:lang w:val="fr-FR"/>
        </w:rPr>
        <w:t>information et de la communication (TIC)</w:t>
      </w:r>
    </w:p>
    <w:p w:rsidR="00A27A71" w:rsidRPr="007F70EA" w:rsidRDefault="00A27A71" w:rsidP="00DC13C2">
      <w:pPr>
        <w:rPr>
          <w:lang w:val="fr-FR"/>
        </w:rPr>
      </w:pPr>
    </w:p>
    <w:p w:rsidR="00A27A71" w:rsidRPr="007F70EA" w:rsidRDefault="00DC13C2" w:rsidP="00DC13C2">
      <w:pPr>
        <w:rPr>
          <w:lang w:val="fr-FR"/>
        </w:rPr>
      </w:pPr>
      <w:r w:rsidRPr="007F70EA">
        <w:rPr>
          <w:u w:val="single"/>
          <w:lang w:val="fr-FR"/>
        </w:rPr>
        <w:t>Participants</w:t>
      </w:r>
      <w:r w:rsidR="002160B3" w:rsidRPr="007F70EA">
        <w:rPr>
          <w:lang w:val="fr-FR"/>
        </w:rPr>
        <w:t> :</w:t>
      </w:r>
      <w:r w:rsidRPr="007F70EA">
        <w:rPr>
          <w:lang w:val="fr-FR"/>
        </w:rPr>
        <w:t xml:space="preserve"> États;</w:t>
      </w:r>
      <w:r w:rsidR="00CC68C1" w:rsidRPr="007F70EA">
        <w:rPr>
          <w:lang w:val="fr-FR"/>
        </w:rPr>
        <w:t xml:space="preserve"> </w:t>
      </w:r>
      <w:r w:rsidRPr="007F70EA">
        <w:rPr>
          <w:lang w:val="fr-FR"/>
        </w:rPr>
        <w:t xml:space="preserve"> organisations non</w:t>
      </w:r>
      <w:r w:rsidR="0060021D" w:rsidRPr="007F70EA">
        <w:rPr>
          <w:lang w:val="fr-FR"/>
        </w:rPr>
        <w:t xml:space="preserve"> </w:t>
      </w:r>
      <w:r w:rsidRPr="007F70EA">
        <w:rPr>
          <w:lang w:val="fr-FR"/>
        </w:rPr>
        <w:t>gouvernementales</w:t>
      </w:r>
    </w:p>
    <w:p w:rsidR="00A27A71" w:rsidRPr="007F70EA" w:rsidRDefault="00A27A71" w:rsidP="00DC13C2">
      <w:pPr>
        <w:rPr>
          <w:lang w:val="fr-FR"/>
        </w:rPr>
      </w:pPr>
    </w:p>
    <w:p w:rsidR="00A27A71" w:rsidRPr="007F70EA" w:rsidRDefault="00DC13C2" w:rsidP="00DC13C2">
      <w:pPr>
        <w:rPr>
          <w:lang w:val="fr-FR"/>
        </w:rPr>
      </w:pPr>
      <w:r w:rsidRPr="007F70EA">
        <w:rPr>
          <w:u w:val="single"/>
          <w:lang w:val="fr-FR"/>
        </w:rPr>
        <w:t>Lien avec le transfert de technologie</w:t>
      </w:r>
      <w:r w:rsidR="002160B3" w:rsidRPr="007F70EA">
        <w:rPr>
          <w:lang w:val="fr-FR"/>
        </w:rPr>
        <w:t> :</w:t>
      </w:r>
      <w:r w:rsidRPr="007F70EA">
        <w:rPr>
          <w:lang w:val="fr-FR"/>
        </w:rPr>
        <w:t xml:space="preserve"> Le Secteur du développement des télécommunications de l</w:t>
      </w:r>
      <w:r w:rsidR="002160B3" w:rsidRPr="007F70EA">
        <w:rPr>
          <w:lang w:val="fr-FR"/>
        </w:rPr>
        <w:t>’</w:t>
      </w:r>
      <w:r w:rsidRPr="007F70EA">
        <w:rPr>
          <w:lang w:val="fr-FR"/>
        </w:rPr>
        <w:t>UIT (UIT</w:t>
      </w:r>
      <w:r w:rsidR="007F70EA">
        <w:rPr>
          <w:lang w:val="fr-FR"/>
        </w:rPr>
        <w:noBreakHyphen/>
      </w:r>
      <w:r w:rsidRPr="007F70EA">
        <w:rPr>
          <w:lang w:val="fr-FR"/>
        </w:rPr>
        <w:t>D) s</w:t>
      </w:r>
      <w:r w:rsidR="002160B3" w:rsidRPr="007F70EA">
        <w:rPr>
          <w:lang w:val="fr-FR"/>
        </w:rPr>
        <w:t>’</w:t>
      </w:r>
      <w:r w:rsidRPr="007F70EA">
        <w:rPr>
          <w:lang w:val="fr-FR"/>
        </w:rPr>
        <w:t xml:space="preserve">emploie à </w:t>
      </w:r>
      <w:r w:rsidR="002160B3" w:rsidRPr="007F70EA">
        <w:rPr>
          <w:lang w:val="fr-FR"/>
        </w:rPr>
        <w:t>“</w:t>
      </w:r>
      <w:r w:rsidRPr="007F70EA">
        <w:rPr>
          <w:lang w:val="fr-FR"/>
        </w:rPr>
        <w:t>faciliter l</w:t>
      </w:r>
      <w:r w:rsidR="002160B3" w:rsidRPr="007F70EA">
        <w:rPr>
          <w:lang w:val="fr-FR"/>
        </w:rPr>
        <w:t>’</w:t>
      </w:r>
      <w:r w:rsidRPr="007F70EA">
        <w:rPr>
          <w:lang w:val="fr-FR"/>
        </w:rPr>
        <w:t>adoption de solutions technologiques efficaces pour le développement des infrastructures TIC.</w:t>
      </w:r>
      <w:r w:rsidR="002160B3" w:rsidRPr="007F70EA">
        <w:rPr>
          <w:lang w:val="fr-FR"/>
        </w:rPr>
        <w:t>”</w:t>
      </w:r>
    </w:p>
    <w:p w:rsidR="00A27A71" w:rsidRPr="007F70EA" w:rsidRDefault="00A27A71" w:rsidP="00DC13C2">
      <w:pPr>
        <w:rPr>
          <w:lang w:val="fr-FR"/>
        </w:rPr>
      </w:pPr>
    </w:p>
    <w:p w:rsidR="00A27A71" w:rsidRPr="007F70EA" w:rsidRDefault="00DC13C2" w:rsidP="00DC13C2">
      <w:pPr>
        <w:rPr>
          <w:lang w:val="fr-FR"/>
        </w:rPr>
      </w:pPr>
      <w:r w:rsidRPr="007F70EA">
        <w:rPr>
          <w:u w:val="single"/>
          <w:lang w:val="fr-FR"/>
        </w:rPr>
        <w:t>Description</w:t>
      </w:r>
      <w:r w:rsidR="002160B3" w:rsidRPr="007F70EA">
        <w:rPr>
          <w:lang w:val="fr-FR"/>
        </w:rPr>
        <w:t> :</w:t>
      </w:r>
      <w:r w:rsidRPr="007F70EA">
        <w:rPr>
          <w:lang w:val="fr-FR"/>
        </w:rPr>
        <w:t xml:space="preserve"> </w:t>
      </w:r>
      <w:r w:rsidR="002160B3" w:rsidRPr="007F70EA">
        <w:rPr>
          <w:lang w:val="fr-FR"/>
        </w:rPr>
        <w:t>“</w:t>
      </w:r>
      <w:r w:rsidRPr="007F70EA">
        <w:rPr>
          <w:lang w:val="fr-FR"/>
        </w:rPr>
        <w:t>Les groupes d</w:t>
      </w:r>
      <w:r w:rsidR="002160B3" w:rsidRPr="007F70EA">
        <w:rPr>
          <w:lang w:val="fr-FR"/>
        </w:rPr>
        <w:t>’</w:t>
      </w:r>
      <w:r w:rsidRPr="007F70EA">
        <w:rPr>
          <w:lang w:val="fr-FR"/>
        </w:rPr>
        <w:t>étude de l</w:t>
      </w:r>
      <w:r w:rsidR="002160B3" w:rsidRPr="007F70EA">
        <w:rPr>
          <w:lang w:val="fr-FR"/>
        </w:rPr>
        <w:t>’</w:t>
      </w:r>
      <w:r w:rsidRPr="007F70EA">
        <w:rPr>
          <w:lang w:val="fr-FR"/>
        </w:rPr>
        <w:t>UIT</w:t>
      </w:r>
      <w:r w:rsidR="007F70EA">
        <w:rPr>
          <w:lang w:val="fr-FR"/>
        </w:rPr>
        <w:noBreakHyphen/>
      </w:r>
      <w:r w:rsidRPr="007F70EA">
        <w:rPr>
          <w:lang w:val="fr-FR"/>
        </w:rPr>
        <w:t xml:space="preserve">D fournissent une occasion pour tous les États </w:t>
      </w:r>
      <w:r w:rsidR="00CC68C1" w:rsidRPr="007F70EA">
        <w:rPr>
          <w:lang w:val="fr-FR"/>
        </w:rPr>
        <w:t>membres</w:t>
      </w:r>
      <w:r w:rsidRPr="007F70EA">
        <w:rPr>
          <w:lang w:val="fr-FR"/>
        </w:rPr>
        <w:t xml:space="preserve"> et les </w:t>
      </w:r>
      <w:r w:rsidR="00B208AA" w:rsidRPr="007F70EA">
        <w:rPr>
          <w:lang w:val="fr-FR"/>
        </w:rPr>
        <w:t xml:space="preserve">membres </w:t>
      </w:r>
      <w:r w:rsidRPr="007F70EA">
        <w:rPr>
          <w:lang w:val="fr-FR"/>
        </w:rPr>
        <w:t>des Secteurs (</w:t>
      </w:r>
      <w:r w:rsidR="002160B3" w:rsidRPr="007F70EA">
        <w:rPr>
          <w:lang w:val="fr-FR"/>
        </w:rPr>
        <w:t>y compris</w:t>
      </w:r>
      <w:r w:rsidRPr="007F70EA">
        <w:rPr>
          <w:lang w:val="fr-FR"/>
        </w:rPr>
        <w:t xml:space="preserve"> les Associés et Academia) pour partager leurs expériences, de présenter des idées, des échanges de vues et de parvenir à un consensus sur les stratégies appropriées pour répondre aux priorités en matière de </w:t>
      </w:r>
      <w:r w:rsidR="00B208AA" w:rsidRPr="007F70EA">
        <w:rPr>
          <w:lang w:val="fr-FR"/>
        </w:rPr>
        <w:t>TIC.  Le</w:t>
      </w:r>
      <w:r w:rsidRPr="007F70EA">
        <w:rPr>
          <w:lang w:val="fr-FR"/>
        </w:rPr>
        <w:t>s groupes d</w:t>
      </w:r>
      <w:r w:rsidR="002160B3" w:rsidRPr="007F70EA">
        <w:rPr>
          <w:lang w:val="fr-FR"/>
        </w:rPr>
        <w:t>’</w:t>
      </w:r>
      <w:r w:rsidRPr="007F70EA">
        <w:rPr>
          <w:lang w:val="fr-FR"/>
        </w:rPr>
        <w:t>études de l</w:t>
      </w:r>
      <w:r w:rsidR="002160B3" w:rsidRPr="007F70EA">
        <w:rPr>
          <w:lang w:val="fr-FR"/>
        </w:rPr>
        <w:t>’</w:t>
      </w:r>
      <w:r w:rsidRPr="007F70EA">
        <w:rPr>
          <w:lang w:val="fr-FR"/>
        </w:rPr>
        <w:t>UIT</w:t>
      </w:r>
      <w:r w:rsidR="007F70EA">
        <w:rPr>
          <w:lang w:val="fr-FR"/>
        </w:rPr>
        <w:noBreakHyphen/>
      </w:r>
      <w:r w:rsidRPr="007F70EA">
        <w:rPr>
          <w:lang w:val="fr-FR"/>
        </w:rPr>
        <w:t>D sont chargés d</w:t>
      </w:r>
      <w:r w:rsidR="002160B3" w:rsidRPr="007F70EA">
        <w:rPr>
          <w:lang w:val="fr-FR"/>
        </w:rPr>
        <w:t>’</w:t>
      </w:r>
      <w:r w:rsidRPr="007F70EA">
        <w:rPr>
          <w:lang w:val="fr-FR"/>
        </w:rPr>
        <w:t>élaborer des rapports, lignes directrices et recommandations en fonction des commentaires reçus des membres.</w:t>
      </w:r>
      <w:r w:rsidR="002160B3" w:rsidRPr="007F70EA">
        <w:rPr>
          <w:lang w:val="fr-FR"/>
        </w:rPr>
        <w:t>”</w:t>
      </w:r>
    </w:p>
    <w:p w:rsidR="00A27A71" w:rsidRPr="007F70EA" w:rsidRDefault="00A27A71" w:rsidP="00DC13C2">
      <w:pPr>
        <w:rPr>
          <w:lang w:val="fr-FR"/>
        </w:rPr>
      </w:pPr>
    </w:p>
    <w:p w:rsidR="00A27A71" w:rsidRPr="007F70EA" w:rsidRDefault="00DC13C2" w:rsidP="00DC13C2">
      <w:pPr>
        <w:rPr>
          <w:lang w:val="fr-FR"/>
        </w:rPr>
      </w:pPr>
      <w:r w:rsidRPr="007F70EA">
        <w:rPr>
          <w:u w:val="single"/>
          <w:lang w:val="fr-FR"/>
        </w:rPr>
        <w:t>Fréquence</w:t>
      </w:r>
      <w:r w:rsidR="002160B3" w:rsidRPr="007F70EA">
        <w:rPr>
          <w:lang w:val="fr-FR"/>
        </w:rPr>
        <w:t> :</w:t>
      </w:r>
      <w:r w:rsidRPr="007F70EA">
        <w:rPr>
          <w:lang w:val="fr-FR"/>
        </w:rPr>
        <w:t xml:space="preserve"> </w:t>
      </w:r>
      <w:r w:rsidR="003375EF" w:rsidRPr="007F70EA">
        <w:rPr>
          <w:i/>
          <w:iCs/>
          <w:lang w:val="fr-FR"/>
        </w:rPr>
        <w:t>a</w:t>
      </w:r>
      <w:r w:rsidRPr="007F70EA">
        <w:rPr>
          <w:i/>
          <w:iCs/>
          <w:lang w:val="fr-FR"/>
        </w:rPr>
        <w:t>d</w:t>
      </w:r>
      <w:r w:rsidR="00CC68C1" w:rsidRPr="007F70EA">
        <w:rPr>
          <w:i/>
          <w:iCs/>
          <w:lang w:val="fr-FR"/>
        </w:rPr>
        <w:t> </w:t>
      </w:r>
      <w:r w:rsidRPr="007F70EA">
        <w:rPr>
          <w:i/>
          <w:iCs/>
          <w:lang w:val="fr-FR"/>
        </w:rPr>
        <w:t>hoc</w:t>
      </w:r>
    </w:p>
    <w:p w:rsidR="00A27A71" w:rsidRPr="007F70EA" w:rsidRDefault="00A27A71" w:rsidP="00DC13C2">
      <w:pPr>
        <w:rPr>
          <w:lang w:val="fr-FR"/>
        </w:rPr>
      </w:pPr>
    </w:p>
    <w:p w:rsidR="002160B3" w:rsidRPr="007F70EA" w:rsidRDefault="00DC13C2" w:rsidP="00DC13C2">
      <w:pPr>
        <w:rPr>
          <w:lang w:val="fr-FR"/>
        </w:rPr>
      </w:pPr>
      <w:r w:rsidRPr="007F70EA">
        <w:rPr>
          <w:u w:val="single"/>
          <w:lang w:val="fr-FR"/>
        </w:rPr>
        <w:t>Référence</w:t>
      </w:r>
      <w:r w:rsidR="002160B3" w:rsidRPr="007F70EA">
        <w:rPr>
          <w:lang w:val="fr-FR"/>
        </w:rPr>
        <w:t> :</w:t>
      </w:r>
      <w:r w:rsidRPr="007F70EA">
        <w:rPr>
          <w:lang w:val="fr-FR"/>
        </w:rPr>
        <w:t xml:space="preserve"> https://www.itu.int/net4/ITU</w:t>
      </w:r>
      <w:r w:rsidR="007F70EA">
        <w:rPr>
          <w:lang w:val="fr-FR"/>
        </w:rPr>
        <w:noBreakHyphen/>
      </w:r>
      <w:r w:rsidRPr="007F70EA">
        <w:rPr>
          <w:lang w:val="fr-FR"/>
        </w:rPr>
        <w:t>D/CDS/sg/index.asp?lg=1&amp;sp=2014</w:t>
      </w:r>
    </w:p>
    <w:p w:rsidR="00A27A71" w:rsidRPr="007F70EA" w:rsidRDefault="00A27A71" w:rsidP="00DC13C2">
      <w:pPr>
        <w:rPr>
          <w:lang w:val="fr-FR"/>
        </w:rPr>
      </w:pPr>
    </w:p>
    <w:p w:rsidR="00F31C57" w:rsidRPr="007F70EA" w:rsidRDefault="00F31C57" w:rsidP="00F31C57">
      <w:pPr>
        <w:rPr>
          <w:b/>
          <w:szCs w:val="22"/>
          <w:lang w:val="fr-FR"/>
        </w:rPr>
      </w:pPr>
      <w:r w:rsidRPr="007F70EA">
        <w:rPr>
          <w:b/>
          <w:szCs w:val="22"/>
          <w:lang w:val="fr-FR"/>
        </w:rPr>
        <w:t>Forum multipartite sur la science, la technologie et l</w:t>
      </w:r>
      <w:r w:rsidR="002160B3" w:rsidRPr="007F70EA">
        <w:rPr>
          <w:b/>
          <w:szCs w:val="22"/>
          <w:lang w:val="fr-FR"/>
        </w:rPr>
        <w:t>’</w:t>
      </w:r>
      <w:r w:rsidRPr="007F70EA">
        <w:rPr>
          <w:b/>
          <w:szCs w:val="22"/>
          <w:lang w:val="fr-FR"/>
        </w:rPr>
        <w:t>innovation pour la réalisation des objectifs de développement durable</w:t>
      </w:r>
    </w:p>
    <w:p w:rsidR="00F31C57" w:rsidRPr="007F70EA" w:rsidRDefault="00F31C57" w:rsidP="00F31C57">
      <w:pPr>
        <w:rPr>
          <w:szCs w:val="22"/>
          <w:lang w:val="fr-FR"/>
        </w:rPr>
      </w:pPr>
    </w:p>
    <w:p w:rsidR="00F31C57" w:rsidRPr="007F70EA" w:rsidRDefault="00F31C57" w:rsidP="00F31C57">
      <w:pPr>
        <w:rPr>
          <w:szCs w:val="22"/>
          <w:lang w:val="fr-FR"/>
        </w:rPr>
      </w:pPr>
      <w:r w:rsidRPr="007F70EA">
        <w:rPr>
          <w:szCs w:val="22"/>
          <w:u w:val="single"/>
          <w:lang w:val="fr-FR"/>
        </w:rPr>
        <w:t>Organisation coordinatrice</w:t>
      </w:r>
      <w:r w:rsidR="002160B3" w:rsidRPr="007F70EA">
        <w:rPr>
          <w:szCs w:val="22"/>
          <w:lang w:val="fr-FR"/>
        </w:rPr>
        <w:t> :</w:t>
      </w:r>
      <w:r w:rsidRPr="007F70EA">
        <w:rPr>
          <w:szCs w:val="22"/>
          <w:lang w:val="fr-FR"/>
        </w:rPr>
        <w:t xml:space="preserve"> Département des </w:t>
      </w:r>
      <w:r w:rsidR="002160B3" w:rsidRPr="007F70EA">
        <w:rPr>
          <w:szCs w:val="22"/>
          <w:lang w:val="fr-FR"/>
        </w:rPr>
        <w:t>Nations Unies</w:t>
      </w:r>
      <w:r w:rsidRPr="007F70EA">
        <w:rPr>
          <w:szCs w:val="22"/>
          <w:lang w:val="fr-FR"/>
        </w:rPr>
        <w:t xml:space="preserve"> pour les affaires économiques et sociales (ONU DAES)</w:t>
      </w:r>
    </w:p>
    <w:p w:rsidR="00F31C57" w:rsidRPr="007F70EA" w:rsidRDefault="00F31C57" w:rsidP="00F31C57">
      <w:pPr>
        <w:rPr>
          <w:szCs w:val="22"/>
          <w:lang w:val="fr-FR"/>
        </w:rPr>
      </w:pPr>
    </w:p>
    <w:p w:rsidR="00F31C57" w:rsidRPr="007F70EA" w:rsidRDefault="00F31C57" w:rsidP="00F31C57">
      <w:pPr>
        <w:rPr>
          <w:szCs w:val="22"/>
          <w:lang w:val="fr-FR"/>
        </w:rPr>
      </w:pPr>
      <w:r w:rsidRPr="007F70EA">
        <w:rPr>
          <w:szCs w:val="22"/>
          <w:u w:val="single"/>
          <w:lang w:val="fr-FR"/>
        </w:rPr>
        <w:t>Thème</w:t>
      </w:r>
      <w:r w:rsidR="002160B3" w:rsidRPr="007F70EA">
        <w:rPr>
          <w:szCs w:val="22"/>
          <w:lang w:val="fr-FR"/>
        </w:rPr>
        <w:t> :</w:t>
      </w:r>
      <w:r w:rsidRPr="007F70EA">
        <w:rPr>
          <w:szCs w:val="22"/>
          <w:lang w:val="fr-FR"/>
        </w:rPr>
        <w:t xml:space="preserve"> science, technologie et innovation</w:t>
      </w:r>
    </w:p>
    <w:p w:rsidR="00F31C57" w:rsidRPr="007F70EA" w:rsidRDefault="00F31C57" w:rsidP="00F31C57">
      <w:pPr>
        <w:rPr>
          <w:szCs w:val="22"/>
          <w:lang w:val="fr-FR"/>
        </w:rPr>
      </w:pPr>
    </w:p>
    <w:p w:rsidR="00F31C57" w:rsidRPr="007F70EA" w:rsidRDefault="00F31C57" w:rsidP="00F31C57">
      <w:pPr>
        <w:rPr>
          <w:szCs w:val="22"/>
          <w:lang w:val="fr-FR"/>
        </w:rPr>
      </w:pPr>
      <w:r w:rsidRPr="007F70EA">
        <w:rPr>
          <w:szCs w:val="22"/>
          <w:u w:val="single"/>
          <w:lang w:val="fr-FR"/>
        </w:rPr>
        <w:t>Participants</w:t>
      </w:r>
      <w:r w:rsidR="002160B3" w:rsidRPr="007F70EA">
        <w:rPr>
          <w:szCs w:val="22"/>
          <w:lang w:val="fr-FR"/>
        </w:rPr>
        <w:t> :</w:t>
      </w:r>
      <w:r w:rsidRPr="007F70EA">
        <w:rPr>
          <w:szCs w:val="22"/>
          <w:lang w:val="fr-FR"/>
        </w:rPr>
        <w:t xml:space="preserve"> États, organisations intergouvernementales et organisations non gouvernementales</w:t>
      </w:r>
    </w:p>
    <w:p w:rsidR="00F31C57" w:rsidRPr="007F70EA" w:rsidRDefault="00F31C57" w:rsidP="00F31C57">
      <w:pPr>
        <w:rPr>
          <w:szCs w:val="22"/>
          <w:lang w:val="fr-FR"/>
        </w:rPr>
      </w:pPr>
    </w:p>
    <w:p w:rsidR="002160B3" w:rsidRPr="007F70EA" w:rsidRDefault="00F31C57" w:rsidP="00F31C57">
      <w:pPr>
        <w:rPr>
          <w:szCs w:val="22"/>
          <w:lang w:val="fr-FR"/>
        </w:rPr>
      </w:pPr>
      <w:r w:rsidRPr="007F70EA">
        <w:rPr>
          <w:szCs w:val="22"/>
          <w:u w:val="single"/>
          <w:lang w:val="fr-FR"/>
        </w:rPr>
        <w:t>Lien avec le transfert de technologie</w:t>
      </w:r>
      <w:r w:rsidR="002160B3" w:rsidRPr="007F70EA">
        <w:rPr>
          <w:szCs w:val="22"/>
          <w:lang w:val="fr-FR"/>
        </w:rPr>
        <w:t> :</w:t>
      </w:r>
      <w:r w:rsidRPr="007F70EA">
        <w:rPr>
          <w:szCs w:val="22"/>
          <w:lang w:val="fr-FR"/>
        </w:rPr>
        <w:t xml:space="preserve"> La résolution 70/1 de l</w:t>
      </w:r>
      <w:r w:rsidR="002160B3" w:rsidRPr="007F70EA">
        <w:rPr>
          <w:szCs w:val="22"/>
          <w:lang w:val="fr-FR"/>
        </w:rPr>
        <w:t>’</w:t>
      </w:r>
      <w:r w:rsidRPr="007F70EA">
        <w:rPr>
          <w:szCs w:val="22"/>
          <w:lang w:val="fr-FR"/>
        </w:rPr>
        <w:t>Assemblée générale prévoit que</w:t>
      </w:r>
      <w:r w:rsidR="002160B3" w:rsidRPr="007F70EA">
        <w:rPr>
          <w:szCs w:val="22"/>
          <w:lang w:val="fr-FR"/>
        </w:rPr>
        <w:t> :</w:t>
      </w:r>
      <w:r w:rsidRPr="007F70EA">
        <w:rPr>
          <w:szCs w:val="22"/>
          <w:lang w:val="fr-FR"/>
        </w:rPr>
        <w:t xml:space="preserve"> “Le forum offre un lieu facilitant l</w:t>
      </w:r>
      <w:r w:rsidR="002160B3" w:rsidRPr="007F70EA">
        <w:rPr>
          <w:szCs w:val="22"/>
          <w:lang w:val="fr-FR"/>
        </w:rPr>
        <w:t>’</w:t>
      </w:r>
      <w:r w:rsidRPr="007F70EA">
        <w:rPr>
          <w:szCs w:val="22"/>
          <w:lang w:val="fr-FR"/>
        </w:rPr>
        <w:t>interaction, la mise en parallèle ainsi que la création de réseaux entre les parties prenantes concernées et de partenariats multipartites afin de recenser et d</w:t>
      </w:r>
      <w:r w:rsidR="002160B3" w:rsidRPr="007F70EA">
        <w:rPr>
          <w:szCs w:val="22"/>
          <w:lang w:val="fr-FR"/>
        </w:rPr>
        <w:t>’</w:t>
      </w:r>
      <w:r w:rsidRPr="007F70EA">
        <w:rPr>
          <w:szCs w:val="22"/>
          <w:lang w:val="fr-FR"/>
        </w:rPr>
        <w:t>examiner les besoins et les lacunes technologiques, notamment en matière de coopération scientifique, d</w:t>
      </w:r>
      <w:r w:rsidR="002160B3" w:rsidRPr="007F70EA">
        <w:rPr>
          <w:szCs w:val="22"/>
          <w:lang w:val="fr-FR"/>
        </w:rPr>
        <w:t>’</w:t>
      </w:r>
      <w:r w:rsidRPr="007F70EA">
        <w:rPr>
          <w:szCs w:val="22"/>
          <w:lang w:val="fr-FR"/>
        </w:rPr>
        <w:t>innovation et de renforcement des capacités, et également d</w:t>
      </w:r>
      <w:r w:rsidR="002160B3" w:rsidRPr="007F70EA">
        <w:rPr>
          <w:szCs w:val="22"/>
          <w:lang w:val="fr-FR"/>
        </w:rPr>
        <w:t>’</w:t>
      </w:r>
      <w:r w:rsidRPr="007F70EA">
        <w:rPr>
          <w:szCs w:val="22"/>
          <w:lang w:val="fr-FR"/>
        </w:rPr>
        <w:t>aider à faciliter l</w:t>
      </w:r>
      <w:r w:rsidR="002160B3" w:rsidRPr="007F70EA">
        <w:rPr>
          <w:szCs w:val="22"/>
          <w:lang w:val="fr-FR"/>
        </w:rPr>
        <w:t>’</w:t>
      </w:r>
      <w:r w:rsidRPr="007F70EA">
        <w:rPr>
          <w:szCs w:val="22"/>
          <w:lang w:val="fr-FR"/>
        </w:rPr>
        <w:t>élaboration, le transfert et la diffusion de technologies pertinentes pour réaliser les objectifs de développement durable.”</w:t>
      </w:r>
    </w:p>
    <w:p w:rsidR="00F31C57" w:rsidRPr="007F70EA" w:rsidRDefault="00F31C57" w:rsidP="00F31C57">
      <w:pPr>
        <w:rPr>
          <w:szCs w:val="22"/>
          <w:lang w:val="fr-FR"/>
        </w:rPr>
      </w:pPr>
    </w:p>
    <w:p w:rsidR="00F31C57" w:rsidRPr="007F70EA" w:rsidRDefault="00F31C57" w:rsidP="00F31C57">
      <w:pPr>
        <w:rPr>
          <w:szCs w:val="22"/>
          <w:lang w:val="fr-FR"/>
        </w:rPr>
      </w:pPr>
      <w:r w:rsidRPr="007F70EA">
        <w:rPr>
          <w:szCs w:val="22"/>
          <w:lang w:val="fr-FR"/>
        </w:rPr>
        <w:t>Description</w:t>
      </w:r>
      <w:r w:rsidR="002160B3" w:rsidRPr="007F70EA">
        <w:rPr>
          <w:szCs w:val="22"/>
          <w:lang w:val="fr-FR"/>
        </w:rPr>
        <w:t> :</w:t>
      </w:r>
      <w:r w:rsidRPr="007F70EA">
        <w:rPr>
          <w:szCs w:val="22"/>
          <w:lang w:val="fr-FR"/>
        </w:rPr>
        <w:t xml:space="preserve"> La résolution 70/1 de l</w:t>
      </w:r>
      <w:r w:rsidR="002160B3" w:rsidRPr="007F70EA">
        <w:rPr>
          <w:szCs w:val="22"/>
          <w:lang w:val="fr-FR"/>
        </w:rPr>
        <w:t>’</w:t>
      </w:r>
      <w:r w:rsidRPr="007F70EA">
        <w:rPr>
          <w:szCs w:val="22"/>
          <w:lang w:val="fr-FR"/>
        </w:rPr>
        <w:t>Assemblée générale prévoit que</w:t>
      </w:r>
      <w:r w:rsidR="002160B3" w:rsidRPr="007F70EA">
        <w:rPr>
          <w:szCs w:val="22"/>
          <w:lang w:val="fr-FR"/>
        </w:rPr>
        <w:t> :</w:t>
      </w:r>
      <w:r w:rsidRPr="007F70EA">
        <w:rPr>
          <w:szCs w:val="22"/>
          <w:lang w:val="fr-FR"/>
        </w:rPr>
        <w:t xml:space="preserve"> “Le forum multipartite sur la science, la technologie et l</w:t>
      </w:r>
      <w:r w:rsidR="002160B3" w:rsidRPr="007F70EA">
        <w:rPr>
          <w:szCs w:val="22"/>
          <w:lang w:val="fr-FR"/>
        </w:rPr>
        <w:t>’</w:t>
      </w:r>
      <w:r w:rsidRPr="007F70EA">
        <w:rPr>
          <w:szCs w:val="22"/>
          <w:lang w:val="fr-FR"/>
        </w:rPr>
        <w:t>innovation pour la réalisation des objectifs de développement durable sera convoqué […] aux fins de la mise en œuvre des objectifs de développement durable…”</w:t>
      </w:r>
    </w:p>
    <w:p w:rsidR="00F31C57" w:rsidRPr="007F70EA" w:rsidRDefault="00F31C57" w:rsidP="00F31C57">
      <w:pPr>
        <w:rPr>
          <w:szCs w:val="22"/>
          <w:lang w:val="fr-FR"/>
        </w:rPr>
      </w:pPr>
    </w:p>
    <w:p w:rsidR="00F31C57" w:rsidRPr="007F70EA" w:rsidRDefault="00F31C57" w:rsidP="00F31C57">
      <w:pPr>
        <w:rPr>
          <w:szCs w:val="22"/>
          <w:lang w:val="fr-FR"/>
        </w:rPr>
      </w:pPr>
      <w:r w:rsidRPr="007F70EA">
        <w:rPr>
          <w:szCs w:val="22"/>
          <w:u w:val="single"/>
          <w:lang w:val="fr-FR"/>
        </w:rPr>
        <w:t>Taux d</w:t>
      </w:r>
      <w:r w:rsidR="002160B3" w:rsidRPr="007F70EA">
        <w:rPr>
          <w:szCs w:val="22"/>
          <w:u w:val="single"/>
          <w:lang w:val="fr-FR"/>
        </w:rPr>
        <w:t>’</w:t>
      </w:r>
      <w:r w:rsidRPr="007F70EA">
        <w:rPr>
          <w:szCs w:val="22"/>
          <w:u w:val="single"/>
          <w:lang w:val="fr-FR"/>
        </w:rPr>
        <w:t>activité</w:t>
      </w:r>
      <w:r w:rsidR="002160B3" w:rsidRPr="007F70EA">
        <w:rPr>
          <w:szCs w:val="22"/>
          <w:lang w:val="fr-FR"/>
        </w:rPr>
        <w:t> :</w:t>
      </w:r>
      <w:r w:rsidRPr="007F70EA">
        <w:rPr>
          <w:szCs w:val="22"/>
          <w:lang w:val="fr-FR"/>
        </w:rPr>
        <w:t xml:space="preserve"> annuel</w:t>
      </w:r>
    </w:p>
    <w:p w:rsidR="00F31C57" w:rsidRPr="007F70EA" w:rsidRDefault="00F31C57" w:rsidP="00F31C57">
      <w:pPr>
        <w:rPr>
          <w:szCs w:val="22"/>
          <w:lang w:val="fr-FR"/>
        </w:rPr>
      </w:pPr>
    </w:p>
    <w:p w:rsidR="002160B3" w:rsidRPr="007F70EA" w:rsidRDefault="00F31C57" w:rsidP="00F31C57">
      <w:pPr>
        <w:rPr>
          <w:szCs w:val="22"/>
          <w:lang w:val="fr-FR"/>
        </w:rPr>
      </w:pPr>
      <w:r w:rsidRPr="007F70EA">
        <w:rPr>
          <w:szCs w:val="22"/>
          <w:u w:val="single"/>
          <w:lang w:val="fr-FR"/>
        </w:rPr>
        <w:t>Référence</w:t>
      </w:r>
      <w:r w:rsidR="002160B3" w:rsidRPr="007F70EA">
        <w:rPr>
          <w:szCs w:val="22"/>
          <w:lang w:val="fr-FR"/>
        </w:rPr>
        <w:t> :</w:t>
      </w:r>
      <w:r w:rsidRPr="007F70EA">
        <w:rPr>
          <w:szCs w:val="22"/>
          <w:lang w:val="fr-FR"/>
        </w:rPr>
        <w:t xml:space="preserve"> https://sustainabledevelopment.un.org/TFM/STIForum2017</w:t>
      </w:r>
    </w:p>
    <w:p w:rsidR="00F31C57" w:rsidRPr="007F70EA" w:rsidRDefault="00F31C57" w:rsidP="00F31C57">
      <w:pPr>
        <w:rPr>
          <w:szCs w:val="22"/>
          <w:lang w:val="fr-FR"/>
        </w:rPr>
      </w:pPr>
    </w:p>
    <w:p w:rsidR="00F31C57" w:rsidRPr="007F70EA" w:rsidRDefault="00F31C57" w:rsidP="00F31C57">
      <w:pPr>
        <w:rPr>
          <w:szCs w:val="22"/>
          <w:lang w:val="fr-FR"/>
        </w:rPr>
      </w:pPr>
    </w:p>
    <w:p w:rsidR="00FE428A" w:rsidRDefault="00FE428A">
      <w:pPr>
        <w:rPr>
          <w:rFonts w:eastAsia="Times New Roman"/>
          <w:b/>
          <w:szCs w:val="22"/>
          <w:lang w:val="fr-FR" w:eastAsia="fr-FR"/>
        </w:rPr>
      </w:pPr>
      <w:r>
        <w:rPr>
          <w:rFonts w:eastAsia="Times New Roman"/>
          <w:b/>
          <w:szCs w:val="22"/>
          <w:lang w:val="fr-FR" w:eastAsia="fr-FR"/>
        </w:rPr>
        <w:br w:type="page"/>
      </w:r>
    </w:p>
    <w:p w:rsidR="00F31C57" w:rsidRPr="007F70EA" w:rsidRDefault="00F31C57" w:rsidP="00F31C57">
      <w:pPr>
        <w:rPr>
          <w:rFonts w:eastAsia="Times New Roman"/>
          <w:b/>
          <w:szCs w:val="22"/>
          <w:lang w:val="fr-FR" w:eastAsia="fr-FR"/>
        </w:rPr>
      </w:pPr>
      <w:r w:rsidRPr="007F70EA">
        <w:rPr>
          <w:rFonts w:eastAsia="Times New Roman"/>
          <w:b/>
          <w:szCs w:val="22"/>
          <w:lang w:val="fr-FR" w:eastAsia="fr-FR"/>
        </w:rPr>
        <w:lastRenderedPageBreak/>
        <w:t>Groupe de travail intergouvernemental du Cadre de Sendai pour la réduction des risques de catastrophe</w:t>
      </w:r>
    </w:p>
    <w:p w:rsidR="00F31C57" w:rsidRPr="007F70EA" w:rsidRDefault="00F31C57" w:rsidP="00F31C57">
      <w:pPr>
        <w:rPr>
          <w:szCs w:val="22"/>
          <w:lang w:val="fr-FR"/>
        </w:rPr>
      </w:pPr>
    </w:p>
    <w:p w:rsidR="00F31C57" w:rsidRPr="007F70EA" w:rsidRDefault="00F31C57" w:rsidP="00F31C57">
      <w:pPr>
        <w:rPr>
          <w:szCs w:val="22"/>
          <w:lang w:val="fr-FR"/>
        </w:rPr>
      </w:pPr>
      <w:r w:rsidRPr="007F70EA">
        <w:rPr>
          <w:szCs w:val="22"/>
          <w:u w:val="single"/>
          <w:lang w:val="fr-FR"/>
        </w:rPr>
        <w:t>Organisation coordinatrice</w:t>
      </w:r>
      <w:r w:rsidR="002160B3" w:rsidRPr="007F70EA">
        <w:rPr>
          <w:szCs w:val="22"/>
          <w:lang w:val="fr-FR"/>
        </w:rPr>
        <w:t> :</w:t>
      </w:r>
      <w:r w:rsidRPr="007F70EA">
        <w:rPr>
          <w:szCs w:val="22"/>
          <w:lang w:val="fr-FR"/>
        </w:rPr>
        <w:t xml:space="preserve"> Stratégie internationale des </w:t>
      </w:r>
      <w:r w:rsidR="002160B3" w:rsidRPr="007F70EA">
        <w:rPr>
          <w:szCs w:val="22"/>
          <w:lang w:val="fr-FR"/>
        </w:rPr>
        <w:t>Nations Unies</w:t>
      </w:r>
      <w:r w:rsidRPr="007F70EA">
        <w:rPr>
          <w:szCs w:val="22"/>
          <w:lang w:val="fr-FR"/>
        </w:rPr>
        <w:t xml:space="preserve"> pour la prévention des catastrophes (SIPC)</w:t>
      </w:r>
    </w:p>
    <w:p w:rsidR="00F31C57" w:rsidRPr="007F70EA" w:rsidRDefault="00F31C57" w:rsidP="00F31C57">
      <w:pPr>
        <w:rPr>
          <w:szCs w:val="22"/>
          <w:lang w:val="fr-FR"/>
        </w:rPr>
      </w:pPr>
    </w:p>
    <w:p w:rsidR="00F31C57" w:rsidRPr="007F70EA" w:rsidRDefault="00F31C57" w:rsidP="00F31C57">
      <w:pPr>
        <w:rPr>
          <w:rFonts w:eastAsia="Times New Roman"/>
          <w:b/>
          <w:szCs w:val="22"/>
          <w:lang w:val="fr-FR" w:eastAsia="fr-FR"/>
        </w:rPr>
      </w:pPr>
      <w:r w:rsidRPr="007F70EA">
        <w:rPr>
          <w:szCs w:val="22"/>
          <w:u w:val="single"/>
          <w:lang w:val="fr-FR"/>
        </w:rPr>
        <w:t>Thème</w:t>
      </w:r>
      <w:r w:rsidR="002160B3" w:rsidRPr="007F70EA">
        <w:rPr>
          <w:szCs w:val="22"/>
          <w:lang w:val="fr-FR"/>
        </w:rPr>
        <w:t> :</w:t>
      </w:r>
      <w:r w:rsidRPr="007F70EA">
        <w:rPr>
          <w:szCs w:val="22"/>
          <w:lang w:val="fr-FR"/>
        </w:rPr>
        <w:t xml:space="preserve"> </w:t>
      </w:r>
      <w:r w:rsidRPr="007F70EA">
        <w:rPr>
          <w:rFonts w:eastAsia="Times New Roman"/>
          <w:szCs w:val="22"/>
          <w:lang w:val="fr-FR" w:eastAsia="fr-FR"/>
        </w:rPr>
        <w:t>réduction des risques de catastrophe</w:t>
      </w:r>
    </w:p>
    <w:p w:rsidR="00F31C57" w:rsidRPr="007F70EA" w:rsidRDefault="00F31C57" w:rsidP="00F31C57">
      <w:pPr>
        <w:rPr>
          <w:szCs w:val="22"/>
          <w:lang w:val="fr-FR"/>
        </w:rPr>
      </w:pPr>
    </w:p>
    <w:p w:rsidR="00F31C57" w:rsidRPr="007F70EA" w:rsidRDefault="00F31C57" w:rsidP="00F31C57">
      <w:pPr>
        <w:rPr>
          <w:szCs w:val="22"/>
          <w:lang w:val="fr-FR"/>
        </w:rPr>
      </w:pPr>
      <w:r w:rsidRPr="007F70EA">
        <w:rPr>
          <w:szCs w:val="22"/>
          <w:u w:val="single"/>
          <w:lang w:val="fr-FR"/>
        </w:rPr>
        <w:t>Participants</w:t>
      </w:r>
      <w:r w:rsidR="002160B3" w:rsidRPr="007F70EA">
        <w:rPr>
          <w:szCs w:val="22"/>
          <w:lang w:val="fr-FR"/>
        </w:rPr>
        <w:t> :</w:t>
      </w:r>
      <w:r w:rsidRPr="007F70EA">
        <w:rPr>
          <w:szCs w:val="22"/>
          <w:lang w:val="fr-FR"/>
        </w:rPr>
        <w:t xml:space="preserve"> États, organisations intergouvernementales et organisations non gouvernementales</w:t>
      </w:r>
    </w:p>
    <w:p w:rsidR="00F31C57" w:rsidRPr="007F70EA" w:rsidRDefault="00F31C57" w:rsidP="00F31C57">
      <w:pPr>
        <w:rPr>
          <w:szCs w:val="22"/>
          <w:lang w:val="fr-FR"/>
        </w:rPr>
      </w:pPr>
    </w:p>
    <w:p w:rsidR="002160B3" w:rsidRPr="007F70EA" w:rsidRDefault="00F31C57" w:rsidP="00F31C57">
      <w:pPr>
        <w:rPr>
          <w:rFonts w:eastAsia="Times New Roman"/>
          <w:szCs w:val="22"/>
          <w:lang w:val="fr-FR" w:eastAsia="fr-FR"/>
        </w:rPr>
      </w:pPr>
      <w:r w:rsidRPr="007F70EA">
        <w:rPr>
          <w:szCs w:val="22"/>
          <w:u w:val="single"/>
          <w:lang w:val="fr-FR"/>
        </w:rPr>
        <w:t>Lien avec le transfert de technologie</w:t>
      </w:r>
      <w:r w:rsidR="002160B3" w:rsidRPr="007F70EA">
        <w:rPr>
          <w:szCs w:val="22"/>
          <w:lang w:val="fr-FR"/>
        </w:rPr>
        <w:t> :</w:t>
      </w:r>
      <w:r w:rsidRPr="007F70EA">
        <w:rPr>
          <w:szCs w:val="22"/>
          <w:lang w:val="fr-FR"/>
        </w:rPr>
        <w:t xml:space="preserve"> Le </w:t>
      </w:r>
      <w:r w:rsidRPr="007F70EA">
        <w:rPr>
          <w:rFonts w:eastAsia="Times New Roman"/>
          <w:szCs w:val="22"/>
          <w:lang w:val="fr-FR" w:eastAsia="fr-FR"/>
        </w:rPr>
        <w:t>Cadre de Sendai pour la réduction des</w:t>
      </w:r>
      <w:r w:rsidR="0060021D" w:rsidRPr="007F70EA">
        <w:rPr>
          <w:rFonts w:eastAsia="Times New Roman"/>
          <w:szCs w:val="22"/>
          <w:lang w:val="fr-FR" w:eastAsia="fr-FR"/>
        </w:rPr>
        <w:t xml:space="preserve"> </w:t>
      </w:r>
      <w:r w:rsidRPr="007F70EA">
        <w:rPr>
          <w:rFonts w:eastAsia="Times New Roman"/>
          <w:szCs w:val="22"/>
          <w:lang w:val="fr-FR" w:eastAsia="fr-FR"/>
        </w:rPr>
        <w:t>risques de catastrophe (2015</w:t>
      </w:r>
      <w:r w:rsidR="007F70EA">
        <w:rPr>
          <w:rFonts w:eastAsia="Times New Roman"/>
          <w:szCs w:val="22"/>
          <w:lang w:val="fr-FR" w:eastAsia="fr-FR"/>
        </w:rPr>
        <w:noBreakHyphen/>
      </w:r>
      <w:r w:rsidRPr="007F70EA">
        <w:rPr>
          <w:rFonts w:eastAsia="Times New Roman"/>
          <w:szCs w:val="22"/>
          <w:lang w:val="fr-FR" w:eastAsia="fr-FR"/>
        </w:rPr>
        <w:t>2030)</w:t>
      </w:r>
      <w:r w:rsidR="002160B3" w:rsidRPr="007F70EA">
        <w:rPr>
          <w:rFonts w:eastAsia="Times New Roman"/>
          <w:szCs w:val="22"/>
          <w:lang w:val="fr-FR" w:eastAsia="fr-FR"/>
        </w:rPr>
        <w:t> :</w:t>
      </w:r>
      <w:r w:rsidRPr="007F70EA">
        <w:rPr>
          <w:rFonts w:eastAsia="Times New Roman"/>
          <w:szCs w:val="22"/>
          <w:lang w:val="fr-FR" w:eastAsia="fr-FR"/>
        </w:rPr>
        <w:t xml:space="preserve"> </w:t>
      </w:r>
      <w:r w:rsidRPr="007F70EA">
        <w:rPr>
          <w:szCs w:val="22"/>
          <w:lang w:val="fr-FR"/>
        </w:rPr>
        <w:t>“a permis d</w:t>
      </w:r>
      <w:r w:rsidR="002160B3" w:rsidRPr="007F70EA">
        <w:rPr>
          <w:szCs w:val="22"/>
          <w:lang w:val="fr-FR"/>
        </w:rPr>
        <w:t>’</w:t>
      </w:r>
      <w:r w:rsidRPr="007F70EA">
        <w:rPr>
          <w:szCs w:val="22"/>
          <w:lang w:val="fr-FR"/>
        </w:rPr>
        <w:t>améliorer l</w:t>
      </w:r>
      <w:r w:rsidR="002160B3" w:rsidRPr="007F70EA">
        <w:rPr>
          <w:szCs w:val="22"/>
          <w:lang w:val="fr-FR"/>
        </w:rPr>
        <w:t>’</w:t>
      </w:r>
      <w:r w:rsidRPr="007F70EA">
        <w:rPr>
          <w:szCs w:val="22"/>
          <w:lang w:val="fr-FR"/>
        </w:rPr>
        <w:t xml:space="preserve">appui international coordonné, durable et adéquat </w:t>
      </w:r>
      <w:r w:rsidRPr="007F70EA">
        <w:rPr>
          <w:rFonts w:eastAsia="Times New Roman"/>
          <w:szCs w:val="22"/>
          <w:lang w:val="fr-FR" w:eastAsia="fr-FR"/>
        </w:rPr>
        <w:t>pour réduire les risques de catastrophe, en particulier pour les pays les moins avancés, les petits États insulaires en développement, les pays en développement sans littoral, les pays africains ainsi que les pays à revenu intermédiaire confrontés à des défis spécifiques, au moyen de dispositifs</w:t>
      </w:r>
      <w:r w:rsidRPr="007F70EA">
        <w:rPr>
          <w:szCs w:val="22"/>
          <w:lang w:val="fr-FR"/>
        </w:rPr>
        <w:t xml:space="preserve"> bilatéraux et multilatéraux, notamment un appui technique et financier et un transfert de technologie améliorés à des</w:t>
      </w:r>
      <w:r w:rsidRPr="007F70EA">
        <w:rPr>
          <w:rFonts w:eastAsia="Times New Roman"/>
          <w:szCs w:val="22"/>
          <w:lang w:val="fr-FR" w:eastAsia="fr-FR"/>
        </w:rPr>
        <w:t xml:space="preserve"> conditions de faveur et préférentielles, convenues d</w:t>
      </w:r>
      <w:r w:rsidR="002160B3" w:rsidRPr="007F70EA">
        <w:rPr>
          <w:rFonts w:eastAsia="Times New Roman"/>
          <w:szCs w:val="22"/>
          <w:lang w:val="fr-FR" w:eastAsia="fr-FR"/>
        </w:rPr>
        <w:t>’</w:t>
      </w:r>
      <w:r w:rsidRPr="007F70EA">
        <w:rPr>
          <w:rFonts w:eastAsia="Times New Roman"/>
          <w:szCs w:val="22"/>
          <w:lang w:val="fr-FR" w:eastAsia="fr-FR"/>
        </w:rPr>
        <w:t>un commun accord, pour le développement et le renforcement de leurs capacités;  […] améliore l</w:t>
      </w:r>
      <w:r w:rsidR="002160B3" w:rsidRPr="007F70EA">
        <w:rPr>
          <w:rFonts w:eastAsia="Times New Roman"/>
          <w:szCs w:val="22"/>
          <w:lang w:val="fr-FR" w:eastAsia="fr-FR"/>
        </w:rPr>
        <w:t>’</w:t>
      </w:r>
      <w:r w:rsidRPr="007F70EA">
        <w:rPr>
          <w:rFonts w:eastAsia="Times New Roman"/>
          <w:szCs w:val="22"/>
          <w:lang w:val="fr-FR" w:eastAsia="fr-FR"/>
        </w:rPr>
        <w:t>accès des États, particulièrement les pays en développement, à des sources de financement, aux écotechnologies, à la science, à l</w:t>
      </w:r>
      <w:r w:rsidR="002160B3" w:rsidRPr="007F70EA">
        <w:rPr>
          <w:rFonts w:eastAsia="Times New Roman"/>
          <w:szCs w:val="22"/>
          <w:lang w:val="fr-FR" w:eastAsia="fr-FR"/>
        </w:rPr>
        <w:t>’</w:t>
      </w:r>
      <w:r w:rsidRPr="007F70EA">
        <w:rPr>
          <w:rFonts w:eastAsia="Times New Roman"/>
          <w:szCs w:val="22"/>
          <w:lang w:val="fr-FR" w:eastAsia="fr-FR"/>
        </w:rPr>
        <w:t>innovation inclusive ainsi qu</w:t>
      </w:r>
      <w:r w:rsidR="002160B3" w:rsidRPr="007F70EA">
        <w:rPr>
          <w:rFonts w:eastAsia="Times New Roman"/>
          <w:szCs w:val="22"/>
          <w:lang w:val="fr-FR" w:eastAsia="fr-FR"/>
        </w:rPr>
        <w:t>’</w:t>
      </w:r>
      <w:r w:rsidRPr="007F70EA">
        <w:rPr>
          <w:rFonts w:eastAsia="Times New Roman"/>
          <w:szCs w:val="22"/>
          <w:lang w:val="fr-FR" w:eastAsia="fr-FR"/>
        </w:rPr>
        <w:t>au partage de connaissances et d</w:t>
      </w:r>
      <w:r w:rsidR="002160B3" w:rsidRPr="007F70EA">
        <w:rPr>
          <w:rFonts w:eastAsia="Times New Roman"/>
          <w:szCs w:val="22"/>
          <w:lang w:val="fr-FR" w:eastAsia="fr-FR"/>
        </w:rPr>
        <w:t>’</w:t>
      </w:r>
      <w:r w:rsidRPr="007F70EA">
        <w:rPr>
          <w:rFonts w:eastAsia="Times New Roman"/>
          <w:szCs w:val="22"/>
          <w:lang w:val="fr-FR" w:eastAsia="fr-FR"/>
        </w:rPr>
        <w:t xml:space="preserve">informations grâce à des mécanismes actuels, </w:t>
      </w:r>
      <w:r w:rsidR="002160B3" w:rsidRPr="007F70EA">
        <w:rPr>
          <w:rFonts w:eastAsia="Times New Roman"/>
          <w:szCs w:val="22"/>
          <w:lang w:val="fr-FR" w:eastAsia="fr-FR"/>
        </w:rPr>
        <w:t>à savoir</w:t>
      </w:r>
      <w:r w:rsidRPr="007F70EA">
        <w:rPr>
          <w:rFonts w:eastAsia="Times New Roman"/>
          <w:szCs w:val="22"/>
          <w:lang w:val="fr-FR" w:eastAsia="fr-FR"/>
        </w:rPr>
        <w:t xml:space="preserve"> des accords collaboratifs régionaux, bilatéraux et multilatéraux, </w:t>
      </w:r>
      <w:r w:rsidR="002160B3" w:rsidRPr="007F70EA">
        <w:rPr>
          <w:rFonts w:eastAsia="Times New Roman"/>
          <w:szCs w:val="22"/>
          <w:lang w:val="fr-FR" w:eastAsia="fr-FR"/>
        </w:rPr>
        <w:t>y compris</w:t>
      </w:r>
      <w:r w:rsidRPr="007F70EA">
        <w:rPr>
          <w:rFonts w:eastAsia="Times New Roman"/>
          <w:szCs w:val="22"/>
          <w:lang w:val="fr-FR" w:eastAsia="fr-FR"/>
        </w:rPr>
        <w:t xml:space="preserve"> les </w:t>
      </w:r>
      <w:r w:rsidR="002160B3" w:rsidRPr="007F70EA">
        <w:rPr>
          <w:rFonts w:eastAsia="Times New Roman"/>
          <w:szCs w:val="22"/>
          <w:lang w:val="fr-FR" w:eastAsia="fr-FR"/>
        </w:rPr>
        <w:t>Nations Unies</w:t>
      </w:r>
      <w:r w:rsidRPr="007F70EA">
        <w:rPr>
          <w:rFonts w:eastAsia="Times New Roman"/>
          <w:szCs w:val="22"/>
          <w:lang w:val="fr-FR" w:eastAsia="fr-FR"/>
        </w:rPr>
        <w:t xml:space="preserve"> et d</w:t>
      </w:r>
      <w:r w:rsidR="002160B3" w:rsidRPr="007F70EA">
        <w:rPr>
          <w:rFonts w:eastAsia="Times New Roman"/>
          <w:szCs w:val="22"/>
          <w:lang w:val="fr-FR" w:eastAsia="fr-FR"/>
        </w:rPr>
        <w:t>’</w:t>
      </w:r>
      <w:r w:rsidRPr="007F70EA">
        <w:rPr>
          <w:rFonts w:eastAsia="Times New Roman"/>
          <w:szCs w:val="22"/>
          <w:lang w:val="fr-FR" w:eastAsia="fr-FR"/>
        </w:rPr>
        <w:t>autres organismes pertinents;  et […] encourage l</w:t>
      </w:r>
      <w:r w:rsidR="002160B3" w:rsidRPr="007F70EA">
        <w:rPr>
          <w:rFonts w:eastAsia="Times New Roman"/>
          <w:szCs w:val="22"/>
          <w:lang w:val="fr-FR" w:eastAsia="fr-FR"/>
        </w:rPr>
        <w:t>’</w:t>
      </w:r>
      <w:r w:rsidRPr="007F70EA">
        <w:rPr>
          <w:rFonts w:eastAsia="Times New Roman"/>
          <w:szCs w:val="22"/>
          <w:lang w:val="fr-FR" w:eastAsia="fr-FR"/>
        </w:rPr>
        <w:t>utilisation et l</w:t>
      </w:r>
      <w:r w:rsidR="002160B3" w:rsidRPr="007F70EA">
        <w:rPr>
          <w:rFonts w:eastAsia="Times New Roman"/>
          <w:szCs w:val="22"/>
          <w:lang w:val="fr-FR" w:eastAsia="fr-FR"/>
        </w:rPr>
        <w:t>’</w:t>
      </w:r>
      <w:r w:rsidRPr="007F70EA">
        <w:rPr>
          <w:rFonts w:eastAsia="Times New Roman"/>
          <w:szCs w:val="22"/>
          <w:lang w:val="fr-FR" w:eastAsia="fr-FR"/>
        </w:rPr>
        <w:t>expansion des plateformes thématiques de coopération, telles que des regroupements internationaux de technologies et des systèmes mondiaux pour partager les savoirs, l</w:t>
      </w:r>
      <w:r w:rsidR="002160B3" w:rsidRPr="007F70EA">
        <w:rPr>
          <w:rFonts w:eastAsia="Times New Roman"/>
          <w:szCs w:val="22"/>
          <w:lang w:val="fr-FR" w:eastAsia="fr-FR"/>
        </w:rPr>
        <w:t>’</w:t>
      </w:r>
      <w:r w:rsidRPr="007F70EA">
        <w:rPr>
          <w:rFonts w:eastAsia="Times New Roman"/>
          <w:szCs w:val="22"/>
          <w:lang w:val="fr-FR" w:eastAsia="fr-FR"/>
        </w:rPr>
        <w:t>innovation et la recherche ainsi que pour garantir l</w:t>
      </w:r>
      <w:r w:rsidR="002160B3" w:rsidRPr="007F70EA">
        <w:rPr>
          <w:rFonts w:eastAsia="Times New Roman"/>
          <w:szCs w:val="22"/>
          <w:lang w:val="fr-FR" w:eastAsia="fr-FR"/>
        </w:rPr>
        <w:t>’</w:t>
      </w:r>
      <w:r w:rsidRPr="007F70EA">
        <w:rPr>
          <w:rFonts w:eastAsia="Times New Roman"/>
          <w:szCs w:val="22"/>
          <w:lang w:val="fr-FR" w:eastAsia="fr-FR"/>
        </w:rPr>
        <w:t>accès à aux technologies et aux informations concernant la réduction des risques de catastrophe.</w:t>
      </w:r>
      <w:r w:rsidR="002160B3" w:rsidRPr="007F70EA">
        <w:rPr>
          <w:szCs w:val="22"/>
          <w:lang w:val="fr-FR"/>
        </w:rPr>
        <w:t>”</w:t>
      </w:r>
    </w:p>
    <w:p w:rsidR="002160B3" w:rsidRPr="007F70EA" w:rsidRDefault="002160B3" w:rsidP="00F31C57">
      <w:pPr>
        <w:rPr>
          <w:szCs w:val="22"/>
          <w:lang w:val="fr-FR"/>
        </w:rPr>
      </w:pPr>
    </w:p>
    <w:p w:rsidR="002160B3" w:rsidRPr="007F70EA" w:rsidRDefault="00F31C57" w:rsidP="00F31C57">
      <w:pPr>
        <w:rPr>
          <w:rFonts w:eastAsia="Times New Roman"/>
          <w:szCs w:val="22"/>
          <w:lang w:val="fr-FR" w:eastAsia="fr-FR"/>
        </w:rPr>
      </w:pPr>
      <w:r w:rsidRPr="007F70EA">
        <w:rPr>
          <w:szCs w:val="22"/>
          <w:u w:val="single"/>
          <w:lang w:val="fr-FR"/>
        </w:rPr>
        <w:t>Description</w:t>
      </w:r>
      <w:r w:rsidR="002160B3" w:rsidRPr="007F70EA">
        <w:rPr>
          <w:szCs w:val="22"/>
          <w:lang w:val="fr-FR"/>
        </w:rPr>
        <w:t> :</w:t>
      </w:r>
      <w:r w:rsidRPr="007F70EA">
        <w:rPr>
          <w:szCs w:val="22"/>
          <w:lang w:val="fr-FR"/>
        </w:rPr>
        <w:t xml:space="preserve"> “Le </w:t>
      </w:r>
      <w:r w:rsidRPr="007F70EA">
        <w:rPr>
          <w:rFonts w:eastAsia="Times New Roman"/>
          <w:szCs w:val="22"/>
          <w:lang w:val="fr-FR" w:eastAsia="fr-FR"/>
        </w:rPr>
        <w:t>Cadre de Sendai est un accord volontaire non contraignant d</w:t>
      </w:r>
      <w:r w:rsidR="002160B3" w:rsidRPr="007F70EA">
        <w:rPr>
          <w:rFonts w:eastAsia="Times New Roman"/>
          <w:szCs w:val="22"/>
          <w:lang w:val="fr-FR" w:eastAsia="fr-FR"/>
        </w:rPr>
        <w:t>’</w:t>
      </w:r>
      <w:r w:rsidRPr="007F70EA">
        <w:rPr>
          <w:rFonts w:eastAsia="Times New Roman"/>
          <w:szCs w:val="22"/>
          <w:lang w:val="fr-FR" w:eastAsia="fr-FR"/>
        </w:rPr>
        <w:t>une durée de 15</w:t>
      </w:r>
      <w:r w:rsidR="0060021D" w:rsidRPr="007F70EA">
        <w:rPr>
          <w:rFonts w:eastAsia="Times New Roman"/>
          <w:szCs w:val="22"/>
          <w:lang w:val="fr-FR" w:eastAsia="fr-FR"/>
        </w:rPr>
        <w:t> </w:t>
      </w:r>
      <w:r w:rsidRPr="007F70EA">
        <w:rPr>
          <w:rFonts w:eastAsia="Times New Roman"/>
          <w:szCs w:val="22"/>
          <w:lang w:val="fr-FR" w:eastAsia="fr-FR"/>
        </w:rPr>
        <w:t>ans qui reconnaît le rôle principal que joue l</w:t>
      </w:r>
      <w:r w:rsidR="002160B3" w:rsidRPr="007F70EA">
        <w:rPr>
          <w:rFonts w:eastAsia="Times New Roman"/>
          <w:szCs w:val="22"/>
          <w:lang w:val="fr-FR" w:eastAsia="fr-FR"/>
        </w:rPr>
        <w:t>’</w:t>
      </w:r>
      <w:r w:rsidRPr="007F70EA">
        <w:rPr>
          <w:rFonts w:eastAsia="Times New Roman"/>
          <w:szCs w:val="22"/>
          <w:lang w:val="fr-FR" w:eastAsia="fr-FR"/>
        </w:rPr>
        <w:t>État dans la réduction des risques de catastrophe, mais que cette responsabilité devrait être partagée avec d</w:t>
      </w:r>
      <w:r w:rsidR="002160B3" w:rsidRPr="007F70EA">
        <w:rPr>
          <w:rFonts w:eastAsia="Times New Roman"/>
          <w:szCs w:val="22"/>
          <w:lang w:val="fr-FR" w:eastAsia="fr-FR"/>
        </w:rPr>
        <w:t>’</w:t>
      </w:r>
      <w:r w:rsidRPr="007F70EA">
        <w:rPr>
          <w:rFonts w:eastAsia="Times New Roman"/>
          <w:szCs w:val="22"/>
          <w:lang w:val="fr-FR" w:eastAsia="fr-FR"/>
        </w:rPr>
        <w:t>autres parties prenantes, notamment les gouvernements locaux, le secteur privé ainsi que d</w:t>
      </w:r>
      <w:r w:rsidR="002160B3" w:rsidRPr="007F70EA">
        <w:rPr>
          <w:rFonts w:eastAsia="Times New Roman"/>
          <w:szCs w:val="22"/>
          <w:lang w:val="fr-FR" w:eastAsia="fr-FR"/>
        </w:rPr>
        <w:t>’</w:t>
      </w:r>
      <w:r w:rsidRPr="007F70EA">
        <w:rPr>
          <w:rFonts w:eastAsia="Times New Roman"/>
          <w:szCs w:val="22"/>
          <w:lang w:val="fr-FR" w:eastAsia="fr-FR"/>
        </w:rPr>
        <w:t>autres acteurs.</w:t>
      </w:r>
      <w:r w:rsidRPr="007F70EA">
        <w:rPr>
          <w:szCs w:val="22"/>
          <w:lang w:val="fr-FR"/>
        </w:rPr>
        <w:t>”</w:t>
      </w:r>
    </w:p>
    <w:p w:rsidR="00F31C57" w:rsidRPr="007F70EA" w:rsidRDefault="00F31C57" w:rsidP="00F31C57">
      <w:pPr>
        <w:rPr>
          <w:szCs w:val="22"/>
          <w:lang w:val="fr-FR"/>
        </w:rPr>
      </w:pPr>
    </w:p>
    <w:p w:rsidR="00F31C57" w:rsidRPr="007F70EA" w:rsidRDefault="00F31C57" w:rsidP="00F31C57">
      <w:pPr>
        <w:rPr>
          <w:szCs w:val="22"/>
          <w:lang w:val="fr-FR"/>
        </w:rPr>
      </w:pPr>
      <w:r w:rsidRPr="007F70EA">
        <w:rPr>
          <w:szCs w:val="22"/>
          <w:u w:val="single"/>
          <w:lang w:val="fr-FR"/>
        </w:rPr>
        <w:t>Taux d</w:t>
      </w:r>
      <w:r w:rsidR="002160B3" w:rsidRPr="007F70EA">
        <w:rPr>
          <w:szCs w:val="22"/>
          <w:u w:val="single"/>
          <w:lang w:val="fr-FR"/>
        </w:rPr>
        <w:t>’</w:t>
      </w:r>
      <w:r w:rsidRPr="007F70EA">
        <w:rPr>
          <w:szCs w:val="22"/>
          <w:u w:val="single"/>
          <w:lang w:val="fr-FR"/>
        </w:rPr>
        <w:t>activité</w:t>
      </w:r>
      <w:r w:rsidR="002160B3" w:rsidRPr="007F70EA">
        <w:rPr>
          <w:szCs w:val="22"/>
          <w:lang w:val="fr-FR"/>
        </w:rPr>
        <w:t> :</w:t>
      </w:r>
      <w:r w:rsidRPr="007F70EA">
        <w:rPr>
          <w:szCs w:val="22"/>
          <w:lang w:val="fr-FR"/>
        </w:rPr>
        <w:t xml:space="preserve"> ponctuel</w:t>
      </w:r>
    </w:p>
    <w:p w:rsidR="00F31C57" w:rsidRPr="007F70EA" w:rsidRDefault="00F31C57" w:rsidP="00F31C57">
      <w:pPr>
        <w:rPr>
          <w:szCs w:val="22"/>
          <w:lang w:val="fr-FR"/>
        </w:rPr>
      </w:pPr>
    </w:p>
    <w:p w:rsidR="002160B3" w:rsidRPr="007F70EA" w:rsidRDefault="00F31C57" w:rsidP="00F31C57">
      <w:pPr>
        <w:rPr>
          <w:szCs w:val="22"/>
          <w:lang w:val="fr-FR"/>
        </w:rPr>
      </w:pPr>
      <w:r w:rsidRPr="007F70EA">
        <w:rPr>
          <w:szCs w:val="22"/>
          <w:u w:val="single"/>
          <w:lang w:val="fr-FR"/>
        </w:rPr>
        <w:t>Référence</w:t>
      </w:r>
      <w:r w:rsidR="002160B3" w:rsidRPr="007F70EA">
        <w:rPr>
          <w:szCs w:val="22"/>
          <w:lang w:val="fr-FR"/>
        </w:rPr>
        <w:t> :</w:t>
      </w:r>
      <w:r w:rsidRPr="007F70EA">
        <w:rPr>
          <w:szCs w:val="22"/>
          <w:lang w:val="fr-FR"/>
        </w:rPr>
        <w:t xml:space="preserve"> http://www.unisdr.org/we/coordinate/sendai</w:t>
      </w:r>
      <w:r w:rsidR="007F70EA">
        <w:rPr>
          <w:szCs w:val="22"/>
          <w:lang w:val="fr-FR"/>
        </w:rPr>
        <w:noBreakHyphen/>
      </w:r>
      <w:r w:rsidRPr="007F70EA">
        <w:rPr>
          <w:szCs w:val="22"/>
          <w:lang w:val="fr-FR"/>
        </w:rPr>
        <w:t>framework</w:t>
      </w:r>
    </w:p>
    <w:p w:rsidR="00F31C57" w:rsidRPr="007F70EA" w:rsidRDefault="00F31C57" w:rsidP="00F31C57">
      <w:pPr>
        <w:rPr>
          <w:szCs w:val="22"/>
          <w:lang w:val="fr-FR"/>
        </w:rPr>
      </w:pPr>
    </w:p>
    <w:p w:rsidR="00F31C57" w:rsidRPr="007F70EA" w:rsidRDefault="00F31C57" w:rsidP="00F31C57">
      <w:pPr>
        <w:rPr>
          <w:szCs w:val="22"/>
          <w:lang w:val="fr-FR"/>
        </w:rPr>
      </w:pPr>
    </w:p>
    <w:p w:rsidR="00F31C57" w:rsidRPr="007F70EA" w:rsidRDefault="00F31C57" w:rsidP="00F31C57">
      <w:pPr>
        <w:rPr>
          <w:b/>
          <w:szCs w:val="22"/>
          <w:lang w:val="fr-FR"/>
        </w:rPr>
      </w:pPr>
      <w:r w:rsidRPr="007F70EA">
        <w:rPr>
          <w:b/>
          <w:szCs w:val="22"/>
          <w:lang w:val="fr-FR"/>
        </w:rPr>
        <w:t xml:space="preserve">Commission des </w:t>
      </w:r>
      <w:r w:rsidR="002160B3" w:rsidRPr="007F70EA">
        <w:rPr>
          <w:b/>
          <w:szCs w:val="22"/>
          <w:lang w:val="fr-FR"/>
        </w:rPr>
        <w:t>Nations Unies</w:t>
      </w:r>
      <w:r w:rsidRPr="007F70EA">
        <w:rPr>
          <w:b/>
          <w:szCs w:val="22"/>
          <w:lang w:val="fr-FR"/>
        </w:rPr>
        <w:t xml:space="preserve"> de la science et de la technique au service du développement</w:t>
      </w:r>
    </w:p>
    <w:p w:rsidR="00F31C57" w:rsidRPr="007F70EA" w:rsidRDefault="00F31C57" w:rsidP="00F31C57">
      <w:pPr>
        <w:rPr>
          <w:szCs w:val="22"/>
          <w:lang w:val="fr-FR"/>
        </w:rPr>
      </w:pPr>
    </w:p>
    <w:p w:rsidR="00F31C57" w:rsidRPr="007F70EA" w:rsidRDefault="00F31C57" w:rsidP="00F31C57">
      <w:pPr>
        <w:rPr>
          <w:szCs w:val="22"/>
          <w:lang w:val="fr-FR"/>
        </w:rPr>
      </w:pPr>
      <w:r w:rsidRPr="007F70EA">
        <w:rPr>
          <w:szCs w:val="22"/>
          <w:u w:val="single"/>
          <w:lang w:val="fr-FR"/>
        </w:rPr>
        <w:t>Organisation coordinatrice</w:t>
      </w:r>
      <w:r w:rsidR="002160B3" w:rsidRPr="007F70EA">
        <w:rPr>
          <w:szCs w:val="22"/>
          <w:lang w:val="fr-FR"/>
        </w:rPr>
        <w:t> :</w:t>
      </w:r>
      <w:r w:rsidRPr="007F70EA">
        <w:rPr>
          <w:szCs w:val="22"/>
          <w:u w:val="single"/>
          <w:lang w:val="fr-FR"/>
        </w:rPr>
        <w:t xml:space="preserve"> </w:t>
      </w:r>
      <w:r w:rsidRPr="007F70EA">
        <w:rPr>
          <w:szCs w:val="22"/>
          <w:lang w:val="fr-FR"/>
        </w:rPr>
        <w:t xml:space="preserve">Conférence des </w:t>
      </w:r>
      <w:r w:rsidR="002160B3" w:rsidRPr="007F70EA">
        <w:rPr>
          <w:szCs w:val="22"/>
          <w:lang w:val="fr-FR"/>
        </w:rPr>
        <w:t>Nations Unies</w:t>
      </w:r>
      <w:r w:rsidRPr="007F70EA">
        <w:rPr>
          <w:szCs w:val="22"/>
          <w:lang w:val="fr-FR"/>
        </w:rPr>
        <w:t xml:space="preserve"> sur le commerce et le développement (CNUCED)</w:t>
      </w:r>
    </w:p>
    <w:p w:rsidR="00F31C57" w:rsidRPr="007F70EA" w:rsidRDefault="00F31C57" w:rsidP="00F31C57">
      <w:pPr>
        <w:rPr>
          <w:szCs w:val="22"/>
          <w:lang w:val="fr-FR"/>
        </w:rPr>
      </w:pPr>
    </w:p>
    <w:p w:rsidR="007F70EA" w:rsidRDefault="00F31C57">
      <w:pPr>
        <w:rPr>
          <w:szCs w:val="22"/>
          <w:lang w:val="fr-FR"/>
        </w:rPr>
      </w:pPr>
      <w:r w:rsidRPr="007F70EA">
        <w:rPr>
          <w:szCs w:val="22"/>
          <w:u w:val="single"/>
          <w:lang w:val="fr-FR"/>
        </w:rPr>
        <w:t>Thème</w:t>
      </w:r>
      <w:r w:rsidR="002160B3" w:rsidRPr="007F70EA">
        <w:rPr>
          <w:szCs w:val="22"/>
          <w:lang w:val="fr-FR"/>
        </w:rPr>
        <w:t> :</w:t>
      </w:r>
      <w:r w:rsidRPr="007F70EA">
        <w:rPr>
          <w:szCs w:val="22"/>
          <w:lang w:val="fr-FR"/>
        </w:rPr>
        <w:t xml:space="preserve"> science, technologie et innovation</w:t>
      </w:r>
    </w:p>
    <w:p w:rsidR="00FE428A" w:rsidRDefault="00FE428A">
      <w:pPr>
        <w:rPr>
          <w:szCs w:val="22"/>
          <w:u w:val="single"/>
          <w:lang w:val="fr-FR"/>
        </w:rPr>
      </w:pPr>
    </w:p>
    <w:p w:rsidR="00F31C57" w:rsidRPr="007F70EA" w:rsidRDefault="00F31C57" w:rsidP="00F31C57">
      <w:pPr>
        <w:rPr>
          <w:szCs w:val="22"/>
          <w:lang w:val="fr-FR"/>
        </w:rPr>
      </w:pPr>
      <w:r w:rsidRPr="007F70EA">
        <w:rPr>
          <w:szCs w:val="22"/>
          <w:u w:val="single"/>
          <w:lang w:val="fr-FR"/>
        </w:rPr>
        <w:t>Participants</w:t>
      </w:r>
      <w:r w:rsidR="002160B3" w:rsidRPr="007F70EA">
        <w:rPr>
          <w:szCs w:val="22"/>
          <w:lang w:val="fr-FR"/>
        </w:rPr>
        <w:t> :</w:t>
      </w:r>
      <w:r w:rsidRPr="007F70EA">
        <w:rPr>
          <w:szCs w:val="22"/>
          <w:lang w:val="fr-FR"/>
        </w:rPr>
        <w:t xml:space="preserve"> États</w:t>
      </w:r>
    </w:p>
    <w:p w:rsidR="00F31C57" w:rsidRPr="007F70EA" w:rsidRDefault="00F31C57" w:rsidP="00F31C57">
      <w:pPr>
        <w:rPr>
          <w:szCs w:val="22"/>
          <w:lang w:val="fr-FR"/>
        </w:rPr>
      </w:pPr>
    </w:p>
    <w:p w:rsidR="00F31C57" w:rsidRPr="007F70EA" w:rsidRDefault="00F31C57" w:rsidP="00F31C57">
      <w:pPr>
        <w:rPr>
          <w:szCs w:val="22"/>
          <w:lang w:val="fr-FR"/>
        </w:rPr>
      </w:pPr>
      <w:r w:rsidRPr="007F70EA">
        <w:rPr>
          <w:szCs w:val="22"/>
          <w:u w:val="single"/>
          <w:lang w:val="fr-FR"/>
        </w:rPr>
        <w:t>Lien avec le transfert de technologie</w:t>
      </w:r>
      <w:r w:rsidR="002160B3" w:rsidRPr="007F70EA">
        <w:rPr>
          <w:szCs w:val="22"/>
          <w:lang w:val="fr-FR"/>
        </w:rPr>
        <w:t> :</w:t>
      </w:r>
      <w:r w:rsidRPr="007F70EA">
        <w:rPr>
          <w:szCs w:val="22"/>
          <w:lang w:val="fr-FR"/>
        </w:rPr>
        <w:t xml:space="preserve"> “La Commission joue le rôle de forum pour</w:t>
      </w:r>
      <w:r w:rsidR="002160B3" w:rsidRPr="007F70EA">
        <w:rPr>
          <w:szCs w:val="22"/>
          <w:lang w:val="fr-FR"/>
        </w:rPr>
        <w:t> :</w:t>
      </w:r>
      <w:r w:rsidRPr="007F70EA">
        <w:rPr>
          <w:szCs w:val="22"/>
          <w:lang w:val="fr-FR"/>
        </w:rPr>
        <w:t xml:space="preserve"> l</w:t>
      </w:r>
      <w:r w:rsidR="002160B3" w:rsidRPr="007F70EA">
        <w:rPr>
          <w:szCs w:val="22"/>
          <w:lang w:val="fr-FR"/>
        </w:rPr>
        <w:t>’</w:t>
      </w:r>
      <w:r w:rsidRPr="007F70EA">
        <w:rPr>
          <w:szCs w:val="22"/>
          <w:lang w:val="fr-FR"/>
        </w:rPr>
        <w:t>examen des questions scientifiques et technologiques et de leurs conséquences sur le développement;  une meilleure compréhension des politiques relatives à la science et à la technologie;  et la formulation de recommandations et d</w:t>
      </w:r>
      <w:r w:rsidR="002160B3" w:rsidRPr="007F70EA">
        <w:rPr>
          <w:szCs w:val="22"/>
          <w:lang w:val="fr-FR"/>
        </w:rPr>
        <w:t>’</w:t>
      </w:r>
      <w:r w:rsidRPr="007F70EA">
        <w:rPr>
          <w:szCs w:val="22"/>
          <w:lang w:val="fr-FR"/>
        </w:rPr>
        <w:t xml:space="preserve">orientations concernant les sujets scientifiques et technologiques au sein du système des </w:t>
      </w:r>
      <w:r w:rsidR="002160B3" w:rsidRPr="007F70EA">
        <w:rPr>
          <w:szCs w:val="22"/>
          <w:lang w:val="fr-FR"/>
        </w:rPr>
        <w:t>Nations Unies</w:t>
      </w:r>
      <w:r w:rsidRPr="007F70EA">
        <w:rPr>
          <w:szCs w:val="22"/>
          <w:lang w:val="fr-FR"/>
        </w:rPr>
        <w:t>.”</w:t>
      </w:r>
    </w:p>
    <w:p w:rsidR="00F31C57" w:rsidRPr="007F70EA" w:rsidRDefault="00F31C57" w:rsidP="00F31C57">
      <w:pPr>
        <w:rPr>
          <w:szCs w:val="22"/>
          <w:lang w:val="fr-FR"/>
        </w:rPr>
      </w:pPr>
    </w:p>
    <w:p w:rsidR="002160B3" w:rsidRPr="007F70EA" w:rsidRDefault="00F31C57" w:rsidP="00F31C57">
      <w:pPr>
        <w:rPr>
          <w:szCs w:val="22"/>
          <w:lang w:val="fr-FR"/>
        </w:rPr>
      </w:pPr>
      <w:r w:rsidRPr="007F70EA">
        <w:rPr>
          <w:szCs w:val="22"/>
          <w:u w:val="single"/>
          <w:lang w:val="fr-FR"/>
        </w:rPr>
        <w:lastRenderedPageBreak/>
        <w:t>Description</w:t>
      </w:r>
      <w:r w:rsidR="002160B3" w:rsidRPr="007F70EA">
        <w:rPr>
          <w:szCs w:val="22"/>
          <w:lang w:val="fr-FR"/>
        </w:rPr>
        <w:t> :</w:t>
      </w:r>
      <w:r w:rsidRPr="007F70EA">
        <w:rPr>
          <w:szCs w:val="22"/>
          <w:lang w:val="fr-FR"/>
        </w:rPr>
        <w:t xml:space="preserve"> “La Commission de la science et de la technique au service du développement est un organe subsidiaire du Conseil économique et social des </w:t>
      </w:r>
      <w:r w:rsidR="002160B3" w:rsidRPr="007F70EA">
        <w:rPr>
          <w:szCs w:val="22"/>
          <w:lang w:val="fr-FR"/>
        </w:rPr>
        <w:t>Nations Unies</w:t>
      </w:r>
      <w:r w:rsidRPr="007F70EA">
        <w:rPr>
          <w:szCs w:val="22"/>
          <w:lang w:val="fr-FR"/>
        </w:rPr>
        <w:t xml:space="preserve"> (ECOSOC).  La Commission a été créée pour fournir à l</w:t>
      </w:r>
      <w:r w:rsidR="002160B3" w:rsidRPr="007F70EA">
        <w:rPr>
          <w:szCs w:val="22"/>
          <w:lang w:val="fr-FR"/>
        </w:rPr>
        <w:t>’</w:t>
      </w:r>
      <w:r w:rsidRPr="007F70EA">
        <w:rPr>
          <w:szCs w:val="22"/>
          <w:lang w:val="fr-FR"/>
        </w:rPr>
        <w:t>Assemblée générale et à l</w:t>
      </w:r>
      <w:r w:rsidR="002160B3" w:rsidRPr="007F70EA">
        <w:rPr>
          <w:szCs w:val="22"/>
          <w:lang w:val="fr-FR"/>
        </w:rPr>
        <w:t>’</w:t>
      </w:r>
      <w:r w:rsidRPr="007F70EA">
        <w:rPr>
          <w:szCs w:val="22"/>
          <w:lang w:val="fr-FR"/>
        </w:rPr>
        <w:t>ECOSOC des conseils d</w:t>
      </w:r>
      <w:r w:rsidR="002160B3" w:rsidRPr="007F70EA">
        <w:rPr>
          <w:szCs w:val="22"/>
          <w:lang w:val="fr-FR"/>
        </w:rPr>
        <w:t>’</w:t>
      </w:r>
      <w:r w:rsidRPr="007F70EA">
        <w:rPr>
          <w:szCs w:val="22"/>
          <w:lang w:val="fr-FR"/>
        </w:rPr>
        <w:t>ordre général sur des questions pertinentes au moyen d</w:t>
      </w:r>
      <w:r w:rsidR="002160B3" w:rsidRPr="007F70EA">
        <w:rPr>
          <w:szCs w:val="22"/>
          <w:lang w:val="fr-FR"/>
        </w:rPr>
        <w:t>’</w:t>
      </w:r>
      <w:r w:rsidRPr="007F70EA">
        <w:rPr>
          <w:szCs w:val="22"/>
          <w:lang w:val="fr-FR"/>
        </w:rPr>
        <w:t>analyses et de recommandations ou d</w:t>
      </w:r>
      <w:r w:rsidR="002160B3" w:rsidRPr="007F70EA">
        <w:rPr>
          <w:szCs w:val="22"/>
          <w:lang w:val="fr-FR"/>
        </w:rPr>
        <w:t>’</w:t>
      </w:r>
      <w:r w:rsidRPr="007F70EA">
        <w:rPr>
          <w:szCs w:val="22"/>
          <w:lang w:val="fr-FR"/>
        </w:rPr>
        <w:t xml:space="preserve">options politiques appropriées afin de permettre auxdits organes de guider les futurs travaux des </w:t>
      </w:r>
      <w:r w:rsidR="002160B3" w:rsidRPr="007F70EA">
        <w:rPr>
          <w:szCs w:val="22"/>
          <w:lang w:val="fr-FR"/>
        </w:rPr>
        <w:t>Nations Unies</w:t>
      </w:r>
      <w:r w:rsidRPr="007F70EA">
        <w:rPr>
          <w:szCs w:val="22"/>
          <w:lang w:val="fr-FR"/>
        </w:rPr>
        <w:t>, élaborer des politiques communes et convenir de mesures adéquates.</w:t>
      </w:r>
    </w:p>
    <w:p w:rsidR="00F31C57" w:rsidRPr="007F70EA" w:rsidRDefault="00F31C57" w:rsidP="00F31C57">
      <w:pPr>
        <w:rPr>
          <w:szCs w:val="22"/>
          <w:lang w:val="fr-FR"/>
        </w:rPr>
      </w:pPr>
    </w:p>
    <w:p w:rsidR="00F31C57" w:rsidRPr="007F70EA" w:rsidRDefault="00F31C57" w:rsidP="00F31C57">
      <w:pPr>
        <w:rPr>
          <w:szCs w:val="22"/>
          <w:lang w:val="fr-FR"/>
        </w:rPr>
      </w:pPr>
      <w:r w:rsidRPr="007F70EA">
        <w:rPr>
          <w:szCs w:val="22"/>
          <w:u w:val="single"/>
          <w:lang w:val="fr-FR"/>
        </w:rPr>
        <w:t>Taux d</w:t>
      </w:r>
      <w:r w:rsidR="002160B3" w:rsidRPr="007F70EA">
        <w:rPr>
          <w:szCs w:val="22"/>
          <w:u w:val="single"/>
          <w:lang w:val="fr-FR"/>
        </w:rPr>
        <w:t>’</w:t>
      </w:r>
      <w:r w:rsidRPr="007F70EA">
        <w:rPr>
          <w:szCs w:val="22"/>
          <w:u w:val="single"/>
          <w:lang w:val="fr-FR"/>
        </w:rPr>
        <w:t>activité</w:t>
      </w:r>
      <w:r w:rsidR="002160B3" w:rsidRPr="007F70EA">
        <w:rPr>
          <w:szCs w:val="22"/>
          <w:lang w:val="fr-FR"/>
        </w:rPr>
        <w:t> :</w:t>
      </w:r>
      <w:r w:rsidRPr="007F70EA">
        <w:rPr>
          <w:szCs w:val="22"/>
          <w:lang w:val="fr-FR"/>
        </w:rPr>
        <w:t xml:space="preserve"> annuel</w:t>
      </w:r>
    </w:p>
    <w:p w:rsidR="00F31C57" w:rsidRPr="007F70EA" w:rsidRDefault="00F31C57" w:rsidP="00F31C57">
      <w:pPr>
        <w:rPr>
          <w:szCs w:val="22"/>
          <w:lang w:val="fr-FR"/>
        </w:rPr>
      </w:pPr>
    </w:p>
    <w:p w:rsidR="002160B3" w:rsidRPr="007F70EA" w:rsidRDefault="00F31C57" w:rsidP="00F31C57">
      <w:pPr>
        <w:rPr>
          <w:szCs w:val="22"/>
          <w:lang w:val="fr-FR"/>
        </w:rPr>
      </w:pPr>
      <w:r w:rsidRPr="007F70EA">
        <w:rPr>
          <w:szCs w:val="22"/>
          <w:u w:val="single"/>
          <w:lang w:val="fr-FR"/>
        </w:rPr>
        <w:t>Référence</w:t>
      </w:r>
      <w:r w:rsidR="002160B3" w:rsidRPr="007F70EA">
        <w:rPr>
          <w:szCs w:val="22"/>
          <w:lang w:val="fr-FR"/>
        </w:rPr>
        <w:t> :</w:t>
      </w:r>
      <w:r w:rsidRPr="007F70EA">
        <w:rPr>
          <w:szCs w:val="22"/>
          <w:lang w:val="fr-FR"/>
        </w:rPr>
        <w:t xml:space="preserve"> http://unctad.org/en/Pages/CSTD.aspx</w:t>
      </w:r>
    </w:p>
    <w:p w:rsidR="00F31C57" w:rsidRPr="007F70EA" w:rsidRDefault="00F31C57" w:rsidP="00F31C57">
      <w:pPr>
        <w:rPr>
          <w:szCs w:val="22"/>
          <w:lang w:val="fr-FR"/>
        </w:rPr>
      </w:pPr>
    </w:p>
    <w:p w:rsidR="00F31C57" w:rsidRPr="007F70EA" w:rsidRDefault="00F31C57" w:rsidP="00F31C57">
      <w:pPr>
        <w:rPr>
          <w:szCs w:val="22"/>
          <w:lang w:val="fr-FR"/>
        </w:rPr>
      </w:pPr>
    </w:p>
    <w:p w:rsidR="00F31C57" w:rsidRPr="007F70EA" w:rsidRDefault="00F31C57" w:rsidP="00F31C57">
      <w:pPr>
        <w:rPr>
          <w:b/>
          <w:szCs w:val="22"/>
          <w:lang w:val="fr-FR"/>
        </w:rPr>
      </w:pPr>
      <w:r w:rsidRPr="007F70EA">
        <w:rPr>
          <w:b/>
          <w:szCs w:val="22"/>
          <w:lang w:val="fr-FR"/>
        </w:rPr>
        <w:t>Groupe de l</w:t>
      </w:r>
      <w:r w:rsidR="002160B3" w:rsidRPr="007F70EA">
        <w:rPr>
          <w:b/>
          <w:szCs w:val="22"/>
          <w:lang w:val="fr-FR"/>
        </w:rPr>
        <w:t>’</w:t>
      </w:r>
      <w:r w:rsidRPr="007F70EA">
        <w:rPr>
          <w:rStyle w:val="st"/>
          <w:b/>
          <w:szCs w:val="22"/>
          <w:lang w:val="fr-FR"/>
        </w:rPr>
        <w:t xml:space="preserve">Organisation des </w:t>
      </w:r>
      <w:r w:rsidR="002160B3" w:rsidRPr="007F70EA">
        <w:rPr>
          <w:rStyle w:val="st"/>
          <w:b/>
          <w:szCs w:val="22"/>
          <w:lang w:val="fr-FR"/>
        </w:rPr>
        <w:t>Nations Unies</w:t>
      </w:r>
      <w:r w:rsidRPr="007F70EA">
        <w:rPr>
          <w:rStyle w:val="st"/>
          <w:b/>
          <w:szCs w:val="22"/>
          <w:lang w:val="fr-FR"/>
        </w:rPr>
        <w:t xml:space="preserve"> pour le développement industriel (ONUDI) </w:t>
      </w:r>
      <w:r w:rsidRPr="007F70EA">
        <w:rPr>
          <w:b/>
          <w:szCs w:val="22"/>
          <w:lang w:val="fr-FR"/>
        </w:rPr>
        <w:t>sur la science, la technologie et l</w:t>
      </w:r>
      <w:r w:rsidR="002160B3" w:rsidRPr="007F70EA">
        <w:rPr>
          <w:b/>
          <w:szCs w:val="22"/>
          <w:lang w:val="fr-FR"/>
        </w:rPr>
        <w:t>’</w:t>
      </w:r>
      <w:r w:rsidRPr="007F70EA">
        <w:rPr>
          <w:b/>
          <w:szCs w:val="22"/>
          <w:lang w:val="fr-FR"/>
        </w:rPr>
        <w:t>innovation</w:t>
      </w:r>
      <w:r w:rsidR="002160B3" w:rsidRPr="007F70EA">
        <w:rPr>
          <w:b/>
          <w:szCs w:val="22"/>
          <w:lang w:val="fr-FR"/>
        </w:rPr>
        <w:t> :</w:t>
      </w:r>
      <w:r w:rsidRPr="007F70EA">
        <w:rPr>
          <w:b/>
          <w:szCs w:val="22"/>
          <w:lang w:val="fr-FR"/>
        </w:rPr>
        <w:t xml:space="preserve"> ateliers et conférences</w:t>
      </w:r>
    </w:p>
    <w:p w:rsidR="00F31C57" w:rsidRPr="007F70EA" w:rsidRDefault="00F31C57" w:rsidP="00F31C57">
      <w:pPr>
        <w:rPr>
          <w:szCs w:val="22"/>
          <w:lang w:val="fr-FR"/>
        </w:rPr>
      </w:pPr>
    </w:p>
    <w:p w:rsidR="00F31C57" w:rsidRPr="007F70EA" w:rsidRDefault="00F31C57" w:rsidP="00F31C57">
      <w:pPr>
        <w:rPr>
          <w:szCs w:val="22"/>
          <w:lang w:val="fr-FR"/>
        </w:rPr>
      </w:pPr>
      <w:r w:rsidRPr="007F70EA">
        <w:rPr>
          <w:szCs w:val="22"/>
          <w:u w:val="single"/>
          <w:lang w:val="fr-FR"/>
        </w:rPr>
        <w:t>Organisation coordinatrice</w:t>
      </w:r>
      <w:r w:rsidR="002160B3" w:rsidRPr="007F70EA">
        <w:rPr>
          <w:szCs w:val="22"/>
          <w:lang w:val="fr-FR"/>
        </w:rPr>
        <w:t> :</w:t>
      </w:r>
      <w:r w:rsidRPr="007F70EA">
        <w:rPr>
          <w:szCs w:val="22"/>
          <w:u w:val="single"/>
          <w:lang w:val="fr-FR"/>
        </w:rPr>
        <w:t xml:space="preserve"> </w:t>
      </w:r>
      <w:r w:rsidRPr="007F70EA">
        <w:rPr>
          <w:szCs w:val="22"/>
          <w:lang w:val="fr-FR"/>
        </w:rPr>
        <w:t>Organ</w:t>
      </w:r>
      <w:r w:rsidRPr="007F70EA">
        <w:rPr>
          <w:rStyle w:val="st"/>
          <w:szCs w:val="22"/>
          <w:lang w:val="fr-FR"/>
        </w:rPr>
        <w:t xml:space="preserve">isation des </w:t>
      </w:r>
      <w:r w:rsidR="002160B3" w:rsidRPr="007F70EA">
        <w:rPr>
          <w:rStyle w:val="st"/>
          <w:szCs w:val="22"/>
          <w:lang w:val="fr-FR"/>
        </w:rPr>
        <w:t>Nations Unies</w:t>
      </w:r>
      <w:r w:rsidRPr="007F70EA">
        <w:rPr>
          <w:rStyle w:val="st"/>
          <w:szCs w:val="22"/>
          <w:lang w:val="fr-FR"/>
        </w:rPr>
        <w:t xml:space="preserve"> pour le développement industriel (ONUDI)</w:t>
      </w:r>
    </w:p>
    <w:p w:rsidR="00F31C57" w:rsidRPr="007F70EA" w:rsidRDefault="00F31C57" w:rsidP="00F31C57">
      <w:pPr>
        <w:rPr>
          <w:szCs w:val="22"/>
          <w:lang w:val="fr-FR"/>
        </w:rPr>
      </w:pPr>
    </w:p>
    <w:p w:rsidR="00F31C57" w:rsidRPr="007F70EA" w:rsidRDefault="00F31C57" w:rsidP="00F31C57">
      <w:pPr>
        <w:rPr>
          <w:szCs w:val="22"/>
          <w:lang w:val="fr-FR"/>
        </w:rPr>
      </w:pPr>
      <w:r w:rsidRPr="007F70EA">
        <w:rPr>
          <w:szCs w:val="22"/>
          <w:u w:val="single"/>
          <w:lang w:val="fr-FR"/>
        </w:rPr>
        <w:t>Thème</w:t>
      </w:r>
      <w:r w:rsidR="002160B3" w:rsidRPr="007F70EA">
        <w:rPr>
          <w:szCs w:val="22"/>
          <w:lang w:val="fr-FR"/>
        </w:rPr>
        <w:t> :</w:t>
      </w:r>
      <w:r w:rsidRPr="007F70EA">
        <w:rPr>
          <w:szCs w:val="22"/>
          <w:lang w:val="fr-FR"/>
        </w:rPr>
        <w:t xml:space="preserve"> science, technologie et innovation</w:t>
      </w:r>
    </w:p>
    <w:p w:rsidR="00F31C57" w:rsidRPr="007F70EA" w:rsidRDefault="00F31C57" w:rsidP="00F31C57">
      <w:pPr>
        <w:rPr>
          <w:szCs w:val="22"/>
          <w:lang w:val="fr-FR"/>
        </w:rPr>
      </w:pPr>
    </w:p>
    <w:p w:rsidR="00F31C57" w:rsidRPr="007F70EA" w:rsidRDefault="00F31C57" w:rsidP="00F31C57">
      <w:pPr>
        <w:rPr>
          <w:szCs w:val="22"/>
          <w:lang w:val="fr-FR"/>
        </w:rPr>
      </w:pPr>
      <w:r w:rsidRPr="007F70EA">
        <w:rPr>
          <w:szCs w:val="22"/>
          <w:u w:val="single"/>
          <w:lang w:val="fr-FR"/>
        </w:rPr>
        <w:t>Participants</w:t>
      </w:r>
      <w:r w:rsidR="002160B3" w:rsidRPr="007F70EA">
        <w:rPr>
          <w:szCs w:val="22"/>
          <w:lang w:val="fr-FR"/>
        </w:rPr>
        <w:t> :</w:t>
      </w:r>
      <w:r w:rsidRPr="007F70EA">
        <w:rPr>
          <w:szCs w:val="22"/>
          <w:lang w:val="fr-FR"/>
        </w:rPr>
        <w:t xml:space="preserve"> États, organisations intergouvernementales et organisations non gouvernementales</w:t>
      </w:r>
    </w:p>
    <w:p w:rsidR="00F31C57" w:rsidRPr="007F70EA" w:rsidRDefault="00F31C57" w:rsidP="00F31C57">
      <w:pPr>
        <w:rPr>
          <w:szCs w:val="22"/>
          <w:lang w:val="fr-FR"/>
        </w:rPr>
      </w:pPr>
    </w:p>
    <w:p w:rsidR="002160B3" w:rsidRPr="007F70EA" w:rsidRDefault="00F31C57" w:rsidP="00F31C57">
      <w:pPr>
        <w:rPr>
          <w:szCs w:val="22"/>
          <w:lang w:val="fr-FR"/>
        </w:rPr>
      </w:pPr>
      <w:r w:rsidRPr="007F70EA">
        <w:rPr>
          <w:szCs w:val="22"/>
          <w:u w:val="single"/>
          <w:lang w:val="fr-FR"/>
        </w:rPr>
        <w:t>Lien avec le transfert de technologie</w:t>
      </w:r>
      <w:r w:rsidR="002160B3" w:rsidRPr="007F70EA">
        <w:rPr>
          <w:szCs w:val="22"/>
          <w:lang w:val="fr-FR"/>
        </w:rPr>
        <w:t> :</w:t>
      </w:r>
      <w:r w:rsidRPr="007F70EA">
        <w:rPr>
          <w:szCs w:val="22"/>
          <w:lang w:val="fr-FR"/>
        </w:rPr>
        <w:t xml:space="preserve"> “L</w:t>
      </w:r>
      <w:r w:rsidR="002160B3" w:rsidRPr="007F70EA">
        <w:rPr>
          <w:szCs w:val="22"/>
          <w:lang w:val="fr-FR"/>
        </w:rPr>
        <w:t>’</w:t>
      </w:r>
      <w:r w:rsidRPr="007F70EA">
        <w:rPr>
          <w:szCs w:val="22"/>
          <w:lang w:val="fr-FR"/>
        </w:rPr>
        <w:t>ONUDI conduit un programme de coopération technique axé sur la science, la technologie et l</w:t>
      </w:r>
      <w:r w:rsidR="002160B3" w:rsidRPr="007F70EA">
        <w:rPr>
          <w:szCs w:val="22"/>
          <w:lang w:val="fr-FR"/>
        </w:rPr>
        <w:t>’</w:t>
      </w:r>
      <w:r w:rsidRPr="007F70EA">
        <w:rPr>
          <w:szCs w:val="22"/>
          <w:lang w:val="fr-FR"/>
        </w:rPr>
        <w:t>innovation, qui mesure et analyse les lacunes en matière de technologie et vise à les réduire de manière systématique et durable.”</w:t>
      </w:r>
    </w:p>
    <w:p w:rsidR="00F31C57" w:rsidRPr="007F70EA" w:rsidRDefault="00F31C57" w:rsidP="00F31C57">
      <w:pPr>
        <w:rPr>
          <w:szCs w:val="22"/>
          <w:lang w:val="fr-FR"/>
        </w:rPr>
      </w:pPr>
    </w:p>
    <w:p w:rsidR="00F31C57" w:rsidRPr="007F70EA" w:rsidRDefault="00F31C57" w:rsidP="00F31C57">
      <w:pPr>
        <w:rPr>
          <w:szCs w:val="22"/>
          <w:lang w:val="fr-FR"/>
        </w:rPr>
      </w:pPr>
      <w:r w:rsidRPr="007F70EA">
        <w:rPr>
          <w:szCs w:val="22"/>
          <w:u w:val="single"/>
          <w:lang w:val="fr-FR"/>
        </w:rPr>
        <w:t>Description</w:t>
      </w:r>
      <w:r w:rsidR="002160B3" w:rsidRPr="007F70EA">
        <w:rPr>
          <w:szCs w:val="22"/>
          <w:lang w:val="fr-FR"/>
        </w:rPr>
        <w:t> :</w:t>
      </w:r>
      <w:r w:rsidRPr="007F70EA">
        <w:rPr>
          <w:szCs w:val="22"/>
          <w:lang w:val="fr-FR"/>
        </w:rPr>
        <w:t xml:space="preserve"> “Le Groupe sur la science, la technologie et l</w:t>
      </w:r>
      <w:r w:rsidR="002160B3" w:rsidRPr="007F70EA">
        <w:rPr>
          <w:szCs w:val="22"/>
          <w:lang w:val="fr-FR"/>
        </w:rPr>
        <w:t>’</w:t>
      </w:r>
      <w:r w:rsidRPr="007F70EA">
        <w:rPr>
          <w:szCs w:val="22"/>
          <w:lang w:val="fr-FR"/>
        </w:rPr>
        <w:t>innovation organise une série de sessions, d</w:t>
      </w:r>
      <w:r w:rsidR="002160B3" w:rsidRPr="007F70EA">
        <w:rPr>
          <w:szCs w:val="22"/>
          <w:lang w:val="fr-FR"/>
        </w:rPr>
        <w:t>’</w:t>
      </w:r>
      <w:r w:rsidRPr="007F70EA">
        <w:rPr>
          <w:szCs w:val="22"/>
          <w:lang w:val="fr-FR"/>
        </w:rPr>
        <w:t>ateliers et de conférences de formation afin d</w:t>
      </w:r>
      <w:r w:rsidR="002160B3" w:rsidRPr="007F70EA">
        <w:rPr>
          <w:szCs w:val="22"/>
          <w:lang w:val="fr-FR"/>
        </w:rPr>
        <w:t>’</w:t>
      </w:r>
      <w:r w:rsidRPr="007F70EA">
        <w:rPr>
          <w:szCs w:val="22"/>
          <w:lang w:val="fr-FR"/>
        </w:rPr>
        <w:t>encourager les discussions, les examens collégiaux et les démonstrations.”</w:t>
      </w:r>
    </w:p>
    <w:p w:rsidR="00F31C57" w:rsidRPr="007F70EA" w:rsidRDefault="00F31C57" w:rsidP="00F31C57">
      <w:pPr>
        <w:rPr>
          <w:szCs w:val="22"/>
          <w:lang w:val="fr-FR"/>
        </w:rPr>
      </w:pPr>
    </w:p>
    <w:p w:rsidR="00F31C57" w:rsidRPr="007F70EA" w:rsidRDefault="00F31C57" w:rsidP="00F31C57">
      <w:pPr>
        <w:rPr>
          <w:szCs w:val="22"/>
          <w:lang w:val="fr-FR"/>
        </w:rPr>
      </w:pPr>
      <w:r w:rsidRPr="007F70EA">
        <w:rPr>
          <w:szCs w:val="22"/>
          <w:u w:val="single"/>
          <w:lang w:val="fr-FR"/>
        </w:rPr>
        <w:t>Taux d</w:t>
      </w:r>
      <w:r w:rsidR="002160B3" w:rsidRPr="007F70EA">
        <w:rPr>
          <w:szCs w:val="22"/>
          <w:u w:val="single"/>
          <w:lang w:val="fr-FR"/>
        </w:rPr>
        <w:t>’</w:t>
      </w:r>
      <w:r w:rsidRPr="007F70EA">
        <w:rPr>
          <w:szCs w:val="22"/>
          <w:u w:val="single"/>
          <w:lang w:val="fr-FR"/>
        </w:rPr>
        <w:t>activité</w:t>
      </w:r>
      <w:r w:rsidR="002160B3" w:rsidRPr="007F70EA">
        <w:rPr>
          <w:szCs w:val="22"/>
          <w:lang w:val="fr-FR"/>
        </w:rPr>
        <w:t> :</w:t>
      </w:r>
      <w:r w:rsidRPr="007F70EA">
        <w:rPr>
          <w:szCs w:val="22"/>
          <w:lang w:val="fr-FR"/>
        </w:rPr>
        <w:t xml:space="preserve"> ponctuel</w:t>
      </w:r>
    </w:p>
    <w:p w:rsidR="00F31C57" w:rsidRPr="007F70EA" w:rsidRDefault="00F31C57" w:rsidP="00F31C57">
      <w:pPr>
        <w:rPr>
          <w:szCs w:val="22"/>
          <w:lang w:val="fr-FR"/>
        </w:rPr>
      </w:pPr>
    </w:p>
    <w:p w:rsidR="00F31C57" w:rsidRPr="007F70EA" w:rsidRDefault="00F31C57" w:rsidP="00F31C57">
      <w:pPr>
        <w:rPr>
          <w:szCs w:val="22"/>
          <w:lang w:val="fr-FR"/>
        </w:rPr>
      </w:pPr>
      <w:r w:rsidRPr="007F70EA">
        <w:rPr>
          <w:szCs w:val="22"/>
          <w:u w:val="single"/>
          <w:lang w:val="fr-FR"/>
        </w:rPr>
        <w:t>Référence</w:t>
      </w:r>
      <w:r w:rsidR="002160B3" w:rsidRPr="007F70EA">
        <w:rPr>
          <w:szCs w:val="22"/>
          <w:lang w:val="fr-FR"/>
        </w:rPr>
        <w:t> :</w:t>
      </w:r>
      <w:r w:rsidRPr="007F70EA">
        <w:rPr>
          <w:szCs w:val="22"/>
          <w:lang w:val="fr-FR"/>
        </w:rPr>
        <w:t xml:space="preserve"> http://www.unido.org/what</w:t>
      </w:r>
      <w:r w:rsidR="007F70EA">
        <w:rPr>
          <w:szCs w:val="22"/>
          <w:lang w:val="fr-FR"/>
        </w:rPr>
        <w:noBreakHyphen/>
      </w:r>
      <w:r w:rsidRPr="007F70EA">
        <w:rPr>
          <w:szCs w:val="22"/>
          <w:lang w:val="fr-FR"/>
        </w:rPr>
        <w:t>we</w:t>
      </w:r>
      <w:r w:rsidR="007F70EA">
        <w:rPr>
          <w:szCs w:val="22"/>
          <w:lang w:val="fr-FR"/>
        </w:rPr>
        <w:noBreakHyphen/>
      </w:r>
      <w:r w:rsidRPr="007F70EA">
        <w:rPr>
          <w:szCs w:val="22"/>
          <w:lang w:val="fr-FR"/>
        </w:rPr>
        <w:t>do/advancing</w:t>
      </w:r>
      <w:r w:rsidR="007F70EA">
        <w:rPr>
          <w:szCs w:val="22"/>
          <w:lang w:val="fr-FR"/>
        </w:rPr>
        <w:noBreakHyphen/>
      </w:r>
      <w:r w:rsidRPr="007F70EA">
        <w:rPr>
          <w:szCs w:val="22"/>
          <w:lang w:val="fr-FR"/>
        </w:rPr>
        <w:t>economic</w:t>
      </w:r>
      <w:r w:rsidR="007F70EA">
        <w:rPr>
          <w:szCs w:val="22"/>
          <w:lang w:val="fr-FR"/>
        </w:rPr>
        <w:noBreakHyphen/>
      </w:r>
      <w:r w:rsidRPr="007F70EA">
        <w:rPr>
          <w:szCs w:val="22"/>
          <w:lang w:val="fr-FR"/>
        </w:rPr>
        <w:t>competitiveness/investing</w:t>
      </w:r>
      <w:r w:rsidR="007F70EA">
        <w:rPr>
          <w:szCs w:val="22"/>
          <w:lang w:val="fr-FR"/>
        </w:rPr>
        <w:noBreakHyphen/>
      </w:r>
      <w:r w:rsidRPr="007F70EA">
        <w:rPr>
          <w:szCs w:val="22"/>
          <w:lang w:val="fr-FR"/>
        </w:rPr>
        <w:t>in</w:t>
      </w:r>
      <w:r w:rsidR="007F70EA">
        <w:rPr>
          <w:szCs w:val="22"/>
          <w:lang w:val="fr-FR"/>
        </w:rPr>
        <w:noBreakHyphen/>
      </w:r>
      <w:r w:rsidRPr="007F70EA">
        <w:rPr>
          <w:szCs w:val="22"/>
          <w:lang w:val="fr-FR"/>
        </w:rPr>
        <w:t>technology</w:t>
      </w:r>
      <w:r w:rsidR="007F70EA">
        <w:rPr>
          <w:szCs w:val="22"/>
          <w:lang w:val="fr-FR"/>
        </w:rPr>
        <w:noBreakHyphen/>
      </w:r>
      <w:r w:rsidRPr="007F70EA">
        <w:rPr>
          <w:szCs w:val="22"/>
          <w:lang w:val="fr-FR"/>
        </w:rPr>
        <w:t>and</w:t>
      </w:r>
      <w:r w:rsidR="007F70EA">
        <w:rPr>
          <w:szCs w:val="22"/>
          <w:lang w:val="fr-FR"/>
        </w:rPr>
        <w:noBreakHyphen/>
      </w:r>
      <w:r w:rsidRPr="007F70EA">
        <w:rPr>
          <w:szCs w:val="22"/>
          <w:lang w:val="fr-FR"/>
        </w:rPr>
        <w:t>innovation/o51610/science</w:t>
      </w:r>
      <w:r w:rsidR="007F70EA">
        <w:rPr>
          <w:szCs w:val="22"/>
          <w:lang w:val="fr-FR"/>
        </w:rPr>
        <w:noBreakHyphen/>
      </w:r>
      <w:r w:rsidRPr="007F70EA">
        <w:rPr>
          <w:szCs w:val="22"/>
          <w:lang w:val="fr-FR"/>
        </w:rPr>
        <w:t>technology</w:t>
      </w:r>
      <w:r w:rsidR="007F70EA">
        <w:rPr>
          <w:szCs w:val="22"/>
          <w:lang w:val="fr-FR"/>
        </w:rPr>
        <w:noBreakHyphen/>
      </w:r>
      <w:r w:rsidRPr="007F70EA">
        <w:rPr>
          <w:szCs w:val="22"/>
          <w:lang w:val="fr-FR"/>
        </w:rPr>
        <w:t>and</w:t>
      </w:r>
      <w:r w:rsidR="007F70EA">
        <w:rPr>
          <w:szCs w:val="22"/>
          <w:lang w:val="fr-FR"/>
        </w:rPr>
        <w:noBreakHyphen/>
      </w:r>
      <w:r w:rsidRPr="007F70EA">
        <w:rPr>
          <w:szCs w:val="22"/>
          <w:lang w:val="fr-FR"/>
        </w:rPr>
        <w:t>innovation.html</w:t>
      </w:r>
    </w:p>
    <w:p w:rsidR="00F31C57" w:rsidRPr="007F70EA" w:rsidRDefault="00F31C57" w:rsidP="00F31C57">
      <w:pPr>
        <w:rPr>
          <w:szCs w:val="22"/>
          <w:lang w:val="fr-FR"/>
        </w:rPr>
      </w:pPr>
    </w:p>
    <w:p w:rsidR="00F31C57" w:rsidRPr="007F70EA" w:rsidRDefault="00F31C57" w:rsidP="00F31C57">
      <w:pPr>
        <w:rPr>
          <w:szCs w:val="22"/>
          <w:lang w:val="fr-FR"/>
        </w:rPr>
      </w:pPr>
    </w:p>
    <w:p w:rsidR="002160B3" w:rsidRPr="007F70EA" w:rsidRDefault="00F31C57" w:rsidP="00F31C57">
      <w:pPr>
        <w:rPr>
          <w:b/>
          <w:szCs w:val="22"/>
          <w:lang w:val="fr-FR"/>
        </w:rPr>
      </w:pPr>
      <w:r w:rsidRPr="007F70EA">
        <w:rPr>
          <w:b/>
          <w:szCs w:val="22"/>
          <w:lang w:val="fr-FR"/>
        </w:rPr>
        <w:t>Comité exécutif de la technologie de la Convention</w:t>
      </w:r>
      <w:r w:rsidR="007F70EA">
        <w:rPr>
          <w:b/>
          <w:szCs w:val="22"/>
          <w:lang w:val="fr-FR"/>
        </w:rPr>
        <w:noBreakHyphen/>
      </w:r>
      <w:r w:rsidRPr="007F70EA">
        <w:rPr>
          <w:b/>
          <w:szCs w:val="22"/>
          <w:lang w:val="fr-FR"/>
        </w:rPr>
        <w:t xml:space="preserve">cadre des </w:t>
      </w:r>
      <w:r w:rsidR="002160B3" w:rsidRPr="007F70EA">
        <w:rPr>
          <w:b/>
          <w:szCs w:val="22"/>
          <w:lang w:val="fr-FR"/>
        </w:rPr>
        <w:t>Nations Unies</w:t>
      </w:r>
      <w:r w:rsidRPr="007F70EA">
        <w:rPr>
          <w:b/>
          <w:szCs w:val="22"/>
          <w:lang w:val="fr-FR"/>
        </w:rPr>
        <w:t xml:space="preserve"> sur les changements climatiques (CCNUCC)</w:t>
      </w:r>
      <w:r w:rsidR="002160B3" w:rsidRPr="007F70EA">
        <w:rPr>
          <w:b/>
          <w:szCs w:val="22"/>
          <w:lang w:val="fr-FR"/>
        </w:rPr>
        <w:t> :</w:t>
      </w:r>
      <w:r w:rsidRPr="007F70EA">
        <w:rPr>
          <w:b/>
          <w:szCs w:val="22"/>
          <w:lang w:val="fr-FR"/>
        </w:rPr>
        <w:t xml:space="preserve"> Comité exécutif technologique</w:t>
      </w:r>
    </w:p>
    <w:p w:rsidR="00F31C57" w:rsidRPr="007F70EA" w:rsidRDefault="00F31C57" w:rsidP="00F31C57">
      <w:pPr>
        <w:rPr>
          <w:szCs w:val="22"/>
          <w:lang w:val="fr-FR"/>
        </w:rPr>
      </w:pPr>
    </w:p>
    <w:p w:rsidR="00F31C57" w:rsidRPr="007F70EA" w:rsidRDefault="00F31C57" w:rsidP="00F31C57">
      <w:pPr>
        <w:rPr>
          <w:szCs w:val="22"/>
          <w:lang w:val="fr-FR"/>
        </w:rPr>
      </w:pPr>
      <w:r w:rsidRPr="007F70EA">
        <w:rPr>
          <w:szCs w:val="22"/>
          <w:u w:val="single"/>
          <w:lang w:val="fr-FR"/>
        </w:rPr>
        <w:t>Organisations coordinatrices</w:t>
      </w:r>
      <w:r w:rsidR="002160B3" w:rsidRPr="007F70EA">
        <w:rPr>
          <w:szCs w:val="22"/>
          <w:lang w:val="fr-FR"/>
        </w:rPr>
        <w:t> :</w:t>
      </w:r>
      <w:r w:rsidRPr="007F70EA">
        <w:rPr>
          <w:szCs w:val="22"/>
          <w:lang w:val="fr-FR"/>
        </w:rPr>
        <w:t xml:space="preserve"> le Secrétariat de la Convention</w:t>
      </w:r>
      <w:r w:rsidR="007F70EA">
        <w:rPr>
          <w:szCs w:val="22"/>
          <w:lang w:val="fr-FR"/>
        </w:rPr>
        <w:noBreakHyphen/>
      </w:r>
      <w:r w:rsidRPr="007F70EA">
        <w:rPr>
          <w:szCs w:val="22"/>
          <w:lang w:val="fr-FR"/>
        </w:rPr>
        <w:t xml:space="preserve">cadre des </w:t>
      </w:r>
      <w:r w:rsidR="002160B3" w:rsidRPr="007F70EA">
        <w:rPr>
          <w:szCs w:val="22"/>
          <w:lang w:val="fr-FR"/>
        </w:rPr>
        <w:t>Nations Unies</w:t>
      </w:r>
      <w:r w:rsidRPr="007F70EA">
        <w:rPr>
          <w:szCs w:val="22"/>
          <w:lang w:val="fr-FR"/>
        </w:rPr>
        <w:t xml:space="preserve"> sur les changements climatiques (CCNUCC), le Programme des </w:t>
      </w:r>
      <w:r w:rsidR="002160B3" w:rsidRPr="007F70EA">
        <w:rPr>
          <w:szCs w:val="22"/>
          <w:lang w:val="fr-FR"/>
        </w:rPr>
        <w:t>Nations Unies</w:t>
      </w:r>
      <w:r w:rsidRPr="007F70EA">
        <w:rPr>
          <w:szCs w:val="22"/>
          <w:lang w:val="fr-FR"/>
        </w:rPr>
        <w:t xml:space="preserve"> pour l</w:t>
      </w:r>
      <w:r w:rsidR="002160B3" w:rsidRPr="007F70EA">
        <w:rPr>
          <w:szCs w:val="22"/>
          <w:lang w:val="fr-FR"/>
        </w:rPr>
        <w:t>’</w:t>
      </w:r>
      <w:r w:rsidRPr="007F70EA">
        <w:rPr>
          <w:szCs w:val="22"/>
          <w:lang w:val="fr-FR"/>
        </w:rPr>
        <w:t>environnement (PNUE) et l</w:t>
      </w:r>
      <w:r w:rsidR="002160B3" w:rsidRPr="007F70EA">
        <w:rPr>
          <w:szCs w:val="22"/>
          <w:lang w:val="fr-FR"/>
        </w:rPr>
        <w:t>’</w:t>
      </w:r>
      <w:r w:rsidRPr="007F70EA">
        <w:rPr>
          <w:rStyle w:val="st"/>
          <w:szCs w:val="22"/>
          <w:lang w:val="fr-FR"/>
        </w:rPr>
        <w:t xml:space="preserve">Organisation des </w:t>
      </w:r>
      <w:r w:rsidR="002160B3" w:rsidRPr="007F70EA">
        <w:rPr>
          <w:rStyle w:val="st"/>
          <w:szCs w:val="22"/>
          <w:lang w:val="fr-FR"/>
        </w:rPr>
        <w:t>Nations Unies</w:t>
      </w:r>
      <w:r w:rsidRPr="007F70EA">
        <w:rPr>
          <w:rStyle w:val="st"/>
          <w:szCs w:val="22"/>
          <w:lang w:val="fr-FR"/>
        </w:rPr>
        <w:t xml:space="preserve"> pour le développement industriel (ONUDI)</w:t>
      </w:r>
    </w:p>
    <w:p w:rsidR="00F31C57" w:rsidRPr="007F70EA" w:rsidRDefault="00F31C57" w:rsidP="00F31C57">
      <w:pPr>
        <w:rPr>
          <w:szCs w:val="22"/>
          <w:lang w:val="fr-FR"/>
        </w:rPr>
      </w:pPr>
    </w:p>
    <w:p w:rsidR="007F70EA" w:rsidRDefault="00F31C57">
      <w:pPr>
        <w:rPr>
          <w:szCs w:val="22"/>
          <w:lang w:val="fr-FR"/>
        </w:rPr>
      </w:pPr>
      <w:r w:rsidRPr="007F70EA">
        <w:rPr>
          <w:szCs w:val="22"/>
          <w:u w:val="single"/>
          <w:lang w:val="fr-FR"/>
        </w:rPr>
        <w:t>Thème</w:t>
      </w:r>
      <w:r w:rsidR="002160B3" w:rsidRPr="007F70EA">
        <w:rPr>
          <w:szCs w:val="22"/>
          <w:lang w:val="fr-FR"/>
        </w:rPr>
        <w:t> :</w:t>
      </w:r>
      <w:r w:rsidRPr="007F70EA">
        <w:rPr>
          <w:szCs w:val="22"/>
          <w:lang w:val="fr-FR"/>
        </w:rPr>
        <w:t xml:space="preserve"> environnement (changement climatique)</w:t>
      </w:r>
    </w:p>
    <w:p w:rsidR="00FE428A" w:rsidRDefault="00FE428A">
      <w:pPr>
        <w:rPr>
          <w:szCs w:val="22"/>
          <w:u w:val="single"/>
          <w:lang w:val="fr-FR"/>
        </w:rPr>
      </w:pPr>
    </w:p>
    <w:p w:rsidR="00F31C57" w:rsidRPr="007F70EA" w:rsidRDefault="00F31C57" w:rsidP="00F31C57">
      <w:pPr>
        <w:rPr>
          <w:szCs w:val="22"/>
          <w:lang w:val="fr-FR"/>
        </w:rPr>
      </w:pPr>
      <w:r w:rsidRPr="007F70EA">
        <w:rPr>
          <w:szCs w:val="22"/>
          <w:u w:val="single"/>
          <w:lang w:val="fr-FR"/>
        </w:rPr>
        <w:t>Participants</w:t>
      </w:r>
      <w:r w:rsidR="002160B3" w:rsidRPr="007F70EA">
        <w:rPr>
          <w:szCs w:val="22"/>
          <w:lang w:val="fr-FR"/>
        </w:rPr>
        <w:t> :</w:t>
      </w:r>
      <w:r w:rsidRPr="007F70EA">
        <w:rPr>
          <w:szCs w:val="22"/>
          <w:lang w:val="fr-FR"/>
        </w:rPr>
        <w:t xml:space="preserve"> États</w:t>
      </w:r>
    </w:p>
    <w:p w:rsidR="00F31C57" w:rsidRPr="007F70EA" w:rsidRDefault="00F31C57" w:rsidP="00F31C57">
      <w:pPr>
        <w:rPr>
          <w:szCs w:val="22"/>
          <w:lang w:val="fr-FR"/>
        </w:rPr>
      </w:pPr>
    </w:p>
    <w:p w:rsidR="002160B3" w:rsidRPr="007F70EA" w:rsidRDefault="00F31C57" w:rsidP="00F31C57">
      <w:pPr>
        <w:rPr>
          <w:rFonts w:eastAsia="Times New Roman"/>
          <w:szCs w:val="22"/>
          <w:lang w:val="fr-FR" w:eastAsia="fr-FR"/>
        </w:rPr>
      </w:pPr>
      <w:r w:rsidRPr="007F70EA">
        <w:rPr>
          <w:szCs w:val="22"/>
          <w:u w:val="single"/>
          <w:lang w:val="fr-FR"/>
        </w:rPr>
        <w:t>Lien avec le transfert de technologie</w:t>
      </w:r>
      <w:r w:rsidR="002160B3" w:rsidRPr="007F70EA">
        <w:rPr>
          <w:szCs w:val="22"/>
          <w:lang w:val="fr-FR"/>
        </w:rPr>
        <w:t> :</w:t>
      </w:r>
      <w:r w:rsidRPr="007F70EA">
        <w:rPr>
          <w:szCs w:val="22"/>
          <w:lang w:val="fr-FR"/>
        </w:rPr>
        <w:t xml:space="preserve"> Les Accords de Cancún prévoient que</w:t>
      </w:r>
      <w:r w:rsidR="002160B3" w:rsidRPr="007F70EA">
        <w:rPr>
          <w:szCs w:val="22"/>
          <w:lang w:val="fr-FR"/>
        </w:rPr>
        <w:t> :</w:t>
      </w:r>
      <w:r w:rsidRPr="007F70EA">
        <w:rPr>
          <w:szCs w:val="22"/>
          <w:lang w:val="fr-FR"/>
        </w:rPr>
        <w:t xml:space="preserve"> “Le Comité exécutif de la technologie aura pour fonction de</w:t>
      </w:r>
      <w:r w:rsidR="002160B3" w:rsidRPr="007F70EA">
        <w:rPr>
          <w:szCs w:val="22"/>
          <w:lang w:val="fr-FR"/>
        </w:rPr>
        <w:t> :</w:t>
      </w:r>
      <w:r w:rsidRPr="007F70EA">
        <w:rPr>
          <w:szCs w:val="22"/>
          <w:lang w:val="fr-FR"/>
        </w:rPr>
        <w:t xml:space="preserve"> </w:t>
      </w:r>
      <w:r w:rsidRPr="007F70EA">
        <w:rPr>
          <w:rFonts w:eastAsia="Times New Roman"/>
          <w:szCs w:val="22"/>
          <w:lang w:val="fr-FR" w:eastAsia="fr-FR"/>
        </w:rPr>
        <w:t>a)</w:t>
      </w:r>
      <w:r w:rsidR="00CC68C1" w:rsidRPr="007F70EA">
        <w:rPr>
          <w:szCs w:val="22"/>
          <w:lang w:val="fr-FR"/>
        </w:rPr>
        <w:t> </w:t>
      </w:r>
      <w:r w:rsidRPr="007F70EA">
        <w:rPr>
          <w:rFonts w:eastAsia="Times New Roman"/>
          <w:szCs w:val="22"/>
          <w:lang w:val="fr-FR" w:eastAsia="fr-FR"/>
        </w:rPr>
        <w:t>fournir un aperçu des besoins technologiques et des analyses des questions de politique générale et des questions techniques liées à la mise au point et au transfert de technologie d</w:t>
      </w:r>
      <w:r w:rsidR="002160B3" w:rsidRPr="007F70EA">
        <w:rPr>
          <w:rFonts w:eastAsia="Times New Roman"/>
          <w:szCs w:val="22"/>
          <w:lang w:val="fr-FR" w:eastAsia="fr-FR"/>
        </w:rPr>
        <w:t>’</w:t>
      </w:r>
      <w:r w:rsidRPr="007F70EA">
        <w:rPr>
          <w:rFonts w:eastAsia="Times New Roman"/>
          <w:szCs w:val="22"/>
          <w:lang w:val="fr-FR" w:eastAsia="fr-FR"/>
        </w:rPr>
        <w:t>atténuation et d</w:t>
      </w:r>
      <w:r w:rsidR="002160B3" w:rsidRPr="007F70EA">
        <w:rPr>
          <w:rFonts w:eastAsia="Times New Roman"/>
          <w:szCs w:val="22"/>
          <w:lang w:val="fr-FR" w:eastAsia="fr-FR"/>
        </w:rPr>
        <w:t>’</w:t>
      </w:r>
      <w:r w:rsidRPr="007F70EA">
        <w:rPr>
          <w:rFonts w:eastAsia="Times New Roman"/>
          <w:szCs w:val="22"/>
          <w:lang w:val="fr-FR" w:eastAsia="fr-FR"/>
        </w:rPr>
        <w:t>adaptation;  b)</w:t>
      </w:r>
      <w:r w:rsidR="00CC68C1" w:rsidRPr="007F70EA">
        <w:rPr>
          <w:rFonts w:eastAsia="Times New Roman"/>
          <w:szCs w:val="22"/>
          <w:lang w:val="fr-FR" w:eastAsia="fr-FR"/>
        </w:rPr>
        <w:t> </w:t>
      </w:r>
      <w:r w:rsidRPr="007F70EA">
        <w:rPr>
          <w:rFonts w:eastAsia="Times New Roman"/>
          <w:szCs w:val="22"/>
          <w:lang w:val="fr-FR" w:eastAsia="fr-FR"/>
        </w:rPr>
        <w:t>étudier et recommander des mesures propres à promouvoir la mise au point et le transfert de technologie afin d</w:t>
      </w:r>
      <w:r w:rsidR="002160B3" w:rsidRPr="007F70EA">
        <w:rPr>
          <w:rFonts w:eastAsia="Times New Roman"/>
          <w:szCs w:val="22"/>
          <w:lang w:val="fr-FR" w:eastAsia="fr-FR"/>
        </w:rPr>
        <w:t>’</w:t>
      </w:r>
      <w:r w:rsidRPr="007F70EA">
        <w:rPr>
          <w:rFonts w:eastAsia="Times New Roman"/>
          <w:szCs w:val="22"/>
          <w:lang w:val="fr-FR" w:eastAsia="fr-FR"/>
        </w:rPr>
        <w:t>accélérer l</w:t>
      </w:r>
      <w:r w:rsidR="002160B3" w:rsidRPr="007F70EA">
        <w:rPr>
          <w:rFonts w:eastAsia="Times New Roman"/>
          <w:szCs w:val="22"/>
          <w:lang w:val="fr-FR" w:eastAsia="fr-FR"/>
        </w:rPr>
        <w:t>’</w:t>
      </w:r>
      <w:r w:rsidRPr="007F70EA">
        <w:rPr>
          <w:rFonts w:eastAsia="Times New Roman"/>
          <w:szCs w:val="22"/>
          <w:lang w:val="fr-FR" w:eastAsia="fr-FR"/>
        </w:rPr>
        <w:t>action engagée en matière d</w:t>
      </w:r>
      <w:r w:rsidR="002160B3" w:rsidRPr="007F70EA">
        <w:rPr>
          <w:rFonts w:eastAsia="Times New Roman"/>
          <w:szCs w:val="22"/>
          <w:lang w:val="fr-FR" w:eastAsia="fr-FR"/>
        </w:rPr>
        <w:t>’</w:t>
      </w:r>
      <w:r w:rsidRPr="007F70EA">
        <w:rPr>
          <w:rFonts w:eastAsia="Times New Roman"/>
          <w:szCs w:val="22"/>
          <w:lang w:val="fr-FR" w:eastAsia="fr-FR"/>
        </w:rPr>
        <w:t>atténuation et d</w:t>
      </w:r>
      <w:r w:rsidR="002160B3" w:rsidRPr="007F70EA">
        <w:rPr>
          <w:rFonts w:eastAsia="Times New Roman"/>
          <w:szCs w:val="22"/>
          <w:lang w:val="fr-FR" w:eastAsia="fr-FR"/>
        </w:rPr>
        <w:t>’</w:t>
      </w:r>
      <w:r w:rsidRPr="007F70EA">
        <w:rPr>
          <w:rFonts w:eastAsia="Times New Roman"/>
          <w:szCs w:val="22"/>
          <w:lang w:val="fr-FR" w:eastAsia="fr-FR"/>
        </w:rPr>
        <w:t xml:space="preserve">adaptation;  </w:t>
      </w:r>
      <w:r w:rsidRPr="007F70EA">
        <w:rPr>
          <w:rFonts w:eastAsia="Times New Roman"/>
          <w:szCs w:val="22"/>
          <w:lang w:val="fr-FR" w:eastAsia="fr-FR"/>
        </w:rPr>
        <w:lastRenderedPageBreak/>
        <w:t>c)</w:t>
      </w:r>
      <w:r w:rsidR="00CC68C1" w:rsidRPr="007F70EA">
        <w:rPr>
          <w:rFonts w:eastAsia="Times New Roman"/>
          <w:szCs w:val="22"/>
          <w:lang w:val="fr-FR" w:eastAsia="fr-FR"/>
        </w:rPr>
        <w:t> </w:t>
      </w:r>
      <w:r w:rsidRPr="007F70EA">
        <w:rPr>
          <w:rFonts w:eastAsia="Times New Roman"/>
          <w:szCs w:val="22"/>
          <w:lang w:val="fr-FR" w:eastAsia="fr-FR"/>
        </w:rPr>
        <w:t xml:space="preserve">recommander des orientations relatives aux politiques et aux programmes prioritaires de mise au point et de transfert de technologie, une attention particulière étant accordée aux pays les moins avancés </w:t>
      </w:r>
      <w:r w:rsidR="00B208AA" w:rsidRPr="007F70EA">
        <w:rPr>
          <w:rFonts w:eastAsia="Times New Roman"/>
          <w:szCs w:val="22"/>
          <w:lang w:val="fr-FR" w:eastAsia="fr-FR"/>
        </w:rPr>
        <w:t>parties</w:t>
      </w:r>
      <w:r w:rsidRPr="007F70EA">
        <w:rPr>
          <w:rFonts w:eastAsia="Times New Roman"/>
          <w:szCs w:val="22"/>
          <w:lang w:val="fr-FR" w:eastAsia="fr-FR"/>
        </w:rPr>
        <w:t>;  d)</w:t>
      </w:r>
      <w:r w:rsidR="00CC68C1" w:rsidRPr="007F70EA">
        <w:rPr>
          <w:rFonts w:eastAsia="Times New Roman"/>
          <w:szCs w:val="22"/>
          <w:lang w:val="fr-FR" w:eastAsia="fr-FR"/>
        </w:rPr>
        <w:t> </w:t>
      </w:r>
      <w:r w:rsidRPr="007F70EA">
        <w:rPr>
          <w:rFonts w:eastAsia="Times New Roman"/>
          <w:szCs w:val="22"/>
          <w:lang w:val="fr-FR" w:eastAsia="fr-FR"/>
        </w:rPr>
        <w:t>Promouvoir et faciliter la collaboration dans le domaine de la mise au point et du transfert de technologie d</w:t>
      </w:r>
      <w:r w:rsidR="002160B3" w:rsidRPr="007F70EA">
        <w:rPr>
          <w:rFonts w:eastAsia="Times New Roman"/>
          <w:szCs w:val="22"/>
          <w:lang w:val="fr-FR" w:eastAsia="fr-FR"/>
        </w:rPr>
        <w:t>’</w:t>
      </w:r>
      <w:r w:rsidRPr="007F70EA">
        <w:rPr>
          <w:rFonts w:eastAsia="Times New Roman"/>
          <w:szCs w:val="22"/>
          <w:lang w:val="fr-FR" w:eastAsia="fr-FR"/>
        </w:rPr>
        <w:t>atténuation et d</w:t>
      </w:r>
      <w:r w:rsidR="002160B3" w:rsidRPr="007F70EA">
        <w:rPr>
          <w:rFonts w:eastAsia="Times New Roman"/>
          <w:szCs w:val="22"/>
          <w:lang w:val="fr-FR" w:eastAsia="fr-FR"/>
        </w:rPr>
        <w:t>’</w:t>
      </w:r>
      <w:r w:rsidRPr="007F70EA">
        <w:rPr>
          <w:rFonts w:eastAsia="Times New Roman"/>
          <w:szCs w:val="22"/>
          <w:lang w:val="fr-FR" w:eastAsia="fr-FR"/>
        </w:rPr>
        <w:t>adaptation entre les gouvernements, le secteur privé, les organisations sans but lucratif et les milieux universitaires et de la recherche;  e)</w:t>
      </w:r>
      <w:r w:rsidR="00CC68C1" w:rsidRPr="007F70EA">
        <w:rPr>
          <w:rFonts w:eastAsia="Times New Roman"/>
          <w:szCs w:val="22"/>
          <w:lang w:val="fr-FR" w:eastAsia="fr-FR"/>
        </w:rPr>
        <w:t> </w:t>
      </w:r>
      <w:r w:rsidRPr="007F70EA">
        <w:rPr>
          <w:rFonts w:eastAsia="Times New Roman"/>
          <w:szCs w:val="22"/>
          <w:lang w:val="fr-FR" w:eastAsia="fr-FR"/>
        </w:rPr>
        <w:t>recommander des mesures pour surmonter les obstacles à la mise au point et au transfert de technologie afin de rendre possible une action renforcée en matière d</w:t>
      </w:r>
      <w:r w:rsidR="002160B3" w:rsidRPr="007F70EA">
        <w:rPr>
          <w:rFonts w:eastAsia="Times New Roman"/>
          <w:szCs w:val="22"/>
          <w:lang w:val="fr-FR" w:eastAsia="fr-FR"/>
        </w:rPr>
        <w:t>’</w:t>
      </w:r>
      <w:r w:rsidRPr="007F70EA">
        <w:rPr>
          <w:rFonts w:eastAsia="Times New Roman"/>
          <w:szCs w:val="22"/>
          <w:lang w:val="fr-FR" w:eastAsia="fr-FR"/>
        </w:rPr>
        <w:t>atténuation et d</w:t>
      </w:r>
      <w:r w:rsidR="002160B3" w:rsidRPr="007F70EA">
        <w:rPr>
          <w:rFonts w:eastAsia="Times New Roman"/>
          <w:szCs w:val="22"/>
          <w:lang w:val="fr-FR" w:eastAsia="fr-FR"/>
        </w:rPr>
        <w:t>’</w:t>
      </w:r>
      <w:r w:rsidRPr="007F70EA">
        <w:rPr>
          <w:rFonts w:eastAsia="Times New Roman"/>
          <w:szCs w:val="22"/>
          <w:lang w:val="fr-FR" w:eastAsia="fr-FR"/>
        </w:rPr>
        <w:t>adaptation;  f)</w:t>
      </w:r>
      <w:r w:rsidR="00CC68C1" w:rsidRPr="007F70EA">
        <w:rPr>
          <w:rFonts w:eastAsia="Times New Roman"/>
          <w:szCs w:val="22"/>
          <w:lang w:val="fr-FR" w:eastAsia="fr-FR"/>
        </w:rPr>
        <w:t> </w:t>
      </w:r>
      <w:r w:rsidRPr="007F70EA">
        <w:rPr>
          <w:rFonts w:eastAsia="Times New Roman"/>
          <w:szCs w:val="22"/>
          <w:lang w:val="fr-FR" w:eastAsia="fr-FR"/>
        </w:rPr>
        <w:t>chercher à instaurer une coopération avec les initiatives, les parties prenantes et les organisations compétentes en matière de technologie au niveau international et promouvoir la cohérence et la coopération entre les activités relatives à la technologie, que ces activités s</w:t>
      </w:r>
      <w:r w:rsidR="002160B3" w:rsidRPr="007F70EA">
        <w:rPr>
          <w:rFonts w:eastAsia="Times New Roman"/>
          <w:szCs w:val="22"/>
          <w:lang w:val="fr-FR" w:eastAsia="fr-FR"/>
        </w:rPr>
        <w:t>’</w:t>
      </w:r>
      <w:r w:rsidRPr="007F70EA">
        <w:rPr>
          <w:rFonts w:eastAsia="Times New Roman"/>
          <w:szCs w:val="22"/>
          <w:lang w:val="fr-FR" w:eastAsia="fr-FR"/>
        </w:rPr>
        <w:t>inscrivent ou non dans le cadre de la Convention;  et g)</w:t>
      </w:r>
      <w:r w:rsidR="00CC68C1" w:rsidRPr="007F70EA">
        <w:rPr>
          <w:rFonts w:eastAsia="Times New Roman"/>
          <w:szCs w:val="22"/>
          <w:lang w:val="fr-FR" w:eastAsia="fr-FR"/>
        </w:rPr>
        <w:t> </w:t>
      </w:r>
      <w:r w:rsidRPr="007F70EA">
        <w:rPr>
          <w:rFonts w:eastAsia="Times New Roman"/>
          <w:szCs w:val="22"/>
          <w:lang w:val="fr-FR" w:eastAsia="fr-FR"/>
        </w:rPr>
        <w:t>stimuler l</w:t>
      </w:r>
      <w:r w:rsidR="002160B3" w:rsidRPr="007F70EA">
        <w:rPr>
          <w:rFonts w:eastAsia="Times New Roman"/>
          <w:szCs w:val="22"/>
          <w:lang w:val="fr-FR" w:eastAsia="fr-FR"/>
        </w:rPr>
        <w:t>’</w:t>
      </w:r>
      <w:r w:rsidRPr="007F70EA">
        <w:rPr>
          <w:rFonts w:eastAsia="Times New Roman"/>
          <w:szCs w:val="22"/>
          <w:lang w:val="fr-FR" w:eastAsia="fr-FR"/>
        </w:rPr>
        <w:t>élaboration et l</w:t>
      </w:r>
      <w:r w:rsidR="002160B3" w:rsidRPr="007F70EA">
        <w:rPr>
          <w:rFonts w:eastAsia="Times New Roman"/>
          <w:szCs w:val="22"/>
          <w:lang w:val="fr-FR" w:eastAsia="fr-FR"/>
        </w:rPr>
        <w:t>’</w:t>
      </w:r>
      <w:r w:rsidRPr="007F70EA">
        <w:rPr>
          <w:rFonts w:eastAsia="Times New Roman"/>
          <w:szCs w:val="22"/>
          <w:lang w:val="fr-FR" w:eastAsia="fr-FR"/>
        </w:rPr>
        <w:t>utilisation de feuilles de route ou de plans d</w:t>
      </w:r>
      <w:r w:rsidR="002160B3" w:rsidRPr="007F70EA">
        <w:rPr>
          <w:rFonts w:eastAsia="Times New Roman"/>
          <w:szCs w:val="22"/>
          <w:lang w:val="fr-FR" w:eastAsia="fr-FR"/>
        </w:rPr>
        <w:t>’</w:t>
      </w:r>
      <w:r w:rsidRPr="007F70EA">
        <w:rPr>
          <w:rFonts w:eastAsia="Times New Roman"/>
          <w:szCs w:val="22"/>
          <w:lang w:val="fr-FR" w:eastAsia="fr-FR"/>
        </w:rPr>
        <w:t xml:space="preserve">action pour la technologie aux niveaux international, régional et national par la coopération des parties prenantes concernées, notamment les gouvernements et les organisations ou organes compétents, </w:t>
      </w:r>
      <w:r w:rsidR="002160B3" w:rsidRPr="007F70EA">
        <w:rPr>
          <w:rFonts w:eastAsia="Times New Roman"/>
          <w:szCs w:val="22"/>
          <w:lang w:val="fr-FR" w:eastAsia="fr-FR"/>
        </w:rPr>
        <w:t>y compris</w:t>
      </w:r>
      <w:r w:rsidRPr="007F70EA">
        <w:rPr>
          <w:rFonts w:eastAsia="Times New Roman"/>
          <w:szCs w:val="22"/>
          <w:lang w:val="fr-FR" w:eastAsia="fr-FR"/>
        </w:rPr>
        <w:t xml:space="preserve"> l</w:t>
      </w:r>
      <w:r w:rsidR="002160B3" w:rsidRPr="007F70EA">
        <w:rPr>
          <w:rFonts w:eastAsia="Times New Roman"/>
          <w:szCs w:val="22"/>
          <w:lang w:val="fr-FR" w:eastAsia="fr-FR"/>
        </w:rPr>
        <w:t>’</w:t>
      </w:r>
      <w:r w:rsidRPr="007F70EA">
        <w:rPr>
          <w:rFonts w:eastAsia="Times New Roman"/>
          <w:szCs w:val="22"/>
          <w:lang w:val="fr-FR" w:eastAsia="fr-FR"/>
        </w:rPr>
        <w:t>élaboration de lignes directrices relatives aux meilleures pratiques en tant qu</w:t>
      </w:r>
      <w:r w:rsidR="002160B3" w:rsidRPr="007F70EA">
        <w:rPr>
          <w:rFonts w:eastAsia="Times New Roman"/>
          <w:szCs w:val="22"/>
          <w:lang w:val="fr-FR" w:eastAsia="fr-FR"/>
        </w:rPr>
        <w:t>’</w:t>
      </w:r>
      <w:r w:rsidRPr="007F70EA">
        <w:rPr>
          <w:rFonts w:eastAsia="Times New Roman"/>
          <w:szCs w:val="22"/>
          <w:lang w:val="fr-FR" w:eastAsia="fr-FR"/>
        </w:rPr>
        <w:t>outils propres à faciliter les mesures d</w:t>
      </w:r>
      <w:r w:rsidR="002160B3" w:rsidRPr="007F70EA">
        <w:rPr>
          <w:rFonts w:eastAsia="Times New Roman"/>
          <w:szCs w:val="22"/>
          <w:lang w:val="fr-FR" w:eastAsia="fr-FR"/>
        </w:rPr>
        <w:t>’</w:t>
      </w:r>
      <w:r w:rsidRPr="007F70EA">
        <w:rPr>
          <w:rFonts w:eastAsia="Times New Roman"/>
          <w:szCs w:val="22"/>
          <w:lang w:val="fr-FR" w:eastAsia="fr-FR"/>
        </w:rPr>
        <w:t>atténuation et d</w:t>
      </w:r>
      <w:r w:rsidR="002160B3" w:rsidRPr="007F70EA">
        <w:rPr>
          <w:rFonts w:eastAsia="Times New Roman"/>
          <w:szCs w:val="22"/>
          <w:lang w:val="fr-FR" w:eastAsia="fr-FR"/>
        </w:rPr>
        <w:t>’</w:t>
      </w:r>
      <w:r w:rsidRPr="007F70EA">
        <w:rPr>
          <w:rFonts w:eastAsia="Times New Roman"/>
          <w:szCs w:val="22"/>
          <w:lang w:val="fr-FR" w:eastAsia="fr-FR"/>
        </w:rPr>
        <w:t>adaptation.</w:t>
      </w:r>
      <w:r w:rsidRPr="007F70EA">
        <w:rPr>
          <w:szCs w:val="22"/>
          <w:lang w:val="fr-FR"/>
        </w:rPr>
        <w:t>”</w:t>
      </w:r>
    </w:p>
    <w:p w:rsidR="002160B3" w:rsidRPr="007F70EA" w:rsidRDefault="002160B3" w:rsidP="00F31C57">
      <w:pPr>
        <w:rPr>
          <w:rFonts w:eastAsia="Times New Roman"/>
          <w:szCs w:val="22"/>
          <w:lang w:val="fr-FR" w:eastAsia="fr-FR"/>
        </w:rPr>
      </w:pPr>
    </w:p>
    <w:p w:rsidR="00F31C57" w:rsidRPr="007F70EA" w:rsidRDefault="00F31C57" w:rsidP="00F31C57">
      <w:pPr>
        <w:rPr>
          <w:rFonts w:eastAsia="Times New Roman"/>
          <w:szCs w:val="22"/>
          <w:lang w:val="fr-FR" w:eastAsia="fr-FR"/>
        </w:rPr>
      </w:pPr>
      <w:r w:rsidRPr="007F70EA">
        <w:rPr>
          <w:szCs w:val="22"/>
          <w:u w:val="single"/>
          <w:lang w:val="fr-FR"/>
        </w:rPr>
        <w:t>Description</w:t>
      </w:r>
      <w:r w:rsidR="002160B3" w:rsidRPr="007F70EA">
        <w:rPr>
          <w:szCs w:val="22"/>
          <w:lang w:val="fr-FR"/>
        </w:rPr>
        <w:t> :</w:t>
      </w:r>
      <w:r w:rsidRPr="007F70EA">
        <w:rPr>
          <w:szCs w:val="22"/>
          <w:lang w:val="fr-FR"/>
        </w:rPr>
        <w:t xml:space="preserve"> Les Accords de Cancún prévoient que</w:t>
      </w:r>
      <w:r w:rsidR="002160B3" w:rsidRPr="007F70EA">
        <w:rPr>
          <w:szCs w:val="22"/>
          <w:lang w:val="fr-FR"/>
        </w:rPr>
        <w:t> :</w:t>
      </w:r>
      <w:r w:rsidRPr="007F70EA">
        <w:rPr>
          <w:szCs w:val="22"/>
          <w:lang w:val="fr-FR"/>
        </w:rPr>
        <w:t xml:space="preserve"> “</w:t>
      </w:r>
      <w:r w:rsidRPr="007F70EA">
        <w:rPr>
          <w:rFonts w:eastAsia="Times New Roman"/>
          <w:szCs w:val="22"/>
          <w:lang w:val="fr-FR" w:eastAsia="fr-FR"/>
        </w:rPr>
        <w:t>le Comité exécutif de la technologie tout comme le centre et le réseau des technologies climatiques, conformément à leurs fonctions respectives, devraient faciliter la mise en œuvre effective du mécanisme technologique, sous la direction de la Conférence des Parties;  119. […] le Comité exécutif de la technologie poursuivra la mise à exécution du cadre pour la mise en œuvre d</w:t>
      </w:r>
      <w:r w:rsidR="002160B3" w:rsidRPr="007F70EA">
        <w:rPr>
          <w:rFonts w:eastAsia="Times New Roman"/>
          <w:szCs w:val="22"/>
          <w:lang w:val="fr-FR" w:eastAsia="fr-FR"/>
        </w:rPr>
        <w:t>’</w:t>
      </w:r>
      <w:r w:rsidRPr="007F70EA">
        <w:rPr>
          <w:rFonts w:eastAsia="Times New Roman"/>
          <w:szCs w:val="22"/>
          <w:lang w:val="fr-FR" w:eastAsia="fr-FR"/>
        </w:rPr>
        <w:t>actions judicieuses et efficaces propres à renforcer l</w:t>
      </w:r>
      <w:r w:rsidR="002160B3" w:rsidRPr="007F70EA">
        <w:rPr>
          <w:rFonts w:eastAsia="Times New Roman"/>
          <w:szCs w:val="22"/>
          <w:lang w:val="fr-FR" w:eastAsia="fr-FR"/>
        </w:rPr>
        <w:t>’</w:t>
      </w:r>
      <w:r w:rsidRPr="007F70EA">
        <w:rPr>
          <w:rFonts w:eastAsia="Times New Roman"/>
          <w:szCs w:val="22"/>
          <w:lang w:val="fr-FR" w:eastAsia="fr-FR"/>
        </w:rPr>
        <w:t>application du paragraphe 5 de l</w:t>
      </w:r>
      <w:r w:rsidR="002160B3" w:rsidRPr="007F70EA">
        <w:rPr>
          <w:rFonts w:eastAsia="Times New Roman"/>
          <w:szCs w:val="22"/>
          <w:lang w:val="fr-FR" w:eastAsia="fr-FR"/>
        </w:rPr>
        <w:t>’</w:t>
      </w:r>
      <w:r w:rsidRPr="007F70EA">
        <w:rPr>
          <w:rFonts w:eastAsia="Times New Roman"/>
          <w:szCs w:val="22"/>
          <w:lang w:val="fr-FR" w:eastAsia="fr-FR"/>
        </w:rPr>
        <w:t>article 4 de la Convention, adopté par la décision 4/CP.7 et complété par la décision 3/CP.13</w:t>
      </w:r>
      <w:r w:rsidRPr="007F70EA">
        <w:rPr>
          <w:szCs w:val="22"/>
          <w:lang w:val="fr-FR"/>
        </w:rPr>
        <w:t>.”</w:t>
      </w:r>
    </w:p>
    <w:p w:rsidR="002160B3" w:rsidRPr="007F70EA" w:rsidRDefault="002160B3" w:rsidP="00F31C57">
      <w:pPr>
        <w:rPr>
          <w:rFonts w:eastAsia="Times New Roman"/>
          <w:szCs w:val="22"/>
          <w:lang w:val="fr-FR" w:eastAsia="fr-FR"/>
        </w:rPr>
      </w:pPr>
    </w:p>
    <w:p w:rsidR="00F31C57" w:rsidRPr="007F70EA" w:rsidRDefault="00F31C57" w:rsidP="00F31C57">
      <w:pPr>
        <w:rPr>
          <w:szCs w:val="22"/>
          <w:lang w:val="fr-FR"/>
        </w:rPr>
      </w:pPr>
      <w:r w:rsidRPr="007F70EA">
        <w:rPr>
          <w:szCs w:val="22"/>
          <w:u w:val="single"/>
          <w:lang w:val="fr-FR"/>
        </w:rPr>
        <w:t>Taux d</w:t>
      </w:r>
      <w:r w:rsidR="002160B3" w:rsidRPr="007F70EA">
        <w:rPr>
          <w:szCs w:val="22"/>
          <w:u w:val="single"/>
          <w:lang w:val="fr-FR"/>
        </w:rPr>
        <w:t>’</w:t>
      </w:r>
      <w:r w:rsidRPr="007F70EA">
        <w:rPr>
          <w:szCs w:val="22"/>
          <w:u w:val="single"/>
          <w:lang w:val="fr-FR"/>
        </w:rPr>
        <w:t>activité</w:t>
      </w:r>
      <w:r w:rsidR="002160B3" w:rsidRPr="007F70EA">
        <w:rPr>
          <w:szCs w:val="22"/>
          <w:lang w:val="fr-FR"/>
        </w:rPr>
        <w:t> :</w:t>
      </w:r>
      <w:r w:rsidRPr="007F70EA">
        <w:rPr>
          <w:szCs w:val="22"/>
          <w:lang w:val="fr-FR"/>
        </w:rPr>
        <w:t xml:space="preserve"> semestriel (ou plus élevé)</w:t>
      </w:r>
    </w:p>
    <w:p w:rsidR="00F31C57" w:rsidRPr="007F70EA" w:rsidRDefault="00F31C57" w:rsidP="00F31C57">
      <w:pPr>
        <w:rPr>
          <w:szCs w:val="22"/>
          <w:lang w:val="fr-FR"/>
        </w:rPr>
      </w:pPr>
    </w:p>
    <w:p w:rsidR="00F31C57" w:rsidRPr="007F70EA" w:rsidRDefault="00F31C57" w:rsidP="00F31C57">
      <w:pPr>
        <w:rPr>
          <w:szCs w:val="22"/>
          <w:lang w:val="fr-FR"/>
        </w:rPr>
      </w:pPr>
      <w:r w:rsidRPr="007F70EA">
        <w:rPr>
          <w:szCs w:val="22"/>
          <w:u w:val="single"/>
          <w:lang w:val="fr-FR"/>
        </w:rPr>
        <w:t>Référence</w:t>
      </w:r>
      <w:r w:rsidR="002160B3" w:rsidRPr="007F70EA">
        <w:rPr>
          <w:szCs w:val="22"/>
          <w:lang w:val="fr-FR"/>
        </w:rPr>
        <w:t> :</w:t>
      </w:r>
      <w:r w:rsidRPr="007F70EA">
        <w:rPr>
          <w:szCs w:val="22"/>
          <w:lang w:val="fr-FR"/>
        </w:rPr>
        <w:t xml:space="preserve"> http://unfccc.int/ttclear/support/technology</w:t>
      </w:r>
      <w:r w:rsidR="007F70EA">
        <w:rPr>
          <w:szCs w:val="22"/>
          <w:lang w:val="fr-FR"/>
        </w:rPr>
        <w:noBreakHyphen/>
      </w:r>
      <w:r w:rsidRPr="007F70EA">
        <w:rPr>
          <w:szCs w:val="22"/>
          <w:lang w:val="fr-FR"/>
        </w:rPr>
        <w:t>mechanism.html</w:t>
      </w:r>
    </w:p>
    <w:p w:rsidR="00F31C57" w:rsidRPr="007F70EA" w:rsidRDefault="00F31C57" w:rsidP="00F31C57">
      <w:pPr>
        <w:rPr>
          <w:szCs w:val="22"/>
          <w:lang w:val="fr-FR"/>
        </w:rPr>
      </w:pPr>
    </w:p>
    <w:p w:rsidR="00F31C57" w:rsidRPr="007F70EA" w:rsidRDefault="00F31C57" w:rsidP="00F31C57">
      <w:pPr>
        <w:rPr>
          <w:szCs w:val="22"/>
          <w:lang w:val="fr-FR"/>
        </w:rPr>
      </w:pPr>
    </w:p>
    <w:p w:rsidR="002160B3" w:rsidRPr="007F70EA" w:rsidRDefault="00F31C57" w:rsidP="00F31C57">
      <w:pPr>
        <w:rPr>
          <w:b/>
          <w:szCs w:val="22"/>
          <w:lang w:val="fr-FR"/>
        </w:rPr>
      </w:pPr>
      <w:r w:rsidRPr="007F70EA">
        <w:rPr>
          <w:b/>
          <w:szCs w:val="22"/>
          <w:lang w:val="fr-FR"/>
        </w:rPr>
        <w:t>L</w:t>
      </w:r>
      <w:r w:rsidR="002160B3" w:rsidRPr="007F70EA">
        <w:rPr>
          <w:b/>
          <w:szCs w:val="22"/>
          <w:lang w:val="fr-FR"/>
        </w:rPr>
        <w:t>’</w:t>
      </w:r>
      <w:r w:rsidRPr="007F70EA">
        <w:rPr>
          <w:b/>
          <w:szCs w:val="22"/>
          <w:lang w:val="fr-FR"/>
        </w:rPr>
        <w:t>initiative de l</w:t>
      </w:r>
      <w:r w:rsidR="002160B3" w:rsidRPr="007F70EA">
        <w:rPr>
          <w:b/>
          <w:szCs w:val="22"/>
          <w:lang w:val="fr-FR"/>
        </w:rPr>
        <w:t>’</w:t>
      </w:r>
      <w:r w:rsidRPr="007F70EA">
        <w:rPr>
          <w:b/>
          <w:szCs w:val="22"/>
          <w:lang w:val="fr-FR"/>
        </w:rPr>
        <w:t>Organisation mondiale de la Santé (OMS) pour le transfert de technologie</w:t>
      </w:r>
      <w:r w:rsidR="002160B3" w:rsidRPr="007F70EA">
        <w:rPr>
          <w:b/>
          <w:szCs w:val="22"/>
          <w:lang w:val="fr-FR"/>
        </w:rPr>
        <w:t> :</w:t>
      </w:r>
      <w:r w:rsidRPr="007F70EA">
        <w:rPr>
          <w:b/>
          <w:szCs w:val="22"/>
          <w:lang w:val="fr-FR"/>
        </w:rPr>
        <w:t xml:space="preserve"> réunions des parties prenantes</w:t>
      </w:r>
    </w:p>
    <w:p w:rsidR="00F31C57" w:rsidRPr="007F70EA" w:rsidRDefault="00F31C57" w:rsidP="00F31C57">
      <w:pPr>
        <w:rPr>
          <w:szCs w:val="22"/>
          <w:lang w:val="fr-FR"/>
        </w:rPr>
      </w:pPr>
    </w:p>
    <w:p w:rsidR="00F31C57" w:rsidRPr="007F70EA" w:rsidRDefault="00F31C57" w:rsidP="00F31C57">
      <w:pPr>
        <w:rPr>
          <w:szCs w:val="22"/>
          <w:lang w:val="fr-FR"/>
        </w:rPr>
      </w:pPr>
      <w:r w:rsidRPr="007F70EA">
        <w:rPr>
          <w:szCs w:val="22"/>
          <w:u w:val="single"/>
          <w:lang w:val="fr-FR"/>
        </w:rPr>
        <w:t>Organisation coordinatrice</w:t>
      </w:r>
      <w:r w:rsidR="002160B3" w:rsidRPr="007F70EA">
        <w:rPr>
          <w:szCs w:val="22"/>
          <w:lang w:val="fr-FR"/>
        </w:rPr>
        <w:t> :</w:t>
      </w:r>
      <w:r w:rsidRPr="007F70EA">
        <w:rPr>
          <w:szCs w:val="22"/>
          <w:u w:val="single"/>
          <w:lang w:val="fr-FR"/>
        </w:rPr>
        <w:t xml:space="preserve"> </w:t>
      </w:r>
      <w:r w:rsidRPr="007F70EA">
        <w:rPr>
          <w:szCs w:val="22"/>
          <w:lang w:val="fr-FR"/>
        </w:rPr>
        <w:t>Organisation mondiale de la Santé (OMS)</w:t>
      </w:r>
    </w:p>
    <w:p w:rsidR="002160B3" w:rsidRPr="007F70EA" w:rsidRDefault="002160B3" w:rsidP="00F31C57">
      <w:pPr>
        <w:rPr>
          <w:szCs w:val="22"/>
          <w:lang w:val="fr-FR"/>
        </w:rPr>
      </w:pPr>
    </w:p>
    <w:p w:rsidR="00F31C57" w:rsidRPr="007F70EA" w:rsidRDefault="00F31C57" w:rsidP="00F31C57">
      <w:pPr>
        <w:rPr>
          <w:szCs w:val="22"/>
          <w:lang w:val="fr-FR"/>
        </w:rPr>
      </w:pPr>
      <w:r w:rsidRPr="007F70EA">
        <w:rPr>
          <w:szCs w:val="22"/>
          <w:u w:val="single"/>
          <w:lang w:val="fr-FR"/>
        </w:rPr>
        <w:t>Thème</w:t>
      </w:r>
      <w:r w:rsidR="002160B3" w:rsidRPr="007F70EA">
        <w:rPr>
          <w:szCs w:val="22"/>
          <w:lang w:val="fr-FR"/>
        </w:rPr>
        <w:t> :</w:t>
      </w:r>
      <w:r w:rsidRPr="007F70EA">
        <w:rPr>
          <w:szCs w:val="22"/>
          <w:lang w:val="fr-FR"/>
        </w:rPr>
        <w:t xml:space="preserve"> santé publique</w:t>
      </w:r>
    </w:p>
    <w:p w:rsidR="00F31C57" w:rsidRPr="007F70EA" w:rsidRDefault="00F31C57" w:rsidP="00F31C57">
      <w:pPr>
        <w:rPr>
          <w:szCs w:val="22"/>
          <w:lang w:val="fr-FR"/>
        </w:rPr>
      </w:pPr>
    </w:p>
    <w:p w:rsidR="002160B3" w:rsidRPr="007F70EA" w:rsidRDefault="00F31C57" w:rsidP="00F31C57">
      <w:pPr>
        <w:rPr>
          <w:szCs w:val="22"/>
          <w:lang w:val="fr-FR"/>
        </w:rPr>
      </w:pPr>
      <w:r w:rsidRPr="007F70EA">
        <w:rPr>
          <w:szCs w:val="22"/>
          <w:u w:val="single"/>
          <w:lang w:val="fr-FR"/>
        </w:rPr>
        <w:t>Participants</w:t>
      </w:r>
      <w:r w:rsidR="002160B3" w:rsidRPr="007F70EA">
        <w:rPr>
          <w:szCs w:val="22"/>
          <w:lang w:val="fr-FR"/>
        </w:rPr>
        <w:t> :</w:t>
      </w:r>
      <w:r w:rsidRPr="007F70EA">
        <w:rPr>
          <w:szCs w:val="22"/>
          <w:lang w:val="fr-FR"/>
        </w:rPr>
        <w:t xml:space="preserve"> États, organisations intergouvernementales et organisations non gouvernementales</w:t>
      </w:r>
    </w:p>
    <w:p w:rsidR="00F31C57" w:rsidRPr="007F70EA" w:rsidRDefault="00F31C57" w:rsidP="00F31C57">
      <w:pPr>
        <w:rPr>
          <w:szCs w:val="22"/>
          <w:lang w:val="fr-FR"/>
        </w:rPr>
      </w:pPr>
    </w:p>
    <w:p w:rsidR="00F31C57" w:rsidRPr="007F70EA" w:rsidRDefault="00F31C57" w:rsidP="00F31C57">
      <w:pPr>
        <w:rPr>
          <w:szCs w:val="22"/>
          <w:lang w:val="fr-FR"/>
        </w:rPr>
      </w:pPr>
      <w:r w:rsidRPr="007F70EA">
        <w:rPr>
          <w:szCs w:val="22"/>
          <w:u w:val="single"/>
          <w:lang w:val="fr-FR"/>
        </w:rPr>
        <w:t>Lien avec le transfert de technologie</w:t>
      </w:r>
      <w:r w:rsidR="002160B3" w:rsidRPr="007F70EA">
        <w:rPr>
          <w:szCs w:val="22"/>
          <w:lang w:val="fr-FR"/>
        </w:rPr>
        <w:t> :</w:t>
      </w:r>
      <w:r w:rsidRPr="007F70EA">
        <w:rPr>
          <w:szCs w:val="22"/>
          <w:lang w:val="fr-FR"/>
        </w:rPr>
        <w:t xml:space="preserve"> L</w:t>
      </w:r>
      <w:r w:rsidR="002160B3" w:rsidRPr="007F70EA">
        <w:rPr>
          <w:szCs w:val="22"/>
          <w:lang w:val="fr-FR"/>
        </w:rPr>
        <w:t>’</w:t>
      </w:r>
      <w:r w:rsidRPr="007F70EA">
        <w:rPr>
          <w:szCs w:val="22"/>
          <w:lang w:val="fr-FR"/>
        </w:rPr>
        <w:t>initiative pour le transfert de technologie “mène des ateliers avec les parties prenantes afin de remédier aux manques de capacités pour recevoir le transfert de technologie.”</w:t>
      </w:r>
    </w:p>
    <w:p w:rsidR="00F31C57" w:rsidRPr="007F70EA" w:rsidRDefault="00F31C57" w:rsidP="00F31C57">
      <w:pPr>
        <w:rPr>
          <w:szCs w:val="22"/>
          <w:lang w:val="fr-FR"/>
        </w:rPr>
      </w:pPr>
    </w:p>
    <w:p w:rsidR="002160B3" w:rsidRPr="007F70EA" w:rsidRDefault="00F31C57" w:rsidP="00F31C57">
      <w:pPr>
        <w:rPr>
          <w:szCs w:val="22"/>
          <w:lang w:val="fr-FR"/>
        </w:rPr>
      </w:pPr>
      <w:r w:rsidRPr="007F70EA">
        <w:rPr>
          <w:szCs w:val="22"/>
          <w:u w:val="single"/>
          <w:lang w:val="fr-FR"/>
        </w:rPr>
        <w:t>Description</w:t>
      </w:r>
      <w:r w:rsidR="002160B3" w:rsidRPr="007F70EA">
        <w:rPr>
          <w:szCs w:val="22"/>
          <w:lang w:val="fr-FR"/>
        </w:rPr>
        <w:t> :</w:t>
      </w:r>
      <w:r w:rsidRPr="007F70EA">
        <w:rPr>
          <w:szCs w:val="22"/>
          <w:lang w:val="fr-FR"/>
        </w:rPr>
        <w:t xml:space="preserve"> “L</w:t>
      </w:r>
      <w:r w:rsidR="002160B3" w:rsidRPr="007F70EA">
        <w:rPr>
          <w:szCs w:val="22"/>
          <w:lang w:val="fr-FR"/>
        </w:rPr>
        <w:t>’</w:t>
      </w:r>
      <w:r w:rsidRPr="007F70EA">
        <w:rPr>
          <w:szCs w:val="22"/>
          <w:lang w:val="fr-FR"/>
        </w:rPr>
        <w:t>initiative pour le transfert de technologie […] vise à</w:t>
      </w:r>
      <w:r w:rsidR="002160B3" w:rsidRPr="007F70EA">
        <w:rPr>
          <w:szCs w:val="22"/>
          <w:lang w:val="fr-FR"/>
        </w:rPr>
        <w:t> :</w:t>
      </w:r>
      <w:r w:rsidRPr="007F70EA">
        <w:rPr>
          <w:szCs w:val="22"/>
          <w:lang w:val="fr-FR"/>
        </w:rPr>
        <w:t xml:space="preserve"> recenser les localités où le transfert de technologie liée à la santé vers les pays en développement améliorera l</w:t>
      </w:r>
      <w:r w:rsidR="002160B3" w:rsidRPr="007F70EA">
        <w:rPr>
          <w:szCs w:val="22"/>
          <w:lang w:val="fr-FR"/>
        </w:rPr>
        <w:t>’</w:t>
      </w:r>
      <w:r w:rsidRPr="007F70EA">
        <w:rPr>
          <w:szCs w:val="22"/>
          <w:lang w:val="fr-FR"/>
        </w:rPr>
        <w:t>accès à ces produits et aboutira à l</w:t>
      </w:r>
      <w:r w:rsidR="002160B3" w:rsidRPr="007F70EA">
        <w:rPr>
          <w:szCs w:val="22"/>
          <w:lang w:val="fr-FR"/>
        </w:rPr>
        <w:t>’</w:t>
      </w:r>
      <w:r w:rsidRPr="007F70EA">
        <w:rPr>
          <w:szCs w:val="22"/>
          <w:lang w:val="fr-FR"/>
        </w:rPr>
        <w:t>amélioration de la santé;  et estimer quand le moment sera approprié pour promouvoir et faciliter ce transfert de technologie.”</w:t>
      </w:r>
    </w:p>
    <w:p w:rsidR="00F31C57" w:rsidRPr="007F70EA" w:rsidRDefault="00F31C57" w:rsidP="00F31C57">
      <w:pPr>
        <w:rPr>
          <w:szCs w:val="22"/>
          <w:lang w:val="fr-FR"/>
        </w:rPr>
      </w:pPr>
    </w:p>
    <w:p w:rsidR="00F31C57" w:rsidRPr="007F70EA" w:rsidRDefault="00F31C57" w:rsidP="00F31C57">
      <w:pPr>
        <w:rPr>
          <w:szCs w:val="22"/>
          <w:lang w:val="fr-FR"/>
        </w:rPr>
      </w:pPr>
      <w:r w:rsidRPr="007F70EA">
        <w:rPr>
          <w:szCs w:val="22"/>
          <w:u w:val="single"/>
          <w:lang w:val="fr-FR"/>
        </w:rPr>
        <w:t>Taux d</w:t>
      </w:r>
      <w:r w:rsidR="002160B3" w:rsidRPr="007F70EA">
        <w:rPr>
          <w:szCs w:val="22"/>
          <w:u w:val="single"/>
          <w:lang w:val="fr-FR"/>
        </w:rPr>
        <w:t>’</w:t>
      </w:r>
      <w:r w:rsidRPr="007F70EA">
        <w:rPr>
          <w:szCs w:val="22"/>
          <w:u w:val="single"/>
          <w:lang w:val="fr-FR"/>
        </w:rPr>
        <w:t>activité</w:t>
      </w:r>
      <w:r w:rsidR="002160B3" w:rsidRPr="007F70EA">
        <w:rPr>
          <w:szCs w:val="22"/>
          <w:lang w:val="fr-FR"/>
        </w:rPr>
        <w:t> :</w:t>
      </w:r>
      <w:r w:rsidRPr="007F70EA">
        <w:rPr>
          <w:szCs w:val="22"/>
          <w:lang w:val="fr-FR"/>
        </w:rPr>
        <w:t xml:space="preserve"> ponctuel</w:t>
      </w:r>
    </w:p>
    <w:p w:rsidR="00F31C57" w:rsidRPr="007F70EA" w:rsidRDefault="00F31C57" w:rsidP="00F31C57">
      <w:pPr>
        <w:rPr>
          <w:szCs w:val="22"/>
          <w:lang w:val="fr-FR"/>
        </w:rPr>
      </w:pPr>
    </w:p>
    <w:p w:rsidR="00F31C57" w:rsidRPr="007F70EA" w:rsidRDefault="00F31C57" w:rsidP="00F31C57">
      <w:pPr>
        <w:rPr>
          <w:szCs w:val="22"/>
          <w:lang w:val="fr-FR"/>
        </w:rPr>
      </w:pPr>
      <w:r w:rsidRPr="007F70EA">
        <w:rPr>
          <w:szCs w:val="22"/>
          <w:u w:val="single"/>
          <w:lang w:val="fr-FR"/>
        </w:rPr>
        <w:t>Référence</w:t>
      </w:r>
      <w:r w:rsidR="002160B3" w:rsidRPr="007F70EA">
        <w:rPr>
          <w:szCs w:val="22"/>
          <w:lang w:val="fr-FR"/>
        </w:rPr>
        <w:t> :</w:t>
      </w:r>
      <w:r w:rsidRPr="007F70EA">
        <w:rPr>
          <w:szCs w:val="22"/>
          <w:lang w:val="fr-FR"/>
        </w:rPr>
        <w:t xml:space="preserve"> http://www.who.int/phi/programme_technology_transfer/en/</w:t>
      </w:r>
    </w:p>
    <w:p w:rsidR="00F31C57" w:rsidRDefault="00F31C57" w:rsidP="00F31C57">
      <w:pPr>
        <w:rPr>
          <w:szCs w:val="22"/>
          <w:lang w:val="fr-FR"/>
        </w:rPr>
      </w:pPr>
    </w:p>
    <w:p w:rsidR="00FE428A" w:rsidRPr="007F70EA" w:rsidRDefault="00FE428A" w:rsidP="00F31C57">
      <w:pPr>
        <w:rPr>
          <w:szCs w:val="22"/>
          <w:lang w:val="fr-FR"/>
        </w:rPr>
      </w:pPr>
    </w:p>
    <w:p w:rsidR="00FE428A" w:rsidRDefault="00FE428A">
      <w:pPr>
        <w:rPr>
          <w:b/>
          <w:szCs w:val="22"/>
          <w:lang w:val="fr-FR"/>
        </w:rPr>
      </w:pPr>
      <w:r>
        <w:rPr>
          <w:b/>
          <w:szCs w:val="22"/>
          <w:lang w:val="fr-FR"/>
        </w:rPr>
        <w:br w:type="page"/>
      </w:r>
    </w:p>
    <w:p w:rsidR="00F31C57" w:rsidRPr="007F70EA" w:rsidRDefault="00F31C57" w:rsidP="00F31C57">
      <w:pPr>
        <w:rPr>
          <w:b/>
          <w:szCs w:val="22"/>
          <w:lang w:val="fr-FR"/>
        </w:rPr>
      </w:pPr>
      <w:r w:rsidRPr="007F70EA">
        <w:rPr>
          <w:b/>
          <w:szCs w:val="22"/>
          <w:lang w:val="fr-FR"/>
        </w:rPr>
        <w:lastRenderedPageBreak/>
        <w:t>Forum</w:t>
      </w:r>
      <w:r w:rsidRPr="007F70EA">
        <w:rPr>
          <w:szCs w:val="22"/>
          <w:lang w:val="fr-FR"/>
        </w:rPr>
        <w:t xml:space="preserve"> </w:t>
      </w:r>
      <w:r w:rsidRPr="007F70EA">
        <w:rPr>
          <w:b/>
          <w:szCs w:val="22"/>
          <w:lang w:val="fr-FR"/>
        </w:rPr>
        <w:t>du Sommet mondial sur la société de l</w:t>
      </w:r>
      <w:r w:rsidR="002160B3" w:rsidRPr="007F70EA">
        <w:rPr>
          <w:b/>
          <w:szCs w:val="22"/>
          <w:lang w:val="fr-FR"/>
        </w:rPr>
        <w:t>’</w:t>
      </w:r>
      <w:r w:rsidRPr="007F70EA">
        <w:rPr>
          <w:b/>
          <w:szCs w:val="22"/>
          <w:lang w:val="fr-FR"/>
        </w:rPr>
        <w:t>information (SMSI)</w:t>
      </w:r>
    </w:p>
    <w:p w:rsidR="00F31C57" w:rsidRPr="007F70EA" w:rsidRDefault="00F31C57" w:rsidP="00F31C57">
      <w:pPr>
        <w:rPr>
          <w:szCs w:val="22"/>
          <w:lang w:val="fr-FR"/>
        </w:rPr>
      </w:pPr>
    </w:p>
    <w:p w:rsidR="00F31C57" w:rsidRPr="007F70EA" w:rsidRDefault="00F31C57" w:rsidP="00F31C57">
      <w:pPr>
        <w:rPr>
          <w:szCs w:val="22"/>
          <w:lang w:val="fr-FR"/>
        </w:rPr>
      </w:pPr>
      <w:r w:rsidRPr="007F70EA">
        <w:rPr>
          <w:szCs w:val="22"/>
          <w:u w:val="single"/>
          <w:lang w:val="fr-FR"/>
        </w:rPr>
        <w:t>Organisations coordinatrices</w:t>
      </w:r>
      <w:r w:rsidR="002160B3" w:rsidRPr="007F70EA">
        <w:rPr>
          <w:szCs w:val="22"/>
          <w:lang w:val="fr-FR"/>
        </w:rPr>
        <w:t> :</w:t>
      </w:r>
      <w:r w:rsidRPr="007F70EA">
        <w:rPr>
          <w:szCs w:val="22"/>
          <w:u w:val="single"/>
          <w:lang w:val="fr-FR"/>
        </w:rPr>
        <w:t xml:space="preserve"> </w:t>
      </w:r>
      <w:r w:rsidRPr="007F70EA">
        <w:rPr>
          <w:szCs w:val="22"/>
          <w:lang w:val="fr-FR"/>
        </w:rPr>
        <w:t xml:space="preserve">Union internationale des télécommunications (UIT), Conférence des </w:t>
      </w:r>
      <w:r w:rsidR="002160B3" w:rsidRPr="007F70EA">
        <w:rPr>
          <w:szCs w:val="22"/>
          <w:lang w:val="fr-FR"/>
        </w:rPr>
        <w:t>Nations Unies</w:t>
      </w:r>
      <w:r w:rsidRPr="007F70EA">
        <w:rPr>
          <w:szCs w:val="22"/>
          <w:lang w:val="fr-FR"/>
        </w:rPr>
        <w:t xml:space="preserve"> sur le commerce et le développement (CNUCED)), Programme des </w:t>
      </w:r>
      <w:r w:rsidR="002160B3" w:rsidRPr="007F70EA">
        <w:rPr>
          <w:szCs w:val="22"/>
          <w:lang w:val="fr-FR"/>
        </w:rPr>
        <w:t>Nations Unies</w:t>
      </w:r>
      <w:r w:rsidRPr="007F70EA">
        <w:rPr>
          <w:szCs w:val="22"/>
          <w:lang w:val="fr-FR"/>
        </w:rPr>
        <w:t xml:space="preserve"> pour l</w:t>
      </w:r>
      <w:r w:rsidR="002160B3" w:rsidRPr="007F70EA">
        <w:rPr>
          <w:szCs w:val="22"/>
          <w:lang w:val="fr-FR"/>
        </w:rPr>
        <w:t>’</w:t>
      </w:r>
      <w:r w:rsidRPr="007F70EA">
        <w:rPr>
          <w:szCs w:val="22"/>
          <w:lang w:val="fr-FR"/>
        </w:rPr>
        <w:t xml:space="preserve">environnement (PNUE) et Organisation des </w:t>
      </w:r>
      <w:r w:rsidR="002160B3" w:rsidRPr="007F70EA">
        <w:rPr>
          <w:szCs w:val="22"/>
          <w:lang w:val="fr-FR"/>
        </w:rPr>
        <w:t>Nations Unies</w:t>
      </w:r>
      <w:r w:rsidRPr="007F70EA">
        <w:rPr>
          <w:szCs w:val="22"/>
          <w:lang w:val="fr-FR"/>
        </w:rPr>
        <w:t xml:space="preserve"> pour l</w:t>
      </w:r>
      <w:r w:rsidR="002160B3" w:rsidRPr="007F70EA">
        <w:rPr>
          <w:szCs w:val="22"/>
          <w:lang w:val="fr-FR"/>
        </w:rPr>
        <w:t>’</w:t>
      </w:r>
      <w:r w:rsidRPr="007F70EA">
        <w:rPr>
          <w:szCs w:val="22"/>
          <w:lang w:val="fr-FR"/>
        </w:rPr>
        <w:t>éducation, la science et la culture (UNESCO)</w:t>
      </w:r>
    </w:p>
    <w:p w:rsidR="00F31C57" w:rsidRPr="007F70EA" w:rsidRDefault="00F31C57" w:rsidP="00F31C57">
      <w:pPr>
        <w:rPr>
          <w:szCs w:val="22"/>
          <w:lang w:val="fr-FR"/>
        </w:rPr>
      </w:pPr>
    </w:p>
    <w:p w:rsidR="00F31C57" w:rsidRPr="007F70EA" w:rsidRDefault="00F31C57" w:rsidP="00F31C57">
      <w:pPr>
        <w:rPr>
          <w:szCs w:val="22"/>
          <w:lang w:val="fr-FR"/>
        </w:rPr>
      </w:pPr>
      <w:r w:rsidRPr="007F70EA">
        <w:rPr>
          <w:szCs w:val="22"/>
          <w:u w:val="single"/>
          <w:lang w:val="fr-FR"/>
        </w:rPr>
        <w:t>Thème</w:t>
      </w:r>
      <w:r w:rsidR="002160B3" w:rsidRPr="007F70EA">
        <w:rPr>
          <w:szCs w:val="22"/>
          <w:lang w:val="fr-FR"/>
        </w:rPr>
        <w:t> :</w:t>
      </w:r>
      <w:r w:rsidRPr="007F70EA">
        <w:rPr>
          <w:szCs w:val="22"/>
          <w:lang w:val="fr-FR"/>
        </w:rPr>
        <w:t xml:space="preserve"> technologies de l</w:t>
      </w:r>
      <w:r w:rsidR="002160B3" w:rsidRPr="007F70EA">
        <w:rPr>
          <w:szCs w:val="22"/>
          <w:lang w:val="fr-FR"/>
        </w:rPr>
        <w:t>’</w:t>
      </w:r>
      <w:r w:rsidRPr="007F70EA">
        <w:rPr>
          <w:szCs w:val="22"/>
          <w:lang w:val="fr-FR"/>
        </w:rPr>
        <w:t>information et de la communication (TIC)</w:t>
      </w:r>
    </w:p>
    <w:p w:rsidR="00F31C57" w:rsidRPr="007F70EA" w:rsidRDefault="00F31C57" w:rsidP="00F31C57">
      <w:pPr>
        <w:rPr>
          <w:szCs w:val="22"/>
          <w:lang w:val="fr-FR"/>
        </w:rPr>
      </w:pPr>
    </w:p>
    <w:p w:rsidR="002160B3" w:rsidRPr="007F70EA" w:rsidRDefault="00F31C57" w:rsidP="00F31C57">
      <w:pPr>
        <w:rPr>
          <w:szCs w:val="22"/>
          <w:lang w:val="fr-FR"/>
        </w:rPr>
      </w:pPr>
      <w:r w:rsidRPr="007F70EA">
        <w:rPr>
          <w:szCs w:val="22"/>
          <w:u w:val="single"/>
          <w:lang w:val="fr-FR"/>
        </w:rPr>
        <w:t>Participants</w:t>
      </w:r>
      <w:r w:rsidR="002160B3" w:rsidRPr="007F70EA">
        <w:rPr>
          <w:szCs w:val="22"/>
          <w:lang w:val="fr-FR"/>
        </w:rPr>
        <w:t> :</w:t>
      </w:r>
      <w:r w:rsidRPr="007F70EA">
        <w:rPr>
          <w:szCs w:val="22"/>
          <w:lang w:val="fr-FR"/>
        </w:rPr>
        <w:t xml:space="preserve"> États, organisations intergouvernementales et organisations non gouvernementales</w:t>
      </w:r>
    </w:p>
    <w:p w:rsidR="00F31C57" w:rsidRPr="007F70EA" w:rsidRDefault="00F31C57" w:rsidP="00F31C57">
      <w:pPr>
        <w:rPr>
          <w:szCs w:val="22"/>
          <w:lang w:val="fr-FR"/>
        </w:rPr>
      </w:pPr>
    </w:p>
    <w:p w:rsidR="002160B3" w:rsidRPr="007F70EA" w:rsidRDefault="00F31C57" w:rsidP="00F31C57">
      <w:pPr>
        <w:rPr>
          <w:szCs w:val="22"/>
          <w:lang w:val="fr-FR"/>
        </w:rPr>
      </w:pPr>
      <w:r w:rsidRPr="007F70EA">
        <w:rPr>
          <w:szCs w:val="22"/>
          <w:u w:val="single"/>
          <w:lang w:val="fr-FR"/>
        </w:rPr>
        <w:t>Lien avec le transfert de technologie</w:t>
      </w:r>
      <w:r w:rsidR="002160B3" w:rsidRPr="007F70EA">
        <w:rPr>
          <w:szCs w:val="22"/>
          <w:lang w:val="fr-FR"/>
        </w:rPr>
        <w:t> :</w:t>
      </w:r>
      <w:r w:rsidRPr="007F70EA">
        <w:rPr>
          <w:szCs w:val="22"/>
          <w:lang w:val="fr-FR"/>
        </w:rPr>
        <w:t xml:space="preserve"> La Déclaration de principes “Construire la société de l</w:t>
      </w:r>
      <w:r w:rsidR="002160B3" w:rsidRPr="007F70EA">
        <w:rPr>
          <w:szCs w:val="22"/>
          <w:lang w:val="fr-FR"/>
        </w:rPr>
        <w:t>’</w:t>
      </w:r>
      <w:r w:rsidRPr="007F70EA">
        <w:rPr>
          <w:szCs w:val="22"/>
          <w:lang w:val="fr-FR"/>
        </w:rPr>
        <w:t>information</w:t>
      </w:r>
      <w:r w:rsidR="002160B3" w:rsidRPr="007F70EA">
        <w:rPr>
          <w:szCs w:val="22"/>
          <w:lang w:val="fr-FR"/>
        </w:rPr>
        <w:t> :</w:t>
      </w:r>
      <w:r w:rsidRPr="007F70EA">
        <w:rPr>
          <w:szCs w:val="22"/>
          <w:lang w:val="fr-FR"/>
        </w:rPr>
        <w:t xml:space="preserve"> un défi mondial pour le nouveau millénaire”, convenue lors du Sommet mondial sur la société de l</w:t>
      </w:r>
      <w:r w:rsidR="002160B3" w:rsidRPr="007F70EA">
        <w:rPr>
          <w:szCs w:val="22"/>
          <w:lang w:val="fr-FR"/>
        </w:rPr>
        <w:t>’</w:t>
      </w:r>
      <w:r w:rsidRPr="007F70EA">
        <w:rPr>
          <w:szCs w:val="22"/>
          <w:lang w:val="fr-FR"/>
        </w:rPr>
        <w:t xml:space="preserve">information </w:t>
      </w:r>
      <w:r w:rsidR="002160B3" w:rsidRPr="007F70EA">
        <w:rPr>
          <w:szCs w:val="22"/>
          <w:lang w:val="fr-FR"/>
        </w:rPr>
        <w:t>de 2003</w:t>
      </w:r>
      <w:r w:rsidRPr="007F70EA">
        <w:rPr>
          <w:szCs w:val="22"/>
          <w:lang w:val="fr-FR"/>
        </w:rPr>
        <w:t>, a reconnu qu</w:t>
      </w:r>
      <w:r w:rsidR="002160B3" w:rsidRPr="007F70EA">
        <w:rPr>
          <w:szCs w:val="22"/>
          <w:lang w:val="fr-FR"/>
        </w:rPr>
        <w:t>’</w:t>
      </w:r>
      <w:r w:rsidRPr="007F70EA">
        <w:rPr>
          <w:szCs w:val="22"/>
          <w:lang w:val="fr-FR"/>
        </w:rPr>
        <w:t xml:space="preserve">un rôle essentiel revient aux partenariats, en particulier entre pays développés et pays en développement, </w:t>
      </w:r>
      <w:r w:rsidR="002160B3" w:rsidRPr="007F70EA">
        <w:rPr>
          <w:szCs w:val="22"/>
          <w:lang w:val="fr-FR"/>
        </w:rPr>
        <w:t>y compris</w:t>
      </w:r>
      <w:r w:rsidRPr="007F70EA">
        <w:rPr>
          <w:szCs w:val="22"/>
          <w:lang w:val="fr-FR"/>
        </w:rPr>
        <w:t xml:space="preserve"> les pays à économie en transition, dans les domaines de la recherche</w:t>
      </w:r>
      <w:r w:rsidR="007F70EA">
        <w:rPr>
          <w:szCs w:val="22"/>
          <w:lang w:val="fr-FR"/>
        </w:rPr>
        <w:noBreakHyphen/>
      </w:r>
      <w:r w:rsidRPr="007F70EA">
        <w:rPr>
          <w:szCs w:val="22"/>
          <w:lang w:val="fr-FR"/>
        </w:rPr>
        <w:t>développement, du transfert de technologie, de la production et de l</w:t>
      </w:r>
      <w:r w:rsidR="002160B3" w:rsidRPr="007F70EA">
        <w:rPr>
          <w:szCs w:val="22"/>
          <w:lang w:val="fr-FR"/>
        </w:rPr>
        <w:t>’</w:t>
      </w:r>
      <w:r w:rsidRPr="007F70EA">
        <w:rPr>
          <w:szCs w:val="22"/>
          <w:lang w:val="fr-FR"/>
        </w:rPr>
        <w:t>utilisation des produits et services liés aux technologies de l</w:t>
      </w:r>
      <w:r w:rsidR="002160B3" w:rsidRPr="007F70EA">
        <w:rPr>
          <w:szCs w:val="22"/>
          <w:lang w:val="fr-FR"/>
        </w:rPr>
        <w:t>’</w:t>
      </w:r>
      <w:r w:rsidRPr="007F70EA">
        <w:rPr>
          <w:szCs w:val="22"/>
          <w:lang w:val="fr-FR"/>
        </w:rPr>
        <w:t>information et de la communication pour favoriser le renforcement des capacités et la participation à la société de l</w:t>
      </w:r>
      <w:r w:rsidR="002160B3" w:rsidRPr="007F70EA">
        <w:rPr>
          <w:szCs w:val="22"/>
          <w:lang w:val="fr-FR"/>
        </w:rPr>
        <w:t>’</w:t>
      </w:r>
      <w:r w:rsidRPr="007F70EA">
        <w:rPr>
          <w:szCs w:val="22"/>
          <w:lang w:val="fr-FR"/>
        </w:rPr>
        <w:t>information à l</w:t>
      </w:r>
      <w:r w:rsidR="002160B3" w:rsidRPr="007F70EA">
        <w:rPr>
          <w:szCs w:val="22"/>
          <w:lang w:val="fr-FR"/>
        </w:rPr>
        <w:t>’</w:t>
      </w:r>
      <w:r w:rsidRPr="007F70EA">
        <w:rPr>
          <w:szCs w:val="22"/>
          <w:lang w:val="fr-FR"/>
        </w:rPr>
        <w:t>échelle mondiale.”</w:t>
      </w:r>
    </w:p>
    <w:p w:rsidR="00F31C57" w:rsidRPr="007F70EA" w:rsidRDefault="00F31C57" w:rsidP="00F31C57">
      <w:pPr>
        <w:rPr>
          <w:szCs w:val="22"/>
          <w:lang w:val="fr-FR"/>
        </w:rPr>
      </w:pPr>
    </w:p>
    <w:p w:rsidR="00F31C57" w:rsidRPr="007F70EA" w:rsidRDefault="00F31C57" w:rsidP="00F31C57">
      <w:pPr>
        <w:rPr>
          <w:szCs w:val="22"/>
          <w:lang w:val="fr-FR"/>
        </w:rPr>
      </w:pPr>
    </w:p>
    <w:p w:rsidR="00F31C57" w:rsidRPr="007F70EA" w:rsidRDefault="00F31C57" w:rsidP="00F31C57">
      <w:pPr>
        <w:rPr>
          <w:szCs w:val="22"/>
          <w:lang w:val="fr-FR"/>
        </w:rPr>
      </w:pPr>
      <w:r w:rsidRPr="007F70EA">
        <w:rPr>
          <w:szCs w:val="22"/>
          <w:u w:val="single"/>
          <w:lang w:val="fr-FR"/>
        </w:rPr>
        <w:t>Description</w:t>
      </w:r>
      <w:r w:rsidR="002160B3" w:rsidRPr="007F70EA">
        <w:rPr>
          <w:szCs w:val="22"/>
          <w:lang w:val="fr-FR"/>
        </w:rPr>
        <w:t> :</w:t>
      </w:r>
      <w:r w:rsidRPr="007F70EA">
        <w:rPr>
          <w:szCs w:val="22"/>
          <w:lang w:val="fr-FR"/>
        </w:rPr>
        <w:t xml:space="preserve"> “Le Sommet mondial sur la société de l</w:t>
      </w:r>
      <w:r w:rsidR="002160B3" w:rsidRPr="007F70EA">
        <w:rPr>
          <w:szCs w:val="22"/>
          <w:lang w:val="fr-FR"/>
        </w:rPr>
        <w:t>’</w:t>
      </w:r>
      <w:r w:rsidRPr="007F70EA">
        <w:rPr>
          <w:szCs w:val="22"/>
          <w:lang w:val="fr-FR"/>
        </w:rPr>
        <w:t>information (SMSI) […] a été lancé pour créer une plateforme évolutive multipartite traitant les questions soulevées par les technologies de l</w:t>
      </w:r>
      <w:r w:rsidR="002160B3" w:rsidRPr="007F70EA">
        <w:rPr>
          <w:szCs w:val="22"/>
          <w:lang w:val="fr-FR"/>
        </w:rPr>
        <w:t>’</w:t>
      </w:r>
      <w:r w:rsidRPr="007F70EA">
        <w:rPr>
          <w:szCs w:val="22"/>
          <w:lang w:val="fr-FR"/>
        </w:rPr>
        <w:t>information et de la communication (TIC) au moyen d</w:t>
      </w:r>
      <w:r w:rsidR="002160B3" w:rsidRPr="007F70EA">
        <w:rPr>
          <w:szCs w:val="22"/>
          <w:lang w:val="fr-FR"/>
        </w:rPr>
        <w:t>’</w:t>
      </w:r>
      <w:r w:rsidRPr="007F70EA">
        <w:rPr>
          <w:szCs w:val="22"/>
          <w:lang w:val="fr-FR"/>
        </w:rPr>
        <w:t>une approche structurée et inclusive aux niveau</w:t>
      </w:r>
      <w:r w:rsidR="0060021D" w:rsidRPr="007F70EA">
        <w:rPr>
          <w:szCs w:val="22"/>
          <w:lang w:val="fr-FR"/>
        </w:rPr>
        <w:t xml:space="preserve">x </w:t>
      </w:r>
      <w:r w:rsidRPr="007F70EA">
        <w:rPr>
          <w:szCs w:val="22"/>
          <w:lang w:val="fr-FR"/>
        </w:rPr>
        <w:t>régional, national et international.”</w:t>
      </w:r>
    </w:p>
    <w:p w:rsidR="00F31C57" w:rsidRPr="007F70EA" w:rsidRDefault="00F31C57" w:rsidP="00F31C57">
      <w:pPr>
        <w:rPr>
          <w:szCs w:val="22"/>
          <w:lang w:val="fr-FR"/>
        </w:rPr>
      </w:pPr>
    </w:p>
    <w:p w:rsidR="00F31C57" w:rsidRPr="007F70EA" w:rsidRDefault="00F31C57" w:rsidP="00F31C57">
      <w:pPr>
        <w:rPr>
          <w:szCs w:val="22"/>
          <w:lang w:val="fr-FR"/>
        </w:rPr>
      </w:pPr>
      <w:r w:rsidRPr="007F70EA">
        <w:rPr>
          <w:szCs w:val="22"/>
          <w:u w:val="single"/>
          <w:lang w:val="fr-FR"/>
        </w:rPr>
        <w:t>Taux d</w:t>
      </w:r>
      <w:r w:rsidR="002160B3" w:rsidRPr="007F70EA">
        <w:rPr>
          <w:szCs w:val="22"/>
          <w:u w:val="single"/>
          <w:lang w:val="fr-FR"/>
        </w:rPr>
        <w:t>’</w:t>
      </w:r>
      <w:r w:rsidRPr="007F70EA">
        <w:rPr>
          <w:szCs w:val="22"/>
          <w:u w:val="single"/>
          <w:lang w:val="fr-FR"/>
        </w:rPr>
        <w:t>activité</w:t>
      </w:r>
      <w:r w:rsidR="002160B3" w:rsidRPr="007F70EA">
        <w:rPr>
          <w:szCs w:val="22"/>
          <w:lang w:val="fr-FR"/>
        </w:rPr>
        <w:t> :</w:t>
      </w:r>
      <w:r w:rsidRPr="007F70EA">
        <w:rPr>
          <w:szCs w:val="22"/>
          <w:lang w:val="fr-FR"/>
        </w:rPr>
        <w:t xml:space="preserve"> annuel</w:t>
      </w:r>
    </w:p>
    <w:p w:rsidR="00F31C57" w:rsidRPr="007F70EA" w:rsidRDefault="00F31C57" w:rsidP="00F31C57">
      <w:pPr>
        <w:rPr>
          <w:szCs w:val="22"/>
          <w:lang w:val="fr-FR"/>
        </w:rPr>
      </w:pPr>
    </w:p>
    <w:p w:rsidR="00F31C57" w:rsidRPr="007F70EA" w:rsidRDefault="00F31C57" w:rsidP="00F31C57">
      <w:pPr>
        <w:rPr>
          <w:szCs w:val="22"/>
          <w:lang w:val="fr-FR"/>
        </w:rPr>
      </w:pPr>
      <w:r w:rsidRPr="007F70EA">
        <w:rPr>
          <w:szCs w:val="22"/>
          <w:u w:val="single"/>
          <w:lang w:val="fr-FR"/>
        </w:rPr>
        <w:t>Référence</w:t>
      </w:r>
      <w:r w:rsidR="002160B3" w:rsidRPr="007F70EA">
        <w:rPr>
          <w:szCs w:val="22"/>
          <w:lang w:val="fr-FR"/>
        </w:rPr>
        <w:t> :</w:t>
      </w:r>
      <w:r w:rsidRPr="007F70EA">
        <w:rPr>
          <w:szCs w:val="22"/>
          <w:lang w:val="fr-FR"/>
        </w:rPr>
        <w:t xml:space="preserve"> https://sustainabledevelopment.un.org/index.php?page=view&amp;type=30022&amp;nr=102&amp;menu=3170</w:t>
      </w:r>
    </w:p>
    <w:p w:rsidR="00F31C57" w:rsidRPr="007F70EA" w:rsidRDefault="00F31C57" w:rsidP="00F31C57">
      <w:pPr>
        <w:rPr>
          <w:szCs w:val="22"/>
          <w:lang w:val="fr-FR"/>
        </w:rPr>
      </w:pPr>
    </w:p>
    <w:p w:rsidR="00F31C57" w:rsidRPr="007F70EA" w:rsidRDefault="00F31C57" w:rsidP="00F31C57">
      <w:pPr>
        <w:rPr>
          <w:szCs w:val="22"/>
          <w:lang w:val="fr-FR"/>
        </w:rPr>
      </w:pPr>
    </w:p>
    <w:p w:rsidR="00F31C57" w:rsidRPr="007F70EA" w:rsidRDefault="00F31C57" w:rsidP="00F31C57">
      <w:pPr>
        <w:rPr>
          <w:b/>
          <w:szCs w:val="22"/>
          <w:lang w:val="fr-FR"/>
        </w:rPr>
      </w:pPr>
      <w:r w:rsidRPr="007F70EA">
        <w:rPr>
          <w:b/>
          <w:szCs w:val="22"/>
          <w:lang w:val="fr-FR"/>
        </w:rPr>
        <w:t>Groupe de travail du commerce et du transfert de technologie de l</w:t>
      </w:r>
      <w:r w:rsidR="002160B3" w:rsidRPr="007F70EA">
        <w:rPr>
          <w:b/>
          <w:szCs w:val="22"/>
          <w:lang w:val="fr-FR"/>
        </w:rPr>
        <w:t>’</w:t>
      </w:r>
      <w:r w:rsidRPr="007F70EA">
        <w:rPr>
          <w:b/>
          <w:szCs w:val="22"/>
          <w:lang w:val="fr-FR"/>
        </w:rPr>
        <w:t>Organisation mondiale du commerce (OMC)</w:t>
      </w:r>
    </w:p>
    <w:p w:rsidR="00F31C57" w:rsidRPr="007F70EA" w:rsidRDefault="00F31C57" w:rsidP="00F31C57">
      <w:pPr>
        <w:rPr>
          <w:szCs w:val="22"/>
          <w:lang w:val="fr-FR"/>
        </w:rPr>
      </w:pPr>
    </w:p>
    <w:p w:rsidR="002160B3" w:rsidRPr="007F70EA" w:rsidRDefault="00F31C57" w:rsidP="00F31C57">
      <w:pPr>
        <w:rPr>
          <w:szCs w:val="22"/>
          <w:lang w:val="fr-FR"/>
        </w:rPr>
      </w:pPr>
      <w:r w:rsidRPr="007F70EA">
        <w:rPr>
          <w:szCs w:val="22"/>
          <w:u w:val="single"/>
          <w:lang w:val="fr-FR"/>
        </w:rPr>
        <w:t>Organisation coordinatrice</w:t>
      </w:r>
      <w:r w:rsidR="002160B3" w:rsidRPr="007F70EA">
        <w:rPr>
          <w:szCs w:val="22"/>
          <w:lang w:val="fr-FR"/>
        </w:rPr>
        <w:t> :</w:t>
      </w:r>
      <w:r w:rsidRPr="007F70EA">
        <w:rPr>
          <w:szCs w:val="22"/>
          <w:u w:val="single"/>
          <w:lang w:val="fr-FR"/>
        </w:rPr>
        <w:t xml:space="preserve"> </w:t>
      </w:r>
      <w:r w:rsidRPr="007F70EA">
        <w:rPr>
          <w:szCs w:val="22"/>
          <w:lang w:val="fr-FR"/>
        </w:rPr>
        <w:t>Organisation mondiale du commerce (OMC)</w:t>
      </w:r>
    </w:p>
    <w:p w:rsidR="00F31C57" w:rsidRPr="007F70EA" w:rsidRDefault="00F31C57" w:rsidP="00F31C57">
      <w:pPr>
        <w:rPr>
          <w:szCs w:val="22"/>
          <w:lang w:val="fr-FR"/>
        </w:rPr>
      </w:pPr>
    </w:p>
    <w:p w:rsidR="00F31C57" w:rsidRPr="007F70EA" w:rsidRDefault="00F31C57" w:rsidP="00F31C57">
      <w:pPr>
        <w:rPr>
          <w:szCs w:val="22"/>
          <w:lang w:val="fr-FR"/>
        </w:rPr>
      </w:pPr>
      <w:r w:rsidRPr="007F70EA">
        <w:rPr>
          <w:szCs w:val="22"/>
          <w:u w:val="single"/>
          <w:lang w:val="fr-FR"/>
        </w:rPr>
        <w:t>Participants</w:t>
      </w:r>
      <w:r w:rsidR="002160B3" w:rsidRPr="007F70EA">
        <w:rPr>
          <w:szCs w:val="22"/>
          <w:lang w:val="fr-FR"/>
        </w:rPr>
        <w:t> :</w:t>
      </w:r>
      <w:r w:rsidRPr="007F70EA">
        <w:rPr>
          <w:szCs w:val="22"/>
          <w:lang w:val="fr-FR"/>
        </w:rPr>
        <w:t xml:space="preserve"> États</w:t>
      </w:r>
    </w:p>
    <w:p w:rsidR="00F31C57" w:rsidRPr="007F70EA" w:rsidRDefault="00F31C57" w:rsidP="00F31C57">
      <w:pPr>
        <w:rPr>
          <w:szCs w:val="22"/>
          <w:lang w:val="fr-FR"/>
        </w:rPr>
      </w:pPr>
    </w:p>
    <w:p w:rsidR="00F31C57" w:rsidRPr="007F70EA" w:rsidRDefault="00F31C57" w:rsidP="00F31C57">
      <w:pPr>
        <w:rPr>
          <w:szCs w:val="22"/>
          <w:lang w:val="fr-FR"/>
        </w:rPr>
      </w:pPr>
      <w:r w:rsidRPr="007F70EA">
        <w:rPr>
          <w:szCs w:val="22"/>
          <w:u w:val="single"/>
          <w:lang w:val="fr-FR"/>
        </w:rPr>
        <w:t>Lien avec le transfert de technologie</w:t>
      </w:r>
      <w:r w:rsidR="002160B3" w:rsidRPr="007F70EA">
        <w:rPr>
          <w:szCs w:val="22"/>
          <w:lang w:val="fr-FR"/>
        </w:rPr>
        <w:t> :</w:t>
      </w:r>
      <w:r w:rsidRPr="007F70EA">
        <w:rPr>
          <w:szCs w:val="22"/>
          <w:lang w:val="fr-FR"/>
        </w:rPr>
        <w:t xml:space="preserve"> “Le Groupe de travail du commerce et du transfert de technologie […] vise à examiner la relation entre commerce et transfert de technologie des pays développés vers les pays en développement ainsi que les mesures pour accroître les apports de technologie aux pays en développement.”</w:t>
      </w:r>
    </w:p>
    <w:p w:rsidR="002160B3" w:rsidRPr="007F70EA" w:rsidRDefault="002160B3" w:rsidP="00F31C57">
      <w:pPr>
        <w:rPr>
          <w:szCs w:val="22"/>
          <w:lang w:val="fr-FR"/>
        </w:rPr>
      </w:pPr>
    </w:p>
    <w:p w:rsidR="00F31C57" w:rsidRPr="007F70EA" w:rsidRDefault="00F31C57" w:rsidP="00F31C57">
      <w:pPr>
        <w:rPr>
          <w:szCs w:val="22"/>
          <w:lang w:val="fr-FR"/>
        </w:rPr>
      </w:pPr>
      <w:r w:rsidRPr="007F70EA">
        <w:rPr>
          <w:szCs w:val="22"/>
          <w:u w:val="single"/>
          <w:lang w:val="fr-FR"/>
        </w:rPr>
        <w:t>Description</w:t>
      </w:r>
      <w:r w:rsidR="002160B3" w:rsidRPr="007F70EA">
        <w:rPr>
          <w:szCs w:val="22"/>
          <w:lang w:val="fr-FR"/>
        </w:rPr>
        <w:t> :</w:t>
      </w:r>
      <w:r w:rsidRPr="007F70EA">
        <w:rPr>
          <w:szCs w:val="22"/>
          <w:lang w:val="fr-FR"/>
        </w:rPr>
        <w:t xml:space="preserve"> “Le Groupe de travail du commerce et du transfert de technologie a été créé par les </w:t>
      </w:r>
      <w:r w:rsidR="00CC68C1" w:rsidRPr="007F70EA">
        <w:rPr>
          <w:szCs w:val="22"/>
          <w:lang w:val="fr-FR"/>
        </w:rPr>
        <w:t>ministre</w:t>
      </w:r>
      <w:r w:rsidRPr="007F70EA">
        <w:rPr>
          <w:szCs w:val="22"/>
          <w:lang w:val="fr-FR"/>
        </w:rPr>
        <w:t>s à Doha et vise à examiner la relation entre commerce et transfert de technologie des pays développés vers les pays en développement ainsi que les mesures pour accroître les apports de technologie aux pays en développement”.</w:t>
      </w:r>
    </w:p>
    <w:p w:rsidR="00F31C57" w:rsidRPr="007F70EA" w:rsidRDefault="00F31C57" w:rsidP="00F31C57">
      <w:pPr>
        <w:rPr>
          <w:szCs w:val="22"/>
          <w:lang w:val="fr-FR"/>
        </w:rPr>
      </w:pPr>
    </w:p>
    <w:p w:rsidR="00F31C57" w:rsidRPr="007F70EA" w:rsidRDefault="00F31C57" w:rsidP="00F31C57">
      <w:pPr>
        <w:rPr>
          <w:szCs w:val="22"/>
          <w:lang w:val="fr-FR"/>
        </w:rPr>
      </w:pPr>
      <w:r w:rsidRPr="007F70EA">
        <w:rPr>
          <w:szCs w:val="22"/>
          <w:u w:val="single"/>
          <w:lang w:val="fr-FR"/>
        </w:rPr>
        <w:t>Taux d</w:t>
      </w:r>
      <w:r w:rsidR="002160B3" w:rsidRPr="007F70EA">
        <w:rPr>
          <w:szCs w:val="22"/>
          <w:u w:val="single"/>
          <w:lang w:val="fr-FR"/>
        </w:rPr>
        <w:t>’</w:t>
      </w:r>
      <w:r w:rsidRPr="007F70EA">
        <w:rPr>
          <w:szCs w:val="22"/>
          <w:u w:val="single"/>
          <w:lang w:val="fr-FR"/>
        </w:rPr>
        <w:t>activité</w:t>
      </w:r>
      <w:r w:rsidR="002160B3" w:rsidRPr="007F70EA">
        <w:rPr>
          <w:szCs w:val="22"/>
          <w:lang w:val="fr-FR"/>
        </w:rPr>
        <w:t> :</w:t>
      </w:r>
      <w:r w:rsidRPr="007F70EA">
        <w:rPr>
          <w:szCs w:val="22"/>
          <w:lang w:val="fr-FR"/>
        </w:rPr>
        <w:t xml:space="preserve"> ponctuel</w:t>
      </w:r>
    </w:p>
    <w:p w:rsidR="00F31C57" w:rsidRPr="007F70EA" w:rsidRDefault="00F31C57" w:rsidP="00F31C57">
      <w:pPr>
        <w:rPr>
          <w:szCs w:val="22"/>
          <w:lang w:val="fr-FR"/>
        </w:rPr>
      </w:pPr>
    </w:p>
    <w:p w:rsidR="00FE428A" w:rsidRDefault="00F31C57">
      <w:pPr>
        <w:rPr>
          <w:bCs/>
          <w:iCs/>
          <w:caps/>
          <w:szCs w:val="22"/>
          <w:lang w:val="fr-FR"/>
        </w:rPr>
      </w:pPr>
      <w:r w:rsidRPr="007F70EA">
        <w:rPr>
          <w:szCs w:val="22"/>
          <w:u w:val="single"/>
          <w:lang w:val="fr-FR"/>
        </w:rPr>
        <w:t>Référence</w:t>
      </w:r>
      <w:r w:rsidR="002160B3" w:rsidRPr="007F70EA">
        <w:rPr>
          <w:szCs w:val="22"/>
          <w:lang w:val="fr-FR"/>
        </w:rPr>
        <w:t> :</w:t>
      </w:r>
      <w:r w:rsidRPr="007F70EA">
        <w:rPr>
          <w:szCs w:val="22"/>
          <w:lang w:val="fr-FR"/>
        </w:rPr>
        <w:t xml:space="preserve"> https://www.wto.org/english/tratop_e/devel_e/dev_wkgp_trade_transfer_technology_e.htm</w:t>
      </w:r>
      <w:r w:rsidR="00FE428A">
        <w:rPr>
          <w:szCs w:val="22"/>
          <w:lang w:val="fr-FR"/>
        </w:rPr>
        <w:br w:type="page"/>
      </w:r>
    </w:p>
    <w:p w:rsidR="00F31C57" w:rsidRPr="007F70EA" w:rsidRDefault="00F31C57" w:rsidP="00F31C57">
      <w:pPr>
        <w:pStyle w:val="Heading2"/>
        <w:ind w:left="567" w:hanging="567"/>
        <w:rPr>
          <w:szCs w:val="22"/>
          <w:lang w:val="fr-FR"/>
        </w:rPr>
      </w:pPr>
      <w:r w:rsidRPr="007F70EA">
        <w:rPr>
          <w:szCs w:val="22"/>
          <w:lang w:val="fr-FR"/>
        </w:rPr>
        <w:lastRenderedPageBreak/>
        <w:t>IV.</w:t>
      </w:r>
      <w:r w:rsidRPr="007F70EA">
        <w:rPr>
          <w:szCs w:val="22"/>
          <w:lang w:val="fr-FR"/>
        </w:rPr>
        <w:tab/>
        <w:t>sÉLECTION DE CONFÉRENCES ET FORUMS INTERGOUVERNEMENTAUX MONDIAUX AU SEIN DU SYSTÈME DES NATIONS UNIES</w:t>
      </w:r>
    </w:p>
    <w:p w:rsidR="00F31C57" w:rsidRPr="007F70EA" w:rsidRDefault="00F31C57" w:rsidP="00F31C57">
      <w:pPr>
        <w:rPr>
          <w:b/>
          <w:szCs w:val="22"/>
          <w:lang w:val="fr-FR"/>
        </w:rPr>
      </w:pPr>
    </w:p>
    <w:p w:rsidR="002160B3" w:rsidRPr="007F70EA" w:rsidRDefault="00F31C57" w:rsidP="00F31C57">
      <w:pPr>
        <w:rPr>
          <w:b/>
          <w:szCs w:val="22"/>
          <w:lang w:val="fr-FR"/>
        </w:rPr>
      </w:pPr>
      <w:r w:rsidRPr="007F70EA">
        <w:rPr>
          <w:b/>
          <w:szCs w:val="22"/>
          <w:lang w:val="fr-FR"/>
        </w:rPr>
        <w:t>Conseil d</w:t>
      </w:r>
      <w:r w:rsidR="002160B3" w:rsidRPr="007F70EA">
        <w:rPr>
          <w:b/>
          <w:szCs w:val="22"/>
          <w:lang w:val="fr-FR"/>
        </w:rPr>
        <w:t>’</w:t>
      </w:r>
      <w:r w:rsidRPr="007F70EA">
        <w:rPr>
          <w:b/>
          <w:szCs w:val="22"/>
          <w:lang w:val="fr-FR"/>
        </w:rPr>
        <w:t>administration du Centre de l</w:t>
      </w:r>
      <w:r w:rsidR="002160B3" w:rsidRPr="007F70EA">
        <w:rPr>
          <w:b/>
          <w:szCs w:val="22"/>
          <w:lang w:val="fr-FR"/>
        </w:rPr>
        <w:t>’</w:t>
      </w:r>
      <w:r w:rsidRPr="007F70EA">
        <w:rPr>
          <w:b/>
          <w:szCs w:val="22"/>
          <w:lang w:val="fr-FR"/>
        </w:rPr>
        <w:t xml:space="preserve">Asie et du Pacifique pour le transfert de technologie (CAPTT) de la </w:t>
      </w:r>
      <w:r w:rsidRPr="007F70EA">
        <w:rPr>
          <w:rStyle w:val="english-link"/>
          <w:b/>
          <w:szCs w:val="22"/>
          <w:lang w:val="fr-FR"/>
        </w:rPr>
        <w:t>Commission économique et sociale pour l</w:t>
      </w:r>
      <w:r w:rsidR="002160B3" w:rsidRPr="007F70EA">
        <w:rPr>
          <w:rStyle w:val="english-link"/>
          <w:b/>
          <w:szCs w:val="22"/>
          <w:lang w:val="fr-FR"/>
        </w:rPr>
        <w:t>’</w:t>
      </w:r>
      <w:r w:rsidRPr="007F70EA">
        <w:rPr>
          <w:rStyle w:val="english-link"/>
          <w:b/>
          <w:szCs w:val="22"/>
          <w:lang w:val="fr-FR"/>
        </w:rPr>
        <w:t>Asie et le Pacifique</w:t>
      </w:r>
      <w:r w:rsidRPr="007F70EA">
        <w:rPr>
          <w:b/>
          <w:szCs w:val="22"/>
          <w:lang w:val="fr-FR"/>
        </w:rPr>
        <w:t xml:space="preserve"> (CESAP)</w:t>
      </w:r>
      <w:r w:rsidR="002160B3" w:rsidRPr="007F70EA">
        <w:rPr>
          <w:b/>
          <w:szCs w:val="22"/>
          <w:lang w:val="fr-FR"/>
        </w:rPr>
        <w:t> :</w:t>
      </w:r>
    </w:p>
    <w:p w:rsidR="00F31C57" w:rsidRPr="007F70EA" w:rsidRDefault="00F31C57" w:rsidP="00F31C57">
      <w:pPr>
        <w:rPr>
          <w:szCs w:val="22"/>
          <w:lang w:val="fr-FR"/>
        </w:rPr>
      </w:pPr>
    </w:p>
    <w:p w:rsidR="00F31C57" w:rsidRPr="007F70EA" w:rsidRDefault="00F31C57" w:rsidP="00F31C57">
      <w:pPr>
        <w:rPr>
          <w:szCs w:val="22"/>
          <w:lang w:val="fr-FR"/>
        </w:rPr>
      </w:pPr>
      <w:r w:rsidRPr="007F70EA">
        <w:rPr>
          <w:szCs w:val="22"/>
          <w:u w:val="single"/>
          <w:lang w:val="fr-FR"/>
        </w:rPr>
        <w:t>Organisation coordinatrice</w:t>
      </w:r>
      <w:r w:rsidR="002160B3" w:rsidRPr="007F70EA">
        <w:rPr>
          <w:szCs w:val="22"/>
          <w:lang w:val="fr-FR"/>
        </w:rPr>
        <w:t> :</w:t>
      </w:r>
      <w:r w:rsidRPr="007F70EA">
        <w:rPr>
          <w:szCs w:val="22"/>
          <w:lang w:val="fr-FR"/>
        </w:rPr>
        <w:t xml:space="preserve"> Conseil d</w:t>
      </w:r>
      <w:r w:rsidR="002160B3" w:rsidRPr="007F70EA">
        <w:rPr>
          <w:szCs w:val="22"/>
          <w:lang w:val="fr-FR"/>
        </w:rPr>
        <w:t>’</w:t>
      </w:r>
      <w:r w:rsidRPr="007F70EA">
        <w:rPr>
          <w:szCs w:val="22"/>
          <w:lang w:val="fr-FR"/>
        </w:rPr>
        <w:t>administration du Centre de l</w:t>
      </w:r>
      <w:r w:rsidR="002160B3" w:rsidRPr="007F70EA">
        <w:rPr>
          <w:szCs w:val="22"/>
          <w:lang w:val="fr-FR"/>
        </w:rPr>
        <w:t>’</w:t>
      </w:r>
      <w:r w:rsidRPr="007F70EA">
        <w:rPr>
          <w:szCs w:val="22"/>
          <w:lang w:val="fr-FR"/>
        </w:rPr>
        <w:t xml:space="preserve">Asie et du Pacifique pour le transfert de technologie (CAPTT) de la </w:t>
      </w:r>
      <w:r w:rsidRPr="007F70EA">
        <w:rPr>
          <w:rStyle w:val="english-link"/>
          <w:szCs w:val="22"/>
          <w:lang w:val="fr-FR"/>
        </w:rPr>
        <w:t>Commission économique et sociale pour l</w:t>
      </w:r>
      <w:r w:rsidR="002160B3" w:rsidRPr="007F70EA">
        <w:rPr>
          <w:rStyle w:val="english-link"/>
          <w:szCs w:val="22"/>
          <w:lang w:val="fr-FR"/>
        </w:rPr>
        <w:t>’</w:t>
      </w:r>
      <w:r w:rsidRPr="007F70EA">
        <w:rPr>
          <w:rStyle w:val="english-link"/>
          <w:szCs w:val="22"/>
          <w:lang w:val="fr-FR"/>
        </w:rPr>
        <w:t>Asie et le Pacifique</w:t>
      </w:r>
      <w:r w:rsidRPr="007F70EA">
        <w:rPr>
          <w:szCs w:val="22"/>
          <w:lang w:val="fr-FR"/>
        </w:rPr>
        <w:t xml:space="preserve"> (CESAP)</w:t>
      </w:r>
    </w:p>
    <w:p w:rsidR="00F31C57" w:rsidRPr="007F70EA" w:rsidRDefault="00F31C57" w:rsidP="00F31C57">
      <w:pPr>
        <w:rPr>
          <w:szCs w:val="22"/>
          <w:lang w:val="fr-FR"/>
        </w:rPr>
      </w:pPr>
    </w:p>
    <w:p w:rsidR="00F31C57" w:rsidRPr="007F70EA" w:rsidRDefault="00F31C57" w:rsidP="00F31C57">
      <w:pPr>
        <w:rPr>
          <w:szCs w:val="22"/>
          <w:lang w:val="fr-FR"/>
        </w:rPr>
      </w:pPr>
      <w:r w:rsidRPr="007F70EA">
        <w:rPr>
          <w:szCs w:val="22"/>
          <w:u w:val="single"/>
          <w:lang w:val="fr-FR"/>
        </w:rPr>
        <w:t>Participants</w:t>
      </w:r>
      <w:r w:rsidR="002160B3" w:rsidRPr="007F70EA">
        <w:rPr>
          <w:szCs w:val="22"/>
          <w:lang w:val="fr-FR"/>
        </w:rPr>
        <w:t> :</w:t>
      </w:r>
      <w:r w:rsidRPr="007F70EA">
        <w:rPr>
          <w:szCs w:val="22"/>
          <w:lang w:val="fr-FR"/>
        </w:rPr>
        <w:t xml:space="preserve"> États</w:t>
      </w:r>
    </w:p>
    <w:p w:rsidR="00F31C57" w:rsidRPr="007F70EA" w:rsidRDefault="00F31C57" w:rsidP="00F31C57">
      <w:pPr>
        <w:rPr>
          <w:szCs w:val="22"/>
          <w:lang w:val="fr-FR"/>
        </w:rPr>
      </w:pPr>
    </w:p>
    <w:p w:rsidR="002160B3" w:rsidRPr="007F70EA" w:rsidRDefault="00F31C57" w:rsidP="00F31C57">
      <w:pPr>
        <w:rPr>
          <w:szCs w:val="22"/>
          <w:lang w:val="fr-FR"/>
        </w:rPr>
      </w:pPr>
      <w:r w:rsidRPr="007F70EA">
        <w:rPr>
          <w:szCs w:val="22"/>
          <w:u w:val="single"/>
          <w:lang w:val="fr-FR"/>
        </w:rPr>
        <w:t>Lien avec le transfert de technologie</w:t>
      </w:r>
      <w:r w:rsidR="002160B3" w:rsidRPr="007F70EA">
        <w:rPr>
          <w:szCs w:val="22"/>
          <w:lang w:val="fr-FR"/>
        </w:rPr>
        <w:t> :</w:t>
      </w:r>
      <w:r w:rsidRPr="007F70EA">
        <w:rPr>
          <w:szCs w:val="22"/>
          <w:lang w:val="fr-FR"/>
        </w:rPr>
        <w:t xml:space="preserve"> “L</w:t>
      </w:r>
      <w:r w:rsidR="002160B3" w:rsidRPr="007F70EA">
        <w:rPr>
          <w:szCs w:val="22"/>
          <w:lang w:val="fr-FR"/>
        </w:rPr>
        <w:t>’</w:t>
      </w:r>
      <w:r w:rsidRPr="007F70EA">
        <w:rPr>
          <w:szCs w:val="22"/>
          <w:lang w:val="fr-FR"/>
        </w:rPr>
        <w:t>objectif est de renforcer les capacités de la région en matière de transfert de technologie et de faciliter l</w:t>
      </w:r>
      <w:r w:rsidR="002160B3" w:rsidRPr="007F70EA">
        <w:rPr>
          <w:szCs w:val="22"/>
          <w:lang w:val="fr-FR"/>
        </w:rPr>
        <w:t>’</w:t>
      </w:r>
      <w:r w:rsidRPr="007F70EA">
        <w:rPr>
          <w:szCs w:val="22"/>
          <w:lang w:val="fr-FR"/>
        </w:rPr>
        <w:t>importation et l</w:t>
      </w:r>
      <w:r w:rsidR="002160B3" w:rsidRPr="007F70EA">
        <w:rPr>
          <w:szCs w:val="22"/>
          <w:lang w:val="fr-FR"/>
        </w:rPr>
        <w:t>’</w:t>
      </w:r>
      <w:r w:rsidRPr="007F70EA">
        <w:rPr>
          <w:szCs w:val="22"/>
          <w:lang w:val="fr-FR"/>
        </w:rPr>
        <w:t>exportation de technologies écologiques entre les pays membres.”</w:t>
      </w:r>
    </w:p>
    <w:p w:rsidR="00F31C57" w:rsidRPr="007F70EA" w:rsidRDefault="00F31C57" w:rsidP="00F31C57">
      <w:pPr>
        <w:rPr>
          <w:szCs w:val="22"/>
          <w:lang w:val="fr-FR"/>
        </w:rPr>
      </w:pPr>
    </w:p>
    <w:p w:rsidR="0060021D" w:rsidRPr="007F70EA" w:rsidRDefault="00F31C57" w:rsidP="00F31C57">
      <w:pPr>
        <w:rPr>
          <w:szCs w:val="22"/>
          <w:lang w:val="fr-FR"/>
        </w:rPr>
      </w:pPr>
      <w:r w:rsidRPr="007F70EA">
        <w:rPr>
          <w:szCs w:val="22"/>
          <w:u w:val="single"/>
          <w:lang w:val="fr-FR"/>
        </w:rPr>
        <w:t>Description</w:t>
      </w:r>
      <w:r w:rsidR="002160B3" w:rsidRPr="007F70EA">
        <w:rPr>
          <w:szCs w:val="22"/>
          <w:lang w:val="fr-FR"/>
        </w:rPr>
        <w:t> :</w:t>
      </w:r>
      <w:r w:rsidRPr="007F70EA">
        <w:rPr>
          <w:szCs w:val="22"/>
          <w:lang w:val="fr-FR"/>
        </w:rPr>
        <w:t xml:space="preserve"> “Le CAPTT est une institution régionale des </w:t>
      </w:r>
      <w:r w:rsidR="002160B3" w:rsidRPr="007F70EA">
        <w:rPr>
          <w:szCs w:val="22"/>
          <w:lang w:val="fr-FR"/>
        </w:rPr>
        <w:t>Nations Unies</w:t>
      </w:r>
      <w:r w:rsidRPr="007F70EA">
        <w:rPr>
          <w:szCs w:val="22"/>
          <w:lang w:val="fr-FR"/>
        </w:rPr>
        <w:t xml:space="preserve"> sous l</w:t>
      </w:r>
      <w:r w:rsidR="002160B3" w:rsidRPr="007F70EA">
        <w:rPr>
          <w:szCs w:val="22"/>
          <w:lang w:val="fr-FR"/>
        </w:rPr>
        <w:t>’</w:t>
      </w:r>
      <w:r w:rsidRPr="007F70EA">
        <w:rPr>
          <w:szCs w:val="22"/>
          <w:lang w:val="fr-FR"/>
        </w:rPr>
        <w:t xml:space="preserve">égide de la </w:t>
      </w:r>
      <w:r w:rsidRPr="007F70EA">
        <w:rPr>
          <w:rStyle w:val="english-link"/>
          <w:szCs w:val="22"/>
          <w:lang w:val="fr-FR"/>
        </w:rPr>
        <w:t>Commission économique et sociale pour l</w:t>
      </w:r>
      <w:r w:rsidR="002160B3" w:rsidRPr="007F70EA">
        <w:rPr>
          <w:rStyle w:val="english-link"/>
          <w:szCs w:val="22"/>
          <w:lang w:val="fr-FR"/>
        </w:rPr>
        <w:t>’</w:t>
      </w:r>
      <w:r w:rsidRPr="007F70EA">
        <w:rPr>
          <w:rStyle w:val="english-link"/>
          <w:szCs w:val="22"/>
          <w:lang w:val="fr-FR"/>
        </w:rPr>
        <w:t>Asie et le Pacifique</w:t>
      </w:r>
      <w:r w:rsidRPr="007F70EA">
        <w:rPr>
          <w:szCs w:val="22"/>
          <w:lang w:val="fr-FR"/>
        </w:rPr>
        <w:t xml:space="preserve"> (CESAP).</w:t>
      </w:r>
      <w:r w:rsidR="0060021D" w:rsidRPr="007F70EA">
        <w:rPr>
          <w:szCs w:val="22"/>
          <w:lang w:val="fr-FR"/>
        </w:rPr>
        <w:t>”</w:t>
      </w:r>
    </w:p>
    <w:p w:rsidR="00F31C57" w:rsidRPr="007F70EA" w:rsidRDefault="00F31C57" w:rsidP="00F31C57">
      <w:pPr>
        <w:rPr>
          <w:szCs w:val="22"/>
          <w:lang w:val="fr-FR"/>
        </w:rPr>
      </w:pPr>
    </w:p>
    <w:p w:rsidR="00F31C57" w:rsidRPr="007F70EA" w:rsidRDefault="00F31C57" w:rsidP="00F31C57">
      <w:pPr>
        <w:rPr>
          <w:szCs w:val="22"/>
          <w:lang w:val="fr-FR"/>
        </w:rPr>
      </w:pPr>
      <w:r w:rsidRPr="007F70EA">
        <w:rPr>
          <w:szCs w:val="22"/>
          <w:u w:val="single"/>
          <w:lang w:val="fr-FR"/>
        </w:rPr>
        <w:t>Taux d</w:t>
      </w:r>
      <w:r w:rsidR="002160B3" w:rsidRPr="007F70EA">
        <w:rPr>
          <w:szCs w:val="22"/>
          <w:u w:val="single"/>
          <w:lang w:val="fr-FR"/>
        </w:rPr>
        <w:t>’</w:t>
      </w:r>
      <w:r w:rsidRPr="007F70EA">
        <w:rPr>
          <w:szCs w:val="22"/>
          <w:u w:val="single"/>
          <w:lang w:val="fr-FR"/>
        </w:rPr>
        <w:t>activité</w:t>
      </w:r>
      <w:r w:rsidR="002160B3" w:rsidRPr="007F70EA">
        <w:rPr>
          <w:szCs w:val="22"/>
          <w:lang w:val="fr-FR"/>
        </w:rPr>
        <w:t> :</w:t>
      </w:r>
      <w:r w:rsidRPr="007F70EA">
        <w:rPr>
          <w:szCs w:val="22"/>
          <w:lang w:val="fr-FR"/>
        </w:rPr>
        <w:t xml:space="preserve"> annuel</w:t>
      </w:r>
    </w:p>
    <w:p w:rsidR="00F31C57" w:rsidRPr="007F70EA" w:rsidRDefault="00F31C57" w:rsidP="00F31C57">
      <w:pPr>
        <w:rPr>
          <w:szCs w:val="22"/>
          <w:lang w:val="fr-FR"/>
        </w:rPr>
      </w:pPr>
    </w:p>
    <w:p w:rsidR="00F31C57" w:rsidRPr="007F70EA" w:rsidRDefault="00F31C57" w:rsidP="00F31C57">
      <w:pPr>
        <w:rPr>
          <w:szCs w:val="22"/>
          <w:lang w:val="fr-FR"/>
        </w:rPr>
      </w:pPr>
      <w:r w:rsidRPr="007F70EA">
        <w:rPr>
          <w:szCs w:val="22"/>
          <w:u w:val="single"/>
          <w:lang w:val="fr-FR"/>
        </w:rPr>
        <w:t>Référence</w:t>
      </w:r>
      <w:r w:rsidR="002160B3" w:rsidRPr="007F70EA">
        <w:rPr>
          <w:szCs w:val="22"/>
          <w:lang w:val="fr-FR"/>
        </w:rPr>
        <w:t> :</w:t>
      </w:r>
      <w:r w:rsidRPr="007F70EA">
        <w:rPr>
          <w:szCs w:val="22"/>
          <w:lang w:val="fr-FR"/>
        </w:rPr>
        <w:t xml:space="preserve"> http://www.apctt.org/governance</w:t>
      </w:r>
      <w:r w:rsidR="007F70EA">
        <w:rPr>
          <w:szCs w:val="22"/>
          <w:lang w:val="fr-FR"/>
        </w:rPr>
        <w:noBreakHyphen/>
      </w:r>
      <w:r w:rsidRPr="007F70EA">
        <w:rPr>
          <w:szCs w:val="22"/>
          <w:lang w:val="fr-FR"/>
        </w:rPr>
        <w:t>of</w:t>
      </w:r>
      <w:r w:rsidR="007F70EA">
        <w:rPr>
          <w:szCs w:val="22"/>
          <w:lang w:val="fr-FR"/>
        </w:rPr>
        <w:noBreakHyphen/>
      </w:r>
      <w:r w:rsidRPr="007F70EA">
        <w:rPr>
          <w:szCs w:val="22"/>
          <w:lang w:val="fr-FR"/>
        </w:rPr>
        <w:t>apctt</w:t>
      </w:r>
    </w:p>
    <w:p w:rsidR="00F31C57" w:rsidRPr="007F70EA" w:rsidRDefault="00F31C57" w:rsidP="00F31C57">
      <w:pPr>
        <w:rPr>
          <w:b/>
          <w:szCs w:val="22"/>
          <w:lang w:val="fr-FR"/>
        </w:rPr>
      </w:pPr>
    </w:p>
    <w:p w:rsidR="00F31C57" w:rsidRPr="007F70EA" w:rsidRDefault="00F31C57" w:rsidP="00F31C57">
      <w:pPr>
        <w:rPr>
          <w:b/>
          <w:szCs w:val="22"/>
          <w:lang w:val="fr-FR"/>
        </w:rPr>
      </w:pPr>
    </w:p>
    <w:p w:rsidR="002160B3" w:rsidRPr="007F70EA" w:rsidRDefault="00F31C57" w:rsidP="00F31C57">
      <w:pPr>
        <w:rPr>
          <w:b/>
          <w:szCs w:val="22"/>
          <w:lang w:val="fr-FR"/>
        </w:rPr>
      </w:pPr>
      <w:r w:rsidRPr="007F70EA">
        <w:rPr>
          <w:b/>
          <w:szCs w:val="22"/>
          <w:lang w:val="fr-FR"/>
        </w:rPr>
        <w:t>Tables rondes sur l</w:t>
      </w:r>
      <w:r w:rsidR="002160B3" w:rsidRPr="007F70EA">
        <w:rPr>
          <w:b/>
          <w:szCs w:val="22"/>
          <w:lang w:val="fr-FR"/>
        </w:rPr>
        <w:t>’</w:t>
      </w:r>
      <w:r w:rsidRPr="007F70EA">
        <w:rPr>
          <w:b/>
          <w:szCs w:val="22"/>
          <w:lang w:val="fr-FR"/>
        </w:rPr>
        <w:t>initiative régionale Bio</w:t>
      </w:r>
      <w:r w:rsidR="007F70EA">
        <w:rPr>
          <w:b/>
          <w:szCs w:val="22"/>
          <w:lang w:val="fr-FR"/>
        </w:rPr>
        <w:noBreakHyphen/>
      </w:r>
      <w:r w:rsidRPr="007F70EA">
        <w:rPr>
          <w:b/>
          <w:szCs w:val="22"/>
          <w:lang w:val="fr-FR"/>
        </w:rPr>
        <w:t>Bridge</w:t>
      </w:r>
    </w:p>
    <w:p w:rsidR="00F31C57" w:rsidRPr="007F70EA" w:rsidRDefault="00F31C57" w:rsidP="00F31C57">
      <w:pPr>
        <w:rPr>
          <w:szCs w:val="22"/>
          <w:lang w:val="fr-FR"/>
        </w:rPr>
      </w:pPr>
    </w:p>
    <w:p w:rsidR="00F31C57" w:rsidRPr="007F70EA" w:rsidRDefault="00F31C57" w:rsidP="00F31C57">
      <w:pPr>
        <w:rPr>
          <w:szCs w:val="22"/>
          <w:lang w:val="fr-FR"/>
        </w:rPr>
      </w:pPr>
      <w:r w:rsidRPr="007F70EA">
        <w:rPr>
          <w:szCs w:val="22"/>
          <w:u w:val="single"/>
          <w:lang w:val="fr-FR"/>
        </w:rPr>
        <w:t>Organisation coordinatrice</w:t>
      </w:r>
      <w:r w:rsidR="002160B3" w:rsidRPr="007F70EA">
        <w:rPr>
          <w:szCs w:val="22"/>
          <w:lang w:val="fr-FR"/>
        </w:rPr>
        <w:t> :</w:t>
      </w:r>
      <w:r w:rsidRPr="007F70EA">
        <w:rPr>
          <w:szCs w:val="22"/>
          <w:u w:val="single"/>
          <w:lang w:val="fr-FR"/>
        </w:rPr>
        <w:t xml:space="preserve"> </w:t>
      </w:r>
      <w:r w:rsidRPr="007F70EA">
        <w:rPr>
          <w:szCs w:val="22"/>
          <w:lang w:val="fr-FR"/>
        </w:rPr>
        <w:t>Secrétariat de la Convention sur la diversité biologique (CDB)</w:t>
      </w:r>
    </w:p>
    <w:p w:rsidR="00F31C57" w:rsidRPr="007F70EA" w:rsidRDefault="00F31C57" w:rsidP="00F31C57">
      <w:pPr>
        <w:rPr>
          <w:szCs w:val="22"/>
          <w:lang w:val="fr-FR"/>
        </w:rPr>
      </w:pPr>
    </w:p>
    <w:p w:rsidR="00F31C57" w:rsidRPr="007F70EA" w:rsidRDefault="00F31C57" w:rsidP="00F31C57">
      <w:pPr>
        <w:rPr>
          <w:szCs w:val="22"/>
          <w:lang w:val="fr-FR"/>
        </w:rPr>
      </w:pPr>
      <w:r w:rsidRPr="007F70EA">
        <w:rPr>
          <w:szCs w:val="22"/>
          <w:u w:val="single"/>
          <w:lang w:val="fr-FR"/>
        </w:rPr>
        <w:t>Participants</w:t>
      </w:r>
      <w:r w:rsidR="002160B3" w:rsidRPr="007F70EA">
        <w:rPr>
          <w:szCs w:val="22"/>
          <w:lang w:val="fr-FR"/>
        </w:rPr>
        <w:t> :</w:t>
      </w:r>
      <w:r w:rsidRPr="007F70EA">
        <w:rPr>
          <w:szCs w:val="22"/>
          <w:lang w:val="fr-FR"/>
        </w:rPr>
        <w:t xml:space="preserve"> États</w:t>
      </w:r>
    </w:p>
    <w:p w:rsidR="00F31C57" w:rsidRPr="007F70EA" w:rsidRDefault="00F31C57" w:rsidP="00F31C57">
      <w:pPr>
        <w:rPr>
          <w:szCs w:val="22"/>
          <w:lang w:val="fr-FR"/>
        </w:rPr>
      </w:pPr>
    </w:p>
    <w:p w:rsidR="00F31C57" w:rsidRPr="007F70EA" w:rsidRDefault="00F31C57" w:rsidP="00F31C57">
      <w:pPr>
        <w:rPr>
          <w:szCs w:val="22"/>
          <w:lang w:val="fr-FR"/>
        </w:rPr>
      </w:pPr>
      <w:r w:rsidRPr="007F70EA">
        <w:rPr>
          <w:szCs w:val="22"/>
          <w:u w:val="single"/>
          <w:lang w:val="fr-FR"/>
        </w:rPr>
        <w:t>Lien avec le transfert de technologie</w:t>
      </w:r>
      <w:r w:rsidR="002160B3" w:rsidRPr="007F70EA">
        <w:rPr>
          <w:szCs w:val="22"/>
          <w:lang w:val="fr-FR"/>
        </w:rPr>
        <w:t> :</w:t>
      </w:r>
      <w:r w:rsidRPr="007F70EA">
        <w:rPr>
          <w:szCs w:val="22"/>
          <w:lang w:val="fr-FR"/>
        </w:rPr>
        <w:t xml:space="preserve"> L</w:t>
      </w:r>
      <w:r w:rsidR="002160B3" w:rsidRPr="007F70EA">
        <w:rPr>
          <w:szCs w:val="22"/>
          <w:lang w:val="fr-FR"/>
        </w:rPr>
        <w:t>’</w:t>
      </w:r>
      <w:r w:rsidRPr="007F70EA">
        <w:rPr>
          <w:szCs w:val="22"/>
          <w:lang w:val="fr-FR"/>
        </w:rPr>
        <w:t>article 16 de la Convention sur la diversité biologique dispose que</w:t>
      </w:r>
      <w:r w:rsidR="002160B3" w:rsidRPr="007F70EA">
        <w:rPr>
          <w:szCs w:val="22"/>
          <w:lang w:val="fr-FR"/>
        </w:rPr>
        <w:t> :</w:t>
      </w:r>
      <w:r w:rsidRPr="007F70EA">
        <w:rPr>
          <w:szCs w:val="22"/>
          <w:lang w:val="fr-FR"/>
        </w:rPr>
        <w:t xml:space="preserve"> “Chaque Partie contractante, reconnaissant que la technologie inclut la biotechnologie, et que l</w:t>
      </w:r>
      <w:r w:rsidR="002160B3" w:rsidRPr="007F70EA">
        <w:rPr>
          <w:szCs w:val="22"/>
          <w:lang w:val="fr-FR"/>
        </w:rPr>
        <w:t>’</w:t>
      </w:r>
      <w:r w:rsidRPr="007F70EA">
        <w:rPr>
          <w:szCs w:val="22"/>
          <w:lang w:val="fr-FR"/>
        </w:rPr>
        <w:t>accès à la technologie et le transfert de celle</w:t>
      </w:r>
      <w:r w:rsidR="007F70EA">
        <w:rPr>
          <w:szCs w:val="22"/>
          <w:lang w:val="fr-FR"/>
        </w:rPr>
        <w:noBreakHyphen/>
      </w:r>
      <w:r w:rsidRPr="007F70EA">
        <w:rPr>
          <w:szCs w:val="22"/>
          <w:lang w:val="fr-FR"/>
        </w:rPr>
        <w:t>ci entre Parties contractantes sont des éléments essentiels à la réalisation des objectifs de la présente Convention, s</w:t>
      </w:r>
      <w:r w:rsidR="002160B3" w:rsidRPr="007F70EA">
        <w:rPr>
          <w:szCs w:val="22"/>
          <w:lang w:val="fr-FR"/>
        </w:rPr>
        <w:t>’</w:t>
      </w:r>
      <w:r w:rsidRPr="007F70EA">
        <w:rPr>
          <w:szCs w:val="22"/>
          <w:lang w:val="fr-FR"/>
        </w:rPr>
        <w:t>engage, sous réserve des dispositions du présent article, à assurer et/ou à faciliter à d</w:t>
      </w:r>
      <w:r w:rsidR="002160B3" w:rsidRPr="007F70EA">
        <w:rPr>
          <w:szCs w:val="22"/>
          <w:lang w:val="fr-FR"/>
        </w:rPr>
        <w:t>’</w:t>
      </w:r>
      <w:r w:rsidRPr="007F70EA">
        <w:rPr>
          <w:szCs w:val="22"/>
          <w:lang w:val="fr-FR"/>
        </w:rPr>
        <w:t>autres Parties contractantes l</w:t>
      </w:r>
      <w:r w:rsidR="002160B3" w:rsidRPr="007F70EA">
        <w:rPr>
          <w:szCs w:val="22"/>
          <w:lang w:val="fr-FR"/>
        </w:rPr>
        <w:t>’</w:t>
      </w:r>
      <w:r w:rsidRPr="007F70EA">
        <w:rPr>
          <w:szCs w:val="22"/>
          <w:lang w:val="fr-FR"/>
        </w:rPr>
        <w:t>accès aux technologies nécessaires à la conservation et à l</w:t>
      </w:r>
      <w:r w:rsidR="002160B3" w:rsidRPr="007F70EA">
        <w:rPr>
          <w:szCs w:val="22"/>
          <w:lang w:val="fr-FR"/>
        </w:rPr>
        <w:t>’</w:t>
      </w:r>
      <w:r w:rsidRPr="007F70EA">
        <w:rPr>
          <w:szCs w:val="22"/>
          <w:lang w:val="fr-FR"/>
        </w:rPr>
        <w:t>utilisation durable de la diversité biologique, ou utilisant les ressources génétiques sans causer de dommages sensibles à l</w:t>
      </w:r>
      <w:r w:rsidR="002160B3" w:rsidRPr="007F70EA">
        <w:rPr>
          <w:szCs w:val="22"/>
          <w:lang w:val="fr-FR"/>
        </w:rPr>
        <w:t>’</w:t>
      </w:r>
      <w:r w:rsidRPr="007F70EA">
        <w:rPr>
          <w:szCs w:val="22"/>
          <w:lang w:val="fr-FR"/>
        </w:rPr>
        <w:t>environnement, et le transfert desdites technologies.”</w:t>
      </w:r>
    </w:p>
    <w:p w:rsidR="00F31C57" w:rsidRPr="007F70EA" w:rsidRDefault="00F31C57" w:rsidP="00F31C57">
      <w:pPr>
        <w:rPr>
          <w:szCs w:val="22"/>
          <w:lang w:val="fr-FR"/>
        </w:rPr>
      </w:pPr>
    </w:p>
    <w:p w:rsidR="002160B3" w:rsidRPr="007F70EA" w:rsidRDefault="00F31C57" w:rsidP="00F31C57">
      <w:pPr>
        <w:rPr>
          <w:szCs w:val="22"/>
          <w:lang w:val="fr-FR"/>
        </w:rPr>
      </w:pPr>
      <w:r w:rsidRPr="007F70EA">
        <w:rPr>
          <w:szCs w:val="22"/>
          <w:u w:val="single"/>
          <w:lang w:val="fr-FR"/>
        </w:rPr>
        <w:t>Description</w:t>
      </w:r>
      <w:r w:rsidR="002160B3" w:rsidRPr="007F70EA">
        <w:rPr>
          <w:szCs w:val="22"/>
          <w:lang w:val="fr-FR"/>
        </w:rPr>
        <w:t> :</w:t>
      </w:r>
      <w:r w:rsidRPr="007F70EA">
        <w:rPr>
          <w:szCs w:val="22"/>
          <w:lang w:val="fr-FR"/>
        </w:rPr>
        <w:t xml:space="preserve"> “L</w:t>
      </w:r>
      <w:r w:rsidR="002160B3" w:rsidRPr="007F70EA">
        <w:rPr>
          <w:szCs w:val="22"/>
          <w:lang w:val="fr-FR"/>
        </w:rPr>
        <w:t>’</w:t>
      </w:r>
      <w:r w:rsidRPr="007F70EA">
        <w:rPr>
          <w:szCs w:val="22"/>
          <w:lang w:val="fr-FR"/>
        </w:rPr>
        <w:t>initiative Bio</w:t>
      </w:r>
      <w:r w:rsidR="007F70EA">
        <w:rPr>
          <w:szCs w:val="22"/>
          <w:lang w:val="fr-FR"/>
        </w:rPr>
        <w:noBreakHyphen/>
      </w:r>
      <w:r w:rsidRPr="007F70EA">
        <w:rPr>
          <w:szCs w:val="22"/>
          <w:lang w:val="fr-FR"/>
        </w:rPr>
        <w:t>Bridge est un programme global axé sur la manière d</w:t>
      </w:r>
      <w:r w:rsidR="002160B3" w:rsidRPr="007F70EA">
        <w:rPr>
          <w:szCs w:val="22"/>
          <w:lang w:val="fr-FR"/>
        </w:rPr>
        <w:t>’</w:t>
      </w:r>
      <w:r w:rsidRPr="007F70EA">
        <w:rPr>
          <w:szCs w:val="22"/>
          <w:lang w:val="fr-FR"/>
        </w:rPr>
        <w:t>encourager et faciliter la coopération scientifique et technique entre les Parties à la Convention sur la diversité biologique et à ses protocoles sur la sécurité biologique (protocole de Cartagena) et sur l</w:t>
      </w:r>
      <w:r w:rsidR="002160B3" w:rsidRPr="007F70EA">
        <w:rPr>
          <w:szCs w:val="22"/>
          <w:lang w:val="fr-FR"/>
        </w:rPr>
        <w:t>’</w:t>
      </w:r>
      <w:r w:rsidRPr="007F70EA">
        <w:rPr>
          <w:szCs w:val="22"/>
          <w:lang w:val="fr-FR"/>
        </w:rPr>
        <w:t>accès et le partage des avantages (protocole de Nagoya).  L</w:t>
      </w:r>
      <w:r w:rsidR="002160B3" w:rsidRPr="007F70EA">
        <w:rPr>
          <w:szCs w:val="22"/>
          <w:lang w:val="fr-FR"/>
        </w:rPr>
        <w:t>’</w:t>
      </w:r>
      <w:r w:rsidRPr="007F70EA">
        <w:rPr>
          <w:szCs w:val="22"/>
          <w:lang w:val="fr-FR"/>
        </w:rPr>
        <w:t>initiative Bio</w:t>
      </w:r>
      <w:r w:rsidR="007F70EA">
        <w:rPr>
          <w:szCs w:val="22"/>
          <w:lang w:val="fr-FR"/>
        </w:rPr>
        <w:noBreakHyphen/>
      </w:r>
      <w:r w:rsidRPr="007F70EA">
        <w:rPr>
          <w:szCs w:val="22"/>
          <w:lang w:val="fr-FR"/>
        </w:rPr>
        <w:t>Bridge facilite la coopération scientifique et technique entre les Parties en […] créant un espace de partage de connaissances, de bonnes pratiques et d</w:t>
      </w:r>
      <w:r w:rsidR="002160B3" w:rsidRPr="007F70EA">
        <w:rPr>
          <w:szCs w:val="22"/>
          <w:lang w:val="fr-FR"/>
        </w:rPr>
        <w:t>’</w:t>
      </w:r>
      <w:r w:rsidRPr="007F70EA">
        <w:rPr>
          <w:szCs w:val="22"/>
          <w:lang w:val="fr-FR"/>
        </w:rPr>
        <w:t>enseignements tirés entre les pays et les institutions.”</w:t>
      </w:r>
    </w:p>
    <w:p w:rsidR="00F31C57" w:rsidRPr="007F70EA" w:rsidRDefault="00F31C57" w:rsidP="00F31C57">
      <w:pPr>
        <w:rPr>
          <w:szCs w:val="22"/>
          <w:lang w:val="fr-FR"/>
        </w:rPr>
      </w:pPr>
    </w:p>
    <w:p w:rsidR="00F31C57" w:rsidRPr="007F70EA" w:rsidRDefault="00F31C57" w:rsidP="00F31C57">
      <w:pPr>
        <w:rPr>
          <w:szCs w:val="22"/>
          <w:lang w:val="fr-FR"/>
        </w:rPr>
      </w:pPr>
      <w:r w:rsidRPr="007F70EA">
        <w:rPr>
          <w:szCs w:val="22"/>
          <w:u w:val="single"/>
          <w:lang w:val="fr-FR"/>
        </w:rPr>
        <w:t>Taux d</w:t>
      </w:r>
      <w:r w:rsidR="002160B3" w:rsidRPr="007F70EA">
        <w:rPr>
          <w:szCs w:val="22"/>
          <w:u w:val="single"/>
          <w:lang w:val="fr-FR"/>
        </w:rPr>
        <w:t>’</w:t>
      </w:r>
      <w:r w:rsidRPr="007F70EA">
        <w:rPr>
          <w:szCs w:val="22"/>
          <w:u w:val="single"/>
          <w:lang w:val="fr-FR"/>
        </w:rPr>
        <w:t>activité</w:t>
      </w:r>
      <w:r w:rsidR="002160B3" w:rsidRPr="007F70EA">
        <w:rPr>
          <w:szCs w:val="22"/>
          <w:lang w:val="fr-FR"/>
        </w:rPr>
        <w:t> :</w:t>
      </w:r>
      <w:r w:rsidRPr="007F70EA">
        <w:rPr>
          <w:szCs w:val="22"/>
          <w:lang w:val="fr-FR"/>
        </w:rPr>
        <w:t xml:space="preserve"> ponctuel</w:t>
      </w:r>
    </w:p>
    <w:p w:rsidR="00F31C57" w:rsidRPr="007F70EA" w:rsidRDefault="00F31C57" w:rsidP="00F31C57">
      <w:pPr>
        <w:rPr>
          <w:szCs w:val="22"/>
          <w:lang w:val="fr-FR"/>
        </w:rPr>
      </w:pPr>
    </w:p>
    <w:p w:rsidR="00F31C57" w:rsidRPr="007F70EA" w:rsidRDefault="00F31C57" w:rsidP="00F31C57">
      <w:pPr>
        <w:rPr>
          <w:szCs w:val="22"/>
          <w:lang w:val="fr-FR"/>
        </w:rPr>
      </w:pPr>
      <w:r w:rsidRPr="007F70EA">
        <w:rPr>
          <w:szCs w:val="22"/>
          <w:u w:val="single"/>
          <w:lang w:val="fr-FR"/>
        </w:rPr>
        <w:t>Référence</w:t>
      </w:r>
      <w:r w:rsidR="002160B3" w:rsidRPr="007F70EA">
        <w:rPr>
          <w:szCs w:val="22"/>
          <w:lang w:val="fr-FR"/>
        </w:rPr>
        <w:t> :</w:t>
      </w:r>
      <w:r w:rsidRPr="007F70EA">
        <w:rPr>
          <w:szCs w:val="22"/>
          <w:lang w:val="fr-FR"/>
        </w:rPr>
        <w:t xml:space="preserve"> https://www.cbd.int/biobridge/</w:t>
      </w:r>
    </w:p>
    <w:p w:rsidR="00F31C57" w:rsidRPr="007F70EA" w:rsidRDefault="00F31C57" w:rsidP="00F31C57">
      <w:pPr>
        <w:rPr>
          <w:szCs w:val="22"/>
          <w:lang w:val="fr-FR"/>
        </w:rPr>
      </w:pPr>
    </w:p>
    <w:p w:rsidR="00F31C57" w:rsidRPr="007F70EA" w:rsidRDefault="00F31C57" w:rsidP="00F31C57">
      <w:pPr>
        <w:rPr>
          <w:b/>
          <w:szCs w:val="22"/>
          <w:lang w:val="fr-FR"/>
        </w:rPr>
      </w:pPr>
    </w:p>
    <w:p w:rsidR="00FE428A" w:rsidRDefault="00FE428A">
      <w:pPr>
        <w:rPr>
          <w:rStyle w:val="english-link"/>
          <w:b/>
          <w:szCs w:val="22"/>
          <w:lang w:val="fr-FR"/>
        </w:rPr>
      </w:pPr>
      <w:r>
        <w:rPr>
          <w:rStyle w:val="english-link"/>
          <w:b/>
          <w:szCs w:val="22"/>
          <w:lang w:val="fr-FR"/>
        </w:rPr>
        <w:br w:type="page"/>
      </w:r>
    </w:p>
    <w:p w:rsidR="00F31C57" w:rsidRPr="007F70EA" w:rsidRDefault="00F31C57" w:rsidP="00F31C57">
      <w:pPr>
        <w:rPr>
          <w:b/>
          <w:szCs w:val="22"/>
          <w:lang w:val="fr-FR"/>
        </w:rPr>
      </w:pPr>
      <w:r w:rsidRPr="007F70EA">
        <w:rPr>
          <w:rStyle w:val="english-link"/>
          <w:b/>
          <w:szCs w:val="22"/>
          <w:lang w:val="fr-FR"/>
        </w:rPr>
        <w:lastRenderedPageBreak/>
        <w:t>Comité sur les technologies de l</w:t>
      </w:r>
      <w:r w:rsidR="002160B3" w:rsidRPr="007F70EA">
        <w:rPr>
          <w:rStyle w:val="english-link"/>
          <w:b/>
          <w:szCs w:val="22"/>
          <w:lang w:val="fr-FR"/>
        </w:rPr>
        <w:t>’</w:t>
      </w:r>
      <w:r w:rsidRPr="007F70EA">
        <w:rPr>
          <w:rStyle w:val="english-link"/>
          <w:b/>
          <w:szCs w:val="22"/>
          <w:lang w:val="fr-FR"/>
        </w:rPr>
        <w:t>information et de la communication, la science, la technologie et l</w:t>
      </w:r>
      <w:r w:rsidR="002160B3" w:rsidRPr="007F70EA">
        <w:rPr>
          <w:rStyle w:val="english-link"/>
          <w:b/>
          <w:szCs w:val="22"/>
          <w:lang w:val="fr-FR"/>
        </w:rPr>
        <w:t>’</w:t>
      </w:r>
      <w:r w:rsidRPr="007F70EA">
        <w:rPr>
          <w:rStyle w:val="english-link"/>
          <w:b/>
          <w:szCs w:val="22"/>
          <w:lang w:val="fr-FR"/>
        </w:rPr>
        <w:t>innovation de la Commission économique et sociale des Nations</w:t>
      </w:r>
      <w:r w:rsidR="007F70EA">
        <w:rPr>
          <w:rStyle w:val="english-link"/>
          <w:b/>
          <w:szCs w:val="22"/>
          <w:lang w:val="fr-FR"/>
        </w:rPr>
        <w:noBreakHyphen/>
      </w:r>
      <w:r w:rsidRPr="007F70EA">
        <w:rPr>
          <w:rStyle w:val="english-link"/>
          <w:b/>
          <w:szCs w:val="22"/>
          <w:lang w:val="fr-FR"/>
        </w:rPr>
        <w:t>Unies pour l</w:t>
      </w:r>
      <w:r w:rsidR="002160B3" w:rsidRPr="007F70EA">
        <w:rPr>
          <w:rStyle w:val="english-link"/>
          <w:b/>
          <w:szCs w:val="22"/>
          <w:lang w:val="fr-FR"/>
        </w:rPr>
        <w:t>’</w:t>
      </w:r>
      <w:r w:rsidRPr="007F70EA">
        <w:rPr>
          <w:rStyle w:val="english-link"/>
          <w:b/>
          <w:szCs w:val="22"/>
          <w:lang w:val="fr-FR"/>
        </w:rPr>
        <w:t>Asie et le Pacifique</w:t>
      </w:r>
      <w:r w:rsidRPr="007F70EA">
        <w:rPr>
          <w:b/>
          <w:szCs w:val="22"/>
          <w:lang w:val="fr-FR"/>
        </w:rPr>
        <w:t xml:space="preserve"> (CESAP)</w:t>
      </w:r>
      <w:r w:rsidR="002160B3" w:rsidRPr="007F70EA">
        <w:rPr>
          <w:b/>
          <w:szCs w:val="22"/>
          <w:lang w:val="fr-FR"/>
        </w:rPr>
        <w:t> :</w:t>
      </w:r>
    </w:p>
    <w:p w:rsidR="00F31C57" w:rsidRPr="007F70EA" w:rsidRDefault="00F31C57" w:rsidP="00F31C57">
      <w:pPr>
        <w:rPr>
          <w:szCs w:val="22"/>
          <w:lang w:val="fr-FR"/>
        </w:rPr>
      </w:pPr>
    </w:p>
    <w:p w:rsidR="00F31C57" w:rsidRPr="007F70EA" w:rsidRDefault="00F31C57" w:rsidP="00F31C57">
      <w:pPr>
        <w:rPr>
          <w:szCs w:val="22"/>
          <w:lang w:val="fr-FR"/>
        </w:rPr>
      </w:pPr>
      <w:r w:rsidRPr="007F70EA">
        <w:rPr>
          <w:szCs w:val="22"/>
          <w:u w:val="single"/>
          <w:lang w:val="fr-FR"/>
        </w:rPr>
        <w:t>Organisation coordinatrice</w:t>
      </w:r>
      <w:r w:rsidR="002160B3" w:rsidRPr="007F70EA">
        <w:rPr>
          <w:szCs w:val="22"/>
          <w:lang w:val="fr-FR"/>
        </w:rPr>
        <w:t> :</w:t>
      </w:r>
      <w:r w:rsidRPr="007F70EA">
        <w:rPr>
          <w:rStyle w:val="english-link"/>
          <w:b/>
          <w:szCs w:val="22"/>
          <w:lang w:val="fr-FR"/>
        </w:rPr>
        <w:t xml:space="preserve"> </w:t>
      </w:r>
      <w:r w:rsidRPr="007F70EA">
        <w:rPr>
          <w:rStyle w:val="english-link"/>
          <w:szCs w:val="22"/>
          <w:lang w:val="fr-FR"/>
        </w:rPr>
        <w:t>Commission économique et sociale des Nations</w:t>
      </w:r>
      <w:r w:rsidR="007F70EA">
        <w:rPr>
          <w:rStyle w:val="english-link"/>
          <w:szCs w:val="22"/>
          <w:lang w:val="fr-FR"/>
        </w:rPr>
        <w:noBreakHyphen/>
      </w:r>
      <w:r w:rsidRPr="007F70EA">
        <w:rPr>
          <w:rStyle w:val="english-link"/>
          <w:szCs w:val="22"/>
          <w:lang w:val="fr-FR"/>
        </w:rPr>
        <w:t>Unies pour l</w:t>
      </w:r>
      <w:r w:rsidR="002160B3" w:rsidRPr="007F70EA">
        <w:rPr>
          <w:rStyle w:val="english-link"/>
          <w:szCs w:val="22"/>
          <w:lang w:val="fr-FR"/>
        </w:rPr>
        <w:t>’</w:t>
      </w:r>
      <w:r w:rsidRPr="007F70EA">
        <w:rPr>
          <w:rStyle w:val="english-link"/>
          <w:szCs w:val="22"/>
          <w:lang w:val="fr-FR"/>
        </w:rPr>
        <w:t>Asie et le Pacifique</w:t>
      </w:r>
      <w:r w:rsidRPr="007F70EA">
        <w:rPr>
          <w:szCs w:val="22"/>
          <w:lang w:val="fr-FR"/>
        </w:rPr>
        <w:t xml:space="preserve"> (CESAP)</w:t>
      </w:r>
    </w:p>
    <w:p w:rsidR="00F31C57" w:rsidRPr="007F70EA" w:rsidRDefault="00F31C57" w:rsidP="00F31C57">
      <w:pPr>
        <w:rPr>
          <w:szCs w:val="22"/>
          <w:lang w:val="fr-FR"/>
        </w:rPr>
      </w:pPr>
    </w:p>
    <w:p w:rsidR="00F31C57" w:rsidRPr="007F70EA" w:rsidRDefault="00F31C57" w:rsidP="00F31C57">
      <w:pPr>
        <w:rPr>
          <w:szCs w:val="22"/>
          <w:lang w:val="fr-FR"/>
        </w:rPr>
      </w:pPr>
      <w:r w:rsidRPr="007F70EA">
        <w:rPr>
          <w:szCs w:val="22"/>
          <w:u w:val="single"/>
          <w:lang w:val="fr-FR"/>
        </w:rPr>
        <w:t>Thème</w:t>
      </w:r>
      <w:r w:rsidR="002160B3" w:rsidRPr="007F70EA">
        <w:rPr>
          <w:szCs w:val="22"/>
          <w:lang w:val="fr-FR"/>
        </w:rPr>
        <w:t> :</w:t>
      </w:r>
      <w:r w:rsidRPr="007F70EA">
        <w:rPr>
          <w:szCs w:val="22"/>
          <w:lang w:val="fr-FR"/>
        </w:rPr>
        <w:t xml:space="preserve"> technologies de l</w:t>
      </w:r>
      <w:r w:rsidR="002160B3" w:rsidRPr="007F70EA">
        <w:rPr>
          <w:szCs w:val="22"/>
          <w:lang w:val="fr-FR"/>
        </w:rPr>
        <w:t>’</w:t>
      </w:r>
      <w:r w:rsidRPr="007F70EA">
        <w:rPr>
          <w:szCs w:val="22"/>
          <w:lang w:val="fr-FR"/>
        </w:rPr>
        <w:t>information et de la communication</w:t>
      </w:r>
    </w:p>
    <w:p w:rsidR="00F31C57" w:rsidRPr="007F70EA" w:rsidRDefault="00F31C57" w:rsidP="00F31C57">
      <w:pPr>
        <w:rPr>
          <w:szCs w:val="22"/>
          <w:lang w:val="fr-FR"/>
        </w:rPr>
      </w:pPr>
    </w:p>
    <w:p w:rsidR="002160B3" w:rsidRPr="007F70EA" w:rsidRDefault="00F31C57" w:rsidP="00F31C57">
      <w:pPr>
        <w:rPr>
          <w:szCs w:val="22"/>
          <w:lang w:val="fr-FR"/>
        </w:rPr>
      </w:pPr>
      <w:r w:rsidRPr="007F70EA">
        <w:rPr>
          <w:szCs w:val="22"/>
          <w:u w:val="single"/>
          <w:lang w:val="fr-FR"/>
        </w:rPr>
        <w:t>Participants</w:t>
      </w:r>
      <w:r w:rsidR="002160B3" w:rsidRPr="007F70EA">
        <w:rPr>
          <w:szCs w:val="22"/>
          <w:lang w:val="fr-FR"/>
        </w:rPr>
        <w:t> :</w:t>
      </w:r>
      <w:r w:rsidRPr="007F70EA">
        <w:rPr>
          <w:szCs w:val="22"/>
          <w:lang w:val="fr-FR"/>
        </w:rPr>
        <w:t xml:space="preserve"> États, organisations intergouvernementales et organisations non gouvernementales</w:t>
      </w:r>
    </w:p>
    <w:p w:rsidR="00F31C57" w:rsidRPr="007F70EA" w:rsidRDefault="00F31C57" w:rsidP="00F31C57">
      <w:pPr>
        <w:rPr>
          <w:szCs w:val="22"/>
          <w:lang w:val="fr-FR"/>
        </w:rPr>
      </w:pPr>
    </w:p>
    <w:p w:rsidR="00F31C57" w:rsidRPr="007F70EA" w:rsidRDefault="00F31C57" w:rsidP="00F31C57">
      <w:pPr>
        <w:rPr>
          <w:szCs w:val="22"/>
          <w:lang w:val="fr-FR"/>
        </w:rPr>
      </w:pPr>
      <w:r w:rsidRPr="007F70EA">
        <w:rPr>
          <w:szCs w:val="22"/>
          <w:u w:val="single"/>
          <w:lang w:val="fr-FR"/>
        </w:rPr>
        <w:t>Lien avec le transfert de technologie</w:t>
      </w:r>
      <w:r w:rsidR="002160B3" w:rsidRPr="007F70EA">
        <w:rPr>
          <w:szCs w:val="22"/>
          <w:lang w:val="fr-FR"/>
        </w:rPr>
        <w:t> :</w:t>
      </w:r>
      <w:r w:rsidRPr="007F70EA">
        <w:rPr>
          <w:szCs w:val="22"/>
          <w:lang w:val="fr-FR"/>
        </w:rPr>
        <w:t xml:space="preserve"> “Le </w:t>
      </w:r>
      <w:r w:rsidRPr="007F70EA">
        <w:rPr>
          <w:rStyle w:val="english-link"/>
          <w:szCs w:val="22"/>
          <w:lang w:val="fr-FR"/>
        </w:rPr>
        <w:t>Comité sur les technologies de l</w:t>
      </w:r>
      <w:r w:rsidR="002160B3" w:rsidRPr="007F70EA">
        <w:rPr>
          <w:rStyle w:val="english-link"/>
          <w:szCs w:val="22"/>
          <w:lang w:val="fr-FR"/>
        </w:rPr>
        <w:t>’</w:t>
      </w:r>
      <w:r w:rsidRPr="007F70EA">
        <w:rPr>
          <w:rStyle w:val="english-link"/>
          <w:szCs w:val="22"/>
          <w:lang w:val="fr-FR"/>
        </w:rPr>
        <w:t>information et de la communication, la science, la technologie et l</w:t>
      </w:r>
      <w:r w:rsidR="002160B3" w:rsidRPr="007F70EA">
        <w:rPr>
          <w:rStyle w:val="english-link"/>
          <w:szCs w:val="22"/>
          <w:lang w:val="fr-FR"/>
        </w:rPr>
        <w:t>’</w:t>
      </w:r>
      <w:r w:rsidRPr="007F70EA">
        <w:rPr>
          <w:rStyle w:val="english-link"/>
          <w:szCs w:val="22"/>
          <w:lang w:val="fr-FR"/>
        </w:rPr>
        <w:t>innovation traite les questions suivantes</w:t>
      </w:r>
      <w:r w:rsidR="002160B3" w:rsidRPr="007F70EA">
        <w:rPr>
          <w:rStyle w:val="english-link"/>
          <w:szCs w:val="22"/>
          <w:lang w:val="fr-FR"/>
        </w:rPr>
        <w:t> :</w:t>
      </w:r>
      <w:r w:rsidRPr="007F70EA">
        <w:rPr>
          <w:rStyle w:val="english-link"/>
          <w:szCs w:val="22"/>
          <w:lang w:val="fr-FR"/>
        </w:rPr>
        <w:t xml:space="preserve"> […] le transfert et l</w:t>
      </w:r>
      <w:r w:rsidR="002160B3" w:rsidRPr="007F70EA">
        <w:rPr>
          <w:rStyle w:val="english-link"/>
          <w:szCs w:val="22"/>
          <w:lang w:val="fr-FR"/>
        </w:rPr>
        <w:t>’</w:t>
      </w:r>
      <w:r w:rsidRPr="007F70EA">
        <w:rPr>
          <w:rStyle w:val="english-link"/>
          <w:szCs w:val="22"/>
          <w:lang w:val="fr-FR"/>
        </w:rPr>
        <w:t>application des technologies de l</w:t>
      </w:r>
      <w:r w:rsidR="002160B3" w:rsidRPr="007F70EA">
        <w:rPr>
          <w:rStyle w:val="english-link"/>
          <w:szCs w:val="22"/>
          <w:lang w:val="fr-FR"/>
        </w:rPr>
        <w:t>’</w:t>
      </w:r>
      <w:r w:rsidRPr="007F70EA">
        <w:rPr>
          <w:rStyle w:val="english-link"/>
          <w:szCs w:val="22"/>
          <w:lang w:val="fr-FR"/>
        </w:rPr>
        <w:t>information et de la communication aux niveaux régional et sous</w:t>
      </w:r>
      <w:r w:rsidR="007F70EA">
        <w:rPr>
          <w:rStyle w:val="english-link"/>
          <w:szCs w:val="22"/>
          <w:lang w:val="fr-FR"/>
        </w:rPr>
        <w:noBreakHyphen/>
      </w:r>
      <w:r w:rsidRPr="007F70EA">
        <w:rPr>
          <w:rStyle w:val="english-link"/>
          <w:szCs w:val="22"/>
          <w:lang w:val="fr-FR"/>
        </w:rPr>
        <w:t xml:space="preserve">régional […], les options et stratégies politiques pour </w:t>
      </w:r>
      <w:r w:rsidRPr="007F70EA">
        <w:rPr>
          <w:szCs w:val="22"/>
          <w:lang w:val="fr-FR"/>
        </w:rPr>
        <w:t>renforcer la coopération en matière de production scientifique et technologique et d</w:t>
      </w:r>
      <w:r w:rsidR="002160B3" w:rsidRPr="007F70EA">
        <w:rPr>
          <w:szCs w:val="22"/>
          <w:lang w:val="fr-FR"/>
        </w:rPr>
        <w:t>’</w:t>
      </w:r>
      <w:r w:rsidRPr="007F70EA">
        <w:rPr>
          <w:szCs w:val="22"/>
          <w:lang w:val="fr-FR"/>
        </w:rPr>
        <w:t>innovation et d</w:t>
      </w:r>
      <w:r w:rsidR="002160B3" w:rsidRPr="007F70EA">
        <w:rPr>
          <w:szCs w:val="22"/>
          <w:lang w:val="fr-FR"/>
        </w:rPr>
        <w:t>’</w:t>
      </w:r>
      <w:r w:rsidRPr="007F70EA">
        <w:rPr>
          <w:szCs w:val="22"/>
          <w:lang w:val="fr-FR"/>
        </w:rPr>
        <w:t>accès à ces produits</w:t>
      </w:r>
      <w:r w:rsidRPr="007F70EA">
        <w:rPr>
          <w:szCs w:val="22"/>
          <w:shd w:val="clear" w:color="auto" w:fill="FFFF00"/>
          <w:lang w:val="fr-FR"/>
        </w:rPr>
        <w:t xml:space="preserve"> </w:t>
      </w:r>
      <w:r w:rsidRPr="007F70EA">
        <w:rPr>
          <w:szCs w:val="22"/>
          <w:lang w:val="fr-FR"/>
        </w:rPr>
        <w:t>aux fins du développement durable</w:t>
      </w:r>
      <w:r w:rsidRPr="007F70EA">
        <w:rPr>
          <w:rStyle w:val="english-link"/>
          <w:szCs w:val="22"/>
          <w:lang w:val="fr-FR"/>
        </w:rPr>
        <w:t>, notamment les mécanismes régionaux pour le transfert de technologie”.</w:t>
      </w:r>
    </w:p>
    <w:p w:rsidR="00F31C57" w:rsidRPr="007F70EA" w:rsidRDefault="00F31C57" w:rsidP="00F31C57">
      <w:pPr>
        <w:rPr>
          <w:szCs w:val="22"/>
          <w:lang w:val="fr-FR"/>
        </w:rPr>
      </w:pPr>
    </w:p>
    <w:p w:rsidR="002160B3" w:rsidRPr="007F70EA" w:rsidRDefault="00F31C57" w:rsidP="00F31C57">
      <w:pPr>
        <w:rPr>
          <w:rStyle w:val="english-link"/>
          <w:szCs w:val="22"/>
          <w:lang w:val="fr-FR"/>
        </w:rPr>
      </w:pPr>
      <w:r w:rsidRPr="007F70EA">
        <w:rPr>
          <w:szCs w:val="22"/>
          <w:lang w:val="fr-FR"/>
        </w:rPr>
        <w:t>Description</w:t>
      </w:r>
      <w:r w:rsidR="002160B3" w:rsidRPr="007F70EA">
        <w:rPr>
          <w:szCs w:val="22"/>
          <w:lang w:val="fr-FR"/>
        </w:rPr>
        <w:t> :</w:t>
      </w:r>
      <w:r w:rsidRPr="007F70EA">
        <w:rPr>
          <w:szCs w:val="22"/>
          <w:lang w:val="fr-FR"/>
        </w:rPr>
        <w:t xml:space="preserve"> “Le </w:t>
      </w:r>
      <w:r w:rsidRPr="007F70EA">
        <w:rPr>
          <w:rStyle w:val="english-link"/>
          <w:szCs w:val="22"/>
          <w:lang w:val="fr-FR"/>
        </w:rPr>
        <w:t>Comité sur les technologies de l</w:t>
      </w:r>
      <w:r w:rsidR="002160B3" w:rsidRPr="007F70EA">
        <w:rPr>
          <w:rStyle w:val="english-link"/>
          <w:szCs w:val="22"/>
          <w:lang w:val="fr-FR"/>
        </w:rPr>
        <w:t>’</w:t>
      </w:r>
      <w:r w:rsidRPr="007F70EA">
        <w:rPr>
          <w:rStyle w:val="english-link"/>
          <w:szCs w:val="22"/>
          <w:lang w:val="fr-FR"/>
        </w:rPr>
        <w:t>information et de la communication, la science, la technologie et l</w:t>
      </w:r>
      <w:r w:rsidR="002160B3" w:rsidRPr="007F70EA">
        <w:rPr>
          <w:rStyle w:val="english-link"/>
          <w:szCs w:val="22"/>
          <w:lang w:val="fr-FR"/>
        </w:rPr>
        <w:t>’</w:t>
      </w:r>
      <w:r w:rsidRPr="007F70EA">
        <w:rPr>
          <w:rStyle w:val="english-link"/>
          <w:szCs w:val="22"/>
          <w:lang w:val="fr-FR"/>
        </w:rPr>
        <w:t>innovation traite les questions suivantes</w:t>
      </w:r>
      <w:r w:rsidR="002160B3" w:rsidRPr="007F70EA">
        <w:rPr>
          <w:rStyle w:val="english-link"/>
          <w:szCs w:val="22"/>
          <w:lang w:val="fr-FR"/>
        </w:rPr>
        <w:t> :</w:t>
      </w:r>
      <w:r w:rsidRPr="007F70EA">
        <w:rPr>
          <w:rStyle w:val="english-link"/>
          <w:szCs w:val="22"/>
          <w:lang w:val="fr-FR"/>
        </w:rPr>
        <w:t xml:space="preserve"> i)</w:t>
      </w:r>
      <w:r w:rsidR="00CC68C1" w:rsidRPr="007F70EA">
        <w:rPr>
          <w:rStyle w:val="english-link"/>
          <w:szCs w:val="22"/>
          <w:lang w:val="fr-FR"/>
        </w:rPr>
        <w:t> </w:t>
      </w:r>
      <w:r w:rsidRPr="007F70EA">
        <w:rPr>
          <w:rStyle w:val="english-link"/>
          <w:szCs w:val="22"/>
          <w:lang w:val="fr-FR"/>
        </w:rPr>
        <w:t>l</w:t>
      </w:r>
      <w:r w:rsidR="002160B3" w:rsidRPr="007F70EA">
        <w:rPr>
          <w:rStyle w:val="english-link"/>
          <w:szCs w:val="22"/>
          <w:lang w:val="fr-FR"/>
        </w:rPr>
        <w:t>’</w:t>
      </w:r>
      <w:r w:rsidRPr="007F70EA">
        <w:rPr>
          <w:rStyle w:val="english-link"/>
          <w:szCs w:val="22"/>
          <w:lang w:val="fr-FR"/>
        </w:rPr>
        <w:t>intégration des questions relatives aux technologies de l</w:t>
      </w:r>
      <w:r w:rsidR="002160B3" w:rsidRPr="007F70EA">
        <w:rPr>
          <w:rStyle w:val="english-link"/>
          <w:szCs w:val="22"/>
          <w:lang w:val="fr-FR"/>
        </w:rPr>
        <w:t>’</w:t>
      </w:r>
      <w:r w:rsidRPr="007F70EA">
        <w:rPr>
          <w:rStyle w:val="english-link"/>
          <w:szCs w:val="22"/>
          <w:lang w:val="fr-FR"/>
        </w:rPr>
        <w:t>information et de la communication aux politiques, plans et programmes de développement;  ii)</w:t>
      </w:r>
      <w:r w:rsidR="00CC68C1" w:rsidRPr="007F70EA">
        <w:rPr>
          <w:rStyle w:val="english-link"/>
          <w:szCs w:val="22"/>
          <w:lang w:val="fr-FR"/>
        </w:rPr>
        <w:t> </w:t>
      </w:r>
      <w:r w:rsidRPr="007F70EA">
        <w:rPr>
          <w:rStyle w:val="english-link"/>
          <w:szCs w:val="22"/>
          <w:lang w:val="fr-FR"/>
        </w:rPr>
        <w:t>le transfert et l</w:t>
      </w:r>
      <w:r w:rsidR="002160B3" w:rsidRPr="007F70EA">
        <w:rPr>
          <w:rStyle w:val="english-link"/>
          <w:szCs w:val="22"/>
          <w:lang w:val="fr-FR"/>
        </w:rPr>
        <w:t>’</w:t>
      </w:r>
      <w:r w:rsidRPr="007F70EA">
        <w:rPr>
          <w:rStyle w:val="english-link"/>
          <w:szCs w:val="22"/>
          <w:lang w:val="fr-FR"/>
        </w:rPr>
        <w:t>application des technologies de l</w:t>
      </w:r>
      <w:r w:rsidR="002160B3" w:rsidRPr="007F70EA">
        <w:rPr>
          <w:rStyle w:val="english-link"/>
          <w:szCs w:val="22"/>
          <w:lang w:val="fr-FR"/>
        </w:rPr>
        <w:t>’</w:t>
      </w:r>
      <w:r w:rsidRPr="007F70EA">
        <w:rPr>
          <w:rStyle w:val="english-link"/>
          <w:szCs w:val="22"/>
          <w:lang w:val="fr-FR"/>
        </w:rPr>
        <w:t>information et de la communication aux niveaux régional et sous</w:t>
      </w:r>
      <w:r w:rsidR="007F70EA">
        <w:rPr>
          <w:rStyle w:val="english-link"/>
          <w:szCs w:val="22"/>
          <w:lang w:val="fr-FR"/>
        </w:rPr>
        <w:noBreakHyphen/>
      </w:r>
      <w:r w:rsidRPr="007F70EA">
        <w:rPr>
          <w:rStyle w:val="english-link"/>
          <w:szCs w:val="22"/>
          <w:lang w:val="fr-FR"/>
        </w:rPr>
        <w:t>régional;  iii)</w:t>
      </w:r>
      <w:r w:rsidR="00CC68C1" w:rsidRPr="007F70EA">
        <w:rPr>
          <w:rStyle w:val="english-link"/>
          <w:szCs w:val="22"/>
          <w:lang w:val="fr-FR"/>
        </w:rPr>
        <w:t> </w:t>
      </w:r>
      <w:r w:rsidRPr="007F70EA">
        <w:rPr>
          <w:rStyle w:val="english-link"/>
          <w:szCs w:val="22"/>
          <w:lang w:val="fr-FR"/>
        </w:rPr>
        <w:t>les technologies de l</w:t>
      </w:r>
      <w:r w:rsidR="002160B3" w:rsidRPr="007F70EA">
        <w:rPr>
          <w:rStyle w:val="english-link"/>
          <w:szCs w:val="22"/>
          <w:lang w:val="fr-FR"/>
        </w:rPr>
        <w:t>’</w:t>
      </w:r>
      <w:r w:rsidRPr="007F70EA">
        <w:rPr>
          <w:rStyle w:val="english-link"/>
          <w:szCs w:val="22"/>
          <w:lang w:val="fr-FR"/>
        </w:rPr>
        <w:t>information et de la communication, notamment leurs applications spatiales, pour la réduction des risques de catastrophe;  iv)</w:t>
      </w:r>
      <w:r w:rsidR="00CC68C1" w:rsidRPr="007F70EA">
        <w:rPr>
          <w:rStyle w:val="english-link"/>
          <w:szCs w:val="22"/>
          <w:lang w:val="fr-FR"/>
        </w:rPr>
        <w:t> </w:t>
      </w:r>
      <w:r w:rsidRPr="007F70EA">
        <w:rPr>
          <w:rStyle w:val="english-link"/>
          <w:szCs w:val="22"/>
          <w:lang w:val="fr-FR"/>
        </w:rPr>
        <w:t>le développement des capacités humaines et institutionnelles à utiliser les technologies de l</w:t>
      </w:r>
      <w:r w:rsidR="002160B3" w:rsidRPr="007F70EA">
        <w:rPr>
          <w:rStyle w:val="english-link"/>
          <w:szCs w:val="22"/>
          <w:lang w:val="fr-FR"/>
        </w:rPr>
        <w:t>’</w:t>
      </w:r>
      <w:r w:rsidRPr="007F70EA">
        <w:rPr>
          <w:rStyle w:val="english-link"/>
          <w:szCs w:val="22"/>
          <w:lang w:val="fr-FR"/>
        </w:rPr>
        <w:t>information et de la communication, la science et la technologie pour innover;  v)</w:t>
      </w:r>
      <w:r w:rsidR="00CC68C1" w:rsidRPr="007F70EA">
        <w:rPr>
          <w:rStyle w:val="english-link"/>
          <w:szCs w:val="22"/>
          <w:lang w:val="fr-FR"/>
        </w:rPr>
        <w:t> </w:t>
      </w:r>
      <w:r w:rsidRPr="007F70EA">
        <w:rPr>
          <w:rStyle w:val="english-link"/>
          <w:szCs w:val="22"/>
          <w:lang w:val="fr-FR"/>
        </w:rPr>
        <w:t xml:space="preserve">les options et stratégies politiques pour </w:t>
      </w:r>
      <w:r w:rsidRPr="007F70EA">
        <w:rPr>
          <w:szCs w:val="22"/>
          <w:lang w:val="fr-FR"/>
        </w:rPr>
        <w:t>renforcer la coopération en matière de production scientifique et technologique et d</w:t>
      </w:r>
      <w:r w:rsidR="002160B3" w:rsidRPr="007F70EA">
        <w:rPr>
          <w:szCs w:val="22"/>
          <w:lang w:val="fr-FR"/>
        </w:rPr>
        <w:t>’</w:t>
      </w:r>
      <w:r w:rsidRPr="007F70EA">
        <w:rPr>
          <w:szCs w:val="22"/>
          <w:lang w:val="fr-FR"/>
        </w:rPr>
        <w:t>innovation et d</w:t>
      </w:r>
      <w:r w:rsidR="002160B3" w:rsidRPr="007F70EA">
        <w:rPr>
          <w:szCs w:val="22"/>
          <w:lang w:val="fr-FR"/>
        </w:rPr>
        <w:t>’</w:t>
      </w:r>
      <w:r w:rsidRPr="007F70EA">
        <w:rPr>
          <w:szCs w:val="22"/>
          <w:lang w:val="fr-FR"/>
        </w:rPr>
        <w:t>accès à ces produits aux fins du développement durable</w:t>
      </w:r>
      <w:r w:rsidRPr="007F70EA">
        <w:rPr>
          <w:rStyle w:val="english-link"/>
          <w:szCs w:val="22"/>
          <w:lang w:val="fr-FR"/>
        </w:rPr>
        <w:t>, notamment des mécanismes régionaux pour le transfert de technologie;  vi)</w:t>
      </w:r>
      <w:r w:rsidR="00CC68C1" w:rsidRPr="007F70EA">
        <w:rPr>
          <w:rStyle w:val="english-link"/>
          <w:szCs w:val="22"/>
          <w:lang w:val="fr-FR"/>
        </w:rPr>
        <w:t> </w:t>
      </w:r>
      <w:r w:rsidRPr="007F70EA">
        <w:rPr>
          <w:rStyle w:val="english-link"/>
          <w:szCs w:val="22"/>
          <w:lang w:val="fr-FR"/>
        </w:rPr>
        <w:t>l</w:t>
      </w:r>
      <w:r w:rsidR="002160B3" w:rsidRPr="007F70EA">
        <w:rPr>
          <w:rStyle w:val="english-link"/>
          <w:szCs w:val="22"/>
          <w:lang w:val="fr-FR"/>
        </w:rPr>
        <w:t>’</w:t>
      </w:r>
      <w:r w:rsidRPr="007F70EA">
        <w:rPr>
          <w:rStyle w:val="english-link"/>
          <w:szCs w:val="22"/>
          <w:lang w:val="fr-FR"/>
        </w:rPr>
        <w:t>intégration les questions en matière de science, de technologie et d</w:t>
      </w:r>
      <w:r w:rsidR="002160B3" w:rsidRPr="007F70EA">
        <w:rPr>
          <w:rStyle w:val="english-link"/>
          <w:szCs w:val="22"/>
          <w:lang w:val="fr-FR"/>
        </w:rPr>
        <w:t>’</w:t>
      </w:r>
      <w:r w:rsidRPr="007F70EA">
        <w:rPr>
          <w:rStyle w:val="english-link"/>
          <w:szCs w:val="22"/>
          <w:lang w:val="fr-FR"/>
        </w:rPr>
        <w:t>innovation aux politiques, plans et programmes de développement.”</w:t>
      </w:r>
    </w:p>
    <w:p w:rsidR="00F31C57" w:rsidRPr="007F70EA" w:rsidRDefault="00F31C57" w:rsidP="00F31C57">
      <w:pPr>
        <w:rPr>
          <w:szCs w:val="22"/>
          <w:lang w:val="fr-FR"/>
        </w:rPr>
      </w:pPr>
    </w:p>
    <w:p w:rsidR="00F31C57" w:rsidRPr="007F70EA" w:rsidRDefault="00F31C57" w:rsidP="00F31C57">
      <w:pPr>
        <w:rPr>
          <w:szCs w:val="22"/>
          <w:lang w:val="fr-FR"/>
        </w:rPr>
      </w:pPr>
      <w:r w:rsidRPr="007F70EA">
        <w:rPr>
          <w:szCs w:val="22"/>
          <w:u w:val="single"/>
          <w:lang w:val="fr-FR"/>
        </w:rPr>
        <w:t>Taux d</w:t>
      </w:r>
      <w:r w:rsidR="002160B3" w:rsidRPr="007F70EA">
        <w:rPr>
          <w:szCs w:val="22"/>
          <w:u w:val="single"/>
          <w:lang w:val="fr-FR"/>
        </w:rPr>
        <w:t>’</w:t>
      </w:r>
      <w:r w:rsidRPr="007F70EA">
        <w:rPr>
          <w:szCs w:val="22"/>
          <w:u w:val="single"/>
          <w:lang w:val="fr-FR"/>
        </w:rPr>
        <w:t>activité</w:t>
      </w:r>
      <w:r w:rsidR="002160B3" w:rsidRPr="007F70EA">
        <w:rPr>
          <w:szCs w:val="22"/>
          <w:lang w:val="fr-FR"/>
        </w:rPr>
        <w:t> :</w:t>
      </w:r>
      <w:r w:rsidRPr="007F70EA">
        <w:rPr>
          <w:szCs w:val="22"/>
          <w:lang w:val="fr-FR"/>
        </w:rPr>
        <w:t xml:space="preserve"> biennal</w:t>
      </w:r>
    </w:p>
    <w:p w:rsidR="00F31C57" w:rsidRPr="007F70EA" w:rsidRDefault="00F31C57" w:rsidP="00F31C57">
      <w:pPr>
        <w:rPr>
          <w:szCs w:val="22"/>
          <w:lang w:val="fr-FR"/>
        </w:rPr>
      </w:pPr>
    </w:p>
    <w:p w:rsidR="002160B3" w:rsidRPr="007F70EA" w:rsidRDefault="00F31C57" w:rsidP="00F31C57">
      <w:pPr>
        <w:rPr>
          <w:szCs w:val="22"/>
          <w:lang w:val="fr-FR"/>
        </w:rPr>
      </w:pPr>
      <w:r w:rsidRPr="007F70EA">
        <w:rPr>
          <w:szCs w:val="22"/>
          <w:u w:val="single"/>
          <w:lang w:val="fr-FR"/>
        </w:rPr>
        <w:t>Référence</w:t>
      </w:r>
      <w:r w:rsidR="002160B3" w:rsidRPr="007F70EA">
        <w:rPr>
          <w:szCs w:val="22"/>
          <w:lang w:val="fr-FR"/>
        </w:rPr>
        <w:t> :</w:t>
      </w:r>
      <w:r w:rsidRPr="007F70EA">
        <w:rPr>
          <w:szCs w:val="22"/>
          <w:lang w:val="fr-FR"/>
        </w:rPr>
        <w:t xml:space="preserve"> http://www.unescap.org/committee/committee</w:t>
      </w:r>
      <w:r w:rsidR="007F70EA">
        <w:rPr>
          <w:szCs w:val="22"/>
          <w:lang w:val="fr-FR"/>
        </w:rPr>
        <w:noBreakHyphen/>
      </w:r>
      <w:r w:rsidRPr="007F70EA">
        <w:rPr>
          <w:szCs w:val="22"/>
          <w:lang w:val="fr-FR"/>
        </w:rPr>
        <w:t>information</w:t>
      </w:r>
      <w:r w:rsidR="007F70EA">
        <w:rPr>
          <w:szCs w:val="22"/>
          <w:lang w:val="fr-FR"/>
        </w:rPr>
        <w:noBreakHyphen/>
      </w:r>
      <w:r w:rsidRPr="007F70EA">
        <w:rPr>
          <w:szCs w:val="22"/>
          <w:lang w:val="fr-FR"/>
        </w:rPr>
        <w:t>and</w:t>
      </w:r>
      <w:r w:rsidR="007F70EA">
        <w:rPr>
          <w:szCs w:val="22"/>
          <w:lang w:val="fr-FR"/>
        </w:rPr>
        <w:noBreakHyphen/>
      </w:r>
      <w:r w:rsidRPr="007F70EA">
        <w:rPr>
          <w:szCs w:val="22"/>
          <w:lang w:val="fr-FR"/>
        </w:rPr>
        <w:t>communications</w:t>
      </w:r>
      <w:r w:rsidR="007F70EA">
        <w:rPr>
          <w:szCs w:val="22"/>
          <w:lang w:val="fr-FR"/>
        </w:rPr>
        <w:noBreakHyphen/>
      </w:r>
      <w:r w:rsidRPr="007F70EA">
        <w:rPr>
          <w:szCs w:val="22"/>
          <w:lang w:val="fr-FR"/>
        </w:rPr>
        <w:t>technology</w:t>
      </w:r>
      <w:r w:rsidR="007F70EA">
        <w:rPr>
          <w:szCs w:val="22"/>
          <w:lang w:val="fr-FR"/>
        </w:rPr>
        <w:noBreakHyphen/>
      </w:r>
      <w:r w:rsidRPr="007F70EA">
        <w:rPr>
          <w:szCs w:val="22"/>
          <w:lang w:val="fr-FR"/>
        </w:rPr>
        <w:t>science</w:t>
      </w:r>
      <w:r w:rsidR="007F70EA">
        <w:rPr>
          <w:szCs w:val="22"/>
          <w:lang w:val="fr-FR"/>
        </w:rPr>
        <w:noBreakHyphen/>
      </w:r>
      <w:r w:rsidRPr="007F70EA">
        <w:rPr>
          <w:szCs w:val="22"/>
          <w:lang w:val="fr-FR"/>
        </w:rPr>
        <w:t>technology</w:t>
      </w:r>
      <w:r w:rsidR="007F70EA">
        <w:rPr>
          <w:szCs w:val="22"/>
          <w:lang w:val="fr-FR"/>
        </w:rPr>
        <w:noBreakHyphen/>
      </w:r>
      <w:r w:rsidRPr="007F70EA">
        <w:rPr>
          <w:szCs w:val="22"/>
          <w:lang w:val="fr-FR"/>
        </w:rPr>
        <w:t>and</w:t>
      </w:r>
      <w:r w:rsidR="007F70EA">
        <w:rPr>
          <w:szCs w:val="22"/>
          <w:lang w:val="fr-FR"/>
        </w:rPr>
        <w:noBreakHyphen/>
      </w:r>
      <w:r w:rsidRPr="007F70EA">
        <w:rPr>
          <w:szCs w:val="22"/>
          <w:lang w:val="fr-FR"/>
        </w:rPr>
        <w:t>innovation</w:t>
      </w:r>
    </w:p>
    <w:p w:rsidR="00F31C57" w:rsidRPr="007F70EA" w:rsidRDefault="00F31C57" w:rsidP="00F31C57">
      <w:pPr>
        <w:rPr>
          <w:szCs w:val="22"/>
          <w:lang w:val="fr-FR"/>
        </w:rPr>
      </w:pPr>
    </w:p>
    <w:p w:rsidR="00F31C57" w:rsidRPr="007F70EA" w:rsidRDefault="00F31C57" w:rsidP="00F31C57">
      <w:pPr>
        <w:rPr>
          <w:szCs w:val="22"/>
          <w:lang w:val="fr-FR"/>
        </w:rPr>
      </w:pPr>
    </w:p>
    <w:p w:rsidR="00F31C57" w:rsidRPr="007F70EA" w:rsidRDefault="00F31C57" w:rsidP="00F31C57">
      <w:pPr>
        <w:rPr>
          <w:b/>
          <w:szCs w:val="22"/>
          <w:lang w:val="fr-FR"/>
        </w:rPr>
      </w:pPr>
      <w:r w:rsidRPr="007F70EA">
        <w:rPr>
          <w:b/>
          <w:szCs w:val="22"/>
          <w:lang w:val="fr-FR"/>
        </w:rPr>
        <w:t xml:space="preserve">Comité de la technologie au service du développement de la Commission économique et sociale des </w:t>
      </w:r>
      <w:r w:rsidR="002160B3" w:rsidRPr="007F70EA">
        <w:rPr>
          <w:b/>
          <w:szCs w:val="22"/>
          <w:lang w:val="fr-FR"/>
        </w:rPr>
        <w:t>Nations Unies</w:t>
      </w:r>
      <w:r w:rsidRPr="007F70EA">
        <w:rPr>
          <w:b/>
          <w:szCs w:val="22"/>
          <w:lang w:val="fr-FR"/>
        </w:rPr>
        <w:t xml:space="preserve"> pour l</w:t>
      </w:r>
      <w:r w:rsidR="002160B3" w:rsidRPr="007F70EA">
        <w:rPr>
          <w:b/>
          <w:szCs w:val="22"/>
          <w:lang w:val="fr-FR"/>
        </w:rPr>
        <w:t>’</w:t>
      </w:r>
      <w:r w:rsidRPr="007F70EA">
        <w:rPr>
          <w:b/>
          <w:szCs w:val="22"/>
          <w:lang w:val="fr-FR"/>
        </w:rPr>
        <w:t>Asie occidentale (CESAO)</w:t>
      </w:r>
    </w:p>
    <w:p w:rsidR="00F31C57" w:rsidRPr="007F70EA" w:rsidRDefault="00F31C57" w:rsidP="00F31C57">
      <w:pPr>
        <w:rPr>
          <w:szCs w:val="22"/>
          <w:lang w:val="fr-FR"/>
        </w:rPr>
      </w:pPr>
    </w:p>
    <w:p w:rsidR="00F31C57" w:rsidRPr="007F70EA" w:rsidRDefault="00F31C57" w:rsidP="00F31C57">
      <w:pPr>
        <w:rPr>
          <w:szCs w:val="22"/>
          <w:lang w:val="fr-FR"/>
        </w:rPr>
      </w:pPr>
      <w:r w:rsidRPr="007F70EA">
        <w:rPr>
          <w:szCs w:val="22"/>
          <w:u w:val="single"/>
          <w:lang w:val="fr-FR"/>
        </w:rPr>
        <w:t>Organisation coordinatrice</w:t>
      </w:r>
      <w:r w:rsidR="002160B3" w:rsidRPr="007F70EA">
        <w:rPr>
          <w:szCs w:val="22"/>
          <w:lang w:val="fr-FR"/>
        </w:rPr>
        <w:t> :</w:t>
      </w:r>
      <w:r w:rsidRPr="007F70EA">
        <w:rPr>
          <w:szCs w:val="22"/>
          <w:lang w:val="fr-FR"/>
        </w:rPr>
        <w:t xml:space="preserve"> Commission économique et sociale des </w:t>
      </w:r>
      <w:r w:rsidR="002160B3" w:rsidRPr="007F70EA">
        <w:rPr>
          <w:szCs w:val="22"/>
          <w:lang w:val="fr-FR"/>
        </w:rPr>
        <w:t>Nations Unies</w:t>
      </w:r>
      <w:r w:rsidRPr="007F70EA">
        <w:rPr>
          <w:szCs w:val="22"/>
          <w:lang w:val="fr-FR"/>
        </w:rPr>
        <w:t xml:space="preserve"> pour l</w:t>
      </w:r>
      <w:r w:rsidR="002160B3" w:rsidRPr="007F70EA">
        <w:rPr>
          <w:szCs w:val="22"/>
          <w:lang w:val="fr-FR"/>
        </w:rPr>
        <w:t>’</w:t>
      </w:r>
      <w:r w:rsidRPr="007F70EA">
        <w:rPr>
          <w:szCs w:val="22"/>
          <w:lang w:val="fr-FR"/>
        </w:rPr>
        <w:t>Asie occidentale (CESAO)</w:t>
      </w:r>
    </w:p>
    <w:p w:rsidR="00F31C57" w:rsidRPr="007F70EA" w:rsidRDefault="00F31C57" w:rsidP="00F31C57">
      <w:pPr>
        <w:rPr>
          <w:szCs w:val="22"/>
          <w:lang w:val="fr-FR"/>
        </w:rPr>
      </w:pPr>
    </w:p>
    <w:p w:rsidR="00F31C57" w:rsidRPr="007F70EA" w:rsidRDefault="00F31C57" w:rsidP="00F31C57">
      <w:pPr>
        <w:rPr>
          <w:szCs w:val="22"/>
          <w:lang w:val="fr-FR"/>
        </w:rPr>
      </w:pPr>
      <w:r w:rsidRPr="007F70EA">
        <w:rPr>
          <w:szCs w:val="22"/>
          <w:u w:val="single"/>
          <w:lang w:val="fr-FR"/>
        </w:rPr>
        <w:t>Thème</w:t>
      </w:r>
      <w:r w:rsidR="002160B3" w:rsidRPr="007F70EA">
        <w:rPr>
          <w:szCs w:val="22"/>
          <w:lang w:val="fr-FR"/>
        </w:rPr>
        <w:t> :</w:t>
      </w:r>
      <w:r w:rsidRPr="007F70EA">
        <w:rPr>
          <w:szCs w:val="22"/>
          <w:lang w:val="fr-FR"/>
        </w:rPr>
        <w:t xml:space="preserve"> technologies de l</w:t>
      </w:r>
      <w:r w:rsidR="002160B3" w:rsidRPr="007F70EA">
        <w:rPr>
          <w:szCs w:val="22"/>
          <w:lang w:val="fr-FR"/>
        </w:rPr>
        <w:t>’</w:t>
      </w:r>
      <w:r w:rsidRPr="007F70EA">
        <w:rPr>
          <w:szCs w:val="22"/>
          <w:lang w:val="fr-FR"/>
        </w:rPr>
        <w:t>information et de la communication</w:t>
      </w:r>
    </w:p>
    <w:p w:rsidR="00F31C57" w:rsidRPr="007F70EA" w:rsidRDefault="00F31C57" w:rsidP="00F31C57">
      <w:pPr>
        <w:rPr>
          <w:szCs w:val="22"/>
          <w:lang w:val="fr-FR"/>
        </w:rPr>
      </w:pPr>
    </w:p>
    <w:p w:rsidR="00F31C57" w:rsidRPr="007F70EA" w:rsidRDefault="00F31C57" w:rsidP="00F31C57">
      <w:pPr>
        <w:rPr>
          <w:szCs w:val="22"/>
          <w:lang w:val="fr-FR"/>
        </w:rPr>
      </w:pPr>
      <w:r w:rsidRPr="007F70EA">
        <w:rPr>
          <w:szCs w:val="22"/>
          <w:u w:val="single"/>
          <w:lang w:val="fr-FR"/>
        </w:rPr>
        <w:t>Participants</w:t>
      </w:r>
      <w:r w:rsidR="002160B3" w:rsidRPr="007F70EA">
        <w:rPr>
          <w:szCs w:val="22"/>
          <w:lang w:val="fr-FR"/>
        </w:rPr>
        <w:t> :</w:t>
      </w:r>
      <w:r w:rsidRPr="007F70EA">
        <w:rPr>
          <w:szCs w:val="22"/>
          <w:lang w:val="fr-FR"/>
        </w:rPr>
        <w:t xml:space="preserve"> États</w:t>
      </w:r>
    </w:p>
    <w:p w:rsidR="00F31C57" w:rsidRPr="007F70EA" w:rsidRDefault="00F31C57" w:rsidP="00F31C57">
      <w:pPr>
        <w:rPr>
          <w:szCs w:val="22"/>
          <w:lang w:val="fr-FR"/>
        </w:rPr>
      </w:pPr>
    </w:p>
    <w:p w:rsidR="002160B3" w:rsidRPr="007F70EA" w:rsidRDefault="00F31C57" w:rsidP="00F31C57">
      <w:pPr>
        <w:rPr>
          <w:szCs w:val="22"/>
          <w:lang w:val="fr-FR"/>
        </w:rPr>
      </w:pPr>
      <w:r w:rsidRPr="007F70EA">
        <w:rPr>
          <w:szCs w:val="22"/>
          <w:u w:val="single"/>
          <w:lang w:val="fr-FR"/>
        </w:rPr>
        <w:t>Lien avec le transfert de technologie</w:t>
      </w:r>
      <w:r w:rsidR="002160B3" w:rsidRPr="007F70EA">
        <w:rPr>
          <w:szCs w:val="22"/>
          <w:lang w:val="fr-FR"/>
        </w:rPr>
        <w:t> :</w:t>
      </w:r>
      <w:r w:rsidRPr="007F70EA">
        <w:rPr>
          <w:szCs w:val="22"/>
          <w:lang w:val="fr-FR"/>
        </w:rPr>
        <w:t xml:space="preserve"> La résolution 315 (XXVIII) de</w:t>
      </w:r>
      <w:r w:rsidR="002160B3" w:rsidRPr="007F70EA">
        <w:rPr>
          <w:szCs w:val="22"/>
          <w:lang w:val="fr-FR"/>
        </w:rPr>
        <w:t xml:space="preserve"> la CES</w:t>
      </w:r>
      <w:r w:rsidRPr="007F70EA">
        <w:rPr>
          <w:szCs w:val="22"/>
          <w:lang w:val="fr-FR"/>
        </w:rPr>
        <w:t>AO prévoit que</w:t>
      </w:r>
      <w:r w:rsidR="002160B3" w:rsidRPr="007F70EA">
        <w:rPr>
          <w:szCs w:val="22"/>
          <w:lang w:val="fr-FR"/>
        </w:rPr>
        <w:t> :</w:t>
      </w:r>
      <w:r w:rsidRPr="007F70EA">
        <w:rPr>
          <w:szCs w:val="22"/>
          <w:lang w:val="fr-FR"/>
        </w:rPr>
        <w:t xml:space="preserve"> le “Comité de la technologie au service du développement […] s</w:t>
      </w:r>
      <w:r w:rsidR="002160B3" w:rsidRPr="007F70EA">
        <w:rPr>
          <w:szCs w:val="22"/>
          <w:lang w:val="fr-FR"/>
        </w:rPr>
        <w:t>’</w:t>
      </w:r>
      <w:r w:rsidRPr="007F70EA">
        <w:rPr>
          <w:szCs w:val="22"/>
          <w:lang w:val="fr-FR"/>
        </w:rPr>
        <w:t>acquitterait des tâches suivantes</w:t>
      </w:r>
      <w:r w:rsidR="002160B3" w:rsidRPr="007F70EA">
        <w:rPr>
          <w:szCs w:val="22"/>
          <w:lang w:val="fr-FR"/>
        </w:rPr>
        <w:t> :</w:t>
      </w:r>
      <w:r w:rsidRPr="007F70EA">
        <w:rPr>
          <w:szCs w:val="22"/>
          <w:lang w:val="fr-FR"/>
        </w:rPr>
        <w:t xml:space="preserve"> […] suivre les avancées réalisées dans le secteur technologique, notamment en matière de technologies de l</w:t>
      </w:r>
      <w:r w:rsidR="002160B3" w:rsidRPr="007F70EA">
        <w:rPr>
          <w:szCs w:val="22"/>
          <w:lang w:val="fr-FR"/>
        </w:rPr>
        <w:t>’</w:t>
      </w:r>
      <w:r w:rsidRPr="007F70EA">
        <w:rPr>
          <w:szCs w:val="22"/>
          <w:lang w:val="fr-FR"/>
        </w:rPr>
        <w:t>information et de la communication, de gestion de l</w:t>
      </w:r>
      <w:r w:rsidR="002160B3" w:rsidRPr="007F70EA">
        <w:rPr>
          <w:szCs w:val="22"/>
          <w:lang w:val="fr-FR"/>
        </w:rPr>
        <w:t>’</w:t>
      </w:r>
      <w:r w:rsidRPr="007F70EA">
        <w:rPr>
          <w:szCs w:val="22"/>
          <w:lang w:val="fr-FR"/>
        </w:rPr>
        <w:t xml:space="preserve">Internet, </w:t>
      </w:r>
      <w:r w:rsidRPr="007F70EA">
        <w:rPr>
          <w:szCs w:val="22"/>
          <w:lang w:val="fr-FR"/>
        </w:rPr>
        <w:lastRenderedPageBreak/>
        <w:t>d</w:t>
      </w:r>
      <w:r w:rsidR="002160B3" w:rsidRPr="007F70EA">
        <w:rPr>
          <w:szCs w:val="22"/>
          <w:lang w:val="fr-FR"/>
        </w:rPr>
        <w:t>’</w:t>
      </w:r>
      <w:r w:rsidRPr="007F70EA">
        <w:rPr>
          <w:szCs w:val="22"/>
          <w:lang w:val="fr-FR"/>
        </w:rPr>
        <w:t>économie numérique et de société de l</w:t>
      </w:r>
      <w:r w:rsidR="002160B3" w:rsidRPr="007F70EA">
        <w:rPr>
          <w:szCs w:val="22"/>
          <w:lang w:val="fr-FR"/>
        </w:rPr>
        <w:t>’</w:t>
      </w:r>
      <w:r w:rsidRPr="007F70EA">
        <w:rPr>
          <w:szCs w:val="22"/>
          <w:lang w:val="fr-FR"/>
        </w:rPr>
        <w:t>information d</w:t>
      </w:r>
      <w:r w:rsidR="002160B3" w:rsidRPr="007F70EA">
        <w:rPr>
          <w:szCs w:val="22"/>
          <w:lang w:val="fr-FR"/>
        </w:rPr>
        <w:t>’</w:t>
      </w:r>
      <w:r w:rsidRPr="007F70EA">
        <w:rPr>
          <w:szCs w:val="22"/>
          <w:lang w:val="fr-FR"/>
        </w:rPr>
        <w:t>une part, et dans les secteurs liés à la recherche scientifique et au transfert de technologie d</w:t>
      </w:r>
      <w:r w:rsidR="002160B3" w:rsidRPr="007F70EA">
        <w:rPr>
          <w:szCs w:val="22"/>
          <w:lang w:val="fr-FR"/>
        </w:rPr>
        <w:t>’</w:t>
      </w:r>
      <w:r w:rsidRPr="007F70EA">
        <w:rPr>
          <w:szCs w:val="22"/>
          <w:lang w:val="fr-FR"/>
        </w:rPr>
        <w:t>autre part;  et formuler des recommandations pour renforcer le développement des domaines susmentionnés”.</w:t>
      </w:r>
    </w:p>
    <w:p w:rsidR="00F31C57" w:rsidRPr="007F70EA" w:rsidRDefault="00F31C57" w:rsidP="00F31C57">
      <w:pPr>
        <w:rPr>
          <w:szCs w:val="22"/>
          <w:lang w:val="fr-FR"/>
        </w:rPr>
      </w:pPr>
    </w:p>
    <w:p w:rsidR="00F31C57" w:rsidRPr="007F70EA" w:rsidRDefault="00F31C57" w:rsidP="00F31C57">
      <w:pPr>
        <w:rPr>
          <w:b/>
          <w:bCs/>
          <w:szCs w:val="22"/>
          <w:lang w:val="fr-FR"/>
        </w:rPr>
      </w:pPr>
      <w:r w:rsidRPr="007F70EA">
        <w:rPr>
          <w:szCs w:val="22"/>
          <w:u w:val="single"/>
          <w:lang w:val="fr-FR"/>
        </w:rPr>
        <w:t>Description</w:t>
      </w:r>
      <w:r w:rsidR="002160B3" w:rsidRPr="007F70EA">
        <w:rPr>
          <w:szCs w:val="22"/>
          <w:lang w:val="fr-FR"/>
        </w:rPr>
        <w:t> :</w:t>
      </w:r>
      <w:r w:rsidR="00B208AA" w:rsidRPr="007F70EA">
        <w:rPr>
          <w:szCs w:val="22"/>
          <w:lang w:val="fr-FR"/>
        </w:rPr>
        <w:t xml:space="preserve"> La résolution 315.</w:t>
      </w:r>
      <w:r w:rsidRPr="007F70EA">
        <w:rPr>
          <w:szCs w:val="22"/>
          <w:lang w:val="fr-FR"/>
        </w:rPr>
        <w:t>XXVIII) de</w:t>
      </w:r>
      <w:r w:rsidR="002160B3" w:rsidRPr="007F70EA">
        <w:rPr>
          <w:szCs w:val="22"/>
          <w:lang w:val="fr-FR"/>
        </w:rPr>
        <w:t xml:space="preserve"> la CES</w:t>
      </w:r>
      <w:r w:rsidRPr="007F70EA">
        <w:rPr>
          <w:szCs w:val="22"/>
          <w:lang w:val="fr-FR"/>
        </w:rPr>
        <w:t>AO prévoit que</w:t>
      </w:r>
      <w:r w:rsidR="002160B3" w:rsidRPr="007F70EA">
        <w:rPr>
          <w:szCs w:val="22"/>
          <w:lang w:val="fr-FR"/>
        </w:rPr>
        <w:t> :</w:t>
      </w:r>
      <w:r w:rsidRPr="007F70EA">
        <w:rPr>
          <w:szCs w:val="22"/>
          <w:lang w:val="fr-FR"/>
        </w:rPr>
        <w:t xml:space="preserve"> le “Comité de la technologie au service du développement […] s</w:t>
      </w:r>
      <w:r w:rsidR="002160B3" w:rsidRPr="007F70EA">
        <w:rPr>
          <w:szCs w:val="22"/>
          <w:lang w:val="fr-FR"/>
        </w:rPr>
        <w:t>’</w:t>
      </w:r>
      <w:r w:rsidRPr="007F70EA">
        <w:rPr>
          <w:szCs w:val="22"/>
          <w:lang w:val="fr-FR"/>
        </w:rPr>
        <w:t>acquitterait des tâches suivantes</w:t>
      </w:r>
      <w:r w:rsidR="002160B3" w:rsidRPr="007F70EA">
        <w:rPr>
          <w:szCs w:val="22"/>
          <w:lang w:val="fr-FR"/>
        </w:rPr>
        <w:t> :</w:t>
      </w:r>
      <w:r w:rsidRPr="007F70EA">
        <w:rPr>
          <w:szCs w:val="22"/>
          <w:lang w:val="fr-FR"/>
        </w:rPr>
        <w:t xml:space="preserve"> a)</w:t>
      </w:r>
      <w:r w:rsidR="00CC68C1" w:rsidRPr="007F70EA">
        <w:rPr>
          <w:szCs w:val="22"/>
          <w:lang w:val="fr-FR"/>
        </w:rPr>
        <w:t> </w:t>
      </w:r>
      <w:r w:rsidRPr="007F70EA">
        <w:rPr>
          <w:szCs w:val="22"/>
          <w:lang w:val="fr-FR"/>
        </w:rPr>
        <w:t>recenser les priorités du programme de travail et des plans à moyen terme de</w:t>
      </w:r>
      <w:r w:rsidR="002160B3" w:rsidRPr="007F70EA">
        <w:rPr>
          <w:szCs w:val="22"/>
          <w:lang w:val="fr-FR"/>
        </w:rPr>
        <w:t xml:space="preserve"> la CES</w:t>
      </w:r>
      <w:r w:rsidRPr="007F70EA">
        <w:rPr>
          <w:szCs w:val="22"/>
          <w:lang w:val="fr-FR"/>
        </w:rPr>
        <w:t>AO concernant la technologie au service du développement, notamment la recherche scientifique, l</w:t>
      </w:r>
      <w:r w:rsidR="002160B3" w:rsidRPr="007F70EA">
        <w:rPr>
          <w:szCs w:val="22"/>
          <w:lang w:val="fr-FR"/>
        </w:rPr>
        <w:t>’</w:t>
      </w:r>
      <w:r w:rsidRPr="007F70EA">
        <w:rPr>
          <w:szCs w:val="22"/>
          <w:lang w:val="fr-FR"/>
        </w:rPr>
        <w:t>innovation,</w:t>
      </w:r>
      <w:r w:rsidRPr="007F70EA">
        <w:rPr>
          <w:b/>
          <w:szCs w:val="22"/>
          <w:lang w:val="fr-FR"/>
        </w:rPr>
        <w:t xml:space="preserve"> </w:t>
      </w:r>
      <w:r w:rsidRPr="007F70EA">
        <w:rPr>
          <w:szCs w:val="22"/>
          <w:lang w:val="fr-FR"/>
        </w:rPr>
        <w:t>l</w:t>
      </w:r>
      <w:r w:rsidR="002160B3" w:rsidRPr="007F70EA">
        <w:rPr>
          <w:szCs w:val="22"/>
          <w:lang w:val="fr-FR"/>
        </w:rPr>
        <w:t>’</w:t>
      </w:r>
      <w:r w:rsidRPr="007F70EA">
        <w:rPr>
          <w:szCs w:val="22"/>
          <w:lang w:val="fr-FR"/>
        </w:rPr>
        <w:t>économie numérique, la société de l</w:t>
      </w:r>
      <w:r w:rsidR="002160B3" w:rsidRPr="007F70EA">
        <w:rPr>
          <w:szCs w:val="22"/>
          <w:lang w:val="fr-FR"/>
        </w:rPr>
        <w:t>’</w:t>
      </w:r>
      <w:r w:rsidRPr="007F70EA">
        <w:rPr>
          <w:szCs w:val="22"/>
          <w:lang w:val="fr-FR"/>
        </w:rPr>
        <w:t>information, les économies du savoir et les secteurs émergents;  b)</w:t>
      </w:r>
      <w:r w:rsidR="00CC68C1" w:rsidRPr="007F70EA">
        <w:rPr>
          <w:szCs w:val="22"/>
          <w:lang w:val="fr-FR"/>
        </w:rPr>
        <w:t> </w:t>
      </w:r>
      <w:r w:rsidRPr="007F70EA">
        <w:rPr>
          <w:szCs w:val="22"/>
          <w:lang w:val="fr-FR"/>
        </w:rPr>
        <w:t>suivre les avancées réalisées dans le secteur technologique, notamment en matière de technologies de l</w:t>
      </w:r>
      <w:r w:rsidR="002160B3" w:rsidRPr="007F70EA">
        <w:rPr>
          <w:szCs w:val="22"/>
          <w:lang w:val="fr-FR"/>
        </w:rPr>
        <w:t>’</w:t>
      </w:r>
      <w:r w:rsidRPr="007F70EA">
        <w:rPr>
          <w:szCs w:val="22"/>
          <w:lang w:val="fr-FR"/>
        </w:rPr>
        <w:t>information et de la communication, de gestion de l</w:t>
      </w:r>
      <w:r w:rsidR="002160B3" w:rsidRPr="007F70EA">
        <w:rPr>
          <w:szCs w:val="22"/>
          <w:lang w:val="fr-FR"/>
        </w:rPr>
        <w:t>’</w:t>
      </w:r>
      <w:r w:rsidRPr="007F70EA">
        <w:rPr>
          <w:szCs w:val="22"/>
          <w:lang w:val="fr-FR"/>
        </w:rPr>
        <w:t>Internet, d</w:t>
      </w:r>
      <w:r w:rsidR="002160B3" w:rsidRPr="007F70EA">
        <w:rPr>
          <w:szCs w:val="22"/>
          <w:lang w:val="fr-FR"/>
        </w:rPr>
        <w:t>’</w:t>
      </w:r>
      <w:r w:rsidRPr="007F70EA">
        <w:rPr>
          <w:szCs w:val="22"/>
          <w:lang w:val="fr-FR"/>
        </w:rPr>
        <w:t>économie numérique et de société de l</w:t>
      </w:r>
      <w:r w:rsidR="002160B3" w:rsidRPr="007F70EA">
        <w:rPr>
          <w:szCs w:val="22"/>
          <w:lang w:val="fr-FR"/>
        </w:rPr>
        <w:t>’</w:t>
      </w:r>
      <w:r w:rsidRPr="007F70EA">
        <w:rPr>
          <w:szCs w:val="22"/>
          <w:lang w:val="fr-FR"/>
        </w:rPr>
        <w:t>information d</w:t>
      </w:r>
      <w:r w:rsidR="002160B3" w:rsidRPr="007F70EA">
        <w:rPr>
          <w:szCs w:val="22"/>
          <w:lang w:val="fr-FR"/>
        </w:rPr>
        <w:t>’</w:t>
      </w:r>
      <w:r w:rsidRPr="007F70EA">
        <w:rPr>
          <w:szCs w:val="22"/>
          <w:lang w:val="fr-FR"/>
        </w:rPr>
        <w:t>une part, et dans les secteurs liés à la recherche scientifique et au transfert de technologie d</w:t>
      </w:r>
      <w:r w:rsidR="002160B3" w:rsidRPr="007F70EA">
        <w:rPr>
          <w:szCs w:val="22"/>
          <w:lang w:val="fr-FR"/>
        </w:rPr>
        <w:t>’</w:t>
      </w:r>
      <w:r w:rsidRPr="007F70EA">
        <w:rPr>
          <w:szCs w:val="22"/>
          <w:lang w:val="fr-FR"/>
        </w:rPr>
        <w:t>autre part;  et formuler des recommandations pour renforcer le développement des domaines susmentionnés;  c)</w:t>
      </w:r>
      <w:r w:rsidR="00CC68C1" w:rsidRPr="007F70EA">
        <w:rPr>
          <w:szCs w:val="22"/>
          <w:lang w:val="fr-FR"/>
        </w:rPr>
        <w:t> </w:t>
      </w:r>
      <w:r w:rsidRPr="007F70EA">
        <w:rPr>
          <w:szCs w:val="22"/>
          <w:lang w:val="fr-FR"/>
        </w:rPr>
        <w:t>suivre les avancées, conférences et forums régionaux et internationaux en rapport avec le sous</w:t>
      </w:r>
      <w:r w:rsidR="007F70EA">
        <w:rPr>
          <w:szCs w:val="22"/>
          <w:lang w:val="fr-FR"/>
        </w:rPr>
        <w:noBreakHyphen/>
      </w:r>
      <w:r w:rsidRPr="007F70EA">
        <w:rPr>
          <w:szCs w:val="22"/>
          <w:lang w:val="fr-FR"/>
        </w:rPr>
        <w:t>programme 4 ainsi que coordonner les efforts régionaux de mise en œuvre des décisions et des recommandations de ces conférences;  d)</w:t>
      </w:r>
      <w:r w:rsidR="00CC68C1" w:rsidRPr="007F70EA">
        <w:rPr>
          <w:szCs w:val="22"/>
          <w:lang w:val="fr-FR"/>
        </w:rPr>
        <w:t> </w:t>
      </w:r>
      <w:r w:rsidRPr="007F70EA">
        <w:rPr>
          <w:szCs w:val="22"/>
          <w:lang w:val="fr-FR"/>
        </w:rPr>
        <w:t>appuyer le Secrétariat dans la poursuite du suivi de la mise en œuvre de l</w:t>
      </w:r>
      <w:r w:rsidR="002160B3" w:rsidRPr="007F70EA">
        <w:rPr>
          <w:szCs w:val="22"/>
          <w:lang w:val="fr-FR"/>
        </w:rPr>
        <w:t>’</w:t>
      </w:r>
      <w:r w:rsidRPr="007F70EA">
        <w:rPr>
          <w:szCs w:val="22"/>
          <w:lang w:val="fr-FR"/>
        </w:rPr>
        <w:t>Agenda de Tunis adopté par le Sommet mondial sur la société de l</w:t>
      </w:r>
      <w:r w:rsidR="002160B3" w:rsidRPr="007F70EA">
        <w:rPr>
          <w:szCs w:val="22"/>
          <w:lang w:val="fr-FR"/>
        </w:rPr>
        <w:t>’</w:t>
      </w:r>
      <w:r w:rsidRPr="007F70EA">
        <w:rPr>
          <w:szCs w:val="22"/>
          <w:lang w:val="fr-FR"/>
        </w:rPr>
        <w:t xml:space="preserve">information (à Genève </w:t>
      </w:r>
      <w:r w:rsidR="002160B3" w:rsidRPr="007F70EA">
        <w:rPr>
          <w:szCs w:val="22"/>
          <w:lang w:val="fr-FR"/>
        </w:rPr>
        <w:t>en 2003</w:t>
      </w:r>
      <w:r w:rsidRPr="007F70EA">
        <w:rPr>
          <w:szCs w:val="22"/>
          <w:lang w:val="fr-FR"/>
        </w:rPr>
        <w:t xml:space="preserve"> et à Tunis </w:t>
      </w:r>
      <w:r w:rsidR="002160B3" w:rsidRPr="007F70EA">
        <w:rPr>
          <w:szCs w:val="22"/>
          <w:lang w:val="fr-FR"/>
        </w:rPr>
        <w:t>en 2005</w:t>
      </w:r>
      <w:r w:rsidRPr="007F70EA">
        <w:rPr>
          <w:szCs w:val="22"/>
          <w:lang w:val="fr-FR"/>
        </w:rPr>
        <w:t>) et dans la participation aux activités et projets relatifs au Sommet mondial de l</w:t>
      </w:r>
      <w:r w:rsidR="002160B3" w:rsidRPr="007F70EA">
        <w:rPr>
          <w:szCs w:val="22"/>
          <w:lang w:val="fr-FR"/>
        </w:rPr>
        <w:t>’</w:t>
      </w:r>
      <w:r w:rsidRPr="007F70EA">
        <w:rPr>
          <w:szCs w:val="22"/>
          <w:lang w:val="fr-FR"/>
        </w:rPr>
        <w:t>après 2015;  e)</w:t>
      </w:r>
      <w:r w:rsidR="00CC68C1" w:rsidRPr="007F70EA">
        <w:rPr>
          <w:szCs w:val="22"/>
          <w:lang w:val="fr-FR"/>
        </w:rPr>
        <w:t> </w:t>
      </w:r>
      <w:r w:rsidRPr="007F70EA">
        <w:rPr>
          <w:szCs w:val="22"/>
          <w:lang w:val="fr-FR"/>
        </w:rPr>
        <w:t>poursuivre les travaux du Secrétariat d</w:t>
      </w:r>
      <w:r w:rsidR="002160B3" w:rsidRPr="007F70EA">
        <w:rPr>
          <w:szCs w:val="22"/>
          <w:lang w:val="fr-FR"/>
        </w:rPr>
        <w:t>’</w:t>
      </w:r>
      <w:r w:rsidRPr="007F70EA">
        <w:rPr>
          <w:szCs w:val="22"/>
          <w:lang w:val="fr-FR"/>
        </w:rPr>
        <w:t>appui à la coopération entre les c</w:t>
      </w:r>
      <w:r w:rsidRPr="007F70EA">
        <w:rPr>
          <w:bCs/>
          <w:szCs w:val="22"/>
          <w:lang w:val="fr-FR"/>
        </w:rPr>
        <w:t xml:space="preserve">onseils ministériels, organisations et unions de la Ligue des États arabes, notamment le Conseil des </w:t>
      </w:r>
      <w:r w:rsidR="00CC68C1" w:rsidRPr="007F70EA">
        <w:rPr>
          <w:bCs/>
          <w:szCs w:val="22"/>
          <w:lang w:val="fr-FR"/>
        </w:rPr>
        <w:t>ministre</w:t>
      </w:r>
      <w:r w:rsidRPr="007F70EA">
        <w:rPr>
          <w:bCs/>
          <w:szCs w:val="22"/>
          <w:lang w:val="fr-FR"/>
        </w:rPr>
        <w:t>s arabes des technologies de l</w:t>
      </w:r>
      <w:r w:rsidR="002160B3" w:rsidRPr="007F70EA">
        <w:rPr>
          <w:bCs/>
          <w:szCs w:val="22"/>
          <w:lang w:val="fr-FR"/>
        </w:rPr>
        <w:t>’</w:t>
      </w:r>
      <w:r w:rsidRPr="007F70EA">
        <w:rPr>
          <w:bCs/>
          <w:szCs w:val="22"/>
          <w:lang w:val="fr-FR"/>
        </w:rPr>
        <w:t>information et de la communication, l</w:t>
      </w:r>
      <w:r w:rsidR="002160B3" w:rsidRPr="007F70EA">
        <w:rPr>
          <w:bCs/>
          <w:szCs w:val="22"/>
          <w:lang w:val="fr-FR"/>
        </w:rPr>
        <w:t>’</w:t>
      </w:r>
      <w:r w:rsidRPr="007F70EA">
        <w:rPr>
          <w:bCs/>
          <w:szCs w:val="22"/>
          <w:lang w:val="fr-FR"/>
        </w:rPr>
        <w:t>Organisation arabe de développement de l</w:t>
      </w:r>
      <w:r w:rsidR="002160B3" w:rsidRPr="007F70EA">
        <w:rPr>
          <w:bCs/>
          <w:szCs w:val="22"/>
          <w:lang w:val="fr-FR"/>
        </w:rPr>
        <w:t>’</w:t>
      </w:r>
      <w:r w:rsidRPr="007F70EA">
        <w:rPr>
          <w:bCs/>
          <w:szCs w:val="22"/>
          <w:lang w:val="fr-FR"/>
        </w:rPr>
        <w:t>administration et d</w:t>
      </w:r>
      <w:r w:rsidR="002160B3" w:rsidRPr="007F70EA">
        <w:rPr>
          <w:bCs/>
          <w:szCs w:val="22"/>
          <w:lang w:val="fr-FR"/>
        </w:rPr>
        <w:t>’</w:t>
      </w:r>
      <w:r w:rsidRPr="007F70EA">
        <w:rPr>
          <w:bCs/>
          <w:szCs w:val="22"/>
          <w:lang w:val="fr-FR"/>
        </w:rPr>
        <w:t>autres organisations spécialisées, pour harmoniser les politiques et les stratégies, appuyer la communication et les partenariats, coordonner les positions ainsi que renforcer les capacités au niveau international”.</w:t>
      </w:r>
    </w:p>
    <w:p w:rsidR="00F31C57" w:rsidRDefault="00F31C57" w:rsidP="00F31C57">
      <w:pPr>
        <w:rPr>
          <w:szCs w:val="22"/>
          <w:lang w:val="fr-FR"/>
        </w:rPr>
      </w:pPr>
    </w:p>
    <w:p w:rsidR="00631959" w:rsidRDefault="00631959" w:rsidP="00F31C57">
      <w:pPr>
        <w:rPr>
          <w:szCs w:val="22"/>
          <w:lang w:val="fr-FR"/>
        </w:rPr>
      </w:pPr>
      <w:r w:rsidRPr="00292B2E">
        <w:rPr>
          <w:u w:val="single"/>
          <w:lang w:val="fr-FR"/>
        </w:rPr>
        <w:t>Fréquence</w:t>
      </w:r>
      <w:r w:rsidRPr="00292B2E">
        <w:rPr>
          <w:lang w:val="fr-FR"/>
        </w:rPr>
        <w:t xml:space="preserve"> : bisannuelle</w:t>
      </w:r>
    </w:p>
    <w:p w:rsidR="00631959" w:rsidRPr="007F70EA" w:rsidRDefault="00631959" w:rsidP="00F31C57">
      <w:pPr>
        <w:rPr>
          <w:szCs w:val="22"/>
          <w:lang w:val="fr-FR"/>
        </w:rPr>
      </w:pPr>
    </w:p>
    <w:p w:rsidR="002160B3" w:rsidRPr="007F70EA" w:rsidRDefault="00F31C57" w:rsidP="00F31C57">
      <w:pPr>
        <w:rPr>
          <w:szCs w:val="22"/>
          <w:lang w:val="fr-FR"/>
        </w:rPr>
      </w:pPr>
      <w:r w:rsidRPr="007F70EA">
        <w:rPr>
          <w:szCs w:val="22"/>
          <w:u w:val="single"/>
          <w:lang w:val="fr-FR"/>
        </w:rPr>
        <w:t>Référence</w:t>
      </w:r>
      <w:r w:rsidR="002160B3" w:rsidRPr="007F70EA">
        <w:rPr>
          <w:szCs w:val="22"/>
          <w:lang w:val="fr-FR"/>
        </w:rPr>
        <w:t> :</w:t>
      </w:r>
      <w:r w:rsidRPr="007F70EA">
        <w:rPr>
          <w:szCs w:val="22"/>
          <w:lang w:val="fr-FR"/>
        </w:rPr>
        <w:t xml:space="preserve"> https://www.unescwa.org/events/committee</w:t>
      </w:r>
      <w:r w:rsidR="007F70EA">
        <w:rPr>
          <w:szCs w:val="22"/>
          <w:lang w:val="fr-FR"/>
        </w:rPr>
        <w:noBreakHyphen/>
      </w:r>
      <w:r w:rsidRPr="007F70EA">
        <w:rPr>
          <w:szCs w:val="22"/>
          <w:lang w:val="fr-FR"/>
        </w:rPr>
        <w:t>technology</w:t>
      </w:r>
      <w:r w:rsidR="007F70EA">
        <w:rPr>
          <w:szCs w:val="22"/>
          <w:lang w:val="fr-FR"/>
        </w:rPr>
        <w:noBreakHyphen/>
      </w:r>
      <w:r w:rsidRPr="007F70EA">
        <w:rPr>
          <w:szCs w:val="22"/>
          <w:lang w:val="fr-FR"/>
        </w:rPr>
        <w:t>development</w:t>
      </w:r>
      <w:r w:rsidR="007F70EA">
        <w:rPr>
          <w:szCs w:val="22"/>
          <w:lang w:val="fr-FR"/>
        </w:rPr>
        <w:noBreakHyphen/>
      </w:r>
      <w:r w:rsidRPr="007F70EA">
        <w:rPr>
          <w:szCs w:val="22"/>
          <w:lang w:val="fr-FR"/>
        </w:rPr>
        <w:t>1st</w:t>
      </w:r>
      <w:r w:rsidR="007F70EA">
        <w:rPr>
          <w:szCs w:val="22"/>
          <w:lang w:val="fr-FR"/>
        </w:rPr>
        <w:noBreakHyphen/>
      </w:r>
      <w:r w:rsidRPr="007F70EA">
        <w:rPr>
          <w:szCs w:val="22"/>
          <w:lang w:val="fr-FR"/>
        </w:rPr>
        <w:t>session</w:t>
      </w:r>
    </w:p>
    <w:p w:rsidR="00F31C57" w:rsidRPr="007F70EA" w:rsidRDefault="00F31C57" w:rsidP="00F31C57">
      <w:pPr>
        <w:rPr>
          <w:szCs w:val="22"/>
          <w:lang w:val="fr-FR"/>
        </w:rPr>
      </w:pPr>
    </w:p>
    <w:p w:rsidR="00F31C57" w:rsidRPr="007F70EA" w:rsidRDefault="00F31C57" w:rsidP="00F31C57">
      <w:pPr>
        <w:rPr>
          <w:szCs w:val="22"/>
          <w:lang w:val="fr-FR"/>
        </w:rPr>
      </w:pPr>
    </w:p>
    <w:p w:rsidR="00F31C57" w:rsidRPr="007F70EA" w:rsidRDefault="00F31C57" w:rsidP="00F31C57">
      <w:pPr>
        <w:rPr>
          <w:szCs w:val="22"/>
          <w:lang w:val="fr-FR"/>
        </w:rPr>
      </w:pPr>
    </w:p>
    <w:p w:rsidR="00F31C57" w:rsidRPr="007F70EA" w:rsidRDefault="00F31C57" w:rsidP="00F31C57">
      <w:pPr>
        <w:pStyle w:val="Endofdocument-Annex"/>
        <w:rPr>
          <w:szCs w:val="22"/>
          <w:lang w:val="fr-FR"/>
        </w:rPr>
      </w:pPr>
      <w:r w:rsidRPr="007F70EA">
        <w:rPr>
          <w:szCs w:val="22"/>
          <w:lang w:val="fr-FR"/>
        </w:rPr>
        <w:t>[Fin de l</w:t>
      </w:r>
      <w:r w:rsidR="002160B3" w:rsidRPr="007F70EA">
        <w:rPr>
          <w:szCs w:val="22"/>
          <w:lang w:val="fr-FR"/>
        </w:rPr>
        <w:t>’</w:t>
      </w:r>
      <w:r w:rsidRPr="007F70EA">
        <w:rPr>
          <w:szCs w:val="22"/>
          <w:lang w:val="fr-FR"/>
        </w:rPr>
        <w:t>annexe et du document]</w:t>
      </w:r>
    </w:p>
    <w:p w:rsidR="00F31C57" w:rsidRPr="007F70EA" w:rsidRDefault="00F31C57" w:rsidP="00DC13C2">
      <w:pPr>
        <w:rPr>
          <w:lang w:val="fr-FR"/>
        </w:rPr>
      </w:pPr>
    </w:p>
    <w:sectPr w:rsidR="00F31C57" w:rsidRPr="007F70EA" w:rsidSect="00A42AA0">
      <w:headerReference w:type="default" r:id="rId11"/>
      <w:headerReference w:type="first" r:id="rId12"/>
      <w:footerReference w:type="first" r:id="rId1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8AA" w:rsidRDefault="00B208AA">
      <w:r>
        <w:separator/>
      </w:r>
    </w:p>
  </w:endnote>
  <w:endnote w:type="continuationSeparator" w:id="0">
    <w:p w:rsidR="00B208AA" w:rsidRDefault="00B208AA" w:rsidP="003B38C1">
      <w:r>
        <w:separator/>
      </w:r>
    </w:p>
    <w:p w:rsidR="00B208AA" w:rsidRPr="003B38C1" w:rsidRDefault="00B208AA" w:rsidP="003B38C1">
      <w:pPr>
        <w:spacing w:after="60"/>
        <w:rPr>
          <w:sz w:val="17"/>
        </w:rPr>
      </w:pPr>
      <w:r>
        <w:rPr>
          <w:sz w:val="17"/>
        </w:rPr>
        <w:t>[Endnote continued from previous page]</w:t>
      </w:r>
    </w:p>
  </w:endnote>
  <w:endnote w:type="continuationNotice" w:id="1">
    <w:p w:rsidR="00B208AA" w:rsidRPr="003B38C1" w:rsidRDefault="00B208AA" w:rsidP="003B38C1">
      <w:pPr>
        <w:spacing w:before="60"/>
        <w:jc w:val="right"/>
        <w:rPr>
          <w:sz w:val="17"/>
          <w:szCs w:val="17"/>
        </w:rPr>
      </w:pPr>
      <w:r>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8AA" w:rsidRDefault="00B208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8AA" w:rsidRDefault="00B208AA">
      <w:r>
        <w:separator/>
      </w:r>
    </w:p>
  </w:footnote>
  <w:footnote w:type="continuationSeparator" w:id="0">
    <w:p w:rsidR="00B208AA" w:rsidRDefault="00B208AA" w:rsidP="008B60B2">
      <w:r>
        <w:separator/>
      </w:r>
    </w:p>
    <w:p w:rsidR="00B208AA" w:rsidRPr="00ED77FB" w:rsidRDefault="00B208AA" w:rsidP="008B60B2">
      <w:pPr>
        <w:spacing w:after="60"/>
        <w:rPr>
          <w:sz w:val="17"/>
          <w:szCs w:val="17"/>
        </w:rPr>
      </w:pPr>
      <w:r>
        <w:rPr>
          <w:sz w:val="17"/>
          <w:szCs w:val="17"/>
        </w:rPr>
        <w:t>[Footnote continued from previous page]</w:t>
      </w:r>
    </w:p>
  </w:footnote>
  <w:footnote w:type="continuationNotice" w:id="1">
    <w:p w:rsidR="00B208AA" w:rsidRPr="00ED77FB" w:rsidRDefault="00B208AA" w:rsidP="008B60B2">
      <w:pPr>
        <w:spacing w:before="60"/>
        <w:jc w:val="right"/>
        <w:rPr>
          <w:sz w:val="17"/>
          <w:szCs w:val="17"/>
        </w:rPr>
      </w:pPr>
      <w:r>
        <w:rPr>
          <w:sz w:val="17"/>
          <w:szCs w:val="17"/>
        </w:rPr>
        <w:t>[Footnote continued on next page]</w:t>
      </w:r>
    </w:p>
  </w:footnote>
  <w:footnote w:id="2">
    <w:p w:rsidR="00B208AA" w:rsidRPr="00CA59AA" w:rsidRDefault="00B208AA" w:rsidP="00874C80">
      <w:pPr>
        <w:pStyle w:val="FootnoteText"/>
        <w:rPr>
          <w:color w:val="008000"/>
          <w:lang w:val="fr-CH"/>
        </w:rPr>
      </w:pPr>
      <w:r>
        <w:rPr>
          <w:rStyle w:val="FootnoteReference"/>
        </w:rPr>
        <w:footnoteRef/>
      </w:r>
      <w:r w:rsidRPr="00CA59AA">
        <w:rPr>
          <w:lang w:val="fr-CH"/>
        </w:rPr>
        <w:t xml:space="preserve"> </w:t>
      </w:r>
      <w:r w:rsidR="0060021D" w:rsidRPr="00CA59AA">
        <w:rPr>
          <w:lang w:val="fr-CH"/>
        </w:rPr>
        <w:tab/>
      </w:r>
      <w:r w:rsidRPr="00CA59AA">
        <w:rPr>
          <w:lang w:val="fr-CH"/>
        </w:rPr>
        <w:t>Voir : https://sustainabledevelopment.un.org/tfm</w:t>
      </w:r>
      <w:r w:rsidR="0060021D" w:rsidRPr="00CA59AA">
        <w:rPr>
          <w:lang w:val="fr-CH"/>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8AA" w:rsidRDefault="00B208AA" w:rsidP="00477D6B">
    <w:pPr>
      <w:jc w:val="right"/>
    </w:pPr>
    <w:r>
      <w:t>CDIP/20/12</w:t>
    </w:r>
  </w:p>
  <w:p w:rsidR="00B208AA" w:rsidRDefault="00B208AA" w:rsidP="00477D6B">
    <w:pPr>
      <w:jc w:val="right"/>
    </w:pPr>
    <w:proofErr w:type="gramStart"/>
    <w:r>
      <w:t>page</w:t>
    </w:r>
    <w:proofErr w:type="gramEnd"/>
    <w:r>
      <w:t xml:space="preserve"> </w:t>
    </w:r>
    <w:r>
      <w:fldChar w:fldCharType="begin"/>
    </w:r>
    <w:r>
      <w:instrText xml:space="preserve"> PAGE  \* MERGEFORMAT </w:instrText>
    </w:r>
    <w:r>
      <w:fldChar w:fldCharType="separate"/>
    </w:r>
    <w:r>
      <w:rPr>
        <w:noProof/>
      </w:rPr>
      <w:t>13</w:t>
    </w:r>
    <w:r>
      <w:fldChar w:fldCharType="end"/>
    </w:r>
  </w:p>
  <w:p w:rsidR="00B208AA" w:rsidRDefault="00B208AA" w:rsidP="00477D6B">
    <w:pPr>
      <w:jc w:val="right"/>
    </w:pPr>
  </w:p>
  <w:p w:rsidR="00B208AA" w:rsidRDefault="00B208AA"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8AA" w:rsidRDefault="00B208AA" w:rsidP="00FE428A">
    <w:pPr>
      <w:jc w:val="right"/>
    </w:pPr>
    <w:r>
      <w:t>CDIP/20/12</w:t>
    </w:r>
  </w:p>
  <w:p w:rsidR="00B208AA" w:rsidRDefault="00B208AA" w:rsidP="00FE428A">
    <w:pPr>
      <w:ind w:firstLine="567"/>
      <w:jc w:val="right"/>
    </w:pPr>
    <w:proofErr w:type="spellStart"/>
    <w:r>
      <w:t>Annexe</w:t>
    </w:r>
    <w:proofErr w:type="spellEnd"/>
    <w:r>
      <w:t xml:space="preserve">, page </w:t>
    </w:r>
    <w:r>
      <w:fldChar w:fldCharType="begin"/>
    </w:r>
    <w:r>
      <w:instrText xml:space="preserve"> PAGE  \* MERGEFORMAT </w:instrText>
    </w:r>
    <w:r>
      <w:fldChar w:fldCharType="separate"/>
    </w:r>
    <w:r w:rsidR="002816D6">
      <w:rPr>
        <w:noProof/>
      </w:rPr>
      <w:t>2</w:t>
    </w:r>
    <w:r>
      <w:fldChar w:fldCharType="end"/>
    </w:r>
  </w:p>
  <w:p w:rsidR="00B208AA" w:rsidRDefault="00B208AA" w:rsidP="00FE428A">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8AA" w:rsidRDefault="00B208AA" w:rsidP="00FE428A">
    <w:pPr>
      <w:pStyle w:val="Header"/>
      <w:jc w:val="right"/>
    </w:pPr>
    <w:r>
      <w:t>CDIP/20/12</w:t>
    </w:r>
  </w:p>
  <w:p w:rsidR="00B208AA" w:rsidRDefault="00B208AA" w:rsidP="00FE428A">
    <w:pPr>
      <w:pStyle w:val="Header"/>
      <w:jc w:val="right"/>
    </w:pPr>
    <w:r>
      <w:t>ANNEXE</w:t>
    </w:r>
  </w:p>
  <w:p w:rsidR="00B208AA" w:rsidRDefault="00B208AA" w:rsidP="00FE428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041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TRADTERM"/>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
    <w:docVar w:name="TextBaseURL" w:val="empty"/>
    <w:docVar w:name="UILng" w:val="en"/>
  </w:docVars>
  <w:rsids>
    <w:rsidRoot w:val="007E6613"/>
    <w:rsid w:val="00043CAA"/>
    <w:rsid w:val="00047968"/>
    <w:rsid w:val="00075432"/>
    <w:rsid w:val="0009133A"/>
    <w:rsid w:val="000968ED"/>
    <w:rsid w:val="000F5E56"/>
    <w:rsid w:val="001362EE"/>
    <w:rsid w:val="00144B01"/>
    <w:rsid w:val="00145512"/>
    <w:rsid w:val="001647D5"/>
    <w:rsid w:val="001673DE"/>
    <w:rsid w:val="00173480"/>
    <w:rsid w:val="00175BCF"/>
    <w:rsid w:val="001800C7"/>
    <w:rsid w:val="001832A6"/>
    <w:rsid w:val="00186E85"/>
    <w:rsid w:val="00191E77"/>
    <w:rsid w:val="00206B8E"/>
    <w:rsid w:val="0021217E"/>
    <w:rsid w:val="002160B3"/>
    <w:rsid w:val="00233EAD"/>
    <w:rsid w:val="002634C4"/>
    <w:rsid w:val="002816D6"/>
    <w:rsid w:val="002928D3"/>
    <w:rsid w:val="002B3126"/>
    <w:rsid w:val="002F1FE6"/>
    <w:rsid w:val="002F4E68"/>
    <w:rsid w:val="002F7C54"/>
    <w:rsid w:val="00310656"/>
    <w:rsid w:val="00312F7F"/>
    <w:rsid w:val="003375EF"/>
    <w:rsid w:val="00340C1C"/>
    <w:rsid w:val="0034352E"/>
    <w:rsid w:val="00353622"/>
    <w:rsid w:val="0035727D"/>
    <w:rsid w:val="00361450"/>
    <w:rsid w:val="003673CF"/>
    <w:rsid w:val="003845C1"/>
    <w:rsid w:val="00394779"/>
    <w:rsid w:val="003A6F89"/>
    <w:rsid w:val="003B38C1"/>
    <w:rsid w:val="003D5793"/>
    <w:rsid w:val="003F343A"/>
    <w:rsid w:val="00423E3E"/>
    <w:rsid w:val="00427AF4"/>
    <w:rsid w:val="00430DC3"/>
    <w:rsid w:val="00443378"/>
    <w:rsid w:val="004513B4"/>
    <w:rsid w:val="004647DA"/>
    <w:rsid w:val="00474062"/>
    <w:rsid w:val="00477D6B"/>
    <w:rsid w:val="0048778A"/>
    <w:rsid w:val="004966F6"/>
    <w:rsid w:val="004C1CF0"/>
    <w:rsid w:val="004C1ED7"/>
    <w:rsid w:val="004D2426"/>
    <w:rsid w:val="004E43EE"/>
    <w:rsid w:val="004E5A2B"/>
    <w:rsid w:val="005019FF"/>
    <w:rsid w:val="00503FEE"/>
    <w:rsid w:val="0051562B"/>
    <w:rsid w:val="0053057A"/>
    <w:rsid w:val="00536C7D"/>
    <w:rsid w:val="005413FB"/>
    <w:rsid w:val="005472CA"/>
    <w:rsid w:val="00560A29"/>
    <w:rsid w:val="00582533"/>
    <w:rsid w:val="00591D11"/>
    <w:rsid w:val="00596DA1"/>
    <w:rsid w:val="005A33EF"/>
    <w:rsid w:val="005C6649"/>
    <w:rsid w:val="005D134C"/>
    <w:rsid w:val="005E0E44"/>
    <w:rsid w:val="0060021D"/>
    <w:rsid w:val="00605827"/>
    <w:rsid w:val="00631959"/>
    <w:rsid w:val="00644F51"/>
    <w:rsid w:val="00646050"/>
    <w:rsid w:val="006713CA"/>
    <w:rsid w:val="00674CB2"/>
    <w:rsid w:val="00676C5C"/>
    <w:rsid w:val="006A1516"/>
    <w:rsid w:val="006A55FA"/>
    <w:rsid w:val="006B73DD"/>
    <w:rsid w:val="006B7D6D"/>
    <w:rsid w:val="006C347F"/>
    <w:rsid w:val="006D5964"/>
    <w:rsid w:val="006F1A1C"/>
    <w:rsid w:val="00702A31"/>
    <w:rsid w:val="0073671B"/>
    <w:rsid w:val="007436CF"/>
    <w:rsid w:val="00771A38"/>
    <w:rsid w:val="00783B13"/>
    <w:rsid w:val="00794EAB"/>
    <w:rsid w:val="00795A28"/>
    <w:rsid w:val="007A19DC"/>
    <w:rsid w:val="007D1613"/>
    <w:rsid w:val="007E4C0E"/>
    <w:rsid w:val="007E6613"/>
    <w:rsid w:val="007F70EA"/>
    <w:rsid w:val="007F7945"/>
    <w:rsid w:val="008154D1"/>
    <w:rsid w:val="00816842"/>
    <w:rsid w:val="008263F3"/>
    <w:rsid w:val="00846066"/>
    <w:rsid w:val="00874C80"/>
    <w:rsid w:val="008758F0"/>
    <w:rsid w:val="008A134B"/>
    <w:rsid w:val="008B11FB"/>
    <w:rsid w:val="008B2CC1"/>
    <w:rsid w:val="008B60B2"/>
    <w:rsid w:val="008E22A3"/>
    <w:rsid w:val="009044F3"/>
    <w:rsid w:val="00904C8E"/>
    <w:rsid w:val="0090731E"/>
    <w:rsid w:val="00916EE2"/>
    <w:rsid w:val="00946F9B"/>
    <w:rsid w:val="00966A22"/>
    <w:rsid w:val="0096722F"/>
    <w:rsid w:val="00980843"/>
    <w:rsid w:val="009867E1"/>
    <w:rsid w:val="009A6262"/>
    <w:rsid w:val="009B44D2"/>
    <w:rsid w:val="009C440D"/>
    <w:rsid w:val="009E2791"/>
    <w:rsid w:val="009E3F6F"/>
    <w:rsid w:val="009F499F"/>
    <w:rsid w:val="00A01EBF"/>
    <w:rsid w:val="00A11A9B"/>
    <w:rsid w:val="00A123F5"/>
    <w:rsid w:val="00A1514E"/>
    <w:rsid w:val="00A17CC3"/>
    <w:rsid w:val="00A27A71"/>
    <w:rsid w:val="00A35AD2"/>
    <w:rsid w:val="00A37342"/>
    <w:rsid w:val="00A374A2"/>
    <w:rsid w:val="00A42A89"/>
    <w:rsid w:val="00A42AA0"/>
    <w:rsid w:val="00A42DAF"/>
    <w:rsid w:val="00A45BD8"/>
    <w:rsid w:val="00A541D6"/>
    <w:rsid w:val="00A60473"/>
    <w:rsid w:val="00A653BD"/>
    <w:rsid w:val="00A869B7"/>
    <w:rsid w:val="00AC205C"/>
    <w:rsid w:val="00AD3A63"/>
    <w:rsid w:val="00AF0A6B"/>
    <w:rsid w:val="00AF2033"/>
    <w:rsid w:val="00B05A69"/>
    <w:rsid w:val="00B208AA"/>
    <w:rsid w:val="00B25921"/>
    <w:rsid w:val="00B275EE"/>
    <w:rsid w:val="00B7771D"/>
    <w:rsid w:val="00B90FBD"/>
    <w:rsid w:val="00B920B1"/>
    <w:rsid w:val="00B9734B"/>
    <w:rsid w:val="00BA30E2"/>
    <w:rsid w:val="00BA50A2"/>
    <w:rsid w:val="00BC056B"/>
    <w:rsid w:val="00BC0626"/>
    <w:rsid w:val="00BE61D1"/>
    <w:rsid w:val="00BF372E"/>
    <w:rsid w:val="00C11BFE"/>
    <w:rsid w:val="00C124FE"/>
    <w:rsid w:val="00C26032"/>
    <w:rsid w:val="00C335AB"/>
    <w:rsid w:val="00C5068F"/>
    <w:rsid w:val="00C55956"/>
    <w:rsid w:val="00C86D74"/>
    <w:rsid w:val="00C87310"/>
    <w:rsid w:val="00C91C06"/>
    <w:rsid w:val="00C92295"/>
    <w:rsid w:val="00CA59AA"/>
    <w:rsid w:val="00CC1E2F"/>
    <w:rsid w:val="00CC68C1"/>
    <w:rsid w:val="00CD04F1"/>
    <w:rsid w:val="00CE2E98"/>
    <w:rsid w:val="00CF16AD"/>
    <w:rsid w:val="00D45252"/>
    <w:rsid w:val="00D6243E"/>
    <w:rsid w:val="00D6588A"/>
    <w:rsid w:val="00D71B4D"/>
    <w:rsid w:val="00D93D55"/>
    <w:rsid w:val="00DB0370"/>
    <w:rsid w:val="00DB05EE"/>
    <w:rsid w:val="00DB7F6D"/>
    <w:rsid w:val="00DC13C2"/>
    <w:rsid w:val="00E15015"/>
    <w:rsid w:val="00E335FE"/>
    <w:rsid w:val="00E94E84"/>
    <w:rsid w:val="00E96EA6"/>
    <w:rsid w:val="00EA75BA"/>
    <w:rsid w:val="00EA7D6E"/>
    <w:rsid w:val="00EC0765"/>
    <w:rsid w:val="00EC4E49"/>
    <w:rsid w:val="00ED77FB"/>
    <w:rsid w:val="00EE45FA"/>
    <w:rsid w:val="00EE66F1"/>
    <w:rsid w:val="00F31C57"/>
    <w:rsid w:val="00F3498E"/>
    <w:rsid w:val="00F46E6F"/>
    <w:rsid w:val="00F507D6"/>
    <w:rsid w:val="00F53C42"/>
    <w:rsid w:val="00F66152"/>
    <w:rsid w:val="00FA5492"/>
    <w:rsid w:val="00FB36CB"/>
    <w:rsid w:val="00FB391E"/>
    <w:rsid w:val="00FB6BE5"/>
    <w:rsid w:val="00FE428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04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unhideWhenUsed/>
    <w:qFormat/>
    <w:rsid w:val="00A11A9B"/>
    <w:pPr>
      <w:keepNext/>
      <w:keepLines/>
      <w:spacing w:before="200"/>
      <w:outlineLvl w:val="4"/>
    </w:pPr>
    <w:rPr>
      <w:rFonts w:asciiTheme="majorHAnsi" w:eastAsiaTheme="majorEastAsia" w:hAnsiTheme="majorHAnsi" w:cstheme="majorBidi"/>
      <w:color w:val="243F60"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rsid w:val="007E6613"/>
    <w:rPr>
      <w:rFonts w:ascii="Tahoma" w:hAnsi="Tahoma" w:cs="Tahoma"/>
      <w:sz w:val="16"/>
      <w:szCs w:val="16"/>
    </w:rPr>
  </w:style>
  <w:style w:type="character" w:customStyle="1" w:styleId="BalloonTextChar">
    <w:name w:val="Balloon Text Char"/>
    <w:basedOn w:val="DefaultParagraphFont"/>
    <w:link w:val="BalloonText"/>
    <w:rsid w:val="007E6613"/>
    <w:rPr>
      <w:rFonts w:ascii="Tahoma" w:eastAsia="SimSun" w:hAnsi="Tahoma" w:cs="Tahoma"/>
      <w:sz w:val="16"/>
      <w:szCs w:val="16"/>
      <w:lang w:val="en-US" w:eastAsia="zh-CN"/>
    </w:rPr>
  </w:style>
  <w:style w:type="paragraph" w:styleId="ListParagraph">
    <w:name w:val="List Paragraph"/>
    <w:basedOn w:val="Normal"/>
    <w:uiPriority w:val="34"/>
    <w:qFormat/>
    <w:rsid w:val="007E6613"/>
    <w:pPr>
      <w:ind w:left="720"/>
      <w:contextualSpacing/>
    </w:pPr>
  </w:style>
  <w:style w:type="character" w:customStyle="1" w:styleId="Heading5Char">
    <w:name w:val="Heading 5 Char"/>
    <w:basedOn w:val="DefaultParagraphFont"/>
    <w:link w:val="Heading5"/>
    <w:rsid w:val="00A11A9B"/>
    <w:rPr>
      <w:rFonts w:asciiTheme="majorHAnsi" w:eastAsiaTheme="majorEastAsia" w:hAnsiTheme="majorHAnsi" w:cstheme="majorBidi"/>
      <w:color w:val="243F60" w:themeColor="accent1" w:themeShade="7F"/>
      <w:sz w:val="22"/>
      <w:lang w:val="en-US" w:eastAsia="en-US"/>
    </w:rPr>
  </w:style>
  <w:style w:type="character" w:customStyle="1" w:styleId="Heading1Char">
    <w:name w:val="Heading 1 Char"/>
    <w:basedOn w:val="DefaultParagraphFont"/>
    <w:link w:val="Heading1"/>
    <w:rsid w:val="00A11A9B"/>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A11A9B"/>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A11A9B"/>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rsid w:val="00A11A9B"/>
    <w:rPr>
      <w:rFonts w:ascii="Arial" w:eastAsia="SimSun" w:hAnsi="Arial" w:cs="Arial"/>
      <w:bCs/>
      <w:i/>
      <w:sz w:val="22"/>
      <w:szCs w:val="28"/>
      <w:lang w:val="en-US" w:eastAsia="zh-CN"/>
    </w:rPr>
  </w:style>
  <w:style w:type="character" w:customStyle="1" w:styleId="HeaderChar">
    <w:name w:val="Header Char"/>
    <w:basedOn w:val="DefaultParagraphFont"/>
    <w:link w:val="Header"/>
    <w:semiHidden/>
    <w:rsid w:val="00A11A9B"/>
    <w:rPr>
      <w:rFonts w:ascii="Arial" w:eastAsia="SimSun" w:hAnsi="Arial" w:cs="Arial"/>
      <w:sz w:val="22"/>
      <w:lang w:val="en-US" w:eastAsia="zh-CN"/>
    </w:rPr>
  </w:style>
  <w:style w:type="character" w:customStyle="1" w:styleId="FooterChar">
    <w:name w:val="Footer Char"/>
    <w:basedOn w:val="DefaultParagraphFont"/>
    <w:link w:val="Footer"/>
    <w:uiPriority w:val="99"/>
    <w:rsid w:val="00A11A9B"/>
    <w:rPr>
      <w:rFonts w:ascii="Arial" w:eastAsia="SimSun" w:hAnsi="Arial" w:cs="Arial"/>
      <w:sz w:val="22"/>
      <w:lang w:val="en-US" w:eastAsia="zh-CN"/>
    </w:rPr>
  </w:style>
  <w:style w:type="character" w:customStyle="1" w:styleId="SalutationChar">
    <w:name w:val="Salutation Char"/>
    <w:basedOn w:val="DefaultParagraphFont"/>
    <w:link w:val="Salutation"/>
    <w:semiHidden/>
    <w:rsid w:val="00A11A9B"/>
    <w:rPr>
      <w:rFonts w:ascii="Arial" w:eastAsia="SimSun" w:hAnsi="Arial" w:cs="Arial"/>
      <w:sz w:val="22"/>
      <w:lang w:val="en-US" w:eastAsia="zh-CN"/>
    </w:rPr>
  </w:style>
  <w:style w:type="character" w:customStyle="1" w:styleId="SignatureChar">
    <w:name w:val="Signature Char"/>
    <w:basedOn w:val="DefaultParagraphFont"/>
    <w:link w:val="Signature"/>
    <w:semiHidden/>
    <w:rsid w:val="00A11A9B"/>
    <w:rPr>
      <w:rFonts w:ascii="Arial" w:eastAsia="SimSun" w:hAnsi="Arial" w:cs="Arial"/>
      <w:sz w:val="22"/>
      <w:lang w:val="en-US" w:eastAsia="zh-CN"/>
    </w:rPr>
  </w:style>
  <w:style w:type="character" w:customStyle="1" w:styleId="FootnoteTextChar">
    <w:name w:val="Footnote Text Char"/>
    <w:basedOn w:val="DefaultParagraphFont"/>
    <w:link w:val="FootnoteText"/>
    <w:semiHidden/>
    <w:rsid w:val="00A11A9B"/>
    <w:rPr>
      <w:rFonts w:ascii="Arial" w:eastAsia="SimSun" w:hAnsi="Arial" w:cs="Arial"/>
      <w:sz w:val="18"/>
      <w:lang w:val="en-US" w:eastAsia="zh-CN"/>
    </w:rPr>
  </w:style>
  <w:style w:type="character" w:customStyle="1" w:styleId="EndnoteTextChar">
    <w:name w:val="Endnote Text Char"/>
    <w:basedOn w:val="DefaultParagraphFont"/>
    <w:link w:val="EndnoteText"/>
    <w:semiHidden/>
    <w:rsid w:val="00A11A9B"/>
    <w:rPr>
      <w:rFonts w:ascii="Arial" w:eastAsia="SimSun" w:hAnsi="Arial" w:cs="Arial"/>
      <w:sz w:val="18"/>
      <w:lang w:val="en-US" w:eastAsia="zh-CN"/>
    </w:rPr>
  </w:style>
  <w:style w:type="character" w:customStyle="1" w:styleId="CommentTextChar">
    <w:name w:val="Comment Text Char"/>
    <w:basedOn w:val="DefaultParagraphFont"/>
    <w:link w:val="CommentText"/>
    <w:semiHidden/>
    <w:rsid w:val="00A11A9B"/>
    <w:rPr>
      <w:rFonts w:ascii="Arial" w:eastAsia="SimSun" w:hAnsi="Arial" w:cs="Arial"/>
      <w:sz w:val="18"/>
      <w:lang w:val="en-US" w:eastAsia="zh-CN"/>
    </w:rPr>
  </w:style>
  <w:style w:type="character" w:customStyle="1" w:styleId="BodyTextChar">
    <w:name w:val="Body Text Char"/>
    <w:basedOn w:val="DefaultParagraphFont"/>
    <w:link w:val="BodyText"/>
    <w:rsid w:val="00A11A9B"/>
    <w:rPr>
      <w:rFonts w:ascii="Arial" w:eastAsia="SimSun" w:hAnsi="Arial" w:cs="Arial"/>
      <w:sz w:val="22"/>
      <w:lang w:val="en-US" w:eastAsia="zh-CN"/>
    </w:rPr>
  </w:style>
  <w:style w:type="paragraph" w:styleId="NormalWeb">
    <w:name w:val="Normal (Web)"/>
    <w:basedOn w:val="Normal"/>
    <w:rsid w:val="00A11A9B"/>
    <w:rPr>
      <w:rFonts w:ascii="Times New Roman" w:eastAsia="Times New Roman" w:hAnsi="Times New Roman" w:cs="Times New Roman"/>
      <w:sz w:val="24"/>
      <w:szCs w:val="24"/>
      <w:lang w:eastAsia="en-US"/>
    </w:rPr>
  </w:style>
  <w:style w:type="character" w:styleId="FootnoteReference">
    <w:name w:val="footnote reference"/>
    <w:basedOn w:val="DefaultParagraphFont"/>
    <w:rsid w:val="00A11A9B"/>
    <w:rPr>
      <w:vertAlign w:val="superscript"/>
    </w:rPr>
  </w:style>
  <w:style w:type="character" w:styleId="Hyperlink">
    <w:name w:val="Hyperlink"/>
    <w:basedOn w:val="DefaultParagraphFont"/>
    <w:rsid w:val="00A11A9B"/>
    <w:rPr>
      <w:color w:val="0000FF" w:themeColor="hyperlink"/>
      <w:u w:val="single"/>
    </w:rPr>
  </w:style>
  <w:style w:type="paragraph" w:styleId="TOC1">
    <w:name w:val="toc 1"/>
    <w:basedOn w:val="Normal"/>
    <w:next w:val="Normal"/>
    <w:autoRedefine/>
    <w:uiPriority w:val="39"/>
    <w:unhideWhenUsed/>
    <w:qFormat/>
    <w:rsid w:val="00A11A9B"/>
    <w:pPr>
      <w:spacing w:after="100"/>
    </w:pPr>
    <w:rPr>
      <w:rFonts w:eastAsia="Times New Roman"/>
      <w:lang w:eastAsia="en-US"/>
    </w:rPr>
  </w:style>
  <w:style w:type="paragraph" w:styleId="TOC2">
    <w:name w:val="toc 2"/>
    <w:basedOn w:val="Normal"/>
    <w:next w:val="Normal"/>
    <w:autoRedefine/>
    <w:uiPriority w:val="39"/>
    <w:unhideWhenUsed/>
    <w:qFormat/>
    <w:rsid w:val="00A11A9B"/>
    <w:pPr>
      <w:spacing w:after="100"/>
      <w:ind w:left="220"/>
    </w:pPr>
    <w:rPr>
      <w:rFonts w:eastAsia="Times New Roman"/>
      <w:lang w:eastAsia="en-US"/>
    </w:rPr>
  </w:style>
  <w:style w:type="paragraph" w:styleId="TOC3">
    <w:name w:val="toc 3"/>
    <w:basedOn w:val="Normal"/>
    <w:next w:val="Normal"/>
    <w:autoRedefine/>
    <w:uiPriority w:val="39"/>
    <w:unhideWhenUsed/>
    <w:qFormat/>
    <w:rsid w:val="00A11A9B"/>
    <w:pPr>
      <w:spacing w:after="100"/>
      <w:ind w:left="440"/>
    </w:pPr>
    <w:rPr>
      <w:rFonts w:eastAsia="Times New Roman"/>
      <w:lang w:eastAsia="en-US"/>
    </w:rPr>
  </w:style>
  <w:style w:type="paragraph" w:styleId="TOCHeading">
    <w:name w:val="TOC Heading"/>
    <w:basedOn w:val="Heading1"/>
    <w:next w:val="Normal"/>
    <w:uiPriority w:val="39"/>
    <w:semiHidden/>
    <w:unhideWhenUsed/>
    <w:qFormat/>
    <w:rsid w:val="00A11A9B"/>
    <w:pPr>
      <w:keepLines/>
      <w:spacing w:before="480" w:after="0" w:line="276" w:lineRule="auto"/>
      <w:outlineLvl w:val="9"/>
    </w:pPr>
    <w:rPr>
      <w:rFonts w:ascii="Cambria" w:eastAsia="Times New Roman" w:hAnsi="Cambria" w:cs="Times New Roman"/>
      <w:caps w:val="0"/>
      <w:color w:val="365F91" w:themeColor="accent1" w:themeShade="BF"/>
      <w:kern w:val="0"/>
      <w:sz w:val="28"/>
      <w:szCs w:val="28"/>
      <w:lang w:eastAsia="ja-JP"/>
    </w:rPr>
  </w:style>
  <w:style w:type="character" w:styleId="CommentReference">
    <w:name w:val="annotation reference"/>
    <w:basedOn w:val="DefaultParagraphFont"/>
    <w:rsid w:val="004C1ED7"/>
    <w:rPr>
      <w:sz w:val="16"/>
      <w:szCs w:val="16"/>
    </w:rPr>
  </w:style>
  <w:style w:type="paragraph" w:styleId="CommentSubject">
    <w:name w:val="annotation subject"/>
    <w:basedOn w:val="CommentText"/>
    <w:next w:val="CommentText"/>
    <w:link w:val="CommentSubjectChar"/>
    <w:rsid w:val="00145512"/>
    <w:rPr>
      <w:b/>
      <w:bCs/>
      <w:sz w:val="20"/>
    </w:rPr>
  </w:style>
  <w:style w:type="character" w:customStyle="1" w:styleId="CommentSubjectChar">
    <w:name w:val="Comment Subject Char"/>
    <w:basedOn w:val="CommentTextChar"/>
    <w:link w:val="CommentSubject"/>
    <w:rsid w:val="00145512"/>
    <w:rPr>
      <w:rFonts w:ascii="Arial" w:eastAsia="SimSun" w:hAnsi="Arial" w:cs="Arial"/>
      <w:b/>
      <w:bCs/>
      <w:sz w:val="18"/>
      <w:lang w:val="en-US" w:eastAsia="zh-CN"/>
    </w:rPr>
  </w:style>
  <w:style w:type="character" w:customStyle="1" w:styleId="st">
    <w:name w:val="st"/>
    <w:basedOn w:val="DefaultParagraphFont"/>
    <w:rsid w:val="00F31C57"/>
  </w:style>
  <w:style w:type="character" w:customStyle="1" w:styleId="english-link">
    <w:name w:val="english-link"/>
    <w:basedOn w:val="DefaultParagraphFont"/>
    <w:rsid w:val="00F31C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unhideWhenUsed/>
    <w:qFormat/>
    <w:rsid w:val="00A11A9B"/>
    <w:pPr>
      <w:keepNext/>
      <w:keepLines/>
      <w:spacing w:before="200"/>
      <w:outlineLvl w:val="4"/>
    </w:pPr>
    <w:rPr>
      <w:rFonts w:asciiTheme="majorHAnsi" w:eastAsiaTheme="majorEastAsia" w:hAnsiTheme="majorHAnsi" w:cstheme="majorBidi"/>
      <w:color w:val="243F60"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rsid w:val="007E6613"/>
    <w:rPr>
      <w:rFonts w:ascii="Tahoma" w:hAnsi="Tahoma" w:cs="Tahoma"/>
      <w:sz w:val="16"/>
      <w:szCs w:val="16"/>
    </w:rPr>
  </w:style>
  <w:style w:type="character" w:customStyle="1" w:styleId="BalloonTextChar">
    <w:name w:val="Balloon Text Char"/>
    <w:basedOn w:val="DefaultParagraphFont"/>
    <w:link w:val="BalloonText"/>
    <w:rsid w:val="007E6613"/>
    <w:rPr>
      <w:rFonts w:ascii="Tahoma" w:eastAsia="SimSun" w:hAnsi="Tahoma" w:cs="Tahoma"/>
      <w:sz w:val="16"/>
      <w:szCs w:val="16"/>
      <w:lang w:val="en-US" w:eastAsia="zh-CN"/>
    </w:rPr>
  </w:style>
  <w:style w:type="paragraph" w:styleId="ListParagraph">
    <w:name w:val="List Paragraph"/>
    <w:basedOn w:val="Normal"/>
    <w:uiPriority w:val="34"/>
    <w:qFormat/>
    <w:rsid w:val="007E6613"/>
    <w:pPr>
      <w:ind w:left="720"/>
      <w:contextualSpacing/>
    </w:pPr>
  </w:style>
  <w:style w:type="character" w:customStyle="1" w:styleId="Heading5Char">
    <w:name w:val="Heading 5 Char"/>
    <w:basedOn w:val="DefaultParagraphFont"/>
    <w:link w:val="Heading5"/>
    <w:rsid w:val="00A11A9B"/>
    <w:rPr>
      <w:rFonts w:asciiTheme="majorHAnsi" w:eastAsiaTheme="majorEastAsia" w:hAnsiTheme="majorHAnsi" w:cstheme="majorBidi"/>
      <w:color w:val="243F60" w:themeColor="accent1" w:themeShade="7F"/>
      <w:sz w:val="22"/>
      <w:lang w:val="en-US" w:eastAsia="en-US"/>
    </w:rPr>
  </w:style>
  <w:style w:type="character" w:customStyle="1" w:styleId="Heading1Char">
    <w:name w:val="Heading 1 Char"/>
    <w:basedOn w:val="DefaultParagraphFont"/>
    <w:link w:val="Heading1"/>
    <w:rsid w:val="00A11A9B"/>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A11A9B"/>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A11A9B"/>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rsid w:val="00A11A9B"/>
    <w:rPr>
      <w:rFonts w:ascii="Arial" w:eastAsia="SimSun" w:hAnsi="Arial" w:cs="Arial"/>
      <w:bCs/>
      <w:i/>
      <w:sz w:val="22"/>
      <w:szCs w:val="28"/>
      <w:lang w:val="en-US" w:eastAsia="zh-CN"/>
    </w:rPr>
  </w:style>
  <w:style w:type="character" w:customStyle="1" w:styleId="HeaderChar">
    <w:name w:val="Header Char"/>
    <w:basedOn w:val="DefaultParagraphFont"/>
    <w:link w:val="Header"/>
    <w:semiHidden/>
    <w:rsid w:val="00A11A9B"/>
    <w:rPr>
      <w:rFonts w:ascii="Arial" w:eastAsia="SimSun" w:hAnsi="Arial" w:cs="Arial"/>
      <w:sz w:val="22"/>
      <w:lang w:val="en-US" w:eastAsia="zh-CN"/>
    </w:rPr>
  </w:style>
  <w:style w:type="character" w:customStyle="1" w:styleId="FooterChar">
    <w:name w:val="Footer Char"/>
    <w:basedOn w:val="DefaultParagraphFont"/>
    <w:link w:val="Footer"/>
    <w:uiPriority w:val="99"/>
    <w:rsid w:val="00A11A9B"/>
    <w:rPr>
      <w:rFonts w:ascii="Arial" w:eastAsia="SimSun" w:hAnsi="Arial" w:cs="Arial"/>
      <w:sz w:val="22"/>
      <w:lang w:val="en-US" w:eastAsia="zh-CN"/>
    </w:rPr>
  </w:style>
  <w:style w:type="character" w:customStyle="1" w:styleId="SalutationChar">
    <w:name w:val="Salutation Char"/>
    <w:basedOn w:val="DefaultParagraphFont"/>
    <w:link w:val="Salutation"/>
    <w:semiHidden/>
    <w:rsid w:val="00A11A9B"/>
    <w:rPr>
      <w:rFonts w:ascii="Arial" w:eastAsia="SimSun" w:hAnsi="Arial" w:cs="Arial"/>
      <w:sz w:val="22"/>
      <w:lang w:val="en-US" w:eastAsia="zh-CN"/>
    </w:rPr>
  </w:style>
  <w:style w:type="character" w:customStyle="1" w:styleId="SignatureChar">
    <w:name w:val="Signature Char"/>
    <w:basedOn w:val="DefaultParagraphFont"/>
    <w:link w:val="Signature"/>
    <w:semiHidden/>
    <w:rsid w:val="00A11A9B"/>
    <w:rPr>
      <w:rFonts w:ascii="Arial" w:eastAsia="SimSun" w:hAnsi="Arial" w:cs="Arial"/>
      <w:sz w:val="22"/>
      <w:lang w:val="en-US" w:eastAsia="zh-CN"/>
    </w:rPr>
  </w:style>
  <w:style w:type="character" w:customStyle="1" w:styleId="FootnoteTextChar">
    <w:name w:val="Footnote Text Char"/>
    <w:basedOn w:val="DefaultParagraphFont"/>
    <w:link w:val="FootnoteText"/>
    <w:semiHidden/>
    <w:rsid w:val="00A11A9B"/>
    <w:rPr>
      <w:rFonts w:ascii="Arial" w:eastAsia="SimSun" w:hAnsi="Arial" w:cs="Arial"/>
      <w:sz w:val="18"/>
      <w:lang w:val="en-US" w:eastAsia="zh-CN"/>
    </w:rPr>
  </w:style>
  <w:style w:type="character" w:customStyle="1" w:styleId="EndnoteTextChar">
    <w:name w:val="Endnote Text Char"/>
    <w:basedOn w:val="DefaultParagraphFont"/>
    <w:link w:val="EndnoteText"/>
    <w:semiHidden/>
    <w:rsid w:val="00A11A9B"/>
    <w:rPr>
      <w:rFonts w:ascii="Arial" w:eastAsia="SimSun" w:hAnsi="Arial" w:cs="Arial"/>
      <w:sz w:val="18"/>
      <w:lang w:val="en-US" w:eastAsia="zh-CN"/>
    </w:rPr>
  </w:style>
  <w:style w:type="character" w:customStyle="1" w:styleId="CommentTextChar">
    <w:name w:val="Comment Text Char"/>
    <w:basedOn w:val="DefaultParagraphFont"/>
    <w:link w:val="CommentText"/>
    <w:semiHidden/>
    <w:rsid w:val="00A11A9B"/>
    <w:rPr>
      <w:rFonts w:ascii="Arial" w:eastAsia="SimSun" w:hAnsi="Arial" w:cs="Arial"/>
      <w:sz w:val="18"/>
      <w:lang w:val="en-US" w:eastAsia="zh-CN"/>
    </w:rPr>
  </w:style>
  <w:style w:type="character" w:customStyle="1" w:styleId="BodyTextChar">
    <w:name w:val="Body Text Char"/>
    <w:basedOn w:val="DefaultParagraphFont"/>
    <w:link w:val="BodyText"/>
    <w:rsid w:val="00A11A9B"/>
    <w:rPr>
      <w:rFonts w:ascii="Arial" w:eastAsia="SimSun" w:hAnsi="Arial" w:cs="Arial"/>
      <w:sz w:val="22"/>
      <w:lang w:val="en-US" w:eastAsia="zh-CN"/>
    </w:rPr>
  </w:style>
  <w:style w:type="paragraph" w:styleId="NormalWeb">
    <w:name w:val="Normal (Web)"/>
    <w:basedOn w:val="Normal"/>
    <w:rsid w:val="00A11A9B"/>
    <w:rPr>
      <w:rFonts w:ascii="Times New Roman" w:eastAsia="Times New Roman" w:hAnsi="Times New Roman" w:cs="Times New Roman"/>
      <w:sz w:val="24"/>
      <w:szCs w:val="24"/>
      <w:lang w:eastAsia="en-US"/>
    </w:rPr>
  </w:style>
  <w:style w:type="character" w:styleId="FootnoteReference">
    <w:name w:val="footnote reference"/>
    <w:basedOn w:val="DefaultParagraphFont"/>
    <w:rsid w:val="00A11A9B"/>
    <w:rPr>
      <w:vertAlign w:val="superscript"/>
    </w:rPr>
  </w:style>
  <w:style w:type="character" w:styleId="Hyperlink">
    <w:name w:val="Hyperlink"/>
    <w:basedOn w:val="DefaultParagraphFont"/>
    <w:rsid w:val="00A11A9B"/>
    <w:rPr>
      <w:color w:val="0000FF" w:themeColor="hyperlink"/>
      <w:u w:val="single"/>
    </w:rPr>
  </w:style>
  <w:style w:type="paragraph" w:styleId="TOC1">
    <w:name w:val="toc 1"/>
    <w:basedOn w:val="Normal"/>
    <w:next w:val="Normal"/>
    <w:autoRedefine/>
    <w:uiPriority w:val="39"/>
    <w:unhideWhenUsed/>
    <w:qFormat/>
    <w:rsid w:val="00A11A9B"/>
    <w:pPr>
      <w:spacing w:after="100"/>
    </w:pPr>
    <w:rPr>
      <w:rFonts w:eastAsia="Times New Roman"/>
      <w:lang w:eastAsia="en-US"/>
    </w:rPr>
  </w:style>
  <w:style w:type="paragraph" w:styleId="TOC2">
    <w:name w:val="toc 2"/>
    <w:basedOn w:val="Normal"/>
    <w:next w:val="Normal"/>
    <w:autoRedefine/>
    <w:uiPriority w:val="39"/>
    <w:unhideWhenUsed/>
    <w:qFormat/>
    <w:rsid w:val="00A11A9B"/>
    <w:pPr>
      <w:spacing w:after="100"/>
      <w:ind w:left="220"/>
    </w:pPr>
    <w:rPr>
      <w:rFonts w:eastAsia="Times New Roman"/>
      <w:lang w:eastAsia="en-US"/>
    </w:rPr>
  </w:style>
  <w:style w:type="paragraph" w:styleId="TOC3">
    <w:name w:val="toc 3"/>
    <w:basedOn w:val="Normal"/>
    <w:next w:val="Normal"/>
    <w:autoRedefine/>
    <w:uiPriority w:val="39"/>
    <w:unhideWhenUsed/>
    <w:qFormat/>
    <w:rsid w:val="00A11A9B"/>
    <w:pPr>
      <w:spacing w:after="100"/>
      <w:ind w:left="440"/>
    </w:pPr>
    <w:rPr>
      <w:rFonts w:eastAsia="Times New Roman"/>
      <w:lang w:eastAsia="en-US"/>
    </w:rPr>
  </w:style>
  <w:style w:type="paragraph" w:styleId="TOCHeading">
    <w:name w:val="TOC Heading"/>
    <w:basedOn w:val="Heading1"/>
    <w:next w:val="Normal"/>
    <w:uiPriority w:val="39"/>
    <w:semiHidden/>
    <w:unhideWhenUsed/>
    <w:qFormat/>
    <w:rsid w:val="00A11A9B"/>
    <w:pPr>
      <w:keepLines/>
      <w:spacing w:before="480" w:after="0" w:line="276" w:lineRule="auto"/>
      <w:outlineLvl w:val="9"/>
    </w:pPr>
    <w:rPr>
      <w:rFonts w:ascii="Cambria" w:eastAsia="Times New Roman" w:hAnsi="Cambria" w:cs="Times New Roman"/>
      <w:caps w:val="0"/>
      <w:color w:val="365F91" w:themeColor="accent1" w:themeShade="BF"/>
      <w:kern w:val="0"/>
      <w:sz w:val="28"/>
      <w:szCs w:val="28"/>
      <w:lang w:eastAsia="ja-JP"/>
    </w:rPr>
  </w:style>
  <w:style w:type="character" w:styleId="CommentReference">
    <w:name w:val="annotation reference"/>
    <w:basedOn w:val="DefaultParagraphFont"/>
    <w:rsid w:val="004C1ED7"/>
    <w:rPr>
      <w:sz w:val="16"/>
      <w:szCs w:val="16"/>
    </w:rPr>
  </w:style>
  <w:style w:type="paragraph" w:styleId="CommentSubject">
    <w:name w:val="annotation subject"/>
    <w:basedOn w:val="CommentText"/>
    <w:next w:val="CommentText"/>
    <w:link w:val="CommentSubjectChar"/>
    <w:rsid w:val="00145512"/>
    <w:rPr>
      <w:b/>
      <w:bCs/>
      <w:sz w:val="20"/>
    </w:rPr>
  </w:style>
  <w:style w:type="character" w:customStyle="1" w:styleId="CommentSubjectChar">
    <w:name w:val="Comment Subject Char"/>
    <w:basedOn w:val="CommentTextChar"/>
    <w:link w:val="CommentSubject"/>
    <w:rsid w:val="00145512"/>
    <w:rPr>
      <w:rFonts w:ascii="Arial" w:eastAsia="SimSun" w:hAnsi="Arial" w:cs="Arial"/>
      <w:b/>
      <w:bCs/>
      <w:sz w:val="18"/>
      <w:lang w:val="en-US" w:eastAsia="zh-CN"/>
    </w:rPr>
  </w:style>
  <w:style w:type="character" w:customStyle="1" w:styleId="st">
    <w:name w:val="st"/>
    <w:basedOn w:val="DefaultParagraphFont"/>
    <w:rsid w:val="00F31C57"/>
  </w:style>
  <w:style w:type="character" w:customStyle="1" w:styleId="english-link">
    <w:name w:val="english-link"/>
    <w:basedOn w:val="DefaultParagraphFont"/>
    <w:rsid w:val="00F31C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600CE-D816-44B5-A7B0-D5EB8B123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15</Pages>
  <Words>6441</Words>
  <Characters>36720</Characters>
  <Application>Microsoft Office Word</Application>
  <DocSecurity>0</DocSecurity>
  <Lines>306</Lines>
  <Paragraphs>86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WIPO</Company>
  <LinksUpToDate>false</LinksUpToDate>
  <CharactersWithSpaces>43075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Riechel</dc:creator>
  <cp:lastModifiedBy>BRACI Biljana</cp:lastModifiedBy>
  <cp:revision>4</cp:revision>
  <cp:lastPrinted>2017-11-08T13:47:00Z</cp:lastPrinted>
  <dcterms:created xsi:type="dcterms:W3CDTF">2017-11-08T13:46:00Z</dcterms:created>
  <dcterms:modified xsi:type="dcterms:W3CDTF">2017-11-08T13:57:00Z</dcterms:modified>
</cp:coreProperties>
</file>