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969A4" w:rsidRPr="000969A4" w:rsidTr="00F37065">
        <w:tc>
          <w:tcPr>
            <w:tcW w:w="4513" w:type="dxa"/>
            <w:tcBorders>
              <w:bottom w:val="single" w:sz="4" w:space="0" w:color="auto"/>
            </w:tcBorders>
            <w:tcMar>
              <w:bottom w:w="170" w:type="dxa"/>
            </w:tcMar>
          </w:tcPr>
          <w:p w:rsidR="000969A4" w:rsidRPr="000969A4" w:rsidRDefault="000969A4" w:rsidP="009C0B7C">
            <w:pPr>
              <w:rPr>
                <w:lang w:val="fr-FR"/>
              </w:rPr>
            </w:pPr>
            <w:bookmarkStart w:id="0" w:name="TitleOfDoc"/>
            <w:bookmarkEnd w:id="0"/>
          </w:p>
        </w:tc>
        <w:tc>
          <w:tcPr>
            <w:tcW w:w="4337" w:type="dxa"/>
            <w:tcBorders>
              <w:bottom w:val="single" w:sz="4" w:space="0" w:color="auto"/>
            </w:tcBorders>
            <w:tcMar>
              <w:left w:w="0" w:type="dxa"/>
              <w:right w:w="0" w:type="dxa"/>
            </w:tcMar>
          </w:tcPr>
          <w:p w:rsidR="000969A4" w:rsidRPr="000969A4" w:rsidRDefault="000969A4" w:rsidP="009C0B7C">
            <w:pPr>
              <w:rPr>
                <w:lang w:val="fr-FR"/>
              </w:rPr>
            </w:pPr>
            <w:r w:rsidRPr="000969A4">
              <w:rPr>
                <w:noProof/>
                <w:lang w:eastAsia="en-US"/>
              </w:rPr>
              <w:drawing>
                <wp:inline distT="0" distB="0" distL="0" distR="0" wp14:anchorId="763EB241" wp14:editId="5E495B14">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969A4" w:rsidRPr="000969A4" w:rsidRDefault="000969A4" w:rsidP="009C0B7C">
            <w:pPr>
              <w:jc w:val="right"/>
              <w:rPr>
                <w:lang w:val="fr-FR"/>
              </w:rPr>
            </w:pPr>
            <w:r w:rsidRPr="000969A4">
              <w:rPr>
                <w:b/>
                <w:sz w:val="40"/>
                <w:szCs w:val="40"/>
                <w:lang w:val="fr-FR"/>
              </w:rPr>
              <w:t>F</w:t>
            </w:r>
          </w:p>
        </w:tc>
      </w:tr>
      <w:tr w:rsidR="000969A4" w:rsidRPr="006A653A" w:rsidTr="00F37065">
        <w:trPr>
          <w:trHeight w:hRule="exact" w:val="340"/>
        </w:trPr>
        <w:tc>
          <w:tcPr>
            <w:tcW w:w="9356" w:type="dxa"/>
            <w:gridSpan w:val="3"/>
            <w:tcBorders>
              <w:top w:val="single" w:sz="4" w:space="0" w:color="auto"/>
            </w:tcBorders>
            <w:tcMar>
              <w:top w:w="170" w:type="dxa"/>
              <w:left w:w="0" w:type="dxa"/>
              <w:right w:w="0" w:type="dxa"/>
            </w:tcMar>
            <w:vAlign w:val="bottom"/>
          </w:tcPr>
          <w:p w:rsidR="000969A4" w:rsidRPr="000969A4" w:rsidRDefault="000969A4" w:rsidP="009C0B7C">
            <w:pPr>
              <w:jc w:val="right"/>
              <w:rPr>
                <w:rFonts w:ascii="Arial Black" w:hAnsi="Arial Black"/>
                <w:caps/>
                <w:sz w:val="15"/>
                <w:lang w:val="fr-FR"/>
              </w:rPr>
            </w:pPr>
            <w:r w:rsidRPr="000969A4">
              <w:rPr>
                <w:rFonts w:ascii="Arial Black" w:hAnsi="Arial Black"/>
                <w:caps/>
                <w:sz w:val="15"/>
                <w:lang w:val="fr-FR"/>
              </w:rPr>
              <w:t>CDIP/18/</w:t>
            </w:r>
            <w:bookmarkStart w:id="1" w:name="Code"/>
            <w:bookmarkEnd w:id="1"/>
            <w:r w:rsidRPr="000969A4">
              <w:rPr>
                <w:rFonts w:ascii="Arial Black" w:hAnsi="Arial Black"/>
                <w:caps/>
                <w:sz w:val="15"/>
                <w:lang w:val="fr-FR"/>
              </w:rPr>
              <w:t>6</w:t>
            </w:r>
            <w:r w:rsidR="006A653A">
              <w:rPr>
                <w:rFonts w:ascii="Arial Black" w:hAnsi="Arial Black"/>
                <w:caps/>
                <w:sz w:val="15"/>
                <w:lang w:val="fr-FR"/>
              </w:rPr>
              <w:t xml:space="preserve"> Rev.</w:t>
            </w:r>
            <w:bookmarkStart w:id="2" w:name="_GoBack"/>
            <w:bookmarkEnd w:id="2"/>
            <w:r w:rsidRPr="000969A4">
              <w:rPr>
                <w:rFonts w:ascii="Arial Black" w:hAnsi="Arial Black"/>
                <w:caps/>
                <w:sz w:val="15"/>
                <w:lang w:val="fr-FR"/>
              </w:rPr>
              <w:t xml:space="preserve"> </w:t>
            </w:r>
          </w:p>
        </w:tc>
      </w:tr>
      <w:tr w:rsidR="000969A4" w:rsidRPr="006A653A" w:rsidTr="00F37065">
        <w:trPr>
          <w:trHeight w:hRule="exact" w:val="170"/>
        </w:trPr>
        <w:tc>
          <w:tcPr>
            <w:tcW w:w="9356" w:type="dxa"/>
            <w:gridSpan w:val="3"/>
            <w:noWrap/>
            <w:tcMar>
              <w:left w:w="0" w:type="dxa"/>
              <w:right w:w="0" w:type="dxa"/>
            </w:tcMar>
            <w:vAlign w:val="bottom"/>
          </w:tcPr>
          <w:p w:rsidR="000969A4" w:rsidRPr="000969A4" w:rsidRDefault="000969A4" w:rsidP="009C0B7C">
            <w:pPr>
              <w:jc w:val="right"/>
              <w:rPr>
                <w:rFonts w:ascii="Arial Black" w:hAnsi="Arial Black"/>
                <w:caps/>
                <w:sz w:val="15"/>
                <w:lang w:val="fr-FR"/>
              </w:rPr>
            </w:pPr>
            <w:r w:rsidRPr="000969A4">
              <w:rPr>
                <w:rFonts w:ascii="Arial Black" w:hAnsi="Arial Black"/>
                <w:caps/>
                <w:sz w:val="15"/>
                <w:lang w:val="fr-FR"/>
              </w:rPr>
              <w:t xml:space="preserve">ORIGINAL : </w:t>
            </w:r>
            <w:bookmarkStart w:id="3" w:name="Original"/>
            <w:bookmarkEnd w:id="3"/>
            <w:r w:rsidRPr="000969A4">
              <w:rPr>
                <w:rFonts w:ascii="Arial Black" w:hAnsi="Arial Black"/>
                <w:caps/>
                <w:sz w:val="15"/>
                <w:lang w:val="fr-FR"/>
              </w:rPr>
              <w:t>anglais</w:t>
            </w:r>
          </w:p>
        </w:tc>
      </w:tr>
      <w:tr w:rsidR="000969A4" w:rsidRPr="006A653A" w:rsidTr="00F37065">
        <w:trPr>
          <w:trHeight w:hRule="exact" w:val="198"/>
        </w:trPr>
        <w:tc>
          <w:tcPr>
            <w:tcW w:w="9356" w:type="dxa"/>
            <w:gridSpan w:val="3"/>
            <w:tcMar>
              <w:left w:w="0" w:type="dxa"/>
              <w:right w:w="0" w:type="dxa"/>
            </w:tcMar>
            <w:vAlign w:val="bottom"/>
          </w:tcPr>
          <w:p w:rsidR="000969A4" w:rsidRPr="000969A4" w:rsidRDefault="000969A4" w:rsidP="009C0B7C">
            <w:pPr>
              <w:jc w:val="right"/>
              <w:rPr>
                <w:rFonts w:ascii="Arial Black" w:hAnsi="Arial Black"/>
                <w:caps/>
                <w:sz w:val="15"/>
                <w:lang w:val="fr-FR"/>
              </w:rPr>
            </w:pPr>
            <w:r w:rsidRPr="000969A4">
              <w:rPr>
                <w:rFonts w:ascii="Arial Black" w:hAnsi="Arial Black"/>
                <w:caps/>
                <w:sz w:val="15"/>
                <w:lang w:val="fr-FR"/>
              </w:rPr>
              <w:t xml:space="preserve">DATE : </w:t>
            </w:r>
            <w:bookmarkStart w:id="4" w:name="Date"/>
            <w:bookmarkEnd w:id="4"/>
            <w:r w:rsidRPr="000969A4">
              <w:rPr>
                <w:rFonts w:ascii="Arial Black" w:hAnsi="Arial Black"/>
                <w:caps/>
                <w:sz w:val="15"/>
                <w:lang w:val="fr-FR"/>
              </w:rPr>
              <w:t>8 août 2016</w:t>
            </w:r>
          </w:p>
        </w:tc>
      </w:tr>
    </w:tbl>
    <w:p w:rsidR="000969A4" w:rsidRPr="000969A4" w:rsidRDefault="000969A4" w:rsidP="009C0B7C">
      <w:pPr>
        <w:rPr>
          <w:lang w:val="fr-FR"/>
        </w:rPr>
      </w:pPr>
    </w:p>
    <w:p w:rsidR="000969A4" w:rsidRPr="000969A4" w:rsidRDefault="000969A4" w:rsidP="009C0B7C">
      <w:pPr>
        <w:rPr>
          <w:lang w:val="fr-FR"/>
        </w:rPr>
      </w:pPr>
    </w:p>
    <w:p w:rsidR="000969A4" w:rsidRPr="000969A4" w:rsidRDefault="000969A4" w:rsidP="009C0B7C">
      <w:pPr>
        <w:rPr>
          <w:lang w:val="fr-FR"/>
        </w:rPr>
      </w:pPr>
    </w:p>
    <w:p w:rsidR="000969A4" w:rsidRPr="000969A4" w:rsidRDefault="000969A4" w:rsidP="009C0B7C">
      <w:pPr>
        <w:rPr>
          <w:lang w:val="fr-FR"/>
        </w:rPr>
      </w:pPr>
    </w:p>
    <w:p w:rsidR="000969A4" w:rsidRPr="000969A4" w:rsidRDefault="000969A4" w:rsidP="009C0B7C">
      <w:pPr>
        <w:rPr>
          <w:lang w:val="fr-FR"/>
        </w:rPr>
      </w:pPr>
    </w:p>
    <w:p w:rsidR="000969A4" w:rsidRPr="000969A4" w:rsidRDefault="000969A4" w:rsidP="009C0B7C">
      <w:pPr>
        <w:rPr>
          <w:b/>
          <w:sz w:val="28"/>
          <w:szCs w:val="28"/>
          <w:lang w:val="fr-FR"/>
        </w:rPr>
      </w:pPr>
      <w:r w:rsidRPr="000969A4">
        <w:rPr>
          <w:b/>
          <w:sz w:val="28"/>
          <w:szCs w:val="28"/>
          <w:lang w:val="fr-FR"/>
        </w:rPr>
        <w:t>Comité du développement et de la propriété intellectuelle (CDIP)</w:t>
      </w:r>
    </w:p>
    <w:p w:rsidR="000969A4" w:rsidRPr="000969A4" w:rsidRDefault="000969A4" w:rsidP="009C0B7C">
      <w:pPr>
        <w:rPr>
          <w:lang w:val="fr-FR"/>
        </w:rPr>
      </w:pPr>
    </w:p>
    <w:p w:rsidR="000969A4" w:rsidRPr="000969A4" w:rsidRDefault="000969A4" w:rsidP="009C0B7C">
      <w:pPr>
        <w:rPr>
          <w:lang w:val="fr-FR"/>
        </w:rPr>
      </w:pPr>
    </w:p>
    <w:p w:rsidR="000969A4" w:rsidRPr="000969A4" w:rsidRDefault="000969A4" w:rsidP="009C0B7C">
      <w:pPr>
        <w:rPr>
          <w:b/>
          <w:sz w:val="24"/>
          <w:szCs w:val="24"/>
          <w:lang w:val="fr-FR"/>
        </w:rPr>
      </w:pPr>
      <w:r w:rsidRPr="000969A4">
        <w:rPr>
          <w:b/>
          <w:sz w:val="24"/>
          <w:szCs w:val="24"/>
          <w:lang w:val="fr-FR"/>
        </w:rPr>
        <w:t>Dix</w:t>
      </w:r>
      <w:r w:rsidR="0043436D">
        <w:rPr>
          <w:b/>
          <w:sz w:val="24"/>
          <w:szCs w:val="24"/>
          <w:lang w:val="fr-FR"/>
        </w:rPr>
        <w:noBreakHyphen/>
      </w:r>
      <w:r w:rsidRPr="000969A4">
        <w:rPr>
          <w:b/>
          <w:sz w:val="24"/>
          <w:szCs w:val="24"/>
          <w:lang w:val="fr-FR"/>
        </w:rPr>
        <w:t>huitième session</w:t>
      </w:r>
    </w:p>
    <w:p w:rsidR="000969A4" w:rsidRPr="000969A4" w:rsidRDefault="000969A4" w:rsidP="009C0B7C">
      <w:pPr>
        <w:rPr>
          <w:b/>
          <w:sz w:val="24"/>
          <w:szCs w:val="24"/>
          <w:lang w:val="fr-FR"/>
        </w:rPr>
      </w:pPr>
      <w:r w:rsidRPr="000969A4">
        <w:rPr>
          <w:b/>
          <w:sz w:val="24"/>
          <w:szCs w:val="24"/>
          <w:lang w:val="fr-FR"/>
        </w:rPr>
        <w:t>Genève, 31 octobre – 4 novembre 2016</w:t>
      </w:r>
    </w:p>
    <w:p w:rsidR="000969A4" w:rsidRPr="000969A4" w:rsidRDefault="000969A4" w:rsidP="009C0B7C">
      <w:pPr>
        <w:rPr>
          <w:lang w:val="fr-FR"/>
        </w:rPr>
      </w:pPr>
    </w:p>
    <w:p w:rsidR="000969A4" w:rsidRPr="000969A4" w:rsidRDefault="000969A4" w:rsidP="009C0B7C">
      <w:pPr>
        <w:rPr>
          <w:lang w:val="fr-FR"/>
        </w:rPr>
      </w:pPr>
    </w:p>
    <w:p w:rsidR="000969A4" w:rsidRPr="000969A4" w:rsidRDefault="000969A4" w:rsidP="00260781">
      <w:pPr>
        <w:rPr>
          <w:lang w:val="fr-FR"/>
        </w:rPr>
      </w:pPr>
    </w:p>
    <w:p w:rsidR="00A04668" w:rsidRDefault="000969A4" w:rsidP="00260781">
      <w:pPr>
        <w:rPr>
          <w:caps/>
          <w:sz w:val="24"/>
          <w:lang w:val="fr-FR"/>
        </w:rPr>
      </w:pPr>
      <w:r w:rsidRPr="000969A4">
        <w:rPr>
          <w:caps/>
          <w:sz w:val="24"/>
          <w:lang w:val="fr-FR"/>
        </w:rPr>
        <w:t>C</w:t>
      </w:r>
      <w:r w:rsidR="009246E4" w:rsidRPr="000969A4">
        <w:rPr>
          <w:caps/>
          <w:sz w:val="24"/>
          <w:lang w:val="fr-FR"/>
        </w:rPr>
        <w:t xml:space="preserve">ompilation des </w:t>
      </w:r>
      <w:r w:rsidRPr="000969A4">
        <w:rPr>
          <w:caps/>
          <w:sz w:val="24"/>
          <w:lang w:val="fr-FR"/>
        </w:rPr>
        <w:t>commentaires des É</w:t>
      </w:r>
      <w:r w:rsidR="00571622" w:rsidRPr="000969A4">
        <w:rPr>
          <w:caps/>
          <w:sz w:val="24"/>
          <w:lang w:val="fr-FR"/>
        </w:rPr>
        <w:t>tats membres</w:t>
      </w:r>
      <w:r w:rsidR="00F52B29" w:rsidRPr="000969A4">
        <w:rPr>
          <w:caps/>
          <w:sz w:val="24"/>
          <w:lang w:val="fr-FR"/>
        </w:rPr>
        <w:t xml:space="preserve"> </w:t>
      </w:r>
      <w:r w:rsidR="00571622" w:rsidRPr="000969A4">
        <w:rPr>
          <w:caps/>
          <w:sz w:val="24"/>
          <w:lang w:val="fr-FR"/>
        </w:rPr>
        <w:t xml:space="preserve">sur les activités </w:t>
      </w:r>
      <w:r w:rsidR="00260781">
        <w:rPr>
          <w:caps/>
          <w:sz w:val="24"/>
          <w:lang w:val="fr-FR"/>
        </w:rPr>
        <w:t xml:space="preserve">relatives au </w:t>
      </w:r>
      <w:r w:rsidR="00571622" w:rsidRPr="000969A4">
        <w:rPr>
          <w:caps/>
          <w:sz w:val="24"/>
          <w:lang w:val="fr-FR"/>
        </w:rPr>
        <w:t>transfert de technologie</w:t>
      </w:r>
    </w:p>
    <w:p w:rsidR="008B2CC1" w:rsidRPr="000969A4" w:rsidRDefault="008B2CC1" w:rsidP="00260781">
      <w:pPr>
        <w:rPr>
          <w:lang w:val="fr-FR"/>
        </w:rPr>
      </w:pPr>
    </w:p>
    <w:p w:rsidR="008B2CC1" w:rsidRPr="000969A4" w:rsidRDefault="00FD17D9" w:rsidP="00260781">
      <w:pPr>
        <w:rPr>
          <w:i/>
          <w:lang w:val="fr-FR"/>
        </w:rPr>
      </w:pPr>
      <w:bookmarkStart w:id="5" w:name="Prepared"/>
      <w:bookmarkEnd w:id="5"/>
      <w:r w:rsidRPr="000969A4">
        <w:rPr>
          <w:i/>
          <w:lang w:val="fr-FR"/>
        </w:rPr>
        <w:t>Document établi par le</w:t>
      </w:r>
      <w:r w:rsidR="00F52B29" w:rsidRPr="000969A4">
        <w:rPr>
          <w:i/>
          <w:lang w:val="fr-FR"/>
        </w:rPr>
        <w:t xml:space="preserve"> Secr</w:t>
      </w:r>
      <w:r w:rsidRPr="000969A4">
        <w:rPr>
          <w:i/>
          <w:lang w:val="fr-FR"/>
        </w:rPr>
        <w:t>é</w:t>
      </w:r>
      <w:r w:rsidR="00F52B29" w:rsidRPr="000969A4">
        <w:rPr>
          <w:i/>
          <w:lang w:val="fr-FR"/>
        </w:rPr>
        <w:t>tariat</w:t>
      </w:r>
    </w:p>
    <w:p w:rsidR="00AC205C" w:rsidRPr="000969A4" w:rsidRDefault="00AC205C" w:rsidP="00260781">
      <w:pPr>
        <w:rPr>
          <w:lang w:val="fr-FR"/>
        </w:rPr>
      </w:pPr>
    </w:p>
    <w:p w:rsidR="000F5E56" w:rsidRPr="000969A4" w:rsidRDefault="000F5E56" w:rsidP="00260781">
      <w:pPr>
        <w:rPr>
          <w:lang w:val="fr-FR"/>
        </w:rPr>
      </w:pPr>
    </w:p>
    <w:p w:rsidR="002928D3" w:rsidRPr="000969A4" w:rsidRDefault="002928D3" w:rsidP="00260781">
      <w:pPr>
        <w:rPr>
          <w:lang w:val="fr-FR"/>
        </w:rPr>
      </w:pPr>
    </w:p>
    <w:p w:rsidR="002928D3" w:rsidRPr="000969A4" w:rsidRDefault="002928D3" w:rsidP="00260781">
      <w:pPr>
        <w:rPr>
          <w:lang w:val="fr-FR"/>
        </w:rPr>
      </w:pPr>
    </w:p>
    <w:p w:rsidR="00FD17D9" w:rsidRPr="000969A4" w:rsidRDefault="00FD17D9" w:rsidP="00260781">
      <w:pPr>
        <w:pStyle w:val="ONUMFS"/>
        <w:rPr>
          <w:lang w:val="fr-FR"/>
        </w:rPr>
      </w:pPr>
      <w:r w:rsidRPr="000969A4">
        <w:rPr>
          <w:lang w:val="fr-FR"/>
        </w:rPr>
        <w:t>Au cours de sa dix</w:t>
      </w:r>
      <w:r w:rsidR="0043436D">
        <w:rPr>
          <w:lang w:val="fr-FR"/>
        </w:rPr>
        <w:noBreakHyphen/>
      </w:r>
      <w:r w:rsidRPr="000969A4">
        <w:rPr>
          <w:lang w:val="fr-FR"/>
        </w:rPr>
        <w:t>septième</w:t>
      </w:r>
      <w:r w:rsidR="00A849D6">
        <w:rPr>
          <w:lang w:val="fr-FR"/>
        </w:rPr>
        <w:t> </w:t>
      </w:r>
      <w:r w:rsidRPr="000969A4">
        <w:rPr>
          <w:lang w:val="fr-FR"/>
        </w:rPr>
        <w:t>session, le Comité du développement et de la propriété intellectuelle (CDIP), dans le cadre de l</w:t>
      </w:r>
      <w:r w:rsidR="00A04668">
        <w:rPr>
          <w:lang w:val="fr-FR"/>
        </w:rPr>
        <w:t>’</w:t>
      </w:r>
      <w:r w:rsidRPr="000969A4">
        <w:rPr>
          <w:lang w:val="fr-FR"/>
        </w:rPr>
        <w:t xml:space="preserve">examen du document CDIP/17/9 sur la “Cartographie des activités relatives au transfert de technologie” a décidé </w:t>
      </w:r>
      <w:r w:rsidR="00D2040B" w:rsidRPr="000969A4">
        <w:rPr>
          <w:lang w:val="fr-FR"/>
        </w:rPr>
        <w:t xml:space="preserve">ce qui suit : </w:t>
      </w:r>
      <w:r w:rsidRPr="000969A4">
        <w:rPr>
          <w:lang w:val="fr-FR"/>
        </w:rPr>
        <w:t>“les États membres pourraient soumettre des propositions qui seraient examinées à la dix</w:t>
      </w:r>
      <w:r w:rsidR="0043436D">
        <w:rPr>
          <w:lang w:val="fr-FR"/>
        </w:rPr>
        <w:noBreakHyphen/>
      </w:r>
      <w:r w:rsidRPr="000969A4">
        <w:rPr>
          <w:lang w:val="fr-FR"/>
        </w:rPr>
        <w:t>huitième session du comi</w:t>
      </w:r>
      <w:r w:rsidR="0043436D" w:rsidRPr="000969A4">
        <w:rPr>
          <w:lang w:val="fr-FR"/>
        </w:rPr>
        <w:t>té</w:t>
      </w:r>
      <w:r w:rsidR="0043436D">
        <w:rPr>
          <w:lang w:val="fr-FR"/>
        </w:rPr>
        <w:t xml:space="preserve">.  </w:t>
      </w:r>
      <w:r w:rsidR="0043436D" w:rsidRPr="000969A4">
        <w:rPr>
          <w:lang w:val="fr-FR"/>
        </w:rPr>
        <w:t>Ce</w:t>
      </w:r>
      <w:r w:rsidRPr="000969A4">
        <w:rPr>
          <w:lang w:val="fr-FR"/>
        </w:rPr>
        <w:t>s propositions devraient séparer les questions de politique générale et les propositions spécifiques concernant d</w:t>
      </w:r>
      <w:r w:rsidR="00A04668">
        <w:rPr>
          <w:lang w:val="fr-FR"/>
        </w:rPr>
        <w:t>’</w:t>
      </w:r>
      <w:r w:rsidRPr="000969A4">
        <w:rPr>
          <w:lang w:val="fr-FR"/>
        </w:rPr>
        <w:t xml:space="preserve">éventuelles mesures à prendre.  </w:t>
      </w:r>
      <w:r w:rsidR="00D2040B" w:rsidRPr="000969A4">
        <w:rPr>
          <w:lang w:val="fr-FR"/>
        </w:rPr>
        <w:t>[Elles]</w:t>
      </w:r>
      <w:r w:rsidRPr="000969A4">
        <w:rPr>
          <w:lang w:val="fr-FR"/>
        </w:rPr>
        <w:t xml:space="preserve"> devront parvenir au Secrétariat le 10 juillet 2016 au plus tard</w:t>
      </w:r>
      <w:r w:rsidR="00D2040B" w:rsidRPr="000969A4">
        <w:rPr>
          <w:lang w:val="fr-FR"/>
        </w:rPr>
        <w:t>”</w:t>
      </w:r>
      <w:r w:rsidR="000969A4">
        <w:rPr>
          <w:lang w:val="fr-FR"/>
        </w:rPr>
        <w:t>.</w:t>
      </w:r>
    </w:p>
    <w:p w:rsidR="00D2040B" w:rsidRPr="000969A4" w:rsidRDefault="00D2040B" w:rsidP="00260781">
      <w:pPr>
        <w:pStyle w:val="ONUMFS"/>
        <w:rPr>
          <w:lang w:val="fr-FR"/>
        </w:rPr>
      </w:pPr>
      <w:r w:rsidRPr="000969A4">
        <w:rPr>
          <w:lang w:val="fr-FR"/>
        </w:rPr>
        <w:t>Comme suite à cette deman</w:t>
      </w:r>
      <w:r w:rsidR="0043436D" w:rsidRPr="000969A4">
        <w:rPr>
          <w:lang w:val="fr-FR"/>
        </w:rPr>
        <w:t>de</w:t>
      </w:r>
      <w:r w:rsidR="0043436D">
        <w:rPr>
          <w:lang w:val="fr-FR"/>
        </w:rPr>
        <w:t xml:space="preserve">.  </w:t>
      </w:r>
      <w:r w:rsidR="0043436D" w:rsidRPr="000969A4">
        <w:rPr>
          <w:lang w:val="fr-FR"/>
        </w:rPr>
        <w:t>Le</w:t>
      </w:r>
      <w:r w:rsidRPr="000969A4">
        <w:rPr>
          <w:lang w:val="fr-FR"/>
        </w:rPr>
        <w:t>s annexes au présent document contiennent les propositions soumises par les États membres concernant l</w:t>
      </w:r>
      <w:r w:rsidR="00A04668">
        <w:rPr>
          <w:lang w:val="fr-FR"/>
        </w:rPr>
        <w:t>’</w:t>
      </w:r>
      <w:r w:rsidRPr="000969A4">
        <w:rPr>
          <w:lang w:val="fr-FR"/>
        </w:rPr>
        <w:t>objet susvisé.</w:t>
      </w:r>
    </w:p>
    <w:p w:rsidR="00F52B29" w:rsidRPr="000969A4" w:rsidRDefault="00D2040B" w:rsidP="00260781">
      <w:pPr>
        <w:pStyle w:val="ONUMFS"/>
        <w:ind w:left="5533"/>
        <w:rPr>
          <w:rStyle w:val="ONUMFSChar"/>
          <w:i/>
          <w:lang w:val="fr-FR"/>
        </w:rPr>
      </w:pPr>
      <w:r w:rsidRPr="000969A4">
        <w:rPr>
          <w:i/>
          <w:lang w:val="fr-FR"/>
        </w:rPr>
        <w:t>Le CDIP est invité à examiner le</w:t>
      </w:r>
      <w:r w:rsidR="009246E4" w:rsidRPr="000969A4">
        <w:rPr>
          <w:i/>
          <w:lang w:val="fr-FR"/>
        </w:rPr>
        <w:t xml:space="preserve">s informations contenues dans les </w:t>
      </w:r>
      <w:r w:rsidRPr="000969A4">
        <w:rPr>
          <w:i/>
          <w:lang w:val="fr-FR"/>
        </w:rPr>
        <w:t>annexe</w:t>
      </w:r>
      <w:r w:rsidR="009246E4" w:rsidRPr="000969A4">
        <w:rPr>
          <w:i/>
          <w:lang w:val="fr-FR"/>
        </w:rPr>
        <w:t>s</w:t>
      </w:r>
      <w:r w:rsidRPr="000969A4">
        <w:rPr>
          <w:i/>
          <w:lang w:val="fr-FR"/>
        </w:rPr>
        <w:t xml:space="preserve"> du présent document.</w:t>
      </w:r>
    </w:p>
    <w:p w:rsidR="00C65C0F" w:rsidRPr="000969A4" w:rsidRDefault="00C65C0F" w:rsidP="00260781">
      <w:pPr>
        <w:rPr>
          <w:lang w:val="fr-FR"/>
        </w:rPr>
      </w:pPr>
    </w:p>
    <w:p w:rsidR="00C65C0F" w:rsidRPr="000969A4" w:rsidRDefault="00C65C0F" w:rsidP="00260781">
      <w:pPr>
        <w:rPr>
          <w:lang w:val="fr-FR"/>
        </w:rPr>
      </w:pPr>
    </w:p>
    <w:p w:rsidR="00C65C0F" w:rsidRPr="000969A4" w:rsidRDefault="00C65C0F" w:rsidP="00260781">
      <w:pPr>
        <w:pStyle w:val="Endofdocument-Annex"/>
        <w:rPr>
          <w:lang w:val="fr-FR"/>
        </w:rPr>
        <w:sectPr w:rsidR="00C65C0F" w:rsidRPr="000969A4" w:rsidSect="000969A4">
          <w:headerReference w:type="default" r:id="rId10"/>
          <w:endnotePr>
            <w:numFmt w:val="decimal"/>
          </w:endnotePr>
          <w:pgSz w:w="11907" w:h="16840" w:code="9"/>
          <w:pgMar w:top="567" w:right="1134" w:bottom="1418" w:left="1418" w:header="510" w:footer="1021" w:gutter="0"/>
          <w:cols w:space="720"/>
          <w:titlePg/>
          <w:docGrid w:linePitch="299"/>
        </w:sectPr>
      </w:pPr>
      <w:r w:rsidRPr="000969A4">
        <w:rPr>
          <w:lang w:val="fr-FR"/>
        </w:rPr>
        <w:t>[</w:t>
      </w:r>
      <w:r w:rsidR="00D2040B" w:rsidRPr="000969A4">
        <w:rPr>
          <w:lang w:val="fr-FR"/>
        </w:rPr>
        <w:t>Les a</w:t>
      </w:r>
      <w:r w:rsidRPr="000969A4">
        <w:rPr>
          <w:lang w:val="fr-FR"/>
        </w:rPr>
        <w:t xml:space="preserve">nnexes </w:t>
      </w:r>
      <w:r w:rsidR="00D2040B" w:rsidRPr="000969A4">
        <w:rPr>
          <w:lang w:val="fr-FR"/>
        </w:rPr>
        <w:t>suivent</w:t>
      </w:r>
      <w:r w:rsidRPr="000969A4">
        <w:rPr>
          <w:lang w:val="fr-FR"/>
        </w:rPr>
        <w:t>]</w:t>
      </w:r>
    </w:p>
    <w:p w:rsidR="006120B0" w:rsidRPr="000969A4" w:rsidRDefault="006120B0" w:rsidP="00260781">
      <w:pPr>
        <w:spacing w:before="60"/>
        <w:ind w:right="72"/>
        <w:rPr>
          <w:rFonts w:eastAsia="Cambria"/>
          <w:lang w:val="fr-FR"/>
        </w:rPr>
      </w:pPr>
      <w:r w:rsidRPr="000969A4">
        <w:rPr>
          <w:rFonts w:eastAsia="Cambria"/>
          <w:b/>
          <w:bCs/>
          <w:lang w:val="fr-FR"/>
        </w:rPr>
        <w:lastRenderedPageBreak/>
        <w:t>Proposition conjointe soumise par les délégations des États</w:t>
      </w:r>
      <w:r w:rsidR="0043436D">
        <w:rPr>
          <w:rFonts w:eastAsia="Cambria"/>
          <w:b/>
          <w:bCs/>
          <w:lang w:val="fr-FR"/>
        </w:rPr>
        <w:noBreakHyphen/>
      </w:r>
      <w:r w:rsidRPr="000969A4">
        <w:rPr>
          <w:rFonts w:eastAsia="Cambria"/>
          <w:b/>
          <w:bCs/>
          <w:lang w:val="fr-FR"/>
        </w:rPr>
        <w:t>Unis d</w:t>
      </w:r>
      <w:r w:rsidR="00A04668">
        <w:rPr>
          <w:rFonts w:eastAsia="Cambria"/>
          <w:b/>
          <w:bCs/>
          <w:lang w:val="fr-FR"/>
        </w:rPr>
        <w:t>’</w:t>
      </w:r>
      <w:r w:rsidRPr="000969A4">
        <w:rPr>
          <w:rFonts w:eastAsia="Cambria"/>
          <w:b/>
          <w:bCs/>
          <w:lang w:val="fr-FR"/>
        </w:rPr>
        <w:t>Amérique, de l</w:t>
      </w:r>
      <w:r w:rsidR="00A04668">
        <w:rPr>
          <w:rFonts w:eastAsia="Cambria"/>
          <w:b/>
          <w:bCs/>
          <w:lang w:val="fr-FR"/>
        </w:rPr>
        <w:t>’</w:t>
      </w:r>
      <w:r w:rsidRPr="000969A4">
        <w:rPr>
          <w:rFonts w:eastAsia="Cambria"/>
          <w:b/>
          <w:bCs/>
          <w:lang w:val="fr-FR"/>
        </w:rPr>
        <w:t>Australie et du Canada concernant le point de l</w:t>
      </w:r>
      <w:r w:rsidR="00A04668">
        <w:rPr>
          <w:rFonts w:eastAsia="Cambria"/>
          <w:b/>
          <w:bCs/>
          <w:lang w:val="fr-FR"/>
        </w:rPr>
        <w:t>’</w:t>
      </w:r>
      <w:r w:rsidRPr="000969A4">
        <w:rPr>
          <w:rFonts w:eastAsia="Cambria"/>
          <w:b/>
          <w:bCs/>
          <w:lang w:val="fr-FR"/>
        </w:rPr>
        <w:t>ordre du jour relatif au rapport sur le forum d</w:t>
      </w:r>
      <w:r w:rsidR="00A04668">
        <w:rPr>
          <w:rFonts w:eastAsia="Cambria"/>
          <w:b/>
          <w:bCs/>
          <w:lang w:val="fr-FR"/>
        </w:rPr>
        <w:t>’</w:t>
      </w:r>
      <w:r w:rsidRPr="000969A4">
        <w:rPr>
          <w:rFonts w:eastAsia="Cambria"/>
          <w:b/>
          <w:bCs/>
          <w:lang w:val="fr-FR"/>
        </w:rPr>
        <w:t>experts de l</w:t>
      </w:r>
      <w:r w:rsidR="00A04668">
        <w:rPr>
          <w:rFonts w:eastAsia="Cambria"/>
          <w:b/>
          <w:bCs/>
          <w:lang w:val="fr-FR"/>
        </w:rPr>
        <w:t>’</w:t>
      </w:r>
      <w:r w:rsidRPr="000969A4">
        <w:rPr>
          <w:rFonts w:eastAsia="Cambria"/>
          <w:b/>
          <w:bCs/>
          <w:lang w:val="fr-FR"/>
        </w:rPr>
        <w:t>OMPI sur le transfert international de technologie figurant dans le document CDIP/15/5 et à la cartographie des activités relatives au transfert de technologie, qui fait l</w:t>
      </w:r>
      <w:r w:rsidR="00A04668">
        <w:rPr>
          <w:rFonts w:eastAsia="Cambria"/>
          <w:b/>
          <w:bCs/>
          <w:lang w:val="fr-FR"/>
        </w:rPr>
        <w:t>’</w:t>
      </w:r>
      <w:r w:rsidRPr="000969A4">
        <w:rPr>
          <w:rFonts w:eastAsia="Cambria"/>
          <w:b/>
          <w:bCs/>
          <w:lang w:val="fr-FR"/>
        </w:rPr>
        <w:t>objet du document CDIP/17/9.</w:t>
      </w:r>
    </w:p>
    <w:p w:rsidR="006120B0" w:rsidRDefault="006120B0" w:rsidP="00260781">
      <w:pPr>
        <w:rPr>
          <w:lang w:val="fr-FR"/>
        </w:rPr>
      </w:pPr>
    </w:p>
    <w:p w:rsidR="000969A4" w:rsidRPr="000969A4" w:rsidRDefault="000969A4" w:rsidP="00260781">
      <w:pPr>
        <w:rPr>
          <w:lang w:val="fr-FR"/>
        </w:rPr>
      </w:pPr>
    </w:p>
    <w:p w:rsidR="006120B0" w:rsidRPr="000969A4" w:rsidRDefault="006120B0" w:rsidP="00260781">
      <w:pPr>
        <w:ind w:right="-20"/>
        <w:rPr>
          <w:rFonts w:eastAsia="Cambria"/>
          <w:lang w:val="fr-FR"/>
        </w:rPr>
      </w:pPr>
      <w:r w:rsidRPr="000969A4">
        <w:rPr>
          <w:rFonts w:eastAsia="Cambria"/>
          <w:b/>
          <w:bCs/>
          <w:u w:val="thick" w:color="000000"/>
          <w:lang w:val="fr-FR"/>
        </w:rPr>
        <w:t>Proposition relative à des questions de politique générale et à d</w:t>
      </w:r>
      <w:r w:rsidR="00A04668">
        <w:rPr>
          <w:rFonts w:eastAsia="Cambria"/>
          <w:b/>
          <w:bCs/>
          <w:u w:val="thick" w:color="000000"/>
          <w:lang w:val="fr-FR"/>
        </w:rPr>
        <w:t>’</w:t>
      </w:r>
      <w:r w:rsidRPr="000969A4">
        <w:rPr>
          <w:rFonts w:eastAsia="Cambria"/>
          <w:b/>
          <w:bCs/>
          <w:u w:val="thick" w:color="000000"/>
          <w:lang w:val="fr-FR"/>
        </w:rPr>
        <w:t>éventuelles mesures à prendre</w:t>
      </w:r>
    </w:p>
    <w:p w:rsidR="006120B0" w:rsidRPr="000969A4" w:rsidRDefault="006120B0" w:rsidP="00260781">
      <w:pPr>
        <w:rPr>
          <w:lang w:val="fr-FR"/>
        </w:rPr>
      </w:pPr>
    </w:p>
    <w:p w:rsidR="006120B0" w:rsidRPr="000969A4" w:rsidRDefault="006120B0" w:rsidP="00260781">
      <w:pPr>
        <w:ind w:right="184"/>
        <w:rPr>
          <w:rFonts w:eastAsia="Cambria"/>
          <w:lang w:val="fr-FR"/>
        </w:rPr>
      </w:pPr>
      <w:r w:rsidRPr="000969A4">
        <w:rPr>
          <w:rFonts w:eastAsia="Cambria"/>
          <w:lang w:val="fr-FR"/>
        </w:rPr>
        <w:t>L</w:t>
      </w:r>
      <w:r w:rsidR="00A04668">
        <w:rPr>
          <w:rFonts w:eastAsia="Cambria"/>
          <w:lang w:val="fr-FR"/>
        </w:rPr>
        <w:t>’</w:t>
      </w:r>
      <w:r w:rsidRPr="000969A4">
        <w:rPr>
          <w:rFonts w:eastAsia="Cambria"/>
          <w:lang w:val="fr-FR"/>
        </w:rPr>
        <w:t>OMPI est activement engagée dans un large éventail d</w:t>
      </w:r>
      <w:r w:rsidR="00A04668">
        <w:rPr>
          <w:rFonts w:eastAsia="Cambria"/>
          <w:lang w:val="fr-FR"/>
        </w:rPr>
        <w:t>’</w:t>
      </w:r>
      <w:r w:rsidRPr="000969A4">
        <w:rPr>
          <w:rFonts w:eastAsia="Cambria"/>
          <w:lang w:val="fr-FR"/>
        </w:rPr>
        <w:t>activités en rapport avec le transfert de technologie au bénéfice aussi bien des pays les moins avancés et des pays en développement que des pays en transition, comme il ressort clairement du document CDIP/17/9, qui contient des informations sur les services et activités de l</w:t>
      </w:r>
      <w:r w:rsidR="00A04668">
        <w:rPr>
          <w:rFonts w:eastAsia="Cambria"/>
          <w:lang w:val="fr-FR"/>
        </w:rPr>
        <w:t>’</w:t>
      </w:r>
      <w:r w:rsidRPr="000969A4">
        <w:rPr>
          <w:rFonts w:eastAsia="Cambria"/>
          <w:lang w:val="fr-FR"/>
        </w:rPr>
        <w:t>OMPI en matière de transfert de technologie au cours de l</w:t>
      </w:r>
      <w:r w:rsidR="00A04668">
        <w:rPr>
          <w:rFonts w:eastAsia="Cambria"/>
          <w:lang w:val="fr-FR"/>
        </w:rPr>
        <w:t>’</w:t>
      </w:r>
      <w:r w:rsidRPr="000969A4">
        <w:rPr>
          <w:rFonts w:eastAsia="Cambria"/>
          <w:lang w:val="fr-FR"/>
        </w:rPr>
        <w:t>exercice biennal 2014</w:t>
      </w:r>
      <w:r w:rsidR="0043436D">
        <w:rPr>
          <w:rFonts w:eastAsia="Cambria"/>
          <w:lang w:val="fr-FR"/>
        </w:rPr>
        <w:noBreakHyphen/>
      </w:r>
      <w:r w:rsidRPr="000969A4">
        <w:rPr>
          <w:rFonts w:eastAsia="Cambria"/>
          <w:lang w:val="fr-FR"/>
        </w:rPr>
        <w:t>2015.</w:t>
      </w:r>
    </w:p>
    <w:p w:rsidR="006120B0" w:rsidRPr="000969A4" w:rsidRDefault="006120B0" w:rsidP="00260781">
      <w:pPr>
        <w:spacing w:before="7"/>
        <w:rPr>
          <w:lang w:val="fr-FR"/>
        </w:rPr>
      </w:pPr>
    </w:p>
    <w:p w:rsidR="006120B0" w:rsidRPr="000969A4" w:rsidRDefault="006120B0" w:rsidP="00260781">
      <w:pPr>
        <w:ind w:right="92"/>
        <w:rPr>
          <w:rFonts w:eastAsia="Cambria"/>
          <w:lang w:val="fr-FR"/>
        </w:rPr>
      </w:pPr>
      <w:r w:rsidRPr="000969A4">
        <w:rPr>
          <w:rFonts w:eastAsia="Cambria"/>
          <w:lang w:val="fr-FR"/>
        </w:rPr>
        <w:t>À la dix</w:t>
      </w:r>
      <w:r w:rsidR="0043436D">
        <w:rPr>
          <w:rFonts w:eastAsia="Cambria"/>
          <w:lang w:val="fr-FR"/>
        </w:rPr>
        <w:noBreakHyphen/>
      </w:r>
      <w:r w:rsidRPr="000969A4">
        <w:rPr>
          <w:rFonts w:eastAsia="Cambria"/>
          <w:lang w:val="fr-FR"/>
        </w:rPr>
        <w:t>septième session du CDIP, le président a suggéré que les États membres intéressés soumettent des propositions, qui devaient parvenir au Secrétariat le 10 juillet 2016 au plus tard, pour examen par le comité à sa dix</w:t>
      </w:r>
      <w:r w:rsidR="0043436D">
        <w:rPr>
          <w:rFonts w:eastAsia="Cambria"/>
          <w:lang w:val="fr-FR"/>
        </w:rPr>
        <w:noBreakHyphen/>
      </w:r>
      <w:r w:rsidRPr="000969A4">
        <w:rPr>
          <w:rFonts w:eastAsia="Cambria"/>
          <w:lang w:val="fr-FR"/>
        </w:rPr>
        <w:t>huitième session, relatives aussi bien à des questions de politique générale qu</w:t>
      </w:r>
      <w:r w:rsidR="00A04668">
        <w:rPr>
          <w:rFonts w:eastAsia="Cambria"/>
          <w:lang w:val="fr-FR"/>
        </w:rPr>
        <w:t>’</w:t>
      </w:r>
      <w:r w:rsidRPr="000969A4">
        <w:rPr>
          <w:rFonts w:eastAsia="Cambria"/>
          <w:lang w:val="fr-FR"/>
        </w:rPr>
        <w:t>à des questions plus concrètes sur les éventuelles mesures à prendre en ce qui concerne les prochaines étapes et le rôle de l</w:t>
      </w:r>
      <w:r w:rsidR="00A04668">
        <w:rPr>
          <w:rFonts w:eastAsia="Cambria"/>
          <w:lang w:val="fr-FR"/>
        </w:rPr>
        <w:t>’</w:t>
      </w:r>
      <w:r w:rsidRPr="000969A4">
        <w:rPr>
          <w:rFonts w:eastAsia="Cambria"/>
          <w:lang w:val="fr-FR"/>
        </w:rPr>
        <w:t>OMPI dans le transfert de technologie.</w:t>
      </w:r>
    </w:p>
    <w:p w:rsidR="006120B0" w:rsidRPr="000969A4" w:rsidRDefault="006120B0" w:rsidP="00260781">
      <w:pPr>
        <w:spacing w:before="4"/>
        <w:rPr>
          <w:lang w:val="fr-FR"/>
        </w:rPr>
      </w:pPr>
    </w:p>
    <w:p w:rsidR="006120B0" w:rsidRPr="000969A4" w:rsidRDefault="006120B0" w:rsidP="00260781">
      <w:pPr>
        <w:ind w:right="69"/>
        <w:rPr>
          <w:rFonts w:eastAsia="Cambria"/>
          <w:lang w:val="fr-FR"/>
        </w:rPr>
      </w:pPr>
      <w:r w:rsidRPr="000969A4">
        <w:rPr>
          <w:rFonts w:eastAsia="Cambria"/>
          <w:lang w:val="fr-FR"/>
        </w:rPr>
        <w:t>Afin de mettre à profit l</w:t>
      </w:r>
      <w:r w:rsidR="00A04668">
        <w:rPr>
          <w:rFonts w:eastAsia="Cambria"/>
          <w:lang w:val="fr-FR"/>
        </w:rPr>
        <w:t>’</w:t>
      </w:r>
      <w:r w:rsidRPr="000969A4">
        <w:rPr>
          <w:rFonts w:eastAsia="Cambria"/>
          <w:lang w:val="fr-FR"/>
        </w:rPr>
        <w:t>excellent travail réalisé dans le cadre de l</w:t>
      </w:r>
      <w:r w:rsidR="00A04668">
        <w:rPr>
          <w:rFonts w:eastAsia="Cambria"/>
          <w:lang w:val="fr-FR"/>
        </w:rPr>
        <w:t>’</w:t>
      </w:r>
      <w:r w:rsidRPr="000969A4">
        <w:rPr>
          <w:rFonts w:eastAsia="Cambria"/>
          <w:lang w:val="fr-FR"/>
        </w:rPr>
        <w:t>exercice de cartographie des activités (document CDIP/17/9) et d</w:t>
      </w:r>
      <w:r w:rsidR="00A04668">
        <w:rPr>
          <w:rFonts w:eastAsia="Cambria"/>
          <w:lang w:val="fr-FR"/>
        </w:rPr>
        <w:t>’</w:t>
      </w:r>
      <w:r w:rsidRPr="000969A4">
        <w:rPr>
          <w:rFonts w:eastAsia="Cambria"/>
          <w:lang w:val="fr-FR"/>
        </w:rPr>
        <w:t>assurer la viabilité des résultats du projet intitulé “</w:t>
      </w:r>
      <w:r w:rsidRPr="000969A4">
        <w:rPr>
          <w:rFonts w:eastAsia="Cambria"/>
          <w:b/>
          <w:bCs/>
          <w:i/>
          <w:lang w:val="fr-FR"/>
        </w:rPr>
        <w:t>Projet relatif à la propriété intellectuelle et au transfert de technologie : élaborer des solutions face aux défis communs</w:t>
      </w:r>
      <w:r w:rsidRPr="000969A4">
        <w:rPr>
          <w:rFonts w:eastAsia="Cambria"/>
          <w:bCs/>
          <w:lang w:val="fr-FR"/>
        </w:rPr>
        <w:t>”</w:t>
      </w:r>
      <w:r w:rsidRPr="000969A4">
        <w:rPr>
          <w:rFonts w:eastAsia="Cambria"/>
          <w:b/>
          <w:bCs/>
          <w:i/>
          <w:lang w:val="fr-FR"/>
        </w:rPr>
        <w:t xml:space="preserve">, </w:t>
      </w:r>
      <w:r w:rsidRPr="000969A4">
        <w:rPr>
          <w:rFonts w:eastAsia="Cambria"/>
          <w:lang w:val="fr-FR"/>
        </w:rPr>
        <w:t>nous proposons que</w:t>
      </w:r>
    </w:p>
    <w:p w:rsidR="006120B0" w:rsidRPr="000969A4" w:rsidRDefault="006120B0" w:rsidP="00260781">
      <w:pPr>
        <w:spacing w:before="20"/>
        <w:rPr>
          <w:lang w:val="fr-FR"/>
        </w:rPr>
      </w:pPr>
    </w:p>
    <w:p w:rsidR="006120B0" w:rsidRPr="000969A4" w:rsidRDefault="006120B0" w:rsidP="00260781">
      <w:pPr>
        <w:pStyle w:val="ListParagraph"/>
        <w:widowControl/>
        <w:numPr>
          <w:ilvl w:val="0"/>
          <w:numId w:val="13"/>
        </w:numPr>
        <w:spacing w:after="0" w:line="240" w:lineRule="auto"/>
        <w:ind w:left="1134" w:right="188" w:hanging="567"/>
        <w:rPr>
          <w:rFonts w:ascii="Arial" w:eastAsia="Cambria" w:hAnsi="Arial" w:cs="Arial"/>
          <w:lang w:val="fr-FR"/>
        </w:rPr>
      </w:pPr>
      <w:r w:rsidRPr="000969A4">
        <w:rPr>
          <w:rFonts w:ascii="Arial" w:eastAsia="Cambria" w:hAnsi="Arial" w:cs="Arial"/>
          <w:lang w:val="fr-FR"/>
        </w:rPr>
        <w:t>le Secrétariat révise et actualise la page Web</w:t>
      </w:r>
      <w:r w:rsidRPr="000969A4">
        <w:rPr>
          <w:rStyle w:val="FootnoteReference"/>
          <w:rFonts w:ascii="Arial" w:eastAsia="Cambria" w:hAnsi="Arial" w:cs="Arial"/>
          <w:lang w:val="fr-FR"/>
        </w:rPr>
        <w:footnoteReference w:id="2"/>
      </w:r>
      <w:r w:rsidRPr="000969A4">
        <w:rPr>
          <w:rFonts w:ascii="Arial" w:eastAsia="Cambria" w:hAnsi="Arial" w:cs="Arial"/>
          <w:lang w:val="fr-FR"/>
        </w:rPr>
        <w:t xml:space="preserve"> de l</w:t>
      </w:r>
      <w:r w:rsidR="00A04668">
        <w:rPr>
          <w:rFonts w:ascii="Arial" w:eastAsia="Cambria" w:hAnsi="Arial" w:cs="Arial"/>
          <w:lang w:val="fr-FR"/>
        </w:rPr>
        <w:t>’</w:t>
      </w:r>
      <w:r w:rsidRPr="000969A4">
        <w:rPr>
          <w:rFonts w:ascii="Arial" w:eastAsia="Cambria" w:hAnsi="Arial" w:cs="Arial"/>
          <w:lang w:val="fr-FR"/>
        </w:rPr>
        <w:t>OMPI consacrée au transfert de technologie en incorporant des liens vers de la documentation supplémentaire, par exemple les documents et activités indiqués dans le document relatif à la cartographie, ainsi que des liens vers WIPO GREEN, WIPO </w:t>
      </w:r>
      <w:proofErr w:type="spellStart"/>
      <w:r w:rsidRPr="000969A4">
        <w:rPr>
          <w:rFonts w:ascii="Arial" w:eastAsia="Cambria" w:hAnsi="Arial" w:cs="Arial"/>
          <w:lang w:val="fr-FR"/>
        </w:rPr>
        <w:t>Re:Search</w:t>
      </w:r>
      <w:proofErr w:type="spellEnd"/>
      <w:r w:rsidRPr="000969A4">
        <w:rPr>
          <w:rFonts w:ascii="Arial" w:eastAsia="Cambria" w:hAnsi="Arial" w:cs="Arial"/>
          <w:lang w:val="fr-FR"/>
        </w:rPr>
        <w:t xml:space="preserve"> et WIPO Match et vers les guides en matière de commercialisation, de valorisation et de concession de licences établis à la demande de l</w:t>
      </w:r>
      <w:r w:rsidR="00A04668">
        <w:rPr>
          <w:rFonts w:ascii="Arial" w:eastAsia="Cambria" w:hAnsi="Arial" w:cs="Arial"/>
          <w:lang w:val="fr-FR"/>
        </w:rPr>
        <w:t>’</w:t>
      </w:r>
      <w:r w:rsidRPr="000969A4">
        <w:rPr>
          <w:rFonts w:ascii="Arial" w:eastAsia="Cambria" w:hAnsi="Arial" w:cs="Arial"/>
          <w:lang w:val="fr-FR"/>
        </w:rPr>
        <w:t>O</w:t>
      </w:r>
      <w:r w:rsidR="0043436D" w:rsidRPr="000969A4">
        <w:rPr>
          <w:rFonts w:ascii="Arial" w:eastAsia="Cambria" w:hAnsi="Arial" w:cs="Arial"/>
          <w:lang w:val="fr-FR"/>
        </w:rPr>
        <w:t>MPI</w:t>
      </w:r>
      <w:r w:rsidR="0043436D">
        <w:rPr>
          <w:rFonts w:ascii="Arial" w:eastAsia="Cambria" w:hAnsi="Arial" w:cs="Arial"/>
          <w:lang w:val="fr-FR"/>
        </w:rPr>
        <w:t xml:space="preserve">.  </w:t>
      </w:r>
      <w:r w:rsidR="0043436D" w:rsidRPr="000969A4">
        <w:rPr>
          <w:rFonts w:ascii="Arial" w:eastAsia="Cambria" w:hAnsi="Arial" w:cs="Arial"/>
          <w:lang w:val="fr-FR"/>
        </w:rPr>
        <w:t>Le</w:t>
      </w:r>
      <w:r w:rsidRPr="000969A4">
        <w:rPr>
          <w:rFonts w:ascii="Arial" w:eastAsia="Cambria" w:hAnsi="Arial" w:cs="Arial"/>
          <w:lang w:val="fr-FR"/>
        </w:rPr>
        <w:t xml:space="preserve"> Secrétariat devrait examiner des options afin de rendre cette page Web plus intuitive et facile à utiliser;</w:t>
      </w:r>
    </w:p>
    <w:p w:rsidR="006120B0" w:rsidRPr="000969A4" w:rsidRDefault="006120B0" w:rsidP="00260781">
      <w:pPr>
        <w:spacing w:before="20"/>
        <w:ind w:left="1134" w:hanging="567"/>
        <w:rPr>
          <w:lang w:val="fr-FR"/>
        </w:rPr>
      </w:pPr>
    </w:p>
    <w:p w:rsidR="006120B0" w:rsidRPr="000969A4" w:rsidRDefault="006120B0" w:rsidP="00260781">
      <w:pPr>
        <w:pStyle w:val="ListParagraph"/>
        <w:widowControl/>
        <w:numPr>
          <w:ilvl w:val="0"/>
          <w:numId w:val="13"/>
        </w:numPr>
        <w:spacing w:after="0" w:line="240" w:lineRule="auto"/>
        <w:ind w:left="1134" w:right="54" w:hanging="567"/>
        <w:rPr>
          <w:rFonts w:ascii="Arial" w:eastAsia="Cambria" w:hAnsi="Arial" w:cs="Arial"/>
          <w:lang w:val="fr-FR"/>
        </w:rPr>
      </w:pPr>
      <w:r w:rsidRPr="000969A4">
        <w:rPr>
          <w:rFonts w:ascii="Arial" w:eastAsia="Cambria" w:hAnsi="Arial" w:cs="Arial"/>
          <w:lang w:val="fr-FR"/>
        </w:rPr>
        <w:t>le Secrétariat établisse une feuille de route quant à la manière dont l</w:t>
      </w:r>
      <w:r w:rsidR="00A04668">
        <w:rPr>
          <w:rFonts w:ascii="Arial" w:eastAsia="Cambria" w:hAnsi="Arial" w:cs="Arial"/>
          <w:lang w:val="fr-FR"/>
        </w:rPr>
        <w:t>’</w:t>
      </w:r>
      <w:r w:rsidRPr="000969A4">
        <w:rPr>
          <w:rFonts w:ascii="Arial" w:eastAsia="Cambria" w:hAnsi="Arial" w:cs="Arial"/>
          <w:lang w:val="fr-FR"/>
        </w:rPr>
        <w:t>OMPI continuera de faire mieux connaître les ressources dont dispose l</w:t>
      </w:r>
      <w:r w:rsidR="00A04668">
        <w:rPr>
          <w:rFonts w:ascii="Arial" w:eastAsia="Cambria" w:hAnsi="Arial" w:cs="Arial"/>
          <w:lang w:val="fr-FR"/>
        </w:rPr>
        <w:t>’</w:t>
      </w:r>
      <w:r w:rsidRPr="000969A4">
        <w:rPr>
          <w:rFonts w:ascii="Arial" w:eastAsia="Cambria" w:hAnsi="Arial" w:cs="Arial"/>
          <w:lang w:val="fr-FR"/>
        </w:rPr>
        <w:t>OMPI dans le domaine du transfert de technologie aux responsables de l</w:t>
      </w:r>
      <w:r w:rsidR="00A04668">
        <w:rPr>
          <w:rFonts w:ascii="Arial" w:eastAsia="Cambria" w:hAnsi="Arial" w:cs="Arial"/>
          <w:lang w:val="fr-FR"/>
        </w:rPr>
        <w:t>’</w:t>
      </w:r>
      <w:r w:rsidRPr="000969A4">
        <w:rPr>
          <w:rFonts w:ascii="Arial" w:eastAsia="Cambria" w:hAnsi="Arial" w:cs="Arial"/>
          <w:lang w:val="fr-FR"/>
        </w:rPr>
        <w:t>élaboration des politiques, aux spécialistes et aux instituts de recherche afin d</w:t>
      </w:r>
      <w:r w:rsidR="00A04668">
        <w:rPr>
          <w:rFonts w:ascii="Arial" w:eastAsia="Cambria" w:hAnsi="Arial" w:cs="Arial"/>
          <w:lang w:val="fr-FR"/>
        </w:rPr>
        <w:t>’</w:t>
      </w:r>
      <w:r w:rsidRPr="000969A4">
        <w:rPr>
          <w:rFonts w:ascii="Arial" w:eastAsia="Cambria" w:hAnsi="Arial" w:cs="Arial"/>
          <w:lang w:val="fr-FR"/>
        </w:rPr>
        <w:t>assurer une meilleure compréhension des questions en jeu;</w:t>
      </w:r>
    </w:p>
    <w:p w:rsidR="006120B0" w:rsidRPr="000969A4" w:rsidRDefault="006120B0" w:rsidP="00260781">
      <w:pPr>
        <w:spacing w:before="4"/>
        <w:ind w:left="1134" w:hanging="567"/>
        <w:rPr>
          <w:lang w:val="fr-FR"/>
        </w:rPr>
      </w:pPr>
    </w:p>
    <w:p w:rsidR="006120B0" w:rsidRPr="000969A4" w:rsidRDefault="006120B0" w:rsidP="00260781">
      <w:pPr>
        <w:pStyle w:val="ListParagraph"/>
        <w:widowControl/>
        <w:numPr>
          <w:ilvl w:val="0"/>
          <w:numId w:val="13"/>
        </w:numPr>
        <w:spacing w:after="0" w:line="240" w:lineRule="auto"/>
        <w:ind w:left="1134" w:right="219" w:hanging="567"/>
        <w:rPr>
          <w:rFonts w:ascii="Arial" w:eastAsia="Cambria" w:hAnsi="Arial" w:cs="Arial"/>
          <w:lang w:val="fr-FR"/>
        </w:rPr>
      </w:pPr>
      <w:r w:rsidRPr="000969A4">
        <w:rPr>
          <w:rFonts w:ascii="Arial" w:eastAsia="Cambria" w:hAnsi="Arial" w:cs="Arial"/>
          <w:lang w:val="fr-FR"/>
        </w:rPr>
        <w:t>le Secrétariat continue de s</w:t>
      </w:r>
      <w:r w:rsidR="00A04668">
        <w:rPr>
          <w:rFonts w:ascii="Arial" w:eastAsia="Cambria" w:hAnsi="Arial" w:cs="Arial"/>
          <w:lang w:val="fr-FR"/>
        </w:rPr>
        <w:t>’</w:t>
      </w:r>
      <w:r w:rsidRPr="000969A4">
        <w:rPr>
          <w:rFonts w:ascii="Arial" w:eastAsia="Cambria" w:hAnsi="Arial" w:cs="Arial"/>
          <w:lang w:val="fr-FR"/>
        </w:rPr>
        <w:t>engager activement dans les instances et les conférences internationales consacrées au transfert de technologie</w:t>
      </w:r>
      <w:r w:rsidRPr="000969A4">
        <w:rPr>
          <w:rStyle w:val="FootnoteReference"/>
          <w:rFonts w:ascii="Arial" w:eastAsia="Cambria" w:hAnsi="Arial" w:cs="Arial"/>
          <w:lang w:val="fr-FR"/>
        </w:rPr>
        <w:footnoteReference w:id="3"/>
      </w:r>
      <w:r w:rsidRPr="000969A4">
        <w:rPr>
          <w:rFonts w:ascii="Arial" w:eastAsia="Cambria" w:hAnsi="Arial" w:cs="Arial"/>
          <w:lang w:val="fr-FR"/>
        </w:rPr>
        <w:t>.  Comme dans le document CDIP/17/9, le Secrétariat devrait aussi établir une cartographie des initiatives et activités actuellement mises en œuvre dans le cadre d</w:t>
      </w:r>
      <w:r w:rsidR="00A04668">
        <w:rPr>
          <w:rFonts w:ascii="Arial" w:eastAsia="Cambria" w:hAnsi="Arial" w:cs="Arial"/>
          <w:lang w:val="fr-FR"/>
        </w:rPr>
        <w:t>’</w:t>
      </w:r>
      <w:r w:rsidRPr="000969A4">
        <w:rPr>
          <w:rFonts w:ascii="Arial" w:eastAsia="Cambria" w:hAnsi="Arial" w:cs="Arial"/>
          <w:lang w:val="fr-FR"/>
        </w:rPr>
        <w:t xml:space="preserve">autres instances internationales en matière de transfert </w:t>
      </w:r>
      <w:r w:rsidRPr="000969A4">
        <w:rPr>
          <w:rFonts w:ascii="Arial" w:eastAsia="Cambria" w:hAnsi="Arial" w:cs="Arial"/>
          <w:position w:val="-1"/>
          <w:lang w:val="fr-FR"/>
        </w:rPr>
        <w:t xml:space="preserve">de </w:t>
      </w:r>
      <w:r w:rsidRPr="000969A4">
        <w:rPr>
          <w:rFonts w:ascii="Arial" w:eastAsia="Cambria" w:hAnsi="Arial" w:cs="Arial"/>
          <w:lang w:val="fr-FR"/>
        </w:rPr>
        <w:t xml:space="preserve">technologie, afin de fournir au CDIP des informations actualisées sur les instances et conférences internationales dans le cadre desquelles les questions relatives au transfert de </w:t>
      </w:r>
      <w:r w:rsidRPr="000969A4">
        <w:rPr>
          <w:rFonts w:ascii="Arial" w:eastAsia="Cambria" w:hAnsi="Arial" w:cs="Arial"/>
          <w:lang w:val="fr-FR"/>
        </w:rPr>
        <w:lastRenderedPageBreak/>
        <w:t>technologie sont actuellement examinées, ainsi que sur le rôle que l</w:t>
      </w:r>
      <w:r w:rsidR="00A04668">
        <w:rPr>
          <w:rFonts w:ascii="Arial" w:eastAsia="Cambria" w:hAnsi="Arial" w:cs="Arial"/>
          <w:lang w:val="fr-FR"/>
        </w:rPr>
        <w:t>’</w:t>
      </w:r>
      <w:r w:rsidRPr="000969A4">
        <w:rPr>
          <w:rFonts w:ascii="Arial" w:eastAsia="Cambria" w:hAnsi="Arial" w:cs="Arial"/>
          <w:lang w:val="fr-FR"/>
        </w:rPr>
        <w:t>OMPI pourrait continuer de jouer à cet égard;</w:t>
      </w:r>
    </w:p>
    <w:p w:rsidR="006120B0" w:rsidRPr="000969A4" w:rsidRDefault="006120B0" w:rsidP="00260781">
      <w:pPr>
        <w:spacing w:before="20"/>
        <w:ind w:left="1134" w:hanging="567"/>
        <w:rPr>
          <w:lang w:val="fr-FR"/>
        </w:rPr>
      </w:pPr>
    </w:p>
    <w:p w:rsidR="006120B0" w:rsidRPr="000969A4" w:rsidRDefault="006120B0" w:rsidP="00260781">
      <w:pPr>
        <w:pStyle w:val="ListParagraph"/>
        <w:widowControl/>
        <w:numPr>
          <w:ilvl w:val="0"/>
          <w:numId w:val="13"/>
        </w:numPr>
        <w:spacing w:after="0" w:line="240" w:lineRule="auto"/>
        <w:ind w:left="1134" w:right="177" w:hanging="567"/>
        <w:rPr>
          <w:rFonts w:ascii="Arial" w:eastAsia="Cambria" w:hAnsi="Arial" w:cs="Arial"/>
          <w:lang w:val="fr-FR"/>
        </w:rPr>
      </w:pPr>
      <w:r w:rsidRPr="000969A4">
        <w:rPr>
          <w:rFonts w:ascii="Arial" w:eastAsia="Cambria" w:hAnsi="Arial" w:cs="Arial"/>
          <w:lang w:val="fr-FR"/>
        </w:rPr>
        <w:t>le Secrétariat encourage l</w:t>
      </w:r>
      <w:r w:rsidR="00A04668">
        <w:rPr>
          <w:rFonts w:ascii="Arial" w:eastAsia="Cambria" w:hAnsi="Arial" w:cs="Arial"/>
          <w:lang w:val="fr-FR"/>
        </w:rPr>
        <w:t>’</w:t>
      </w:r>
      <w:r w:rsidRPr="000969A4">
        <w:rPr>
          <w:rFonts w:ascii="Arial" w:eastAsia="Cambria" w:hAnsi="Arial" w:cs="Arial"/>
          <w:lang w:val="fr-FR"/>
        </w:rPr>
        <w:t>utilisation du forum sur le Web mis en place dans le cadre du “</w:t>
      </w:r>
      <w:r w:rsidRPr="000969A4">
        <w:rPr>
          <w:rFonts w:ascii="Arial" w:eastAsia="Cambria" w:hAnsi="Arial" w:cs="Arial"/>
          <w:bCs/>
          <w:lang w:val="fr-FR"/>
        </w:rPr>
        <w:t>Projet relatif à la propriété intellectuelle et au transfert de technologie : élaborer des solutions face aux défis communs</w:t>
      </w:r>
      <w:r w:rsidRPr="000969A4">
        <w:rPr>
          <w:rFonts w:ascii="Arial" w:eastAsia="Cambria" w:hAnsi="Arial" w:cs="Arial"/>
          <w:lang w:val="fr-FR"/>
        </w:rPr>
        <w:t>”, qui constituent un instrument utile pour répondre aux questions et préoccupations des États membres relatives au transfert de technolog</w:t>
      </w:r>
      <w:r w:rsidR="0043436D" w:rsidRPr="000969A4">
        <w:rPr>
          <w:rFonts w:ascii="Arial" w:eastAsia="Cambria" w:hAnsi="Arial" w:cs="Arial"/>
          <w:lang w:val="fr-FR"/>
        </w:rPr>
        <w:t>ie</w:t>
      </w:r>
      <w:r w:rsidR="0043436D">
        <w:rPr>
          <w:rFonts w:ascii="Arial" w:eastAsia="Cambria" w:hAnsi="Arial" w:cs="Arial"/>
          <w:lang w:val="fr-FR"/>
        </w:rPr>
        <w:t xml:space="preserve">.  </w:t>
      </w:r>
      <w:r w:rsidR="0043436D" w:rsidRPr="000969A4">
        <w:rPr>
          <w:rFonts w:ascii="Arial" w:eastAsia="Cambria" w:hAnsi="Arial" w:cs="Arial"/>
          <w:lang w:val="fr-FR"/>
        </w:rPr>
        <w:t>Le</w:t>
      </w:r>
      <w:r w:rsidRPr="000969A4">
        <w:rPr>
          <w:rFonts w:ascii="Arial" w:eastAsia="Cambria" w:hAnsi="Arial" w:cs="Arial"/>
          <w:lang w:val="fr-FR"/>
        </w:rPr>
        <w:t xml:space="preserve"> Secrétariat devrait aussi créer, sur la page Web de l</w:t>
      </w:r>
      <w:r w:rsidR="00A04668">
        <w:rPr>
          <w:rFonts w:ascii="Arial" w:eastAsia="Cambria" w:hAnsi="Arial" w:cs="Arial"/>
          <w:lang w:val="fr-FR"/>
        </w:rPr>
        <w:t>’</w:t>
      </w:r>
      <w:r w:rsidRPr="000969A4">
        <w:rPr>
          <w:rFonts w:ascii="Arial" w:eastAsia="Cambria" w:hAnsi="Arial" w:cs="Arial"/>
          <w:lang w:val="fr-FR"/>
        </w:rPr>
        <w:t>OMPI consacrée au transfert de technologie (mentionnée au point 1), un lien vers le forum sur le Web;</w:t>
      </w:r>
    </w:p>
    <w:p w:rsidR="006120B0" w:rsidRPr="000969A4" w:rsidRDefault="006120B0" w:rsidP="00260781">
      <w:pPr>
        <w:spacing w:before="3"/>
        <w:ind w:left="1134" w:hanging="567"/>
        <w:rPr>
          <w:lang w:val="fr-FR"/>
        </w:rPr>
      </w:pPr>
    </w:p>
    <w:p w:rsidR="006120B0" w:rsidRPr="000969A4" w:rsidRDefault="006120B0" w:rsidP="00260781">
      <w:pPr>
        <w:pStyle w:val="ListParagraph"/>
        <w:widowControl/>
        <w:numPr>
          <w:ilvl w:val="0"/>
          <w:numId w:val="13"/>
        </w:numPr>
        <w:spacing w:after="0" w:line="240" w:lineRule="auto"/>
        <w:ind w:left="1134" w:right="41" w:hanging="567"/>
        <w:rPr>
          <w:rFonts w:ascii="Arial" w:eastAsia="Cambria" w:hAnsi="Arial" w:cs="Arial"/>
          <w:color w:val="000000"/>
          <w:lang w:val="fr-FR"/>
        </w:rPr>
      </w:pPr>
      <w:r w:rsidRPr="000969A4">
        <w:rPr>
          <w:rFonts w:ascii="Arial" w:eastAsia="Cambria" w:hAnsi="Arial" w:cs="Arial"/>
          <w:lang w:val="fr-FR"/>
        </w:rPr>
        <w:t>l</w:t>
      </w:r>
      <w:r w:rsidR="00A04668">
        <w:rPr>
          <w:rFonts w:ascii="Arial" w:eastAsia="Cambria" w:hAnsi="Arial" w:cs="Arial"/>
          <w:lang w:val="fr-FR"/>
        </w:rPr>
        <w:t>’</w:t>
      </w:r>
      <w:r w:rsidRPr="000969A4">
        <w:rPr>
          <w:rFonts w:ascii="Arial" w:eastAsia="Cambria" w:hAnsi="Arial" w:cs="Arial"/>
          <w:lang w:val="fr-FR"/>
        </w:rPr>
        <w:t>OMPI envisage d</w:t>
      </w:r>
      <w:r w:rsidR="00A04668">
        <w:rPr>
          <w:rFonts w:ascii="Arial" w:eastAsia="Cambria" w:hAnsi="Arial" w:cs="Arial"/>
          <w:lang w:val="fr-FR"/>
        </w:rPr>
        <w:t>’</w:t>
      </w:r>
      <w:r w:rsidRPr="000969A4">
        <w:rPr>
          <w:rFonts w:ascii="Arial" w:eastAsia="Cambria" w:hAnsi="Arial" w:cs="Arial"/>
          <w:lang w:val="fr-FR"/>
        </w:rPr>
        <w:t>adopter une approche axée sur le marché en vue de favoriser l</w:t>
      </w:r>
      <w:r w:rsidR="00A04668">
        <w:rPr>
          <w:rFonts w:ascii="Arial" w:eastAsia="Cambria" w:hAnsi="Arial" w:cs="Arial"/>
          <w:lang w:val="fr-FR"/>
        </w:rPr>
        <w:t>’</w:t>
      </w:r>
      <w:r w:rsidRPr="000969A4">
        <w:rPr>
          <w:rFonts w:ascii="Arial" w:eastAsia="Cambria" w:hAnsi="Arial" w:cs="Arial"/>
          <w:lang w:val="fr-FR"/>
        </w:rPr>
        <w:t>innovation et la commercialisation en offrant aux détenteurs de brevets du secteur public un moyen à la fois de faire connaître leur intention de concéder des licences et de promouvoir leurs technologies de pointe sur la même platefor</w:t>
      </w:r>
      <w:r w:rsidR="0043436D" w:rsidRPr="000969A4">
        <w:rPr>
          <w:rFonts w:ascii="Arial" w:eastAsia="Cambria" w:hAnsi="Arial" w:cs="Arial"/>
          <w:lang w:val="fr-FR"/>
        </w:rPr>
        <w:t>me</w:t>
      </w:r>
      <w:r w:rsidR="0043436D">
        <w:rPr>
          <w:rFonts w:ascii="Arial" w:eastAsia="Cambria" w:hAnsi="Arial" w:cs="Arial"/>
          <w:lang w:val="fr-FR"/>
        </w:rPr>
        <w:t xml:space="preserve">.  </w:t>
      </w:r>
      <w:r w:rsidR="0043436D" w:rsidRPr="000969A4">
        <w:rPr>
          <w:rFonts w:ascii="Arial" w:eastAsia="Cambria" w:hAnsi="Arial" w:cs="Arial"/>
          <w:lang w:val="fr-FR"/>
        </w:rPr>
        <w:t>Da</w:t>
      </w:r>
      <w:r w:rsidRPr="000969A4">
        <w:rPr>
          <w:rFonts w:ascii="Arial" w:eastAsia="Cambria" w:hAnsi="Arial" w:cs="Arial"/>
          <w:lang w:val="fr-FR"/>
        </w:rPr>
        <w:t>ns le cadre des activités de recherche dans ce domaine, l</w:t>
      </w:r>
      <w:r w:rsidR="00A04668">
        <w:rPr>
          <w:rFonts w:ascii="Arial" w:eastAsia="Cambria" w:hAnsi="Arial" w:cs="Arial"/>
          <w:lang w:val="fr-FR"/>
        </w:rPr>
        <w:t>’</w:t>
      </w:r>
      <w:r w:rsidRPr="000969A4">
        <w:rPr>
          <w:rFonts w:ascii="Arial" w:eastAsia="Cambria" w:hAnsi="Arial" w:cs="Arial"/>
          <w:lang w:val="fr-FR"/>
        </w:rPr>
        <w:t>OMPI devrait envisager d</w:t>
      </w:r>
      <w:r w:rsidR="00A04668">
        <w:rPr>
          <w:rFonts w:ascii="Arial" w:eastAsia="Cambria" w:hAnsi="Arial" w:cs="Arial"/>
          <w:lang w:val="fr-FR"/>
        </w:rPr>
        <w:t>’</w:t>
      </w:r>
      <w:r w:rsidRPr="000969A4">
        <w:rPr>
          <w:rFonts w:ascii="Arial" w:eastAsia="Cambria" w:hAnsi="Arial" w:cs="Arial"/>
          <w:lang w:val="fr-FR"/>
        </w:rPr>
        <w:t>avoir recours aux plateformes déjà existantes et de collaborer avec les États membres ayant mis en place des systèmes similaires, tels que la plateforme Source IP de l</w:t>
      </w:r>
      <w:r w:rsidR="00A04668">
        <w:rPr>
          <w:rFonts w:ascii="Arial" w:eastAsia="Cambria" w:hAnsi="Arial" w:cs="Arial"/>
          <w:lang w:val="fr-FR"/>
        </w:rPr>
        <w:t>’</w:t>
      </w:r>
      <w:r w:rsidRPr="000969A4">
        <w:rPr>
          <w:rFonts w:ascii="Arial" w:eastAsia="Cambria" w:hAnsi="Arial" w:cs="Arial"/>
          <w:lang w:val="fr-FR"/>
        </w:rPr>
        <w:t>Australie (</w:t>
      </w:r>
      <w:hyperlink r:id="rId11">
        <w:r w:rsidRPr="000969A4">
          <w:rPr>
            <w:rFonts w:ascii="Arial" w:eastAsia="Cambria" w:hAnsi="Arial" w:cs="Arial"/>
            <w:color w:val="0000FF"/>
            <w:u w:val="single" w:color="0000FF"/>
            <w:lang w:val="fr-FR"/>
          </w:rPr>
          <w:t>https://sourceip.ipaustralia.gov.au/#/about</w:t>
        </w:r>
      </w:hyperlink>
      <w:r w:rsidRPr="000969A4">
        <w:rPr>
          <w:rFonts w:ascii="Arial" w:eastAsia="Cambria" w:hAnsi="Arial" w:cs="Arial"/>
          <w:color w:val="000000"/>
          <w:lang w:val="fr-FR"/>
        </w:rPr>
        <w:t>).  Par exemple, le Secrétariat devrait inviter ces États membres à faire des communications sur leurs pratiques et données d</w:t>
      </w:r>
      <w:r w:rsidR="00A04668">
        <w:rPr>
          <w:rFonts w:ascii="Arial" w:eastAsia="Cambria" w:hAnsi="Arial" w:cs="Arial"/>
          <w:color w:val="000000"/>
          <w:lang w:val="fr-FR"/>
        </w:rPr>
        <w:t>’</w:t>
      </w:r>
      <w:r w:rsidRPr="000969A4">
        <w:rPr>
          <w:rFonts w:ascii="Arial" w:eastAsia="Cambria" w:hAnsi="Arial" w:cs="Arial"/>
          <w:color w:val="000000"/>
          <w:lang w:val="fr-FR"/>
        </w:rPr>
        <w:t>expérience nationales relatives à l</w:t>
      </w:r>
      <w:r w:rsidR="00A04668">
        <w:rPr>
          <w:rFonts w:ascii="Arial" w:eastAsia="Cambria" w:hAnsi="Arial" w:cs="Arial"/>
          <w:color w:val="000000"/>
          <w:lang w:val="fr-FR"/>
        </w:rPr>
        <w:t>’</w:t>
      </w:r>
      <w:r w:rsidRPr="000969A4">
        <w:rPr>
          <w:rFonts w:ascii="Arial" w:eastAsia="Cambria" w:hAnsi="Arial" w:cs="Arial"/>
          <w:color w:val="000000"/>
          <w:lang w:val="fr-FR"/>
        </w:rPr>
        <w:t>adoption d</w:t>
      </w:r>
      <w:r w:rsidR="00A04668">
        <w:rPr>
          <w:rFonts w:ascii="Arial" w:eastAsia="Cambria" w:hAnsi="Arial" w:cs="Arial"/>
          <w:color w:val="000000"/>
          <w:lang w:val="fr-FR"/>
        </w:rPr>
        <w:t>’</w:t>
      </w:r>
      <w:r w:rsidRPr="000969A4">
        <w:rPr>
          <w:rFonts w:ascii="Arial" w:eastAsia="Cambria" w:hAnsi="Arial" w:cs="Arial"/>
          <w:color w:val="000000"/>
          <w:lang w:val="fr-FR"/>
        </w:rPr>
        <w:t>approches axées sur le marché et de plateformes consacrées au transfert de technologie, afin de guider les travaux de l</w:t>
      </w:r>
      <w:r w:rsidR="00A04668">
        <w:rPr>
          <w:rFonts w:ascii="Arial" w:eastAsia="Cambria" w:hAnsi="Arial" w:cs="Arial"/>
          <w:color w:val="000000"/>
          <w:lang w:val="fr-FR"/>
        </w:rPr>
        <w:t>’</w:t>
      </w:r>
      <w:r w:rsidRPr="000969A4">
        <w:rPr>
          <w:rFonts w:ascii="Arial" w:eastAsia="Cambria" w:hAnsi="Arial" w:cs="Arial"/>
          <w:color w:val="000000"/>
          <w:lang w:val="fr-FR"/>
        </w:rPr>
        <w:t>OMPI dans ce domaine.</w:t>
      </w:r>
    </w:p>
    <w:p w:rsidR="006120B0" w:rsidRPr="000969A4" w:rsidRDefault="006120B0" w:rsidP="00260781">
      <w:pPr>
        <w:spacing w:before="7"/>
        <w:rPr>
          <w:lang w:val="fr-FR"/>
        </w:rPr>
      </w:pPr>
    </w:p>
    <w:p w:rsidR="006120B0" w:rsidRPr="000969A4" w:rsidRDefault="006120B0" w:rsidP="00260781">
      <w:pPr>
        <w:ind w:right="963"/>
        <w:rPr>
          <w:rFonts w:eastAsia="Cambria"/>
          <w:lang w:val="fr-FR"/>
        </w:rPr>
      </w:pPr>
      <w:r w:rsidRPr="000969A4">
        <w:rPr>
          <w:rFonts w:eastAsia="Cambria"/>
          <w:lang w:val="fr-FR"/>
        </w:rPr>
        <w:t>Afin de traduire les résultats du projet en réalisations tangibles et durables, qui permettront d</w:t>
      </w:r>
      <w:r w:rsidR="00A04668">
        <w:rPr>
          <w:rFonts w:eastAsia="Cambria"/>
          <w:lang w:val="fr-FR"/>
        </w:rPr>
        <w:t>’</w:t>
      </w:r>
      <w:r w:rsidRPr="000969A4">
        <w:rPr>
          <w:rFonts w:eastAsia="Cambria"/>
          <w:lang w:val="fr-FR"/>
        </w:rPr>
        <w:t>obtenir des avantages plus importants,</w:t>
      </w:r>
    </w:p>
    <w:p w:rsidR="006120B0" w:rsidRPr="000969A4" w:rsidRDefault="006120B0" w:rsidP="00260781">
      <w:pPr>
        <w:spacing w:before="18"/>
        <w:rPr>
          <w:lang w:val="fr-FR"/>
        </w:rPr>
      </w:pPr>
    </w:p>
    <w:p w:rsidR="006120B0" w:rsidRPr="000969A4" w:rsidRDefault="006120B0" w:rsidP="00260781">
      <w:pPr>
        <w:pStyle w:val="ListParagraph"/>
        <w:widowControl/>
        <w:numPr>
          <w:ilvl w:val="0"/>
          <w:numId w:val="13"/>
        </w:numPr>
        <w:spacing w:after="0" w:line="240" w:lineRule="auto"/>
        <w:ind w:left="1134" w:right="46" w:hanging="567"/>
        <w:rPr>
          <w:rFonts w:ascii="Arial" w:eastAsia="Cambria" w:hAnsi="Arial" w:cs="Arial"/>
          <w:lang w:val="fr-FR"/>
        </w:rPr>
      </w:pPr>
      <w:r w:rsidRPr="000969A4">
        <w:rPr>
          <w:rFonts w:ascii="Arial" w:eastAsia="Cambria" w:hAnsi="Arial" w:cs="Arial"/>
          <w:lang w:val="fr-FR"/>
        </w:rPr>
        <w:t>conformément à la décision du comité figurant dans le résumé établi par le président de la seizième session du CDIP, dans laquelle les États membres intéressés étaient invités à soumettre des propositions pour examen à la dix</w:t>
      </w:r>
      <w:r w:rsidR="0043436D">
        <w:rPr>
          <w:rFonts w:ascii="Arial" w:eastAsia="Cambria" w:hAnsi="Arial" w:cs="Arial"/>
          <w:lang w:val="fr-FR"/>
        </w:rPr>
        <w:noBreakHyphen/>
      </w:r>
      <w:r w:rsidRPr="000969A4">
        <w:rPr>
          <w:rFonts w:ascii="Arial" w:eastAsia="Cambria" w:hAnsi="Arial" w:cs="Arial"/>
          <w:lang w:val="fr-FR"/>
        </w:rPr>
        <w:t>huitième session du comité, nous proposons que le comité fonde ses travaux futurs au titre de ce point de l</w:t>
      </w:r>
      <w:r w:rsidR="00A04668">
        <w:rPr>
          <w:rFonts w:ascii="Arial" w:eastAsia="Cambria" w:hAnsi="Arial" w:cs="Arial"/>
          <w:lang w:val="fr-FR"/>
        </w:rPr>
        <w:t>’</w:t>
      </w:r>
      <w:r w:rsidRPr="000969A4">
        <w:rPr>
          <w:rFonts w:ascii="Arial" w:eastAsia="Cambria" w:hAnsi="Arial" w:cs="Arial"/>
          <w:lang w:val="fr-FR"/>
        </w:rPr>
        <w:t>ordre du jour sur des projets concrets susceptibles de produire des résultats tangibles pour les États membres en matière de promotion du transfert de technologie au niveau international et de renforcement des capacités dans les pays les moins avancés, les pays en développement et les pays en transition, en vue de favoriser un transfert de technologie plus efficace et d</w:t>
      </w:r>
      <w:r w:rsidR="00A04668">
        <w:rPr>
          <w:rFonts w:ascii="Arial" w:eastAsia="Cambria" w:hAnsi="Arial" w:cs="Arial"/>
          <w:lang w:val="fr-FR"/>
        </w:rPr>
        <w:t>’</w:t>
      </w:r>
      <w:r w:rsidRPr="000969A4">
        <w:rPr>
          <w:rFonts w:ascii="Arial" w:eastAsia="Cambria" w:hAnsi="Arial" w:cs="Arial"/>
          <w:lang w:val="fr-FR"/>
        </w:rPr>
        <w:t>améliorer la coopération entre les parties prenant</w:t>
      </w:r>
      <w:r w:rsidR="0043436D" w:rsidRPr="000969A4">
        <w:rPr>
          <w:rFonts w:ascii="Arial" w:eastAsia="Cambria" w:hAnsi="Arial" w:cs="Arial"/>
          <w:lang w:val="fr-FR"/>
        </w:rPr>
        <w:t>es</w:t>
      </w:r>
      <w:r w:rsidR="0043436D">
        <w:rPr>
          <w:rFonts w:ascii="Arial" w:eastAsia="Cambria" w:hAnsi="Arial" w:cs="Arial"/>
          <w:lang w:val="fr-FR"/>
        </w:rPr>
        <w:t xml:space="preserve">.  </w:t>
      </w:r>
      <w:r w:rsidR="0043436D" w:rsidRPr="000969A4">
        <w:rPr>
          <w:rFonts w:ascii="Arial" w:eastAsia="Cambria" w:hAnsi="Arial" w:cs="Arial"/>
          <w:lang w:val="fr-FR"/>
        </w:rPr>
        <w:t>Da</w:t>
      </w:r>
      <w:r w:rsidRPr="000969A4">
        <w:rPr>
          <w:rFonts w:ascii="Arial" w:eastAsia="Cambria" w:hAnsi="Arial" w:cs="Arial"/>
          <w:lang w:val="fr-FR"/>
        </w:rPr>
        <w:t>ns un premier temps, afin de mettre à profit l</w:t>
      </w:r>
      <w:r w:rsidR="00A04668">
        <w:rPr>
          <w:rFonts w:ascii="Arial" w:eastAsia="Cambria" w:hAnsi="Arial" w:cs="Arial"/>
          <w:lang w:val="fr-FR"/>
        </w:rPr>
        <w:t>’</w:t>
      </w:r>
      <w:r w:rsidRPr="000969A4">
        <w:rPr>
          <w:rFonts w:ascii="Arial" w:eastAsia="Cambria" w:hAnsi="Arial" w:cs="Arial"/>
          <w:lang w:val="fr-FR"/>
        </w:rPr>
        <w:t>excellent travail réalisé dans le cadre de l</w:t>
      </w:r>
      <w:r w:rsidR="00A04668">
        <w:rPr>
          <w:rFonts w:ascii="Arial" w:eastAsia="Cambria" w:hAnsi="Arial" w:cs="Arial"/>
          <w:lang w:val="fr-FR"/>
        </w:rPr>
        <w:t>’</w:t>
      </w:r>
      <w:r w:rsidRPr="000969A4">
        <w:rPr>
          <w:rFonts w:ascii="Arial" w:eastAsia="Cambria" w:hAnsi="Arial" w:cs="Arial"/>
          <w:lang w:val="fr-FR"/>
        </w:rPr>
        <w:t>exercice de cartographie faisant l</w:t>
      </w:r>
      <w:r w:rsidR="00A04668">
        <w:rPr>
          <w:rFonts w:ascii="Arial" w:eastAsia="Cambria" w:hAnsi="Arial" w:cs="Arial"/>
          <w:lang w:val="fr-FR"/>
        </w:rPr>
        <w:t>’</w:t>
      </w:r>
      <w:r w:rsidRPr="000969A4">
        <w:rPr>
          <w:rFonts w:ascii="Arial" w:eastAsia="Cambria" w:hAnsi="Arial" w:cs="Arial"/>
          <w:lang w:val="fr-FR"/>
        </w:rPr>
        <w:t>objet du document CDIP/17/9, le Secrétariat devrait analyser les lacunes dans les services et activités de l</w:t>
      </w:r>
      <w:r w:rsidR="00A04668">
        <w:rPr>
          <w:rFonts w:ascii="Arial" w:eastAsia="Cambria" w:hAnsi="Arial" w:cs="Arial"/>
          <w:lang w:val="fr-FR"/>
        </w:rPr>
        <w:t>’</w:t>
      </w:r>
      <w:r w:rsidRPr="000969A4">
        <w:rPr>
          <w:rFonts w:ascii="Arial" w:eastAsia="Cambria" w:hAnsi="Arial" w:cs="Arial"/>
          <w:lang w:val="fr-FR"/>
        </w:rPr>
        <w:t>OMPI en matière de transfert de technologie au regard des recommandations du groupe C du Plan d</w:t>
      </w:r>
      <w:r w:rsidR="00A04668">
        <w:rPr>
          <w:rFonts w:ascii="Arial" w:eastAsia="Cambria" w:hAnsi="Arial" w:cs="Arial"/>
          <w:lang w:val="fr-FR"/>
        </w:rPr>
        <w:t>’</w:t>
      </w:r>
      <w:r w:rsidRPr="000969A4">
        <w:rPr>
          <w:rFonts w:ascii="Arial" w:eastAsia="Cambria" w:hAnsi="Arial" w:cs="Arial"/>
          <w:lang w:val="fr-FR"/>
        </w:rPr>
        <w:t>action pour le développement, de manière à faciliter la prise en considération et l</w:t>
      </w:r>
      <w:r w:rsidR="00A04668">
        <w:rPr>
          <w:rFonts w:ascii="Arial" w:eastAsia="Cambria" w:hAnsi="Arial" w:cs="Arial"/>
          <w:lang w:val="fr-FR"/>
        </w:rPr>
        <w:t>’</w:t>
      </w:r>
      <w:r w:rsidRPr="000969A4">
        <w:rPr>
          <w:rFonts w:ascii="Arial" w:eastAsia="Cambria" w:hAnsi="Arial" w:cs="Arial"/>
          <w:lang w:val="fr-FR"/>
        </w:rPr>
        <w:t>examen des propositions et des domaines prioritaires à l</w:t>
      </w:r>
      <w:r w:rsidR="00A04668">
        <w:rPr>
          <w:rFonts w:ascii="Arial" w:eastAsia="Cambria" w:hAnsi="Arial" w:cs="Arial"/>
          <w:lang w:val="fr-FR"/>
        </w:rPr>
        <w:t>’</w:t>
      </w:r>
      <w:r w:rsidRPr="000969A4">
        <w:rPr>
          <w:rFonts w:ascii="Arial" w:eastAsia="Cambria" w:hAnsi="Arial" w:cs="Arial"/>
          <w:lang w:val="fr-FR"/>
        </w:rPr>
        <w:t>avenir.</w:t>
      </w:r>
    </w:p>
    <w:p w:rsidR="006120B0" w:rsidRPr="000969A4" w:rsidRDefault="006120B0" w:rsidP="00260781">
      <w:pPr>
        <w:rPr>
          <w:lang w:val="fr-FR"/>
        </w:rPr>
      </w:pPr>
    </w:p>
    <w:p w:rsidR="000969A4" w:rsidRDefault="006120B0" w:rsidP="00260781">
      <w:pPr>
        <w:keepNext/>
        <w:keepLines/>
        <w:ind w:right="1040"/>
        <w:rPr>
          <w:rFonts w:eastAsia="Cambria"/>
          <w:lang w:val="fr-FR"/>
        </w:rPr>
      </w:pPr>
      <w:r w:rsidRPr="000969A4">
        <w:rPr>
          <w:rFonts w:eastAsia="Cambria"/>
          <w:lang w:val="fr-FR"/>
        </w:rPr>
        <w:t>Une synthèse des activités ayant déjà été mises en œuvre par le CDIP dans le domaine du transfert de technologie figure dans l</w:t>
      </w:r>
      <w:r w:rsidR="00A04668">
        <w:rPr>
          <w:rFonts w:eastAsia="Cambria"/>
          <w:lang w:val="fr-FR"/>
        </w:rPr>
        <w:t>’</w:t>
      </w:r>
      <w:r w:rsidRPr="000969A4">
        <w:rPr>
          <w:rFonts w:eastAsia="Cambria"/>
          <w:lang w:val="fr-FR"/>
        </w:rPr>
        <w:t>annexe du présent document.</w:t>
      </w:r>
    </w:p>
    <w:p w:rsidR="000969A4" w:rsidRDefault="000969A4" w:rsidP="00260781">
      <w:pPr>
        <w:rPr>
          <w:rFonts w:eastAsia="Cambria"/>
          <w:lang w:val="fr-FR"/>
        </w:rPr>
      </w:pPr>
      <w:r>
        <w:rPr>
          <w:rFonts w:eastAsia="Cambria"/>
          <w:lang w:val="fr-FR"/>
        </w:rPr>
        <w:br w:type="page"/>
      </w:r>
    </w:p>
    <w:p w:rsidR="006120B0" w:rsidRPr="000969A4" w:rsidRDefault="006120B0" w:rsidP="00260781">
      <w:pPr>
        <w:spacing w:before="60"/>
        <w:ind w:right="-20"/>
        <w:rPr>
          <w:rFonts w:eastAsia="Cambria"/>
          <w:lang w:val="fr-FR"/>
        </w:rPr>
      </w:pPr>
      <w:r w:rsidRPr="000969A4">
        <w:rPr>
          <w:rFonts w:eastAsia="Cambria"/>
          <w:b/>
          <w:bCs/>
          <w:position w:val="-1"/>
          <w:u w:val="thick" w:color="000000"/>
          <w:lang w:val="fr-FR"/>
        </w:rPr>
        <w:lastRenderedPageBreak/>
        <w:t>Annexe A</w:t>
      </w:r>
    </w:p>
    <w:p w:rsidR="006120B0" w:rsidRPr="000969A4" w:rsidRDefault="006120B0" w:rsidP="00260781">
      <w:pPr>
        <w:spacing w:before="2"/>
        <w:rPr>
          <w:lang w:val="fr-FR"/>
        </w:rPr>
      </w:pPr>
    </w:p>
    <w:p w:rsidR="006120B0" w:rsidRPr="000969A4" w:rsidRDefault="006120B0" w:rsidP="00260781">
      <w:pPr>
        <w:spacing w:before="26"/>
        <w:ind w:right="494"/>
        <w:rPr>
          <w:rFonts w:eastAsia="Cambria"/>
          <w:lang w:val="fr-FR"/>
        </w:rPr>
      </w:pPr>
      <w:r w:rsidRPr="000969A4">
        <w:rPr>
          <w:rFonts w:eastAsia="Cambria"/>
          <w:b/>
          <w:bCs/>
          <w:u w:val="thick" w:color="000000"/>
          <w:lang w:val="fr-FR"/>
        </w:rPr>
        <w:t>Informations générales sur les activités mises en œuvre par le CDIP dans le domaine du transfert de technologie</w:t>
      </w:r>
    </w:p>
    <w:p w:rsidR="006120B0" w:rsidRPr="000969A4" w:rsidRDefault="006120B0" w:rsidP="00260781">
      <w:pPr>
        <w:spacing w:before="18"/>
        <w:rPr>
          <w:lang w:val="fr-FR"/>
        </w:rPr>
      </w:pPr>
    </w:p>
    <w:p w:rsidR="006120B0" w:rsidRPr="000969A4" w:rsidRDefault="006120B0" w:rsidP="00260781">
      <w:pPr>
        <w:ind w:right="-20"/>
        <w:rPr>
          <w:rFonts w:eastAsia="Cambria"/>
          <w:lang w:val="fr-FR"/>
        </w:rPr>
      </w:pPr>
      <w:r w:rsidRPr="000969A4">
        <w:rPr>
          <w:rFonts w:eastAsia="Cambria"/>
          <w:lang w:val="fr-FR"/>
        </w:rPr>
        <w:t>Le comité s</w:t>
      </w:r>
      <w:r w:rsidR="00A04668">
        <w:rPr>
          <w:rFonts w:eastAsia="Cambria"/>
          <w:lang w:val="fr-FR"/>
        </w:rPr>
        <w:t>’</w:t>
      </w:r>
      <w:r w:rsidRPr="000969A4">
        <w:rPr>
          <w:rFonts w:eastAsia="Cambria"/>
          <w:lang w:val="fr-FR"/>
        </w:rPr>
        <w:t xml:space="preserve">est penché pour la première fois sur le projet relatif au transfert de technologie à la </w:t>
      </w:r>
      <w:r w:rsidRPr="000969A4">
        <w:rPr>
          <w:rFonts w:eastAsia="Cambria"/>
          <w:b/>
          <w:lang w:val="fr-FR"/>
        </w:rPr>
        <w:t>quatrième session du CDIP</w:t>
      </w:r>
      <w:r w:rsidRPr="000969A4">
        <w:rPr>
          <w:rFonts w:eastAsia="Cambria"/>
          <w:lang w:val="fr-FR"/>
        </w:rPr>
        <w:t xml:space="preserve"> (novembre 2009) et l</w:t>
      </w:r>
      <w:r w:rsidR="00A04668">
        <w:rPr>
          <w:rFonts w:eastAsia="Cambria"/>
          <w:lang w:val="fr-FR"/>
        </w:rPr>
        <w:t>’</w:t>
      </w:r>
      <w:r w:rsidRPr="000969A4">
        <w:rPr>
          <w:rFonts w:eastAsia="Cambria"/>
          <w:lang w:val="fr-FR"/>
        </w:rPr>
        <w:t xml:space="preserve">a approuvé après y avoir apporté certaines modifications à la </w:t>
      </w:r>
      <w:r w:rsidRPr="000969A4">
        <w:rPr>
          <w:rFonts w:eastAsia="Cambria"/>
          <w:b/>
          <w:lang w:val="fr-FR"/>
        </w:rPr>
        <w:t>sixième session du </w:t>
      </w:r>
      <w:r w:rsidRPr="000969A4">
        <w:rPr>
          <w:rFonts w:eastAsia="Cambria"/>
          <w:b/>
          <w:bCs/>
          <w:lang w:val="fr-FR"/>
        </w:rPr>
        <w:t xml:space="preserve">CDIP </w:t>
      </w:r>
      <w:r w:rsidRPr="000969A4">
        <w:rPr>
          <w:rFonts w:eastAsia="Cambria"/>
          <w:lang w:val="fr-FR"/>
        </w:rPr>
        <w:t>(novembre 2010).</w:t>
      </w:r>
    </w:p>
    <w:p w:rsidR="006120B0" w:rsidRPr="000969A4" w:rsidRDefault="006120B0" w:rsidP="00260781">
      <w:pPr>
        <w:spacing w:before="3"/>
        <w:rPr>
          <w:lang w:val="fr-FR"/>
        </w:rPr>
      </w:pPr>
    </w:p>
    <w:p w:rsidR="006120B0" w:rsidRPr="000969A4" w:rsidRDefault="006120B0" w:rsidP="00260781">
      <w:pPr>
        <w:ind w:right="56"/>
        <w:rPr>
          <w:rFonts w:eastAsia="Cambria"/>
          <w:lang w:val="fr-FR"/>
        </w:rPr>
      </w:pPr>
      <w:r w:rsidRPr="000969A4">
        <w:rPr>
          <w:rFonts w:eastAsia="Cambria"/>
          <w:lang w:val="fr-FR"/>
        </w:rPr>
        <w:t>Dans le projet final approuvé, il était envisagé, dans une première étape, d</w:t>
      </w:r>
      <w:r w:rsidR="00A04668">
        <w:rPr>
          <w:rFonts w:eastAsia="Cambria"/>
          <w:lang w:val="fr-FR"/>
        </w:rPr>
        <w:t>’</w:t>
      </w:r>
      <w:r w:rsidRPr="000969A4">
        <w:rPr>
          <w:rFonts w:eastAsia="Cambria"/>
          <w:lang w:val="fr-FR"/>
        </w:rPr>
        <w:t>établir un document relatif au projet comprenant une description détaillée des éléments du projet pour approbation par le comi</w:t>
      </w:r>
      <w:r w:rsidR="0043436D" w:rsidRPr="000969A4">
        <w:rPr>
          <w:rFonts w:eastAsia="Cambria"/>
          <w:lang w:val="fr-FR"/>
        </w:rPr>
        <w:t>té</w:t>
      </w:r>
      <w:r w:rsidR="0043436D">
        <w:rPr>
          <w:rFonts w:eastAsia="Cambria"/>
          <w:lang w:val="fr-FR"/>
        </w:rPr>
        <w:t xml:space="preserve">.  </w:t>
      </w:r>
      <w:r w:rsidR="0043436D" w:rsidRPr="000969A4">
        <w:rPr>
          <w:rFonts w:eastAsia="Cambria"/>
          <w:lang w:val="fr-FR"/>
        </w:rPr>
        <w:t xml:space="preserve">À </w:t>
      </w:r>
      <w:r w:rsidRPr="000969A4">
        <w:rPr>
          <w:rFonts w:eastAsia="Cambria"/>
          <w:lang w:val="fr-FR"/>
        </w:rPr>
        <w:t xml:space="preserve">la </w:t>
      </w:r>
      <w:r w:rsidRPr="000969A4">
        <w:rPr>
          <w:rFonts w:eastAsia="Cambria"/>
          <w:b/>
          <w:lang w:val="fr-FR"/>
        </w:rPr>
        <w:t>huitième session du CDIP</w:t>
      </w:r>
      <w:r w:rsidRPr="000969A4">
        <w:rPr>
          <w:rFonts w:eastAsia="Cambria"/>
          <w:lang w:val="fr-FR"/>
        </w:rPr>
        <w:t xml:space="preserve"> (novembre 2011), le comité a approuvé le document relatif au projet contenant le cahier des charges du projet relatif au transfert de technologie, </w:t>
      </w:r>
      <w:r w:rsidR="00A04668">
        <w:rPr>
          <w:rFonts w:eastAsia="Cambria"/>
          <w:lang w:val="fr-FR"/>
        </w:rPr>
        <w:t>y compris</w:t>
      </w:r>
      <w:r w:rsidRPr="000969A4">
        <w:rPr>
          <w:rFonts w:eastAsia="Cambria"/>
          <w:lang w:val="fr-FR"/>
        </w:rPr>
        <w:t xml:space="preserve"> le format et le programme type des cinq réunions régionales de consultation prévues.</w:t>
      </w:r>
    </w:p>
    <w:p w:rsidR="006120B0" w:rsidRPr="000969A4" w:rsidRDefault="006120B0" w:rsidP="00260781">
      <w:pPr>
        <w:spacing w:before="7"/>
        <w:rPr>
          <w:lang w:val="fr-FR"/>
        </w:rPr>
      </w:pPr>
    </w:p>
    <w:p w:rsidR="006120B0" w:rsidRPr="000969A4" w:rsidRDefault="006120B0" w:rsidP="00260781">
      <w:pPr>
        <w:ind w:right="364"/>
        <w:rPr>
          <w:rFonts w:eastAsia="Cambria"/>
          <w:lang w:val="fr-FR"/>
        </w:rPr>
      </w:pPr>
      <w:r w:rsidRPr="000969A4">
        <w:rPr>
          <w:rFonts w:eastAsia="Cambria"/>
          <w:lang w:val="fr-FR"/>
        </w:rPr>
        <w:t>Le descriptif révisé du “Projet relatif à la propriété intellectuelle et au transfert de technologie : élaborer des solutions face aux défis communs” comprenait les étapes ci</w:t>
      </w:r>
      <w:r w:rsidR="0043436D">
        <w:rPr>
          <w:rFonts w:eastAsia="Cambria"/>
          <w:lang w:val="fr-FR"/>
        </w:rPr>
        <w:noBreakHyphen/>
      </w:r>
      <w:r w:rsidRPr="000969A4">
        <w:rPr>
          <w:rFonts w:eastAsia="Cambria"/>
          <w:lang w:val="fr-FR"/>
        </w:rPr>
        <w:t>après (voir la présentation du projet et le calendrier d</w:t>
      </w:r>
      <w:r w:rsidR="00A04668">
        <w:rPr>
          <w:rFonts w:eastAsia="Cambria"/>
          <w:lang w:val="fr-FR"/>
        </w:rPr>
        <w:t>’</w:t>
      </w:r>
      <w:r w:rsidRPr="000969A4">
        <w:rPr>
          <w:rFonts w:eastAsia="Cambria"/>
          <w:lang w:val="fr-FR"/>
        </w:rPr>
        <w:t xml:space="preserve">exécution proposé figurant dans le document </w:t>
      </w:r>
      <w:r w:rsidRPr="000969A4">
        <w:rPr>
          <w:rFonts w:eastAsia="Cambria"/>
          <w:b/>
          <w:bCs/>
          <w:i/>
          <w:lang w:val="fr-FR"/>
        </w:rPr>
        <w:t>CDIP/9/INF/4 – Descriptif révisé du projet relatif à la propriété intellectuelle et au transfert de technologie : élaborer des solutions face aux défis communs</w:t>
      </w:r>
      <w:r w:rsidRPr="000969A4">
        <w:rPr>
          <w:rFonts w:eastAsia="Cambria"/>
          <w:lang w:val="fr-FR"/>
        </w:rPr>
        <w:t>) :</w:t>
      </w:r>
    </w:p>
    <w:p w:rsidR="006120B0" w:rsidRPr="000969A4" w:rsidRDefault="006120B0" w:rsidP="00260781">
      <w:pPr>
        <w:spacing w:before="13"/>
        <w:rPr>
          <w:lang w:val="fr-FR"/>
        </w:rPr>
      </w:pPr>
    </w:p>
    <w:p w:rsidR="006120B0" w:rsidRPr="000969A4" w:rsidRDefault="006120B0" w:rsidP="00260781">
      <w:pPr>
        <w:spacing w:before="30"/>
        <w:ind w:right="71"/>
        <w:rPr>
          <w:rFonts w:eastAsia="Cambria"/>
          <w:lang w:val="fr-FR"/>
        </w:rPr>
      </w:pPr>
      <w:r w:rsidRPr="000969A4">
        <w:rPr>
          <w:rFonts w:eastAsia="Cambria"/>
          <w:u w:val="single" w:color="000000"/>
          <w:lang w:val="fr-FR"/>
        </w:rPr>
        <w:t>Étape n° 1 :</w:t>
      </w:r>
    </w:p>
    <w:p w:rsidR="006120B0" w:rsidRPr="000969A4" w:rsidRDefault="006120B0" w:rsidP="00260781">
      <w:pPr>
        <w:spacing w:before="30"/>
        <w:ind w:right="71"/>
        <w:rPr>
          <w:rFonts w:eastAsia="Cambria"/>
          <w:lang w:val="fr-FR"/>
        </w:rPr>
      </w:pPr>
      <w:r w:rsidRPr="000969A4">
        <w:rPr>
          <w:rFonts w:eastAsia="Cambria"/>
          <w:lang w:val="fr-FR"/>
        </w:rPr>
        <w:t>Document relatif au projet</w:t>
      </w:r>
    </w:p>
    <w:p w:rsidR="006120B0" w:rsidRPr="000969A4" w:rsidRDefault="006120B0" w:rsidP="00260781">
      <w:pPr>
        <w:tabs>
          <w:tab w:val="left" w:pos="1134"/>
        </w:tabs>
        <w:spacing w:before="8"/>
        <w:ind w:left="1134" w:right="-20" w:hanging="567"/>
        <w:rPr>
          <w:rFonts w:eastAsia="Cambria"/>
          <w:lang w:val="fr-FR"/>
        </w:rPr>
      </w:pPr>
      <w:r w:rsidRPr="000969A4">
        <w:rPr>
          <w:rFonts w:eastAsia="Times New Roman"/>
          <w:w w:val="131"/>
          <w:lang w:val="fr-FR"/>
        </w:rPr>
        <w:t>•</w:t>
      </w:r>
      <w:r w:rsidRPr="000969A4">
        <w:rPr>
          <w:rFonts w:eastAsia="Times New Roman"/>
          <w:lang w:val="fr-FR"/>
        </w:rPr>
        <w:tab/>
        <w:t>élaboré en octobre </w:t>
      </w:r>
      <w:r w:rsidRPr="000969A4">
        <w:rPr>
          <w:rFonts w:eastAsia="Cambria"/>
          <w:lang w:val="fr-FR"/>
        </w:rPr>
        <w:t>2011 et présenté à la huitième session du CDIP pour approbation par les États membr</w:t>
      </w:r>
      <w:r w:rsidR="0043436D" w:rsidRPr="000969A4">
        <w:rPr>
          <w:rFonts w:eastAsia="Cambria"/>
          <w:lang w:val="fr-FR"/>
        </w:rPr>
        <w:t>es</w:t>
      </w:r>
      <w:r w:rsidR="0043436D">
        <w:rPr>
          <w:rFonts w:eastAsia="Cambria"/>
          <w:lang w:val="fr-FR"/>
        </w:rPr>
        <w:t xml:space="preserve">.  </w:t>
      </w:r>
      <w:r w:rsidR="0043436D" w:rsidRPr="000969A4">
        <w:rPr>
          <w:rFonts w:eastAsia="Cambria"/>
          <w:lang w:val="fr-FR"/>
        </w:rPr>
        <w:t>Le</w:t>
      </w:r>
      <w:r w:rsidRPr="000969A4">
        <w:rPr>
          <w:rFonts w:eastAsia="Cambria"/>
          <w:lang w:val="fr-FR"/>
        </w:rPr>
        <w:t xml:space="preserve"> cahier des charges et les autres documents ont été approuvés par le comité.</w:t>
      </w:r>
    </w:p>
    <w:p w:rsidR="006120B0" w:rsidRPr="000969A4" w:rsidRDefault="006120B0" w:rsidP="00260781">
      <w:pPr>
        <w:spacing w:before="3"/>
        <w:rPr>
          <w:lang w:val="fr-FR"/>
        </w:rPr>
      </w:pPr>
    </w:p>
    <w:p w:rsidR="006120B0" w:rsidRPr="000969A4" w:rsidRDefault="006120B0" w:rsidP="00260781">
      <w:pPr>
        <w:ind w:right="-20"/>
        <w:rPr>
          <w:rFonts w:eastAsia="Cambria"/>
          <w:lang w:val="fr-FR"/>
        </w:rPr>
      </w:pPr>
      <w:r w:rsidRPr="000969A4">
        <w:rPr>
          <w:rFonts w:eastAsia="Cambria"/>
          <w:u w:val="single" w:color="000000"/>
          <w:lang w:val="fr-FR"/>
        </w:rPr>
        <w:t>Étape n° 2 :</w:t>
      </w:r>
    </w:p>
    <w:p w:rsidR="006120B0" w:rsidRPr="000969A4" w:rsidRDefault="006120B0" w:rsidP="00260781">
      <w:pPr>
        <w:spacing w:before="3"/>
        <w:ind w:right="175"/>
        <w:rPr>
          <w:rFonts w:eastAsia="Cambria"/>
          <w:lang w:val="fr-FR"/>
        </w:rPr>
      </w:pPr>
      <w:r w:rsidRPr="000969A4">
        <w:rPr>
          <w:rFonts w:eastAsia="Cambria"/>
          <w:lang w:val="fr-FR"/>
        </w:rPr>
        <w:t>Organisation de cinq réunions régionales de consultation sur le transfert de technologie dans différentes régions du monde après consultation préalable avec les États membres à Genève et avec la participation de différentes parties prenantes dans le domaine du transfert de technologie, notamment d</w:t>
      </w:r>
      <w:r w:rsidR="00A04668">
        <w:rPr>
          <w:rFonts w:eastAsia="Cambria"/>
          <w:lang w:val="fr-FR"/>
        </w:rPr>
        <w:t>’</w:t>
      </w:r>
      <w:r w:rsidRPr="000969A4">
        <w:rPr>
          <w:rFonts w:eastAsia="Cambria"/>
          <w:lang w:val="fr-FR"/>
        </w:rPr>
        <w:t xml:space="preserve">autres organisations compétentes du système des </w:t>
      </w:r>
      <w:r w:rsidR="00A04668">
        <w:rPr>
          <w:rFonts w:eastAsia="Cambria"/>
          <w:lang w:val="fr-FR"/>
        </w:rPr>
        <w:t>Nations Unies</w:t>
      </w:r>
    </w:p>
    <w:p w:rsidR="006120B0" w:rsidRPr="000969A4" w:rsidRDefault="006120B0" w:rsidP="00260781">
      <w:pPr>
        <w:tabs>
          <w:tab w:val="left" w:pos="1134"/>
        </w:tabs>
        <w:spacing w:before="11"/>
        <w:ind w:left="1134" w:right="-20" w:hanging="567"/>
        <w:rPr>
          <w:rFonts w:eastAsia="Cambria"/>
          <w:lang w:val="fr-FR"/>
        </w:rPr>
      </w:pPr>
      <w:r w:rsidRPr="000969A4">
        <w:rPr>
          <w:rFonts w:eastAsia="Times New Roman"/>
          <w:w w:val="131"/>
          <w:position w:val="-1"/>
          <w:lang w:val="fr-FR"/>
        </w:rPr>
        <w:t>•</w:t>
      </w:r>
      <w:r w:rsidRPr="000969A4">
        <w:rPr>
          <w:rFonts w:eastAsia="Times New Roman"/>
          <w:position w:val="-1"/>
          <w:lang w:val="fr-FR"/>
        </w:rPr>
        <w:tab/>
      </w:r>
      <w:r w:rsidRPr="000969A4">
        <w:rPr>
          <w:rFonts w:eastAsia="Cambria"/>
          <w:position w:val="-1"/>
          <w:lang w:val="fr-FR"/>
        </w:rPr>
        <w:t>troisième trimestre 2012 – troisième trimestre 2013</w:t>
      </w:r>
    </w:p>
    <w:p w:rsidR="006120B0" w:rsidRPr="000969A4" w:rsidRDefault="006120B0" w:rsidP="00260781">
      <w:pPr>
        <w:spacing w:before="4"/>
        <w:rPr>
          <w:lang w:val="fr-FR"/>
        </w:rPr>
      </w:pPr>
    </w:p>
    <w:p w:rsidR="006120B0" w:rsidRPr="000969A4" w:rsidRDefault="006120B0" w:rsidP="00260781">
      <w:pPr>
        <w:spacing w:before="26"/>
        <w:ind w:right="-20"/>
        <w:rPr>
          <w:rFonts w:eastAsia="Cambria"/>
          <w:lang w:val="fr-FR"/>
        </w:rPr>
      </w:pPr>
      <w:r w:rsidRPr="000969A4">
        <w:rPr>
          <w:rFonts w:eastAsia="Cambria"/>
          <w:u w:val="single" w:color="000000"/>
          <w:lang w:val="fr-FR"/>
        </w:rPr>
        <w:t>Étape n° 3 :</w:t>
      </w:r>
    </w:p>
    <w:p w:rsidR="006120B0" w:rsidRPr="000969A4" w:rsidRDefault="006120B0" w:rsidP="00260781">
      <w:pPr>
        <w:spacing w:before="3"/>
        <w:ind w:right="454"/>
        <w:rPr>
          <w:rFonts w:eastAsia="Cambria"/>
          <w:lang w:val="fr-FR"/>
        </w:rPr>
      </w:pPr>
      <w:r w:rsidRPr="000969A4">
        <w:rPr>
          <w:rFonts w:eastAsia="Cambria"/>
          <w:lang w:val="fr-FR"/>
        </w:rPr>
        <w:t>Réalisation d</w:t>
      </w:r>
      <w:r w:rsidR="00A04668">
        <w:rPr>
          <w:rFonts w:eastAsia="Cambria"/>
          <w:lang w:val="fr-FR"/>
        </w:rPr>
        <w:t>’</w:t>
      </w:r>
      <w:r w:rsidRPr="000969A4">
        <w:rPr>
          <w:rFonts w:eastAsia="Cambria"/>
          <w:lang w:val="fr-FR"/>
        </w:rPr>
        <w:t>études et d</w:t>
      </w:r>
      <w:r w:rsidR="00A04668">
        <w:rPr>
          <w:rFonts w:eastAsia="Cambria"/>
          <w:lang w:val="fr-FR"/>
        </w:rPr>
        <w:t>’</w:t>
      </w:r>
      <w:r w:rsidRPr="000969A4">
        <w:rPr>
          <w:rFonts w:eastAsia="Cambria"/>
          <w:lang w:val="fr-FR"/>
        </w:rPr>
        <w:t>études de cas et élaboration de matériel d</w:t>
      </w:r>
      <w:r w:rsidR="00A04668">
        <w:rPr>
          <w:rFonts w:eastAsia="Cambria"/>
          <w:lang w:val="fr-FR"/>
        </w:rPr>
        <w:t>’</w:t>
      </w:r>
      <w:r w:rsidRPr="000969A4">
        <w:rPr>
          <w:rFonts w:eastAsia="Cambria"/>
          <w:lang w:val="fr-FR"/>
        </w:rPr>
        <w:t>information sur la propriété intellectuelle et le transfert de technologie.</w:t>
      </w:r>
    </w:p>
    <w:p w:rsidR="006120B0" w:rsidRPr="000969A4" w:rsidRDefault="006120B0" w:rsidP="00260781">
      <w:pPr>
        <w:tabs>
          <w:tab w:val="left" w:pos="1134"/>
        </w:tabs>
        <w:spacing w:before="8"/>
        <w:ind w:left="1134" w:right="-20"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deuxième trimestre 2012 – premier trimestre 2013</w:t>
      </w:r>
    </w:p>
    <w:p w:rsidR="006120B0" w:rsidRPr="000969A4" w:rsidRDefault="006120B0" w:rsidP="00260781">
      <w:pPr>
        <w:spacing w:before="3"/>
        <w:rPr>
          <w:lang w:val="fr-FR"/>
        </w:rPr>
      </w:pPr>
    </w:p>
    <w:p w:rsidR="006120B0" w:rsidRPr="000969A4" w:rsidRDefault="006120B0" w:rsidP="00260781">
      <w:pPr>
        <w:ind w:right="-20"/>
        <w:rPr>
          <w:rFonts w:eastAsia="Cambria"/>
          <w:lang w:val="fr-FR"/>
        </w:rPr>
      </w:pPr>
      <w:r w:rsidRPr="000969A4">
        <w:rPr>
          <w:rFonts w:eastAsia="Cambria"/>
          <w:u w:val="single" w:color="000000"/>
          <w:lang w:val="fr-FR"/>
        </w:rPr>
        <w:t>Étape n° 4 :</w:t>
      </w:r>
    </w:p>
    <w:p w:rsidR="006120B0" w:rsidRPr="000969A4" w:rsidRDefault="006120B0" w:rsidP="00260781">
      <w:pPr>
        <w:spacing w:before="2"/>
        <w:ind w:right="-20"/>
        <w:rPr>
          <w:rFonts w:eastAsia="Cambria"/>
          <w:lang w:val="fr-FR"/>
        </w:rPr>
      </w:pPr>
      <w:r w:rsidRPr="000969A4">
        <w:rPr>
          <w:rFonts w:eastAsia="Cambria"/>
          <w:lang w:val="fr-FR"/>
        </w:rPr>
        <w:t>Organisation d</w:t>
      </w:r>
      <w:r w:rsidR="00A04668">
        <w:rPr>
          <w:rFonts w:eastAsia="Cambria"/>
          <w:lang w:val="fr-FR"/>
        </w:rPr>
        <w:t>’</w:t>
      </w:r>
      <w:r w:rsidRPr="000969A4">
        <w:rPr>
          <w:rFonts w:eastAsia="Cambria"/>
          <w:lang w:val="fr-FR"/>
        </w:rPr>
        <w:t>un forum d</w:t>
      </w:r>
      <w:r w:rsidR="00A04668">
        <w:rPr>
          <w:rFonts w:eastAsia="Cambria"/>
          <w:lang w:val="fr-FR"/>
        </w:rPr>
        <w:t>’</w:t>
      </w:r>
      <w:r w:rsidRPr="000969A4">
        <w:rPr>
          <w:rFonts w:eastAsia="Cambria"/>
          <w:lang w:val="fr-FR"/>
        </w:rPr>
        <w:t>experts internationaux de haut niveau d</w:t>
      </w:r>
      <w:r w:rsidR="00A04668">
        <w:rPr>
          <w:rFonts w:eastAsia="Cambria"/>
          <w:lang w:val="fr-FR"/>
        </w:rPr>
        <w:t>’</w:t>
      </w:r>
      <w:r w:rsidRPr="000969A4">
        <w:rPr>
          <w:rFonts w:eastAsia="Cambria"/>
          <w:lang w:val="fr-FR"/>
        </w:rPr>
        <w:t>une durée de trois jours</w:t>
      </w:r>
    </w:p>
    <w:p w:rsidR="006120B0" w:rsidRPr="000969A4" w:rsidRDefault="006120B0" w:rsidP="00260781">
      <w:pPr>
        <w:tabs>
          <w:tab w:val="left" w:pos="1134"/>
        </w:tabs>
        <w:spacing w:before="11"/>
        <w:ind w:left="1134" w:right="-20" w:hanging="567"/>
        <w:rPr>
          <w:rFonts w:eastAsia="Cambria"/>
          <w:lang w:val="fr-FR"/>
        </w:rPr>
      </w:pPr>
      <w:r w:rsidRPr="000969A4">
        <w:rPr>
          <w:rFonts w:eastAsia="Times New Roman"/>
          <w:w w:val="131"/>
          <w:lang w:val="fr-FR"/>
        </w:rPr>
        <w:t>•</w:t>
      </w:r>
      <w:r w:rsidRPr="000969A4">
        <w:rPr>
          <w:rFonts w:eastAsia="Times New Roman"/>
          <w:lang w:val="fr-FR"/>
        </w:rPr>
        <w:tab/>
        <w:t>Document de fond</w:t>
      </w:r>
      <w:r w:rsidRPr="000969A4">
        <w:rPr>
          <w:rFonts w:eastAsia="Cambria"/>
          <w:lang w:val="fr-FR"/>
        </w:rPr>
        <w:t xml:space="preserve"> – deuxième trimestre 2013</w:t>
      </w:r>
    </w:p>
    <w:p w:rsidR="006120B0" w:rsidRPr="000969A4" w:rsidRDefault="006120B0" w:rsidP="00260781">
      <w:pPr>
        <w:tabs>
          <w:tab w:val="left" w:pos="1134"/>
        </w:tabs>
        <w:spacing w:before="14"/>
        <w:ind w:left="1134" w:right="-20"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 xml:space="preserve">Soumission du projet de document de fond pour observations par des experts internationaux – </w:t>
      </w:r>
      <w:proofErr w:type="gramStart"/>
      <w:r w:rsidRPr="000969A4">
        <w:rPr>
          <w:rFonts w:eastAsia="Cambria"/>
          <w:lang w:val="fr-FR"/>
        </w:rPr>
        <w:t>deuxième trimestre</w:t>
      </w:r>
      <w:proofErr w:type="gramEnd"/>
      <w:r w:rsidRPr="000969A4">
        <w:rPr>
          <w:rFonts w:eastAsia="Cambria"/>
          <w:lang w:val="fr-FR"/>
        </w:rPr>
        <w:t> 2013</w:t>
      </w:r>
    </w:p>
    <w:p w:rsidR="006120B0" w:rsidRPr="000969A4" w:rsidRDefault="006120B0" w:rsidP="00260781">
      <w:pPr>
        <w:tabs>
          <w:tab w:val="left" w:pos="1134"/>
        </w:tabs>
        <w:spacing w:before="14"/>
        <w:ind w:left="1134" w:right="-20"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Présentation du document de fond aux missions permanentes sises à Genève – deuxième trimestre 2013</w:t>
      </w:r>
    </w:p>
    <w:p w:rsidR="006120B0" w:rsidRPr="000969A4" w:rsidRDefault="006120B0" w:rsidP="00260781">
      <w:pPr>
        <w:tabs>
          <w:tab w:val="left" w:pos="1134"/>
        </w:tabs>
        <w:spacing w:before="72"/>
        <w:ind w:left="1134" w:right="654"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Réunion d</w:t>
      </w:r>
      <w:r w:rsidR="00A04668">
        <w:rPr>
          <w:rFonts w:eastAsia="Cambria"/>
          <w:lang w:val="fr-FR"/>
        </w:rPr>
        <w:t>’</w:t>
      </w:r>
      <w:r w:rsidRPr="000969A4">
        <w:rPr>
          <w:rFonts w:eastAsia="Cambria"/>
          <w:lang w:val="fr-FR"/>
        </w:rPr>
        <w:t>une journée avec des organisations intergouvernementales ou non gouvernementales, des associations professionnelles et des experts triés sur le volet – deuxième trimestre 2013</w:t>
      </w:r>
    </w:p>
    <w:p w:rsidR="006120B0" w:rsidRPr="000969A4" w:rsidRDefault="006120B0" w:rsidP="00260781">
      <w:pPr>
        <w:tabs>
          <w:tab w:val="left" w:pos="1134"/>
        </w:tabs>
        <w:spacing w:before="9"/>
        <w:ind w:left="1134" w:right="-20"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Forum d</w:t>
      </w:r>
      <w:r w:rsidR="00A04668">
        <w:rPr>
          <w:rFonts w:eastAsia="Cambria"/>
          <w:lang w:val="fr-FR"/>
        </w:rPr>
        <w:t>’</w:t>
      </w:r>
      <w:r w:rsidRPr="000969A4">
        <w:rPr>
          <w:rFonts w:eastAsia="Cambria"/>
          <w:lang w:val="fr-FR"/>
        </w:rPr>
        <w:t>experts internationaux de haut niveau – troisième trimestre 2013</w:t>
      </w:r>
    </w:p>
    <w:p w:rsidR="006120B0" w:rsidRPr="000969A4" w:rsidRDefault="006120B0" w:rsidP="00260781">
      <w:pPr>
        <w:spacing w:before="3"/>
        <w:rPr>
          <w:lang w:val="fr-FR"/>
        </w:rPr>
      </w:pPr>
    </w:p>
    <w:p w:rsidR="006120B0" w:rsidRPr="000969A4" w:rsidRDefault="006120B0" w:rsidP="00260781">
      <w:pPr>
        <w:keepNext/>
        <w:keepLines/>
        <w:ind w:right="-20"/>
        <w:rPr>
          <w:rFonts w:eastAsia="Cambria"/>
          <w:lang w:val="fr-FR"/>
        </w:rPr>
      </w:pPr>
      <w:r w:rsidRPr="000969A4">
        <w:rPr>
          <w:rFonts w:eastAsia="Cambria"/>
          <w:u w:val="single" w:color="000000"/>
          <w:lang w:val="fr-FR"/>
        </w:rPr>
        <w:lastRenderedPageBreak/>
        <w:t>Étape n° 5 :</w:t>
      </w:r>
    </w:p>
    <w:p w:rsidR="006120B0" w:rsidRPr="000969A4" w:rsidRDefault="006120B0" w:rsidP="00260781">
      <w:pPr>
        <w:keepNext/>
        <w:keepLines/>
        <w:ind w:right="-20"/>
        <w:rPr>
          <w:rFonts w:eastAsia="Cambria"/>
          <w:lang w:val="fr-FR"/>
        </w:rPr>
      </w:pPr>
      <w:r w:rsidRPr="000969A4">
        <w:rPr>
          <w:rFonts w:eastAsia="Cambria"/>
          <w:lang w:val="fr-FR"/>
        </w:rPr>
        <w:t>Création d</w:t>
      </w:r>
      <w:r w:rsidR="00A04668">
        <w:rPr>
          <w:rFonts w:eastAsia="Cambria"/>
          <w:lang w:val="fr-FR"/>
        </w:rPr>
        <w:t>’</w:t>
      </w:r>
      <w:r w:rsidRPr="000969A4">
        <w:rPr>
          <w:rFonts w:eastAsia="Cambria"/>
          <w:lang w:val="fr-FR"/>
        </w:rPr>
        <w:t>un forum sur le Web consacré au transfert de technologie et à la propriété intellectuelle et actualisation dudit forum</w:t>
      </w:r>
    </w:p>
    <w:p w:rsidR="006120B0" w:rsidRPr="000969A4" w:rsidRDefault="006120B0" w:rsidP="00260781">
      <w:pPr>
        <w:tabs>
          <w:tab w:val="left" w:pos="1134"/>
        </w:tabs>
        <w:spacing w:before="11"/>
        <w:ind w:left="1134" w:right="-20" w:hanging="567"/>
        <w:rPr>
          <w:rFonts w:eastAsia="Cambria"/>
          <w:lang w:val="fr-FR"/>
        </w:rPr>
      </w:pPr>
      <w:r w:rsidRPr="000969A4">
        <w:rPr>
          <w:rFonts w:eastAsia="Times New Roman"/>
          <w:w w:val="131"/>
          <w:position w:val="-1"/>
          <w:lang w:val="fr-FR"/>
        </w:rPr>
        <w:t>•</w:t>
      </w:r>
      <w:r w:rsidRPr="000969A4">
        <w:rPr>
          <w:rFonts w:eastAsia="Times New Roman"/>
          <w:position w:val="-1"/>
          <w:lang w:val="fr-FR"/>
        </w:rPr>
        <w:tab/>
        <w:t>premier trimestre</w:t>
      </w:r>
      <w:r w:rsidRPr="000969A4">
        <w:rPr>
          <w:rFonts w:eastAsia="Cambria"/>
          <w:position w:val="-1"/>
          <w:lang w:val="fr-FR"/>
        </w:rPr>
        <w:t xml:space="preserve"> – quatrième trimestre 2013</w:t>
      </w:r>
    </w:p>
    <w:p w:rsidR="006120B0" w:rsidRPr="000969A4" w:rsidRDefault="006120B0" w:rsidP="00260781">
      <w:pPr>
        <w:tabs>
          <w:tab w:val="left" w:pos="1134"/>
        </w:tabs>
        <w:spacing w:before="4"/>
        <w:rPr>
          <w:lang w:val="fr-FR"/>
        </w:rPr>
      </w:pPr>
    </w:p>
    <w:p w:rsidR="006120B0" w:rsidRPr="000969A4" w:rsidRDefault="006120B0" w:rsidP="00260781">
      <w:pPr>
        <w:spacing w:before="26"/>
        <w:ind w:right="-20"/>
        <w:rPr>
          <w:rFonts w:eastAsia="Cambria"/>
          <w:lang w:val="fr-FR"/>
        </w:rPr>
      </w:pPr>
      <w:r w:rsidRPr="000969A4">
        <w:rPr>
          <w:rFonts w:eastAsia="Cambria"/>
          <w:u w:val="single" w:color="000000"/>
          <w:lang w:val="fr-FR"/>
        </w:rPr>
        <w:t>Étape n° 6 :</w:t>
      </w:r>
    </w:p>
    <w:p w:rsidR="006120B0" w:rsidRPr="000969A4" w:rsidRDefault="006120B0" w:rsidP="00260781">
      <w:pPr>
        <w:spacing w:before="6"/>
        <w:ind w:right="88"/>
        <w:rPr>
          <w:rFonts w:eastAsia="Cambria"/>
          <w:lang w:val="fr-FR"/>
        </w:rPr>
      </w:pPr>
      <w:r w:rsidRPr="000969A4">
        <w:rPr>
          <w:rFonts w:eastAsia="Cambria"/>
          <w:lang w:val="fr-FR"/>
        </w:rPr>
        <w:t>Incorporation, dans les programmes de l</w:t>
      </w:r>
      <w:r w:rsidR="00A04668">
        <w:rPr>
          <w:rFonts w:eastAsia="Cambria"/>
          <w:lang w:val="fr-FR"/>
        </w:rPr>
        <w:t>’</w:t>
      </w:r>
      <w:r w:rsidRPr="000969A4">
        <w:rPr>
          <w:rFonts w:eastAsia="Cambria"/>
          <w:lang w:val="fr-FR"/>
        </w:rPr>
        <w:t>OMPI, de tout résultat obtenu à la suite de la réalisation des activités susmentionnées, après examen par le CDIP et compte tenu de toute recommandation éventuelle du comité à l</w:t>
      </w:r>
      <w:r w:rsidR="00A04668">
        <w:rPr>
          <w:rFonts w:eastAsia="Cambria"/>
          <w:lang w:val="fr-FR"/>
        </w:rPr>
        <w:t>’</w:t>
      </w:r>
      <w:r w:rsidRPr="000969A4">
        <w:rPr>
          <w:rFonts w:eastAsia="Cambria"/>
          <w:lang w:val="fr-FR"/>
        </w:rPr>
        <w:t>Assemblée générale</w:t>
      </w:r>
    </w:p>
    <w:p w:rsidR="006120B0" w:rsidRPr="000969A4" w:rsidRDefault="006120B0" w:rsidP="00260781">
      <w:pPr>
        <w:tabs>
          <w:tab w:val="left" w:pos="1134"/>
        </w:tabs>
        <w:spacing w:before="8"/>
        <w:ind w:left="1134" w:right="-20" w:hanging="567"/>
        <w:rPr>
          <w:rFonts w:eastAsia="Cambria"/>
          <w:lang w:val="fr-FR"/>
        </w:rPr>
      </w:pPr>
      <w:r w:rsidRPr="000969A4">
        <w:rPr>
          <w:rFonts w:eastAsia="Times New Roman"/>
          <w:w w:val="131"/>
          <w:lang w:val="fr-FR"/>
        </w:rPr>
        <w:t>•</w:t>
      </w:r>
      <w:r w:rsidRPr="000969A4">
        <w:rPr>
          <w:rFonts w:eastAsia="Times New Roman"/>
          <w:lang w:val="fr-FR"/>
        </w:rPr>
        <w:tab/>
        <w:t>quatrième trimestre </w:t>
      </w:r>
      <w:r w:rsidRPr="000969A4">
        <w:rPr>
          <w:rFonts w:eastAsia="Cambria"/>
          <w:lang w:val="fr-FR"/>
        </w:rPr>
        <w:t>2013</w:t>
      </w:r>
    </w:p>
    <w:p w:rsidR="006120B0" w:rsidRPr="000969A4" w:rsidRDefault="006120B0" w:rsidP="00260781">
      <w:pPr>
        <w:spacing w:before="10"/>
        <w:rPr>
          <w:lang w:val="fr-FR"/>
        </w:rPr>
      </w:pPr>
    </w:p>
    <w:p w:rsidR="006120B0" w:rsidRPr="000969A4" w:rsidRDefault="006120B0" w:rsidP="00260781">
      <w:pPr>
        <w:ind w:right="63"/>
        <w:rPr>
          <w:rFonts w:eastAsia="Cambria"/>
          <w:lang w:val="fr-FR"/>
        </w:rPr>
      </w:pPr>
      <w:r w:rsidRPr="000969A4">
        <w:rPr>
          <w:rFonts w:eastAsia="Cambria"/>
          <w:lang w:val="fr-FR"/>
        </w:rPr>
        <w:t xml:space="preserve">Le </w:t>
      </w:r>
      <w:r w:rsidRPr="000969A4">
        <w:rPr>
          <w:rFonts w:eastAsia="Cambria"/>
          <w:b/>
          <w:bCs/>
          <w:i/>
          <w:lang w:val="fr-FR"/>
        </w:rPr>
        <w:t xml:space="preserve">document de fond (document CDIP/14/8) </w:t>
      </w:r>
      <w:r w:rsidRPr="000969A4">
        <w:rPr>
          <w:rFonts w:eastAsia="Cambria"/>
          <w:lang w:val="fr-FR"/>
        </w:rPr>
        <w:t>résumait l</w:t>
      </w:r>
      <w:r w:rsidR="00A04668">
        <w:rPr>
          <w:rFonts w:eastAsia="Cambria"/>
          <w:lang w:val="fr-FR"/>
        </w:rPr>
        <w:t>’</w:t>
      </w:r>
      <w:r w:rsidRPr="000969A4">
        <w:rPr>
          <w:rFonts w:eastAsia="Cambria"/>
          <w:lang w:val="fr-FR"/>
        </w:rPr>
        <w:t>état d</w:t>
      </w:r>
      <w:r w:rsidR="00A04668">
        <w:rPr>
          <w:rFonts w:eastAsia="Cambria"/>
          <w:lang w:val="fr-FR"/>
        </w:rPr>
        <w:t>’</w:t>
      </w:r>
      <w:r w:rsidRPr="000969A4">
        <w:rPr>
          <w:rFonts w:eastAsia="Cambria"/>
          <w:lang w:val="fr-FR"/>
        </w:rPr>
        <w:t>avancement du projet à cette date et était destiné à servir de base aux délibérations du Forum d</w:t>
      </w:r>
      <w:r w:rsidR="00A04668">
        <w:rPr>
          <w:rFonts w:eastAsia="Cambria"/>
          <w:lang w:val="fr-FR"/>
        </w:rPr>
        <w:t>’</w:t>
      </w:r>
      <w:r w:rsidRPr="000969A4">
        <w:rPr>
          <w:rFonts w:eastAsia="Cambria"/>
          <w:lang w:val="fr-FR"/>
        </w:rPr>
        <w:t>experts internationaux de haut niveau, finalement tenu du 16 au 18 février 2015 à Genève.</w:t>
      </w:r>
    </w:p>
    <w:p w:rsidR="006120B0" w:rsidRPr="000969A4" w:rsidRDefault="006120B0" w:rsidP="00260781">
      <w:pPr>
        <w:spacing w:before="20"/>
        <w:rPr>
          <w:lang w:val="fr-FR"/>
        </w:rPr>
      </w:pPr>
    </w:p>
    <w:p w:rsidR="006120B0" w:rsidRPr="000969A4" w:rsidRDefault="006120B0" w:rsidP="00260781">
      <w:pPr>
        <w:ind w:left="567" w:right="-20" w:hanging="567"/>
        <w:rPr>
          <w:rFonts w:eastAsia="Cambria"/>
          <w:lang w:val="fr-FR"/>
        </w:rPr>
      </w:pPr>
      <w:r w:rsidRPr="000969A4">
        <w:rPr>
          <w:rFonts w:eastAsia="Cambria"/>
          <w:lang w:val="fr-FR"/>
        </w:rPr>
        <w:t>1.</w:t>
      </w:r>
      <w:r w:rsidRPr="000969A4">
        <w:rPr>
          <w:rFonts w:eastAsia="Cambria"/>
          <w:lang w:val="fr-FR"/>
        </w:rPr>
        <w:tab/>
      </w:r>
      <w:r w:rsidRPr="000969A4">
        <w:rPr>
          <w:u w:val="single"/>
          <w:lang w:val="fr-FR"/>
        </w:rPr>
        <w:t>Cinq </w:t>
      </w:r>
      <w:r w:rsidRPr="000969A4">
        <w:rPr>
          <w:rFonts w:eastAsia="Cambria"/>
          <w:u w:val="single"/>
          <w:lang w:val="fr-FR"/>
        </w:rPr>
        <w:t>réunions régionales de consultation sur la propriété intellectuelle et le transfert de technologie ont été organisées dans</w:t>
      </w:r>
      <w:r w:rsidRPr="000969A4">
        <w:rPr>
          <w:rFonts w:eastAsia="Cambria"/>
          <w:u w:val="single" w:color="000000"/>
          <w:lang w:val="fr-FR"/>
        </w:rPr>
        <w:t xml:space="preserve"> les régions ci</w:t>
      </w:r>
      <w:r w:rsidR="0043436D">
        <w:rPr>
          <w:rFonts w:eastAsia="Cambria"/>
          <w:u w:val="single" w:color="000000"/>
          <w:lang w:val="fr-FR"/>
        </w:rPr>
        <w:noBreakHyphen/>
      </w:r>
      <w:r w:rsidRPr="000969A4">
        <w:rPr>
          <w:rFonts w:eastAsia="Cambria"/>
          <w:u w:val="single" w:color="000000"/>
          <w:lang w:val="fr-FR"/>
        </w:rPr>
        <w:t>après</w:t>
      </w:r>
      <w:r w:rsidRPr="000969A4">
        <w:rPr>
          <w:rFonts w:eastAsia="Cambria"/>
          <w:lang w:val="fr-FR"/>
        </w:rPr>
        <w:t> </w:t>
      </w:r>
      <w:r w:rsidRPr="000969A4">
        <w:rPr>
          <w:lang w:val="fr-FR"/>
        </w:rPr>
        <w:t>:</w:t>
      </w:r>
    </w:p>
    <w:p w:rsidR="006120B0" w:rsidRPr="000969A4" w:rsidRDefault="006120B0" w:rsidP="00260781">
      <w:pPr>
        <w:ind w:left="1134" w:right="-20" w:hanging="567"/>
        <w:rPr>
          <w:rFonts w:eastAsia="Cambria"/>
          <w:lang w:val="fr-FR"/>
        </w:rPr>
      </w:pPr>
      <w:r w:rsidRPr="000969A4">
        <w:rPr>
          <w:rFonts w:eastAsia="Cambria"/>
          <w:lang w:val="fr-FR"/>
        </w:rPr>
        <w:t>a</w:t>
      </w:r>
      <w:r w:rsidR="000969A4">
        <w:rPr>
          <w:rFonts w:eastAsia="Cambria"/>
          <w:lang w:val="fr-FR"/>
        </w:rPr>
        <w:t>)</w:t>
      </w:r>
      <w:r w:rsidRPr="000969A4">
        <w:rPr>
          <w:rFonts w:eastAsia="Cambria"/>
          <w:lang w:val="fr-FR"/>
        </w:rPr>
        <w:tab/>
        <w:t>Région Asie (Singapour, juillet 2012)</w:t>
      </w:r>
    </w:p>
    <w:p w:rsidR="006120B0" w:rsidRPr="000969A4" w:rsidRDefault="000969A4" w:rsidP="00260781">
      <w:pPr>
        <w:ind w:left="1134" w:right="-20" w:hanging="567"/>
        <w:rPr>
          <w:rFonts w:eastAsia="Cambria"/>
          <w:lang w:val="fr-FR"/>
        </w:rPr>
      </w:pPr>
      <w:r>
        <w:rPr>
          <w:rFonts w:eastAsia="Cambria"/>
          <w:lang w:val="fr-FR"/>
        </w:rPr>
        <w:t>b)</w:t>
      </w:r>
      <w:r w:rsidR="006120B0" w:rsidRPr="000969A4">
        <w:rPr>
          <w:rFonts w:eastAsia="Cambria"/>
          <w:lang w:val="fr-FR"/>
        </w:rPr>
        <w:tab/>
        <w:t>Région Afrique et pays arabes (Alger, janvier 2013)</w:t>
      </w:r>
    </w:p>
    <w:p w:rsidR="006120B0" w:rsidRPr="000969A4" w:rsidRDefault="000969A4" w:rsidP="00260781">
      <w:pPr>
        <w:tabs>
          <w:tab w:val="left" w:pos="1701"/>
        </w:tabs>
        <w:ind w:left="1134" w:right="-20" w:hanging="567"/>
        <w:rPr>
          <w:rFonts w:eastAsia="Cambria"/>
          <w:lang w:val="fr-FR"/>
        </w:rPr>
      </w:pPr>
      <w:r>
        <w:rPr>
          <w:rFonts w:eastAsia="Cambria"/>
          <w:lang w:val="fr-FR"/>
        </w:rPr>
        <w:t>c)</w:t>
      </w:r>
      <w:r w:rsidR="006120B0" w:rsidRPr="000969A4">
        <w:rPr>
          <w:rFonts w:eastAsia="Cambria"/>
          <w:lang w:val="fr-FR"/>
        </w:rPr>
        <w:tab/>
        <w:t>Pays en transition (Istanbul, octobre 2013)</w:t>
      </w:r>
    </w:p>
    <w:p w:rsidR="006120B0" w:rsidRPr="000969A4" w:rsidRDefault="000969A4" w:rsidP="00260781">
      <w:pPr>
        <w:spacing w:before="2"/>
        <w:ind w:left="1134" w:right="-20" w:hanging="567"/>
        <w:rPr>
          <w:rFonts w:eastAsia="Cambria"/>
          <w:lang w:val="fr-FR"/>
        </w:rPr>
      </w:pPr>
      <w:r>
        <w:rPr>
          <w:rFonts w:eastAsia="Cambria"/>
          <w:lang w:val="fr-FR"/>
        </w:rPr>
        <w:t>d)</w:t>
      </w:r>
      <w:r w:rsidR="006120B0" w:rsidRPr="000969A4">
        <w:rPr>
          <w:rFonts w:eastAsia="Cambria"/>
          <w:lang w:val="fr-FR"/>
        </w:rPr>
        <w:tab/>
        <w:t>Pays développés (Genève, novembre 2013)</w:t>
      </w:r>
    </w:p>
    <w:p w:rsidR="006120B0" w:rsidRPr="000969A4" w:rsidRDefault="000969A4" w:rsidP="00260781">
      <w:pPr>
        <w:ind w:left="1134" w:right="-20" w:hanging="567"/>
        <w:rPr>
          <w:rFonts w:eastAsia="Cambria"/>
          <w:lang w:val="fr-FR"/>
        </w:rPr>
      </w:pPr>
      <w:r>
        <w:rPr>
          <w:rFonts w:eastAsia="Cambria"/>
          <w:lang w:val="fr-FR"/>
        </w:rPr>
        <w:t>e)</w:t>
      </w:r>
      <w:r w:rsidR="006120B0" w:rsidRPr="000969A4">
        <w:rPr>
          <w:rFonts w:eastAsia="Cambria"/>
          <w:lang w:val="fr-FR"/>
        </w:rPr>
        <w:tab/>
        <w:t>Région Amérique latine et Caraïbes (Monterrey, décembre 2013)</w:t>
      </w:r>
    </w:p>
    <w:p w:rsidR="006120B0" w:rsidRPr="000969A4" w:rsidRDefault="006120B0" w:rsidP="00260781">
      <w:pPr>
        <w:rPr>
          <w:lang w:val="fr-FR"/>
        </w:rPr>
      </w:pPr>
    </w:p>
    <w:p w:rsidR="006120B0" w:rsidRPr="000969A4" w:rsidRDefault="006120B0" w:rsidP="00260781">
      <w:pPr>
        <w:ind w:right="145"/>
        <w:rPr>
          <w:rFonts w:eastAsia="Cambria"/>
          <w:lang w:val="fr-FR"/>
        </w:rPr>
      </w:pPr>
      <w:r w:rsidRPr="000969A4">
        <w:rPr>
          <w:rFonts w:eastAsia="Cambria"/>
          <w:lang w:val="fr-FR"/>
        </w:rPr>
        <w:t>Des “considérations” ou recommandations ont été formulées par les participants à la fin de chaque réuni</w:t>
      </w:r>
      <w:r w:rsidR="0043436D" w:rsidRPr="000969A4">
        <w:rPr>
          <w:rFonts w:eastAsia="Cambria"/>
          <w:lang w:val="fr-FR"/>
        </w:rPr>
        <w:t>on</w:t>
      </w:r>
      <w:r w:rsidR="0043436D">
        <w:rPr>
          <w:rFonts w:eastAsia="Cambria"/>
          <w:lang w:val="fr-FR"/>
        </w:rPr>
        <w:t xml:space="preserve">.  </w:t>
      </w:r>
      <w:r w:rsidR="0043436D" w:rsidRPr="000969A4">
        <w:rPr>
          <w:rFonts w:eastAsia="Cambria"/>
          <w:lang w:val="fr-FR"/>
        </w:rPr>
        <w:t>Le</w:t>
      </w:r>
      <w:r w:rsidRPr="000969A4">
        <w:rPr>
          <w:rFonts w:eastAsia="Cambria"/>
          <w:lang w:val="fr-FR"/>
        </w:rPr>
        <w:t xml:space="preserve"> document de fond résume ces “considérations”.  La plupart de ces dernières portaient sur la formation, le renforcement des capacités et l</w:t>
      </w:r>
      <w:r w:rsidR="00A04668">
        <w:rPr>
          <w:rFonts w:eastAsia="Cambria"/>
          <w:lang w:val="fr-FR"/>
        </w:rPr>
        <w:t>’</w:t>
      </w:r>
      <w:r w:rsidRPr="000969A4">
        <w:rPr>
          <w:rFonts w:eastAsia="Cambria"/>
          <w:lang w:val="fr-FR"/>
        </w:rPr>
        <w:t>assistance technique dans le domaine du transfert de technologie, ainsi que sur l</w:t>
      </w:r>
      <w:r w:rsidR="00A04668">
        <w:rPr>
          <w:rFonts w:eastAsia="Cambria"/>
          <w:lang w:val="fr-FR"/>
        </w:rPr>
        <w:t>’</w:t>
      </w:r>
      <w:r w:rsidRPr="000969A4">
        <w:rPr>
          <w:rFonts w:eastAsia="Cambria"/>
          <w:lang w:val="fr-FR"/>
        </w:rPr>
        <w:t>amélioration de la collaboration entre les parties prenantes du transfert de technologie.</w:t>
      </w:r>
    </w:p>
    <w:p w:rsidR="006120B0" w:rsidRPr="000969A4" w:rsidRDefault="006120B0" w:rsidP="00260781">
      <w:pPr>
        <w:spacing w:before="13"/>
        <w:rPr>
          <w:lang w:val="fr-FR"/>
        </w:rPr>
      </w:pPr>
    </w:p>
    <w:p w:rsidR="006120B0" w:rsidRPr="000969A4" w:rsidRDefault="006120B0" w:rsidP="00260781">
      <w:pPr>
        <w:spacing w:before="26"/>
        <w:ind w:left="567" w:right="-20" w:hanging="567"/>
        <w:rPr>
          <w:rFonts w:eastAsia="Cambria"/>
          <w:lang w:val="fr-FR"/>
        </w:rPr>
      </w:pPr>
      <w:r w:rsidRPr="000969A4">
        <w:rPr>
          <w:rFonts w:eastAsia="Cambria"/>
          <w:lang w:val="fr-FR"/>
        </w:rPr>
        <w:t>2.</w:t>
      </w:r>
      <w:r w:rsidRPr="000969A4">
        <w:rPr>
          <w:rFonts w:eastAsia="Cambria"/>
          <w:lang w:val="fr-FR"/>
        </w:rPr>
        <w:tab/>
      </w:r>
      <w:r w:rsidRPr="000969A4">
        <w:rPr>
          <w:rFonts w:eastAsia="Cambria"/>
          <w:u w:val="single"/>
          <w:lang w:val="fr-FR"/>
        </w:rPr>
        <w:t>Les études analytiques examinées par des pairs</w:t>
      </w:r>
      <w:r w:rsidRPr="000969A4">
        <w:rPr>
          <w:rFonts w:eastAsia="Cambria"/>
          <w:lang w:val="fr-FR"/>
        </w:rPr>
        <w:t xml:space="preserve"> ci</w:t>
      </w:r>
      <w:r w:rsidR="0043436D">
        <w:rPr>
          <w:rFonts w:eastAsia="Cambria"/>
          <w:lang w:val="fr-FR"/>
        </w:rPr>
        <w:noBreakHyphen/>
      </w:r>
      <w:r w:rsidRPr="000969A4">
        <w:rPr>
          <w:rFonts w:eastAsia="Cambria"/>
          <w:lang w:val="fr-FR"/>
        </w:rPr>
        <w:t>après ont été établies :</w:t>
      </w:r>
    </w:p>
    <w:p w:rsidR="006120B0" w:rsidRPr="000969A4" w:rsidRDefault="000969A4" w:rsidP="00260781">
      <w:pPr>
        <w:spacing w:before="2"/>
        <w:ind w:left="1134" w:right="-20" w:hanging="567"/>
        <w:rPr>
          <w:rFonts w:eastAsia="Cambria"/>
          <w:lang w:val="fr-FR"/>
        </w:rPr>
      </w:pPr>
      <w:r>
        <w:rPr>
          <w:rFonts w:eastAsia="Cambria"/>
          <w:lang w:val="fr-FR"/>
        </w:rPr>
        <w:t>a)</w:t>
      </w:r>
      <w:r w:rsidR="006120B0" w:rsidRPr="000969A4">
        <w:rPr>
          <w:rFonts w:eastAsia="Cambria"/>
          <w:lang w:val="fr-FR"/>
        </w:rPr>
        <w:tab/>
        <w:t>Économie de la propriété intellectuelle et transfert international de technologie (document CDIP/14/INF/7)</w:t>
      </w:r>
    </w:p>
    <w:p w:rsidR="006120B0" w:rsidRPr="000969A4" w:rsidRDefault="000969A4" w:rsidP="00260781">
      <w:pPr>
        <w:ind w:left="1134" w:right="-20" w:hanging="567"/>
        <w:rPr>
          <w:rFonts w:eastAsia="Cambria"/>
          <w:lang w:val="fr-FR"/>
        </w:rPr>
      </w:pPr>
      <w:r>
        <w:rPr>
          <w:rFonts w:eastAsia="Cambria"/>
          <w:lang w:val="fr-FR"/>
        </w:rPr>
        <w:t>b)</w:t>
      </w:r>
      <w:r w:rsidR="006120B0" w:rsidRPr="000969A4">
        <w:rPr>
          <w:rFonts w:eastAsia="Cambria"/>
          <w:lang w:val="fr-FR"/>
        </w:rPr>
        <w:tab/>
        <w:t>Politiques et initiatives relatives à la propriété intellectuelle dans les pays développés en vue de promouvoir le transfert de technologie (document CDIP/14/INF/8)</w:t>
      </w:r>
    </w:p>
    <w:p w:rsidR="006120B0" w:rsidRPr="000969A4" w:rsidRDefault="000969A4" w:rsidP="00260781">
      <w:pPr>
        <w:tabs>
          <w:tab w:val="left" w:pos="1701"/>
        </w:tabs>
        <w:spacing w:before="6"/>
        <w:ind w:left="1134" w:right="130" w:hanging="567"/>
        <w:rPr>
          <w:rFonts w:eastAsia="Cambria"/>
          <w:lang w:val="fr-FR"/>
        </w:rPr>
      </w:pPr>
      <w:r>
        <w:rPr>
          <w:rFonts w:eastAsia="Cambria"/>
          <w:lang w:val="fr-FR"/>
        </w:rPr>
        <w:t>c)</w:t>
      </w:r>
      <w:r w:rsidR="006120B0" w:rsidRPr="000969A4">
        <w:rPr>
          <w:rFonts w:eastAsia="Cambria"/>
          <w:lang w:val="fr-FR"/>
        </w:rPr>
        <w:tab/>
        <w:t>Études de cas sur la coopération et l</w:t>
      </w:r>
      <w:r w:rsidR="00A04668">
        <w:rPr>
          <w:rFonts w:eastAsia="Cambria"/>
          <w:lang w:val="fr-FR"/>
        </w:rPr>
        <w:t>’</w:t>
      </w:r>
      <w:r w:rsidR="006120B0" w:rsidRPr="000969A4">
        <w:rPr>
          <w:rFonts w:eastAsia="Cambria"/>
          <w:lang w:val="fr-FR"/>
        </w:rPr>
        <w:t>échange entre instituts de recherche</w:t>
      </w:r>
      <w:r w:rsidR="0043436D">
        <w:rPr>
          <w:rFonts w:eastAsia="Cambria"/>
          <w:lang w:val="fr-FR"/>
        </w:rPr>
        <w:noBreakHyphen/>
      </w:r>
      <w:r w:rsidR="006120B0" w:rsidRPr="000969A4">
        <w:rPr>
          <w:rFonts w:eastAsia="Cambria"/>
          <w:lang w:val="fr-FR"/>
        </w:rPr>
        <w:t>développement des pays développés et des pays en développement (document CDIP/14/INF/9)</w:t>
      </w:r>
    </w:p>
    <w:p w:rsidR="006120B0" w:rsidRPr="000969A4" w:rsidRDefault="000969A4" w:rsidP="00260781">
      <w:pPr>
        <w:ind w:left="1134" w:right="-20" w:hanging="567"/>
        <w:rPr>
          <w:rFonts w:eastAsia="Cambria"/>
          <w:lang w:val="fr-FR"/>
        </w:rPr>
      </w:pPr>
      <w:r>
        <w:rPr>
          <w:rFonts w:eastAsia="Cambria"/>
          <w:lang w:val="fr-FR"/>
        </w:rPr>
        <w:t>d)</w:t>
      </w:r>
      <w:r w:rsidR="006120B0" w:rsidRPr="000969A4">
        <w:rPr>
          <w:rFonts w:eastAsia="Cambria"/>
          <w:lang w:val="fr-FR"/>
        </w:rPr>
        <w:tab/>
        <w:t>Politiques favorisant la participation des entreprises au transfert de technologie (document CDIP/14/INF/10)</w:t>
      </w:r>
    </w:p>
    <w:p w:rsidR="006120B0" w:rsidRPr="000969A4" w:rsidRDefault="000969A4" w:rsidP="00260781">
      <w:pPr>
        <w:spacing w:before="2"/>
        <w:ind w:left="1134" w:right="-20" w:hanging="567"/>
        <w:rPr>
          <w:rFonts w:eastAsia="Cambria"/>
          <w:lang w:val="fr-FR"/>
        </w:rPr>
      </w:pPr>
      <w:r>
        <w:rPr>
          <w:rFonts w:eastAsia="Cambria"/>
          <w:lang w:val="fr-FR"/>
        </w:rPr>
        <w:t>e)</w:t>
      </w:r>
      <w:r w:rsidR="006120B0" w:rsidRPr="000969A4">
        <w:rPr>
          <w:rFonts w:eastAsia="Cambria"/>
          <w:lang w:val="fr-FR"/>
        </w:rPr>
        <w:tab/>
        <w:t>Transfert international de technologie : une analyse du point de vue des pays en développement (document CDIP/14/INF/11)</w:t>
      </w:r>
    </w:p>
    <w:p w:rsidR="006120B0" w:rsidRPr="000969A4" w:rsidRDefault="000969A4" w:rsidP="00260781">
      <w:pPr>
        <w:tabs>
          <w:tab w:val="left" w:pos="1701"/>
        </w:tabs>
        <w:spacing w:before="3"/>
        <w:ind w:left="1134" w:right="593" w:hanging="567"/>
        <w:rPr>
          <w:rFonts w:eastAsia="Cambria"/>
          <w:lang w:val="fr-FR"/>
        </w:rPr>
      </w:pPr>
      <w:r>
        <w:rPr>
          <w:rFonts w:eastAsia="Cambria"/>
          <w:lang w:val="fr-FR"/>
        </w:rPr>
        <w:t>f)</w:t>
      </w:r>
      <w:r w:rsidR="006120B0" w:rsidRPr="000969A4">
        <w:rPr>
          <w:rFonts w:eastAsia="Cambria"/>
          <w:lang w:val="fr-FR"/>
        </w:rPr>
        <w:tab/>
        <w:t>Autres moyens d</w:t>
      </w:r>
      <w:r w:rsidR="00A04668">
        <w:rPr>
          <w:rFonts w:eastAsia="Cambria"/>
          <w:lang w:val="fr-FR"/>
        </w:rPr>
        <w:t>’</w:t>
      </w:r>
      <w:r w:rsidR="006120B0" w:rsidRPr="000969A4">
        <w:rPr>
          <w:rFonts w:eastAsia="Cambria"/>
          <w:lang w:val="fr-FR"/>
        </w:rPr>
        <w:t>appui à la recherche</w:t>
      </w:r>
      <w:r w:rsidR="0043436D">
        <w:rPr>
          <w:rFonts w:eastAsia="Cambria"/>
          <w:lang w:val="fr-FR"/>
        </w:rPr>
        <w:noBreakHyphen/>
      </w:r>
      <w:r w:rsidR="006120B0" w:rsidRPr="000969A4">
        <w:rPr>
          <w:rFonts w:eastAsia="Cambria"/>
          <w:lang w:val="fr-FR"/>
        </w:rPr>
        <w:t xml:space="preserve">développement existant en dehors du système des brevets, </w:t>
      </w:r>
      <w:r w:rsidR="00A04668">
        <w:rPr>
          <w:rFonts w:eastAsia="Cambria"/>
          <w:lang w:val="fr-FR"/>
        </w:rPr>
        <w:t>y compris</w:t>
      </w:r>
      <w:r w:rsidR="006120B0" w:rsidRPr="000969A4">
        <w:rPr>
          <w:rFonts w:eastAsia="Cambria"/>
          <w:lang w:val="fr-FR"/>
        </w:rPr>
        <w:t xml:space="preserve"> les mécanismes d</w:t>
      </w:r>
      <w:r w:rsidR="00A04668">
        <w:rPr>
          <w:rFonts w:eastAsia="Cambria"/>
          <w:lang w:val="fr-FR"/>
        </w:rPr>
        <w:t>’</w:t>
      </w:r>
      <w:r w:rsidR="006120B0" w:rsidRPr="000969A4">
        <w:rPr>
          <w:rFonts w:eastAsia="Cambria"/>
          <w:lang w:val="fr-FR"/>
        </w:rPr>
        <w:t>incitation et d</w:t>
      </w:r>
      <w:r w:rsidR="00A04668">
        <w:rPr>
          <w:rFonts w:eastAsia="Cambria"/>
          <w:lang w:val="fr-FR"/>
        </w:rPr>
        <w:t>’</w:t>
      </w:r>
      <w:r w:rsidR="006120B0" w:rsidRPr="000969A4">
        <w:rPr>
          <w:rFonts w:eastAsia="Cambria"/>
          <w:lang w:val="fr-FR"/>
        </w:rPr>
        <w:t>attraction, en accordant une attention particulière aux prix décernés à titre d</w:t>
      </w:r>
      <w:r w:rsidR="00A04668">
        <w:rPr>
          <w:rFonts w:eastAsia="Cambria"/>
          <w:lang w:val="fr-FR"/>
        </w:rPr>
        <w:t>’</w:t>
      </w:r>
      <w:r w:rsidR="006120B0" w:rsidRPr="000969A4">
        <w:rPr>
          <w:rFonts w:eastAsia="Cambria"/>
          <w:lang w:val="fr-FR"/>
        </w:rPr>
        <w:t>encouragement à l</w:t>
      </w:r>
      <w:r w:rsidR="00A04668">
        <w:rPr>
          <w:rFonts w:eastAsia="Cambria"/>
          <w:lang w:val="fr-FR"/>
        </w:rPr>
        <w:t>’</w:t>
      </w:r>
      <w:r w:rsidR="006120B0" w:rsidRPr="000969A4">
        <w:rPr>
          <w:rFonts w:eastAsia="Cambria"/>
          <w:lang w:val="fr-FR"/>
        </w:rPr>
        <w:t>innovation et aux modèles de développement en libre accès (document CDIP/14/INF/12)</w:t>
      </w:r>
    </w:p>
    <w:p w:rsidR="006120B0" w:rsidRPr="000969A4" w:rsidRDefault="006120B0" w:rsidP="00260781">
      <w:pPr>
        <w:spacing w:before="3"/>
        <w:rPr>
          <w:lang w:val="fr-FR"/>
        </w:rPr>
      </w:pPr>
    </w:p>
    <w:p w:rsidR="006120B0" w:rsidRPr="000969A4" w:rsidRDefault="006120B0" w:rsidP="00260781">
      <w:pPr>
        <w:ind w:left="567" w:right="-20" w:hanging="567"/>
        <w:rPr>
          <w:rFonts w:eastAsia="Cambria"/>
          <w:lang w:val="fr-FR"/>
        </w:rPr>
      </w:pPr>
      <w:r w:rsidRPr="000969A4">
        <w:rPr>
          <w:rFonts w:eastAsia="Cambria"/>
          <w:lang w:val="fr-FR"/>
        </w:rPr>
        <w:t>3.</w:t>
      </w:r>
      <w:r w:rsidRPr="000969A4">
        <w:rPr>
          <w:rFonts w:eastAsia="Cambria"/>
          <w:lang w:val="fr-FR"/>
        </w:rPr>
        <w:tab/>
      </w:r>
      <w:r w:rsidRPr="000969A4">
        <w:rPr>
          <w:rFonts w:eastAsia="Cambria"/>
          <w:u w:val="single" w:color="000000"/>
          <w:lang w:val="fr-FR"/>
        </w:rPr>
        <w:t>Le Forum d</w:t>
      </w:r>
      <w:r w:rsidR="00A04668">
        <w:rPr>
          <w:rFonts w:eastAsia="Cambria"/>
          <w:u w:val="single" w:color="000000"/>
          <w:lang w:val="fr-FR"/>
        </w:rPr>
        <w:t>’</w:t>
      </w:r>
      <w:r w:rsidRPr="000969A4">
        <w:rPr>
          <w:rFonts w:eastAsia="Cambria"/>
          <w:u w:val="single" w:color="000000"/>
          <w:lang w:val="fr-FR"/>
        </w:rPr>
        <w:t xml:space="preserve">experts internationaux de haut </w:t>
      </w:r>
      <w:r w:rsidRPr="000969A4">
        <w:rPr>
          <w:rFonts w:eastAsia="Cambria"/>
          <w:u w:val="single"/>
          <w:lang w:val="fr-FR"/>
        </w:rPr>
        <w:t>niveau</w:t>
      </w:r>
      <w:r w:rsidRPr="009C0B7C">
        <w:rPr>
          <w:rFonts w:eastAsia="Cambria"/>
          <w:lang w:val="fr-FR"/>
        </w:rPr>
        <w:t>,</w:t>
      </w:r>
      <w:r w:rsidRPr="000969A4">
        <w:rPr>
          <w:rFonts w:eastAsia="Cambria"/>
          <w:lang w:val="fr-FR"/>
        </w:rPr>
        <w:t xml:space="preserve"> bien que provisoirement prévu en janvier 2015 à Genève, s</w:t>
      </w:r>
      <w:r w:rsidR="00A04668">
        <w:rPr>
          <w:rFonts w:eastAsia="Cambria"/>
          <w:lang w:val="fr-FR"/>
        </w:rPr>
        <w:t>’</w:t>
      </w:r>
      <w:r w:rsidRPr="000969A4">
        <w:rPr>
          <w:rFonts w:eastAsia="Cambria"/>
          <w:lang w:val="fr-FR"/>
        </w:rPr>
        <w:t>est finalement tenu du 16 au 18 février </w:t>
      </w:r>
      <w:r w:rsidRPr="000969A4">
        <w:rPr>
          <w:rFonts w:eastAsia="Cambria"/>
          <w:w w:val="99"/>
          <w:lang w:val="fr-FR"/>
        </w:rPr>
        <w:t>2015.</w:t>
      </w:r>
    </w:p>
    <w:p w:rsidR="006120B0" w:rsidRPr="000969A4" w:rsidRDefault="000969A4" w:rsidP="00260781">
      <w:pPr>
        <w:spacing w:before="3"/>
        <w:ind w:left="1134" w:right="49" w:hanging="567"/>
        <w:rPr>
          <w:rFonts w:eastAsia="Cambria"/>
          <w:lang w:val="fr-FR"/>
        </w:rPr>
      </w:pPr>
      <w:r>
        <w:rPr>
          <w:rFonts w:eastAsia="Cambria"/>
          <w:lang w:val="fr-FR"/>
        </w:rPr>
        <w:t>a)</w:t>
      </w:r>
      <w:r w:rsidR="006120B0" w:rsidRPr="000969A4">
        <w:rPr>
          <w:rFonts w:eastAsia="Cambria"/>
          <w:lang w:val="fr-FR"/>
        </w:rPr>
        <w:tab/>
        <w:t>Le forum devait s</w:t>
      </w:r>
      <w:r w:rsidR="00A04668">
        <w:rPr>
          <w:rFonts w:eastAsia="Cambria"/>
          <w:lang w:val="fr-FR"/>
        </w:rPr>
        <w:t>’</w:t>
      </w:r>
      <w:r w:rsidR="006120B0" w:rsidRPr="000969A4">
        <w:rPr>
          <w:rFonts w:eastAsia="Cambria"/>
          <w:lang w:val="fr-FR"/>
        </w:rPr>
        <w:t>appuyer sur les résultats des cinq réunions de consultation régionales sur le transfert de technologie et les six études examinées par des pairs.</w:t>
      </w:r>
    </w:p>
    <w:p w:rsidR="006120B0" w:rsidRPr="000969A4" w:rsidRDefault="000969A4" w:rsidP="00260781">
      <w:pPr>
        <w:spacing w:before="3"/>
        <w:ind w:left="1134" w:right="110" w:hanging="567"/>
        <w:rPr>
          <w:rFonts w:eastAsia="Cambria"/>
          <w:lang w:val="fr-FR"/>
        </w:rPr>
      </w:pPr>
      <w:r>
        <w:rPr>
          <w:rFonts w:eastAsia="Cambria"/>
          <w:lang w:val="fr-FR"/>
        </w:rPr>
        <w:t>b)</w:t>
      </w:r>
      <w:r w:rsidR="006120B0" w:rsidRPr="000969A4">
        <w:rPr>
          <w:rFonts w:eastAsia="Cambria"/>
          <w:lang w:val="fr-FR"/>
        </w:rPr>
        <w:tab/>
        <w:t>Il visait à constituer une structure de dialogue entre experts aussi bien de pays développés que de pays en développement sur l</w:t>
      </w:r>
      <w:r w:rsidR="00A04668">
        <w:rPr>
          <w:rFonts w:eastAsia="Cambria"/>
          <w:lang w:val="fr-FR"/>
        </w:rPr>
        <w:t>’</w:t>
      </w:r>
      <w:r w:rsidR="006120B0" w:rsidRPr="000969A4">
        <w:rPr>
          <w:rFonts w:eastAsia="Cambria"/>
          <w:lang w:val="fr-FR"/>
        </w:rPr>
        <w:t xml:space="preserve">accès aux savoirs et à la </w:t>
      </w:r>
      <w:r w:rsidR="006120B0" w:rsidRPr="000969A4">
        <w:rPr>
          <w:rFonts w:eastAsia="Cambria"/>
          <w:lang w:val="fr-FR"/>
        </w:rPr>
        <w:lastRenderedPageBreak/>
        <w:t>technologie et les politiques de propriété intellectuelle à l</w:t>
      </w:r>
      <w:r w:rsidR="00A04668">
        <w:rPr>
          <w:rFonts w:eastAsia="Cambria"/>
          <w:lang w:val="fr-FR"/>
        </w:rPr>
        <w:t>’</w:t>
      </w:r>
      <w:r w:rsidR="006120B0" w:rsidRPr="000969A4">
        <w:rPr>
          <w:rFonts w:eastAsia="Cambria"/>
          <w:lang w:val="fr-FR"/>
        </w:rPr>
        <w:t>appui du transfert de technologie.</w:t>
      </w:r>
    </w:p>
    <w:p w:rsidR="006120B0" w:rsidRPr="000969A4" w:rsidRDefault="000969A4" w:rsidP="00260781">
      <w:pPr>
        <w:tabs>
          <w:tab w:val="left" w:pos="1560"/>
        </w:tabs>
        <w:ind w:left="1134" w:right="-20" w:hanging="567"/>
        <w:rPr>
          <w:rFonts w:eastAsia="Cambria"/>
          <w:lang w:val="fr-FR"/>
        </w:rPr>
      </w:pPr>
      <w:r>
        <w:rPr>
          <w:rFonts w:eastAsia="Cambria"/>
          <w:lang w:val="fr-FR"/>
        </w:rPr>
        <w:t>c)</w:t>
      </w:r>
      <w:r w:rsidR="006120B0" w:rsidRPr="000969A4">
        <w:rPr>
          <w:rFonts w:eastAsia="Cambria"/>
          <w:lang w:val="fr-FR"/>
        </w:rPr>
        <w:tab/>
        <w:t>Les experts participant au forum seraient sélectionnés en concertation avec les États membres, comme indiqué dans le document CDIP/9/INF/4.</w:t>
      </w:r>
    </w:p>
    <w:p w:rsidR="006120B0" w:rsidRPr="000969A4" w:rsidRDefault="006120B0" w:rsidP="00260781">
      <w:pPr>
        <w:rPr>
          <w:lang w:val="fr-FR"/>
        </w:rPr>
      </w:pPr>
    </w:p>
    <w:p w:rsidR="006120B0" w:rsidRPr="000969A4" w:rsidRDefault="006120B0" w:rsidP="00260781">
      <w:pPr>
        <w:ind w:left="567" w:right="-20" w:hanging="567"/>
        <w:rPr>
          <w:rFonts w:eastAsia="Cambria"/>
          <w:lang w:val="fr-FR"/>
        </w:rPr>
      </w:pPr>
      <w:r w:rsidRPr="000969A4">
        <w:rPr>
          <w:rFonts w:eastAsia="Cambria"/>
          <w:lang w:val="fr-FR"/>
        </w:rPr>
        <w:t>4.</w:t>
      </w:r>
      <w:r w:rsidRPr="000969A4">
        <w:rPr>
          <w:rFonts w:eastAsia="Cambria"/>
          <w:lang w:val="fr-FR"/>
        </w:rPr>
        <w:tab/>
      </w:r>
      <w:r w:rsidRPr="000969A4">
        <w:rPr>
          <w:rFonts w:eastAsia="Cambria"/>
          <w:u w:val="single" w:color="000000"/>
          <w:lang w:val="fr-FR"/>
        </w:rPr>
        <w:t>Matériel d</w:t>
      </w:r>
      <w:r w:rsidR="00A04668">
        <w:rPr>
          <w:rFonts w:eastAsia="Cambria"/>
          <w:u w:val="single" w:color="000000"/>
          <w:lang w:val="fr-FR"/>
        </w:rPr>
        <w:t>’</w:t>
      </w:r>
      <w:r w:rsidRPr="000969A4">
        <w:rPr>
          <w:rFonts w:eastAsia="Cambria"/>
          <w:u w:val="single" w:color="000000"/>
          <w:lang w:val="fr-FR"/>
        </w:rPr>
        <w:t>information, modules, outils didactiques</w:t>
      </w:r>
    </w:p>
    <w:p w:rsidR="006120B0" w:rsidRPr="000969A4" w:rsidRDefault="000969A4" w:rsidP="00260781">
      <w:pPr>
        <w:ind w:left="1134" w:right="682" w:hanging="567"/>
        <w:rPr>
          <w:rFonts w:eastAsia="Cambria"/>
          <w:lang w:val="fr-FR"/>
        </w:rPr>
      </w:pPr>
      <w:r>
        <w:rPr>
          <w:rFonts w:eastAsia="Cambria"/>
          <w:lang w:val="fr-FR"/>
        </w:rPr>
        <w:t>a)</w:t>
      </w:r>
      <w:r w:rsidR="006120B0" w:rsidRPr="000969A4">
        <w:rPr>
          <w:rFonts w:eastAsia="Cambria"/>
          <w:lang w:val="fr-FR"/>
        </w:rPr>
        <w:tab/>
        <w:t>Ils devront être établis à la suite des recommandations émises par le forum et intégrés dans le cadre mondial de renforcement des capacités de l</w:t>
      </w:r>
      <w:r w:rsidR="00A04668">
        <w:rPr>
          <w:rFonts w:eastAsia="Cambria"/>
          <w:lang w:val="fr-FR"/>
        </w:rPr>
        <w:t>’</w:t>
      </w:r>
      <w:r w:rsidR="006120B0" w:rsidRPr="000969A4">
        <w:rPr>
          <w:rFonts w:eastAsia="Cambria"/>
          <w:lang w:val="fr-FR"/>
        </w:rPr>
        <w:t>OMPI.</w:t>
      </w:r>
    </w:p>
    <w:p w:rsidR="006120B0" w:rsidRPr="000969A4" w:rsidRDefault="006120B0" w:rsidP="00260781">
      <w:pPr>
        <w:spacing w:before="17"/>
        <w:rPr>
          <w:lang w:val="fr-FR"/>
        </w:rPr>
      </w:pPr>
    </w:p>
    <w:p w:rsidR="006120B0" w:rsidRPr="000969A4" w:rsidRDefault="006120B0" w:rsidP="00260781">
      <w:pPr>
        <w:ind w:left="567" w:right="-20" w:hanging="567"/>
        <w:rPr>
          <w:rFonts w:eastAsia="Cambria"/>
          <w:lang w:val="fr-FR"/>
        </w:rPr>
      </w:pPr>
      <w:r w:rsidRPr="000969A4">
        <w:rPr>
          <w:rFonts w:eastAsia="Cambria"/>
          <w:lang w:val="fr-FR"/>
        </w:rPr>
        <w:t>5.</w:t>
      </w:r>
      <w:r w:rsidRPr="000969A4">
        <w:rPr>
          <w:rFonts w:eastAsia="Cambria"/>
          <w:lang w:val="fr-FR"/>
        </w:rPr>
        <w:tab/>
      </w:r>
      <w:r w:rsidRPr="000969A4">
        <w:rPr>
          <w:rFonts w:eastAsia="Cambria"/>
          <w:u w:val="single" w:color="000000"/>
          <w:lang w:val="fr-FR"/>
        </w:rPr>
        <w:t>Forum sur le Web</w:t>
      </w:r>
    </w:p>
    <w:p w:rsidR="006120B0" w:rsidRPr="000969A4" w:rsidRDefault="000969A4" w:rsidP="00260781">
      <w:pPr>
        <w:spacing w:before="3"/>
        <w:ind w:left="1134" w:right="170" w:hanging="567"/>
        <w:rPr>
          <w:rFonts w:eastAsia="Cambria"/>
          <w:lang w:val="fr-FR"/>
        </w:rPr>
      </w:pPr>
      <w:r>
        <w:rPr>
          <w:rFonts w:eastAsia="Cambria"/>
          <w:lang w:val="fr-FR"/>
        </w:rPr>
        <w:t>a)</w:t>
      </w:r>
      <w:r w:rsidR="006120B0" w:rsidRPr="000969A4">
        <w:rPr>
          <w:rFonts w:eastAsia="Cambria"/>
          <w:lang w:val="fr-FR"/>
        </w:rPr>
        <w:tab/>
        <w:t>Le forum sur le Web devra être accessible depuis le portail sur la structure d</w:t>
      </w:r>
      <w:r w:rsidR="00A04668">
        <w:rPr>
          <w:rFonts w:eastAsia="Cambria"/>
          <w:lang w:val="fr-FR"/>
        </w:rPr>
        <w:t>’</w:t>
      </w:r>
      <w:r w:rsidR="006120B0" w:rsidRPr="000969A4">
        <w:rPr>
          <w:rFonts w:eastAsia="Cambria"/>
          <w:lang w:val="fr-FR"/>
        </w:rPr>
        <w:t>appui à l</w:t>
      </w:r>
      <w:r w:rsidR="00A04668">
        <w:rPr>
          <w:rFonts w:eastAsia="Cambria"/>
          <w:lang w:val="fr-FR"/>
        </w:rPr>
        <w:t>’</w:t>
      </w:r>
      <w:r w:rsidR="006120B0" w:rsidRPr="000969A4">
        <w:rPr>
          <w:rFonts w:eastAsia="Cambria"/>
          <w:lang w:val="fr-FR"/>
        </w:rPr>
        <w:t>innovation et au transfert de technologie à l</w:t>
      </w:r>
      <w:r w:rsidR="00A04668">
        <w:rPr>
          <w:rFonts w:eastAsia="Cambria"/>
          <w:lang w:val="fr-FR"/>
        </w:rPr>
        <w:t>’</w:t>
      </w:r>
      <w:r w:rsidR="006120B0" w:rsidRPr="000969A4">
        <w:rPr>
          <w:rFonts w:eastAsia="Cambria"/>
          <w:lang w:val="fr-FR"/>
        </w:rPr>
        <w:t>intention des institutions nationales</w:t>
      </w:r>
    </w:p>
    <w:p w:rsidR="006120B0" w:rsidRPr="000969A4" w:rsidRDefault="006120B0" w:rsidP="00260781">
      <w:pPr>
        <w:spacing w:before="13"/>
        <w:rPr>
          <w:lang w:val="fr-FR"/>
        </w:rPr>
      </w:pPr>
    </w:p>
    <w:p w:rsidR="006120B0" w:rsidRPr="000969A4" w:rsidRDefault="006120B0" w:rsidP="00260781">
      <w:pPr>
        <w:spacing w:before="26"/>
        <w:ind w:left="567" w:right="-20" w:hanging="567"/>
        <w:rPr>
          <w:rFonts w:eastAsia="Cambria"/>
          <w:lang w:val="fr-FR"/>
        </w:rPr>
      </w:pPr>
      <w:r w:rsidRPr="000969A4">
        <w:rPr>
          <w:rFonts w:eastAsia="Cambria"/>
          <w:lang w:val="fr-FR"/>
        </w:rPr>
        <w:t>6.</w:t>
      </w:r>
      <w:r w:rsidRPr="000969A4">
        <w:rPr>
          <w:rFonts w:eastAsia="Cambria"/>
          <w:lang w:val="fr-FR"/>
        </w:rPr>
        <w:tab/>
      </w:r>
      <w:r w:rsidRPr="000969A4">
        <w:rPr>
          <w:rFonts w:eastAsia="Cambria"/>
          <w:u w:val="single" w:color="000000"/>
          <w:lang w:val="fr-FR"/>
        </w:rPr>
        <w:t>Incorporation des résultats dans les programmes de l</w:t>
      </w:r>
      <w:r w:rsidR="00A04668">
        <w:rPr>
          <w:rFonts w:eastAsia="Cambria"/>
          <w:u w:val="single" w:color="000000"/>
          <w:lang w:val="fr-FR"/>
        </w:rPr>
        <w:t>’</w:t>
      </w:r>
      <w:r w:rsidRPr="000969A4">
        <w:rPr>
          <w:rFonts w:eastAsia="Cambria"/>
          <w:u w:val="single" w:color="000000"/>
          <w:lang w:val="fr-FR"/>
        </w:rPr>
        <w:t>OMPI</w:t>
      </w:r>
    </w:p>
    <w:p w:rsidR="006120B0" w:rsidRPr="000969A4" w:rsidRDefault="000969A4" w:rsidP="00260781">
      <w:pPr>
        <w:spacing w:before="3"/>
        <w:ind w:left="1134" w:right="329" w:hanging="567"/>
        <w:rPr>
          <w:rFonts w:eastAsia="Cambria"/>
          <w:lang w:val="fr-FR"/>
        </w:rPr>
      </w:pPr>
      <w:r>
        <w:rPr>
          <w:rFonts w:eastAsia="Cambria"/>
          <w:lang w:val="fr-FR"/>
        </w:rPr>
        <w:t>a)</w:t>
      </w:r>
      <w:r w:rsidR="006120B0" w:rsidRPr="000969A4">
        <w:rPr>
          <w:rFonts w:eastAsia="Cambria"/>
          <w:lang w:val="fr-FR"/>
        </w:rPr>
        <w:tab/>
        <w:t>Les résultats obtenus à l</w:t>
      </w:r>
      <w:r w:rsidR="00A04668">
        <w:rPr>
          <w:rFonts w:eastAsia="Cambria"/>
          <w:lang w:val="fr-FR"/>
        </w:rPr>
        <w:t>’</w:t>
      </w:r>
      <w:r w:rsidR="006120B0" w:rsidRPr="000969A4">
        <w:rPr>
          <w:rFonts w:eastAsia="Cambria"/>
          <w:lang w:val="fr-FR"/>
        </w:rPr>
        <w:t>issue du forum devront être intégrés dans les travaux de l</w:t>
      </w:r>
      <w:r w:rsidR="00A04668">
        <w:rPr>
          <w:rFonts w:eastAsia="Cambria"/>
          <w:lang w:val="fr-FR"/>
        </w:rPr>
        <w:t>’</w:t>
      </w:r>
      <w:r w:rsidR="006120B0" w:rsidRPr="000969A4">
        <w:rPr>
          <w:rFonts w:eastAsia="Cambria"/>
          <w:lang w:val="fr-FR"/>
        </w:rPr>
        <w:t>Organisation, après examen par le CDIP et compte tenu de toute recommandation éventuelle du comité à l</w:t>
      </w:r>
      <w:r w:rsidR="00A04668">
        <w:rPr>
          <w:rFonts w:eastAsia="Cambria"/>
          <w:lang w:val="fr-FR"/>
        </w:rPr>
        <w:t>’</w:t>
      </w:r>
      <w:r w:rsidR="006120B0" w:rsidRPr="000969A4">
        <w:rPr>
          <w:rFonts w:eastAsia="Cambria"/>
          <w:lang w:val="fr-FR"/>
        </w:rPr>
        <w:t>Assemblée générale.</w:t>
      </w:r>
    </w:p>
    <w:p w:rsidR="006120B0" w:rsidRPr="000969A4" w:rsidRDefault="006120B0" w:rsidP="00260781">
      <w:pPr>
        <w:spacing w:before="20"/>
        <w:rPr>
          <w:lang w:val="fr-FR"/>
        </w:rPr>
      </w:pPr>
    </w:p>
    <w:p w:rsidR="006120B0" w:rsidRPr="000969A4" w:rsidRDefault="006120B0" w:rsidP="00260781">
      <w:pPr>
        <w:ind w:right="65"/>
        <w:rPr>
          <w:rFonts w:eastAsia="Cambria"/>
          <w:lang w:val="fr-FR"/>
        </w:rPr>
      </w:pPr>
      <w:r w:rsidRPr="000969A4">
        <w:rPr>
          <w:rFonts w:eastAsia="Cambria"/>
          <w:lang w:val="fr-FR"/>
        </w:rPr>
        <w:t>Le document de fond a été soumis pour examen aux experts du programme relatif à l</w:t>
      </w:r>
      <w:r w:rsidR="00A04668">
        <w:rPr>
          <w:rFonts w:eastAsia="Cambria"/>
          <w:lang w:val="fr-FR"/>
        </w:rPr>
        <w:t>’</w:t>
      </w:r>
      <w:r w:rsidRPr="000969A4">
        <w:rPr>
          <w:rFonts w:eastAsia="Cambria"/>
          <w:lang w:val="fr-FR"/>
        </w:rPr>
        <w:t>innovation, à la technologie et à la propriété intellectuelle du Centre international pour le commerce et le développement durable (ICTSD).  Il a également été présenté aux missions permanentes à Genève et aux organisations intergouvernementales ou non gouvernementales, aux associations professionnelles et à des experts triés sur le volet lors d</w:t>
      </w:r>
      <w:r w:rsidR="00A04668">
        <w:rPr>
          <w:rFonts w:eastAsia="Cambria"/>
          <w:lang w:val="fr-FR"/>
        </w:rPr>
        <w:t>’</w:t>
      </w:r>
      <w:r w:rsidRPr="000969A4">
        <w:rPr>
          <w:rFonts w:eastAsia="Cambria"/>
          <w:lang w:val="fr-FR"/>
        </w:rPr>
        <w:t>une réunion d</w:t>
      </w:r>
      <w:r w:rsidR="00A04668">
        <w:rPr>
          <w:rFonts w:eastAsia="Cambria"/>
          <w:lang w:val="fr-FR"/>
        </w:rPr>
        <w:t>’</w:t>
      </w:r>
      <w:r w:rsidRPr="000969A4">
        <w:rPr>
          <w:rFonts w:eastAsia="Cambria"/>
          <w:lang w:val="fr-FR"/>
        </w:rPr>
        <w:t>une journée.</w:t>
      </w:r>
    </w:p>
    <w:p w:rsidR="006120B0" w:rsidRPr="000969A4" w:rsidRDefault="006120B0" w:rsidP="00260781">
      <w:pPr>
        <w:rPr>
          <w:lang w:val="fr-FR"/>
        </w:rPr>
      </w:pPr>
    </w:p>
    <w:p w:rsidR="006120B0" w:rsidRPr="000969A4" w:rsidRDefault="006120B0" w:rsidP="00260781">
      <w:pPr>
        <w:ind w:right="140"/>
        <w:rPr>
          <w:rFonts w:eastAsia="Cambria"/>
          <w:lang w:val="fr-FR"/>
        </w:rPr>
      </w:pPr>
      <w:r w:rsidRPr="000969A4">
        <w:rPr>
          <w:rFonts w:eastAsia="Cambria"/>
          <w:lang w:val="fr-FR"/>
        </w:rPr>
        <w:t xml:space="preserve">À la </w:t>
      </w:r>
      <w:r w:rsidRPr="000969A4">
        <w:rPr>
          <w:rFonts w:eastAsia="Cambria"/>
          <w:b/>
          <w:lang w:val="fr-FR"/>
        </w:rPr>
        <w:t>quatorzième session du </w:t>
      </w:r>
      <w:r w:rsidRPr="000969A4">
        <w:rPr>
          <w:rFonts w:eastAsia="Cambria"/>
          <w:b/>
          <w:bCs/>
          <w:lang w:val="fr-FR"/>
        </w:rPr>
        <w:t xml:space="preserve">CDIP, </w:t>
      </w:r>
      <w:r w:rsidRPr="000969A4">
        <w:rPr>
          <w:rFonts w:eastAsia="Cambria"/>
          <w:lang w:val="fr-FR"/>
        </w:rPr>
        <w:t xml:space="preserve">le document de fond (document </w:t>
      </w:r>
      <w:r w:rsidRPr="000969A4">
        <w:rPr>
          <w:rFonts w:eastAsia="Cambria"/>
          <w:b/>
          <w:bCs/>
          <w:lang w:val="fr-FR"/>
        </w:rPr>
        <w:t>CDIP/14/8</w:t>
      </w:r>
      <w:r w:rsidRPr="000969A4">
        <w:rPr>
          <w:rFonts w:eastAsia="Cambria"/>
          <w:lang w:val="fr-FR"/>
        </w:rPr>
        <w:t>) a été examiné en déta</w:t>
      </w:r>
      <w:r w:rsidR="0043436D" w:rsidRPr="000969A4">
        <w:rPr>
          <w:rFonts w:eastAsia="Cambria"/>
          <w:lang w:val="fr-FR"/>
        </w:rPr>
        <w:t>il</w:t>
      </w:r>
      <w:r w:rsidR="0043436D">
        <w:rPr>
          <w:rFonts w:eastAsia="Cambria"/>
          <w:lang w:val="fr-FR"/>
        </w:rPr>
        <w:t xml:space="preserve">.  </w:t>
      </w:r>
      <w:r w:rsidR="0043436D" w:rsidRPr="000969A4">
        <w:rPr>
          <w:rFonts w:eastAsia="Cambria"/>
          <w:lang w:val="fr-FR"/>
        </w:rPr>
        <w:t>Un</w:t>
      </w:r>
      <w:r w:rsidRPr="000969A4">
        <w:rPr>
          <w:rFonts w:eastAsia="Cambria"/>
          <w:lang w:val="fr-FR"/>
        </w:rPr>
        <w:t xml:space="preserve"> certain nombre de délégations ont formulé des observations sur le document relatif au projet, demandé des précisions sur le calendrier d</w:t>
      </w:r>
      <w:r w:rsidR="00A04668">
        <w:rPr>
          <w:rFonts w:eastAsia="Cambria"/>
          <w:lang w:val="fr-FR"/>
        </w:rPr>
        <w:t>’</w:t>
      </w:r>
      <w:r w:rsidRPr="000969A4">
        <w:rPr>
          <w:rFonts w:eastAsia="Cambria"/>
          <w:lang w:val="fr-FR"/>
        </w:rPr>
        <w:t>exécution des étapes du projet qui n</w:t>
      </w:r>
      <w:r w:rsidR="00A04668">
        <w:rPr>
          <w:rFonts w:eastAsia="Cambria"/>
          <w:lang w:val="fr-FR"/>
        </w:rPr>
        <w:t>’</w:t>
      </w:r>
      <w:r w:rsidRPr="000969A4">
        <w:rPr>
          <w:rFonts w:eastAsia="Cambria"/>
          <w:lang w:val="fr-FR"/>
        </w:rPr>
        <w:t>avaient pas encore été mises en œuvre, notamment l</w:t>
      </w:r>
      <w:r w:rsidR="00A04668">
        <w:rPr>
          <w:rFonts w:eastAsia="Cambria"/>
          <w:lang w:val="fr-FR"/>
        </w:rPr>
        <w:t>’</w:t>
      </w:r>
      <w:r w:rsidRPr="000969A4">
        <w:rPr>
          <w:rFonts w:eastAsia="Cambria"/>
          <w:lang w:val="fr-FR"/>
        </w:rPr>
        <w:t>élaboration du matériel d</w:t>
      </w:r>
      <w:r w:rsidR="00A04668">
        <w:rPr>
          <w:rFonts w:eastAsia="Cambria"/>
          <w:lang w:val="fr-FR"/>
        </w:rPr>
        <w:t>’</w:t>
      </w:r>
      <w:r w:rsidRPr="000969A4">
        <w:rPr>
          <w:rFonts w:eastAsia="Cambria"/>
          <w:lang w:val="fr-FR"/>
        </w:rPr>
        <w:t>information, des modules et des outils didactiques et la création d</w:t>
      </w:r>
      <w:r w:rsidR="00A04668">
        <w:rPr>
          <w:rFonts w:eastAsia="Cambria"/>
          <w:lang w:val="fr-FR"/>
        </w:rPr>
        <w:t>’</w:t>
      </w:r>
      <w:r w:rsidRPr="000969A4">
        <w:rPr>
          <w:rFonts w:eastAsia="Cambria"/>
          <w:lang w:val="fr-FR"/>
        </w:rPr>
        <w:t>un forum sur le Web, proposé de limiter la définition du terme “transfert de technologie” tel qu</w:t>
      </w:r>
      <w:r w:rsidR="00A04668">
        <w:rPr>
          <w:rFonts w:eastAsia="Cambria"/>
          <w:lang w:val="fr-FR"/>
        </w:rPr>
        <w:t>’</w:t>
      </w:r>
      <w:r w:rsidRPr="000969A4">
        <w:rPr>
          <w:rFonts w:eastAsia="Cambria"/>
          <w:lang w:val="fr-FR"/>
        </w:rPr>
        <w:t>il figure dans le document de fond uniquement au présent projet, et soulevé des questions au sujet du processus de sélection des experts participant au Forum d</w:t>
      </w:r>
      <w:r w:rsidR="00A04668">
        <w:rPr>
          <w:rFonts w:eastAsia="Cambria"/>
          <w:lang w:val="fr-FR"/>
        </w:rPr>
        <w:t>’</w:t>
      </w:r>
      <w:r w:rsidRPr="000969A4">
        <w:rPr>
          <w:rFonts w:eastAsia="Cambria"/>
          <w:lang w:val="fr-FR"/>
        </w:rPr>
        <w:t>experts de haut nive</w:t>
      </w:r>
      <w:r w:rsidR="0043436D" w:rsidRPr="000969A4">
        <w:rPr>
          <w:rFonts w:eastAsia="Cambria"/>
          <w:lang w:val="fr-FR"/>
        </w:rPr>
        <w:t>au</w:t>
      </w:r>
      <w:r w:rsidR="0043436D">
        <w:rPr>
          <w:rFonts w:eastAsia="Cambria"/>
          <w:lang w:val="fr-FR"/>
        </w:rPr>
        <w:t xml:space="preserve">.  </w:t>
      </w:r>
      <w:r w:rsidR="0043436D" w:rsidRPr="000969A4">
        <w:rPr>
          <w:rFonts w:eastAsia="Cambria"/>
          <w:lang w:val="fr-FR"/>
        </w:rPr>
        <w:t>Le</w:t>
      </w:r>
      <w:r w:rsidRPr="000969A4">
        <w:rPr>
          <w:rFonts w:eastAsia="Cambria"/>
          <w:lang w:val="fr-FR"/>
        </w:rPr>
        <w:t xml:space="preserve"> Secrétariat a révisé le document de fond de manière à prendre en considération certaines propositions formulées par les États membr</w:t>
      </w:r>
      <w:r w:rsidR="0043436D" w:rsidRPr="000969A4">
        <w:rPr>
          <w:rFonts w:eastAsia="Cambria"/>
          <w:lang w:val="fr-FR"/>
        </w:rPr>
        <w:t>es</w:t>
      </w:r>
      <w:r w:rsidR="0043436D">
        <w:rPr>
          <w:rFonts w:eastAsia="Cambria"/>
          <w:lang w:val="fr-FR"/>
        </w:rPr>
        <w:t xml:space="preserve">.  </w:t>
      </w:r>
      <w:r w:rsidR="0043436D" w:rsidRPr="000969A4">
        <w:rPr>
          <w:rFonts w:eastAsia="Cambria"/>
          <w:lang w:val="fr-FR"/>
        </w:rPr>
        <w:t xml:space="preserve">À </w:t>
      </w:r>
      <w:r w:rsidRPr="000969A4">
        <w:rPr>
          <w:rFonts w:eastAsia="Cambria"/>
          <w:lang w:val="fr-FR"/>
        </w:rPr>
        <w:t>l</w:t>
      </w:r>
      <w:r w:rsidR="00A04668">
        <w:rPr>
          <w:rFonts w:eastAsia="Cambria"/>
          <w:lang w:val="fr-FR"/>
        </w:rPr>
        <w:t>’</w:t>
      </w:r>
      <w:r w:rsidRPr="000969A4">
        <w:rPr>
          <w:rFonts w:eastAsia="Cambria"/>
          <w:lang w:val="fr-FR"/>
        </w:rPr>
        <w:t>issue des délibérations de la quatorzième session du CDIP, le document de fond a été approuvé, étant entendu que les recommandations émanant du Forum d</w:t>
      </w:r>
      <w:r w:rsidR="00A04668">
        <w:rPr>
          <w:rFonts w:eastAsia="Cambria"/>
          <w:lang w:val="fr-FR"/>
        </w:rPr>
        <w:t>’</w:t>
      </w:r>
      <w:r w:rsidRPr="000969A4">
        <w:rPr>
          <w:rFonts w:eastAsia="Cambria"/>
          <w:lang w:val="fr-FR"/>
        </w:rPr>
        <w:t>experts de haut niveau ne seraient envoyées au comité pour “examen et adoption” uniquement si elles emportaient l</w:t>
      </w:r>
      <w:r w:rsidR="00A04668">
        <w:rPr>
          <w:rFonts w:eastAsia="Cambria"/>
          <w:lang w:val="fr-FR"/>
        </w:rPr>
        <w:t>’</w:t>
      </w:r>
      <w:r w:rsidRPr="000969A4">
        <w:rPr>
          <w:rFonts w:eastAsia="Cambria"/>
          <w:lang w:val="fr-FR"/>
        </w:rPr>
        <w:t>adhésion de l</w:t>
      </w:r>
      <w:r w:rsidR="00A04668">
        <w:rPr>
          <w:rFonts w:eastAsia="Cambria"/>
          <w:lang w:val="fr-FR"/>
        </w:rPr>
        <w:t>’</w:t>
      </w:r>
      <w:r w:rsidRPr="000969A4">
        <w:rPr>
          <w:rFonts w:eastAsia="Cambria"/>
          <w:lang w:val="fr-FR"/>
        </w:rPr>
        <w:t>ensemble des experts participant à une session donnée.</w:t>
      </w:r>
    </w:p>
    <w:p w:rsidR="006120B0" w:rsidRPr="000969A4" w:rsidRDefault="006120B0" w:rsidP="00260781">
      <w:pPr>
        <w:ind w:right="140"/>
        <w:rPr>
          <w:rFonts w:eastAsia="Cambria"/>
          <w:lang w:val="fr-FR"/>
        </w:rPr>
      </w:pPr>
    </w:p>
    <w:p w:rsidR="006120B0" w:rsidRPr="000969A4" w:rsidRDefault="006120B0" w:rsidP="00260781">
      <w:pPr>
        <w:spacing w:before="3"/>
        <w:ind w:right="478"/>
        <w:rPr>
          <w:rFonts w:eastAsia="Cambria"/>
          <w:lang w:val="fr-FR"/>
        </w:rPr>
      </w:pPr>
      <w:r w:rsidRPr="000969A4">
        <w:rPr>
          <w:rFonts w:eastAsia="Cambria"/>
          <w:lang w:val="fr-FR"/>
        </w:rPr>
        <w:t xml:space="preserve">Le document </w:t>
      </w:r>
      <w:r w:rsidRPr="000969A4">
        <w:rPr>
          <w:rFonts w:eastAsia="Cambria"/>
          <w:b/>
          <w:bCs/>
          <w:lang w:val="fr-FR"/>
        </w:rPr>
        <w:t xml:space="preserve">CDIP/15/5 </w:t>
      </w:r>
      <w:r w:rsidRPr="000969A4">
        <w:rPr>
          <w:rFonts w:eastAsia="Cambria"/>
          <w:lang w:val="fr-FR"/>
        </w:rPr>
        <w:t>contient un rapport factuel des délibérations du Forum d</w:t>
      </w:r>
      <w:r w:rsidR="00A04668">
        <w:rPr>
          <w:rFonts w:eastAsia="Cambria"/>
          <w:lang w:val="fr-FR"/>
        </w:rPr>
        <w:t>’</w:t>
      </w:r>
      <w:r w:rsidRPr="000969A4">
        <w:rPr>
          <w:rFonts w:eastAsia="Cambria"/>
          <w:lang w:val="fr-FR"/>
        </w:rPr>
        <w:t>experts de haut niveau, tenu du 16 au 18 février 2015.</w:t>
      </w:r>
    </w:p>
    <w:p w:rsidR="006120B0" w:rsidRPr="000969A4" w:rsidRDefault="006120B0" w:rsidP="00260781">
      <w:pPr>
        <w:spacing w:before="60"/>
        <w:ind w:right="244"/>
        <w:rPr>
          <w:rFonts w:eastAsia="Cambria"/>
          <w:lang w:val="fr-FR"/>
        </w:rPr>
      </w:pPr>
    </w:p>
    <w:p w:rsidR="006120B0" w:rsidRPr="000969A4" w:rsidRDefault="006120B0" w:rsidP="00260781">
      <w:pPr>
        <w:spacing w:before="60"/>
        <w:ind w:right="244"/>
        <w:rPr>
          <w:rFonts w:eastAsia="Cambria"/>
          <w:lang w:val="fr-FR"/>
        </w:rPr>
      </w:pPr>
      <w:r w:rsidRPr="000969A4">
        <w:rPr>
          <w:rFonts w:eastAsia="Cambria"/>
          <w:lang w:val="fr-FR"/>
        </w:rPr>
        <w:t>Les exposés liminaires prononcés par Sherry </w:t>
      </w:r>
      <w:proofErr w:type="spellStart"/>
      <w:r w:rsidRPr="000969A4">
        <w:rPr>
          <w:rFonts w:eastAsia="Cambria"/>
          <w:lang w:val="fr-FR"/>
        </w:rPr>
        <w:t>Knowles</w:t>
      </w:r>
      <w:proofErr w:type="spellEnd"/>
      <w:r w:rsidRPr="000969A4">
        <w:rPr>
          <w:rFonts w:eastAsia="Cambria"/>
          <w:lang w:val="fr-FR"/>
        </w:rPr>
        <w:t xml:space="preserve"> (États</w:t>
      </w:r>
      <w:r w:rsidR="0043436D">
        <w:rPr>
          <w:rFonts w:eastAsia="Cambria"/>
          <w:lang w:val="fr-FR"/>
        </w:rPr>
        <w:noBreakHyphen/>
      </w:r>
      <w:r w:rsidRPr="000969A4">
        <w:rPr>
          <w:rFonts w:eastAsia="Cambria"/>
          <w:lang w:val="fr-FR"/>
        </w:rPr>
        <w:t>Unis d</w:t>
      </w:r>
      <w:r w:rsidR="00A04668">
        <w:rPr>
          <w:rFonts w:eastAsia="Cambria"/>
          <w:lang w:val="fr-FR"/>
        </w:rPr>
        <w:t>’</w:t>
      </w:r>
      <w:r w:rsidRPr="000969A4">
        <w:rPr>
          <w:rFonts w:eastAsia="Cambria"/>
          <w:lang w:val="fr-FR"/>
        </w:rPr>
        <w:t>Amérique) et McLean Sibanda (Afrique du Sud) ont été suivis de trois sessions principal</w:t>
      </w:r>
      <w:r w:rsidR="0043436D" w:rsidRPr="000969A4">
        <w:rPr>
          <w:rFonts w:eastAsia="Cambria"/>
          <w:lang w:val="fr-FR"/>
        </w:rPr>
        <w:t>es</w:t>
      </w:r>
      <w:r w:rsidR="0043436D">
        <w:rPr>
          <w:rFonts w:eastAsia="Cambria"/>
          <w:lang w:val="fr-FR"/>
        </w:rPr>
        <w:t xml:space="preserve">.  </w:t>
      </w:r>
      <w:r w:rsidR="0043436D" w:rsidRPr="000969A4">
        <w:rPr>
          <w:rFonts w:eastAsia="Cambria"/>
          <w:lang w:val="fr-FR"/>
        </w:rPr>
        <w:t>Au</w:t>
      </w:r>
      <w:r w:rsidRPr="000969A4">
        <w:rPr>
          <w:rFonts w:eastAsia="Cambria"/>
          <w:lang w:val="fr-FR"/>
        </w:rPr>
        <w:t xml:space="preserve"> cours de la première session, les six études analytiques établies lors de la phase précédente du projet (voir ci</w:t>
      </w:r>
      <w:r w:rsidR="0043436D">
        <w:rPr>
          <w:rFonts w:eastAsia="Cambria"/>
          <w:lang w:val="fr-FR"/>
        </w:rPr>
        <w:noBreakHyphen/>
      </w:r>
      <w:r w:rsidRPr="000969A4">
        <w:rPr>
          <w:rFonts w:eastAsia="Cambria"/>
          <w:lang w:val="fr-FR"/>
        </w:rPr>
        <w:t>dessus) ont été présentées par leurs auteurs et les experts chargés de les évaluer et examinées par les participan</w:t>
      </w:r>
      <w:r w:rsidR="0043436D" w:rsidRPr="000969A4">
        <w:rPr>
          <w:rFonts w:eastAsia="Cambria"/>
          <w:lang w:val="fr-FR"/>
        </w:rPr>
        <w:t>ts</w:t>
      </w:r>
      <w:r w:rsidR="0043436D">
        <w:rPr>
          <w:rFonts w:eastAsia="Cambria"/>
          <w:lang w:val="fr-FR"/>
        </w:rPr>
        <w:t xml:space="preserve">.  </w:t>
      </w:r>
      <w:r w:rsidR="0043436D" w:rsidRPr="000969A4">
        <w:rPr>
          <w:rFonts w:eastAsia="Cambria"/>
          <w:lang w:val="fr-FR"/>
        </w:rPr>
        <w:t>Au</w:t>
      </w:r>
      <w:r w:rsidRPr="000969A4">
        <w:rPr>
          <w:rFonts w:eastAsia="Cambria"/>
          <w:lang w:val="fr-FR"/>
        </w:rPr>
        <w:t xml:space="preserve"> cours de la deuxième session, un groupe de six spécialistes du transfert international de technologie ont, sous la direction d</w:t>
      </w:r>
      <w:r w:rsidR="00A04668">
        <w:rPr>
          <w:rFonts w:eastAsia="Cambria"/>
          <w:lang w:val="fr-FR"/>
        </w:rPr>
        <w:t>’</w:t>
      </w:r>
      <w:r w:rsidRPr="000969A4">
        <w:rPr>
          <w:rFonts w:eastAsia="Cambria"/>
          <w:lang w:val="fr-FR"/>
        </w:rPr>
        <w:t>une animatrice, débattu des mesures de promotion du transfert international de technolog</w:t>
      </w:r>
      <w:r w:rsidR="0043436D" w:rsidRPr="000969A4">
        <w:rPr>
          <w:rFonts w:eastAsia="Cambria"/>
          <w:lang w:val="fr-FR"/>
        </w:rPr>
        <w:t>ie</w:t>
      </w:r>
      <w:r w:rsidR="0043436D">
        <w:rPr>
          <w:rFonts w:eastAsia="Cambria"/>
          <w:lang w:val="fr-FR"/>
        </w:rPr>
        <w:t xml:space="preserve">.  </w:t>
      </w:r>
      <w:r w:rsidR="0043436D" w:rsidRPr="000969A4">
        <w:rPr>
          <w:rFonts w:eastAsia="Cambria"/>
          <w:lang w:val="fr-FR"/>
        </w:rPr>
        <w:t>Le</w:t>
      </w:r>
      <w:r w:rsidRPr="000969A4">
        <w:rPr>
          <w:rFonts w:eastAsia="Cambria"/>
          <w:lang w:val="fr-FR"/>
        </w:rPr>
        <w:t>s experts ci</w:t>
      </w:r>
      <w:r w:rsidR="0043436D">
        <w:rPr>
          <w:rFonts w:eastAsia="Cambria"/>
          <w:lang w:val="fr-FR"/>
        </w:rPr>
        <w:noBreakHyphen/>
      </w:r>
      <w:r w:rsidRPr="000969A4">
        <w:rPr>
          <w:rFonts w:eastAsia="Cambria"/>
          <w:lang w:val="fr-FR"/>
        </w:rPr>
        <w:t>après ont participé aux discussions de groupe :</w:t>
      </w:r>
    </w:p>
    <w:p w:rsidR="006120B0" w:rsidRPr="000969A4" w:rsidRDefault="006120B0" w:rsidP="00260781">
      <w:pPr>
        <w:spacing w:before="14"/>
        <w:rPr>
          <w:lang w:val="fr-FR"/>
        </w:rPr>
      </w:pPr>
    </w:p>
    <w:p w:rsidR="006120B0" w:rsidRPr="000969A4" w:rsidRDefault="006120B0" w:rsidP="00260781">
      <w:pPr>
        <w:tabs>
          <w:tab w:val="left" w:pos="1134"/>
        </w:tabs>
        <w:ind w:left="1134" w:right="-20"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M.</w:t>
      </w:r>
      <w:r w:rsidRPr="000969A4">
        <w:rPr>
          <w:rFonts w:eastAsia="Times New Roman"/>
          <w:lang w:val="fr-FR"/>
        </w:rPr>
        <w:t> </w:t>
      </w:r>
      <w:proofErr w:type="spellStart"/>
      <w:r w:rsidR="009C0B7C">
        <w:rPr>
          <w:rFonts w:eastAsia="Cambria"/>
          <w:lang w:val="fr-FR"/>
        </w:rPr>
        <w:t>Jaroslav</w:t>
      </w:r>
      <w:proofErr w:type="spellEnd"/>
      <w:r w:rsidR="009C0B7C">
        <w:rPr>
          <w:rFonts w:eastAsia="Cambria"/>
          <w:lang w:val="fr-FR"/>
        </w:rPr>
        <w:t> </w:t>
      </w:r>
      <w:proofErr w:type="spellStart"/>
      <w:r w:rsidRPr="000969A4">
        <w:rPr>
          <w:rFonts w:eastAsia="Cambria"/>
          <w:lang w:val="fr-FR"/>
        </w:rPr>
        <w:t>Burčík</w:t>
      </w:r>
      <w:proofErr w:type="spellEnd"/>
      <w:r w:rsidRPr="000969A4">
        <w:rPr>
          <w:rFonts w:eastAsia="Cambria"/>
          <w:lang w:val="fr-FR"/>
        </w:rPr>
        <w:t>, directeur, Centre pour la technologie et l</w:t>
      </w:r>
      <w:r w:rsidR="00A04668">
        <w:rPr>
          <w:rFonts w:eastAsia="Cambria"/>
          <w:lang w:val="fr-FR"/>
        </w:rPr>
        <w:t>’</w:t>
      </w:r>
      <w:r w:rsidRPr="000969A4">
        <w:rPr>
          <w:rFonts w:eastAsia="Cambria"/>
          <w:lang w:val="fr-FR"/>
        </w:rPr>
        <w:t>innovation, Université technique de Prague (République tchèque);</w:t>
      </w:r>
    </w:p>
    <w:p w:rsidR="006120B0" w:rsidRPr="000969A4" w:rsidRDefault="006120B0" w:rsidP="00260781">
      <w:pPr>
        <w:tabs>
          <w:tab w:val="left" w:pos="1134"/>
        </w:tabs>
        <w:spacing w:before="13"/>
        <w:ind w:left="1134" w:right="862" w:hanging="567"/>
        <w:rPr>
          <w:rFonts w:eastAsia="Cambria"/>
          <w:lang w:val="fr-FR"/>
        </w:rPr>
      </w:pPr>
      <w:r w:rsidRPr="000969A4">
        <w:rPr>
          <w:rFonts w:eastAsia="Times New Roman"/>
          <w:w w:val="131"/>
          <w:lang w:val="fr-FR"/>
        </w:rPr>
        <w:lastRenderedPageBreak/>
        <w:t>•</w:t>
      </w:r>
      <w:r w:rsidRPr="000969A4">
        <w:rPr>
          <w:rFonts w:eastAsia="Times New Roman"/>
          <w:lang w:val="fr-FR"/>
        </w:rPr>
        <w:tab/>
      </w:r>
      <w:r w:rsidRPr="000969A4">
        <w:rPr>
          <w:rFonts w:eastAsia="Cambria"/>
          <w:lang w:val="fr-FR"/>
        </w:rPr>
        <w:t>M. Francisco Rafael Cano Betancourt, directeur, planification, évaluation et développement, Conseil national pour la science et la technologie, Guatemala (Guatemala);</w:t>
      </w:r>
    </w:p>
    <w:p w:rsidR="006120B0" w:rsidRPr="000969A4" w:rsidRDefault="006120B0" w:rsidP="00260781">
      <w:pPr>
        <w:tabs>
          <w:tab w:val="left" w:pos="1134"/>
        </w:tabs>
        <w:spacing w:before="10"/>
        <w:ind w:left="1134" w:right="757"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Mme Sherry </w:t>
      </w:r>
      <w:proofErr w:type="spellStart"/>
      <w:r w:rsidRPr="000969A4">
        <w:rPr>
          <w:rFonts w:eastAsia="Cambria"/>
          <w:lang w:val="fr-FR"/>
        </w:rPr>
        <w:t>Knowles</w:t>
      </w:r>
      <w:proofErr w:type="spellEnd"/>
      <w:r w:rsidRPr="000969A4">
        <w:rPr>
          <w:rFonts w:eastAsia="Cambria"/>
          <w:lang w:val="fr-FR"/>
        </w:rPr>
        <w:t xml:space="preserve">, directrice, </w:t>
      </w:r>
      <w:proofErr w:type="spellStart"/>
      <w:r w:rsidRPr="000969A4">
        <w:rPr>
          <w:rFonts w:eastAsia="Cambria"/>
          <w:lang w:val="fr-FR"/>
        </w:rPr>
        <w:t>Knowles</w:t>
      </w:r>
      <w:proofErr w:type="spellEnd"/>
      <w:r w:rsidRPr="000969A4">
        <w:rPr>
          <w:rFonts w:eastAsia="Cambria"/>
          <w:lang w:val="fr-FR"/>
        </w:rPr>
        <w:t xml:space="preserve"> </w:t>
      </w:r>
      <w:proofErr w:type="spellStart"/>
      <w:r w:rsidRPr="000969A4">
        <w:rPr>
          <w:rFonts w:eastAsia="Cambria"/>
          <w:lang w:val="fr-FR"/>
        </w:rPr>
        <w:t>Intellectual</w:t>
      </w:r>
      <w:proofErr w:type="spellEnd"/>
      <w:r w:rsidRPr="000969A4">
        <w:rPr>
          <w:rFonts w:eastAsia="Cambria"/>
          <w:lang w:val="fr-FR"/>
        </w:rPr>
        <w:t xml:space="preserve"> </w:t>
      </w:r>
      <w:proofErr w:type="spellStart"/>
      <w:r w:rsidRPr="000969A4">
        <w:rPr>
          <w:rFonts w:eastAsia="Cambria"/>
          <w:lang w:val="fr-FR"/>
        </w:rPr>
        <w:t>Property</w:t>
      </w:r>
      <w:proofErr w:type="spellEnd"/>
      <w:r w:rsidRPr="000969A4">
        <w:rPr>
          <w:rFonts w:eastAsia="Cambria"/>
          <w:lang w:val="fr-FR"/>
        </w:rPr>
        <w:t xml:space="preserve"> </w:t>
      </w:r>
      <w:proofErr w:type="spellStart"/>
      <w:r w:rsidRPr="000969A4">
        <w:rPr>
          <w:rFonts w:eastAsia="Cambria"/>
          <w:lang w:val="fr-FR"/>
        </w:rPr>
        <w:t>Strategies</w:t>
      </w:r>
      <w:proofErr w:type="spellEnd"/>
      <w:r w:rsidRPr="000969A4">
        <w:rPr>
          <w:rFonts w:eastAsia="Cambria"/>
          <w:lang w:val="fr-FR"/>
        </w:rPr>
        <w:t>, LLC, Atlanta, Géorgie (États</w:t>
      </w:r>
      <w:r w:rsidR="0043436D">
        <w:rPr>
          <w:rFonts w:eastAsia="Cambria"/>
          <w:lang w:val="fr-FR"/>
        </w:rPr>
        <w:noBreakHyphen/>
      </w:r>
      <w:r w:rsidRPr="000969A4">
        <w:rPr>
          <w:rFonts w:eastAsia="Cambria"/>
          <w:lang w:val="fr-FR"/>
        </w:rPr>
        <w:t>Unis d</w:t>
      </w:r>
      <w:r w:rsidR="00A04668">
        <w:rPr>
          <w:rFonts w:eastAsia="Cambria"/>
          <w:lang w:val="fr-FR"/>
        </w:rPr>
        <w:t>’</w:t>
      </w:r>
      <w:r w:rsidRPr="000969A4">
        <w:rPr>
          <w:rFonts w:eastAsia="Cambria"/>
          <w:lang w:val="fr-FR"/>
        </w:rPr>
        <w:t>Amérique);</w:t>
      </w:r>
    </w:p>
    <w:p w:rsidR="006120B0" w:rsidRPr="000969A4" w:rsidRDefault="006120B0" w:rsidP="00260781">
      <w:pPr>
        <w:tabs>
          <w:tab w:val="left" w:pos="1134"/>
        </w:tabs>
        <w:spacing w:before="9"/>
        <w:ind w:left="1134" w:right="158"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M. </w:t>
      </w:r>
      <w:proofErr w:type="spellStart"/>
      <w:r w:rsidRPr="000969A4">
        <w:rPr>
          <w:rFonts w:eastAsia="Cambria"/>
          <w:lang w:val="fr-FR"/>
        </w:rPr>
        <w:t>Sifeddine</w:t>
      </w:r>
      <w:proofErr w:type="spellEnd"/>
      <w:r w:rsidRPr="000969A4">
        <w:rPr>
          <w:rFonts w:eastAsia="Cambria"/>
          <w:lang w:val="fr-FR"/>
        </w:rPr>
        <w:t> </w:t>
      </w:r>
      <w:proofErr w:type="spellStart"/>
      <w:r w:rsidRPr="000969A4">
        <w:rPr>
          <w:rFonts w:eastAsia="Cambria"/>
          <w:lang w:val="fr-FR"/>
        </w:rPr>
        <w:t>Labed</w:t>
      </w:r>
      <w:proofErr w:type="spellEnd"/>
      <w:r w:rsidRPr="000969A4">
        <w:rPr>
          <w:rFonts w:eastAsia="Cambria"/>
          <w:lang w:val="fr-FR"/>
        </w:rPr>
        <w:t>, directeur, Formation, Recherche, Innovation et Transfert de Technologie, Ministère des technologies de l</w:t>
      </w:r>
      <w:r w:rsidR="00A04668">
        <w:rPr>
          <w:rFonts w:eastAsia="Cambria"/>
          <w:lang w:val="fr-FR"/>
        </w:rPr>
        <w:t>’</w:t>
      </w:r>
      <w:r w:rsidRPr="000969A4">
        <w:rPr>
          <w:rFonts w:eastAsia="Cambria"/>
          <w:lang w:val="fr-FR"/>
        </w:rPr>
        <w:t>information et de la communication (TIC), Alger (Algérie);</w:t>
      </w:r>
    </w:p>
    <w:p w:rsidR="006120B0" w:rsidRPr="000969A4" w:rsidRDefault="006120B0" w:rsidP="00260781">
      <w:pPr>
        <w:tabs>
          <w:tab w:val="left" w:pos="1134"/>
        </w:tabs>
        <w:spacing w:before="13"/>
        <w:ind w:left="1134" w:right="597"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 xml:space="preserve">Mme Allison Mages, conseillère principale, IP </w:t>
      </w:r>
      <w:proofErr w:type="spellStart"/>
      <w:r w:rsidRPr="000969A4">
        <w:rPr>
          <w:rFonts w:eastAsia="Cambria"/>
          <w:lang w:val="fr-FR"/>
        </w:rPr>
        <w:t>Procurement</w:t>
      </w:r>
      <w:proofErr w:type="spellEnd"/>
      <w:r w:rsidRPr="000969A4">
        <w:rPr>
          <w:rFonts w:eastAsia="Cambria"/>
          <w:lang w:val="fr-FR"/>
        </w:rPr>
        <w:t xml:space="preserve"> and Policy, General Electric </w:t>
      </w:r>
      <w:proofErr w:type="spellStart"/>
      <w:r w:rsidRPr="000969A4">
        <w:rPr>
          <w:rFonts w:eastAsia="Cambria"/>
          <w:lang w:val="fr-FR"/>
        </w:rPr>
        <w:t>Company</w:t>
      </w:r>
      <w:proofErr w:type="spellEnd"/>
      <w:r w:rsidRPr="000969A4">
        <w:rPr>
          <w:rFonts w:eastAsia="Cambria"/>
          <w:lang w:val="fr-FR"/>
        </w:rPr>
        <w:t>, représentante de l</w:t>
      </w:r>
      <w:r w:rsidR="00A04668">
        <w:rPr>
          <w:rFonts w:eastAsia="Cambria"/>
          <w:lang w:val="fr-FR"/>
        </w:rPr>
        <w:t>’</w:t>
      </w:r>
      <w:proofErr w:type="spellStart"/>
      <w:r w:rsidRPr="000969A4">
        <w:rPr>
          <w:rFonts w:eastAsia="Cambria"/>
          <w:lang w:val="fr-FR"/>
        </w:rPr>
        <w:t>Intellectual</w:t>
      </w:r>
      <w:proofErr w:type="spellEnd"/>
      <w:r w:rsidRPr="000969A4">
        <w:rPr>
          <w:rFonts w:eastAsia="Cambria"/>
          <w:lang w:val="fr-FR"/>
        </w:rPr>
        <w:t xml:space="preserve"> </w:t>
      </w:r>
      <w:proofErr w:type="spellStart"/>
      <w:r w:rsidRPr="000969A4">
        <w:rPr>
          <w:rFonts w:eastAsia="Cambria"/>
          <w:lang w:val="fr-FR"/>
        </w:rPr>
        <w:t>Property</w:t>
      </w:r>
      <w:proofErr w:type="spellEnd"/>
      <w:r w:rsidRPr="000969A4">
        <w:rPr>
          <w:rFonts w:eastAsia="Cambria"/>
          <w:lang w:val="fr-FR"/>
        </w:rPr>
        <w:t xml:space="preserve"> </w:t>
      </w:r>
      <w:proofErr w:type="spellStart"/>
      <w:r w:rsidRPr="000969A4">
        <w:rPr>
          <w:rFonts w:eastAsia="Cambria"/>
          <w:lang w:val="fr-FR"/>
        </w:rPr>
        <w:t>Owners</w:t>
      </w:r>
      <w:proofErr w:type="spellEnd"/>
      <w:r w:rsidRPr="000969A4">
        <w:rPr>
          <w:rFonts w:eastAsia="Cambria"/>
          <w:lang w:val="fr-FR"/>
        </w:rPr>
        <w:t xml:space="preserve"> Association, Washington (États</w:t>
      </w:r>
      <w:r w:rsidR="0043436D">
        <w:rPr>
          <w:rFonts w:eastAsia="Cambria"/>
          <w:lang w:val="fr-FR"/>
        </w:rPr>
        <w:noBreakHyphen/>
      </w:r>
      <w:r w:rsidRPr="000969A4">
        <w:rPr>
          <w:rFonts w:eastAsia="Cambria"/>
          <w:lang w:val="fr-FR"/>
        </w:rPr>
        <w:t>Unis d</w:t>
      </w:r>
      <w:r w:rsidR="00A04668">
        <w:rPr>
          <w:rFonts w:eastAsia="Cambria"/>
          <w:lang w:val="fr-FR"/>
        </w:rPr>
        <w:t>’</w:t>
      </w:r>
      <w:r w:rsidRPr="000969A4">
        <w:rPr>
          <w:rFonts w:eastAsia="Cambria"/>
          <w:lang w:val="fr-FR"/>
        </w:rPr>
        <w:t>Amérique);</w:t>
      </w:r>
    </w:p>
    <w:p w:rsidR="006120B0" w:rsidRPr="000969A4" w:rsidRDefault="006120B0" w:rsidP="00260781">
      <w:pPr>
        <w:tabs>
          <w:tab w:val="left" w:pos="1134"/>
        </w:tabs>
        <w:spacing w:before="10"/>
        <w:ind w:left="1134" w:right="-20"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M. McLean Sibanda, président</w:t>
      </w:r>
      <w:r w:rsidR="0043436D">
        <w:rPr>
          <w:rFonts w:eastAsia="Cambria"/>
          <w:lang w:val="fr-FR"/>
        </w:rPr>
        <w:noBreakHyphen/>
      </w:r>
      <w:r w:rsidRPr="000969A4">
        <w:rPr>
          <w:rFonts w:eastAsia="Cambria"/>
          <w:lang w:val="fr-FR"/>
        </w:rPr>
        <w:t>directeur général (PDG), Innovation Hub, Pretoria (Afrique du Sud);</w:t>
      </w:r>
    </w:p>
    <w:p w:rsidR="006120B0" w:rsidRPr="006A653A" w:rsidRDefault="006120B0" w:rsidP="00260781">
      <w:pPr>
        <w:tabs>
          <w:tab w:val="left" w:pos="1134"/>
        </w:tabs>
        <w:spacing w:before="10"/>
        <w:ind w:left="1134" w:right="267" w:hanging="567"/>
        <w:rPr>
          <w:rFonts w:eastAsia="Cambria"/>
        </w:rPr>
      </w:pPr>
      <w:r w:rsidRPr="006A653A">
        <w:rPr>
          <w:rFonts w:eastAsia="Times New Roman"/>
          <w:w w:val="131"/>
        </w:rPr>
        <w:t>•</w:t>
      </w:r>
      <w:r w:rsidRPr="006A653A">
        <w:rPr>
          <w:rFonts w:eastAsia="Times New Roman"/>
        </w:rPr>
        <w:tab/>
      </w:r>
      <w:r w:rsidRPr="006A653A">
        <w:rPr>
          <w:rFonts w:eastAsia="Cambria"/>
        </w:rPr>
        <w:t>M. Xia </w:t>
      </w:r>
      <w:proofErr w:type="spellStart"/>
      <w:r w:rsidRPr="006A653A">
        <w:rPr>
          <w:rFonts w:eastAsia="Cambria"/>
        </w:rPr>
        <w:t>Wenhuan</w:t>
      </w:r>
      <w:proofErr w:type="spellEnd"/>
      <w:r w:rsidRPr="006A653A">
        <w:rPr>
          <w:rFonts w:eastAsia="Cambria"/>
        </w:rPr>
        <w:t xml:space="preserve">, </w:t>
      </w:r>
      <w:proofErr w:type="spellStart"/>
      <w:r w:rsidRPr="006A653A">
        <w:rPr>
          <w:rFonts w:eastAsia="Cambria"/>
        </w:rPr>
        <w:t>directeur</w:t>
      </w:r>
      <w:proofErr w:type="spellEnd"/>
      <w:r w:rsidRPr="006A653A">
        <w:rPr>
          <w:rFonts w:eastAsia="Cambria"/>
        </w:rPr>
        <w:t>, Business Development, Transpacific IP Group Limited, Beijing (Chine)</w:t>
      </w:r>
      <w:proofErr w:type="gramStart"/>
      <w:r w:rsidRPr="006A653A">
        <w:rPr>
          <w:rFonts w:eastAsia="Cambria"/>
        </w:rPr>
        <w:t>;  et</w:t>
      </w:r>
      <w:proofErr w:type="gramEnd"/>
    </w:p>
    <w:p w:rsidR="006120B0" w:rsidRPr="000969A4" w:rsidRDefault="006120B0" w:rsidP="00260781">
      <w:pPr>
        <w:tabs>
          <w:tab w:val="left" w:pos="1134"/>
        </w:tabs>
        <w:spacing w:before="9"/>
        <w:ind w:left="1134" w:right="776" w:hanging="567"/>
        <w:rPr>
          <w:rFonts w:eastAsia="Cambria"/>
          <w:lang w:val="fr-FR"/>
        </w:rPr>
      </w:pPr>
      <w:r w:rsidRPr="000969A4">
        <w:rPr>
          <w:rFonts w:eastAsia="Times New Roman"/>
          <w:w w:val="131"/>
          <w:lang w:val="fr-FR"/>
        </w:rPr>
        <w:t>•</w:t>
      </w:r>
      <w:r w:rsidRPr="000969A4">
        <w:rPr>
          <w:rFonts w:eastAsia="Times New Roman"/>
          <w:lang w:val="fr-FR"/>
        </w:rPr>
        <w:tab/>
      </w:r>
      <w:r w:rsidRPr="000969A4">
        <w:rPr>
          <w:rFonts w:eastAsia="Cambria"/>
          <w:lang w:val="fr-FR"/>
        </w:rPr>
        <w:t xml:space="preserve">Mme Audrey Yap, membre fondatrice et directrice, IP </w:t>
      </w:r>
      <w:proofErr w:type="spellStart"/>
      <w:r w:rsidRPr="000969A4">
        <w:rPr>
          <w:rFonts w:eastAsia="Cambria"/>
          <w:lang w:val="fr-FR"/>
        </w:rPr>
        <w:t>Department</w:t>
      </w:r>
      <w:proofErr w:type="spellEnd"/>
      <w:r w:rsidRPr="000969A4">
        <w:rPr>
          <w:rFonts w:eastAsia="Cambria"/>
          <w:lang w:val="fr-FR"/>
        </w:rPr>
        <w:t xml:space="preserve">, </w:t>
      </w:r>
      <w:proofErr w:type="spellStart"/>
      <w:r w:rsidRPr="000969A4">
        <w:rPr>
          <w:rFonts w:eastAsia="Cambria"/>
          <w:lang w:val="fr-FR"/>
        </w:rPr>
        <w:t>Yusarn</w:t>
      </w:r>
      <w:proofErr w:type="spellEnd"/>
      <w:r w:rsidRPr="000969A4">
        <w:rPr>
          <w:rFonts w:eastAsia="Cambria"/>
          <w:lang w:val="fr-FR"/>
        </w:rPr>
        <w:t xml:space="preserve"> Audrey (Singapour).</w:t>
      </w:r>
    </w:p>
    <w:p w:rsidR="006120B0" w:rsidRPr="000969A4" w:rsidRDefault="009C0B7C" w:rsidP="00260781">
      <w:pPr>
        <w:tabs>
          <w:tab w:val="left" w:pos="1134"/>
        </w:tabs>
        <w:spacing w:before="9"/>
        <w:ind w:left="1134" w:right="231" w:hanging="567"/>
        <w:rPr>
          <w:rFonts w:eastAsia="Cambria"/>
          <w:lang w:val="fr-FR"/>
        </w:rPr>
      </w:pPr>
      <w:r w:rsidRPr="000969A4">
        <w:rPr>
          <w:rFonts w:eastAsia="Times New Roman"/>
          <w:w w:val="131"/>
          <w:lang w:val="fr-FR"/>
        </w:rPr>
        <w:t>•</w:t>
      </w:r>
      <w:r w:rsidRPr="000969A4">
        <w:rPr>
          <w:rFonts w:eastAsia="Times New Roman"/>
          <w:lang w:val="fr-FR"/>
        </w:rPr>
        <w:tab/>
      </w:r>
      <w:r w:rsidR="006120B0" w:rsidRPr="000969A4">
        <w:rPr>
          <w:rFonts w:eastAsia="Cambria"/>
          <w:lang w:val="fr-FR"/>
        </w:rPr>
        <w:t>Toutes les discussions de groupe de la session 2 ont été animées par Mme Alison </w:t>
      </w:r>
      <w:proofErr w:type="spellStart"/>
      <w:r w:rsidR="006120B0" w:rsidRPr="000969A4">
        <w:rPr>
          <w:rFonts w:eastAsia="Cambria"/>
          <w:lang w:val="fr-FR"/>
        </w:rPr>
        <w:t>Brimelow</w:t>
      </w:r>
      <w:proofErr w:type="spellEnd"/>
      <w:r w:rsidR="006120B0" w:rsidRPr="000969A4">
        <w:rPr>
          <w:rFonts w:eastAsia="Cambria"/>
          <w:lang w:val="fr-FR"/>
        </w:rPr>
        <w:t>, présidente, Centre du droit d</w:t>
      </w:r>
      <w:r w:rsidR="00A04668">
        <w:rPr>
          <w:rFonts w:eastAsia="Cambria"/>
          <w:lang w:val="fr-FR"/>
        </w:rPr>
        <w:t>’</w:t>
      </w:r>
      <w:r w:rsidR="006120B0" w:rsidRPr="000969A4">
        <w:rPr>
          <w:rFonts w:eastAsia="Cambria"/>
          <w:lang w:val="fr-FR"/>
        </w:rPr>
        <w:t>auteur et des nouveaux modèles d</w:t>
      </w:r>
      <w:r w:rsidR="00A04668">
        <w:rPr>
          <w:rFonts w:eastAsia="Cambria"/>
          <w:lang w:val="fr-FR"/>
        </w:rPr>
        <w:t>’</w:t>
      </w:r>
      <w:r w:rsidR="006120B0" w:rsidRPr="000969A4">
        <w:rPr>
          <w:rFonts w:eastAsia="Cambria"/>
          <w:lang w:val="fr-FR"/>
        </w:rPr>
        <w:t>affaires dans l</w:t>
      </w:r>
      <w:r w:rsidR="00A04668">
        <w:rPr>
          <w:rFonts w:eastAsia="Cambria"/>
          <w:lang w:val="fr-FR"/>
        </w:rPr>
        <w:t>’</w:t>
      </w:r>
      <w:r w:rsidR="006120B0" w:rsidRPr="000969A4">
        <w:rPr>
          <w:rFonts w:eastAsia="Cambria"/>
          <w:lang w:val="fr-FR"/>
        </w:rPr>
        <w:t>économie créative (</w:t>
      </w:r>
      <w:proofErr w:type="spellStart"/>
      <w:r w:rsidR="006120B0" w:rsidRPr="000969A4">
        <w:rPr>
          <w:rFonts w:eastAsia="Cambria"/>
          <w:lang w:val="fr-FR"/>
        </w:rPr>
        <w:t>CREATe</w:t>
      </w:r>
      <w:proofErr w:type="spellEnd"/>
      <w:r w:rsidR="006120B0" w:rsidRPr="000969A4">
        <w:rPr>
          <w:rFonts w:eastAsia="Cambria"/>
          <w:lang w:val="fr-FR"/>
        </w:rPr>
        <w:t>), Conseil consultatif des programmes des conseils de recherche du Royaume</w:t>
      </w:r>
      <w:r w:rsidR="0043436D">
        <w:rPr>
          <w:rFonts w:eastAsia="Cambria"/>
          <w:lang w:val="fr-FR"/>
        </w:rPr>
        <w:noBreakHyphen/>
      </w:r>
      <w:r w:rsidR="006120B0" w:rsidRPr="000969A4">
        <w:rPr>
          <w:rFonts w:eastAsia="Cambria"/>
          <w:lang w:val="fr-FR"/>
        </w:rPr>
        <w:t>Uni, Université de Glasgow, Glasgow (Royaume</w:t>
      </w:r>
      <w:r w:rsidR="0043436D">
        <w:rPr>
          <w:rFonts w:eastAsia="Cambria"/>
          <w:lang w:val="fr-FR"/>
        </w:rPr>
        <w:noBreakHyphen/>
      </w:r>
      <w:r w:rsidR="006120B0" w:rsidRPr="000969A4">
        <w:rPr>
          <w:rFonts w:eastAsia="Cambria"/>
          <w:lang w:val="fr-FR"/>
        </w:rPr>
        <w:t>Uni).</w:t>
      </w:r>
    </w:p>
    <w:p w:rsidR="006120B0" w:rsidRPr="000969A4" w:rsidRDefault="006120B0" w:rsidP="00260781">
      <w:pPr>
        <w:spacing w:before="20"/>
        <w:rPr>
          <w:lang w:val="fr-FR"/>
        </w:rPr>
      </w:pPr>
    </w:p>
    <w:p w:rsidR="006120B0" w:rsidRPr="000969A4" w:rsidRDefault="006120B0" w:rsidP="00260781">
      <w:pPr>
        <w:ind w:right="110"/>
        <w:rPr>
          <w:rFonts w:eastAsia="Cambria"/>
          <w:lang w:val="fr-FR"/>
        </w:rPr>
      </w:pPr>
      <w:r w:rsidRPr="000969A4">
        <w:rPr>
          <w:rFonts w:eastAsia="Cambria"/>
          <w:lang w:val="fr-FR"/>
        </w:rPr>
        <w:t xml:space="preserve">Lors de la deuxième session, les experts se sont penchés sur six thèmes différents, </w:t>
      </w:r>
      <w:r w:rsidR="00A04668">
        <w:rPr>
          <w:rFonts w:eastAsia="Cambria"/>
          <w:lang w:val="fr-FR"/>
        </w:rPr>
        <w:t>à savoir</w:t>
      </w:r>
      <w:r w:rsidRPr="000969A4">
        <w:rPr>
          <w:rFonts w:eastAsia="Cambria"/>
          <w:lang w:val="fr-FR"/>
        </w:rPr>
        <w:t xml:space="preserve"> a) le renforcement des capacités;  b) la coopération mondiale;  c) le cadre institutionnel;  d) le cadre réglementaire;  e) l</w:t>
      </w:r>
      <w:r w:rsidR="00A04668">
        <w:rPr>
          <w:rFonts w:eastAsia="Cambria"/>
          <w:lang w:val="fr-FR"/>
        </w:rPr>
        <w:t>’</w:t>
      </w:r>
      <w:r w:rsidRPr="000969A4">
        <w:rPr>
          <w:rFonts w:eastAsia="Cambria"/>
          <w:lang w:val="fr-FR"/>
        </w:rPr>
        <w:t>infrastructure de l</w:t>
      </w:r>
      <w:r w:rsidR="00A04668">
        <w:rPr>
          <w:rFonts w:eastAsia="Cambria"/>
          <w:lang w:val="fr-FR"/>
        </w:rPr>
        <w:t>’</w:t>
      </w:r>
      <w:r w:rsidRPr="000969A4">
        <w:rPr>
          <w:rFonts w:eastAsia="Cambria"/>
          <w:lang w:val="fr-FR"/>
        </w:rPr>
        <w:t>innovation;  et f) les mécanismes de financement et d</w:t>
      </w:r>
      <w:r w:rsidR="00A04668">
        <w:rPr>
          <w:rFonts w:eastAsia="Cambria"/>
          <w:lang w:val="fr-FR"/>
        </w:rPr>
        <w:t>’</w:t>
      </w:r>
      <w:r w:rsidRPr="000969A4">
        <w:rPr>
          <w:rFonts w:eastAsia="Cambria"/>
          <w:lang w:val="fr-FR"/>
        </w:rPr>
        <w:t>évaluati</w:t>
      </w:r>
      <w:r w:rsidR="0043436D" w:rsidRPr="000969A4">
        <w:rPr>
          <w:rFonts w:eastAsia="Cambria"/>
          <w:lang w:val="fr-FR"/>
        </w:rPr>
        <w:t>on</w:t>
      </w:r>
      <w:r w:rsidR="0043436D">
        <w:rPr>
          <w:rFonts w:eastAsia="Cambria"/>
          <w:lang w:val="fr-FR"/>
        </w:rPr>
        <w:t xml:space="preserve">.  </w:t>
      </w:r>
      <w:r w:rsidR="0043436D" w:rsidRPr="000969A4">
        <w:rPr>
          <w:rFonts w:eastAsia="Cambria"/>
          <w:lang w:val="fr-FR"/>
        </w:rPr>
        <w:t>Ch</w:t>
      </w:r>
      <w:r w:rsidRPr="000969A4">
        <w:rPr>
          <w:rFonts w:eastAsia="Cambria"/>
          <w:lang w:val="fr-FR"/>
        </w:rPr>
        <w:t>aque expert a, pour chacun des thèmes, exposé succinctement les enjeux et proposé des solutio</w:t>
      </w:r>
      <w:r w:rsidR="0043436D" w:rsidRPr="000969A4">
        <w:rPr>
          <w:rFonts w:eastAsia="Cambria"/>
          <w:lang w:val="fr-FR"/>
        </w:rPr>
        <w:t>ns</w:t>
      </w:r>
      <w:r w:rsidR="0043436D">
        <w:rPr>
          <w:rFonts w:eastAsia="Cambria"/>
          <w:lang w:val="fr-FR"/>
        </w:rPr>
        <w:t xml:space="preserve">.  </w:t>
      </w:r>
      <w:r w:rsidR="0043436D" w:rsidRPr="000969A4">
        <w:rPr>
          <w:rFonts w:eastAsia="Cambria"/>
          <w:lang w:val="fr-FR"/>
        </w:rPr>
        <w:t>Au</w:t>
      </w:r>
      <w:r w:rsidRPr="000969A4">
        <w:rPr>
          <w:rFonts w:eastAsia="Cambria"/>
          <w:lang w:val="fr-FR"/>
        </w:rPr>
        <w:t xml:space="preserve"> cours de la troisième session, l</w:t>
      </w:r>
      <w:r w:rsidR="00A04668">
        <w:rPr>
          <w:rFonts w:eastAsia="Cambria"/>
          <w:lang w:val="fr-FR"/>
        </w:rPr>
        <w:t>’</w:t>
      </w:r>
      <w:r w:rsidRPr="000969A4">
        <w:rPr>
          <w:rFonts w:eastAsia="Cambria"/>
          <w:lang w:val="fr-FR"/>
        </w:rPr>
        <w:t>animatrice a résumé les “réflexions” et “considérations” convenues par tous les membres des groupes de discussion, qui ont été soumises au CDIP pour examen.</w:t>
      </w:r>
    </w:p>
    <w:p w:rsidR="006120B0" w:rsidRPr="000969A4" w:rsidRDefault="006120B0" w:rsidP="00260781">
      <w:pPr>
        <w:spacing w:before="20"/>
        <w:rPr>
          <w:lang w:val="fr-FR"/>
        </w:rPr>
      </w:pPr>
    </w:p>
    <w:p w:rsidR="006120B0" w:rsidRDefault="006120B0" w:rsidP="00260781">
      <w:pPr>
        <w:ind w:right="-20"/>
        <w:rPr>
          <w:rFonts w:eastAsia="Cambria"/>
          <w:lang w:val="fr-FR"/>
        </w:rPr>
      </w:pPr>
      <w:r w:rsidRPr="000969A4">
        <w:rPr>
          <w:rFonts w:eastAsia="Cambria"/>
          <w:lang w:val="fr-FR"/>
        </w:rPr>
        <w:t>Sur la base des réflexions ci</w:t>
      </w:r>
      <w:r w:rsidR="0043436D">
        <w:rPr>
          <w:rFonts w:eastAsia="Cambria"/>
          <w:lang w:val="fr-FR"/>
        </w:rPr>
        <w:noBreakHyphen/>
      </w:r>
      <w:r w:rsidRPr="000969A4">
        <w:rPr>
          <w:rFonts w:eastAsia="Cambria"/>
          <w:lang w:val="fr-FR"/>
        </w:rPr>
        <w:t>après, selon lesquelles</w:t>
      </w:r>
    </w:p>
    <w:p w:rsidR="009C0B7C" w:rsidRPr="000969A4" w:rsidRDefault="009C0B7C" w:rsidP="00260781">
      <w:pPr>
        <w:ind w:right="-20"/>
        <w:rPr>
          <w:rFonts w:eastAsia="Cambria"/>
          <w:lang w:val="fr-FR"/>
        </w:rPr>
      </w:pPr>
    </w:p>
    <w:p w:rsidR="006120B0" w:rsidRDefault="006120B0" w:rsidP="00260781">
      <w:pPr>
        <w:tabs>
          <w:tab w:val="left" w:pos="1560"/>
        </w:tabs>
        <w:ind w:left="1134" w:right="418" w:hanging="567"/>
        <w:rPr>
          <w:rFonts w:eastAsia="Cambria"/>
          <w:lang w:val="fr-FR"/>
        </w:rPr>
      </w:pPr>
      <w:r w:rsidRPr="000969A4">
        <w:rPr>
          <w:rFonts w:eastAsia="Cambria"/>
          <w:lang w:val="fr-FR"/>
        </w:rPr>
        <w:t>i)</w:t>
      </w:r>
      <w:r w:rsidRPr="000969A4">
        <w:rPr>
          <w:rFonts w:eastAsia="Cambria"/>
          <w:lang w:val="fr-FR"/>
        </w:rPr>
        <w:tab/>
        <w:t>le transfert international de technologie était jugé efficace, mais son potentiel n</w:t>
      </w:r>
      <w:r w:rsidR="00A04668">
        <w:rPr>
          <w:rFonts w:eastAsia="Cambria"/>
          <w:lang w:val="fr-FR"/>
        </w:rPr>
        <w:t>’</w:t>
      </w:r>
      <w:r w:rsidRPr="000969A4">
        <w:rPr>
          <w:rFonts w:eastAsia="Cambria"/>
          <w:lang w:val="fr-FR"/>
        </w:rPr>
        <w:t>était pas encore suffisamment exploité;  et que</w:t>
      </w:r>
    </w:p>
    <w:p w:rsidR="009C0B7C" w:rsidRPr="000969A4" w:rsidRDefault="009C0B7C" w:rsidP="00260781">
      <w:pPr>
        <w:tabs>
          <w:tab w:val="left" w:pos="1560"/>
        </w:tabs>
        <w:ind w:left="1134" w:right="418" w:hanging="567"/>
        <w:rPr>
          <w:rFonts w:eastAsia="Cambria"/>
          <w:lang w:val="fr-FR"/>
        </w:rPr>
      </w:pPr>
    </w:p>
    <w:p w:rsidR="006120B0" w:rsidRPr="000969A4" w:rsidRDefault="006120B0" w:rsidP="00260781">
      <w:pPr>
        <w:tabs>
          <w:tab w:val="left" w:pos="1134"/>
        </w:tabs>
        <w:ind w:left="1134" w:right="-20" w:hanging="567"/>
        <w:rPr>
          <w:rFonts w:eastAsia="Cambria"/>
          <w:lang w:val="fr-FR"/>
        </w:rPr>
      </w:pPr>
      <w:r w:rsidRPr="000969A4">
        <w:rPr>
          <w:rFonts w:eastAsia="Cambria"/>
          <w:lang w:val="fr-FR"/>
        </w:rPr>
        <w:t>ii)</w:t>
      </w:r>
      <w:r w:rsidRPr="000969A4">
        <w:rPr>
          <w:rFonts w:eastAsia="Cambria"/>
          <w:lang w:val="fr-FR"/>
        </w:rPr>
        <w:tab/>
        <w:t>en ce qui concerne le facteur humain, il fallait renforcer les capacités, car le facteur humain était au cœur de la réflexion tout en constituant le catalyseur du transfert international de technologie,</w:t>
      </w:r>
    </w:p>
    <w:p w:rsidR="006120B0" w:rsidRPr="000969A4" w:rsidRDefault="006120B0" w:rsidP="00260781">
      <w:pPr>
        <w:spacing w:before="19"/>
        <w:rPr>
          <w:lang w:val="fr-FR"/>
        </w:rPr>
      </w:pPr>
    </w:p>
    <w:p w:rsidR="006120B0" w:rsidRPr="000969A4" w:rsidRDefault="006120B0" w:rsidP="00260781">
      <w:pPr>
        <w:spacing w:before="26"/>
        <w:ind w:right="-20"/>
        <w:rPr>
          <w:rFonts w:eastAsia="Cambria"/>
          <w:lang w:val="fr-FR"/>
        </w:rPr>
      </w:pPr>
      <w:proofErr w:type="gramStart"/>
      <w:r w:rsidRPr="000969A4">
        <w:rPr>
          <w:rFonts w:eastAsia="Cambria"/>
          <w:lang w:val="fr-FR"/>
        </w:rPr>
        <w:t>le</w:t>
      </w:r>
      <w:proofErr w:type="gramEnd"/>
      <w:r w:rsidRPr="000969A4">
        <w:rPr>
          <w:rFonts w:eastAsia="Cambria"/>
          <w:lang w:val="fr-FR"/>
        </w:rPr>
        <w:t xml:space="preserve"> groupe d</w:t>
      </w:r>
      <w:r w:rsidR="00A04668">
        <w:rPr>
          <w:rFonts w:eastAsia="Cambria"/>
          <w:lang w:val="fr-FR"/>
        </w:rPr>
        <w:t>’</w:t>
      </w:r>
      <w:r w:rsidRPr="000969A4">
        <w:rPr>
          <w:rFonts w:eastAsia="Cambria"/>
          <w:lang w:val="fr-FR"/>
        </w:rPr>
        <w:t xml:space="preserve">experts est convenu des </w:t>
      </w:r>
      <w:r w:rsidRPr="009C0B7C">
        <w:rPr>
          <w:rFonts w:eastAsia="Cambria"/>
          <w:lang w:val="fr-FR"/>
        </w:rPr>
        <w:t>“</w:t>
      </w:r>
      <w:r w:rsidRPr="000969A4">
        <w:rPr>
          <w:rFonts w:eastAsia="Cambria"/>
          <w:u w:val="single" w:color="000000"/>
          <w:lang w:val="fr-FR"/>
        </w:rPr>
        <w:t>considérations</w:t>
      </w:r>
      <w:r w:rsidRPr="009C0B7C">
        <w:rPr>
          <w:rFonts w:eastAsia="Cambria"/>
          <w:lang w:val="fr-FR"/>
        </w:rPr>
        <w:t>”</w:t>
      </w:r>
      <w:r w:rsidRPr="000969A4">
        <w:rPr>
          <w:rFonts w:eastAsia="Cambria"/>
          <w:lang w:val="fr-FR"/>
        </w:rPr>
        <w:t xml:space="preserve"> ci</w:t>
      </w:r>
      <w:r w:rsidR="0043436D">
        <w:rPr>
          <w:rFonts w:eastAsia="Cambria"/>
          <w:lang w:val="fr-FR"/>
        </w:rPr>
        <w:noBreakHyphen/>
      </w:r>
      <w:r w:rsidRPr="000969A4">
        <w:rPr>
          <w:rFonts w:eastAsia="Cambria"/>
          <w:lang w:val="fr-FR"/>
        </w:rPr>
        <w:t>après sur les activités à mettre en œuvre :</w:t>
      </w:r>
    </w:p>
    <w:p w:rsidR="006120B0" w:rsidRPr="000969A4" w:rsidRDefault="006120B0" w:rsidP="00260781">
      <w:pPr>
        <w:spacing w:before="14"/>
        <w:rPr>
          <w:lang w:val="fr-FR"/>
        </w:rPr>
      </w:pPr>
    </w:p>
    <w:p w:rsidR="006120B0" w:rsidRDefault="006120B0" w:rsidP="00260781">
      <w:pPr>
        <w:tabs>
          <w:tab w:val="left" w:pos="1134"/>
        </w:tabs>
        <w:spacing w:before="26"/>
        <w:ind w:left="1134" w:right="80" w:hanging="567"/>
        <w:rPr>
          <w:rFonts w:eastAsia="Cambria"/>
          <w:lang w:val="fr-FR"/>
        </w:rPr>
      </w:pPr>
      <w:r w:rsidRPr="000969A4">
        <w:rPr>
          <w:rFonts w:eastAsia="Cambria"/>
          <w:lang w:val="fr-FR"/>
        </w:rPr>
        <w:t>a)</w:t>
      </w:r>
      <w:r w:rsidRPr="000969A4">
        <w:rPr>
          <w:rFonts w:eastAsia="Cambria"/>
          <w:lang w:val="fr-FR"/>
        </w:rPr>
        <w:tab/>
        <w:t>créer une plateforme de transfert de technologie sur laquelle seraient mises à disposition des informations sur les technologies qui sont disponibles (“l</w:t>
      </w:r>
      <w:r w:rsidR="00A04668">
        <w:rPr>
          <w:rFonts w:eastAsia="Cambria"/>
          <w:lang w:val="fr-FR"/>
        </w:rPr>
        <w:t>’</w:t>
      </w:r>
      <w:r w:rsidRPr="000969A4">
        <w:rPr>
          <w:rFonts w:eastAsia="Cambria"/>
          <w:lang w:val="fr-FR"/>
        </w:rPr>
        <w:t>offre”) et celles qui sont nécessaires (“la demande”).  Cette plateforme pourrait ensuite évoluer vers une plateforme d</w:t>
      </w:r>
      <w:r w:rsidR="00A04668">
        <w:rPr>
          <w:rFonts w:eastAsia="Cambria"/>
          <w:lang w:val="fr-FR"/>
        </w:rPr>
        <w:t>’</w:t>
      </w:r>
      <w:r w:rsidRPr="000969A4">
        <w:rPr>
          <w:rFonts w:eastAsia="Cambria"/>
          <w:lang w:val="fr-FR"/>
        </w:rPr>
        <w:t>échange dans le domaine du transfert de technologie;</w:t>
      </w:r>
    </w:p>
    <w:p w:rsidR="009C0B7C" w:rsidRPr="000969A4" w:rsidRDefault="009C0B7C" w:rsidP="00260781">
      <w:pPr>
        <w:tabs>
          <w:tab w:val="left" w:pos="1134"/>
        </w:tabs>
        <w:spacing w:before="26"/>
        <w:ind w:left="1134" w:right="80" w:hanging="567"/>
        <w:rPr>
          <w:rFonts w:eastAsia="Cambria"/>
          <w:lang w:val="fr-FR"/>
        </w:rPr>
      </w:pPr>
    </w:p>
    <w:p w:rsidR="006120B0" w:rsidRDefault="006120B0" w:rsidP="00260781">
      <w:pPr>
        <w:tabs>
          <w:tab w:val="left" w:pos="1134"/>
        </w:tabs>
        <w:spacing w:before="3"/>
        <w:ind w:left="1134" w:right="271" w:hanging="567"/>
        <w:rPr>
          <w:rFonts w:eastAsia="Cambria"/>
          <w:lang w:val="fr-FR"/>
        </w:rPr>
      </w:pPr>
      <w:r w:rsidRPr="000969A4">
        <w:rPr>
          <w:rFonts w:eastAsia="Cambria"/>
          <w:lang w:val="fr-FR"/>
        </w:rPr>
        <w:t>b)</w:t>
      </w:r>
      <w:r w:rsidRPr="000969A4">
        <w:rPr>
          <w:rFonts w:eastAsia="Cambria"/>
          <w:lang w:val="fr-FR"/>
        </w:rPr>
        <w:tab/>
        <w:t>diffuser les pratiques recommandées qui illustrent les cas de transfert efficace de technologie à l</w:t>
      </w:r>
      <w:r w:rsidR="00A04668">
        <w:rPr>
          <w:rFonts w:eastAsia="Cambria"/>
          <w:lang w:val="fr-FR"/>
        </w:rPr>
        <w:t>’</w:t>
      </w:r>
      <w:r w:rsidRPr="000969A4">
        <w:rPr>
          <w:rFonts w:eastAsia="Cambria"/>
          <w:lang w:val="fr-FR"/>
        </w:rPr>
        <w:t>échelle internationale, au moyen notamment des plateformes existantes de l</w:t>
      </w:r>
      <w:r w:rsidR="00A04668">
        <w:rPr>
          <w:rFonts w:eastAsia="Cambria"/>
          <w:lang w:val="fr-FR"/>
        </w:rPr>
        <w:t>’</w:t>
      </w:r>
      <w:r w:rsidRPr="000969A4">
        <w:rPr>
          <w:rFonts w:eastAsia="Cambria"/>
          <w:lang w:val="fr-FR"/>
        </w:rPr>
        <w:t>OMPI et des exemples de réussites tirés de l</w:t>
      </w:r>
      <w:r w:rsidR="00A04668">
        <w:rPr>
          <w:rFonts w:eastAsia="Cambria"/>
          <w:lang w:val="fr-FR"/>
        </w:rPr>
        <w:t>’</w:t>
      </w:r>
      <w:r w:rsidRPr="000969A4">
        <w:rPr>
          <w:rFonts w:eastAsia="Cambria"/>
          <w:lang w:val="fr-FR"/>
        </w:rPr>
        <w:t>Indice mondial de l</w:t>
      </w:r>
      <w:r w:rsidR="00A04668">
        <w:rPr>
          <w:rFonts w:eastAsia="Cambria"/>
          <w:lang w:val="fr-FR"/>
        </w:rPr>
        <w:t>’</w:t>
      </w:r>
      <w:r w:rsidRPr="000969A4">
        <w:rPr>
          <w:rFonts w:eastAsia="Cambria"/>
          <w:lang w:val="fr-FR"/>
        </w:rPr>
        <w:t>innovation, dans le cadre d</w:t>
      </w:r>
      <w:r w:rsidR="00A04668">
        <w:rPr>
          <w:rFonts w:eastAsia="Cambria"/>
          <w:lang w:val="fr-FR"/>
        </w:rPr>
        <w:t>’</w:t>
      </w:r>
      <w:r w:rsidRPr="000969A4">
        <w:rPr>
          <w:rFonts w:eastAsia="Cambria"/>
          <w:lang w:val="fr-FR"/>
        </w:rPr>
        <w:t>événements régionaux organisés périodiquement;</w:t>
      </w:r>
    </w:p>
    <w:p w:rsidR="009C0B7C" w:rsidRPr="000969A4" w:rsidRDefault="009C0B7C" w:rsidP="00260781">
      <w:pPr>
        <w:tabs>
          <w:tab w:val="left" w:pos="1134"/>
        </w:tabs>
        <w:spacing w:before="3"/>
        <w:ind w:left="1134" w:right="271" w:hanging="567"/>
        <w:rPr>
          <w:rFonts w:eastAsia="Cambria"/>
          <w:lang w:val="fr-FR"/>
        </w:rPr>
      </w:pPr>
    </w:p>
    <w:p w:rsidR="006120B0" w:rsidRDefault="006120B0" w:rsidP="00260781">
      <w:pPr>
        <w:tabs>
          <w:tab w:val="left" w:pos="1134"/>
        </w:tabs>
        <w:spacing w:before="3"/>
        <w:ind w:left="1134" w:right="271" w:hanging="567"/>
        <w:rPr>
          <w:rFonts w:eastAsia="Cambria"/>
          <w:lang w:val="fr-FR"/>
        </w:rPr>
      </w:pPr>
      <w:r w:rsidRPr="000969A4">
        <w:rPr>
          <w:rFonts w:eastAsia="Cambria"/>
          <w:lang w:val="fr-FR"/>
        </w:rPr>
        <w:lastRenderedPageBreak/>
        <w:t>c)</w:t>
      </w:r>
      <w:r w:rsidRPr="000969A4">
        <w:rPr>
          <w:rFonts w:eastAsia="Cambria"/>
          <w:lang w:val="fr-FR"/>
        </w:rPr>
        <w:tab/>
        <w:t>créer un service d</w:t>
      </w:r>
      <w:r w:rsidR="00A04668">
        <w:rPr>
          <w:rFonts w:eastAsia="Cambria"/>
          <w:lang w:val="fr-FR"/>
        </w:rPr>
        <w:t>’</w:t>
      </w:r>
      <w:r w:rsidRPr="000969A4">
        <w:rPr>
          <w:rFonts w:eastAsia="Cambria"/>
          <w:lang w:val="fr-FR"/>
        </w:rPr>
        <w:t>assistance de l</w:t>
      </w:r>
      <w:r w:rsidR="00A04668">
        <w:rPr>
          <w:rFonts w:eastAsia="Cambria"/>
          <w:lang w:val="fr-FR"/>
        </w:rPr>
        <w:t>’</w:t>
      </w:r>
      <w:r w:rsidRPr="000969A4">
        <w:rPr>
          <w:rFonts w:eastAsia="Cambria"/>
          <w:lang w:val="fr-FR"/>
        </w:rPr>
        <w:t>OMPI en matière de transfert de technologie destiné à répondre aux besoins des États membres et à promouvoir l</w:t>
      </w:r>
      <w:r w:rsidR="00A04668">
        <w:rPr>
          <w:rFonts w:eastAsia="Cambria"/>
          <w:lang w:val="fr-FR"/>
        </w:rPr>
        <w:t>’</w:t>
      </w:r>
      <w:r w:rsidRPr="000969A4">
        <w:rPr>
          <w:rFonts w:eastAsia="Cambria"/>
          <w:lang w:val="fr-FR"/>
        </w:rPr>
        <w:t>échange d</w:t>
      </w:r>
      <w:r w:rsidR="00A04668">
        <w:rPr>
          <w:rFonts w:eastAsia="Cambria"/>
          <w:lang w:val="fr-FR"/>
        </w:rPr>
        <w:t>’</w:t>
      </w:r>
      <w:r w:rsidRPr="000969A4">
        <w:rPr>
          <w:rFonts w:eastAsia="Cambria"/>
          <w:lang w:val="fr-FR"/>
        </w:rPr>
        <w:t>informations sur les succès et les échecs enregistrés dans le domaine du transfert de technologie, pour ensuite évoluer vers un “centre d</w:t>
      </w:r>
      <w:r w:rsidR="00A04668">
        <w:rPr>
          <w:rFonts w:eastAsia="Cambria"/>
          <w:lang w:val="fr-FR"/>
        </w:rPr>
        <w:t>’</w:t>
      </w:r>
      <w:r w:rsidRPr="000969A4">
        <w:rPr>
          <w:rFonts w:eastAsia="Cambria"/>
          <w:lang w:val="fr-FR"/>
        </w:rPr>
        <w:t>échange” d</w:t>
      </w:r>
      <w:r w:rsidR="00A04668">
        <w:rPr>
          <w:rFonts w:eastAsia="Cambria"/>
          <w:lang w:val="fr-FR"/>
        </w:rPr>
        <w:t>’</w:t>
      </w:r>
      <w:r w:rsidRPr="000969A4">
        <w:rPr>
          <w:rFonts w:eastAsia="Cambria"/>
          <w:lang w:val="fr-FR"/>
        </w:rPr>
        <w:t>informations et de technologies;</w:t>
      </w:r>
    </w:p>
    <w:p w:rsidR="009C0B7C" w:rsidRPr="000969A4" w:rsidRDefault="009C0B7C" w:rsidP="00260781">
      <w:pPr>
        <w:tabs>
          <w:tab w:val="left" w:pos="1134"/>
        </w:tabs>
        <w:spacing w:before="3"/>
        <w:ind w:left="1134" w:right="271" w:hanging="567"/>
        <w:rPr>
          <w:rFonts w:eastAsia="Cambria"/>
          <w:lang w:val="fr-FR"/>
        </w:rPr>
      </w:pPr>
    </w:p>
    <w:p w:rsidR="006120B0" w:rsidRDefault="006120B0" w:rsidP="00260781">
      <w:pPr>
        <w:tabs>
          <w:tab w:val="left" w:pos="1134"/>
        </w:tabs>
        <w:spacing w:before="3"/>
        <w:ind w:left="1134" w:right="101" w:hanging="567"/>
        <w:rPr>
          <w:rFonts w:eastAsia="Cambria"/>
          <w:lang w:val="fr-FR"/>
        </w:rPr>
      </w:pPr>
      <w:r w:rsidRPr="000969A4">
        <w:rPr>
          <w:rFonts w:eastAsia="Cambria"/>
          <w:lang w:val="fr-FR"/>
        </w:rPr>
        <w:t>d)</w:t>
      </w:r>
      <w:r w:rsidRPr="000969A4">
        <w:rPr>
          <w:rFonts w:eastAsia="Cambria"/>
          <w:lang w:val="fr-FR"/>
        </w:rPr>
        <w:tab/>
        <w:t>réaliser des travaux empiriques sur les parcs scientifiques, les pépinières d</w:t>
      </w:r>
      <w:r w:rsidR="00A04668">
        <w:rPr>
          <w:rFonts w:eastAsia="Cambria"/>
          <w:lang w:val="fr-FR"/>
        </w:rPr>
        <w:t>’</w:t>
      </w:r>
      <w:r w:rsidRPr="000969A4">
        <w:rPr>
          <w:rFonts w:eastAsia="Cambria"/>
          <w:lang w:val="fr-FR"/>
        </w:rPr>
        <w:t>entreprises et les accélérateurs d</w:t>
      </w:r>
      <w:r w:rsidR="00A04668">
        <w:rPr>
          <w:rFonts w:eastAsia="Cambria"/>
          <w:lang w:val="fr-FR"/>
        </w:rPr>
        <w:t>’</w:t>
      </w:r>
      <w:r w:rsidRPr="000969A4">
        <w:rPr>
          <w:rFonts w:eastAsia="Cambria"/>
          <w:lang w:val="fr-FR"/>
        </w:rPr>
        <w:t>entrepreneuriat et sur l</w:t>
      </w:r>
      <w:r w:rsidR="00A04668">
        <w:rPr>
          <w:rFonts w:eastAsia="Cambria"/>
          <w:lang w:val="fr-FR"/>
        </w:rPr>
        <w:t>’</w:t>
      </w:r>
      <w:r w:rsidRPr="000969A4">
        <w:rPr>
          <w:rFonts w:eastAsia="Cambria"/>
          <w:lang w:val="fr-FR"/>
        </w:rPr>
        <w:t>utilisation qui est faite de la propriété intellectuelle pour promouvoir le transfert de technologie;</w:t>
      </w:r>
    </w:p>
    <w:p w:rsidR="009C0B7C" w:rsidRPr="000969A4" w:rsidRDefault="009C0B7C" w:rsidP="00260781">
      <w:pPr>
        <w:tabs>
          <w:tab w:val="left" w:pos="1134"/>
        </w:tabs>
        <w:spacing w:before="3"/>
        <w:ind w:left="1134" w:right="101" w:hanging="567"/>
        <w:rPr>
          <w:rFonts w:eastAsia="Cambria"/>
          <w:lang w:val="fr-FR"/>
        </w:rPr>
      </w:pPr>
    </w:p>
    <w:p w:rsidR="006120B0" w:rsidRDefault="006120B0" w:rsidP="00260781">
      <w:pPr>
        <w:tabs>
          <w:tab w:val="left" w:pos="1134"/>
        </w:tabs>
        <w:ind w:left="1134" w:right="-20" w:hanging="567"/>
        <w:rPr>
          <w:rFonts w:eastAsia="Cambria"/>
          <w:lang w:val="fr-FR"/>
        </w:rPr>
      </w:pPr>
      <w:r w:rsidRPr="000969A4">
        <w:rPr>
          <w:rFonts w:eastAsia="Cambria"/>
          <w:lang w:val="fr-FR"/>
        </w:rPr>
        <w:t>e)</w:t>
      </w:r>
      <w:r w:rsidRPr="000969A4">
        <w:rPr>
          <w:rFonts w:eastAsia="Cambria"/>
          <w:lang w:val="fr-FR"/>
        </w:rPr>
        <w:tab/>
        <w:t>élaborer du matériel de formation fondé sur des études de cas pour contribuer à un transfert de technologie plus efficace;</w:t>
      </w:r>
    </w:p>
    <w:p w:rsidR="009C0B7C" w:rsidRPr="000969A4" w:rsidRDefault="009C0B7C" w:rsidP="00260781">
      <w:pPr>
        <w:tabs>
          <w:tab w:val="left" w:pos="1134"/>
        </w:tabs>
        <w:ind w:left="1134" w:right="-20" w:hanging="567"/>
        <w:rPr>
          <w:rFonts w:eastAsia="Cambria"/>
          <w:lang w:val="fr-FR"/>
        </w:rPr>
      </w:pPr>
    </w:p>
    <w:p w:rsidR="006120B0" w:rsidRDefault="006120B0" w:rsidP="00260781">
      <w:pPr>
        <w:tabs>
          <w:tab w:val="left" w:pos="1134"/>
        </w:tabs>
        <w:spacing w:before="3"/>
        <w:ind w:left="1134" w:right="166" w:hanging="567"/>
        <w:rPr>
          <w:rFonts w:eastAsia="Cambria"/>
          <w:lang w:val="fr-FR"/>
        </w:rPr>
      </w:pPr>
      <w:r w:rsidRPr="000969A4">
        <w:rPr>
          <w:rFonts w:eastAsia="Cambria"/>
          <w:lang w:val="fr-FR"/>
        </w:rPr>
        <w:t>f)</w:t>
      </w:r>
      <w:r w:rsidRPr="000969A4">
        <w:rPr>
          <w:rFonts w:eastAsia="Cambria"/>
          <w:lang w:val="fr-FR"/>
        </w:rPr>
        <w:tab/>
        <w:t>sensibiliser l</w:t>
      </w:r>
      <w:r w:rsidR="00A04668">
        <w:rPr>
          <w:rFonts w:eastAsia="Cambria"/>
          <w:lang w:val="fr-FR"/>
        </w:rPr>
        <w:t>’</w:t>
      </w:r>
      <w:r w:rsidRPr="000969A4">
        <w:rPr>
          <w:rFonts w:eastAsia="Cambria"/>
          <w:lang w:val="fr-FR"/>
        </w:rPr>
        <w:t>opinion au rôle essentiel que jouent le cadre de la propriété intellectuelle et l</w:t>
      </w:r>
      <w:r w:rsidR="00A04668">
        <w:rPr>
          <w:rFonts w:eastAsia="Cambria"/>
          <w:lang w:val="fr-FR"/>
        </w:rPr>
        <w:t>’</w:t>
      </w:r>
      <w:r w:rsidRPr="000969A4">
        <w:rPr>
          <w:rFonts w:eastAsia="Cambria"/>
          <w:lang w:val="fr-FR"/>
        </w:rPr>
        <w:t xml:space="preserve">adhésion aux systèmes du PCT, de Madrid et de </w:t>
      </w:r>
      <w:r w:rsidR="00A04668">
        <w:rPr>
          <w:rFonts w:eastAsia="Cambria"/>
          <w:lang w:val="fr-FR"/>
        </w:rPr>
        <w:t>La Haye</w:t>
      </w:r>
      <w:r w:rsidRPr="000969A4">
        <w:rPr>
          <w:rFonts w:eastAsia="Cambria"/>
          <w:lang w:val="fr-FR"/>
        </w:rPr>
        <w:t>, qui sont une condition nécessaire mais non suffisante pour un transfert de technologie efficace;</w:t>
      </w:r>
    </w:p>
    <w:p w:rsidR="009C0B7C" w:rsidRPr="000969A4" w:rsidRDefault="009C0B7C" w:rsidP="00260781">
      <w:pPr>
        <w:tabs>
          <w:tab w:val="left" w:pos="1134"/>
        </w:tabs>
        <w:spacing w:before="3"/>
        <w:ind w:left="1134" w:right="166" w:hanging="567"/>
        <w:rPr>
          <w:rFonts w:eastAsia="Cambria"/>
          <w:lang w:val="fr-FR"/>
        </w:rPr>
      </w:pPr>
    </w:p>
    <w:p w:rsidR="006120B0" w:rsidRDefault="006120B0" w:rsidP="00260781">
      <w:pPr>
        <w:tabs>
          <w:tab w:val="left" w:pos="1134"/>
        </w:tabs>
        <w:ind w:left="1134" w:right="-20" w:hanging="567"/>
        <w:rPr>
          <w:rFonts w:eastAsia="Cambria"/>
          <w:lang w:val="fr-FR"/>
        </w:rPr>
      </w:pPr>
      <w:r w:rsidRPr="000969A4">
        <w:rPr>
          <w:rFonts w:eastAsia="Cambria"/>
          <w:lang w:val="fr-FR"/>
        </w:rPr>
        <w:t>g)</w:t>
      </w:r>
      <w:r w:rsidRPr="000969A4">
        <w:rPr>
          <w:rFonts w:eastAsia="Cambria"/>
          <w:lang w:val="fr-FR"/>
        </w:rPr>
        <w:tab/>
        <w:t>trouver des moyens permettant d</w:t>
      </w:r>
      <w:r w:rsidR="00A04668">
        <w:rPr>
          <w:rFonts w:eastAsia="Cambria"/>
          <w:lang w:val="fr-FR"/>
        </w:rPr>
        <w:t>’</w:t>
      </w:r>
      <w:r w:rsidRPr="000969A4">
        <w:rPr>
          <w:rFonts w:eastAsia="Cambria"/>
          <w:lang w:val="fr-FR"/>
        </w:rPr>
        <w:t>utiliser les droits de propriété intellectuelle issus de la recherche financée par des fonds publics au service du développement socioéconomique et les mettre en œuvre compte tenu des besoins particuliers recensés au niveau local;</w:t>
      </w:r>
    </w:p>
    <w:p w:rsidR="009C0B7C" w:rsidRPr="000969A4" w:rsidRDefault="009C0B7C" w:rsidP="00260781">
      <w:pPr>
        <w:tabs>
          <w:tab w:val="left" w:pos="1134"/>
        </w:tabs>
        <w:ind w:left="1134" w:right="-20" w:hanging="567"/>
        <w:rPr>
          <w:rFonts w:eastAsia="Cambria"/>
          <w:lang w:val="fr-FR"/>
        </w:rPr>
      </w:pPr>
    </w:p>
    <w:p w:rsidR="006120B0" w:rsidRPr="000969A4" w:rsidRDefault="006120B0" w:rsidP="00260781">
      <w:pPr>
        <w:tabs>
          <w:tab w:val="left" w:pos="1134"/>
        </w:tabs>
        <w:spacing w:before="1"/>
        <w:ind w:left="1134" w:right="115" w:hanging="567"/>
        <w:rPr>
          <w:rFonts w:eastAsia="Cambria"/>
          <w:lang w:val="fr-FR"/>
        </w:rPr>
      </w:pPr>
      <w:r w:rsidRPr="000969A4">
        <w:rPr>
          <w:rFonts w:eastAsia="Cambria"/>
          <w:lang w:val="fr-FR"/>
        </w:rPr>
        <w:t>h)</w:t>
      </w:r>
      <w:r w:rsidRPr="000969A4">
        <w:rPr>
          <w:rFonts w:eastAsia="Cambria"/>
          <w:lang w:val="fr-FR"/>
        </w:rPr>
        <w:tab/>
        <w:t>poursuivre les travaux sur le transfert international de technologie, qui sont utiles et devraient être soutenus par le CDIP.</w:t>
      </w:r>
    </w:p>
    <w:p w:rsidR="006120B0" w:rsidRPr="000969A4" w:rsidRDefault="006120B0" w:rsidP="00260781">
      <w:pPr>
        <w:spacing w:before="4"/>
        <w:rPr>
          <w:lang w:val="fr-FR"/>
        </w:rPr>
      </w:pPr>
    </w:p>
    <w:p w:rsidR="006120B0" w:rsidRPr="000969A4" w:rsidRDefault="006120B0" w:rsidP="00260781">
      <w:pPr>
        <w:ind w:right="445"/>
        <w:rPr>
          <w:rFonts w:eastAsia="Cambria"/>
          <w:lang w:val="fr-FR"/>
        </w:rPr>
      </w:pPr>
      <w:r w:rsidRPr="000969A4">
        <w:rPr>
          <w:rFonts w:eastAsia="Cambria"/>
          <w:lang w:val="fr-FR"/>
        </w:rPr>
        <w:t xml:space="preserve">Ce document a été examiné pour la première fois à la </w:t>
      </w:r>
      <w:r w:rsidRPr="000969A4">
        <w:rPr>
          <w:rFonts w:eastAsia="Cambria"/>
          <w:b/>
          <w:lang w:val="fr-FR"/>
        </w:rPr>
        <w:t>quinzième session du </w:t>
      </w:r>
      <w:r w:rsidRPr="000969A4">
        <w:rPr>
          <w:rFonts w:eastAsia="Cambria"/>
          <w:b/>
          <w:bCs/>
          <w:lang w:val="fr-FR"/>
        </w:rPr>
        <w:t>C</w:t>
      </w:r>
      <w:r w:rsidR="0043436D" w:rsidRPr="000969A4">
        <w:rPr>
          <w:rFonts w:eastAsia="Cambria"/>
          <w:b/>
          <w:bCs/>
          <w:lang w:val="fr-FR"/>
        </w:rPr>
        <w:t>DIP</w:t>
      </w:r>
      <w:r w:rsidR="0043436D">
        <w:rPr>
          <w:rFonts w:eastAsia="Cambria"/>
          <w:b/>
          <w:bCs/>
          <w:lang w:val="fr-FR"/>
        </w:rPr>
        <w:t xml:space="preserve">.  </w:t>
      </w:r>
      <w:r w:rsidR="0043436D" w:rsidRPr="000969A4">
        <w:rPr>
          <w:rFonts w:eastAsia="Cambria"/>
          <w:lang w:val="fr-FR"/>
        </w:rPr>
        <w:t>Au</w:t>
      </w:r>
      <w:r w:rsidRPr="000969A4">
        <w:rPr>
          <w:rFonts w:eastAsia="Cambria"/>
          <w:lang w:val="fr-FR"/>
        </w:rPr>
        <w:t>cun consensus n</w:t>
      </w:r>
      <w:r w:rsidR="00A04668">
        <w:rPr>
          <w:rFonts w:eastAsia="Cambria"/>
          <w:lang w:val="fr-FR"/>
        </w:rPr>
        <w:t>’</w:t>
      </w:r>
      <w:r w:rsidRPr="000969A4">
        <w:rPr>
          <w:rFonts w:eastAsia="Cambria"/>
          <w:lang w:val="fr-FR"/>
        </w:rPr>
        <w:t>ayant été trouvé à cet égard, les discussions se sont poursuivies à la seizième session du comité.</w:t>
      </w:r>
    </w:p>
    <w:p w:rsidR="006120B0" w:rsidRPr="000969A4" w:rsidRDefault="006120B0" w:rsidP="00260781">
      <w:pPr>
        <w:spacing w:before="4"/>
        <w:rPr>
          <w:lang w:val="fr-FR"/>
        </w:rPr>
      </w:pPr>
    </w:p>
    <w:p w:rsidR="006120B0" w:rsidRPr="000969A4" w:rsidRDefault="006120B0" w:rsidP="00260781">
      <w:pPr>
        <w:ind w:right="253"/>
        <w:rPr>
          <w:rFonts w:eastAsia="Cambria"/>
          <w:lang w:val="fr-FR"/>
        </w:rPr>
      </w:pPr>
      <w:r w:rsidRPr="000969A4">
        <w:rPr>
          <w:rFonts w:eastAsia="Cambria"/>
          <w:lang w:val="fr-FR"/>
        </w:rPr>
        <w:t xml:space="preserve">À la </w:t>
      </w:r>
      <w:r w:rsidRPr="000969A4">
        <w:rPr>
          <w:rFonts w:eastAsia="Cambria"/>
          <w:b/>
          <w:lang w:val="fr-FR"/>
        </w:rPr>
        <w:t>seizième session du </w:t>
      </w:r>
      <w:r w:rsidRPr="000969A4">
        <w:rPr>
          <w:rFonts w:eastAsia="Cambria"/>
          <w:b/>
          <w:bCs/>
          <w:lang w:val="fr-FR"/>
        </w:rPr>
        <w:t>CDIP</w:t>
      </w:r>
      <w:r w:rsidRPr="000969A4">
        <w:rPr>
          <w:rFonts w:eastAsia="Cambria"/>
          <w:lang w:val="fr-FR"/>
        </w:rPr>
        <w:t xml:space="preserve">, le comité a examiné le </w:t>
      </w:r>
      <w:r w:rsidRPr="000969A4">
        <w:rPr>
          <w:rFonts w:eastAsia="Cambria"/>
          <w:b/>
          <w:bCs/>
          <w:i/>
          <w:lang w:val="fr-FR"/>
        </w:rPr>
        <w:t>Rapport d</w:t>
      </w:r>
      <w:r w:rsidR="00A04668">
        <w:rPr>
          <w:rFonts w:eastAsia="Cambria"/>
          <w:b/>
          <w:bCs/>
          <w:i/>
          <w:lang w:val="fr-FR"/>
        </w:rPr>
        <w:t>’</w:t>
      </w:r>
      <w:r w:rsidRPr="000969A4">
        <w:rPr>
          <w:rFonts w:eastAsia="Cambria"/>
          <w:b/>
          <w:bCs/>
          <w:i/>
          <w:lang w:val="fr-FR"/>
        </w:rPr>
        <w:t>évaluation du projet relatif à la propriété intellectuelle et au transfert de technologie : élaborer des solutions face aux défis communs (document CDIP/16/3)</w:t>
      </w:r>
      <w:r w:rsidRPr="000969A4">
        <w:rPr>
          <w:rFonts w:eastAsia="Cambria"/>
          <w:lang w:val="fr-FR"/>
        </w:rPr>
        <w:t xml:space="preserve">.  Ce rapport, établi par deux évaluateurs extérieurs, contenait un certain nombre de recommandations concrètes, </w:t>
      </w:r>
      <w:r w:rsidR="00A04668">
        <w:rPr>
          <w:rFonts w:eastAsia="Cambria"/>
          <w:lang w:val="fr-FR"/>
        </w:rPr>
        <w:t>y compris</w:t>
      </w:r>
      <w:r w:rsidRPr="000969A4">
        <w:rPr>
          <w:rFonts w:eastAsia="Cambria"/>
          <w:lang w:val="fr-FR"/>
        </w:rPr>
        <w:t xml:space="preserve"> le recensement des activités déjà menées par l</w:t>
      </w:r>
      <w:r w:rsidR="00A04668">
        <w:rPr>
          <w:rFonts w:eastAsia="Cambria"/>
          <w:lang w:val="fr-FR"/>
        </w:rPr>
        <w:t>’</w:t>
      </w:r>
      <w:r w:rsidRPr="000969A4">
        <w:rPr>
          <w:rFonts w:eastAsia="Cambria"/>
          <w:lang w:val="fr-FR"/>
        </w:rPr>
        <w:t>OMPI dans le domaine du transfert de technologie.</w:t>
      </w:r>
    </w:p>
    <w:p w:rsidR="006120B0" w:rsidRPr="000969A4" w:rsidRDefault="006120B0" w:rsidP="00260781">
      <w:pPr>
        <w:spacing w:before="20"/>
        <w:rPr>
          <w:lang w:val="fr-FR"/>
        </w:rPr>
      </w:pPr>
    </w:p>
    <w:p w:rsidR="006120B0" w:rsidRPr="000969A4" w:rsidRDefault="006120B0" w:rsidP="00260781">
      <w:pPr>
        <w:ind w:right="57"/>
        <w:rPr>
          <w:rFonts w:eastAsia="Cambria"/>
          <w:lang w:val="fr-FR"/>
        </w:rPr>
      </w:pPr>
      <w:r w:rsidRPr="000969A4">
        <w:rPr>
          <w:rFonts w:eastAsia="Cambria"/>
          <w:lang w:val="fr-FR"/>
        </w:rPr>
        <w:t xml:space="preserve">À la </w:t>
      </w:r>
      <w:r w:rsidRPr="000969A4">
        <w:rPr>
          <w:rFonts w:eastAsia="Cambria"/>
          <w:b/>
          <w:lang w:val="fr-FR"/>
        </w:rPr>
        <w:t>seizième session du CDIP</w:t>
      </w:r>
      <w:r w:rsidRPr="000969A4">
        <w:rPr>
          <w:rFonts w:eastAsia="Cambria"/>
          <w:lang w:val="fr-FR"/>
        </w:rPr>
        <w:t>, le comité est convenu que, dans un premier temps, le Secrétariat établirait le document dans lequel seraient recensées les activités déjà menées par l</w:t>
      </w:r>
      <w:r w:rsidR="00A04668">
        <w:rPr>
          <w:rFonts w:eastAsia="Cambria"/>
          <w:lang w:val="fr-FR"/>
        </w:rPr>
        <w:t>’</w:t>
      </w:r>
      <w:r w:rsidRPr="000969A4">
        <w:rPr>
          <w:rFonts w:eastAsia="Cambria"/>
          <w:lang w:val="fr-FR"/>
        </w:rPr>
        <w:t>OMPI, pour examen à la session suivante du C</w:t>
      </w:r>
      <w:r w:rsidR="0043436D" w:rsidRPr="000969A4">
        <w:rPr>
          <w:rFonts w:eastAsia="Cambria"/>
          <w:lang w:val="fr-FR"/>
        </w:rPr>
        <w:t>DIP</w:t>
      </w:r>
      <w:r w:rsidR="0043436D">
        <w:rPr>
          <w:rFonts w:eastAsia="Cambria"/>
          <w:lang w:val="fr-FR"/>
        </w:rPr>
        <w:t xml:space="preserve">.  </w:t>
      </w:r>
      <w:r w:rsidR="0043436D" w:rsidRPr="000969A4">
        <w:rPr>
          <w:rFonts w:eastAsia="Cambria"/>
          <w:lang w:val="fr-FR"/>
        </w:rPr>
        <w:t>Ap</w:t>
      </w:r>
      <w:r w:rsidRPr="000969A4">
        <w:rPr>
          <w:rFonts w:eastAsia="Cambria"/>
          <w:lang w:val="fr-FR"/>
        </w:rPr>
        <w:t>rès l</w:t>
      </w:r>
      <w:r w:rsidR="00A04668">
        <w:rPr>
          <w:rFonts w:eastAsia="Cambria"/>
          <w:lang w:val="fr-FR"/>
        </w:rPr>
        <w:t>’</w:t>
      </w:r>
      <w:r w:rsidRPr="000969A4">
        <w:rPr>
          <w:rFonts w:eastAsia="Cambria"/>
          <w:lang w:val="fr-FR"/>
        </w:rPr>
        <w:t>examen de ce document, les États membres pourraient soumettre dans le délai convenu, des propositions relatives à des activités supplémentaires dans le domaine du transfert de technologie pour examen par le CDIP à sa dix</w:t>
      </w:r>
      <w:r w:rsidR="0043436D">
        <w:rPr>
          <w:rFonts w:eastAsia="Cambria"/>
          <w:lang w:val="fr-FR"/>
        </w:rPr>
        <w:noBreakHyphen/>
      </w:r>
      <w:r w:rsidRPr="000969A4">
        <w:rPr>
          <w:rFonts w:eastAsia="Cambria"/>
          <w:lang w:val="fr-FR"/>
        </w:rPr>
        <w:t>huitième session.</w:t>
      </w:r>
    </w:p>
    <w:p w:rsidR="006120B0" w:rsidRPr="000969A4" w:rsidRDefault="006120B0" w:rsidP="00260781">
      <w:pPr>
        <w:rPr>
          <w:lang w:val="fr-FR"/>
        </w:rPr>
      </w:pPr>
    </w:p>
    <w:p w:rsidR="006120B0" w:rsidRPr="000969A4" w:rsidRDefault="006120B0" w:rsidP="00260781">
      <w:pPr>
        <w:ind w:right="99"/>
        <w:rPr>
          <w:rFonts w:eastAsia="Cambria"/>
          <w:lang w:val="fr-FR"/>
        </w:rPr>
      </w:pPr>
      <w:r w:rsidRPr="000969A4">
        <w:rPr>
          <w:rFonts w:eastAsia="Cambria"/>
          <w:lang w:val="fr-FR"/>
        </w:rPr>
        <w:t xml:space="preserve">Le document </w:t>
      </w:r>
      <w:r w:rsidRPr="000969A4">
        <w:rPr>
          <w:rFonts w:eastAsia="Cambria"/>
          <w:b/>
          <w:bCs/>
          <w:i/>
          <w:lang w:val="fr-FR"/>
        </w:rPr>
        <w:t>CDIP/17/9</w:t>
      </w:r>
      <w:r w:rsidRPr="000969A4">
        <w:rPr>
          <w:rFonts w:eastAsia="Cambria"/>
          <w:bCs/>
          <w:i/>
          <w:lang w:val="fr-FR"/>
        </w:rPr>
        <w:t>,</w:t>
      </w:r>
      <w:r w:rsidRPr="000969A4">
        <w:rPr>
          <w:rFonts w:eastAsia="Cambria"/>
          <w:b/>
          <w:bCs/>
          <w:i/>
          <w:lang w:val="fr-FR"/>
        </w:rPr>
        <w:t xml:space="preserve"> </w:t>
      </w:r>
      <w:r w:rsidR="009C0B7C">
        <w:rPr>
          <w:rFonts w:eastAsia="Cambria"/>
          <w:b/>
          <w:bCs/>
          <w:i/>
          <w:lang w:val="fr-FR"/>
        </w:rPr>
        <w:t>“</w:t>
      </w:r>
      <w:r w:rsidRPr="000969A4">
        <w:rPr>
          <w:rFonts w:eastAsia="Cambria"/>
          <w:b/>
          <w:bCs/>
          <w:i/>
          <w:lang w:val="fr-FR"/>
        </w:rPr>
        <w:t>Cartographie des activités relatives au transfert de technologie”</w:t>
      </w:r>
      <w:r w:rsidRPr="000969A4">
        <w:rPr>
          <w:rFonts w:eastAsia="Cambria"/>
          <w:b/>
          <w:bCs/>
          <w:lang w:val="fr-FR"/>
        </w:rPr>
        <w:t xml:space="preserve"> </w:t>
      </w:r>
      <w:r w:rsidRPr="000969A4">
        <w:rPr>
          <w:rFonts w:eastAsia="Cambria"/>
          <w:lang w:val="fr-FR"/>
        </w:rPr>
        <w:t xml:space="preserve">présenté à la </w:t>
      </w:r>
      <w:r w:rsidRPr="000969A4">
        <w:rPr>
          <w:rFonts w:eastAsia="Cambria"/>
          <w:b/>
          <w:lang w:val="fr-FR"/>
        </w:rPr>
        <w:t>dix</w:t>
      </w:r>
      <w:r w:rsidR="0043436D">
        <w:rPr>
          <w:rFonts w:eastAsia="Cambria"/>
          <w:b/>
          <w:lang w:val="fr-FR"/>
        </w:rPr>
        <w:noBreakHyphen/>
      </w:r>
      <w:r w:rsidRPr="000969A4">
        <w:rPr>
          <w:rFonts w:eastAsia="Cambria"/>
          <w:b/>
          <w:lang w:val="fr-FR"/>
        </w:rPr>
        <w:t>septième session du </w:t>
      </w:r>
      <w:r w:rsidRPr="000969A4">
        <w:rPr>
          <w:rFonts w:eastAsia="Cambria"/>
          <w:b/>
          <w:bCs/>
          <w:lang w:val="fr-FR"/>
        </w:rPr>
        <w:t>CDIP</w:t>
      </w:r>
      <w:r w:rsidRPr="000969A4">
        <w:rPr>
          <w:rFonts w:eastAsia="Cambria"/>
          <w:lang w:val="fr-FR"/>
        </w:rPr>
        <w:t>, contenait des informations sur les services et activités dans le domaine du transfert de technologie mis en œuvre par l</w:t>
      </w:r>
      <w:r w:rsidR="00A04668">
        <w:rPr>
          <w:rFonts w:eastAsia="Cambria"/>
          <w:lang w:val="fr-FR"/>
        </w:rPr>
        <w:t>’</w:t>
      </w:r>
      <w:r w:rsidRPr="000969A4">
        <w:rPr>
          <w:rFonts w:eastAsia="Cambria"/>
          <w:lang w:val="fr-FR"/>
        </w:rPr>
        <w:t>OMPI au cours de l</w:t>
      </w:r>
      <w:r w:rsidR="00A04668">
        <w:rPr>
          <w:rFonts w:eastAsia="Cambria"/>
          <w:lang w:val="fr-FR"/>
        </w:rPr>
        <w:t>’</w:t>
      </w:r>
      <w:r w:rsidRPr="000969A4">
        <w:rPr>
          <w:rFonts w:eastAsia="Cambria"/>
          <w:lang w:val="fr-FR"/>
        </w:rPr>
        <w:t>exercice biennal 2014</w:t>
      </w:r>
      <w:r w:rsidR="0043436D">
        <w:rPr>
          <w:rFonts w:eastAsia="Cambria"/>
          <w:lang w:val="fr-FR"/>
        </w:rPr>
        <w:noBreakHyphen/>
      </w:r>
      <w:r w:rsidRPr="000969A4">
        <w:rPr>
          <w:rFonts w:eastAsia="Cambria"/>
          <w:lang w:val="fr-FR"/>
        </w:rPr>
        <w:t>2015.</w:t>
      </w:r>
    </w:p>
    <w:p w:rsidR="006120B0" w:rsidRPr="000969A4" w:rsidRDefault="006120B0" w:rsidP="00260781">
      <w:pPr>
        <w:spacing w:before="20"/>
        <w:rPr>
          <w:lang w:val="fr-FR"/>
        </w:rPr>
      </w:pPr>
    </w:p>
    <w:p w:rsidR="006120B0" w:rsidRPr="000969A4" w:rsidRDefault="006120B0" w:rsidP="00260781">
      <w:pPr>
        <w:ind w:right="-20"/>
        <w:rPr>
          <w:rFonts w:eastAsia="Cambria"/>
          <w:lang w:val="fr-FR"/>
        </w:rPr>
      </w:pPr>
      <w:r w:rsidRPr="000969A4">
        <w:rPr>
          <w:rFonts w:eastAsia="Cambria"/>
          <w:lang w:val="fr-FR"/>
        </w:rPr>
        <w:t>Les services et activités ci</w:t>
      </w:r>
      <w:r w:rsidR="0043436D">
        <w:rPr>
          <w:rFonts w:eastAsia="Cambria"/>
          <w:lang w:val="fr-FR"/>
        </w:rPr>
        <w:noBreakHyphen/>
      </w:r>
      <w:r w:rsidRPr="000969A4">
        <w:rPr>
          <w:rFonts w:eastAsia="Cambria"/>
          <w:lang w:val="fr-FR"/>
        </w:rPr>
        <w:t>après ont été recensés :</w:t>
      </w:r>
    </w:p>
    <w:p w:rsidR="006120B0" w:rsidRPr="000969A4" w:rsidRDefault="006120B0" w:rsidP="00260781">
      <w:pPr>
        <w:spacing w:before="60"/>
        <w:ind w:right="-20"/>
        <w:rPr>
          <w:rFonts w:eastAsia="Cambria"/>
          <w:lang w:val="fr-FR"/>
        </w:rPr>
      </w:pPr>
    </w:p>
    <w:p w:rsidR="006120B0" w:rsidRPr="000969A4" w:rsidRDefault="006120B0" w:rsidP="00260781">
      <w:pPr>
        <w:pStyle w:val="ListParagraph"/>
        <w:widowControl/>
        <w:numPr>
          <w:ilvl w:val="0"/>
          <w:numId w:val="11"/>
        </w:numPr>
        <w:spacing w:before="60" w:after="0" w:line="240" w:lineRule="auto"/>
        <w:ind w:left="1134" w:right="-20" w:hanging="567"/>
        <w:rPr>
          <w:rFonts w:ascii="Arial" w:eastAsia="Cambria" w:hAnsi="Arial" w:cs="Arial"/>
          <w:lang w:val="fr-FR"/>
        </w:rPr>
      </w:pPr>
      <w:r w:rsidRPr="000969A4">
        <w:rPr>
          <w:rFonts w:ascii="Arial" w:eastAsia="Cambria" w:hAnsi="Arial" w:cs="Arial"/>
          <w:lang w:val="fr-FR"/>
        </w:rPr>
        <w:t>services de conseil et programmes relatifs à la création d</w:t>
      </w:r>
      <w:r w:rsidR="00A04668">
        <w:rPr>
          <w:rFonts w:ascii="Arial" w:eastAsia="Cambria" w:hAnsi="Arial" w:cs="Arial"/>
          <w:lang w:val="fr-FR"/>
        </w:rPr>
        <w:t>’</w:t>
      </w:r>
      <w:r w:rsidRPr="000969A4">
        <w:rPr>
          <w:rFonts w:ascii="Arial" w:eastAsia="Cambria" w:hAnsi="Arial" w:cs="Arial"/>
          <w:lang w:val="fr-FR"/>
        </w:rPr>
        <w:t>un cadre juridique favorable au transfert de savoir et de technologie;</w:t>
      </w:r>
    </w:p>
    <w:p w:rsidR="006120B0" w:rsidRPr="000969A4" w:rsidRDefault="006120B0" w:rsidP="00260781">
      <w:pPr>
        <w:spacing w:before="3"/>
        <w:ind w:left="1134" w:hanging="567"/>
        <w:rPr>
          <w:lang w:val="fr-FR"/>
        </w:rPr>
      </w:pPr>
    </w:p>
    <w:p w:rsidR="006120B0" w:rsidRPr="000969A4" w:rsidRDefault="006120B0" w:rsidP="00260781">
      <w:pPr>
        <w:pStyle w:val="ListParagraph"/>
        <w:widowControl/>
        <w:numPr>
          <w:ilvl w:val="0"/>
          <w:numId w:val="11"/>
        </w:numPr>
        <w:spacing w:after="0" w:line="240" w:lineRule="auto"/>
        <w:ind w:left="1134" w:right="-20" w:hanging="567"/>
        <w:rPr>
          <w:rFonts w:ascii="Arial" w:eastAsia="Cambria" w:hAnsi="Arial" w:cs="Arial"/>
          <w:lang w:val="fr-FR"/>
        </w:rPr>
      </w:pPr>
      <w:r w:rsidRPr="000969A4">
        <w:rPr>
          <w:rFonts w:ascii="Arial" w:eastAsia="Cambria" w:hAnsi="Arial" w:cs="Arial"/>
          <w:lang w:val="fr-FR"/>
        </w:rPr>
        <w:lastRenderedPageBreak/>
        <w:t>mise en place de structures organisationnelles pour le transfert de savoir et de technologie;</w:t>
      </w:r>
    </w:p>
    <w:p w:rsidR="006120B0" w:rsidRPr="000969A4" w:rsidRDefault="006120B0" w:rsidP="00260781">
      <w:pPr>
        <w:ind w:left="1134" w:hanging="567"/>
        <w:rPr>
          <w:lang w:val="fr-FR"/>
        </w:rPr>
      </w:pPr>
    </w:p>
    <w:p w:rsidR="006120B0" w:rsidRPr="000969A4" w:rsidRDefault="006120B0" w:rsidP="00260781">
      <w:pPr>
        <w:pStyle w:val="ListParagraph"/>
        <w:widowControl/>
        <w:numPr>
          <w:ilvl w:val="0"/>
          <w:numId w:val="11"/>
        </w:numPr>
        <w:spacing w:after="0" w:line="240" w:lineRule="auto"/>
        <w:ind w:left="1134" w:right="1548" w:hanging="567"/>
        <w:rPr>
          <w:rFonts w:ascii="Arial" w:eastAsia="Cambria" w:hAnsi="Arial" w:cs="Arial"/>
          <w:lang w:val="fr-FR"/>
        </w:rPr>
      </w:pPr>
      <w:r w:rsidRPr="000969A4">
        <w:rPr>
          <w:rFonts w:ascii="Arial" w:eastAsia="Cambria" w:hAnsi="Arial" w:cs="Arial"/>
          <w:lang w:val="fr-FR"/>
        </w:rPr>
        <w:t>mise en valeur du capital humain – programmes de renforcement des capacités;</w:t>
      </w:r>
    </w:p>
    <w:p w:rsidR="006120B0" w:rsidRPr="000969A4" w:rsidRDefault="006120B0" w:rsidP="00260781">
      <w:pPr>
        <w:ind w:left="1134" w:right="1548" w:hanging="567"/>
        <w:rPr>
          <w:rFonts w:eastAsia="Cambria"/>
          <w:lang w:val="fr-FR"/>
        </w:rPr>
      </w:pPr>
    </w:p>
    <w:p w:rsidR="006120B0" w:rsidRPr="000969A4" w:rsidRDefault="009C0B7C" w:rsidP="00260781">
      <w:pPr>
        <w:ind w:left="1134" w:right="1548" w:hanging="567"/>
        <w:rPr>
          <w:rFonts w:eastAsia="Cambria"/>
          <w:lang w:val="fr-FR"/>
        </w:rPr>
      </w:pPr>
      <w:r>
        <w:rPr>
          <w:rFonts w:eastAsia="Cambria"/>
          <w:lang w:val="fr-FR"/>
        </w:rPr>
        <w:t>d)</w:t>
      </w:r>
      <w:r>
        <w:rPr>
          <w:rFonts w:eastAsia="Cambria"/>
          <w:lang w:val="fr-FR"/>
        </w:rPr>
        <w:tab/>
      </w:r>
      <w:r w:rsidR="006120B0" w:rsidRPr="000969A4">
        <w:rPr>
          <w:rFonts w:eastAsia="Cambria"/>
          <w:lang w:val="fr-FR"/>
        </w:rPr>
        <w:t>élaboration d</w:t>
      </w:r>
      <w:r w:rsidR="00A04668">
        <w:rPr>
          <w:rFonts w:eastAsia="Cambria"/>
          <w:lang w:val="fr-FR"/>
        </w:rPr>
        <w:t>’</w:t>
      </w:r>
      <w:r w:rsidR="006120B0" w:rsidRPr="000969A4">
        <w:rPr>
          <w:rFonts w:eastAsia="Cambria"/>
          <w:lang w:val="fr-FR"/>
        </w:rPr>
        <w:t>outils, de manuels et de supports de formation;</w:t>
      </w:r>
    </w:p>
    <w:p w:rsidR="006120B0" w:rsidRPr="000969A4" w:rsidRDefault="006120B0" w:rsidP="00260781">
      <w:pPr>
        <w:ind w:left="1134" w:right="1548" w:hanging="567"/>
        <w:rPr>
          <w:rFonts w:eastAsia="Cambria"/>
          <w:lang w:val="fr-FR"/>
        </w:rPr>
      </w:pPr>
    </w:p>
    <w:p w:rsidR="006120B0" w:rsidRPr="000969A4" w:rsidRDefault="006120B0" w:rsidP="00260781">
      <w:pPr>
        <w:pStyle w:val="ListParagraph"/>
        <w:widowControl/>
        <w:numPr>
          <w:ilvl w:val="0"/>
          <w:numId w:val="12"/>
        </w:numPr>
        <w:spacing w:after="0" w:line="240" w:lineRule="auto"/>
        <w:ind w:left="1134" w:right="-20" w:hanging="567"/>
        <w:rPr>
          <w:rFonts w:ascii="Arial" w:eastAsia="Cambria" w:hAnsi="Arial" w:cs="Arial"/>
          <w:lang w:val="fr-FR"/>
        </w:rPr>
      </w:pPr>
      <w:r w:rsidRPr="000969A4">
        <w:rPr>
          <w:rFonts w:ascii="Arial" w:eastAsia="Cambria" w:hAnsi="Arial" w:cs="Arial"/>
          <w:lang w:val="fr-FR"/>
        </w:rPr>
        <w:t>comités permanents de l</w:t>
      </w:r>
      <w:r w:rsidR="00A04668">
        <w:rPr>
          <w:rFonts w:ascii="Arial" w:eastAsia="Cambria" w:hAnsi="Arial" w:cs="Arial"/>
          <w:lang w:val="fr-FR"/>
        </w:rPr>
        <w:t>’</w:t>
      </w:r>
      <w:r w:rsidRPr="000969A4">
        <w:rPr>
          <w:rFonts w:ascii="Arial" w:eastAsia="Cambria" w:hAnsi="Arial" w:cs="Arial"/>
          <w:lang w:val="fr-FR"/>
        </w:rPr>
        <w:t>OMPI qui traitent des questions de transfert de technologie;</w:t>
      </w:r>
    </w:p>
    <w:p w:rsidR="006120B0" w:rsidRPr="000969A4" w:rsidRDefault="006120B0" w:rsidP="00260781">
      <w:pPr>
        <w:spacing w:before="7"/>
        <w:ind w:left="1134" w:hanging="567"/>
        <w:rPr>
          <w:lang w:val="fr-FR"/>
        </w:rPr>
      </w:pPr>
    </w:p>
    <w:p w:rsidR="006120B0" w:rsidRPr="000969A4" w:rsidRDefault="006120B0" w:rsidP="00260781">
      <w:pPr>
        <w:pStyle w:val="ListParagraph"/>
        <w:widowControl/>
        <w:numPr>
          <w:ilvl w:val="0"/>
          <w:numId w:val="12"/>
        </w:numPr>
        <w:tabs>
          <w:tab w:val="left" w:pos="1418"/>
        </w:tabs>
        <w:spacing w:after="0" w:line="240" w:lineRule="auto"/>
        <w:ind w:left="1134" w:right="1247" w:hanging="567"/>
        <w:rPr>
          <w:rFonts w:ascii="Arial" w:eastAsia="Cambria" w:hAnsi="Arial" w:cs="Arial"/>
          <w:lang w:val="fr-FR"/>
        </w:rPr>
      </w:pPr>
      <w:r w:rsidRPr="000969A4">
        <w:rPr>
          <w:rFonts w:ascii="Arial" w:eastAsia="Cambria" w:hAnsi="Arial" w:cs="Arial"/>
          <w:lang w:val="fr-FR"/>
        </w:rPr>
        <w:t>collaborations facilitées par l</w:t>
      </w:r>
      <w:r w:rsidR="00A04668">
        <w:rPr>
          <w:rFonts w:ascii="Arial" w:eastAsia="Cambria" w:hAnsi="Arial" w:cs="Arial"/>
          <w:lang w:val="fr-FR"/>
        </w:rPr>
        <w:t>’</w:t>
      </w:r>
      <w:r w:rsidRPr="000969A4">
        <w:rPr>
          <w:rFonts w:ascii="Arial" w:eastAsia="Cambria" w:hAnsi="Arial" w:cs="Arial"/>
          <w:lang w:val="fr-FR"/>
        </w:rPr>
        <w:t>OMPI dans certains domaines du transfert de savoir et de technologie;</w:t>
      </w:r>
    </w:p>
    <w:p w:rsidR="006120B0" w:rsidRPr="000969A4" w:rsidRDefault="006120B0" w:rsidP="00260781">
      <w:pPr>
        <w:spacing w:before="20"/>
        <w:ind w:left="1134" w:hanging="567"/>
        <w:rPr>
          <w:lang w:val="fr-FR"/>
        </w:rPr>
      </w:pPr>
    </w:p>
    <w:p w:rsidR="006120B0" w:rsidRPr="000969A4" w:rsidRDefault="006120B0" w:rsidP="00260781">
      <w:pPr>
        <w:pStyle w:val="ListParagraph"/>
        <w:widowControl/>
        <w:numPr>
          <w:ilvl w:val="0"/>
          <w:numId w:val="12"/>
        </w:numPr>
        <w:tabs>
          <w:tab w:val="left" w:pos="1418"/>
        </w:tabs>
        <w:spacing w:after="0" w:line="240" w:lineRule="auto"/>
        <w:ind w:left="1134" w:right="-20" w:hanging="567"/>
        <w:rPr>
          <w:rFonts w:ascii="Arial" w:eastAsia="Cambria" w:hAnsi="Arial" w:cs="Arial"/>
          <w:lang w:val="fr-FR"/>
        </w:rPr>
      </w:pPr>
      <w:r w:rsidRPr="000969A4">
        <w:rPr>
          <w:rFonts w:ascii="Arial" w:eastAsia="Cambria" w:hAnsi="Arial" w:cs="Arial"/>
          <w:lang w:val="fr-FR"/>
        </w:rPr>
        <w:t>participation de l</w:t>
      </w:r>
      <w:r w:rsidR="00A04668">
        <w:rPr>
          <w:rFonts w:ascii="Arial" w:eastAsia="Cambria" w:hAnsi="Arial" w:cs="Arial"/>
          <w:lang w:val="fr-FR"/>
        </w:rPr>
        <w:t>’</w:t>
      </w:r>
      <w:r w:rsidRPr="000969A4">
        <w:rPr>
          <w:rFonts w:ascii="Arial" w:eastAsia="Cambria" w:hAnsi="Arial" w:cs="Arial"/>
          <w:lang w:val="fr-FR"/>
        </w:rPr>
        <w:t>OMPI aux instances compétentes en matière de transfert de savoir;  et</w:t>
      </w:r>
    </w:p>
    <w:p w:rsidR="006120B0" w:rsidRPr="000969A4" w:rsidRDefault="006120B0" w:rsidP="00260781">
      <w:pPr>
        <w:ind w:left="1134" w:hanging="567"/>
        <w:rPr>
          <w:lang w:val="fr-FR"/>
        </w:rPr>
      </w:pPr>
    </w:p>
    <w:p w:rsidR="006120B0" w:rsidRPr="000969A4" w:rsidRDefault="006120B0" w:rsidP="00260781">
      <w:pPr>
        <w:pStyle w:val="ListParagraph"/>
        <w:widowControl/>
        <w:numPr>
          <w:ilvl w:val="0"/>
          <w:numId w:val="12"/>
        </w:numPr>
        <w:spacing w:after="0" w:line="240" w:lineRule="auto"/>
        <w:ind w:left="1134" w:right="-20" w:hanging="567"/>
        <w:rPr>
          <w:rFonts w:ascii="Arial" w:eastAsia="Cambria" w:hAnsi="Arial" w:cs="Arial"/>
          <w:lang w:val="fr-FR"/>
        </w:rPr>
      </w:pPr>
      <w:r w:rsidRPr="000969A4">
        <w:rPr>
          <w:rFonts w:ascii="Arial" w:eastAsia="Cambria" w:hAnsi="Arial" w:cs="Arial"/>
          <w:lang w:val="fr-FR"/>
        </w:rPr>
        <w:t>recherche économique et études sur les politiques et les résultats en matière de transfert de technologie.</w:t>
      </w:r>
    </w:p>
    <w:p w:rsidR="006120B0" w:rsidRPr="000969A4" w:rsidRDefault="006120B0" w:rsidP="00260781">
      <w:pPr>
        <w:spacing w:before="7"/>
        <w:rPr>
          <w:lang w:val="fr-FR"/>
        </w:rPr>
      </w:pPr>
    </w:p>
    <w:p w:rsidR="006120B0" w:rsidRPr="000969A4" w:rsidRDefault="006120B0" w:rsidP="00260781">
      <w:pPr>
        <w:ind w:right="374"/>
        <w:rPr>
          <w:rFonts w:eastAsia="Cambria"/>
          <w:lang w:val="fr-FR"/>
        </w:rPr>
      </w:pPr>
      <w:r w:rsidRPr="000969A4">
        <w:rPr>
          <w:rFonts w:eastAsia="Cambria"/>
          <w:lang w:val="fr-FR"/>
        </w:rPr>
        <w:t>Il ressort du document que l</w:t>
      </w:r>
      <w:r w:rsidR="00A04668">
        <w:rPr>
          <w:rFonts w:eastAsia="Cambria"/>
          <w:lang w:val="fr-FR"/>
        </w:rPr>
        <w:t>’</w:t>
      </w:r>
      <w:r w:rsidRPr="000969A4">
        <w:rPr>
          <w:rFonts w:eastAsia="Cambria"/>
          <w:lang w:val="fr-FR"/>
        </w:rPr>
        <w:t>OMPI est activement engagée dans un large éventail d</w:t>
      </w:r>
      <w:r w:rsidR="00A04668">
        <w:rPr>
          <w:rFonts w:eastAsia="Cambria"/>
          <w:lang w:val="fr-FR"/>
        </w:rPr>
        <w:t>’</w:t>
      </w:r>
      <w:r w:rsidRPr="000969A4">
        <w:rPr>
          <w:rFonts w:eastAsia="Cambria"/>
          <w:lang w:val="fr-FR"/>
        </w:rPr>
        <w:t>activités dans le domaine du transfert de technologie au bénéfice aussi bien des pays les moins avancés et des pays en développement que des pays en transition.</w:t>
      </w:r>
    </w:p>
    <w:p w:rsidR="00C65C0F" w:rsidRPr="000969A4" w:rsidRDefault="00C65C0F" w:rsidP="00260781">
      <w:pPr>
        <w:rPr>
          <w:lang w:val="fr-FR"/>
        </w:rPr>
      </w:pPr>
    </w:p>
    <w:p w:rsidR="006B0FC8" w:rsidRPr="000969A4" w:rsidRDefault="006B0FC8" w:rsidP="00260781">
      <w:pPr>
        <w:rPr>
          <w:lang w:val="fr-FR"/>
        </w:rPr>
      </w:pPr>
    </w:p>
    <w:p w:rsidR="006B0FC8" w:rsidRPr="000969A4" w:rsidRDefault="006B0FC8" w:rsidP="00260781">
      <w:pPr>
        <w:rPr>
          <w:lang w:val="fr-FR"/>
        </w:rPr>
      </w:pPr>
    </w:p>
    <w:p w:rsidR="006B0FC8" w:rsidRPr="000969A4" w:rsidRDefault="006B0FC8" w:rsidP="00260781">
      <w:pPr>
        <w:pStyle w:val="Endofdocument-Annex"/>
        <w:rPr>
          <w:lang w:val="fr-FR"/>
        </w:rPr>
      </w:pPr>
      <w:r w:rsidRPr="000969A4">
        <w:rPr>
          <w:lang w:val="fr-FR"/>
        </w:rPr>
        <w:t>[</w:t>
      </w:r>
      <w:r w:rsidR="009C0B7C">
        <w:rPr>
          <w:lang w:val="fr-FR"/>
        </w:rPr>
        <w:t>L</w:t>
      </w:r>
      <w:r w:rsidR="00A04668">
        <w:rPr>
          <w:lang w:val="fr-FR"/>
        </w:rPr>
        <w:t>’</w:t>
      </w:r>
      <w:r w:rsidR="006120B0" w:rsidRPr="000969A4">
        <w:rPr>
          <w:lang w:val="fr-FR"/>
        </w:rPr>
        <w:t>a</w:t>
      </w:r>
      <w:r w:rsidRPr="000969A4">
        <w:rPr>
          <w:lang w:val="fr-FR"/>
        </w:rPr>
        <w:t>nnex</w:t>
      </w:r>
      <w:r w:rsidR="006120B0" w:rsidRPr="000969A4">
        <w:rPr>
          <w:lang w:val="fr-FR"/>
        </w:rPr>
        <w:t>e</w:t>
      </w:r>
      <w:r w:rsidR="009C0B7C">
        <w:rPr>
          <w:lang w:val="fr-FR"/>
        </w:rPr>
        <w:t> </w:t>
      </w:r>
      <w:r w:rsidRPr="000969A4">
        <w:rPr>
          <w:lang w:val="fr-FR"/>
        </w:rPr>
        <w:t xml:space="preserve">II </w:t>
      </w:r>
      <w:r w:rsidR="006120B0" w:rsidRPr="000969A4">
        <w:rPr>
          <w:lang w:val="fr-FR"/>
        </w:rPr>
        <w:t>suit</w:t>
      </w:r>
      <w:r w:rsidRPr="000969A4">
        <w:rPr>
          <w:lang w:val="fr-FR"/>
        </w:rPr>
        <w:t>]</w:t>
      </w:r>
    </w:p>
    <w:p w:rsidR="006B0FC8" w:rsidRPr="000969A4" w:rsidRDefault="006B0FC8" w:rsidP="00260781">
      <w:pPr>
        <w:rPr>
          <w:lang w:val="fr-FR"/>
        </w:rPr>
        <w:sectPr w:rsidR="006B0FC8" w:rsidRPr="000969A4" w:rsidSect="000969A4">
          <w:headerReference w:type="default" r:id="rId12"/>
          <w:headerReference w:type="first" r:id="rId13"/>
          <w:footerReference w:type="first" r:id="rId14"/>
          <w:pgSz w:w="11907" w:h="16840" w:code="9"/>
          <w:pgMar w:top="567" w:right="1134" w:bottom="1418" w:left="1418" w:header="510" w:footer="1021" w:gutter="0"/>
          <w:pgNumType w:start="1"/>
          <w:cols w:space="720"/>
          <w:titlePg/>
          <w:docGrid w:linePitch="299"/>
        </w:sectPr>
      </w:pPr>
    </w:p>
    <w:p w:rsidR="00260781" w:rsidRDefault="00260781" w:rsidP="00260781">
      <w:pPr>
        <w:rPr>
          <w:b/>
          <w:caps/>
          <w:u w:val="single"/>
          <w:lang w:val="fr-FR"/>
        </w:rPr>
      </w:pPr>
      <w:r>
        <w:rPr>
          <w:b/>
          <w:caps/>
          <w:u w:val="single"/>
          <w:lang w:val="fr-FR"/>
        </w:rPr>
        <w:lastRenderedPageBreak/>
        <w:t>proposition de la délégation de l’Afrique du Sud</w:t>
      </w:r>
    </w:p>
    <w:p w:rsidR="00260781" w:rsidRDefault="00260781" w:rsidP="00260781">
      <w:pPr>
        <w:rPr>
          <w:b/>
          <w:caps/>
          <w:u w:val="single"/>
          <w:lang w:val="fr-FR"/>
        </w:rPr>
      </w:pPr>
    </w:p>
    <w:p w:rsidR="006120B0" w:rsidRPr="000969A4" w:rsidRDefault="006120B0" w:rsidP="00260781">
      <w:pPr>
        <w:rPr>
          <w:b/>
          <w:caps/>
          <w:u w:val="single"/>
          <w:lang w:val="fr-FR"/>
        </w:rPr>
      </w:pPr>
      <w:r w:rsidRPr="000969A4">
        <w:rPr>
          <w:b/>
          <w:caps/>
          <w:u w:val="single"/>
          <w:lang w:val="fr-FR"/>
        </w:rPr>
        <w:t>Proposition relative aux activités de l</w:t>
      </w:r>
      <w:r w:rsidR="00A04668">
        <w:rPr>
          <w:b/>
          <w:caps/>
          <w:u w:val="single"/>
          <w:lang w:val="fr-FR"/>
        </w:rPr>
        <w:t>’</w:t>
      </w:r>
      <w:r w:rsidRPr="000969A4">
        <w:rPr>
          <w:b/>
          <w:caps/>
          <w:u w:val="single"/>
          <w:lang w:val="fr-FR"/>
        </w:rPr>
        <w:t>OMPI dans le domaine du transfert de technologie</w:t>
      </w:r>
    </w:p>
    <w:p w:rsidR="006120B0" w:rsidRPr="000969A4" w:rsidRDefault="006120B0" w:rsidP="00260781">
      <w:pPr>
        <w:rPr>
          <w:b/>
          <w:bCs/>
          <w:lang w:val="fr-FR"/>
        </w:rPr>
      </w:pPr>
    </w:p>
    <w:p w:rsidR="006120B0" w:rsidRPr="000969A4" w:rsidRDefault="006120B0" w:rsidP="00260781">
      <w:pPr>
        <w:rPr>
          <w:b/>
          <w:bCs/>
          <w:lang w:val="fr-FR"/>
        </w:rPr>
      </w:pPr>
      <w:r w:rsidRPr="000969A4">
        <w:rPr>
          <w:b/>
          <w:bCs/>
          <w:lang w:val="fr-FR"/>
        </w:rPr>
        <w:t xml:space="preserve">RECOMMANDATIONS </w:t>
      </w:r>
      <w:r w:rsidR="009C0B7C">
        <w:rPr>
          <w:b/>
          <w:bCs/>
          <w:lang w:val="fr-FR"/>
        </w:rPr>
        <w:t>N</w:t>
      </w:r>
      <w:r w:rsidR="009C0B7C" w:rsidRPr="009C0B7C">
        <w:rPr>
          <w:b/>
          <w:bCs/>
          <w:vertAlign w:val="superscript"/>
          <w:lang w:val="fr-FR"/>
        </w:rPr>
        <w:t>OS</w:t>
      </w:r>
      <w:r w:rsidR="009C0B7C" w:rsidRPr="006A653A">
        <w:rPr>
          <w:lang w:val="fr-CH"/>
        </w:rPr>
        <w:t> </w:t>
      </w:r>
      <w:r w:rsidR="009C0B7C">
        <w:rPr>
          <w:b/>
          <w:bCs/>
          <w:lang w:val="fr-FR"/>
        </w:rPr>
        <w:t>1, 10, 12, 23, 25, 31 ET </w:t>
      </w:r>
      <w:r w:rsidRPr="000969A4">
        <w:rPr>
          <w:b/>
          <w:bCs/>
          <w:lang w:val="fr-FR"/>
        </w:rPr>
        <w:t>40 DU PLAN D</w:t>
      </w:r>
      <w:r w:rsidR="00A04668">
        <w:rPr>
          <w:b/>
          <w:bCs/>
          <w:lang w:val="fr-FR"/>
        </w:rPr>
        <w:t>’</w:t>
      </w:r>
      <w:r w:rsidRPr="000969A4">
        <w:rPr>
          <w:b/>
          <w:bCs/>
          <w:lang w:val="fr-FR"/>
        </w:rPr>
        <w:t>ACTION POUR LE DÉVELOPPEMENT</w:t>
      </w:r>
    </w:p>
    <w:p w:rsidR="006120B0" w:rsidRPr="000969A4" w:rsidRDefault="006120B0" w:rsidP="00260781">
      <w:pPr>
        <w:rPr>
          <w:bCs/>
          <w:lang w:val="fr-FR"/>
        </w:rPr>
      </w:pPr>
    </w:p>
    <w:p w:rsidR="006120B0" w:rsidRPr="000969A4" w:rsidRDefault="006120B0" w:rsidP="00260781">
      <w:pPr>
        <w:rPr>
          <w:b/>
          <w:bC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120B0" w:rsidRPr="000969A4" w:rsidTr="008E4708">
        <w:trPr>
          <w:trHeight w:val="824"/>
        </w:trPr>
        <w:tc>
          <w:tcPr>
            <w:tcW w:w="9288" w:type="dxa"/>
            <w:gridSpan w:val="2"/>
          </w:tcPr>
          <w:p w:rsidR="006120B0" w:rsidRPr="000969A4" w:rsidRDefault="006120B0" w:rsidP="00260781">
            <w:pPr>
              <w:rPr>
                <w:bCs/>
                <w:iCs/>
                <w:lang w:val="fr-FR"/>
              </w:rPr>
            </w:pPr>
          </w:p>
          <w:p w:rsidR="006120B0" w:rsidRPr="000969A4" w:rsidRDefault="006120B0" w:rsidP="00260781">
            <w:pPr>
              <w:ind w:left="567" w:hanging="567"/>
              <w:rPr>
                <w:bCs/>
                <w:iCs/>
                <w:lang w:val="fr-FR"/>
              </w:rPr>
            </w:pPr>
            <w:r w:rsidRPr="000969A4">
              <w:rPr>
                <w:bCs/>
                <w:iCs/>
                <w:lang w:val="fr-FR"/>
              </w:rPr>
              <w:t>1.</w:t>
            </w:r>
            <w:r w:rsidRPr="000969A4">
              <w:rPr>
                <w:bCs/>
                <w:iCs/>
                <w:lang w:val="fr-FR"/>
              </w:rPr>
              <w:tab/>
            </w:r>
            <w:r w:rsidRPr="000969A4">
              <w:rPr>
                <w:lang w:val="fr-FR"/>
              </w:rPr>
              <w:t>RÉSUMÉ</w:t>
            </w:r>
          </w:p>
          <w:p w:rsidR="006120B0" w:rsidRPr="000969A4" w:rsidRDefault="006120B0" w:rsidP="00260781">
            <w:pPr>
              <w:rPr>
                <w:bCs/>
                <w:iCs/>
                <w:lang w:val="fr-FR"/>
              </w:rPr>
            </w:pPr>
          </w:p>
        </w:tc>
      </w:tr>
      <w:tr w:rsidR="006120B0" w:rsidRPr="006A653A" w:rsidTr="008E4708">
        <w:tc>
          <w:tcPr>
            <w:tcW w:w="2376" w:type="dxa"/>
          </w:tcPr>
          <w:p w:rsidR="006120B0" w:rsidRPr="000969A4" w:rsidRDefault="006120B0" w:rsidP="00260781">
            <w:pPr>
              <w:rPr>
                <w:u w:val="single"/>
                <w:lang w:val="fr-FR"/>
              </w:rPr>
            </w:pPr>
          </w:p>
          <w:p w:rsidR="006120B0" w:rsidRPr="000969A4" w:rsidRDefault="006120B0" w:rsidP="00260781">
            <w:pPr>
              <w:rPr>
                <w:u w:val="single"/>
                <w:lang w:val="fr-FR"/>
              </w:rPr>
            </w:pPr>
            <w:r w:rsidRPr="000969A4">
              <w:rPr>
                <w:u w:val="single"/>
                <w:lang w:val="fr-FR"/>
              </w:rPr>
              <w:t>Titre</w:t>
            </w:r>
          </w:p>
          <w:p w:rsidR="006120B0" w:rsidRPr="000969A4" w:rsidRDefault="006120B0" w:rsidP="00260781">
            <w:pPr>
              <w:rPr>
                <w:b/>
                <w:lang w:val="fr-FR"/>
              </w:rPr>
            </w:pPr>
          </w:p>
        </w:tc>
        <w:tc>
          <w:tcPr>
            <w:tcW w:w="6912" w:type="dxa"/>
          </w:tcPr>
          <w:p w:rsidR="006120B0" w:rsidRPr="000969A4" w:rsidRDefault="006120B0" w:rsidP="00260781">
            <w:pPr>
              <w:rPr>
                <w:lang w:val="fr-FR"/>
              </w:rPr>
            </w:pPr>
          </w:p>
          <w:p w:rsidR="006120B0" w:rsidRPr="009C0B7C" w:rsidRDefault="006120B0" w:rsidP="00260781">
            <w:pPr>
              <w:jc w:val="both"/>
              <w:rPr>
                <w:i/>
                <w:lang w:val="fr-FR"/>
              </w:rPr>
            </w:pPr>
            <w:r w:rsidRPr="009C0B7C">
              <w:rPr>
                <w:i/>
                <w:lang w:val="fr-FR"/>
              </w:rPr>
              <w:t>Gestion de la propriété intellectuelle et transfert de technologie : promouvoir l</w:t>
            </w:r>
            <w:r w:rsidR="00A04668">
              <w:rPr>
                <w:i/>
                <w:lang w:val="fr-FR"/>
              </w:rPr>
              <w:t>’</w:t>
            </w:r>
            <w:r w:rsidRPr="009C0B7C">
              <w:rPr>
                <w:i/>
                <w:lang w:val="fr-FR"/>
              </w:rPr>
              <w:t>utilisation efficace de la propriété intellectuelle</w:t>
            </w:r>
            <w:r w:rsidR="009C0B7C" w:rsidRPr="009C0B7C">
              <w:rPr>
                <w:i/>
                <w:lang w:val="fr-FR"/>
              </w:rPr>
              <w:t xml:space="preserve"> dans les pays en développement</w:t>
            </w:r>
          </w:p>
          <w:p w:rsidR="006120B0" w:rsidRPr="000969A4" w:rsidRDefault="006120B0" w:rsidP="00260781">
            <w:pPr>
              <w:jc w:val="both"/>
              <w:rPr>
                <w:caps/>
                <w:lang w:val="fr-FR"/>
              </w:rPr>
            </w:pPr>
          </w:p>
        </w:tc>
      </w:tr>
      <w:tr w:rsidR="006120B0" w:rsidRPr="006A653A" w:rsidTr="008E4708">
        <w:tc>
          <w:tcPr>
            <w:tcW w:w="2376" w:type="dxa"/>
          </w:tcPr>
          <w:p w:rsidR="006120B0" w:rsidRPr="000969A4" w:rsidRDefault="006120B0" w:rsidP="00260781">
            <w:pPr>
              <w:rPr>
                <w:bCs/>
                <w:u w:val="single"/>
                <w:lang w:val="fr-FR"/>
              </w:rPr>
            </w:pPr>
          </w:p>
          <w:p w:rsidR="006120B0" w:rsidRPr="000969A4" w:rsidRDefault="006120B0" w:rsidP="00260781">
            <w:pPr>
              <w:rPr>
                <w:u w:val="single"/>
                <w:lang w:val="fr-FR"/>
              </w:rPr>
            </w:pPr>
            <w:r w:rsidRPr="000969A4">
              <w:rPr>
                <w:bCs/>
                <w:u w:val="single"/>
                <w:lang w:val="fr-FR"/>
              </w:rPr>
              <w:t>Recommandations du Plan d</w:t>
            </w:r>
            <w:r w:rsidR="00A04668">
              <w:rPr>
                <w:bCs/>
                <w:u w:val="single"/>
                <w:lang w:val="fr-FR"/>
              </w:rPr>
              <w:t>’</w:t>
            </w:r>
            <w:r w:rsidRPr="000969A4">
              <w:rPr>
                <w:bCs/>
                <w:u w:val="single"/>
                <w:lang w:val="fr-FR"/>
              </w:rPr>
              <w:t>action pour le développement</w:t>
            </w:r>
          </w:p>
          <w:p w:rsidR="006120B0" w:rsidRPr="000969A4" w:rsidRDefault="006120B0" w:rsidP="00260781">
            <w:pPr>
              <w:rPr>
                <w:b/>
                <w:lang w:val="fr-FR"/>
              </w:rPr>
            </w:pPr>
          </w:p>
        </w:tc>
        <w:tc>
          <w:tcPr>
            <w:tcW w:w="6912" w:type="dxa"/>
          </w:tcPr>
          <w:p w:rsidR="006120B0" w:rsidRPr="000969A4" w:rsidRDefault="006120B0" w:rsidP="00260781">
            <w:pPr>
              <w:rPr>
                <w:i/>
                <w:lang w:val="fr-FR"/>
              </w:rPr>
            </w:pPr>
          </w:p>
          <w:p w:rsidR="006120B0" w:rsidRPr="000969A4" w:rsidRDefault="006120B0" w:rsidP="00260781">
            <w:pPr>
              <w:pStyle w:val="Default"/>
              <w:rPr>
                <w:rFonts w:eastAsia="SimSun"/>
                <w:sz w:val="22"/>
                <w:szCs w:val="22"/>
                <w:lang w:val="fr-FR" w:eastAsia="zh-CN"/>
              </w:rPr>
            </w:pPr>
            <w:r w:rsidRPr="000969A4">
              <w:rPr>
                <w:i/>
                <w:iCs/>
                <w:sz w:val="22"/>
                <w:szCs w:val="22"/>
                <w:lang w:val="fr-FR"/>
              </w:rPr>
              <w:t>Recommandation n° 1 </w:t>
            </w:r>
            <w:r w:rsidRPr="000969A4">
              <w:rPr>
                <w:i/>
                <w:sz w:val="22"/>
                <w:szCs w:val="22"/>
                <w:lang w:val="fr-FR"/>
              </w:rPr>
              <w:t>:</w:t>
            </w:r>
            <w:r w:rsidRPr="000969A4">
              <w:rPr>
                <w:sz w:val="22"/>
                <w:szCs w:val="22"/>
                <w:lang w:val="fr-FR"/>
              </w:rPr>
              <w:t xml:space="preserve"> L</w:t>
            </w:r>
            <w:r w:rsidR="00A04668">
              <w:rPr>
                <w:sz w:val="22"/>
                <w:szCs w:val="22"/>
                <w:lang w:val="fr-FR"/>
              </w:rPr>
              <w:t>’</w:t>
            </w:r>
            <w:r w:rsidRPr="000969A4">
              <w:rPr>
                <w:sz w:val="22"/>
                <w:szCs w:val="22"/>
                <w:lang w:val="fr-FR"/>
              </w:rPr>
              <w:t>assistance technique de l</w:t>
            </w:r>
            <w:r w:rsidR="00A04668">
              <w:rPr>
                <w:sz w:val="22"/>
                <w:szCs w:val="22"/>
                <w:lang w:val="fr-FR"/>
              </w:rPr>
              <w:t>’</w:t>
            </w:r>
            <w:r w:rsidRPr="000969A4">
              <w:rPr>
                <w:sz w:val="22"/>
                <w:szCs w:val="22"/>
                <w:lang w:val="fr-FR"/>
              </w:rPr>
              <w:t>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w:t>
            </w:r>
            <w:r w:rsidR="0043436D" w:rsidRPr="000969A4">
              <w:rPr>
                <w:sz w:val="22"/>
                <w:szCs w:val="22"/>
                <w:lang w:val="fr-FR"/>
              </w:rPr>
              <w:t>is</w:t>
            </w:r>
            <w:r w:rsidR="0043436D">
              <w:rPr>
                <w:sz w:val="22"/>
                <w:szCs w:val="22"/>
                <w:lang w:val="fr-FR"/>
              </w:rPr>
              <w:t xml:space="preserve">.  </w:t>
            </w:r>
            <w:r w:rsidR="0043436D" w:rsidRPr="000969A4">
              <w:rPr>
                <w:sz w:val="22"/>
                <w:szCs w:val="22"/>
                <w:lang w:val="fr-FR"/>
              </w:rPr>
              <w:t xml:space="preserve">À </w:t>
            </w:r>
            <w:r w:rsidRPr="000969A4">
              <w:rPr>
                <w:sz w:val="22"/>
                <w:szCs w:val="22"/>
                <w:lang w:val="fr-FR"/>
              </w:rPr>
              <w:t>cet égard, les mécanismes d</w:t>
            </w:r>
            <w:r w:rsidR="00A04668">
              <w:rPr>
                <w:sz w:val="22"/>
                <w:szCs w:val="22"/>
                <w:lang w:val="fr-FR"/>
              </w:rPr>
              <w:t>’</w:t>
            </w:r>
            <w:r w:rsidRPr="000969A4">
              <w:rPr>
                <w:sz w:val="22"/>
                <w:szCs w:val="22"/>
                <w:lang w:val="fr-FR"/>
              </w:rPr>
              <w:t>établissement et d</w:t>
            </w:r>
            <w:r w:rsidR="00A04668">
              <w:rPr>
                <w:sz w:val="22"/>
                <w:szCs w:val="22"/>
                <w:lang w:val="fr-FR"/>
              </w:rPr>
              <w:t>’</w:t>
            </w:r>
            <w:r w:rsidRPr="000969A4">
              <w:rPr>
                <w:sz w:val="22"/>
                <w:szCs w:val="22"/>
                <w:lang w:val="fr-FR"/>
              </w:rPr>
              <w:t>exécution et procédures d</w:t>
            </w:r>
            <w:r w:rsidR="00A04668">
              <w:rPr>
                <w:sz w:val="22"/>
                <w:szCs w:val="22"/>
                <w:lang w:val="fr-FR"/>
              </w:rPr>
              <w:t>’</w:t>
            </w:r>
            <w:r w:rsidRPr="000969A4">
              <w:rPr>
                <w:sz w:val="22"/>
                <w:szCs w:val="22"/>
                <w:lang w:val="fr-FR"/>
              </w:rPr>
              <w:t>évaluation des programmes d</w:t>
            </w:r>
            <w:r w:rsidR="00A04668">
              <w:rPr>
                <w:sz w:val="22"/>
                <w:szCs w:val="22"/>
                <w:lang w:val="fr-FR"/>
              </w:rPr>
              <w:t>’</w:t>
            </w:r>
            <w:r w:rsidRPr="000969A4">
              <w:rPr>
                <w:sz w:val="22"/>
                <w:szCs w:val="22"/>
                <w:lang w:val="fr-FR"/>
              </w:rPr>
              <w:t>assistance technique doivent être ciblés par pays</w:t>
            </w:r>
            <w:r w:rsidRPr="000969A4">
              <w:rPr>
                <w:rFonts w:eastAsia="SimSun"/>
                <w:sz w:val="22"/>
                <w:szCs w:val="22"/>
                <w:lang w:val="fr-FR" w:eastAsia="zh-CN"/>
              </w:rPr>
              <w:t>.</w:t>
            </w:r>
          </w:p>
          <w:p w:rsidR="006120B0" w:rsidRPr="000969A4" w:rsidRDefault="006120B0" w:rsidP="00260781">
            <w:pPr>
              <w:rPr>
                <w:i/>
                <w:lang w:val="fr-FR"/>
              </w:rPr>
            </w:pPr>
          </w:p>
          <w:p w:rsidR="006120B0" w:rsidRDefault="006120B0" w:rsidP="00260781">
            <w:pPr>
              <w:rPr>
                <w:lang w:val="fr-FR"/>
              </w:rPr>
            </w:pPr>
            <w:r w:rsidRPr="000969A4">
              <w:rPr>
                <w:i/>
                <w:lang w:val="fr-FR"/>
              </w:rPr>
              <w:t>Recommandation n° 10 :</w:t>
            </w:r>
            <w:r w:rsidRPr="000969A4">
              <w:rPr>
                <w:lang w:val="fr-FR"/>
              </w:rPr>
              <w:t xml:space="preserve"> Aider les États membres à développer et à améliorer les capacités institutionnelles nationales en propriété intellectuelle par le développement des infrastructures et autres moyens en vue de renforcer l</w:t>
            </w:r>
            <w:r w:rsidR="00A04668">
              <w:rPr>
                <w:lang w:val="fr-FR"/>
              </w:rPr>
              <w:t>’</w:t>
            </w:r>
            <w:r w:rsidRPr="000969A4">
              <w:rPr>
                <w:lang w:val="fr-FR"/>
              </w:rPr>
              <w:t>efficacité des institutions nationales de propriété intellectuelle et de concilier protection de la propriété intellectuelle et préservation de l</w:t>
            </w:r>
            <w:r w:rsidR="00A04668">
              <w:rPr>
                <w:lang w:val="fr-FR"/>
              </w:rPr>
              <w:t>’</w:t>
            </w:r>
            <w:r w:rsidRPr="000969A4">
              <w:rPr>
                <w:lang w:val="fr-FR"/>
              </w:rPr>
              <w:t>intérêt génér</w:t>
            </w:r>
            <w:r w:rsidR="0043436D" w:rsidRPr="000969A4">
              <w:rPr>
                <w:lang w:val="fr-FR"/>
              </w:rPr>
              <w:t>al</w:t>
            </w:r>
            <w:r w:rsidR="0043436D">
              <w:rPr>
                <w:lang w:val="fr-FR"/>
              </w:rPr>
              <w:t xml:space="preserve">.  </w:t>
            </w:r>
            <w:r w:rsidR="0043436D" w:rsidRPr="000969A4">
              <w:rPr>
                <w:lang w:val="fr-FR"/>
              </w:rPr>
              <w:t>Ce</w:t>
            </w:r>
            <w:r w:rsidRPr="000969A4">
              <w:rPr>
                <w:lang w:val="fr-FR"/>
              </w:rPr>
              <w:t xml:space="preserve">tte assistance technique devrait également être étendue aux organisations </w:t>
            </w:r>
            <w:proofErr w:type="spellStart"/>
            <w:r w:rsidRPr="000969A4">
              <w:rPr>
                <w:lang w:val="fr-FR"/>
              </w:rPr>
              <w:t>sous</w:t>
            </w:r>
            <w:r w:rsidR="0043436D">
              <w:rPr>
                <w:lang w:val="fr-FR"/>
              </w:rPr>
              <w:noBreakHyphen/>
            </w:r>
            <w:r w:rsidRPr="000969A4">
              <w:rPr>
                <w:lang w:val="fr-FR"/>
              </w:rPr>
              <w:t>régionales</w:t>
            </w:r>
            <w:proofErr w:type="spellEnd"/>
            <w:r w:rsidRPr="000969A4">
              <w:rPr>
                <w:lang w:val="fr-FR"/>
              </w:rPr>
              <w:t xml:space="preserve"> et régionales œuvrant dans le domaine de la propriété intellectuelle.</w:t>
            </w:r>
          </w:p>
          <w:p w:rsidR="009C0B7C" w:rsidRPr="000969A4" w:rsidRDefault="009C0B7C" w:rsidP="00260781">
            <w:pPr>
              <w:rPr>
                <w:lang w:val="fr-FR"/>
              </w:rPr>
            </w:pPr>
          </w:p>
          <w:p w:rsidR="006120B0" w:rsidRPr="000969A4" w:rsidRDefault="006120B0" w:rsidP="00260781">
            <w:pPr>
              <w:rPr>
                <w:lang w:val="fr-FR"/>
              </w:rPr>
            </w:pPr>
            <w:r w:rsidRPr="000969A4">
              <w:rPr>
                <w:i/>
                <w:lang w:val="fr-FR"/>
              </w:rPr>
              <w:t>Recommandation n° 12 :</w:t>
            </w:r>
            <w:r w:rsidRPr="000969A4">
              <w:rPr>
                <w:lang w:val="fr-FR"/>
              </w:rPr>
              <w:t xml:space="preserve"> Intégrer davantage la dimension du développement dans les activités et délibérations de l</w:t>
            </w:r>
            <w:r w:rsidR="00A04668">
              <w:rPr>
                <w:lang w:val="fr-FR"/>
              </w:rPr>
              <w:t>’</w:t>
            </w:r>
            <w:r w:rsidRPr="000969A4">
              <w:rPr>
                <w:lang w:val="fr-FR"/>
              </w:rPr>
              <w:t>OMPI portant sur les questions de fond et l</w:t>
            </w:r>
            <w:r w:rsidR="00A04668">
              <w:rPr>
                <w:lang w:val="fr-FR"/>
              </w:rPr>
              <w:t>’</w:t>
            </w:r>
            <w:r w:rsidRPr="000969A4">
              <w:rPr>
                <w:lang w:val="fr-FR"/>
              </w:rPr>
              <w:t>assistance technique, conformément au mandat de l</w:t>
            </w:r>
            <w:r w:rsidR="00A04668">
              <w:rPr>
                <w:lang w:val="fr-FR"/>
              </w:rPr>
              <w:t>’</w:t>
            </w:r>
            <w:r w:rsidRPr="000969A4">
              <w:rPr>
                <w:lang w:val="fr-FR"/>
              </w:rPr>
              <w:t>Organisation.</w:t>
            </w:r>
          </w:p>
          <w:p w:rsidR="006120B0" w:rsidRPr="000969A4" w:rsidRDefault="006120B0" w:rsidP="00260781">
            <w:pPr>
              <w:rPr>
                <w:lang w:val="fr-FR"/>
              </w:rPr>
            </w:pPr>
          </w:p>
          <w:p w:rsidR="006120B0" w:rsidRPr="000969A4" w:rsidRDefault="006120B0" w:rsidP="00260781">
            <w:pPr>
              <w:rPr>
                <w:color w:val="000000"/>
                <w:lang w:val="fr-FR"/>
              </w:rPr>
            </w:pPr>
            <w:r w:rsidRPr="000969A4">
              <w:rPr>
                <w:i/>
                <w:lang w:val="fr-FR"/>
              </w:rPr>
              <w:t>Recommandation n° 23 :</w:t>
            </w:r>
            <w:r w:rsidRPr="000969A4">
              <w:rPr>
                <w:lang w:val="fr-FR"/>
              </w:rPr>
              <w:t xml:space="preserve"> </w:t>
            </w:r>
            <w:r w:rsidRPr="000969A4">
              <w:rPr>
                <w:color w:val="000000"/>
                <w:lang w:val="fr-FR"/>
              </w:rPr>
              <w:t>Examiner les moyens de mieux promouvoir des pratiques en matière de concession de licences de propriété intellectuelle stimulant la concurrence, en vue notamment de favoriser la créativité, l</w:t>
            </w:r>
            <w:r w:rsidR="00A04668">
              <w:rPr>
                <w:color w:val="000000"/>
                <w:lang w:val="fr-FR"/>
              </w:rPr>
              <w:t>’</w:t>
            </w:r>
            <w:r w:rsidRPr="000969A4">
              <w:rPr>
                <w:color w:val="000000"/>
                <w:lang w:val="fr-FR"/>
              </w:rPr>
              <w:t>innovation et le transfert et la diffusion de la technologie en faveur des pays intéressés, en particulier les pays en développement et les PMA.</w:t>
            </w:r>
          </w:p>
          <w:p w:rsidR="006120B0" w:rsidRPr="000969A4" w:rsidRDefault="006120B0" w:rsidP="00260781">
            <w:pPr>
              <w:rPr>
                <w:i/>
                <w:lang w:val="fr-FR"/>
              </w:rPr>
            </w:pPr>
          </w:p>
          <w:p w:rsidR="006120B0" w:rsidRDefault="006120B0" w:rsidP="00260781">
            <w:pPr>
              <w:rPr>
                <w:color w:val="000000"/>
                <w:lang w:val="fr-FR"/>
              </w:rPr>
            </w:pPr>
            <w:r w:rsidRPr="000969A4">
              <w:rPr>
                <w:i/>
                <w:color w:val="000000"/>
                <w:lang w:val="fr-FR"/>
              </w:rPr>
              <w:t>Recommandation n° 25 :</w:t>
            </w:r>
            <w:r w:rsidRPr="000969A4">
              <w:rPr>
                <w:color w:val="000000"/>
                <w:lang w:val="fr-FR"/>
              </w:rPr>
              <w:t xml:space="preserve"> 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w:t>
            </w:r>
            <w:r w:rsidRPr="000969A4">
              <w:rPr>
                <w:color w:val="000000"/>
                <w:lang w:val="fr-FR"/>
              </w:rPr>
              <w:lastRenderedPageBreak/>
              <w:t>concernant les flexibilités prévues dans les accords internationaux et d</w:t>
            </w:r>
            <w:r w:rsidR="00A04668">
              <w:rPr>
                <w:color w:val="000000"/>
                <w:lang w:val="fr-FR"/>
              </w:rPr>
              <w:t>’</w:t>
            </w:r>
            <w:r w:rsidRPr="000969A4">
              <w:rPr>
                <w:color w:val="000000"/>
                <w:lang w:val="fr-FR"/>
              </w:rPr>
              <w:t>en tirer profit, le cas échéant.</w:t>
            </w:r>
          </w:p>
          <w:p w:rsidR="00260781" w:rsidRPr="000969A4" w:rsidRDefault="00260781" w:rsidP="00260781">
            <w:pPr>
              <w:rPr>
                <w:color w:val="000000"/>
                <w:lang w:val="fr-FR"/>
              </w:rPr>
            </w:pPr>
          </w:p>
          <w:p w:rsidR="006120B0" w:rsidRPr="000969A4" w:rsidRDefault="006120B0" w:rsidP="00260781">
            <w:pPr>
              <w:rPr>
                <w:i/>
                <w:color w:val="000000"/>
                <w:lang w:val="fr-FR"/>
              </w:rPr>
            </w:pPr>
            <w:r w:rsidRPr="000969A4">
              <w:rPr>
                <w:i/>
                <w:color w:val="000000"/>
                <w:lang w:val="fr-FR"/>
              </w:rPr>
              <w:t xml:space="preserve">Recommandation n° 31 : </w:t>
            </w:r>
            <w:r w:rsidRPr="000969A4">
              <w:rPr>
                <w:color w:val="000000"/>
                <w:lang w:val="fr-FR"/>
              </w:rPr>
              <w:t>Mettre en œuvre des initiatives arrêtées par les États membres qui contribuent au transfert de technologie en faveur des pays en développement, s</w:t>
            </w:r>
            <w:r w:rsidR="00A04668">
              <w:rPr>
                <w:color w:val="000000"/>
                <w:lang w:val="fr-FR"/>
              </w:rPr>
              <w:t>’</w:t>
            </w:r>
            <w:r w:rsidRPr="000969A4">
              <w:rPr>
                <w:color w:val="000000"/>
                <w:lang w:val="fr-FR"/>
              </w:rPr>
              <w:t>agissant par exemple de demander à l</w:t>
            </w:r>
            <w:r w:rsidR="00A04668">
              <w:rPr>
                <w:color w:val="000000"/>
                <w:lang w:val="fr-FR"/>
              </w:rPr>
              <w:t>’</w:t>
            </w:r>
            <w:r w:rsidRPr="000969A4">
              <w:rPr>
                <w:color w:val="000000"/>
                <w:lang w:val="fr-FR"/>
              </w:rPr>
              <w:t>OMPI de faciliter l</w:t>
            </w:r>
            <w:r w:rsidR="00A04668">
              <w:rPr>
                <w:color w:val="000000"/>
                <w:lang w:val="fr-FR"/>
              </w:rPr>
              <w:t>’</w:t>
            </w:r>
            <w:r w:rsidRPr="000969A4">
              <w:rPr>
                <w:color w:val="000000"/>
                <w:lang w:val="fr-FR"/>
              </w:rPr>
              <w:t>accès à l</w:t>
            </w:r>
            <w:r w:rsidR="00A04668">
              <w:rPr>
                <w:color w:val="000000"/>
                <w:lang w:val="fr-FR"/>
              </w:rPr>
              <w:t>’</w:t>
            </w:r>
            <w:r w:rsidRPr="000969A4">
              <w:rPr>
                <w:color w:val="000000"/>
                <w:lang w:val="fr-FR"/>
              </w:rPr>
              <w:t>information en matière de brevets accessible au public.</w:t>
            </w:r>
          </w:p>
          <w:p w:rsidR="006120B0" w:rsidRPr="000969A4" w:rsidRDefault="006120B0" w:rsidP="00260781">
            <w:pPr>
              <w:rPr>
                <w:i/>
                <w:lang w:val="fr-FR"/>
              </w:rPr>
            </w:pPr>
          </w:p>
          <w:p w:rsidR="006120B0" w:rsidRPr="000969A4" w:rsidRDefault="006120B0" w:rsidP="00260781">
            <w:pPr>
              <w:rPr>
                <w:iCs/>
                <w:lang w:val="fr-FR"/>
              </w:rPr>
            </w:pPr>
            <w:r w:rsidRPr="000969A4">
              <w:rPr>
                <w:i/>
                <w:lang w:val="fr-FR"/>
              </w:rPr>
              <w:t xml:space="preserve">Recommandation n° 40 : </w:t>
            </w:r>
            <w:r w:rsidRPr="000969A4">
              <w:rPr>
                <w:iCs/>
                <w:lang w:val="fr-FR"/>
              </w:rPr>
              <w:t>Demander à l</w:t>
            </w:r>
            <w:r w:rsidR="00A04668">
              <w:rPr>
                <w:iCs/>
                <w:lang w:val="fr-FR"/>
              </w:rPr>
              <w:t>’</w:t>
            </w:r>
            <w:r w:rsidRPr="000969A4">
              <w:rPr>
                <w:iCs/>
                <w:lang w:val="fr-FR"/>
              </w:rPr>
              <w:t>OMPI d</w:t>
            </w:r>
            <w:r w:rsidR="00A04668">
              <w:rPr>
                <w:iCs/>
                <w:lang w:val="fr-FR"/>
              </w:rPr>
              <w:t>’</w:t>
            </w:r>
            <w:r w:rsidRPr="000969A4">
              <w:rPr>
                <w:iCs/>
                <w:lang w:val="fr-FR"/>
              </w:rPr>
              <w:t xml:space="preserve">intensifier sa coopération avec les institutions des </w:t>
            </w:r>
            <w:r w:rsidR="00A04668">
              <w:rPr>
                <w:iCs/>
                <w:lang w:val="fr-FR"/>
              </w:rPr>
              <w:t>Nations Unies</w:t>
            </w:r>
            <w:r w:rsidRPr="000969A4">
              <w:rPr>
                <w:iCs/>
                <w:lang w:val="fr-FR"/>
              </w:rPr>
              <w:t>, en particulier la CNUCED, le PNUE, l</w:t>
            </w:r>
            <w:r w:rsidR="00A04668">
              <w:rPr>
                <w:iCs/>
                <w:lang w:val="fr-FR"/>
              </w:rPr>
              <w:t>’</w:t>
            </w:r>
            <w:r w:rsidRPr="000969A4">
              <w:rPr>
                <w:iCs/>
                <w:lang w:val="fr-FR"/>
              </w:rPr>
              <w:t>OMS, l</w:t>
            </w:r>
            <w:r w:rsidR="00A04668">
              <w:rPr>
                <w:iCs/>
                <w:lang w:val="fr-FR"/>
              </w:rPr>
              <w:t>’</w:t>
            </w:r>
            <w:r w:rsidRPr="000969A4">
              <w:rPr>
                <w:iCs/>
                <w:lang w:val="fr-FR"/>
              </w:rPr>
              <w:t>ONUDI, l</w:t>
            </w:r>
            <w:r w:rsidR="00A04668">
              <w:rPr>
                <w:iCs/>
                <w:lang w:val="fr-FR"/>
              </w:rPr>
              <w:t>’</w:t>
            </w:r>
            <w:r w:rsidRPr="000969A4">
              <w:rPr>
                <w:iCs/>
                <w:lang w:val="fr-FR"/>
              </w:rPr>
              <w:t>UNESCO et d</w:t>
            </w:r>
            <w:r w:rsidR="00A04668">
              <w:rPr>
                <w:iCs/>
                <w:lang w:val="fr-FR"/>
              </w:rPr>
              <w:t>’</w:t>
            </w:r>
            <w:r w:rsidRPr="000969A4">
              <w:rPr>
                <w:iCs/>
                <w:lang w:val="fr-FR"/>
              </w:rPr>
              <w:t>autres organisations internationales compétentes, notamment l</w:t>
            </w:r>
            <w:r w:rsidR="00A04668">
              <w:rPr>
                <w:iCs/>
                <w:lang w:val="fr-FR"/>
              </w:rPr>
              <w:t>’</w:t>
            </w:r>
            <w:r w:rsidRPr="000969A4">
              <w:rPr>
                <w:iCs/>
                <w:lang w:val="fr-FR"/>
              </w:rPr>
              <w:t>OMC, sur les questions relatives à la propriété intellectuelle et conformément aux orientations données par les États membres, afin de renforcer la coordination pour une efficacité maximum dans l</w:t>
            </w:r>
            <w:r w:rsidR="00A04668">
              <w:rPr>
                <w:iCs/>
                <w:lang w:val="fr-FR"/>
              </w:rPr>
              <w:t>’</w:t>
            </w:r>
            <w:r w:rsidRPr="000969A4">
              <w:rPr>
                <w:iCs/>
                <w:lang w:val="fr-FR"/>
              </w:rPr>
              <w:t>application de programmes de développement.</w:t>
            </w:r>
          </w:p>
          <w:p w:rsidR="006120B0" w:rsidRPr="000969A4" w:rsidRDefault="006120B0" w:rsidP="00260781">
            <w:pPr>
              <w:rPr>
                <w:i/>
                <w:lang w:val="fr-FR"/>
              </w:rPr>
            </w:pPr>
          </w:p>
        </w:tc>
      </w:tr>
      <w:tr w:rsidR="006120B0" w:rsidRPr="006A653A" w:rsidTr="008E4708">
        <w:tc>
          <w:tcPr>
            <w:tcW w:w="2376" w:type="dxa"/>
          </w:tcPr>
          <w:p w:rsidR="006120B0" w:rsidRPr="000969A4" w:rsidRDefault="006120B0" w:rsidP="00260781">
            <w:pPr>
              <w:rPr>
                <w:bCs/>
                <w:u w:val="single"/>
                <w:lang w:val="fr-FR"/>
              </w:rPr>
            </w:pPr>
          </w:p>
          <w:p w:rsidR="006120B0" w:rsidRPr="000969A4" w:rsidRDefault="006120B0" w:rsidP="00260781">
            <w:pPr>
              <w:rPr>
                <w:u w:val="single"/>
                <w:lang w:val="fr-FR"/>
              </w:rPr>
            </w:pPr>
            <w:r w:rsidRPr="000969A4">
              <w:rPr>
                <w:bCs/>
                <w:u w:val="single"/>
                <w:lang w:val="fr-FR"/>
              </w:rPr>
              <w:t>Brève description du projet</w:t>
            </w:r>
          </w:p>
          <w:p w:rsidR="006120B0" w:rsidRPr="000969A4" w:rsidRDefault="006120B0" w:rsidP="00260781">
            <w:pPr>
              <w:rPr>
                <w:b/>
                <w:lang w:val="fr-FR"/>
              </w:rPr>
            </w:pPr>
          </w:p>
        </w:tc>
        <w:tc>
          <w:tcPr>
            <w:tcW w:w="6912" w:type="dxa"/>
          </w:tcPr>
          <w:p w:rsidR="006120B0" w:rsidRPr="000969A4" w:rsidRDefault="006120B0" w:rsidP="00260781">
            <w:pPr>
              <w:rPr>
                <w:lang w:val="fr-FR"/>
              </w:rPr>
            </w:pPr>
          </w:p>
          <w:p w:rsidR="006120B0" w:rsidRPr="00260781" w:rsidRDefault="006120B0" w:rsidP="00260781">
            <w:pPr>
              <w:rPr>
                <w:spacing w:val="-2"/>
                <w:lang w:val="fr-FR"/>
              </w:rPr>
            </w:pPr>
            <w:r w:rsidRPr="00260781">
              <w:rPr>
                <w:spacing w:val="-2"/>
                <w:lang w:val="fr-FR"/>
              </w:rPr>
              <w:t>Un grand nombre de pays du monde entier ont adopté une législation visant à assurer de plus grandes retombées socioéconomiques de l</w:t>
            </w:r>
            <w:r w:rsidR="00A04668" w:rsidRPr="00260781">
              <w:rPr>
                <w:spacing w:val="-2"/>
                <w:lang w:val="fr-FR"/>
              </w:rPr>
              <w:t>’</w:t>
            </w:r>
            <w:r w:rsidRPr="00260781">
              <w:rPr>
                <w:spacing w:val="-2"/>
                <w:lang w:val="fr-FR"/>
              </w:rPr>
              <w:t>investissement public dans la recherche</w:t>
            </w:r>
            <w:r w:rsidR="0043436D" w:rsidRPr="00260781">
              <w:rPr>
                <w:spacing w:val="-2"/>
                <w:lang w:val="fr-FR"/>
              </w:rPr>
              <w:noBreakHyphen/>
            </w:r>
            <w:r w:rsidRPr="00260781">
              <w:rPr>
                <w:spacing w:val="-2"/>
                <w:lang w:val="fr-FR"/>
              </w:rPr>
              <w:t>développeme</w:t>
            </w:r>
            <w:r w:rsidR="0043436D" w:rsidRPr="00260781">
              <w:rPr>
                <w:spacing w:val="-2"/>
                <w:lang w:val="fr-FR"/>
              </w:rPr>
              <w:t>nt.  Ce</w:t>
            </w:r>
            <w:r w:rsidRPr="00260781">
              <w:rPr>
                <w:spacing w:val="-2"/>
                <w:lang w:val="fr-FR"/>
              </w:rPr>
              <w:t>tte approche descendante requiert une réponse à partir de la base en matière de sensibilisation, de formation et de renforcement des compétences dans le domaine de la gestion de la propriété intellectuelle et du transfert de technologie en ce qui concerne :</w:t>
            </w:r>
          </w:p>
          <w:p w:rsidR="006120B0" w:rsidRPr="000969A4" w:rsidRDefault="006120B0" w:rsidP="00260781">
            <w:pPr>
              <w:rPr>
                <w:lang w:val="fr-FR"/>
              </w:rPr>
            </w:pPr>
          </w:p>
          <w:p w:rsidR="006120B0" w:rsidRDefault="006120B0" w:rsidP="00260781">
            <w:pPr>
              <w:pStyle w:val="ListParagraph"/>
              <w:widowControl/>
              <w:numPr>
                <w:ilvl w:val="0"/>
                <w:numId w:val="8"/>
              </w:numPr>
              <w:spacing w:after="0" w:line="240" w:lineRule="auto"/>
              <w:ind w:left="1026" w:hanging="567"/>
              <w:rPr>
                <w:rFonts w:ascii="Arial" w:eastAsia="SimSun" w:hAnsi="Arial" w:cs="Arial"/>
                <w:lang w:val="fr-FR" w:eastAsia="zh-CN"/>
              </w:rPr>
            </w:pPr>
            <w:r w:rsidRPr="00260781">
              <w:rPr>
                <w:rFonts w:ascii="Arial" w:eastAsia="SimSun" w:hAnsi="Arial" w:cs="Arial"/>
                <w:b/>
                <w:lang w:val="fr-FR" w:eastAsia="zh-CN"/>
              </w:rPr>
              <w:t>les donateurs</w:t>
            </w:r>
            <w:r w:rsidRPr="00260781">
              <w:rPr>
                <w:rFonts w:ascii="Arial" w:eastAsia="SimSun" w:hAnsi="Arial" w:cs="Arial"/>
                <w:b/>
                <w:i/>
                <w:lang w:val="fr-FR" w:eastAsia="zh-CN"/>
              </w:rPr>
              <w:t xml:space="preserve"> </w:t>
            </w:r>
            <w:r w:rsidRPr="00260781">
              <w:rPr>
                <w:rFonts w:ascii="Arial" w:eastAsia="SimSun" w:hAnsi="Arial" w:cs="Arial"/>
                <w:b/>
                <w:lang w:val="fr-FR" w:eastAsia="zh-CN"/>
              </w:rPr>
              <w:t>dans le domaine de la recherche</w:t>
            </w:r>
            <w:r w:rsidRPr="000969A4">
              <w:rPr>
                <w:rFonts w:ascii="Arial" w:eastAsia="SimSun" w:hAnsi="Arial" w:cs="Arial"/>
                <w:lang w:val="fr-FR" w:eastAsia="zh-CN"/>
              </w:rPr>
              <w:t xml:space="preserve"> (</w:t>
            </w:r>
            <w:r w:rsidR="00A04668">
              <w:rPr>
                <w:rFonts w:ascii="Arial" w:eastAsia="SimSun" w:hAnsi="Arial" w:cs="Arial"/>
                <w:lang w:val="fr-FR" w:eastAsia="zh-CN"/>
              </w:rPr>
              <w:t>y compris</w:t>
            </w:r>
            <w:r w:rsidRPr="000969A4">
              <w:rPr>
                <w:rFonts w:ascii="Arial" w:eastAsia="SimSun" w:hAnsi="Arial" w:cs="Arial"/>
                <w:lang w:val="fr-FR" w:eastAsia="zh-CN"/>
              </w:rPr>
              <w:t xml:space="preserve"> les employés des organismes publics de financement);</w:t>
            </w:r>
          </w:p>
          <w:p w:rsidR="009C0B7C" w:rsidRPr="000969A4" w:rsidRDefault="009C0B7C" w:rsidP="00260781">
            <w:pPr>
              <w:pStyle w:val="ListParagraph"/>
              <w:widowControl/>
              <w:spacing w:after="0" w:line="240" w:lineRule="auto"/>
              <w:ind w:left="1026"/>
              <w:rPr>
                <w:rFonts w:ascii="Arial" w:eastAsia="SimSun" w:hAnsi="Arial" w:cs="Arial"/>
                <w:lang w:val="fr-FR" w:eastAsia="zh-CN"/>
              </w:rPr>
            </w:pPr>
          </w:p>
          <w:p w:rsidR="006120B0" w:rsidRDefault="006120B0" w:rsidP="00260781">
            <w:pPr>
              <w:numPr>
                <w:ilvl w:val="0"/>
                <w:numId w:val="8"/>
              </w:numPr>
              <w:ind w:left="1026" w:hanging="567"/>
              <w:rPr>
                <w:lang w:val="fr-FR"/>
              </w:rPr>
            </w:pPr>
            <w:r w:rsidRPr="00260781">
              <w:rPr>
                <w:b/>
                <w:lang w:val="fr-FR"/>
              </w:rPr>
              <w:t>les concepteurs de la propriété intellectuelle</w:t>
            </w:r>
            <w:r w:rsidRPr="000969A4">
              <w:rPr>
                <w:lang w:val="fr-FR"/>
              </w:rPr>
              <w:t xml:space="preserve"> (</w:t>
            </w:r>
            <w:r w:rsidR="00A04668">
              <w:rPr>
                <w:lang w:val="fr-FR"/>
              </w:rPr>
              <w:t>y compris</w:t>
            </w:r>
            <w:r w:rsidRPr="000969A4">
              <w:rPr>
                <w:lang w:val="fr-FR"/>
              </w:rPr>
              <w:t xml:space="preserve"> les chercheurs);</w:t>
            </w:r>
          </w:p>
          <w:p w:rsidR="009C0B7C" w:rsidRPr="000969A4" w:rsidRDefault="009C0B7C" w:rsidP="00260781">
            <w:pPr>
              <w:ind w:left="1026"/>
              <w:rPr>
                <w:lang w:val="fr-FR"/>
              </w:rPr>
            </w:pPr>
          </w:p>
          <w:p w:rsidR="006120B0" w:rsidRDefault="006120B0" w:rsidP="00260781">
            <w:pPr>
              <w:numPr>
                <w:ilvl w:val="0"/>
                <w:numId w:val="8"/>
              </w:numPr>
              <w:ind w:left="1026" w:hanging="567"/>
              <w:rPr>
                <w:lang w:val="fr-FR"/>
              </w:rPr>
            </w:pPr>
            <w:r w:rsidRPr="00260781">
              <w:rPr>
                <w:b/>
                <w:lang w:val="fr-FR"/>
              </w:rPr>
              <w:t>les gestionnaires de la propriété intellectuelle</w:t>
            </w:r>
            <w:r w:rsidRPr="000969A4">
              <w:rPr>
                <w:lang w:val="fr-FR"/>
              </w:rPr>
              <w:t xml:space="preserve"> (</w:t>
            </w:r>
            <w:r w:rsidR="00A04668">
              <w:rPr>
                <w:lang w:val="fr-FR"/>
              </w:rPr>
              <w:t>y compris</w:t>
            </w:r>
            <w:r w:rsidRPr="000969A4">
              <w:rPr>
                <w:lang w:val="fr-FR"/>
              </w:rPr>
              <w:t xml:space="preserve"> les fonctionnaires des bureaux de transfert de technologie);  et</w:t>
            </w:r>
          </w:p>
          <w:p w:rsidR="009C0B7C" w:rsidRPr="000969A4" w:rsidRDefault="009C0B7C" w:rsidP="00260781">
            <w:pPr>
              <w:ind w:left="1026"/>
              <w:rPr>
                <w:lang w:val="fr-FR"/>
              </w:rPr>
            </w:pPr>
          </w:p>
          <w:p w:rsidR="006120B0" w:rsidRPr="000969A4" w:rsidRDefault="006120B0" w:rsidP="00260781">
            <w:pPr>
              <w:numPr>
                <w:ilvl w:val="0"/>
                <w:numId w:val="8"/>
              </w:numPr>
              <w:ind w:left="1026" w:hanging="567"/>
              <w:rPr>
                <w:lang w:val="fr-FR"/>
              </w:rPr>
            </w:pPr>
            <w:r w:rsidRPr="00260781">
              <w:rPr>
                <w:b/>
                <w:lang w:val="fr-FR"/>
              </w:rPr>
              <w:t>les utilisateurs de la propriété intellectuelle</w:t>
            </w:r>
            <w:r w:rsidRPr="000969A4">
              <w:rPr>
                <w:lang w:val="fr-FR"/>
              </w:rPr>
              <w:t xml:space="preserve"> (</w:t>
            </w:r>
            <w:r w:rsidR="00A04668">
              <w:rPr>
                <w:lang w:val="fr-FR"/>
              </w:rPr>
              <w:t>y compris</w:t>
            </w:r>
            <w:r w:rsidRPr="000969A4">
              <w:rPr>
                <w:lang w:val="fr-FR"/>
              </w:rPr>
              <w:t xml:space="preserve"> les PME).</w:t>
            </w:r>
          </w:p>
          <w:p w:rsidR="006120B0" w:rsidRPr="000969A4" w:rsidRDefault="006120B0" w:rsidP="00260781">
            <w:pPr>
              <w:rPr>
                <w:highlight w:val="cyan"/>
                <w:lang w:val="fr-FR"/>
              </w:rPr>
            </w:pPr>
          </w:p>
          <w:p w:rsidR="006120B0" w:rsidRPr="000969A4" w:rsidRDefault="006120B0" w:rsidP="00260781">
            <w:pPr>
              <w:rPr>
                <w:lang w:val="fr-FR"/>
              </w:rPr>
            </w:pPr>
            <w:r w:rsidRPr="000969A4">
              <w:rPr>
                <w:lang w:val="fr-FR"/>
              </w:rPr>
              <w:t>Un grand nombre de facteurs freinent l</w:t>
            </w:r>
            <w:r w:rsidR="00A04668">
              <w:rPr>
                <w:lang w:val="fr-FR"/>
              </w:rPr>
              <w:t>’</w:t>
            </w:r>
            <w:r w:rsidRPr="000969A4">
              <w:rPr>
                <w:lang w:val="fr-FR"/>
              </w:rPr>
              <w:t>innovation, notamment l</w:t>
            </w:r>
            <w:r w:rsidR="00A04668">
              <w:rPr>
                <w:lang w:val="fr-FR"/>
              </w:rPr>
              <w:t>’</w:t>
            </w:r>
            <w:r w:rsidRPr="000969A4">
              <w:rPr>
                <w:lang w:val="fr-FR"/>
              </w:rPr>
              <w:t>insuffisance de compétences requises en matière de gestion de la propriété intellectuelle et de transfert de technologie s</w:t>
            </w:r>
            <w:r w:rsidR="00A04668">
              <w:rPr>
                <w:lang w:val="fr-FR"/>
              </w:rPr>
              <w:t>’</w:t>
            </w:r>
            <w:r w:rsidRPr="000969A4">
              <w:rPr>
                <w:lang w:val="fr-FR"/>
              </w:rPr>
              <w:t>agissant des donateurs, des concepteurs, des gestionnaires et des utilisateurs dans le cadre de la chaîne de valorisation des innovatio</w:t>
            </w:r>
            <w:r w:rsidR="0043436D" w:rsidRPr="000969A4">
              <w:rPr>
                <w:lang w:val="fr-FR"/>
              </w:rPr>
              <w:t>ns</w:t>
            </w:r>
            <w:r w:rsidR="0043436D">
              <w:rPr>
                <w:lang w:val="fr-FR"/>
              </w:rPr>
              <w:t xml:space="preserve">.  </w:t>
            </w:r>
            <w:r w:rsidR="0043436D" w:rsidRPr="000969A4">
              <w:rPr>
                <w:lang w:val="fr-FR"/>
              </w:rPr>
              <w:t>Le</w:t>
            </w:r>
            <w:r w:rsidRPr="000969A4">
              <w:rPr>
                <w:lang w:val="fr-FR"/>
              </w:rPr>
              <w:t xml:space="preserve"> présent projet vise donc à définir des possibilités de formation ciblées, des orientations et des pratiques recommandées (sur les plans tant théorique que pratique) destinées à un large éventail d</w:t>
            </w:r>
            <w:r w:rsidR="00A04668">
              <w:rPr>
                <w:lang w:val="fr-FR"/>
              </w:rPr>
              <w:t>’</w:t>
            </w:r>
            <w:r w:rsidRPr="000969A4">
              <w:rPr>
                <w:lang w:val="fr-FR"/>
              </w:rPr>
              <w:t>acteurs de la chaîne de valorisation de l</w:t>
            </w:r>
            <w:r w:rsidR="00A04668">
              <w:rPr>
                <w:lang w:val="fr-FR"/>
              </w:rPr>
              <w:t>’</w:t>
            </w:r>
            <w:r w:rsidRPr="000969A4">
              <w:rPr>
                <w:lang w:val="fr-FR"/>
              </w:rPr>
              <w:t>innovation.</w:t>
            </w:r>
          </w:p>
          <w:p w:rsidR="006120B0" w:rsidRPr="000969A4" w:rsidRDefault="006120B0" w:rsidP="00260781">
            <w:pPr>
              <w:rPr>
                <w:lang w:val="fr-FR"/>
              </w:rPr>
            </w:pPr>
          </w:p>
          <w:p w:rsidR="006120B0" w:rsidRPr="000969A4" w:rsidRDefault="006120B0" w:rsidP="00260781">
            <w:pPr>
              <w:rPr>
                <w:lang w:val="fr-FR"/>
              </w:rPr>
            </w:pPr>
            <w:r w:rsidRPr="000969A4">
              <w:rPr>
                <w:lang w:val="fr-FR"/>
              </w:rPr>
              <w:t>Le projet sera mis en œuvre dans un certain nombre de pays, notamment l</w:t>
            </w:r>
            <w:r w:rsidR="00A04668">
              <w:rPr>
                <w:lang w:val="fr-FR"/>
              </w:rPr>
              <w:t>’</w:t>
            </w:r>
            <w:r w:rsidRPr="000969A4">
              <w:rPr>
                <w:lang w:val="fr-FR"/>
              </w:rPr>
              <w:t>Afrique du Sud, dans lesquels il visera à renforcer les capacités des principales parties prenantes (donateurs, concepteurs, gestionnaires et utilisateurs).</w:t>
            </w:r>
          </w:p>
          <w:p w:rsidR="006120B0" w:rsidRPr="000969A4" w:rsidRDefault="006120B0" w:rsidP="00260781">
            <w:pPr>
              <w:rPr>
                <w:lang w:val="fr-FR"/>
              </w:rPr>
            </w:pPr>
            <w:r w:rsidRPr="000969A4">
              <w:rPr>
                <w:lang w:val="fr-FR"/>
              </w:rPr>
              <w:lastRenderedPageBreak/>
              <w:t>Les pratiques recommandées qui ont été établies et les outils et guides élaborés dans le cadre du projet contribueront aussi à orienter les décisions de politique générale et à sensibiliser le grand public à l</w:t>
            </w:r>
            <w:r w:rsidR="00A04668">
              <w:rPr>
                <w:lang w:val="fr-FR"/>
              </w:rPr>
              <w:t>’</w:t>
            </w:r>
            <w:r w:rsidRPr="000969A4">
              <w:rPr>
                <w:lang w:val="fr-FR"/>
              </w:rPr>
              <w:t>utilisation de la propriété intellectuelle et à l</w:t>
            </w:r>
            <w:r w:rsidR="00A04668">
              <w:rPr>
                <w:lang w:val="fr-FR"/>
              </w:rPr>
              <w:t>’</w:t>
            </w:r>
            <w:r w:rsidRPr="000969A4">
              <w:rPr>
                <w:lang w:val="fr-FR"/>
              </w:rPr>
              <w:t>importance d</w:t>
            </w:r>
            <w:r w:rsidR="00A04668">
              <w:rPr>
                <w:lang w:val="fr-FR"/>
              </w:rPr>
              <w:t>’</w:t>
            </w:r>
            <w:r w:rsidRPr="000969A4">
              <w:rPr>
                <w:lang w:val="fr-FR"/>
              </w:rPr>
              <w:t>une gestion efficace de la propriété intellectuelle et de stratégies efficaces en matière de transfert de technolog</w:t>
            </w:r>
            <w:r w:rsidR="0043436D" w:rsidRPr="000969A4">
              <w:rPr>
                <w:lang w:val="fr-FR"/>
              </w:rPr>
              <w:t>ie</w:t>
            </w:r>
            <w:r w:rsidR="0043436D">
              <w:rPr>
                <w:lang w:val="fr-FR"/>
              </w:rPr>
              <w:t xml:space="preserve">.  </w:t>
            </w:r>
            <w:r w:rsidR="0043436D" w:rsidRPr="000969A4">
              <w:rPr>
                <w:lang w:val="fr-FR"/>
              </w:rPr>
              <w:t>En</w:t>
            </w:r>
            <w:r w:rsidRPr="000969A4">
              <w:rPr>
                <w:lang w:val="fr-FR"/>
              </w:rPr>
              <w:t xml:space="preserve"> définitive, l</w:t>
            </w:r>
            <w:r w:rsidR="00A04668">
              <w:rPr>
                <w:lang w:val="fr-FR"/>
              </w:rPr>
              <w:t>’</w:t>
            </w:r>
            <w:r w:rsidRPr="000969A4">
              <w:rPr>
                <w:lang w:val="fr-FR"/>
              </w:rPr>
              <w:t>objectif est de démontrer que la propriété intellectuelle est un instrument efficace de promotion du développement socioéconomique dans les pays développés comme dans les pays émergents et les pays en transition.</w:t>
            </w:r>
          </w:p>
          <w:p w:rsidR="006120B0" w:rsidRPr="000969A4" w:rsidRDefault="006120B0" w:rsidP="00260781">
            <w:pPr>
              <w:rPr>
                <w:i/>
                <w:lang w:val="fr-FR"/>
              </w:rPr>
            </w:pPr>
          </w:p>
        </w:tc>
      </w:tr>
      <w:tr w:rsidR="006120B0" w:rsidRPr="000969A4" w:rsidTr="008E4708">
        <w:tc>
          <w:tcPr>
            <w:tcW w:w="2376" w:type="dxa"/>
          </w:tcPr>
          <w:p w:rsidR="006120B0" w:rsidRPr="000969A4" w:rsidRDefault="006120B0" w:rsidP="00260781">
            <w:pPr>
              <w:rPr>
                <w:bCs/>
                <w:u w:val="single"/>
                <w:lang w:val="fr-FR"/>
              </w:rPr>
            </w:pPr>
          </w:p>
          <w:p w:rsidR="006120B0" w:rsidRPr="000969A4" w:rsidRDefault="006120B0" w:rsidP="00260781">
            <w:pPr>
              <w:rPr>
                <w:bCs/>
                <w:u w:val="single"/>
                <w:lang w:val="fr-FR"/>
              </w:rPr>
            </w:pPr>
            <w:r w:rsidRPr="000969A4">
              <w:rPr>
                <w:bCs/>
                <w:u w:val="single"/>
                <w:lang w:val="fr-FR"/>
              </w:rPr>
              <w:t>Programme dont relève la mise en œuvre du projet</w:t>
            </w:r>
          </w:p>
          <w:p w:rsidR="006120B0" w:rsidRPr="000969A4" w:rsidRDefault="006120B0" w:rsidP="00260781">
            <w:pPr>
              <w:rPr>
                <w:u w:val="single"/>
                <w:lang w:val="fr-FR"/>
              </w:rPr>
            </w:pPr>
          </w:p>
        </w:tc>
        <w:tc>
          <w:tcPr>
            <w:tcW w:w="6912" w:type="dxa"/>
          </w:tcPr>
          <w:p w:rsidR="006120B0" w:rsidRPr="00260781" w:rsidRDefault="006120B0" w:rsidP="00260781">
            <w:pPr>
              <w:rPr>
                <w:lang w:val="fr-FR"/>
              </w:rPr>
            </w:pPr>
          </w:p>
          <w:p w:rsidR="006120B0" w:rsidRPr="00260781" w:rsidRDefault="006120B0" w:rsidP="00260781">
            <w:pPr>
              <w:rPr>
                <w:lang w:val="fr-FR"/>
              </w:rPr>
            </w:pPr>
            <w:r w:rsidRPr="00260781">
              <w:rPr>
                <w:lang w:val="fr-FR"/>
              </w:rPr>
              <w:t>à déterminer</w:t>
            </w:r>
          </w:p>
          <w:p w:rsidR="006120B0" w:rsidRPr="00260781" w:rsidRDefault="006120B0" w:rsidP="00260781">
            <w:pPr>
              <w:rPr>
                <w:i/>
                <w:lang w:val="fr-FR"/>
              </w:rPr>
            </w:pPr>
          </w:p>
        </w:tc>
      </w:tr>
      <w:tr w:rsidR="006120B0" w:rsidRPr="000969A4" w:rsidTr="008E4708">
        <w:tc>
          <w:tcPr>
            <w:tcW w:w="2376" w:type="dxa"/>
          </w:tcPr>
          <w:p w:rsidR="006120B0" w:rsidRPr="000969A4" w:rsidRDefault="006120B0" w:rsidP="00260781">
            <w:pPr>
              <w:rPr>
                <w:bCs/>
                <w:u w:val="single"/>
                <w:lang w:val="fr-FR"/>
              </w:rPr>
            </w:pPr>
          </w:p>
          <w:p w:rsidR="006120B0" w:rsidRPr="000969A4" w:rsidRDefault="006120B0" w:rsidP="00260781">
            <w:pPr>
              <w:rPr>
                <w:u w:val="single"/>
                <w:lang w:val="fr-FR"/>
              </w:rPr>
            </w:pPr>
            <w:r w:rsidRPr="000969A4">
              <w:rPr>
                <w:bCs/>
                <w:u w:val="single"/>
                <w:lang w:val="fr-FR"/>
              </w:rPr>
              <w:t>Liens avec d</w:t>
            </w:r>
            <w:r w:rsidR="00A04668">
              <w:rPr>
                <w:bCs/>
                <w:u w:val="single"/>
                <w:lang w:val="fr-FR"/>
              </w:rPr>
              <w:t>’</w:t>
            </w:r>
            <w:r w:rsidRPr="000969A4">
              <w:rPr>
                <w:bCs/>
                <w:u w:val="single"/>
                <w:lang w:val="fr-FR"/>
              </w:rPr>
              <w:t>autres programmes ou projets connexes du Plan d</w:t>
            </w:r>
            <w:r w:rsidR="00A04668">
              <w:rPr>
                <w:bCs/>
                <w:u w:val="single"/>
                <w:lang w:val="fr-FR"/>
              </w:rPr>
              <w:t>’</w:t>
            </w:r>
            <w:r w:rsidRPr="000969A4">
              <w:rPr>
                <w:bCs/>
                <w:u w:val="single"/>
                <w:lang w:val="fr-FR"/>
              </w:rPr>
              <w:t>action pour le développement</w:t>
            </w:r>
          </w:p>
          <w:p w:rsidR="006120B0" w:rsidRPr="000969A4" w:rsidRDefault="006120B0" w:rsidP="00260781">
            <w:pPr>
              <w:rPr>
                <w:u w:val="single"/>
                <w:lang w:val="fr-FR"/>
              </w:rPr>
            </w:pPr>
          </w:p>
        </w:tc>
        <w:tc>
          <w:tcPr>
            <w:tcW w:w="6912" w:type="dxa"/>
          </w:tcPr>
          <w:p w:rsidR="006120B0" w:rsidRPr="00260781" w:rsidRDefault="006120B0" w:rsidP="00260781">
            <w:pPr>
              <w:rPr>
                <w:i/>
                <w:lang w:val="fr-FR"/>
              </w:rPr>
            </w:pPr>
          </w:p>
          <w:p w:rsidR="006120B0" w:rsidRPr="00260781" w:rsidRDefault="006120B0" w:rsidP="00260781">
            <w:pPr>
              <w:rPr>
                <w:lang w:val="fr-FR"/>
              </w:rPr>
            </w:pPr>
            <w:r w:rsidRPr="00260781">
              <w:rPr>
                <w:lang w:val="fr-FR"/>
              </w:rPr>
              <w:t>à déterminer</w:t>
            </w:r>
          </w:p>
          <w:p w:rsidR="006120B0" w:rsidRPr="00260781" w:rsidRDefault="006120B0" w:rsidP="00260781">
            <w:pPr>
              <w:rPr>
                <w:lang w:val="fr-FR"/>
              </w:rPr>
            </w:pPr>
          </w:p>
        </w:tc>
      </w:tr>
      <w:tr w:rsidR="006120B0" w:rsidRPr="000969A4" w:rsidTr="00260781">
        <w:tc>
          <w:tcPr>
            <w:tcW w:w="2376" w:type="dxa"/>
          </w:tcPr>
          <w:p w:rsidR="006120B0" w:rsidRPr="000969A4" w:rsidRDefault="006120B0" w:rsidP="00260781">
            <w:pPr>
              <w:rPr>
                <w:bCs/>
                <w:u w:val="single"/>
                <w:lang w:val="fr-FR"/>
              </w:rPr>
            </w:pPr>
          </w:p>
          <w:p w:rsidR="006120B0" w:rsidRPr="000969A4" w:rsidRDefault="006120B0" w:rsidP="00260781">
            <w:pPr>
              <w:rPr>
                <w:lang w:val="fr-FR"/>
              </w:rPr>
            </w:pPr>
            <w:r w:rsidRPr="000969A4">
              <w:rPr>
                <w:bCs/>
                <w:u w:val="single"/>
                <w:lang w:val="fr-FR"/>
              </w:rPr>
              <w:t>Liens avec les résultats escomptés dans le programme et budget</w:t>
            </w:r>
          </w:p>
          <w:p w:rsidR="006120B0" w:rsidRPr="000969A4" w:rsidDel="00196374" w:rsidRDefault="006120B0" w:rsidP="00260781">
            <w:pPr>
              <w:rPr>
                <w:lang w:val="fr-FR"/>
              </w:rPr>
            </w:pPr>
          </w:p>
        </w:tc>
        <w:tc>
          <w:tcPr>
            <w:tcW w:w="6912" w:type="dxa"/>
          </w:tcPr>
          <w:p w:rsidR="006120B0" w:rsidRPr="00260781" w:rsidRDefault="006120B0" w:rsidP="00260781">
            <w:pPr>
              <w:rPr>
                <w:i/>
                <w:lang w:val="fr-FR"/>
              </w:rPr>
            </w:pPr>
          </w:p>
          <w:p w:rsidR="006120B0" w:rsidRPr="00260781" w:rsidDel="00196374" w:rsidRDefault="006120B0" w:rsidP="00260781">
            <w:pPr>
              <w:rPr>
                <w:lang w:val="fr-FR"/>
              </w:rPr>
            </w:pPr>
            <w:r w:rsidRPr="00260781">
              <w:rPr>
                <w:i/>
                <w:lang w:val="fr-FR"/>
              </w:rPr>
              <w:t>à déterminer</w:t>
            </w:r>
          </w:p>
        </w:tc>
      </w:tr>
      <w:tr w:rsidR="006120B0" w:rsidRPr="000969A4" w:rsidTr="008E4708">
        <w:tc>
          <w:tcPr>
            <w:tcW w:w="2376" w:type="dxa"/>
          </w:tcPr>
          <w:p w:rsidR="006120B0" w:rsidRPr="000969A4" w:rsidRDefault="006120B0" w:rsidP="00260781">
            <w:pPr>
              <w:rPr>
                <w:bCs/>
                <w:u w:val="single"/>
                <w:lang w:val="fr-FR"/>
              </w:rPr>
            </w:pPr>
          </w:p>
          <w:p w:rsidR="006120B0" w:rsidRPr="000969A4" w:rsidRDefault="006120B0" w:rsidP="00260781">
            <w:pPr>
              <w:rPr>
                <w:lang w:val="fr-FR"/>
              </w:rPr>
            </w:pPr>
            <w:r w:rsidRPr="000969A4">
              <w:rPr>
                <w:bCs/>
                <w:u w:val="single"/>
                <w:lang w:val="fr-FR"/>
              </w:rPr>
              <w:t>Durée du projet</w:t>
            </w:r>
          </w:p>
          <w:p w:rsidR="006120B0" w:rsidRPr="000969A4" w:rsidRDefault="006120B0" w:rsidP="00260781">
            <w:pPr>
              <w:rPr>
                <w:b/>
                <w:lang w:val="fr-FR"/>
              </w:rPr>
            </w:pPr>
          </w:p>
        </w:tc>
        <w:tc>
          <w:tcPr>
            <w:tcW w:w="6912" w:type="dxa"/>
          </w:tcPr>
          <w:p w:rsidR="006120B0" w:rsidRPr="00260781" w:rsidRDefault="006120B0" w:rsidP="00260781">
            <w:pPr>
              <w:rPr>
                <w:i/>
                <w:lang w:val="fr-FR"/>
              </w:rPr>
            </w:pPr>
          </w:p>
          <w:p w:rsidR="006120B0" w:rsidRPr="00260781" w:rsidRDefault="006120B0" w:rsidP="00260781">
            <w:pPr>
              <w:rPr>
                <w:i/>
                <w:lang w:val="fr-FR"/>
              </w:rPr>
            </w:pPr>
            <w:r w:rsidRPr="00260781">
              <w:rPr>
                <w:i/>
                <w:lang w:val="fr-FR"/>
              </w:rPr>
              <w:t>36 mois</w:t>
            </w:r>
          </w:p>
        </w:tc>
      </w:tr>
      <w:tr w:rsidR="006120B0" w:rsidRPr="006A653A" w:rsidTr="008E4708">
        <w:tc>
          <w:tcPr>
            <w:tcW w:w="2376" w:type="dxa"/>
          </w:tcPr>
          <w:p w:rsidR="006120B0" w:rsidRPr="000969A4" w:rsidRDefault="006120B0" w:rsidP="00260781">
            <w:pPr>
              <w:rPr>
                <w:bCs/>
                <w:u w:val="single"/>
                <w:lang w:val="fr-FR"/>
              </w:rPr>
            </w:pPr>
          </w:p>
          <w:p w:rsidR="006120B0" w:rsidRPr="000969A4" w:rsidRDefault="006120B0" w:rsidP="00260781">
            <w:pPr>
              <w:rPr>
                <w:lang w:val="fr-FR"/>
              </w:rPr>
            </w:pPr>
            <w:r w:rsidRPr="000969A4">
              <w:rPr>
                <w:bCs/>
                <w:u w:val="single"/>
                <w:lang w:val="fr-FR"/>
              </w:rPr>
              <w:t>Budget du projet</w:t>
            </w:r>
          </w:p>
          <w:p w:rsidR="006120B0" w:rsidRPr="000969A4" w:rsidRDefault="006120B0" w:rsidP="00260781">
            <w:pPr>
              <w:rPr>
                <w:b/>
                <w:lang w:val="fr-FR"/>
              </w:rPr>
            </w:pPr>
          </w:p>
        </w:tc>
        <w:tc>
          <w:tcPr>
            <w:tcW w:w="6912" w:type="dxa"/>
          </w:tcPr>
          <w:p w:rsidR="006120B0" w:rsidRPr="00260781" w:rsidRDefault="006120B0" w:rsidP="00260781">
            <w:pPr>
              <w:rPr>
                <w:lang w:val="fr-FR"/>
              </w:rPr>
            </w:pPr>
          </w:p>
          <w:p w:rsidR="006120B0" w:rsidRPr="00260781" w:rsidRDefault="006120B0" w:rsidP="00260781">
            <w:pPr>
              <w:rPr>
                <w:lang w:val="fr-FR"/>
              </w:rPr>
            </w:pPr>
            <w:r w:rsidRPr="00260781">
              <w:rPr>
                <w:lang w:val="fr-FR"/>
              </w:rPr>
              <w:t>Total hors dépenses de personnel : à déterminer</w:t>
            </w:r>
          </w:p>
          <w:p w:rsidR="006120B0" w:rsidRPr="00260781" w:rsidRDefault="006120B0" w:rsidP="00260781">
            <w:pPr>
              <w:rPr>
                <w:lang w:val="fr-FR"/>
              </w:rPr>
            </w:pPr>
          </w:p>
        </w:tc>
      </w:tr>
      <w:tr w:rsidR="006120B0" w:rsidRPr="000969A4" w:rsidTr="008E470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6120B0" w:rsidRPr="000969A4" w:rsidRDefault="006120B0" w:rsidP="00260781">
            <w:pPr>
              <w:rPr>
                <w:lang w:val="fr-FR"/>
              </w:rPr>
            </w:pPr>
            <w:r w:rsidRPr="000969A4">
              <w:rPr>
                <w:lang w:val="fr-FR"/>
              </w:rPr>
              <w:br w:type="page"/>
            </w:r>
          </w:p>
          <w:p w:rsidR="006120B0" w:rsidRPr="000969A4" w:rsidRDefault="006120B0" w:rsidP="00260781">
            <w:pPr>
              <w:ind w:left="567" w:hanging="567"/>
              <w:rPr>
                <w:bCs/>
                <w:iCs/>
                <w:lang w:val="fr-FR"/>
              </w:rPr>
            </w:pPr>
            <w:r w:rsidRPr="000969A4">
              <w:rPr>
                <w:bCs/>
                <w:iCs/>
                <w:lang w:val="fr-FR"/>
              </w:rPr>
              <w:t>2.</w:t>
            </w:r>
            <w:r w:rsidRPr="000969A4">
              <w:rPr>
                <w:bCs/>
                <w:iCs/>
                <w:lang w:val="fr-FR"/>
              </w:rPr>
              <w:tab/>
              <w:t>DESCRIPTION DU PROJET</w:t>
            </w:r>
          </w:p>
          <w:p w:rsidR="006120B0" w:rsidRPr="000969A4" w:rsidRDefault="006120B0" w:rsidP="00260781">
            <w:pPr>
              <w:rPr>
                <w:b/>
                <w:bCs/>
                <w:lang w:val="fr-FR"/>
              </w:rPr>
            </w:pPr>
          </w:p>
        </w:tc>
      </w:tr>
      <w:tr w:rsidR="006120B0" w:rsidRPr="000969A4" w:rsidTr="008E470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2"/>
          </w:tcPr>
          <w:p w:rsidR="006120B0" w:rsidRPr="000969A4" w:rsidRDefault="006120B0" w:rsidP="00260781">
            <w:pPr>
              <w:rPr>
                <w:bCs/>
                <w:lang w:val="fr-FR"/>
              </w:rPr>
            </w:pPr>
          </w:p>
          <w:p w:rsidR="006120B0" w:rsidRPr="000969A4" w:rsidRDefault="006120B0" w:rsidP="00260781">
            <w:pPr>
              <w:ind w:left="567" w:hanging="567"/>
              <w:rPr>
                <w:bCs/>
                <w:lang w:val="fr-FR"/>
              </w:rPr>
            </w:pPr>
            <w:r w:rsidRPr="000969A4">
              <w:rPr>
                <w:bCs/>
                <w:lang w:val="fr-FR"/>
              </w:rPr>
              <w:t>2.1.</w:t>
            </w:r>
            <w:r w:rsidRPr="000969A4">
              <w:rPr>
                <w:bCs/>
                <w:lang w:val="fr-FR"/>
              </w:rPr>
              <w:tab/>
            </w:r>
            <w:r w:rsidRPr="000969A4">
              <w:rPr>
                <w:bCs/>
                <w:u w:val="single"/>
                <w:lang w:val="fr-FR"/>
              </w:rPr>
              <w:t>Introduction</w:t>
            </w:r>
          </w:p>
          <w:p w:rsidR="006120B0" w:rsidRPr="000969A4" w:rsidRDefault="006120B0" w:rsidP="00260781">
            <w:pPr>
              <w:rPr>
                <w:i/>
                <w:u w:val="single"/>
                <w:lang w:val="fr-FR"/>
              </w:rPr>
            </w:pPr>
          </w:p>
        </w:tc>
      </w:tr>
      <w:tr w:rsidR="006120B0" w:rsidRPr="006A653A" w:rsidTr="008E470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6120B0" w:rsidRPr="000969A4" w:rsidRDefault="006120B0" w:rsidP="00260781">
            <w:pPr>
              <w:autoSpaceDE w:val="0"/>
              <w:autoSpaceDN w:val="0"/>
              <w:adjustRightInd w:val="0"/>
              <w:outlineLvl w:val="0"/>
              <w:rPr>
                <w:rFonts w:eastAsia="Times New Roman"/>
                <w:color w:val="000000"/>
                <w:lang w:val="fr-FR"/>
              </w:rPr>
            </w:pPr>
            <w:bookmarkStart w:id="7" w:name="_Toc423527977"/>
            <w:r w:rsidRPr="000969A4">
              <w:rPr>
                <w:rFonts w:eastAsia="Times New Roman"/>
                <w:color w:val="000000"/>
                <w:lang w:val="fr-FR"/>
              </w:rPr>
              <w:t>Il est unanimement admis que “</w:t>
            </w:r>
            <w:r w:rsidRPr="000969A4">
              <w:rPr>
                <w:rFonts w:eastAsia="Times New Roman"/>
                <w:i/>
                <w:color w:val="000000"/>
                <w:lang w:val="fr-FR"/>
              </w:rPr>
              <w:t>L</w:t>
            </w:r>
            <w:r w:rsidR="00A04668">
              <w:rPr>
                <w:rFonts w:eastAsia="Times New Roman"/>
                <w:i/>
                <w:color w:val="000000"/>
                <w:lang w:val="fr-FR"/>
              </w:rPr>
              <w:t>’</w:t>
            </w:r>
            <w:r w:rsidRPr="000969A4">
              <w:rPr>
                <w:rFonts w:eastAsia="Times New Roman"/>
                <w:i/>
                <w:color w:val="000000"/>
                <w:lang w:val="fr-FR"/>
              </w:rPr>
              <w:t xml:space="preserve">évolution scientifique et technologique modifie profondément les modes de vie, les relations humaines, les communications et les transactions, et a une incidence importante sur le développement économique”, </w:t>
            </w:r>
            <w:r w:rsidRPr="000969A4">
              <w:rPr>
                <w:rFonts w:eastAsia="Times New Roman"/>
                <w:color w:val="000000"/>
                <w:lang w:val="fr-FR"/>
              </w:rPr>
              <w:t>l</w:t>
            </w:r>
            <w:r w:rsidR="00A04668">
              <w:rPr>
                <w:rFonts w:eastAsia="Times New Roman"/>
                <w:color w:val="000000"/>
                <w:lang w:val="fr-FR"/>
              </w:rPr>
              <w:t>’</w:t>
            </w:r>
            <w:r w:rsidRPr="000969A4">
              <w:rPr>
                <w:rFonts w:eastAsia="Times New Roman"/>
                <w:color w:val="000000"/>
                <w:lang w:val="fr-FR"/>
              </w:rPr>
              <w:t>innovation étant le principal moteur de la croissance technologique, qui peut être à l</w:t>
            </w:r>
            <w:r w:rsidR="00A04668">
              <w:rPr>
                <w:rFonts w:eastAsia="Times New Roman"/>
                <w:color w:val="000000"/>
                <w:lang w:val="fr-FR"/>
              </w:rPr>
              <w:t>’</w:t>
            </w:r>
            <w:r w:rsidRPr="000969A4">
              <w:rPr>
                <w:rFonts w:eastAsia="Times New Roman"/>
                <w:color w:val="000000"/>
                <w:lang w:val="fr-FR"/>
              </w:rPr>
              <w:t>origine d</w:t>
            </w:r>
            <w:r w:rsidR="00A04668">
              <w:rPr>
                <w:rFonts w:eastAsia="Times New Roman"/>
                <w:color w:val="000000"/>
                <w:lang w:val="fr-FR"/>
              </w:rPr>
              <w:t>’</w:t>
            </w:r>
            <w:r w:rsidRPr="000969A4">
              <w:rPr>
                <w:rFonts w:eastAsia="Times New Roman"/>
                <w:color w:val="000000"/>
                <w:lang w:val="fr-FR"/>
              </w:rPr>
              <w:t xml:space="preserve">une amélioration du niveau de vie”.  </w:t>
            </w:r>
            <w:bookmarkStart w:id="8" w:name="_Toc423527978"/>
            <w:bookmarkEnd w:id="7"/>
            <w:r w:rsidRPr="000969A4">
              <w:rPr>
                <w:rFonts w:eastAsia="Times New Roman"/>
                <w:color w:val="000000"/>
                <w:lang w:val="fr-FR"/>
              </w:rPr>
              <w:t>La propriété intellectuelle et les droits qui lui sont associés constituent un aspect fondamental de l</w:t>
            </w:r>
            <w:r w:rsidR="00A04668">
              <w:rPr>
                <w:rFonts w:eastAsia="Times New Roman"/>
                <w:color w:val="000000"/>
                <w:lang w:val="fr-FR"/>
              </w:rPr>
              <w:t>’</w:t>
            </w:r>
            <w:r w:rsidRPr="000969A4">
              <w:rPr>
                <w:rFonts w:eastAsia="Times New Roman"/>
                <w:color w:val="000000"/>
                <w:lang w:val="fr-FR"/>
              </w:rPr>
              <w:t>innovation et de la croissance économique, comme le résume si bien cette citation : “</w:t>
            </w:r>
            <w:r w:rsidRPr="000969A4">
              <w:rPr>
                <w:rFonts w:eastAsia="Times New Roman"/>
                <w:i/>
                <w:color w:val="000000"/>
                <w:lang w:val="fr-FR"/>
              </w:rPr>
              <w:t>Les droits de propriété intellectuelle comprennent les brevets, le droit d</w:t>
            </w:r>
            <w:r w:rsidR="00A04668">
              <w:rPr>
                <w:rFonts w:eastAsia="Times New Roman"/>
                <w:i/>
                <w:color w:val="000000"/>
                <w:lang w:val="fr-FR"/>
              </w:rPr>
              <w:t>’</w:t>
            </w:r>
            <w:r w:rsidRPr="000969A4">
              <w:rPr>
                <w:rFonts w:eastAsia="Times New Roman"/>
                <w:i/>
                <w:color w:val="000000"/>
                <w:lang w:val="fr-FR"/>
              </w:rPr>
              <w:t xml:space="preserve">auteur, les marques </w:t>
            </w:r>
            <w:r w:rsidRPr="000969A4">
              <w:rPr>
                <w:rFonts w:eastAsia="Times New Roman"/>
                <w:color w:val="000000"/>
                <w:lang w:val="fr-FR"/>
              </w:rPr>
              <w:t>(dessins et modèles)</w:t>
            </w:r>
            <w:r w:rsidRPr="000969A4">
              <w:rPr>
                <w:rFonts w:eastAsia="Times New Roman"/>
                <w:i/>
                <w:color w:val="000000"/>
                <w:lang w:val="fr-FR"/>
              </w:rPr>
              <w:t xml:space="preserve"> et les secrets d</w:t>
            </w:r>
            <w:r w:rsidR="00A04668">
              <w:rPr>
                <w:rFonts w:eastAsia="Times New Roman"/>
                <w:i/>
                <w:color w:val="000000"/>
                <w:lang w:val="fr-FR"/>
              </w:rPr>
              <w:t>’</w:t>
            </w:r>
            <w:r w:rsidRPr="000969A4">
              <w:rPr>
                <w:rFonts w:eastAsia="Times New Roman"/>
                <w:i/>
                <w:color w:val="000000"/>
                <w:lang w:val="fr-FR"/>
              </w:rPr>
              <w:t>affaires, chacun d</w:t>
            </w:r>
            <w:r w:rsidR="00A04668">
              <w:rPr>
                <w:rFonts w:eastAsia="Times New Roman"/>
                <w:i/>
                <w:color w:val="000000"/>
                <w:lang w:val="fr-FR"/>
              </w:rPr>
              <w:t>’</w:t>
            </w:r>
            <w:r w:rsidRPr="000969A4">
              <w:rPr>
                <w:rFonts w:eastAsia="Times New Roman"/>
                <w:i/>
                <w:color w:val="000000"/>
                <w:lang w:val="fr-FR"/>
              </w:rPr>
              <w:t>eux étant régi par des lois distinctes dans chaque pa</w:t>
            </w:r>
            <w:r w:rsidR="0043436D" w:rsidRPr="000969A4">
              <w:rPr>
                <w:rFonts w:eastAsia="Times New Roman"/>
                <w:i/>
                <w:color w:val="000000"/>
                <w:lang w:val="fr-FR"/>
              </w:rPr>
              <w:t>ys</w:t>
            </w:r>
            <w:r w:rsidR="0043436D">
              <w:rPr>
                <w:rFonts w:eastAsia="Times New Roman"/>
                <w:i/>
                <w:color w:val="000000"/>
                <w:lang w:val="fr-FR"/>
              </w:rPr>
              <w:t xml:space="preserve">.  </w:t>
            </w:r>
            <w:r w:rsidR="0043436D" w:rsidRPr="000969A4">
              <w:rPr>
                <w:rFonts w:eastAsia="Times New Roman"/>
                <w:i/>
                <w:color w:val="000000"/>
                <w:lang w:val="fr-FR"/>
              </w:rPr>
              <w:t>Le</w:t>
            </w:r>
            <w:r w:rsidRPr="000969A4">
              <w:rPr>
                <w:rFonts w:eastAsia="Times New Roman"/>
                <w:i/>
                <w:color w:val="000000"/>
                <w:lang w:val="fr-FR"/>
              </w:rPr>
              <w:t xml:space="preserve"> droit de la propriété intellectuelle a évolué au cours des siècles en tant qu</w:t>
            </w:r>
            <w:r w:rsidR="00A04668">
              <w:rPr>
                <w:rFonts w:eastAsia="Times New Roman"/>
                <w:i/>
                <w:color w:val="000000"/>
                <w:lang w:val="fr-FR"/>
              </w:rPr>
              <w:t>’</w:t>
            </w:r>
            <w:r w:rsidRPr="000969A4">
              <w:rPr>
                <w:rFonts w:eastAsia="Times New Roman"/>
                <w:i/>
                <w:color w:val="000000"/>
                <w:lang w:val="fr-FR"/>
              </w:rPr>
              <w:t>instrument destiné à faire en sorte que le public puisse tirer parti du cycle de l</w:t>
            </w:r>
            <w:r w:rsidR="00A04668">
              <w:rPr>
                <w:rFonts w:eastAsia="Times New Roman"/>
                <w:i/>
                <w:color w:val="000000"/>
                <w:lang w:val="fr-FR"/>
              </w:rPr>
              <w:t>’</w:t>
            </w:r>
            <w:r w:rsidRPr="000969A4">
              <w:rPr>
                <w:rFonts w:eastAsia="Times New Roman"/>
                <w:i/>
                <w:color w:val="000000"/>
                <w:lang w:val="fr-FR"/>
              </w:rPr>
              <w:t>innovati</w:t>
            </w:r>
            <w:r w:rsidR="0043436D" w:rsidRPr="000969A4">
              <w:rPr>
                <w:rFonts w:eastAsia="Times New Roman"/>
                <w:i/>
                <w:color w:val="000000"/>
                <w:lang w:val="fr-FR"/>
              </w:rPr>
              <w:t>on</w:t>
            </w:r>
            <w:r w:rsidR="0043436D">
              <w:rPr>
                <w:rFonts w:eastAsia="Times New Roman"/>
                <w:i/>
                <w:color w:val="000000"/>
                <w:lang w:val="fr-FR"/>
              </w:rPr>
              <w:t xml:space="preserve">.  </w:t>
            </w:r>
            <w:r w:rsidR="0043436D" w:rsidRPr="000969A4">
              <w:rPr>
                <w:rFonts w:eastAsia="Times New Roman"/>
                <w:i/>
                <w:color w:val="000000"/>
                <w:lang w:val="fr-FR"/>
              </w:rPr>
              <w:t>Pa</w:t>
            </w:r>
            <w:r w:rsidRPr="000969A4">
              <w:rPr>
                <w:rFonts w:eastAsia="Times New Roman"/>
                <w:i/>
                <w:color w:val="000000"/>
                <w:lang w:val="fr-FR"/>
              </w:rPr>
              <w:t>rce qu</w:t>
            </w:r>
            <w:r w:rsidR="00A04668">
              <w:rPr>
                <w:rFonts w:eastAsia="Times New Roman"/>
                <w:i/>
                <w:color w:val="000000"/>
                <w:lang w:val="fr-FR"/>
              </w:rPr>
              <w:t>’</w:t>
            </w:r>
            <w:r w:rsidRPr="000969A4">
              <w:rPr>
                <w:rFonts w:eastAsia="Times New Roman"/>
                <w:i/>
                <w:color w:val="000000"/>
                <w:lang w:val="fr-FR"/>
              </w:rPr>
              <w:t>elle est étroitement liée à l</w:t>
            </w:r>
            <w:r w:rsidR="00A04668">
              <w:rPr>
                <w:rFonts w:eastAsia="Times New Roman"/>
                <w:i/>
                <w:color w:val="000000"/>
                <w:lang w:val="fr-FR"/>
              </w:rPr>
              <w:t>’</w:t>
            </w:r>
            <w:r w:rsidRPr="000969A4">
              <w:rPr>
                <w:rFonts w:eastAsia="Times New Roman"/>
                <w:i/>
                <w:color w:val="000000"/>
                <w:lang w:val="fr-FR"/>
              </w:rPr>
              <w:t xml:space="preserve">innovation, la </w:t>
            </w:r>
            <w:r w:rsidRPr="000969A4">
              <w:rPr>
                <w:rFonts w:eastAsia="Times New Roman"/>
                <w:i/>
                <w:color w:val="000000"/>
                <w:lang w:val="fr-FR"/>
              </w:rPr>
              <w:lastRenderedPageBreak/>
              <w:t xml:space="preserve">propriété intellectuelle </w:t>
            </w:r>
            <w:r w:rsidRPr="000969A4">
              <w:rPr>
                <w:rFonts w:eastAsia="Times New Roman"/>
                <w:color w:val="000000"/>
                <w:lang w:val="fr-FR"/>
              </w:rPr>
              <w:t xml:space="preserve">(et, dans bien des cas, les droits qui lui sont associés) </w:t>
            </w:r>
            <w:r w:rsidRPr="000969A4">
              <w:rPr>
                <w:rFonts w:eastAsia="Times New Roman"/>
                <w:i/>
                <w:color w:val="000000"/>
                <w:lang w:val="fr-FR"/>
              </w:rPr>
              <w:t>est la clé de notre avenir</w:t>
            </w:r>
            <w:r w:rsidRPr="000969A4">
              <w:rPr>
                <w:rFonts w:eastAsia="Times New Roman"/>
                <w:color w:val="000000"/>
                <w:lang w:val="fr-FR"/>
              </w:rPr>
              <w:t>”</w:t>
            </w:r>
            <w:r w:rsidRPr="000969A4">
              <w:rPr>
                <w:iCs/>
                <w:color w:val="000000"/>
                <w:vertAlign w:val="superscript"/>
                <w:lang w:val="fr-FR"/>
              </w:rPr>
              <w:footnoteReference w:id="4"/>
            </w:r>
            <w:r w:rsidRPr="000969A4">
              <w:rPr>
                <w:rFonts w:eastAsia="Times New Roman"/>
                <w:color w:val="000000"/>
                <w:lang w:val="fr-FR"/>
              </w:rPr>
              <w:t>.</w:t>
            </w:r>
            <w:bookmarkEnd w:id="8"/>
          </w:p>
          <w:p w:rsidR="006120B0" w:rsidRPr="000969A4" w:rsidRDefault="006120B0" w:rsidP="00260781">
            <w:pPr>
              <w:autoSpaceDE w:val="0"/>
              <w:autoSpaceDN w:val="0"/>
              <w:adjustRightInd w:val="0"/>
              <w:outlineLvl w:val="0"/>
              <w:rPr>
                <w:rFonts w:eastAsia="Times New Roman"/>
                <w:color w:val="000000"/>
                <w:lang w:val="fr-FR"/>
              </w:rPr>
            </w:pPr>
          </w:p>
          <w:p w:rsidR="006120B0" w:rsidRPr="00260781" w:rsidRDefault="006120B0" w:rsidP="00260781">
            <w:pPr>
              <w:rPr>
                <w:bCs/>
                <w:lang w:val="fr-FR"/>
              </w:rPr>
            </w:pPr>
            <w:r w:rsidRPr="00260781">
              <w:rPr>
                <w:bCs/>
                <w:lang w:val="fr-FR"/>
              </w:rPr>
              <w:t>Toutefois, on connaît encore très mal tant la propriété intellectuelle que les droits qui lui sont associés et encore moins la possibilité de faire en sorte que la propriété intellectuelle trouve une application dans le cadre d</w:t>
            </w:r>
            <w:r w:rsidR="00A04668" w:rsidRPr="00260781">
              <w:rPr>
                <w:bCs/>
                <w:lang w:val="fr-FR"/>
              </w:rPr>
              <w:t>’</w:t>
            </w:r>
            <w:r w:rsidRPr="00260781">
              <w:rPr>
                <w:bCs/>
                <w:lang w:val="fr-FR"/>
              </w:rPr>
              <w:t>une chaîne de valorisation de l</w:t>
            </w:r>
            <w:r w:rsidR="00A04668" w:rsidRPr="00260781">
              <w:rPr>
                <w:bCs/>
                <w:lang w:val="fr-FR"/>
              </w:rPr>
              <w:t>’</w:t>
            </w:r>
            <w:r w:rsidRPr="00260781">
              <w:rPr>
                <w:bCs/>
                <w:lang w:val="fr-FR"/>
              </w:rPr>
              <w:t>innovation, afin que les produits, procédés et services qui la concrétisent soient accessibles aux utilisateu</w:t>
            </w:r>
            <w:r w:rsidR="0043436D" w:rsidRPr="00260781">
              <w:rPr>
                <w:bCs/>
                <w:lang w:val="fr-FR"/>
              </w:rPr>
              <w:t>rs.  Ce</w:t>
            </w:r>
            <w:r w:rsidRPr="00260781">
              <w:rPr>
                <w:bCs/>
                <w:lang w:val="fr-FR"/>
              </w:rPr>
              <w:t>tte affirmation est valable pour tous les pays, aussi bien les pays développés que les pays émergents et les pays en développement, mais elle l</w:t>
            </w:r>
            <w:r w:rsidR="00A04668" w:rsidRPr="00260781">
              <w:rPr>
                <w:bCs/>
                <w:lang w:val="fr-FR"/>
              </w:rPr>
              <w:t>’</w:t>
            </w:r>
            <w:r w:rsidRPr="00260781">
              <w:rPr>
                <w:bCs/>
                <w:lang w:val="fr-FR"/>
              </w:rPr>
              <w:t>est encore plus pour les pays en développement.</w:t>
            </w:r>
          </w:p>
          <w:p w:rsidR="006120B0" w:rsidRPr="000969A4" w:rsidRDefault="006120B0" w:rsidP="00260781">
            <w:pPr>
              <w:rPr>
                <w:bCs/>
                <w:lang w:val="fr-FR"/>
              </w:rPr>
            </w:pPr>
          </w:p>
          <w:p w:rsidR="006120B0" w:rsidRPr="000969A4" w:rsidRDefault="006120B0" w:rsidP="00260781">
            <w:pPr>
              <w:rPr>
                <w:bCs/>
                <w:lang w:val="fr-FR"/>
              </w:rPr>
            </w:pPr>
            <w:r w:rsidRPr="000969A4">
              <w:rPr>
                <w:bCs/>
                <w:lang w:val="fr-FR"/>
              </w:rPr>
              <w:t>L</w:t>
            </w:r>
            <w:r w:rsidR="00A04668">
              <w:rPr>
                <w:bCs/>
                <w:lang w:val="fr-FR"/>
              </w:rPr>
              <w:t>’</w:t>
            </w:r>
            <w:r w:rsidRPr="000969A4">
              <w:rPr>
                <w:bCs/>
                <w:lang w:val="fr-FR"/>
              </w:rPr>
              <w:t>action d</w:t>
            </w:r>
            <w:r w:rsidR="00A04668">
              <w:rPr>
                <w:bCs/>
                <w:lang w:val="fr-FR"/>
              </w:rPr>
              <w:t>’</w:t>
            </w:r>
            <w:r w:rsidRPr="000969A4">
              <w:rPr>
                <w:bCs/>
                <w:lang w:val="fr-FR"/>
              </w:rPr>
              <w:t>un certain nombre d</w:t>
            </w:r>
            <w:r w:rsidR="00A04668">
              <w:rPr>
                <w:bCs/>
                <w:lang w:val="fr-FR"/>
              </w:rPr>
              <w:t>’</w:t>
            </w:r>
            <w:r w:rsidRPr="000969A4">
              <w:rPr>
                <w:bCs/>
                <w:lang w:val="fr-FR"/>
              </w:rPr>
              <w:t>acteurs de la chaîne de valorisation de l</w:t>
            </w:r>
            <w:r w:rsidR="00A04668">
              <w:rPr>
                <w:bCs/>
                <w:lang w:val="fr-FR"/>
              </w:rPr>
              <w:t>’</w:t>
            </w:r>
            <w:r w:rsidRPr="000969A4">
              <w:rPr>
                <w:bCs/>
                <w:lang w:val="fr-FR"/>
              </w:rPr>
              <w:t>innovation est requise pour qu</w:t>
            </w:r>
            <w:r w:rsidR="00A04668">
              <w:rPr>
                <w:bCs/>
                <w:lang w:val="fr-FR"/>
              </w:rPr>
              <w:t>’</w:t>
            </w:r>
            <w:r w:rsidRPr="000969A4">
              <w:rPr>
                <w:bCs/>
                <w:lang w:val="fr-FR"/>
              </w:rPr>
              <w:t>un produit arrive sur le marché, notamment :</w:t>
            </w:r>
          </w:p>
          <w:p w:rsidR="006120B0" w:rsidRPr="000969A4" w:rsidRDefault="006120B0" w:rsidP="00260781">
            <w:pPr>
              <w:rPr>
                <w:bCs/>
                <w:lang w:val="fr-FR"/>
              </w:rPr>
            </w:pPr>
          </w:p>
          <w:p w:rsidR="006120B0" w:rsidRPr="009C0B7C" w:rsidRDefault="006120B0" w:rsidP="00260781">
            <w:pPr>
              <w:pStyle w:val="ListParagraph"/>
              <w:widowControl/>
              <w:numPr>
                <w:ilvl w:val="0"/>
                <w:numId w:val="9"/>
              </w:numPr>
              <w:spacing w:after="0" w:line="240" w:lineRule="auto"/>
              <w:ind w:left="1134" w:hanging="567"/>
              <w:rPr>
                <w:rFonts w:ascii="Arial" w:eastAsia="SimSun" w:hAnsi="Arial" w:cs="Arial"/>
                <w:lang w:val="fr-FR" w:eastAsia="zh-CN"/>
              </w:rPr>
            </w:pPr>
            <w:r w:rsidRPr="009C0B7C">
              <w:rPr>
                <w:rFonts w:ascii="Arial" w:eastAsia="SimSun" w:hAnsi="Arial" w:cs="Arial"/>
                <w:lang w:val="fr-FR" w:eastAsia="zh-CN"/>
              </w:rPr>
              <w:t xml:space="preserve">les </w:t>
            </w:r>
            <w:r w:rsidRPr="009C0B7C">
              <w:rPr>
                <w:rFonts w:ascii="Arial" w:eastAsia="SimSun" w:hAnsi="Arial" w:cs="Arial"/>
                <w:i/>
                <w:lang w:val="fr-FR" w:eastAsia="zh-CN"/>
              </w:rPr>
              <w:t>donateurs</w:t>
            </w:r>
            <w:r w:rsidRPr="009C0B7C">
              <w:rPr>
                <w:rFonts w:ascii="Arial" w:eastAsia="SimSun" w:hAnsi="Arial" w:cs="Arial"/>
                <w:lang w:val="fr-FR" w:eastAsia="zh-CN"/>
              </w:rPr>
              <w:t xml:space="preserve"> dans le domaine de la recherche (</w:t>
            </w:r>
            <w:r w:rsidR="00A04668">
              <w:rPr>
                <w:rFonts w:ascii="Arial" w:eastAsia="SimSun" w:hAnsi="Arial" w:cs="Arial"/>
                <w:lang w:val="fr-FR" w:eastAsia="zh-CN"/>
              </w:rPr>
              <w:t>y compris</w:t>
            </w:r>
            <w:r w:rsidRPr="009C0B7C">
              <w:rPr>
                <w:rFonts w:ascii="Arial" w:eastAsia="SimSun" w:hAnsi="Arial" w:cs="Arial"/>
                <w:lang w:val="fr-FR" w:eastAsia="zh-CN"/>
              </w:rPr>
              <w:t xml:space="preserve"> les employés des organismes publics de financement);</w:t>
            </w:r>
          </w:p>
          <w:p w:rsidR="006120B0" w:rsidRPr="009C0B7C" w:rsidRDefault="006120B0" w:rsidP="00260781">
            <w:pPr>
              <w:pStyle w:val="ListParagraph"/>
              <w:widowControl/>
              <w:numPr>
                <w:ilvl w:val="0"/>
                <w:numId w:val="9"/>
              </w:numPr>
              <w:spacing w:after="0" w:line="240" w:lineRule="auto"/>
              <w:ind w:left="1134" w:hanging="567"/>
              <w:rPr>
                <w:rFonts w:ascii="Arial" w:eastAsia="SimSun" w:hAnsi="Arial" w:cs="Arial"/>
                <w:lang w:val="fr-FR" w:eastAsia="zh-CN"/>
              </w:rPr>
            </w:pPr>
            <w:r w:rsidRPr="009C0B7C">
              <w:rPr>
                <w:rFonts w:ascii="Arial" w:eastAsia="SimSun" w:hAnsi="Arial" w:cs="Arial"/>
                <w:lang w:val="fr-FR" w:eastAsia="zh-CN"/>
              </w:rPr>
              <w:t xml:space="preserve">les </w:t>
            </w:r>
            <w:r w:rsidRPr="009C0B7C">
              <w:rPr>
                <w:rFonts w:ascii="Arial" w:eastAsia="SimSun" w:hAnsi="Arial" w:cs="Arial"/>
                <w:i/>
                <w:lang w:val="fr-FR" w:eastAsia="zh-CN"/>
              </w:rPr>
              <w:t>concepteurs</w:t>
            </w:r>
            <w:r w:rsidRPr="009C0B7C">
              <w:rPr>
                <w:rFonts w:ascii="Arial" w:eastAsia="SimSun" w:hAnsi="Arial" w:cs="Arial"/>
                <w:lang w:val="fr-FR" w:eastAsia="zh-CN"/>
              </w:rPr>
              <w:t xml:space="preserve"> de la propriété intellectuelle (</w:t>
            </w:r>
            <w:r w:rsidR="00A04668">
              <w:rPr>
                <w:rFonts w:ascii="Arial" w:eastAsia="SimSun" w:hAnsi="Arial" w:cs="Arial"/>
                <w:lang w:val="fr-FR" w:eastAsia="zh-CN"/>
              </w:rPr>
              <w:t>y compris</w:t>
            </w:r>
            <w:r w:rsidRPr="009C0B7C">
              <w:rPr>
                <w:rFonts w:ascii="Arial" w:eastAsia="SimSun" w:hAnsi="Arial" w:cs="Arial"/>
                <w:lang w:val="fr-FR" w:eastAsia="zh-CN"/>
              </w:rPr>
              <w:t xml:space="preserve"> les chercheurs);</w:t>
            </w:r>
          </w:p>
          <w:p w:rsidR="006120B0" w:rsidRPr="009C0B7C" w:rsidRDefault="006120B0" w:rsidP="00260781">
            <w:pPr>
              <w:pStyle w:val="ListParagraph"/>
              <w:widowControl/>
              <w:numPr>
                <w:ilvl w:val="0"/>
                <w:numId w:val="9"/>
              </w:numPr>
              <w:spacing w:after="0" w:line="240" w:lineRule="auto"/>
              <w:ind w:left="1134" w:hanging="567"/>
              <w:rPr>
                <w:rFonts w:ascii="Arial" w:eastAsia="SimSun" w:hAnsi="Arial" w:cs="Arial"/>
                <w:lang w:val="fr-FR" w:eastAsia="zh-CN"/>
              </w:rPr>
            </w:pPr>
            <w:r w:rsidRPr="009C0B7C">
              <w:rPr>
                <w:rFonts w:ascii="Arial" w:eastAsia="SimSun" w:hAnsi="Arial" w:cs="Arial"/>
                <w:lang w:val="fr-FR" w:eastAsia="zh-CN"/>
              </w:rPr>
              <w:t xml:space="preserve">les </w:t>
            </w:r>
            <w:r w:rsidRPr="009C0B7C">
              <w:rPr>
                <w:rFonts w:ascii="Arial" w:eastAsia="SimSun" w:hAnsi="Arial" w:cs="Arial"/>
                <w:i/>
                <w:lang w:val="fr-FR" w:eastAsia="zh-CN"/>
              </w:rPr>
              <w:t>gestionnaires</w:t>
            </w:r>
            <w:r w:rsidRPr="009C0B7C">
              <w:rPr>
                <w:rFonts w:ascii="Arial" w:eastAsia="SimSun" w:hAnsi="Arial" w:cs="Arial"/>
                <w:lang w:val="fr-FR" w:eastAsia="zh-CN"/>
              </w:rPr>
              <w:t xml:space="preserve"> de la propriété intellectuelle (</w:t>
            </w:r>
            <w:r w:rsidR="00A04668">
              <w:rPr>
                <w:rFonts w:ascii="Arial" w:eastAsia="SimSun" w:hAnsi="Arial" w:cs="Arial"/>
                <w:lang w:val="fr-FR" w:eastAsia="zh-CN"/>
              </w:rPr>
              <w:t>y compris</w:t>
            </w:r>
            <w:r w:rsidRPr="009C0B7C">
              <w:rPr>
                <w:rFonts w:ascii="Arial" w:eastAsia="SimSun" w:hAnsi="Arial" w:cs="Arial"/>
                <w:lang w:val="fr-FR" w:eastAsia="zh-CN"/>
              </w:rPr>
              <w:t xml:space="preserve"> les fonctionnaires des bureaux de transfert de technologie);  et</w:t>
            </w:r>
          </w:p>
          <w:p w:rsidR="006120B0" w:rsidRPr="000969A4" w:rsidRDefault="006120B0" w:rsidP="00260781">
            <w:pPr>
              <w:numPr>
                <w:ilvl w:val="0"/>
                <w:numId w:val="9"/>
              </w:numPr>
              <w:ind w:left="1134" w:hanging="567"/>
              <w:rPr>
                <w:lang w:val="fr-FR"/>
              </w:rPr>
            </w:pPr>
            <w:r w:rsidRPr="009C0B7C">
              <w:rPr>
                <w:lang w:val="fr-FR"/>
              </w:rPr>
              <w:t xml:space="preserve">les </w:t>
            </w:r>
            <w:r w:rsidRPr="009C0B7C">
              <w:rPr>
                <w:i/>
                <w:lang w:val="fr-FR"/>
              </w:rPr>
              <w:t>utilisateurs</w:t>
            </w:r>
            <w:r w:rsidRPr="009C0B7C">
              <w:rPr>
                <w:lang w:val="fr-FR"/>
              </w:rPr>
              <w:t xml:space="preserve"> de la pro</w:t>
            </w:r>
            <w:r w:rsidRPr="000969A4">
              <w:rPr>
                <w:lang w:val="fr-FR"/>
              </w:rPr>
              <w:t>priété intellectuelle (</w:t>
            </w:r>
            <w:r w:rsidR="00A04668">
              <w:rPr>
                <w:lang w:val="fr-FR"/>
              </w:rPr>
              <w:t>y compris</w:t>
            </w:r>
            <w:r w:rsidRPr="000969A4">
              <w:rPr>
                <w:lang w:val="fr-FR"/>
              </w:rPr>
              <w:t xml:space="preserve"> les PME).</w:t>
            </w:r>
          </w:p>
          <w:p w:rsidR="006120B0" w:rsidRPr="000969A4" w:rsidRDefault="006120B0" w:rsidP="00260781">
            <w:pPr>
              <w:rPr>
                <w:highlight w:val="cyan"/>
                <w:lang w:val="fr-FR"/>
              </w:rPr>
            </w:pPr>
          </w:p>
          <w:p w:rsidR="006120B0" w:rsidRDefault="006120B0" w:rsidP="00260781">
            <w:pPr>
              <w:rPr>
                <w:lang w:val="fr-FR"/>
              </w:rPr>
            </w:pPr>
            <w:r w:rsidRPr="000969A4">
              <w:rPr>
                <w:lang w:val="fr-FR"/>
              </w:rPr>
              <w:t>Ces différents acteurs doivent avoir une parfaite compréhension</w:t>
            </w:r>
          </w:p>
          <w:p w:rsidR="009C0B7C" w:rsidRPr="000969A4" w:rsidRDefault="009C0B7C" w:rsidP="00260781">
            <w:pPr>
              <w:rPr>
                <w:lang w:val="fr-FR"/>
              </w:rPr>
            </w:pPr>
          </w:p>
          <w:p w:rsidR="006120B0" w:rsidRPr="000969A4" w:rsidRDefault="006120B0" w:rsidP="00260781">
            <w:pPr>
              <w:numPr>
                <w:ilvl w:val="0"/>
                <w:numId w:val="10"/>
              </w:numPr>
              <w:spacing w:after="160"/>
              <w:ind w:left="1134" w:hanging="567"/>
              <w:contextualSpacing/>
              <w:rPr>
                <w:color w:val="000000"/>
                <w:lang w:val="fr-FR" w:eastAsia="en-ZA"/>
              </w:rPr>
            </w:pPr>
            <w:r w:rsidRPr="000969A4">
              <w:rPr>
                <w:color w:val="000000"/>
                <w:lang w:val="fr-FR" w:eastAsia="en-ZA"/>
              </w:rPr>
              <w:t>de la propriété intellectuelle et des stratégies connexes de protection de la propriété intellectuelle applicables à différents types de technologie;</w:t>
            </w:r>
          </w:p>
          <w:p w:rsidR="006120B0" w:rsidRPr="000969A4" w:rsidRDefault="006120B0" w:rsidP="00260781">
            <w:pPr>
              <w:ind w:left="1134" w:hanging="567"/>
              <w:rPr>
                <w:color w:val="000000"/>
                <w:lang w:val="fr-FR" w:eastAsia="en-ZA"/>
              </w:rPr>
            </w:pPr>
          </w:p>
          <w:p w:rsidR="006120B0" w:rsidRPr="000969A4" w:rsidRDefault="006120B0" w:rsidP="00260781">
            <w:pPr>
              <w:numPr>
                <w:ilvl w:val="0"/>
                <w:numId w:val="10"/>
              </w:numPr>
              <w:spacing w:after="160"/>
              <w:ind w:left="1134" w:hanging="567"/>
              <w:contextualSpacing/>
              <w:rPr>
                <w:color w:val="000000"/>
                <w:lang w:val="fr-FR" w:eastAsia="en-ZA"/>
              </w:rPr>
            </w:pPr>
            <w:r w:rsidRPr="000969A4">
              <w:rPr>
                <w:color w:val="000000"/>
                <w:lang w:val="fr-FR" w:eastAsia="en-ZA"/>
              </w:rPr>
              <w:t xml:space="preserve">de la gestion active de la propriété intellectuelle, </w:t>
            </w:r>
            <w:r w:rsidR="00A04668">
              <w:rPr>
                <w:color w:val="000000"/>
                <w:lang w:val="fr-FR" w:eastAsia="en-ZA"/>
              </w:rPr>
              <w:t>y compris</w:t>
            </w:r>
            <w:r w:rsidRPr="000969A4">
              <w:rPr>
                <w:color w:val="000000"/>
                <w:lang w:val="fr-FR" w:eastAsia="en-ZA"/>
              </w:rPr>
              <w:t xml:space="preserve"> le contrôle des activités portant atteinte aux droits, l</w:t>
            </w:r>
            <w:r w:rsidR="00A04668">
              <w:rPr>
                <w:color w:val="000000"/>
                <w:lang w:val="fr-FR" w:eastAsia="en-ZA"/>
              </w:rPr>
              <w:t>’</w:t>
            </w:r>
            <w:r w:rsidRPr="000969A4">
              <w:rPr>
                <w:color w:val="000000"/>
                <w:lang w:val="fr-FR" w:eastAsia="en-ZA"/>
              </w:rPr>
              <w:t>accent étant mis en particulier sur la fourniture aux pays en développement des moyens de veiller à ce que des tiers ne portent pas atteinte à leurs droits exclusifs;</w:t>
            </w:r>
          </w:p>
          <w:p w:rsidR="006120B0" w:rsidRPr="000969A4" w:rsidRDefault="006120B0" w:rsidP="00260781">
            <w:pPr>
              <w:ind w:left="1134" w:hanging="567"/>
              <w:rPr>
                <w:color w:val="000000"/>
                <w:lang w:val="fr-FR" w:eastAsia="en-ZA"/>
              </w:rPr>
            </w:pPr>
          </w:p>
          <w:p w:rsidR="006120B0" w:rsidRPr="000969A4" w:rsidRDefault="006120B0" w:rsidP="00260781">
            <w:pPr>
              <w:numPr>
                <w:ilvl w:val="0"/>
                <w:numId w:val="10"/>
              </w:numPr>
              <w:ind w:left="1134" w:hanging="567"/>
              <w:contextualSpacing/>
              <w:rPr>
                <w:color w:val="000000"/>
                <w:lang w:val="fr-FR" w:eastAsia="en-ZA"/>
              </w:rPr>
            </w:pPr>
            <w:r w:rsidRPr="000969A4">
              <w:rPr>
                <w:color w:val="000000"/>
                <w:lang w:val="fr-FR" w:eastAsia="en-ZA"/>
              </w:rPr>
              <w:t>de la commercialisation de la propriété intellectuelle et de la manière de négocier avec leurs partenaires;</w:t>
            </w:r>
          </w:p>
          <w:p w:rsidR="006120B0" w:rsidRPr="000969A4" w:rsidRDefault="006120B0" w:rsidP="00260781">
            <w:pPr>
              <w:ind w:left="1134" w:hanging="567"/>
              <w:rPr>
                <w:color w:val="000000"/>
                <w:lang w:val="fr-FR" w:eastAsia="en-ZA"/>
              </w:rPr>
            </w:pPr>
          </w:p>
          <w:p w:rsidR="006120B0" w:rsidRPr="000969A4" w:rsidRDefault="006120B0" w:rsidP="00260781">
            <w:pPr>
              <w:numPr>
                <w:ilvl w:val="0"/>
                <w:numId w:val="10"/>
              </w:numPr>
              <w:spacing w:after="160"/>
              <w:ind w:left="1134" w:hanging="567"/>
              <w:contextualSpacing/>
              <w:rPr>
                <w:color w:val="000000"/>
                <w:lang w:val="fr-FR" w:eastAsia="en-ZA"/>
              </w:rPr>
            </w:pPr>
            <w:r w:rsidRPr="000969A4">
              <w:rPr>
                <w:color w:val="000000"/>
                <w:lang w:val="fr-FR" w:eastAsia="en-ZA"/>
              </w:rPr>
              <w:t>de la conclusion d</w:t>
            </w:r>
            <w:r w:rsidR="00A04668">
              <w:rPr>
                <w:color w:val="000000"/>
                <w:lang w:val="fr-FR" w:eastAsia="en-ZA"/>
              </w:rPr>
              <w:t>’</w:t>
            </w:r>
            <w:r w:rsidRPr="000969A4">
              <w:rPr>
                <w:color w:val="000000"/>
                <w:lang w:val="fr-FR" w:eastAsia="en-ZA"/>
              </w:rPr>
              <w:t xml:space="preserve">accords de commercialisation, </w:t>
            </w:r>
            <w:r w:rsidR="00A04668">
              <w:rPr>
                <w:color w:val="000000"/>
                <w:lang w:val="fr-FR" w:eastAsia="en-ZA"/>
              </w:rPr>
              <w:t>y compris</w:t>
            </w:r>
            <w:r w:rsidRPr="000969A4">
              <w:rPr>
                <w:color w:val="000000"/>
                <w:lang w:val="fr-FR" w:eastAsia="en-ZA"/>
              </w:rPr>
              <w:t xml:space="preserve"> les stratégies de négociation et les écueils à éviter, ainsi que de la manière de créer une jeune entreprise et, ultérieurement, de la céder;</w:t>
            </w:r>
          </w:p>
          <w:p w:rsidR="006120B0" w:rsidRPr="000969A4" w:rsidRDefault="006120B0" w:rsidP="00260781">
            <w:pPr>
              <w:ind w:left="1134" w:hanging="567"/>
              <w:rPr>
                <w:color w:val="000000"/>
                <w:lang w:val="fr-FR" w:eastAsia="en-ZA"/>
              </w:rPr>
            </w:pPr>
          </w:p>
          <w:p w:rsidR="006120B0" w:rsidRPr="000969A4" w:rsidRDefault="006120B0" w:rsidP="00260781">
            <w:pPr>
              <w:numPr>
                <w:ilvl w:val="0"/>
                <w:numId w:val="10"/>
              </w:numPr>
              <w:spacing w:after="160"/>
              <w:ind w:left="1134" w:hanging="567"/>
              <w:contextualSpacing/>
              <w:rPr>
                <w:color w:val="000000"/>
                <w:lang w:val="fr-FR" w:eastAsia="en-ZA"/>
              </w:rPr>
            </w:pPr>
            <w:r w:rsidRPr="000969A4">
              <w:rPr>
                <w:lang w:val="fr-FR"/>
              </w:rPr>
              <w:t xml:space="preserve">des stratégies de commercialisation sur le marché mondial;  </w:t>
            </w:r>
            <w:r w:rsidRPr="000969A4">
              <w:rPr>
                <w:color w:val="000000"/>
                <w:lang w:val="fr-FR" w:eastAsia="en-ZA"/>
              </w:rPr>
              <w:t>et</w:t>
            </w:r>
          </w:p>
          <w:p w:rsidR="006120B0" w:rsidRPr="000969A4" w:rsidRDefault="006120B0" w:rsidP="00260781">
            <w:pPr>
              <w:ind w:left="1134" w:hanging="567"/>
              <w:rPr>
                <w:color w:val="000000"/>
                <w:lang w:val="fr-FR" w:eastAsia="en-ZA"/>
              </w:rPr>
            </w:pPr>
          </w:p>
          <w:p w:rsidR="006120B0" w:rsidRPr="000969A4" w:rsidRDefault="006120B0" w:rsidP="00260781">
            <w:pPr>
              <w:numPr>
                <w:ilvl w:val="0"/>
                <w:numId w:val="10"/>
              </w:numPr>
              <w:ind w:left="1134" w:hanging="567"/>
              <w:contextualSpacing/>
              <w:rPr>
                <w:lang w:val="fr-FR"/>
              </w:rPr>
            </w:pPr>
            <w:r w:rsidRPr="000969A4">
              <w:rPr>
                <w:lang w:val="fr-FR"/>
              </w:rPr>
              <w:t>de l</w:t>
            </w:r>
            <w:r w:rsidR="00A04668">
              <w:rPr>
                <w:lang w:val="fr-FR"/>
              </w:rPr>
              <w:t>’</w:t>
            </w:r>
            <w:r w:rsidRPr="000969A4">
              <w:rPr>
                <w:lang w:val="fr-FR"/>
              </w:rPr>
              <w:t xml:space="preserve">utilisation des instruments de propriété intellectuelle, </w:t>
            </w:r>
            <w:r w:rsidR="00A04668">
              <w:rPr>
                <w:lang w:val="fr-FR"/>
              </w:rPr>
              <w:t>y compris</w:t>
            </w:r>
            <w:r w:rsidRPr="000969A4">
              <w:rPr>
                <w:lang w:val="fr-FR"/>
              </w:rPr>
              <w:t xml:space="preserve"> les éléments de flexibilité prévus, pour accéder aux technologies permettant de satisfaire les besoins en matière de technologie de leur pays.</w:t>
            </w:r>
          </w:p>
          <w:p w:rsidR="006120B0" w:rsidRPr="000969A4" w:rsidRDefault="006120B0" w:rsidP="00260781">
            <w:pPr>
              <w:spacing w:after="160"/>
              <w:contextualSpacing/>
              <w:rPr>
                <w:color w:val="000000"/>
                <w:lang w:val="fr-FR" w:eastAsia="en-ZA"/>
              </w:rPr>
            </w:pPr>
          </w:p>
          <w:p w:rsidR="006120B0" w:rsidRPr="00260781" w:rsidRDefault="006120B0" w:rsidP="00260781">
            <w:pPr>
              <w:rPr>
                <w:bCs/>
                <w:spacing w:val="-2"/>
                <w:lang w:val="fr-FR"/>
              </w:rPr>
            </w:pPr>
            <w:r w:rsidRPr="00260781">
              <w:rPr>
                <w:bCs/>
                <w:spacing w:val="-2"/>
                <w:lang w:val="fr-FR"/>
              </w:rPr>
              <w:t>Le projet sera donc axé sur le renforcement des capacités dans le domaine de la gestion de la propriété intellectuelle et du transfert de technologie et s</w:t>
            </w:r>
            <w:r w:rsidR="00A04668" w:rsidRPr="00260781">
              <w:rPr>
                <w:bCs/>
                <w:spacing w:val="-2"/>
                <w:lang w:val="fr-FR"/>
              </w:rPr>
              <w:t>’</w:t>
            </w:r>
            <w:r w:rsidRPr="00260781">
              <w:rPr>
                <w:bCs/>
                <w:spacing w:val="-2"/>
                <w:lang w:val="fr-FR"/>
              </w:rPr>
              <w:t>articulera autour des volets suivants :</w:t>
            </w:r>
          </w:p>
          <w:p w:rsidR="009C0B7C" w:rsidRDefault="009C0B7C" w:rsidP="00260781">
            <w:pPr>
              <w:rPr>
                <w:bCs/>
                <w:lang w:val="fr-FR"/>
              </w:rPr>
            </w:pPr>
          </w:p>
          <w:p w:rsidR="006120B0" w:rsidRPr="00260781" w:rsidRDefault="006120B0" w:rsidP="00260781">
            <w:pPr>
              <w:numPr>
                <w:ilvl w:val="0"/>
                <w:numId w:val="5"/>
              </w:numPr>
              <w:tabs>
                <w:tab w:val="clear" w:pos="567"/>
                <w:tab w:val="num" w:pos="1134"/>
              </w:tabs>
              <w:spacing w:after="220"/>
              <w:ind w:left="567"/>
              <w:rPr>
                <w:spacing w:val="-2"/>
                <w:lang w:val="fr-FR"/>
              </w:rPr>
            </w:pPr>
            <w:r w:rsidRPr="00260781">
              <w:rPr>
                <w:spacing w:val="-2"/>
                <w:lang w:val="fr-FR"/>
              </w:rPr>
              <w:t xml:space="preserve">recensement des instruments de propriété intellectuelle existants ou potentiels aux fins de la gestion de la propriété intellectuelle et du transfert de technologie, </w:t>
            </w:r>
            <w:r w:rsidR="00A04668" w:rsidRPr="00260781">
              <w:rPr>
                <w:spacing w:val="-2"/>
                <w:lang w:val="fr-FR"/>
              </w:rPr>
              <w:t>y compris</w:t>
            </w:r>
            <w:r w:rsidRPr="00260781">
              <w:rPr>
                <w:spacing w:val="-2"/>
                <w:lang w:val="fr-FR"/>
              </w:rPr>
              <w:t xml:space="preserve"> des études de cas pertinents portant sur un large éventail de domaines technologiques;</w:t>
            </w:r>
          </w:p>
          <w:p w:rsidR="006120B0" w:rsidRPr="000969A4" w:rsidRDefault="006120B0" w:rsidP="00260781">
            <w:pPr>
              <w:numPr>
                <w:ilvl w:val="0"/>
                <w:numId w:val="5"/>
              </w:numPr>
              <w:tabs>
                <w:tab w:val="clear" w:pos="567"/>
                <w:tab w:val="num" w:pos="1134"/>
              </w:tabs>
              <w:spacing w:after="220"/>
              <w:ind w:left="567"/>
              <w:rPr>
                <w:lang w:val="fr-FR"/>
              </w:rPr>
            </w:pPr>
            <w:r w:rsidRPr="000969A4">
              <w:rPr>
                <w:lang w:val="fr-FR"/>
              </w:rPr>
              <w:lastRenderedPageBreak/>
              <w:t>renforcement des capacités des principaux acteurs parmi les donateurs, concepteurs, gestionnaires et utilisateurs dans le domaine de la propriété intellectuelle;  et</w:t>
            </w:r>
          </w:p>
          <w:p w:rsidR="006120B0" w:rsidRPr="000969A4" w:rsidRDefault="006120B0" w:rsidP="00260781">
            <w:pPr>
              <w:numPr>
                <w:ilvl w:val="0"/>
                <w:numId w:val="5"/>
              </w:numPr>
              <w:tabs>
                <w:tab w:val="clear" w:pos="567"/>
                <w:tab w:val="num" w:pos="1134"/>
              </w:tabs>
              <w:spacing w:after="220"/>
              <w:ind w:left="567"/>
              <w:rPr>
                <w:lang w:val="fr-FR"/>
              </w:rPr>
            </w:pPr>
            <w:r w:rsidRPr="000969A4">
              <w:rPr>
                <w:lang w:val="fr-FR"/>
              </w:rPr>
              <w:t>analyse d</w:t>
            </w:r>
            <w:r w:rsidR="00A04668">
              <w:rPr>
                <w:lang w:val="fr-FR"/>
              </w:rPr>
              <w:t>’</w:t>
            </w:r>
            <w:r w:rsidRPr="000969A4">
              <w:rPr>
                <w:lang w:val="fr-FR"/>
              </w:rPr>
              <w:t>études de cas au niveau local afin d</w:t>
            </w:r>
            <w:r w:rsidR="00A04668">
              <w:rPr>
                <w:lang w:val="fr-FR"/>
              </w:rPr>
              <w:t>’</w:t>
            </w:r>
            <w:r w:rsidRPr="000969A4">
              <w:rPr>
                <w:lang w:val="fr-FR"/>
              </w:rPr>
              <w:t>élaborer des guides stratégiques et de la documentation locale sur les possibilités de s</w:t>
            </w:r>
            <w:r w:rsidR="00A04668">
              <w:rPr>
                <w:lang w:val="fr-FR"/>
              </w:rPr>
              <w:t>’</w:t>
            </w:r>
            <w:r w:rsidRPr="000969A4">
              <w:rPr>
                <w:lang w:val="fr-FR"/>
              </w:rPr>
              <w:t>appuyer sur la propriété intellectuelle en vue de stimuler le développement socioéconomique.</w:t>
            </w:r>
          </w:p>
          <w:p w:rsidR="006120B0" w:rsidRPr="000969A4" w:rsidRDefault="006120B0" w:rsidP="00260781">
            <w:pPr>
              <w:rPr>
                <w:bCs/>
                <w:highlight w:val="yellow"/>
                <w:lang w:val="fr-FR"/>
              </w:rPr>
            </w:pPr>
            <w:r w:rsidRPr="000969A4">
              <w:rPr>
                <w:bCs/>
                <w:lang w:val="fr-FR"/>
              </w:rPr>
              <w:t>Le projet s</w:t>
            </w:r>
            <w:r w:rsidR="00A04668">
              <w:rPr>
                <w:bCs/>
                <w:lang w:val="fr-FR"/>
              </w:rPr>
              <w:t>’</w:t>
            </w:r>
            <w:r w:rsidRPr="000969A4">
              <w:rPr>
                <w:bCs/>
                <w:lang w:val="fr-FR"/>
              </w:rPr>
              <w:t>inscrit parfaitement dans le cadre du Plan d</w:t>
            </w:r>
            <w:r w:rsidR="00A04668">
              <w:rPr>
                <w:bCs/>
                <w:lang w:val="fr-FR"/>
              </w:rPr>
              <w:t>’</w:t>
            </w:r>
            <w:r w:rsidRPr="000969A4">
              <w:rPr>
                <w:bCs/>
                <w:lang w:val="fr-FR"/>
              </w:rPr>
              <w:t>action pour le développement dans la mesure où il vise à démontrer de quelle manière les pays en développement peuvent tirer parti du renforcement des capacités en matière de gestion de la propriété intellectuelle et de transfert de technolog</w:t>
            </w:r>
            <w:r w:rsidR="0043436D" w:rsidRPr="000969A4">
              <w:rPr>
                <w:bCs/>
                <w:lang w:val="fr-FR"/>
              </w:rPr>
              <w:t>ie</w:t>
            </w:r>
            <w:r w:rsidR="0043436D">
              <w:rPr>
                <w:bCs/>
                <w:lang w:val="fr-FR"/>
              </w:rPr>
              <w:t xml:space="preserve">.  </w:t>
            </w:r>
            <w:r w:rsidR="0043436D" w:rsidRPr="000969A4">
              <w:rPr>
                <w:bCs/>
                <w:lang w:val="fr-FR"/>
              </w:rPr>
              <w:t>Me</w:t>
            </w:r>
            <w:r w:rsidRPr="000969A4">
              <w:rPr>
                <w:bCs/>
                <w:lang w:val="fr-FR"/>
              </w:rPr>
              <w:t>ttant l</w:t>
            </w:r>
            <w:r w:rsidR="00A04668">
              <w:rPr>
                <w:bCs/>
                <w:lang w:val="fr-FR"/>
              </w:rPr>
              <w:t>’</w:t>
            </w:r>
            <w:r w:rsidRPr="000969A4">
              <w:rPr>
                <w:bCs/>
                <w:lang w:val="fr-FR"/>
              </w:rPr>
              <w:t>accent sur les données d</w:t>
            </w:r>
            <w:r w:rsidR="00A04668">
              <w:rPr>
                <w:bCs/>
                <w:lang w:val="fr-FR"/>
              </w:rPr>
              <w:t>’</w:t>
            </w:r>
            <w:r w:rsidRPr="000969A4">
              <w:rPr>
                <w:bCs/>
                <w:lang w:val="fr-FR"/>
              </w:rPr>
              <w:t>expérience dans un certain nombre de pays pilotes, dont l</w:t>
            </w:r>
            <w:r w:rsidR="00A04668">
              <w:rPr>
                <w:bCs/>
                <w:lang w:val="fr-FR"/>
              </w:rPr>
              <w:t>’</w:t>
            </w:r>
            <w:r w:rsidRPr="000969A4">
              <w:rPr>
                <w:bCs/>
                <w:lang w:val="fr-FR"/>
              </w:rPr>
              <w:t>Afrique du Sud, le projet mettra en évidence dans quelle mesure l</w:t>
            </w:r>
            <w:r w:rsidR="00A04668">
              <w:rPr>
                <w:bCs/>
                <w:lang w:val="fr-FR"/>
              </w:rPr>
              <w:t>’</w:t>
            </w:r>
            <w:r w:rsidRPr="000969A4">
              <w:rPr>
                <w:bCs/>
                <w:lang w:val="fr-FR"/>
              </w:rPr>
              <w:t>utilisation stratégique des instruments de propriété intellectuelle peut ouvrir des perspectives en matière de développement socioéconomique.</w:t>
            </w:r>
          </w:p>
          <w:p w:rsidR="006120B0" w:rsidRPr="000969A4" w:rsidRDefault="006120B0" w:rsidP="00260781">
            <w:pPr>
              <w:rPr>
                <w:bCs/>
                <w:highlight w:val="yellow"/>
                <w:lang w:val="fr-FR"/>
              </w:rPr>
            </w:pPr>
          </w:p>
        </w:tc>
      </w:tr>
      <w:tr w:rsidR="006120B0" w:rsidRPr="000969A4" w:rsidTr="008E470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000"/>
        </w:trPr>
        <w:tc>
          <w:tcPr>
            <w:tcW w:w="9288" w:type="dxa"/>
            <w:gridSpan w:val="2"/>
          </w:tcPr>
          <w:p w:rsidR="006120B0" w:rsidRPr="000969A4" w:rsidRDefault="006120B0" w:rsidP="00260781">
            <w:pPr>
              <w:rPr>
                <w:bCs/>
                <w:iCs/>
                <w:lang w:val="fr-FR"/>
              </w:rPr>
            </w:pPr>
          </w:p>
          <w:p w:rsidR="006120B0" w:rsidRPr="000969A4" w:rsidRDefault="006120B0" w:rsidP="00260781">
            <w:pPr>
              <w:ind w:left="567" w:hanging="567"/>
              <w:rPr>
                <w:bCs/>
                <w:iCs/>
                <w:lang w:val="fr-FR"/>
              </w:rPr>
            </w:pPr>
            <w:r w:rsidRPr="000969A4">
              <w:rPr>
                <w:bCs/>
                <w:iCs/>
                <w:lang w:val="fr-FR"/>
              </w:rPr>
              <w:t>2.2.</w:t>
            </w:r>
            <w:r w:rsidRPr="000969A4">
              <w:rPr>
                <w:bCs/>
                <w:iCs/>
                <w:lang w:val="fr-FR"/>
              </w:rPr>
              <w:tab/>
            </w:r>
            <w:r w:rsidRPr="000969A4">
              <w:rPr>
                <w:bCs/>
                <w:iCs/>
                <w:u w:val="single"/>
                <w:lang w:val="fr-FR"/>
              </w:rPr>
              <w:t>Objectifs</w:t>
            </w:r>
          </w:p>
          <w:p w:rsidR="006120B0" w:rsidRPr="000969A4" w:rsidRDefault="006120B0" w:rsidP="00260781">
            <w:pPr>
              <w:rPr>
                <w:i/>
                <w:lang w:val="fr-FR"/>
              </w:rPr>
            </w:pPr>
          </w:p>
        </w:tc>
      </w:tr>
      <w:tr w:rsidR="006120B0" w:rsidRPr="006A653A" w:rsidTr="008E470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tcPr>
          <w:p w:rsidR="006120B0" w:rsidRPr="000969A4" w:rsidRDefault="006120B0" w:rsidP="00260781">
            <w:pPr>
              <w:rPr>
                <w:lang w:val="fr-FR"/>
              </w:rPr>
            </w:pPr>
          </w:p>
          <w:p w:rsidR="006120B0" w:rsidRPr="000969A4" w:rsidRDefault="006120B0" w:rsidP="00260781">
            <w:pPr>
              <w:rPr>
                <w:lang w:val="fr-FR"/>
              </w:rPr>
            </w:pPr>
            <w:r w:rsidRPr="000969A4">
              <w:rPr>
                <w:lang w:val="fr-FR"/>
              </w:rPr>
              <w:t>Ce projet concerne les recommandations n</w:t>
            </w:r>
            <w:r w:rsidRPr="000969A4">
              <w:rPr>
                <w:vertAlign w:val="superscript"/>
                <w:lang w:val="fr-FR"/>
              </w:rPr>
              <w:t>os</w:t>
            </w:r>
            <w:r w:rsidRPr="000969A4">
              <w:rPr>
                <w:lang w:val="fr-FR"/>
              </w:rPr>
              <w:t> </w:t>
            </w:r>
            <w:r w:rsidRPr="000969A4">
              <w:rPr>
                <w:bCs/>
                <w:lang w:val="fr-FR"/>
              </w:rPr>
              <w:t>1, 10, 12, 23, 25, 31 et 40</w:t>
            </w:r>
            <w:r w:rsidRPr="000969A4">
              <w:rPr>
                <w:lang w:val="fr-FR"/>
              </w:rPr>
              <w:t>, du Plan d</w:t>
            </w:r>
            <w:r w:rsidR="00A04668">
              <w:rPr>
                <w:lang w:val="fr-FR"/>
              </w:rPr>
              <w:t>’</w:t>
            </w:r>
            <w:r w:rsidRPr="000969A4">
              <w:rPr>
                <w:lang w:val="fr-FR"/>
              </w:rPr>
              <w:t>action pour le développement et vise l</w:t>
            </w:r>
            <w:r w:rsidR="00A04668">
              <w:rPr>
                <w:lang w:val="fr-FR"/>
              </w:rPr>
              <w:t>’</w:t>
            </w:r>
            <w:r w:rsidRPr="000969A4">
              <w:rPr>
                <w:lang w:val="fr-FR"/>
              </w:rPr>
              <w:t>objectif général et les objectifs particuliers indiqués ci</w:t>
            </w:r>
            <w:r w:rsidR="0043436D">
              <w:rPr>
                <w:lang w:val="fr-FR"/>
              </w:rPr>
              <w:noBreakHyphen/>
            </w:r>
            <w:r w:rsidRPr="000969A4">
              <w:rPr>
                <w:lang w:val="fr-FR"/>
              </w:rPr>
              <w:t>dessous :</w:t>
            </w:r>
            <w:r w:rsidRPr="000969A4">
              <w:rPr>
                <w:lang w:val="fr-FR"/>
              </w:rPr>
              <w:br/>
            </w:r>
          </w:p>
          <w:p w:rsidR="006120B0" w:rsidRPr="000969A4" w:rsidRDefault="006120B0" w:rsidP="00260781">
            <w:pPr>
              <w:rPr>
                <w:lang w:val="fr-FR"/>
              </w:rPr>
            </w:pPr>
            <w:r w:rsidRPr="000969A4">
              <w:rPr>
                <w:u w:val="single"/>
                <w:lang w:val="fr-FR"/>
              </w:rPr>
              <w:t>Objectif général :</w:t>
            </w:r>
          </w:p>
          <w:p w:rsidR="006120B0" w:rsidRPr="000969A4" w:rsidRDefault="006120B0" w:rsidP="00260781">
            <w:pPr>
              <w:rPr>
                <w:lang w:val="fr-FR"/>
              </w:rPr>
            </w:pPr>
          </w:p>
          <w:p w:rsidR="006120B0" w:rsidRPr="000969A4" w:rsidRDefault="006120B0" w:rsidP="00260781">
            <w:pPr>
              <w:rPr>
                <w:lang w:val="fr-FR"/>
              </w:rPr>
            </w:pPr>
            <w:r w:rsidRPr="000969A4">
              <w:rPr>
                <w:lang w:val="fr-FR"/>
              </w:rPr>
              <w:t>Promouvoir l</w:t>
            </w:r>
            <w:r w:rsidR="00A04668">
              <w:rPr>
                <w:lang w:val="fr-FR"/>
              </w:rPr>
              <w:t>’</w:t>
            </w:r>
            <w:r w:rsidRPr="000969A4">
              <w:rPr>
                <w:lang w:val="fr-FR"/>
              </w:rPr>
              <w:t>utilisation efficace de la propriété intellectuelle et des droits qui lui sont associés en tant qu</w:t>
            </w:r>
            <w:r w:rsidR="00A04668">
              <w:rPr>
                <w:lang w:val="fr-FR"/>
              </w:rPr>
              <w:t>’</w:t>
            </w:r>
            <w:r w:rsidRPr="000969A4">
              <w:rPr>
                <w:lang w:val="fr-FR"/>
              </w:rPr>
              <w:t>instrument de développement socioéconomique dans les pays en développement et, plus particulièrement, l</w:t>
            </w:r>
            <w:r w:rsidR="00A04668">
              <w:rPr>
                <w:lang w:val="fr-FR"/>
              </w:rPr>
              <w:t>’</w:t>
            </w:r>
            <w:r w:rsidRPr="000969A4">
              <w:rPr>
                <w:lang w:val="fr-FR"/>
              </w:rPr>
              <w:t>utilisation des actifs de propriété intellectuelle obtenus dans le cadre de la recherche</w:t>
            </w:r>
            <w:r w:rsidR="0043436D">
              <w:rPr>
                <w:lang w:val="fr-FR"/>
              </w:rPr>
              <w:noBreakHyphen/>
            </w:r>
            <w:r w:rsidRPr="000969A4">
              <w:rPr>
                <w:lang w:val="fr-FR"/>
              </w:rPr>
              <w:t>développement financée par des fonds publics.</w:t>
            </w:r>
          </w:p>
          <w:p w:rsidR="006120B0" w:rsidRPr="000969A4" w:rsidRDefault="006120B0" w:rsidP="00260781">
            <w:pPr>
              <w:rPr>
                <w:lang w:val="fr-FR"/>
              </w:rPr>
            </w:pPr>
          </w:p>
          <w:p w:rsidR="006120B0" w:rsidRPr="000969A4" w:rsidRDefault="006120B0" w:rsidP="00260781">
            <w:pPr>
              <w:rPr>
                <w:u w:val="single"/>
                <w:lang w:val="fr-FR"/>
              </w:rPr>
            </w:pPr>
            <w:r w:rsidRPr="000969A4">
              <w:rPr>
                <w:u w:val="single"/>
                <w:lang w:val="fr-FR"/>
              </w:rPr>
              <w:t>Objectifs particuliers :</w:t>
            </w:r>
          </w:p>
          <w:p w:rsidR="006120B0" w:rsidRPr="000969A4" w:rsidRDefault="006120B0" w:rsidP="00260781">
            <w:pPr>
              <w:rPr>
                <w:lang w:val="fr-FR"/>
              </w:rPr>
            </w:pPr>
          </w:p>
          <w:p w:rsidR="006120B0" w:rsidRPr="000969A4" w:rsidRDefault="006120B0" w:rsidP="00260781">
            <w:pPr>
              <w:numPr>
                <w:ilvl w:val="0"/>
                <w:numId w:val="7"/>
              </w:numPr>
              <w:tabs>
                <w:tab w:val="clear" w:pos="567"/>
                <w:tab w:val="num" w:pos="1134"/>
              </w:tabs>
              <w:spacing w:after="220"/>
              <w:ind w:left="567"/>
              <w:rPr>
                <w:lang w:val="fr-FR"/>
              </w:rPr>
            </w:pPr>
            <w:r w:rsidRPr="000969A4">
              <w:rPr>
                <w:lang w:val="fr-FR"/>
              </w:rPr>
              <w:t>Renforcer les capacités en matière de gestion de la propriété intellectuelle et de transfert de technologie des principaux acteurs parmi les donateurs, concepteurs, gestionnaires et utilisateurs dans le domaine de la propriété intellectuelle</w:t>
            </w:r>
            <w:r w:rsidR="009C0B7C">
              <w:rPr>
                <w:lang w:val="fr-FR"/>
              </w:rPr>
              <w:t xml:space="preserve"> </w:t>
            </w:r>
          </w:p>
          <w:p w:rsidR="006120B0" w:rsidRPr="000969A4" w:rsidRDefault="006120B0" w:rsidP="00260781">
            <w:pPr>
              <w:numPr>
                <w:ilvl w:val="0"/>
                <w:numId w:val="5"/>
              </w:numPr>
              <w:tabs>
                <w:tab w:val="clear" w:pos="567"/>
                <w:tab w:val="num" w:pos="1134"/>
              </w:tabs>
              <w:spacing w:after="220"/>
              <w:ind w:left="567"/>
              <w:rPr>
                <w:lang w:val="fr-FR"/>
              </w:rPr>
            </w:pPr>
            <w:r w:rsidRPr="000969A4">
              <w:rPr>
                <w:lang w:val="fr-FR"/>
              </w:rPr>
              <w:t>Mieux faire comprendre, grâce à des études de cas au niveau local, que la propriété intellectuelle peut être utilisée efficacement en tant qu</w:t>
            </w:r>
            <w:r w:rsidR="00A04668">
              <w:rPr>
                <w:lang w:val="fr-FR"/>
              </w:rPr>
              <w:t>’</w:t>
            </w:r>
            <w:r w:rsidRPr="000969A4">
              <w:rPr>
                <w:lang w:val="fr-FR"/>
              </w:rPr>
              <w:t xml:space="preserve">outil de développement socioéconomique </w:t>
            </w:r>
          </w:p>
          <w:p w:rsidR="006120B0" w:rsidRPr="000969A4" w:rsidRDefault="006120B0" w:rsidP="00260781">
            <w:pPr>
              <w:spacing w:after="220"/>
              <w:ind w:left="1134" w:hanging="567"/>
              <w:rPr>
                <w:lang w:val="fr-FR"/>
              </w:rPr>
            </w:pPr>
            <w:r w:rsidRPr="000969A4">
              <w:rPr>
                <w:lang w:val="fr-FR"/>
              </w:rPr>
              <w:t>2.3.</w:t>
            </w:r>
            <w:r w:rsidRPr="000969A4">
              <w:rPr>
                <w:lang w:val="fr-FR"/>
              </w:rPr>
              <w:tab/>
            </w:r>
            <w:r w:rsidRPr="000969A4">
              <w:rPr>
                <w:u w:val="single"/>
                <w:lang w:val="fr-FR"/>
              </w:rPr>
              <w:t>Stratégie de mise en œuvre</w:t>
            </w:r>
          </w:p>
          <w:p w:rsidR="006120B0" w:rsidRPr="000969A4" w:rsidRDefault="006120B0" w:rsidP="00260781">
            <w:pPr>
              <w:spacing w:after="220"/>
              <w:ind w:left="567"/>
              <w:rPr>
                <w:lang w:val="fr-FR"/>
              </w:rPr>
            </w:pPr>
            <w:r w:rsidRPr="000969A4">
              <w:rPr>
                <w:lang w:val="fr-FR"/>
              </w:rPr>
              <w:t>Les objectifs du projet seront réalisés au moyen d</w:t>
            </w:r>
            <w:r w:rsidR="00A04668">
              <w:rPr>
                <w:lang w:val="fr-FR"/>
              </w:rPr>
              <w:t>’</w:t>
            </w:r>
            <w:r w:rsidRPr="000969A4">
              <w:rPr>
                <w:lang w:val="fr-FR"/>
              </w:rPr>
              <w:t xml:space="preserve">une combinaison des éléments suivants : i) recensement des instruments de propriété intellectuelle existants ou potentiels aux fins de la gestion de la propriété intellectuelle et du transfert de technologie, </w:t>
            </w:r>
            <w:r w:rsidR="00A04668">
              <w:rPr>
                <w:lang w:val="fr-FR"/>
              </w:rPr>
              <w:t>y compris</w:t>
            </w:r>
            <w:r w:rsidRPr="000969A4">
              <w:rPr>
                <w:lang w:val="fr-FR"/>
              </w:rPr>
              <w:t xml:space="preserve"> des études de cas pertinents portant sur un large éventail de</w:t>
            </w:r>
            <w:r w:rsidR="009C0B7C">
              <w:rPr>
                <w:lang w:val="fr-FR"/>
              </w:rPr>
              <w:t xml:space="preserve"> domaines technologiques;  ii) </w:t>
            </w:r>
            <w:r w:rsidRPr="000969A4">
              <w:rPr>
                <w:lang w:val="fr-FR"/>
              </w:rPr>
              <w:t>renforcement des capacités des principaux acteurs parmi les donateurs, concepteurs, gestionnaires et utilisateurs dans le domaine de la propriété intellectuelle;  et</w:t>
            </w:r>
            <w:r w:rsidR="009C0B7C">
              <w:rPr>
                <w:lang w:val="fr-FR"/>
              </w:rPr>
              <w:t> </w:t>
            </w:r>
            <w:r w:rsidRPr="000969A4">
              <w:rPr>
                <w:lang w:val="fr-FR"/>
              </w:rPr>
              <w:t>iii) analyse d</w:t>
            </w:r>
            <w:r w:rsidR="00A04668">
              <w:rPr>
                <w:lang w:val="fr-FR"/>
              </w:rPr>
              <w:t>’</w:t>
            </w:r>
            <w:r w:rsidRPr="000969A4">
              <w:rPr>
                <w:lang w:val="fr-FR"/>
              </w:rPr>
              <w:t>études de cas au niveau local afin d</w:t>
            </w:r>
            <w:r w:rsidR="00A04668">
              <w:rPr>
                <w:lang w:val="fr-FR"/>
              </w:rPr>
              <w:t>’</w:t>
            </w:r>
            <w:r w:rsidRPr="000969A4">
              <w:rPr>
                <w:lang w:val="fr-FR"/>
              </w:rPr>
              <w:t>élaborer des guides stratégiques et de la documentation locale sur les possibilités de s</w:t>
            </w:r>
            <w:r w:rsidR="00A04668">
              <w:rPr>
                <w:lang w:val="fr-FR"/>
              </w:rPr>
              <w:t>’</w:t>
            </w:r>
            <w:r w:rsidRPr="000969A4">
              <w:rPr>
                <w:lang w:val="fr-FR"/>
              </w:rPr>
              <w:t>appuyer sur la propriété intellectuelle en vue de stimuler le développement socioéconomique.</w:t>
            </w:r>
          </w:p>
        </w:tc>
      </w:tr>
    </w:tbl>
    <w:p w:rsidR="00260781" w:rsidRPr="000969A4" w:rsidRDefault="00260781" w:rsidP="00260781">
      <w:pPr>
        <w:rPr>
          <w:lang w:val="fr-FR"/>
        </w:rPr>
      </w:pPr>
    </w:p>
    <w:p w:rsidR="00CB0F25" w:rsidRPr="000969A4" w:rsidRDefault="00CB0F25" w:rsidP="00260781">
      <w:pPr>
        <w:pStyle w:val="Endofdocument-Annex"/>
        <w:rPr>
          <w:lang w:val="fr-FR"/>
        </w:rPr>
      </w:pPr>
      <w:r w:rsidRPr="000969A4">
        <w:rPr>
          <w:lang w:val="fr-FR"/>
        </w:rPr>
        <w:t>[</w:t>
      </w:r>
      <w:r w:rsidR="006120B0" w:rsidRPr="000969A4">
        <w:rPr>
          <w:lang w:val="fr-FR"/>
        </w:rPr>
        <w:t>Fin de l</w:t>
      </w:r>
      <w:r w:rsidR="00A04668">
        <w:rPr>
          <w:lang w:val="fr-FR"/>
        </w:rPr>
        <w:t>’</w:t>
      </w:r>
      <w:r w:rsidR="006120B0" w:rsidRPr="000969A4">
        <w:rPr>
          <w:lang w:val="fr-FR"/>
        </w:rPr>
        <w:t>annexe</w:t>
      </w:r>
      <w:r w:rsidR="009C0B7C">
        <w:rPr>
          <w:lang w:val="fr-FR"/>
        </w:rPr>
        <w:t> </w:t>
      </w:r>
      <w:r w:rsidRPr="000969A4">
        <w:rPr>
          <w:lang w:val="fr-FR"/>
        </w:rPr>
        <w:t xml:space="preserve">II </w:t>
      </w:r>
      <w:r w:rsidR="006120B0" w:rsidRPr="000969A4">
        <w:rPr>
          <w:lang w:val="fr-FR"/>
        </w:rPr>
        <w:t>et du</w:t>
      </w:r>
      <w:r w:rsidRPr="000969A4">
        <w:rPr>
          <w:lang w:val="fr-FR"/>
        </w:rPr>
        <w:t xml:space="preserve"> document]</w:t>
      </w:r>
    </w:p>
    <w:sectPr w:rsidR="00CB0F25" w:rsidRPr="000969A4" w:rsidSect="000969A4">
      <w:headerReference w:type="default" r:id="rId15"/>
      <w:headerReference w:type="first" r:id="rId16"/>
      <w:footerReference w:type="first" r:id="rId17"/>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F0" w:rsidRDefault="004847F0">
      <w:r>
        <w:separator/>
      </w:r>
    </w:p>
  </w:endnote>
  <w:endnote w:type="continuationSeparator" w:id="0">
    <w:p w:rsidR="004847F0" w:rsidRDefault="004847F0" w:rsidP="003B38C1">
      <w:r>
        <w:separator/>
      </w:r>
    </w:p>
    <w:p w:rsidR="004847F0" w:rsidRPr="003B38C1" w:rsidRDefault="004847F0" w:rsidP="003B38C1">
      <w:pPr>
        <w:spacing w:after="60"/>
        <w:rPr>
          <w:sz w:val="17"/>
        </w:rPr>
      </w:pPr>
      <w:r>
        <w:rPr>
          <w:sz w:val="17"/>
        </w:rPr>
        <w:t>[Endnote continued from previous page]</w:t>
      </w:r>
    </w:p>
  </w:endnote>
  <w:endnote w:type="continuationNotice" w:id="1">
    <w:p w:rsidR="004847F0" w:rsidRPr="003B38C1" w:rsidRDefault="004847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F0" w:rsidRDefault="00484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F0" w:rsidRDefault="0048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F0" w:rsidRDefault="004847F0">
      <w:r>
        <w:separator/>
      </w:r>
    </w:p>
  </w:footnote>
  <w:footnote w:type="continuationSeparator" w:id="0">
    <w:p w:rsidR="004847F0" w:rsidRDefault="004847F0" w:rsidP="008B60B2">
      <w:r>
        <w:separator/>
      </w:r>
    </w:p>
    <w:p w:rsidR="004847F0" w:rsidRPr="00ED77FB" w:rsidRDefault="004847F0" w:rsidP="008B60B2">
      <w:pPr>
        <w:spacing w:after="60"/>
        <w:rPr>
          <w:sz w:val="17"/>
          <w:szCs w:val="17"/>
        </w:rPr>
      </w:pPr>
      <w:r w:rsidRPr="00ED77FB">
        <w:rPr>
          <w:sz w:val="17"/>
          <w:szCs w:val="17"/>
        </w:rPr>
        <w:t>[Footnote continued from previous page]</w:t>
      </w:r>
    </w:p>
  </w:footnote>
  <w:footnote w:type="continuationNotice" w:id="1">
    <w:p w:rsidR="004847F0" w:rsidRPr="00ED77FB" w:rsidRDefault="004847F0" w:rsidP="008B60B2">
      <w:pPr>
        <w:spacing w:before="60"/>
        <w:jc w:val="right"/>
        <w:rPr>
          <w:sz w:val="17"/>
          <w:szCs w:val="17"/>
        </w:rPr>
      </w:pPr>
      <w:r w:rsidRPr="00ED77FB">
        <w:rPr>
          <w:sz w:val="17"/>
          <w:szCs w:val="17"/>
        </w:rPr>
        <w:t>[Footnote continued on next page]</w:t>
      </w:r>
    </w:p>
  </w:footnote>
  <w:footnote w:id="2">
    <w:p w:rsidR="006120B0" w:rsidRPr="00260781" w:rsidRDefault="006120B0" w:rsidP="006120B0">
      <w:pPr>
        <w:pStyle w:val="FootnoteText"/>
        <w:rPr>
          <w:szCs w:val="18"/>
          <w:lang w:val="fr-FR"/>
        </w:rPr>
      </w:pPr>
      <w:r w:rsidRPr="00260781">
        <w:rPr>
          <w:rStyle w:val="FootnoteReference"/>
          <w:szCs w:val="18"/>
        </w:rPr>
        <w:footnoteRef/>
      </w:r>
      <w:r w:rsidRPr="00260781">
        <w:rPr>
          <w:rFonts w:eastAsia="Times New Roman"/>
          <w:szCs w:val="18"/>
          <w:lang w:val="fr-FR"/>
        </w:rPr>
        <w:tab/>
        <w:t>Conformément à la recommandation n° 2.g) du rapport d</w:t>
      </w:r>
      <w:r w:rsidR="00E11CB5" w:rsidRPr="00260781">
        <w:rPr>
          <w:rFonts w:eastAsia="Times New Roman"/>
          <w:szCs w:val="18"/>
          <w:lang w:val="fr-FR"/>
        </w:rPr>
        <w:t>’</w:t>
      </w:r>
      <w:r w:rsidRPr="00260781">
        <w:rPr>
          <w:rFonts w:eastAsia="Times New Roman"/>
          <w:szCs w:val="18"/>
          <w:lang w:val="fr-FR"/>
        </w:rPr>
        <w:t>évaluation du projet relatif à la propriété intellectuelle et au transfert de technologie : élaborer des solutions face aux défis communs (document CDIP/16/3).</w:t>
      </w:r>
    </w:p>
  </w:footnote>
  <w:footnote w:id="3">
    <w:p w:rsidR="006120B0" w:rsidRPr="00260781" w:rsidRDefault="006120B0" w:rsidP="006120B0">
      <w:pPr>
        <w:pStyle w:val="FootnoteText"/>
        <w:rPr>
          <w:szCs w:val="18"/>
          <w:lang w:val="fr-CH"/>
        </w:rPr>
      </w:pPr>
      <w:r w:rsidRPr="00260781">
        <w:rPr>
          <w:rStyle w:val="FootnoteReference"/>
          <w:szCs w:val="18"/>
          <w:lang w:val="fr-FR"/>
        </w:rPr>
        <w:footnoteRef/>
      </w:r>
      <w:r w:rsidRPr="00260781">
        <w:rPr>
          <w:szCs w:val="18"/>
          <w:lang w:val="fr-FR"/>
        </w:rPr>
        <w:tab/>
      </w:r>
      <w:r w:rsidRPr="00260781">
        <w:rPr>
          <w:rFonts w:eastAsia="Times New Roman"/>
          <w:szCs w:val="18"/>
          <w:lang w:val="fr-FR"/>
        </w:rPr>
        <w:t>Conformément à la recommandation n° 3 du rapport d</w:t>
      </w:r>
      <w:r w:rsidR="00E11CB5" w:rsidRPr="00260781">
        <w:rPr>
          <w:rFonts w:eastAsia="Times New Roman"/>
          <w:szCs w:val="18"/>
          <w:lang w:val="fr-FR"/>
        </w:rPr>
        <w:t>’</w:t>
      </w:r>
      <w:r w:rsidRPr="00260781">
        <w:rPr>
          <w:rFonts w:eastAsia="Times New Roman"/>
          <w:szCs w:val="18"/>
          <w:lang w:val="fr-FR"/>
        </w:rPr>
        <w:t>évaluation (document CDIP/16/3)</w:t>
      </w:r>
      <w:r w:rsidR="000969A4" w:rsidRPr="00260781">
        <w:rPr>
          <w:rFonts w:eastAsia="Times New Roman"/>
          <w:szCs w:val="18"/>
          <w:lang w:val="fr-FR"/>
        </w:rPr>
        <w:t>.</w:t>
      </w:r>
    </w:p>
  </w:footnote>
  <w:footnote w:id="4">
    <w:p w:rsidR="006120B0" w:rsidRPr="006A653A" w:rsidRDefault="006120B0" w:rsidP="009C0B7C">
      <w:pPr>
        <w:tabs>
          <w:tab w:val="left" w:pos="567"/>
        </w:tabs>
        <w:rPr>
          <w:sz w:val="18"/>
          <w:szCs w:val="18"/>
          <w:lang w:val="fr-CH"/>
        </w:rPr>
      </w:pPr>
      <w:r w:rsidRPr="00260781">
        <w:rPr>
          <w:sz w:val="18"/>
          <w:szCs w:val="18"/>
          <w:vertAlign w:val="superscript"/>
        </w:rPr>
        <w:footnoteRef/>
      </w:r>
      <w:r w:rsidRPr="006A653A">
        <w:rPr>
          <w:sz w:val="18"/>
          <w:szCs w:val="18"/>
          <w:vertAlign w:val="superscript"/>
          <w:lang w:val="fr-CH"/>
        </w:rPr>
        <w:t xml:space="preserve"> </w:t>
      </w:r>
      <w:r w:rsidRPr="006A653A">
        <w:rPr>
          <w:sz w:val="18"/>
          <w:szCs w:val="18"/>
          <w:lang w:val="fr-CH"/>
        </w:rPr>
        <w:tab/>
      </w:r>
      <w:hyperlink r:id="rId1" w:anchor="axzz36yvEkIZ9" w:history="1">
        <w:r w:rsidRPr="006A653A">
          <w:rPr>
            <w:rStyle w:val="Hyperlink"/>
            <w:sz w:val="18"/>
            <w:szCs w:val="18"/>
            <w:lang w:val="fr-CH"/>
          </w:rPr>
          <w:t>http://iipdigital.usembassy.gov/st/english/publication/2009/11/20091106141914ebyessedo0.5504833.html</w:t>
        </w:r>
        <w:r w:rsidR="00260781" w:rsidRPr="006A653A">
          <w:rPr>
            <w:rStyle w:val="Hyperlink"/>
            <w:sz w:val="18"/>
            <w:szCs w:val="18"/>
            <w:lang w:val="fr-CH"/>
          </w:rPr>
          <w:br/>
        </w:r>
        <w:r w:rsidRPr="006A653A">
          <w:rPr>
            <w:rStyle w:val="Hyperlink"/>
            <w:sz w:val="18"/>
            <w:szCs w:val="18"/>
            <w:lang w:val="fr-CH"/>
          </w:rPr>
          <w:t>#axzz36yvEkIZ9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F0" w:rsidRDefault="004847F0" w:rsidP="00477D6B">
    <w:pPr>
      <w:jc w:val="right"/>
    </w:pPr>
    <w:bookmarkStart w:id="6" w:name="Code2"/>
    <w:bookmarkEnd w:id="6"/>
    <w:r>
      <w:t>CDIP/18/6</w:t>
    </w:r>
  </w:p>
  <w:p w:rsidR="004847F0" w:rsidRPr="00531418" w:rsidRDefault="00531418" w:rsidP="00477D6B">
    <w:pPr>
      <w:jc w:val="right"/>
    </w:pPr>
    <w:proofErr w:type="gramStart"/>
    <w:r w:rsidRPr="00531418">
      <w:t>p</w:t>
    </w:r>
    <w:r w:rsidR="004847F0" w:rsidRPr="00531418">
      <w:t>age</w:t>
    </w:r>
    <w:proofErr w:type="gramEnd"/>
    <w:r w:rsidRPr="00531418">
      <w:t> </w:t>
    </w:r>
    <w:r w:rsidR="004847F0" w:rsidRPr="00531418">
      <w:fldChar w:fldCharType="begin"/>
    </w:r>
    <w:r w:rsidR="004847F0" w:rsidRPr="00531418">
      <w:instrText xml:space="preserve"> PAGE  \* MERGEFORMAT </w:instrText>
    </w:r>
    <w:r w:rsidR="004847F0" w:rsidRPr="00531418">
      <w:fldChar w:fldCharType="separate"/>
    </w:r>
    <w:r w:rsidR="00260781">
      <w:rPr>
        <w:noProof/>
      </w:rPr>
      <w:t>2</w:t>
    </w:r>
    <w:r w:rsidR="004847F0" w:rsidRPr="00531418">
      <w:fldChar w:fldCharType="end"/>
    </w:r>
  </w:p>
  <w:p w:rsidR="004847F0" w:rsidRDefault="004847F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F0" w:rsidRDefault="004847F0" w:rsidP="00477D6B">
    <w:pPr>
      <w:jc w:val="right"/>
    </w:pPr>
    <w:r>
      <w:t>CDIP/18/6</w:t>
    </w:r>
    <w:r w:rsidR="006A653A">
      <w:t xml:space="preserve"> </w:t>
    </w:r>
    <w:r w:rsidR="006A653A">
      <w:t>Rev.</w:t>
    </w:r>
  </w:p>
  <w:p w:rsidR="004847F0" w:rsidRDefault="004847F0" w:rsidP="00477D6B">
    <w:pPr>
      <w:jc w:val="right"/>
    </w:pPr>
    <w:proofErr w:type="spellStart"/>
    <w:r>
      <w:t>Annex</w:t>
    </w:r>
    <w:r w:rsidR="000969A4">
      <w:t>e</w:t>
    </w:r>
    <w:proofErr w:type="spellEnd"/>
    <w:r w:rsidR="000969A4">
      <w:t> </w:t>
    </w:r>
    <w:r>
      <w:t xml:space="preserve">I, page </w:t>
    </w:r>
    <w:r>
      <w:fldChar w:fldCharType="begin"/>
    </w:r>
    <w:r>
      <w:instrText xml:space="preserve"> PAGE   \* MERGEFORMAT </w:instrText>
    </w:r>
    <w:r>
      <w:fldChar w:fldCharType="separate"/>
    </w:r>
    <w:r w:rsidR="006A653A">
      <w:rPr>
        <w:noProof/>
      </w:rPr>
      <w:t>8</w:t>
    </w:r>
    <w:r>
      <w:rPr>
        <w:noProof/>
      </w:rPr>
      <w:fldChar w:fldCharType="end"/>
    </w:r>
  </w:p>
  <w:p w:rsidR="004847F0" w:rsidRDefault="004847F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F0" w:rsidRDefault="004847F0" w:rsidP="003D0290">
    <w:pPr>
      <w:pStyle w:val="Header"/>
      <w:jc w:val="right"/>
    </w:pPr>
    <w:r>
      <w:t>CDIP/18/6</w:t>
    </w:r>
    <w:r w:rsidR="006A653A">
      <w:t xml:space="preserve"> </w:t>
    </w:r>
    <w:r w:rsidR="006A653A">
      <w:t>Rev.</w:t>
    </w:r>
  </w:p>
  <w:p w:rsidR="004847F0" w:rsidRDefault="004847F0" w:rsidP="008669C2">
    <w:pPr>
      <w:pStyle w:val="Header"/>
      <w:jc w:val="right"/>
    </w:pPr>
    <w:r>
      <w:t>ANNEX</w:t>
    </w:r>
    <w:r w:rsidR="000969A4">
      <w:t>E </w:t>
    </w:r>
    <w:r>
      <w:t>I</w:t>
    </w:r>
  </w:p>
  <w:p w:rsidR="004847F0" w:rsidRDefault="004847F0" w:rsidP="003D029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F0" w:rsidRDefault="004847F0" w:rsidP="00477D6B">
    <w:pPr>
      <w:jc w:val="right"/>
    </w:pPr>
    <w:r>
      <w:t>CDIP/18/6</w:t>
    </w:r>
    <w:r w:rsidR="006A653A">
      <w:t xml:space="preserve"> </w:t>
    </w:r>
    <w:r w:rsidR="006A653A">
      <w:t>Rev.</w:t>
    </w:r>
  </w:p>
  <w:p w:rsidR="004847F0" w:rsidRDefault="004847F0" w:rsidP="00477D6B">
    <w:pPr>
      <w:jc w:val="right"/>
    </w:pPr>
    <w:proofErr w:type="spellStart"/>
    <w:r>
      <w:t>Annex</w:t>
    </w:r>
    <w:r w:rsidR="000969A4">
      <w:t>e</w:t>
    </w:r>
    <w:proofErr w:type="spellEnd"/>
    <w:r w:rsidR="000969A4">
      <w:t> </w:t>
    </w:r>
    <w:r>
      <w:t xml:space="preserve">II, page </w:t>
    </w:r>
    <w:r>
      <w:fldChar w:fldCharType="begin"/>
    </w:r>
    <w:r>
      <w:instrText xml:space="preserve"> PAGE   \* MERGEFORMAT </w:instrText>
    </w:r>
    <w:r>
      <w:fldChar w:fldCharType="separate"/>
    </w:r>
    <w:r w:rsidR="006A653A">
      <w:rPr>
        <w:noProof/>
      </w:rPr>
      <w:t>5</w:t>
    </w:r>
    <w:r>
      <w:rPr>
        <w:noProof/>
      </w:rPr>
      <w:fldChar w:fldCharType="end"/>
    </w:r>
  </w:p>
  <w:p w:rsidR="004847F0" w:rsidRDefault="004847F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F0" w:rsidRDefault="004847F0" w:rsidP="003D0290">
    <w:pPr>
      <w:pStyle w:val="Header"/>
      <w:jc w:val="right"/>
    </w:pPr>
    <w:r>
      <w:t>CDIP/18/6</w:t>
    </w:r>
    <w:r w:rsidR="006A653A">
      <w:t xml:space="preserve"> </w:t>
    </w:r>
    <w:r w:rsidR="006A653A">
      <w:t>Rev.</w:t>
    </w:r>
  </w:p>
  <w:p w:rsidR="004847F0" w:rsidRDefault="004847F0" w:rsidP="008669C2">
    <w:pPr>
      <w:pStyle w:val="Header"/>
      <w:jc w:val="right"/>
    </w:pPr>
    <w:r>
      <w:t>ANNEX</w:t>
    </w:r>
    <w:r w:rsidR="000969A4">
      <w:t>E </w:t>
    </w:r>
    <w:r>
      <w:t>II</w:t>
    </w:r>
  </w:p>
  <w:p w:rsidR="004847F0" w:rsidRDefault="004847F0" w:rsidP="003D029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61C1B"/>
    <w:multiLevelType w:val="hybridMultilevel"/>
    <w:tmpl w:val="15B63020"/>
    <w:lvl w:ilvl="0" w:tplc="B94AEF1E">
      <w:start w:val="5"/>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DF16EE"/>
    <w:multiLevelType w:val="hybridMultilevel"/>
    <w:tmpl w:val="9CA62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BD03CAA"/>
    <w:multiLevelType w:val="hybridMultilevel"/>
    <w:tmpl w:val="95B6D72C"/>
    <w:lvl w:ilvl="0" w:tplc="887090C0">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6386571"/>
    <w:multiLevelType w:val="hybridMultilevel"/>
    <w:tmpl w:val="595800B8"/>
    <w:lvl w:ilvl="0" w:tplc="1724419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46683"/>
    <w:multiLevelType w:val="hybridMultilevel"/>
    <w:tmpl w:val="8A66F366"/>
    <w:lvl w:ilvl="0" w:tplc="4EE8AC2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9160C9"/>
    <w:multiLevelType w:val="hybridMultilevel"/>
    <w:tmpl w:val="3D30B810"/>
    <w:lvl w:ilvl="0" w:tplc="E752BC5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1"/>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3"/>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ransmlp.wipo.int\TextBase TMs\WorkspaceFTS\EN-FR\Académie|transmlp.wipo.int\TextBase TMs\WorkspaceFTS\EN-FR\ACE|transmlp.wipo.int\TextBase TMs\WorkspaceFTS\EN-FR\Administratif|transmlp.wipo.int\TextBase TMs\WorkspaceFTS\EN-FR\AMC|transmlp.wipo.int\TextBase TMs\WorkspaceFTS\EN-FR\Assemblées|transmlp.wipo.int\TextBase TMs\WorkspaceFTS\EN-FR\Budapest|transmlp.wipo.int\TextBase TMs\WorkspaceFTS\EN-FR\CDIP|transmlp.wipo.int\TextBase TMs\WorkspaceFTS\EN-FR\Communications|transmlp.wipo.int\TextBase TMs\WorkspaceFTS\EN-FR\CWS|transmlp.wipo.int\TextBase TMs\WorkspaceFTS\EN-FR\Divers|transmlp.wipo.int\TextBase TMs\WorkspaceFTS\EN-FR\Glossaires|transmlp.wipo.int\TextBase TMs\WorkspaceFTS\EN-FR\GRTKF|transmlp.wipo.int\TextBase TMs\WorkspaceFTS\EN-FR\IPC|transmlp.wipo.int\TextBase TMs\WorkspaceFTS\EN-FR\La_Haye|transmlp.wipo.int\TextBase TMs\WorkspaceFTS\EN-FR\Lisbonne|transmlp.wipo.int\TextBase TMs\WorkspaceFTS\EN-FR\Madrid|transmlp.wipo.int\TextBase TMs\WorkspaceFTS\EN-FR\PBC|transmlp.wipo.int\TextBase TMs\WorkspaceFTS\EN-FR\PCT|transmlp.wipo.int\TextBase TMs\WorkspaceFTS\EN-FR\PLT|transmlp.wipo.int\TextBase TMs\WorkspaceFTS\EN-FR\Publications|transmlp.wipo.int\TextBase TMs\WorkspaceFTS\EN-FR\SCCR|transmlp.wipo.int\TextBase TMs\WorkspaceFTS\EN-FR\SCP|transmlp.wipo.int\TextBase TMs\WorkspaceFTS\EN-FR\SCT|transmlp.wipo.int\TextBase TMs\WorkspaceFTS\EN-FR\Traités|transmlp.wipo.int\TextBase TMs\WorkspaceFTS\EN-FR\UPOV|transmlp.wipo.int\TextBase TMs\Treaties\Model Laws|transmlp.wipo.int\TextBase TMs\Treaties\Other Laws and Agreements|transmlp.wipo.int\TextBase TMs\UPOV\Meetings|transmlp.wipo.int\TextBase TMs\UPOV\Other|transmlp.wipo.int\TextBase TMs\UPOV\Publications|transmlp.wipo.int\TextBase TMs\UPOV\Technical Guidelines|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Glossaries\EN-FR|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WIPO-administered"/>
    <w:docVar w:name="TextBaseURL" w:val="empty"/>
    <w:docVar w:name="UILng" w:val="en"/>
  </w:docVars>
  <w:rsids>
    <w:rsidRoot w:val="00F52B29"/>
    <w:rsid w:val="00017ADA"/>
    <w:rsid w:val="00043CAA"/>
    <w:rsid w:val="00060646"/>
    <w:rsid w:val="00075432"/>
    <w:rsid w:val="000968ED"/>
    <w:rsid w:val="000969A4"/>
    <w:rsid w:val="000E4DBD"/>
    <w:rsid w:val="000F5E56"/>
    <w:rsid w:val="00126D43"/>
    <w:rsid w:val="001362EE"/>
    <w:rsid w:val="001824DC"/>
    <w:rsid w:val="001832A6"/>
    <w:rsid w:val="00260781"/>
    <w:rsid w:val="002634C4"/>
    <w:rsid w:val="002928D3"/>
    <w:rsid w:val="002A4AF7"/>
    <w:rsid w:val="002C2BAA"/>
    <w:rsid w:val="002C461C"/>
    <w:rsid w:val="002F1FE6"/>
    <w:rsid w:val="002F4E68"/>
    <w:rsid w:val="00301168"/>
    <w:rsid w:val="00312746"/>
    <w:rsid w:val="00312F7F"/>
    <w:rsid w:val="00341012"/>
    <w:rsid w:val="00341C04"/>
    <w:rsid w:val="00345EDF"/>
    <w:rsid w:val="00361450"/>
    <w:rsid w:val="00366350"/>
    <w:rsid w:val="003673CF"/>
    <w:rsid w:val="003845C1"/>
    <w:rsid w:val="00397FF9"/>
    <w:rsid w:val="003A6F89"/>
    <w:rsid w:val="003B38C1"/>
    <w:rsid w:val="003B7A6D"/>
    <w:rsid w:val="003D0290"/>
    <w:rsid w:val="003F15F2"/>
    <w:rsid w:val="00400434"/>
    <w:rsid w:val="00400442"/>
    <w:rsid w:val="00423E3E"/>
    <w:rsid w:val="00427AF4"/>
    <w:rsid w:val="0043436D"/>
    <w:rsid w:val="0044770A"/>
    <w:rsid w:val="00460F03"/>
    <w:rsid w:val="004647DA"/>
    <w:rsid w:val="00474062"/>
    <w:rsid w:val="00477D6B"/>
    <w:rsid w:val="004830C2"/>
    <w:rsid w:val="004847F0"/>
    <w:rsid w:val="004C7523"/>
    <w:rsid w:val="004D2A65"/>
    <w:rsid w:val="004D3ED1"/>
    <w:rsid w:val="004F7B12"/>
    <w:rsid w:val="005019FF"/>
    <w:rsid w:val="00530557"/>
    <w:rsid w:val="0053057A"/>
    <w:rsid w:val="00531418"/>
    <w:rsid w:val="00560A29"/>
    <w:rsid w:val="00565564"/>
    <w:rsid w:val="005669F5"/>
    <w:rsid w:val="00571622"/>
    <w:rsid w:val="00576B09"/>
    <w:rsid w:val="005A412C"/>
    <w:rsid w:val="005A4C6B"/>
    <w:rsid w:val="005C6649"/>
    <w:rsid w:val="005F7981"/>
    <w:rsid w:val="00605827"/>
    <w:rsid w:val="006120B0"/>
    <w:rsid w:val="00625C2F"/>
    <w:rsid w:val="00636FA6"/>
    <w:rsid w:val="00646050"/>
    <w:rsid w:val="006713CA"/>
    <w:rsid w:val="00671D46"/>
    <w:rsid w:val="00676C5C"/>
    <w:rsid w:val="006A653A"/>
    <w:rsid w:val="006B0FC8"/>
    <w:rsid w:val="006F4CC8"/>
    <w:rsid w:val="00762FA4"/>
    <w:rsid w:val="007D1613"/>
    <w:rsid w:val="00800478"/>
    <w:rsid w:val="00805569"/>
    <w:rsid w:val="00831FAB"/>
    <w:rsid w:val="008669C2"/>
    <w:rsid w:val="008B2CC1"/>
    <w:rsid w:val="008B60B2"/>
    <w:rsid w:val="008D19E3"/>
    <w:rsid w:val="0090731E"/>
    <w:rsid w:val="00916EE2"/>
    <w:rsid w:val="009246E4"/>
    <w:rsid w:val="00966A22"/>
    <w:rsid w:val="0096722F"/>
    <w:rsid w:val="00970611"/>
    <w:rsid w:val="00980843"/>
    <w:rsid w:val="009B51CC"/>
    <w:rsid w:val="009C0B7C"/>
    <w:rsid w:val="009E2791"/>
    <w:rsid w:val="009E3F6F"/>
    <w:rsid w:val="009F499F"/>
    <w:rsid w:val="00A04668"/>
    <w:rsid w:val="00A42DAF"/>
    <w:rsid w:val="00A45BD8"/>
    <w:rsid w:val="00A770EF"/>
    <w:rsid w:val="00A849D6"/>
    <w:rsid w:val="00A869B7"/>
    <w:rsid w:val="00A87EEB"/>
    <w:rsid w:val="00A94F60"/>
    <w:rsid w:val="00AC205C"/>
    <w:rsid w:val="00AF0A6B"/>
    <w:rsid w:val="00B028BD"/>
    <w:rsid w:val="00B05A69"/>
    <w:rsid w:val="00B40E1F"/>
    <w:rsid w:val="00B456F5"/>
    <w:rsid w:val="00B66BF8"/>
    <w:rsid w:val="00B7710C"/>
    <w:rsid w:val="00B8634A"/>
    <w:rsid w:val="00B9734B"/>
    <w:rsid w:val="00BA30E2"/>
    <w:rsid w:val="00BF2F2A"/>
    <w:rsid w:val="00C11BFE"/>
    <w:rsid w:val="00C336AB"/>
    <w:rsid w:val="00C65C0F"/>
    <w:rsid w:val="00C90CED"/>
    <w:rsid w:val="00CA58F3"/>
    <w:rsid w:val="00CB0F25"/>
    <w:rsid w:val="00CB1BA3"/>
    <w:rsid w:val="00CD04F1"/>
    <w:rsid w:val="00CE0F40"/>
    <w:rsid w:val="00D2040B"/>
    <w:rsid w:val="00D45252"/>
    <w:rsid w:val="00D71B4D"/>
    <w:rsid w:val="00D8102B"/>
    <w:rsid w:val="00D87B6D"/>
    <w:rsid w:val="00D93D55"/>
    <w:rsid w:val="00E05E2A"/>
    <w:rsid w:val="00E11CB5"/>
    <w:rsid w:val="00E27131"/>
    <w:rsid w:val="00E271E0"/>
    <w:rsid w:val="00E3178F"/>
    <w:rsid w:val="00E335FE"/>
    <w:rsid w:val="00E566D3"/>
    <w:rsid w:val="00E71B94"/>
    <w:rsid w:val="00E9267B"/>
    <w:rsid w:val="00E9787F"/>
    <w:rsid w:val="00EA66F6"/>
    <w:rsid w:val="00EC4E49"/>
    <w:rsid w:val="00ED77FB"/>
    <w:rsid w:val="00EE45FA"/>
    <w:rsid w:val="00F20371"/>
    <w:rsid w:val="00F337B7"/>
    <w:rsid w:val="00F52B29"/>
    <w:rsid w:val="00F66152"/>
    <w:rsid w:val="00F736EC"/>
    <w:rsid w:val="00FD17D9"/>
    <w:rsid w:val="00FF4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52B29"/>
    <w:rPr>
      <w:rFonts w:ascii="Tahoma" w:hAnsi="Tahoma" w:cs="Tahoma"/>
      <w:sz w:val="16"/>
      <w:szCs w:val="16"/>
    </w:rPr>
  </w:style>
  <w:style w:type="character" w:customStyle="1" w:styleId="BalloonTextChar">
    <w:name w:val="Balloon Text Char"/>
    <w:basedOn w:val="DefaultParagraphFont"/>
    <w:link w:val="BalloonText"/>
    <w:rsid w:val="00F52B29"/>
    <w:rPr>
      <w:rFonts w:ascii="Tahoma" w:eastAsia="SimSun" w:hAnsi="Tahoma" w:cs="Tahoma"/>
      <w:sz w:val="16"/>
      <w:szCs w:val="16"/>
      <w:lang w:eastAsia="zh-CN"/>
    </w:rPr>
  </w:style>
  <w:style w:type="character" w:customStyle="1" w:styleId="ONUMFSChar">
    <w:name w:val="ONUM FS Char"/>
    <w:basedOn w:val="DefaultParagraphFont"/>
    <w:link w:val="ONUMFS"/>
    <w:rsid w:val="00F52B29"/>
    <w:rPr>
      <w:rFonts w:ascii="Arial" w:eastAsia="SimSun" w:hAnsi="Arial" w:cs="Arial"/>
      <w:sz w:val="22"/>
      <w:lang w:eastAsia="zh-CN"/>
    </w:rPr>
  </w:style>
  <w:style w:type="character" w:styleId="Hyperlink">
    <w:name w:val="Hyperlink"/>
    <w:basedOn w:val="DefaultParagraphFont"/>
    <w:uiPriority w:val="99"/>
    <w:rsid w:val="00C65C0F"/>
    <w:rPr>
      <w:color w:val="0000FF" w:themeColor="hyperlink"/>
      <w:u w:val="single"/>
    </w:rPr>
  </w:style>
  <w:style w:type="numbering" w:customStyle="1" w:styleId="NoList1">
    <w:name w:val="No List1"/>
    <w:next w:val="NoList"/>
    <w:uiPriority w:val="99"/>
    <w:semiHidden/>
    <w:unhideWhenUsed/>
    <w:rsid w:val="00060646"/>
  </w:style>
  <w:style w:type="character" w:styleId="FootnoteReference">
    <w:name w:val="footnote reference"/>
    <w:basedOn w:val="DefaultParagraphFont"/>
    <w:uiPriority w:val="99"/>
    <w:rsid w:val="00060646"/>
    <w:rPr>
      <w:vertAlign w:val="superscript"/>
    </w:rPr>
  </w:style>
  <w:style w:type="character" w:customStyle="1" w:styleId="FootnoteTextChar">
    <w:name w:val="Footnote Text Char"/>
    <w:basedOn w:val="DefaultParagraphFont"/>
    <w:link w:val="FootnoteText"/>
    <w:uiPriority w:val="99"/>
    <w:semiHidden/>
    <w:rsid w:val="00CB0F25"/>
    <w:rPr>
      <w:rFonts w:ascii="Arial" w:eastAsia="SimSun" w:hAnsi="Arial" w:cs="Arial"/>
      <w:sz w:val="18"/>
      <w:lang w:eastAsia="zh-CN"/>
    </w:rPr>
  </w:style>
  <w:style w:type="character" w:customStyle="1" w:styleId="Hyperlink1">
    <w:name w:val="Hyperlink1"/>
    <w:basedOn w:val="DefaultParagraphFont"/>
    <w:uiPriority w:val="99"/>
    <w:unhideWhenUsed/>
    <w:rsid w:val="00CB0F25"/>
    <w:rPr>
      <w:color w:val="0000FF"/>
      <w:u w:val="single"/>
    </w:rPr>
  </w:style>
  <w:style w:type="paragraph" w:styleId="ListParagraph">
    <w:name w:val="List Paragraph"/>
    <w:basedOn w:val="Normal"/>
    <w:uiPriority w:val="34"/>
    <w:qFormat/>
    <w:rsid w:val="006120B0"/>
    <w:pPr>
      <w:widowControl w:val="0"/>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6120B0"/>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52B29"/>
    <w:rPr>
      <w:rFonts w:ascii="Tahoma" w:hAnsi="Tahoma" w:cs="Tahoma"/>
      <w:sz w:val="16"/>
      <w:szCs w:val="16"/>
    </w:rPr>
  </w:style>
  <w:style w:type="character" w:customStyle="1" w:styleId="BalloonTextChar">
    <w:name w:val="Balloon Text Char"/>
    <w:basedOn w:val="DefaultParagraphFont"/>
    <w:link w:val="BalloonText"/>
    <w:rsid w:val="00F52B29"/>
    <w:rPr>
      <w:rFonts w:ascii="Tahoma" w:eastAsia="SimSun" w:hAnsi="Tahoma" w:cs="Tahoma"/>
      <w:sz w:val="16"/>
      <w:szCs w:val="16"/>
      <w:lang w:eastAsia="zh-CN"/>
    </w:rPr>
  </w:style>
  <w:style w:type="character" w:customStyle="1" w:styleId="ONUMFSChar">
    <w:name w:val="ONUM FS Char"/>
    <w:basedOn w:val="DefaultParagraphFont"/>
    <w:link w:val="ONUMFS"/>
    <w:rsid w:val="00F52B29"/>
    <w:rPr>
      <w:rFonts w:ascii="Arial" w:eastAsia="SimSun" w:hAnsi="Arial" w:cs="Arial"/>
      <w:sz w:val="22"/>
      <w:lang w:eastAsia="zh-CN"/>
    </w:rPr>
  </w:style>
  <w:style w:type="character" w:styleId="Hyperlink">
    <w:name w:val="Hyperlink"/>
    <w:basedOn w:val="DefaultParagraphFont"/>
    <w:uiPriority w:val="99"/>
    <w:rsid w:val="00C65C0F"/>
    <w:rPr>
      <w:color w:val="0000FF" w:themeColor="hyperlink"/>
      <w:u w:val="single"/>
    </w:rPr>
  </w:style>
  <w:style w:type="numbering" w:customStyle="1" w:styleId="NoList1">
    <w:name w:val="No List1"/>
    <w:next w:val="NoList"/>
    <w:uiPriority w:val="99"/>
    <w:semiHidden/>
    <w:unhideWhenUsed/>
    <w:rsid w:val="00060646"/>
  </w:style>
  <w:style w:type="character" w:styleId="FootnoteReference">
    <w:name w:val="footnote reference"/>
    <w:basedOn w:val="DefaultParagraphFont"/>
    <w:uiPriority w:val="99"/>
    <w:rsid w:val="00060646"/>
    <w:rPr>
      <w:vertAlign w:val="superscript"/>
    </w:rPr>
  </w:style>
  <w:style w:type="character" w:customStyle="1" w:styleId="FootnoteTextChar">
    <w:name w:val="Footnote Text Char"/>
    <w:basedOn w:val="DefaultParagraphFont"/>
    <w:link w:val="FootnoteText"/>
    <w:uiPriority w:val="99"/>
    <w:semiHidden/>
    <w:rsid w:val="00CB0F25"/>
    <w:rPr>
      <w:rFonts w:ascii="Arial" w:eastAsia="SimSun" w:hAnsi="Arial" w:cs="Arial"/>
      <w:sz w:val="18"/>
      <w:lang w:eastAsia="zh-CN"/>
    </w:rPr>
  </w:style>
  <w:style w:type="character" w:customStyle="1" w:styleId="Hyperlink1">
    <w:name w:val="Hyperlink1"/>
    <w:basedOn w:val="DefaultParagraphFont"/>
    <w:uiPriority w:val="99"/>
    <w:unhideWhenUsed/>
    <w:rsid w:val="00CB0F25"/>
    <w:rPr>
      <w:color w:val="0000FF"/>
      <w:u w:val="single"/>
    </w:rPr>
  </w:style>
  <w:style w:type="paragraph" w:styleId="ListParagraph">
    <w:name w:val="List Paragraph"/>
    <w:basedOn w:val="Normal"/>
    <w:uiPriority w:val="34"/>
    <w:qFormat/>
    <w:rsid w:val="006120B0"/>
    <w:pPr>
      <w:widowControl w:val="0"/>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6120B0"/>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rceip.ipaustralia.gov.au/%23/about"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ipdigital.usembassy.gov/st/english/publication/2009/11/20091106141914ebyessedo0.550483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7B0A-1603-4EA6-BDB4-352D06DD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(E).dotm</Template>
  <TotalTime>4</TotalTime>
  <Pages>14</Pages>
  <Words>5416</Words>
  <Characters>31167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36510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BRACI Biljana</cp:lastModifiedBy>
  <cp:revision>3</cp:revision>
  <cp:lastPrinted>2016-09-09T13:57:00Z</cp:lastPrinted>
  <dcterms:created xsi:type="dcterms:W3CDTF">2016-09-09T13:54:00Z</dcterms:created>
  <dcterms:modified xsi:type="dcterms:W3CDTF">2016-09-09T13:57:00Z</dcterms:modified>
</cp:coreProperties>
</file>