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7B00" w:rsidRPr="00052E3F" w:rsidTr="00872B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87B00" w:rsidRPr="00052E3F" w:rsidRDefault="00287B00" w:rsidP="00C01EB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7B00" w:rsidRPr="00052E3F" w:rsidRDefault="00287B00" w:rsidP="00C01EBF">
            <w:pPr>
              <w:rPr>
                <w:lang w:val="fr-FR"/>
              </w:rPr>
            </w:pPr>
            <w:r w:rsidRPr="00052E3F">
              <w:rPr>
                <w:noProof/>
                <w:lang w:eastAsia="en-US"/>
              </w:rPr>
              <w:drawing>
                <wp:inline distT="0" distB="0" distL="0" distR="0" wp14:anchorId="2D2B0EDE" wp14:editId="67E61CF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7B00" w:rsidRPr="00052E3F" w:rsidRDefault="00287B00" w:rsidP="00C01EBF">
            <w:pPr>
              <w:jc w:val="right"/>
              <w:rPr>
                <w:lang w:val="fr-FR"/>
              </w:rPr>
            </w:pPr>
            <w:r w:rsidRPr="00052E3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87B00" w:rsidRPr="00052E3F" w:rsidTr="00C01E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87B00" w:rsidRPr="00052E3F" w:rsidRDefault="00287B00" w:rsidP="00C01EB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2E3F">
              <w:rPr>
                <w:rFonts w:ascii="Arial Black" w:hAnsi="Arial Black"/>
                <w:caps/>
                <w:sz w:val="15"/>
                <w:lang w:val="fr-FR"/>
              </w:rPr>
              <w:t>CDIP/16/</w:t>
            </w:r>
            <w:bookmarkStart w:id="1" w:name="Code"/>
            <w:bookmarkEnd w:id="1"/>
            <w:r w:rsidRPr="00052E3F">
              <w:rPr>
                <w:rFonts w:ascii="Arial Black" w:hAnsi="Arial Black"/>
                <w:caps/>
                <w:sz w:val="15"/>
                <w:lang w:val="fr-FR"/>
              </w:rPr>
              <w:t xml:space="preserve">INF/2 </w:t>
            </w:r>
          </w:p>
        </w:tc>
      </w:tr>
      <w:tr w:rsidR="00287B00" w:rsidRPr="00052E3F" w:rsidTr="00C01E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87B00" w:rsidRPr="00052E3F" w:rsidRDefault="00287B00" w:rsidP="00C01EB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2E3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023682" w:rsidRPr="00052E3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52E3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052E3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87B00" w:rsidRPr="00052E3F" w:rsidTr="00C01E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87B00" w:rsidRPr="00052E3F" w:rsidRDefault="00287B00" w:rsidP="00C01EB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2E3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023682" w:rsidRPr="00052E3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52E3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052E3F">
              <w:rPr>
                <w:rFonts w:ascii="Arial Black" w:hAnsi="Arial Black"/>
                <w:caps/>
                <w:sz w:val="15"/>
                <w:lang w:val="fr-FR"/>
              </w:rPr>
              <w:t>28 septembre 2015</w:t>
            </w:r>
          </w:p>
        </w:tc>
      </w:tr>
    </w:tbl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b/>
          <w:sz w:val="28"/>
          <w:szCs w:val="28"/>
          <w:lang w:val="fr-FR"/>
        </w:rPr>
      </w:pPr>
      <w:r w:rsidRPr="00052E3F">
        <w:rPr>
          <w:b/>
          <w:sz w:val="28"/>
          <w:szCs w:val="28"/>
          <w:lang w:val="fr-FR"/>
        </w:rPr>
        <w:t>Comité du développement et de la propriété intellectuelle (CDIP)</w:t>
      </w: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b/>
          <w:sz w:val="24"/>
          <w:szCs w:val="24"/>
          <w:lang w:val="fr-FR"/>
        </w:rPr>
      </w:pPr>
      <w:r w:rsidRPr="00052E3F">
        <w:rPr>
          <w:b/>
          <w:sz w:val="24"/>
          <w:szCs w:val="24"/>
          <w:lang w:val="fr-FR"/>
        </w:rPr>
        <w:t>Seizième</w:t>
      </w:r>
      <w:r w:rsidR="00023682" w:rsidRPr="00052E3F">
        <w:rPr>
          <w:b/>
          <w:sz w:val="24"/>
          <w:szCs w:val="24"/>
          <w:lang w:val="fr-FR"/>
        </w:rPr>
        <w:t> </w:t>
      </w:r>
      <w:r w:rsidRPr="00052E3F">
        <w:rPr>
          <w:b/>
          <w:sz w:val="24"/>
          <w:szCs w:val="24"/>
          <w:lang w:val="fr-FR"/>
        </w:rPr>
        <w:t>session</w:t>
      </w:r>
    </w:p>
    <w:p w:rsidR="00287B00" w:rsidRPr="00052E3F" w:rsidRDefault="00287B00" w:rsidP="00287B00">
      <w:pPr>
        <w:rPr>
          <w:b/>
          <w:sz w:val="24"/>
          <w:szCs w:val="24"/>
          <w:lang w:val="fr-FR"/>
        </w:rPr>
      </w:pPr>
      <w:r w:rsidRPr="00052E3F">
        <w:rPr>
          <w:b/>
          <w:sz w:val="24"/>
          <w:szCs w:val="24"/>
          <w:lang w:val="fr-FR"/>
        </w:rPr>
        <w:t>Genève, 9 – 1</w:t>
      </w:r>
      <w:r w:rsidR="00872BA8" w:rsidRPr="00052E3F">
        <w:rPr>
          <w:b/>
          <w:sz w:val="24"/>
          <w:szCs w:val="24"/>
          <w:lang w:val="fr-FR"/>
        </w:rPr>
        <w:t>3 novembre 20</w:t>
      </w:r>
      <w:r w:rsidRPr="00052E3F">
        <w:rPr>
          <w:b/>
          <w:sz w:val="24"/>
          <w:szCs w:val="24"/>
          <w:lang w:val="fr-FR"/>
        </w:rPr>
        <w:t>15</w:t>
      </w: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287B00" w:rsidRPr="00052E3F" w:rsidRDefault="00287B00" w:rsidP="00287B00">
      <w:pPr>
        <w:rPr>
          <w:lang w:val="fr-FR"/>
        </w:rPr>
      </w:pPr>
    </w:p>
    <w:p w:rsidR="00592FF2" w:rsidRPr="00052E3F" w:rsidRDefault="00592FF2" w:rsidP="00592FF2">
      <w:pPr>
        <w:rPr>
          <w:caps/>
          <w:sz w:val="24"/>
          <w:lang w:val="fr-FR"/>
        </w:rPr>
      </w:pPr>
      <w:r w:rsidRPr="00052E3F">
        <w:rPr>
          <w:caps/>
          <w:sz w:val="24"/>
          <w:lang w:val="fr-FR"/>
        </w:rPr>
        <w:t>Résumé du Guide sur la concession de licences de marques</w:t>
      </w:r>
    </w:p>
    <w:p w:rsidR="00592FF2" w:rsidRPr="00052E3F" w:rsidRDefault="00592FF2" w:rsidP="008B2CC1">
      <w:pPr>
        <w:rPr>
          <w:lang w:val="fr-FR"/>
        </w:rPr>
      </w:pPr>
    </w:p>
    <w:p w:rsidR="00592FF2" w:rsidRPr="00052E3F" w:rsidRDefault="00482A20" w:rsidP="00482A20">
      <w:pPr>
        <w:rPr>
          <w:i/>
          <w:iCs/>
          <w:lang w:val="fr-FR"/>
        </w:rPr>
      </w:pPr>
      <w:bookmarkStart w:id="4" w:name="Prepared"/>
      <w:bookmarkEnd w:id="4"/>
      <w:proofErr w:type="gramStart"/>
      <w:r w:rsidRPr="00052E3F">
        <w:rPr>
          <w:i/>
          <w:iCs/>
          <w:lang w:val="fr-FR"/>
        </w:rPr>
        <w:t>établi</w:t>
      </w:r>
      <w:proofErr w:type="gramEnd"/>
      <w:r w:rsidRPr="00052E3F">
        <w:rPr>
          <w:i/>
          <w:iCs/>
          <w:lang w:val="fr-FR"/>
        </w:rPr>
        <w:t xml:space="preserve"> par M</w:t>
      </w:r>
      <w:r w:rsidR="007E40EA" w:rsidRPr="00052E3F">
        <w:rPr>
          <w:i/>
          <w:iCs/>
          <w:lang w:val="fr-FR"/>
        </w:rPr>
        <w:t>.</w:t>
      </w:r>
      <w:r w:rsidR="00023682" w:rsidRPr="00052E3F">
        <w:rPr>
          <w:i/>
          <w:iCs/>
          <w:lang w:val="fr-FR"/>
        </w:rPr>
        <w:t> </w:t>
      </w:r>
      <w:r w:rsidR="001738AB">
        <w:rPr>
          <w:i/>
          <w:iCs/>
          <w:lang w:val="fr-FR"/>
        </w:rPr>
        <w:t>Kenneth </w:t>
      </w:r>
      <w:r w:rsidRPr="00052E3F">
        <w:rPr>
          <w:i/>
          <w:iCs/>
          <w:lang w:val="fr-FR"/>
        </w:rPr>
        <w:t>D.</w:t>
      </w:r>
      <w:r w:rsidR="00023682" w:rsidRPr="00052E3F">
        <w:rPr>
          <w:i/>
          <w:iCs/>
          <w:lang w:val="fr-FR"/>
        </w:rPr>
        <w:t> </w:t>
      </w:r>
      <w:r w:rsidR="001738AB">
        <w:rPr>
          <w:i/>
          <w:iCs/>
          <w:lang w:val="fr-FR"/>
        </w:rPr>
        <w:t>McKay, associé, Sim </w:t>
      </w:r>
      <w:proofErr w:type="spellStart"/>
      <w:r w:rsidR="001738AB">
        <w:rPr>
          <w:i/>
          <w:iCs/>
          <w:lang w:val="fr-FR"/>
        </w:rPr>
        <w:t>Lowman</w:t>
      </w:r>
      <w:proofErr w:type="spellEnd"/>
      <w:r w:rsidR="001738AB">
        <w:rPr>
          <w:i/>
          <w:iCs/>
          <w:lang w:val="fr-FR"/>
        </w:rPr>
        <w:t> Ashton &amp; McKay </w:t>
      </w:r>
      <w:r w:rsidRPr="00052E3F">
        <w:rPr>
          <w:i/>
          <w:iCs/>
          <w:lang w:val="fr-FR"/>
        </w:rPr>
        <w:t>LLP, Toronto</w:t>
      </w:r>
      <w:r w:rsidR="001738AB">
        <w:rPr>
          <w:i/>
          <w:iCs/>
          <w:lang w:val="fr-FR"/>
        </w:rPr>
        <w:t> (</w:t>
      </w:r>
      <w:r w:rsidRPr="00052E3F">
        <w:rPr>
          <w:i/>
          <w:iCs/>
          <w:lang w:val="fr-FR"/>
        </w:rPr>
        <w:t>Canada</w:t>
      </w:r>
      <w:r w:rsidR="001738AB">
        <w:rPr>
          <w:i/>
          <w:iCs/>
          <w:lang w:val="fr-FR"/>
        </w:rPr>
        <w:t>)</w:t>
      </w:r>
      <w:r w:rsidRPr="00052E3F">
        <w:rPr>
          <w:rStyle w:val="FootnoteReference"/>
          <w:i/>
          <w:iCs/>
          <w:lang w:val="fr-FR"/>
        </w:rPr>
        <w:footnoteReference w:id="2"/>
      </w:r>
    </w:p>
    <w:p w:rsidR="00592FF2" w:rsidRPr="00052E3F" w:rsidRDefault="00592FF2">
      <w:pPr>
        <w:rPr>
          <w:lang w:val="fr-FR"/>
        </w:rPr>
      </w:pPr>
    </w:p>
    <w:p w:rsidR="00592FF2" w:rsidRPr="00052E3F" w:rsidRDefault="00592FF2">
      <w:pPr>
        <w:rPr>
          <w:lang w:val="fr-FR"/>
        </w:rPr>
      </w:pPr>
    </w:p>
    <w:p w:rsidR="00592FF2" w:rsidRPr="00052E3F" w:rsidRDefault="00592FF2">
      <w:pPr>
        <w:rPr>
          <w:lang w:val="fr-FR"/>
        </w:rPr>
      </w:pPr>
    </w:p>
    <w:p w:rsidR="00592FF2" w:rsidRPr="00052E3F" w:rsidRDefault="00592FF2" w:rsidP="0053057A">
      <w:pPr>
        <w:rPr>
          <w:lang w:val="fr-FR"/>
        </w:rPr>
      </w:pPr>
    </w:p>
    <w:p w:rsidR="00592FF2" w:rsidRPr="00052E3F" w:rsidRDefault="007E40EA" w:rsidP="00052E3F">
      <w:pPr>
        <w:pStyle w:val="ONUMFS"/>
        <w:rPr>
          <w:lang w:val="fr-FR"/>
        </w:rPr>
      </w:pPr>
      <w:r w:rsidRPr="00052E3F">
        <w:rPr>
          <w:lang w:val="fr-FR"/>
        </w:rPr>
        <w:t>Le présent document contient un résumé du Guide sur la concession</w:t>
      </w:r>
      <w:r w:rsidR="00BE7F46" w:rsidRPr="00052E3F">
        <w:rPr>
          <w:lang w:val="fr-FR"/>
        </w:rPr>
        <w:t xml:space="preserve"> de licences de</w:t>
      </w:r>
      <w:r w:rsidR="008D1895" w:rsidRPr="00052E3F">
        <w:rPr>
          <w:lang w:val="fr-FR"/>
        </w:rPr>
        <w:t xml:space="preserve"> marques</w:t>
      </w:r>
      <w:r w:rsidRPr="00052E3F">
        <w:rPr>
          <w:lang w:val="fr-FR"/>
        </w:rPr>
        <w:t>, établi dans le cadre du projet relatif à la structure 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appui à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innovation et au transfert de technologie à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intention des institutions nationales (CDIP/3/INF/2).</w:t>
      </w:r>
      <w:r w:rsidR="00C304EC" w:rsidRPr="00052E3F">
        <w:rPr>
          <w:lang w:val="fr-FR"/>
        </w:rPr>
        <w:t xml:space="preserve">  </w:t>
      </w:r>
      <w:r w:rsidR="00BE7F46" w:rsidRPr="00052E3F">
        <w:rPr>
          <w:lang w:val="fr-FR"/>
        </w:rPr>
        <w:t>C</w:t>
      </w:r>
      <w:r w:rsidRPr="00052E3F">
        <w:rPr>
          <w:lang w:val="fr-FR"/>
        </w:rPr>
        <w:t>e guide a été établi par M.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Kenneth </w:t>
      </w:r>
      <w:r w:rsidRPr="00052E3F">
        <w:rPr>
          <w:lang w:val="fr-FR"/>
        </w:rPr>
        <w:t>D.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McKay, associé, Sim </w:t>
      </w:r>
      <w:proofErr w:type="spellStart"/>
      <w:r w:rsidR="001738AB">
        <w:rPr>
          <w:lang w:val="fr-FR"/>
        </w:rPr>
        <w:t>Lowman</w:t>
      </w:r>
      <w:proofErr w:type="spellEnd"/>
      <w:r w:rsidR="001738AB">
        <w:rPr>
          <w:lang w:val="fr-FR"/>
        </w:rPr>
        <w:t> Ashton &amp; McKay </w:t>
      </w:r>
      <w:r w:rsidRPr="00052E3F">
        <w:rPr>
          <w:lang w:val="fr-FR"/>
        </w:rPr>
        <w:t>LLP, Toronto</w:t>
      </w:r>
      <w:r w:rsidR="001738AB">
        <w:rPr>
          <w:lang w:val="fr-FR"/>
        </w:rPr>
        <w:t xml:space="preserve"> (</w:t>
      </w:r>
      <w:r w:rsidRPr="00052E3F">
        <w:rPr>
          <w:lang w:val="fr-FR"/>
        </w:rPr>
        <w:t>Canada</w:t>
      </w:r>
      <w:r w:rsidR="001738AB">
        <w:rPr>
          <w:lang w:val="fr-FR"/>
        </w:rPr>
        <w:t>)</w:t>
      </w:r>
      <w:r w:rsidRPr="00052E3F">
        <w:rPr>
          <w:lang w:val="fr-FR"/>
        </w:rPr>
        <w:t>.</w:t>
      </w:r>
    </w:p>
    <w:p w:rsidR="00592FF2" w:rsidRPr="00052E3F" w:rsidRDefault="00872BA8" w:rsidP="00052E3F">
      <w:pPr>
        <w:pStyle w:val="ONUMFS"/>
        <w:ind w:left="5533"/>
        <w:rPr>
          <w:i/>
          <w:lang w:val="fr-FR"/>
        </w:rPr>
      </w:pPr>
      <w:r w:rsidRPr="00052E3F">
        <w:rPr>
          <w:i/>
          <w:lang w:val="fr-FR"/>
        </w:rPr>
        <w:t>Le CDI</w:t>
      </w:r>
      <w:r w:rsidR="007E40EA" w:rsidRPr="00052E3F">
        <w:rPr>
          <w:i/>
          <w:lang w:val="fr-FR"/>
        </w:rPr>
        <w:t>P est invité à prendre note des informations contenues dans le présent document.</w:t>
      </w:r>
    </w:p>
    <w:p w:rsidR="00592FF2" w:rsidRPr="00052E3F" w:rsidRDefault="006A22A0">
      <w:pPr>
        <w:rPr>
          <w:szCs w:val="22"/>
          <w:lang w:val="fr-FR"/>
        </w:rPr>
      </w:pPr>
      <w:r w:rsidRPr="00052E3F">
        <w:rPr>
          <w:szCs w:val="22"/>
          <w:lang w:val="fr-FR"/>
        </w:rPr>
        <w:br w:type="page"/>
      </w:r>
    </w:p>
    <w:p w:rsidR="00592FF2" w:rsidRPr="00052E3F" w:rsidRDefault="007E40EA" w:rsidP="007E40EA">
      <w:pPr>
        <w:rPr>
          <w:b/>
          <w:caps/>
          <w:lang w:val="fr-FR"/>
        </w:rPr>
      </w:pPr>
      <w:r w:rsidRPr="00052E3F">
        <w:rPr>
          <w:b/>
          <w:caps/>
          <w:lang w:val="fr-FR"/>
        </w:rPr>
        <w:lastRenderedPageBreak/>
        <w:t>Résumé</w:t>
      </w:r>
    </w:p>
    <w:p w:rsidR="00592FF2" w:rsidRPr="00052E3F" w:rsidRDefault="00592FF2" w:rsidP="00C304EC">
      <w:pPr>
        <w:rPr>
          <w:lang w:val="fr-FR"/>
        </w:rPr>
      </w:pPr>
    </w:p>
    <w:p w:rsidR="00872BA8" w:rsidRPr="00052E3F" w:rsidRDefault="008D1895" w:rsidP="00CA11F4">
      <w:pPr>
        <w:rPr>
          <w:lang w:val="fr-FR"/>
        </w:rPr>
      </w:pPr>
      <w:r w:rsidRPr="00052E3F">
        <w:rPr>
          <w:lang w:val="fr-FR"/>
        </w:rPr>
        <w:t>Cette</w:t>
      </w:r>
      <w:r w:rsidR="00CA11F4" w:rsidRPr="00052E3F">
        <w:rPr>
          <w:lang w:val="fr-FR"/>
        </w:rPr>
        <w:t xml:space="preserve"> publication se veut une source d</w:t>
      </w:r>
      <w:r w:rsidR="00872BA8" w:rsidRPr="00052E3F">
        <w:rPr>
          <w:lang w:val="fr-FR"/>
        </w:rPr>
        <w:t>’</w:t>
      </w:r>
      <w:r w:rsidR="00CA11F4" w:rsidRPr="00052E3F">
        <w:rPr>
          <w:lang w:val="fr-FR"/>
        </w:rPr>
        <w:t>information</w:t>
      </w:r>
      <w:r w:rsidRPr="00052E3F">
        <w:rPr>
          <w:lang w:val="fr-FR"/>
        </w:rPr>
        <w:t>s</w:t>
      </w:r>
      <w:r w:rsidR="00CA11F4" w:rsidRPr="00052E3F">
        <w:rPr>
          <w:lang w:val="fr-FR"/>
        </w:rPr>
        <w:t xml:space="preserve"> facile à lire et contient une liste des points à vérifier en ce qui concerne la concession de lice</w:t>
      </w:r>
      <w:r w:rsidR="00E70994" w:rsidRPr="00052E3F">
        <w:rPr>
          <w:lang w:val="fr-FR"/>
        </w:rPr>
        <w:t>nces de marques et les accords qui s</w:t>
      </w:r>
      <w:r w:rsidR="00872BA8" w:rsidRPr="00052E3F">
        <w:rPr>
          <w:lang w:val="fr-FR"/>
        </w:rPr>
        <w:t>’</w:t>
      </w:r>
      <w:r w:rsidR="00E70994" w:rsidRPr="00052E3F">
        <w:rPr>
          <w:lang w:val="fr-FR"/>
        </w:rPr>
        <w:t>y rapportent</w:t>
      </w:r>
      <w:r w:rsidR="00846029">
        <w:rPr>
          <w:lang w:val="fr-FR"/>
        </w:rPr>
        <w:t>,</w:t>
      </w:r>
      <w:r w:rsidR="00CA11F4" w:rsidRPr="00052E3F">
        <w:rPr>
          <w:lang w:val="fr-FR"/>
        </w:rPr>
        <w:t xml:space="preserve"> que l</w:t>
      </w:r>
      <w:r w:rsidR="00872BA8" w:rsidRPr="00052E3F">
        <w:rPr>
          <w:lang w:val="fr-FR"/>
        </w:rPr>
        <w:t>’</w:t>
      </w:r>
      <w:r w:rsidR="00CA11F4" w:rsidRPr="00052E3F">
        <w:rPr>
          <w:lang w:val="fr-FR"/>
        </w:rPr>
        <w:t>on rencontre souvent dans le domaine des marques et des accords de franchi</w:t>
      </w:r>
      <w:r w:rsidR="00052E3F" w:rsidRPr="00052E3F">
        <w:rPr>
          <w:lang w:val="fr-FR"/>
        </w:rPr>
        <w:t>se.  Il</w:t>
      </w:r>
      <w:r w:rsidR="00CA11F4" w:rsidRPr="00052E3F">
        <w:rPr>
          <w:lang w:val="fr-FR"/>
        </w:rPr>
        <w:t xml:space="preserve"> ne constitue en aucun cas un ouvrage de référence faisant foi.</w:t>
      </w:r>
    </w:p>
    <w:p w:rsidR="00592FF2" w:rsidRPr="00052E3F" w:rsidRDefault="00592FF2" w:rsidP="00C304EC">
      <w:pPr>
        <w:rPr>
          <w:lang w:val="fr-FR"/>
        </w:rPr>
      </w:pPr>
    </w:p>
    <w:p w:rsidR="00872BA8" w:rsidRPr="00052E3F" w:rsidRDefault="00B30999" w:rsidP="00300834">
      <w:pPr>
        <w:rPr>
          <w:lang w:val="fr-FR"/>
        </w:rPr>
      </w:pPr>
      <w:r w:rsidRPr="00052E3F">
        <w:rPr>
          <w:lang w:val="fr-FR"/>
        </w:rPr>
        <w:t>L</w:t>
      </w:r>
      <w:r w:rsidR="001738AB">
        <w:rPr>
          <w:lang w:val="fr-FR"/>
        </w:rPr>
        <w:t>a publication, dans son premier </w:t>
      </w:r>
      <w:r w:rsidRPr="00052E3F">
        <w:rPr>
          <w:lang w:val="fr-FR"/>
        </w:rPr>
        <w:t>chapitre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1 à </w:t>
      </w:r>
      <w:r w:rsidRPr="00052E3F">
        <w:rPr>
          <w:lang w:val="fr-FR"/>
        </w:rPr>
        <w:t xml:space="preserve">9), propose un bref historique des origines </w:t>
      </w:r>
      <w:r w:rsidR="008D1895" w:rsidRPr="00052E3F">
        <w:rPr>
          <w:lang w:val="fr-FR"/>
        </w:rPr>
        <w:t xml:space="preserve">de la concession </w:t>
      </w:r>
      <w:r w:rsidR="00E70994" w:rsidRPr="00052E3F">
        <w:rPr>
          <w:lang w:val="fr-FR"/>
        </w:rPr>
        <w:t>de</w:t>
      </w:r>
      <w:r w:rsidRPr="00052E3F">
        <w:rPr>
          <w:lang w:val="fr-FR"/>
        </w:rPr>
        <w:t xml:space="preserve"> licences de marque</w:t>
      </w:r>
      <w:r w:rsidR="008D1895" w:rsidRPr="00052E3F">
        <w:rPr>
          <w:lang w:val="fr-FR"/>
        </w:rPr>
        <w:t>s</w:t>
      </w:r>
      <w:r w:rsidRPr="00052E3F">
        <w:rPr>
          <w:lang w:val="fr-FR"/>
        </w:rPr>
        <w:t xml:space="preserve"> et aborde le thème des accords de franchise, de la vente de produits dérivés, de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 xml:space="preserve">association de marques, </w:t>
      </w:r>
      <w:r w:rsidR="00846029">
        <w:rPr>
          <w:lang w:val="fr-FR"/>
        </w:rPr>
        <w:t>d</w:t>
      </w:r>
      <w:r w:rsidRPr="00052E3F">
        <w:rPr>
          <w:lang w:val="fr-FR"/>
        </w:rPr>
        <w:t>e</w:t>
      </w:r>
      <w:r w:rsidR="008D1895" w:rsidRPr="00052E3F">
        <w:rPr>
          <w:lang w:val="fr-FR"/>
        </w:rPr>
        <w:t>s</w:t>
      </w:r>
      <w:r w:rsidRPr="00052E3F">
        <w:rPr>
          <w:lang w:val="fr-FR"/>
        </w:rPr>
        <w:t xml:space="preserve"> contrôle</w:t>
      </w:r>
      <w:r w:rsidR="00846029">
        <w:rPr>
          <w:lang w:val="fr-FR"/>
        </w:rPr>
        <w:t>s</w:t>
      </w:r>
      <w:r w:rsidRPr="00052E3F">
        <w:rPr>
          <w:lang w:val="fr-FR"/>
        </w:rPr>
        <w:t xml:space="preserve"> </w:t>
      </w:r>
      <w:r w:rsidR="008D1895" w:rsidRPr="00052E3F">
        <w:rPr>
          <w:lang w:val="fr-FR"/>
        </w:rPr>
        <w:t xml:space="preserve">et </w:t>
      </w:r>
      <w:r w:rsidR="00846029">
        <w:rPr>
          <w:lang w:val="fr-FR"/>
        </w:rPr>
        <w:t xml:space="preserve">des </w:t>
      </w:r>
      <w:r w:rsidR="008D1895" w:rsidRPr="00052E3F">
        <w:rPr>
          <w:lang w:val="fr-FR"/>
        </w:rPr>
        <w:t xml:space="preserve">normes </w:t>
      </w:r>
      <w:r w:rsidRPr="00052E3F">
        <w:rPr>
          <w:lang w:val="fr-FR"/>
        </w:rPr>
        <w:t>de qualité et des raisons à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origine de la concession de licenc</w:t>
      </w:r>
      <w:r w:rsidR="00052E3F" w:rsidRPr="00052E3F">
        <w:rPr>
          <w:lang w:val="fr-FR"/>
        </w:rPr>
        <w:t>es.  El</w:t>
      </w:r>
      <w:r w:rsidR="00E70994" w:rsidRPr="00052E3F">
        <w:rPr>
          <w:lang w:val="fr-FR"/>
        </w:rPr>
        <w:t>le o</w:t>
      </w:r>
      <w:r w:rsidR="001738AB">
        <w:rPr>
          <w:lang w:val="fr-FR"/>
        </w:rPr>
        <w:t>ffre ensuite, dans son deuxième </w:t>
      </w:r>
      <w:r w:rsidR="00E70994" w:rsidRPr="00052E3F">
        <w:rPr>
          <w:lang w:val="fr-FR"/>
        </w:rPr>
        <w:t>chapitre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10 à </w:t>
      </w:r>
      <w:r w:rsidR="00E70994" w:rsidRPr="00052E3F">
        <w:rPr>
          <w:lang w:val="fr-FR"/>
        </w:rPr>
        <w:t>17), un examen de la diligence requise, de la part des donneurs aussi bien que des preneurs de licences, avant la concession de la licen</w:t>
      </w:r>
      <w:r w:rsidR="00052E3F" w:rsidRPr="00052E3F">
        <w:rPr>
          <w:lang w:val="fr-FR"/>
        </w:rPr>
        <w:t>ce.  El</w:t>
      </w:r>
      <w:r w:rsidR="00300834" w:rsidRPr="00052E3F">
        <w:rPr>
          <w:lang w:val="fr-FR"/>
        </w:rPr>
        <w:t>le souligne qu</w:t>
      </w:r>
      <w:r w:rsidR="00872BA8" w:rsidRPr="00052E3F">
        <w:rPr>
          <w:lang w:val="fr-FR"/>
        </w:rPr>
        <w:t>’</w:t>
      </w:r>
      <w:r w:rsidR="00300834" w:rsidRPr="00052E3F">
        <w:rPr>
          <w:lang w:val="fr-FR"/>
        </w:rPr>
        <w:t xml:space="preserve">il est important, pour chacune des parties, de connaître les </w:t>
      </w:r>
      <w:r w:rsidR="00F20524" w:rsidRPr="00052E3F">
        <w:rPr>
          <w:lang w:val="fr-FR"/>
        </w:rPr>
        <w:t>compétences</w:t>
      </w:r>
      <w:r w:rsidR="00300834" w:rsidRPr="00052E3F">
        <w:rPr>
          <w:lang w:val="fr-FR"/>
        </w:rPr>
        <w:t xml:space="preserve"> de l</w:t>
      </w:r>
      <w:r w:rsidR="00872BA8" w:rsidRPr="00052E3F">
        <w:rPr>
          <w:lang w:val="fr-FR"/>
        </w:rPr>
        <w:t>’</w:t>
      </w:r>
      <w:r w:rsidR="00F20524" w:rsidRPr="00052E3F">
        <w:rPr>
          <w:lang w:val="fr-FR"/>
        </w:rPr>
        <w:t>a</w:t>
      </w:r>
      <w:r w:rsidR="00300834" w:rsidRPr="00052E3F">
        <w:rPr>
          <w:lang w:val="fr-FR"/>
        </w:rPr>
        <w:t>utre partie afin que la licen</w:t>
      </w:r>
      <w:r w:rsidR="00F20524" w:rsidRPr="00052E3F">
        <w:rPr>
          <w:lang w:val="fr-FR"/>
        </w:rPr>
        <w:t>c</w:t>
      </w:r>
      <w:r w:rsidR="00300834" w:rsidRPr="00052E3F">
        <w:rPr>
          <w:lang w:val="fr-FR"/>
        </w:rPr>
        <w:t xml:space="preserve">e soit </w:t>
      </w:r>
      <w:r w:rsidR="008D1895" w:rsidRPr="00052E3F">
        <w:rPr>
          <w:lang w:val="fr-FR"/>
        </w:rPr>
        <w:t>la plus efficace possible</w:t>
      </w:r>
      <w:r w:rsidR="00300834" w:rsidRPr="00052E3F">
        <w:rPr>
          <w:lang w:val="fr-FR"/>
        </w:rPr>
        <w:t xml:space="preserve"> pour les deux</w:t>
      </w:r>
      <w:r w:rsidR="00023682" w:rsidRPr="00052E3F">
        <w:rPr>
          <w:lang w:val="fr-FR"/>
        </w:rPr>
        <w:t> </w:t>
      </w:r>
      <w:r w:rsidR="00300834" w:rsidRPr="00052E3F">
        <w:rPr>
          <w:lang w:val="fr-FR"/>
        </w:rPr>
        <w:t>parties.</w:t>
      </w:r>
    </w:p>
    <w:p w:rsidR="00592FF2" w:rsidRPr="00052E3F" w:rsidRDefault="00592FF2" w:rsidP="00C304EC">
      <w:pPr>
        <w:rPr>
          <w:lang w:val="fr-FR"/>
        </w:rPr>
      </w:pPr>
    </w:p>
    <w:p w:rsidR="00592FF2" w:rsidRPr="00052E3F" w:rsidRDefault="00F20524" w:rsidP="001C3892">
      <w:pPr>
        <w:rPr>
          <w:lang w:val="fr-FR"/>
        </w:rPr>
      </w:pPr>
      <w:r w:rsidRPr="00052E3F">
        <w:rPr>
          <w:lang w:val="fr-FR"/>
        </w:rPr>
        <w:t xml:space="preserve">Au </w:t>
      </w:r>
      <w:r w:rsidR="001C3892" w:rsidRPr="00052E3F">
        <w:rPr>
          <w:lang w:val="fr-FR"/>
        </w:rPr>
        <w:t>chapitre</w:t>
      </w:r>
      <w:r w:rsidR="00023682" w:rsidRPr="00052E3F">
        <w:rPr>
          <w:lang w:val="fr-FR"/>
        </w:rPr>
        <w:t> </w:t>
      </w:r>
      <w:r w:rsidR="008D1895" w:rsidRPr="00052E3F">
        <w:rPr>
          <w:lang w:val="fr-FR"/>
        </w:rPr>
        <w:t>3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18 à </w:t>
      </w:r>
      <w:r w:rsidR="008D1895" w:rsidRPr="00052E3F">
        <w:rPr>
          <w:lang w:val="fr-FR"/>
        </w:rPr>
        <w:t>23</w:t>
      </w:r>
      <w:r w:rsidRPr="00052E3F">
        <w:rPr>
          <w:lang w:val="fr-FR"/>
        </w:rPr>
        <w:t>), il est expliqué que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exercice de diligence requise effectué avant la concession de la licence est suivi 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un examen plus technique de la valeur des marques, du point de vue des donneurs et des preneurs de licenc</w:t>
      </w:r>
      <w:r w:rsidR="00052E3F" w:rsidRPr="00052E3F">
        <w:rPr>
          <w:lang w:val="fr-FR"/>
        </w:rPr>
        <w:t>es.  Ap</w:t>
      </w:r>
      <w:r w:rsidR="00381E59" w:rsidRPr="00052E3F">
        <w:rPr>
          <w:lang w:val="fr-FR"/>
        </w:rPr>
        <w:t>rès ces trois</w:t>
      </w:r>
      <w:r w:rsidR="00023682" w:rsidRPr="00052E3F">
        <w:rPr>
          <w:lang w:val="fr-FR"/>
        </w:rPr>
        <w:t> </w:t>
      </w:r>
      <w:r w:rsidR="00381E59" w:rsidRPr="00052E3F">
        <w:rPr>
          <w:lang w:val="fr-FR"/>
        </w:rPr>
        <w:t>chapitres d</w:t>
      </w:r>
      <w:r w:rsidR="00872BA8" w:rsidRPr="00052E3F">
        <w:rPr>
          <w:lang w:val="fr-FR"/>
        </w:rPr>
        <w:t>’</w:t>
      </w:r>
      <w:r w:rsidR="00381E59" w:rsidRPr="00052E3F">
        <w:rPr>
          <w:lang w:val="fr-FR"/>
        </w:rPr>
        <w:t>introduction, la publication propose, au chapitre</w:t>
      </w:r>
      <w:r w:rsidR="00023682" w:rsidRPr="00052E3F">
        <w:rPr>
          <w:lang w:val="fr-FR"/>
        </w:rPr>
        <w:t> </w:t>
      </w:r>
      <w:r w:rsidR="00381E59" w:rsidRPr="00052E3F">
        <w:rPr>
          <w:lang w:val="fr-FR"/>
        </w:rPr>
        <w:t>4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24 à </w:t>
      </w:r>
      <w:r w:rsidR="00381E59" w:rsidRPr="00052E3F">
        <w:rPr>
          <w:lang w:val="fr-FR"/>
        </w:rPr>
        <w:t>63), un examen des principaux éléments des accords de licence de marque</w:t>
      </w:r>
      <w:r w:rsidR="008D1895" w:rsidRPr="00052E3F">
        <w:rPr>
          <w:lang w:val="fr-FR"/>
        </w:rPr>
        <w:t>s</w:t>
      </w:r>
      <w:r w:rsidR="00381E59" w:rsidRPr="00052E3F">
        <w:rPr>
          <w:lang w:val="fr-FR"/>
        </w:rPr>
        <w:t>, notamment le principe d</w:t>
      </w:r>
      <w:r w:rsidR="00872BA8" w:rsidRPr="00052E3F">
        <w:rPr>
          <w:lang w:val="fr-FR"/>
        </w:rPr>
        <w:t>’</w:t>
      </w:r>
      <w:r w:rsidR="00381E59" w:rsidRPr="00052E3F">
        <w:rPr>
          <w:lang w:val="fr-FR"/>
        </w:rPr>
        <w:t xml:space="preserve">équité dans les </w:t>
      </w:r>
      <w:r w:rsidR="008D1895" w:rsidRPr="00052E3F">
        <w:rPr>
          <w:lang w:val="fr-FR"/>
        </w:rPr>
        <w:t>négociatio</w:t>
      </w:r>
      <w:r w:rsidR="00052E3F" w:rsidRPr="00052E3F">
        <w:rPr>
          <w:lang w:val="fr-FR"/>
        </w:rPr>
        <w:t>ns.  Ce</w:t>
      </w:r>
      <w:r w:rsidR="001C3892" w:rsidRPr="00052E3F">
        <w:rPr>
          <w:lang w:val="fr-FR"/>
        </w:rPr>
        <w:t>rtaines dispositions de fond sont ensuite présentées, qui portent sur les points ci</w:t>
      </w:r>
      <w:r w:rsidR="001738AB">
        <w:rPr>
          <w:lang w:val="fr-FR"/>
        </w:rPr>
        <w:noBreakHyphen/>
      </w:r>
      <w:r w:rsidR="001C3892" w:rsidRPr="00052E3F">
        <w:rPr>
          <w:lang w:val="fr-FR"/>
        </w:rPr>
        <w:t>après</w:t>
      </w:r>
      <w:r w:rsidR="00023682" w:rsidRPr="00052E3F">
        <w:rPr>
          <w:lang w:val="fr-FR"/>
        </w:rPr>
        <w:t> </w:t>
      </w:r>
      <w:r w:rsidR="001C3892" w:rsidRPr="00052E3F">
        <w:rPr>
          <w:lang w:val="fr-FR"/>
        </w:rPr>
        <w:t xml:space="preserve">: </w:t>
      </w:r>
      <w:r w:rsidR="008D1895" w:rsidRPr="00052E3F">
        <w:rPr>
          <w:lang w:val="fr-FR"/>
        </w:rPr>
        <w:t>l</w:t>
      </w:r>
      <w:r w:rsidR="00872BA8" w:rsidRPr="00052E3F">
        <w:rPr>
          <w:lang w:val="fr-FR"/>
        </w:rPr>
        <w:t>’</w:t>
      </w:r>
      <w:r w:rsidR="001C3892" w:rsidRPr="00052E3F">
        <w:rPr>
          <w:lang w:val="fr-FR"/>
        </w:rPr>
        <w:t xml:space="preserve">importance des dispositions </w:t>
      </w:r>
      <w:r w:rsidR="008D1895" w:rsidRPr="00052E3F">
        <w:rPr>
          <w:lang w:val="fr-FR"/>
        </w:rPr>
        <w:t>relatives au</w:t>
      </w:r>
      <w:r w:rsidR="001C3892" w:rsidRPr="00052E3F">
        <w:rPr>
          <w:lang w:val="fr-FR"/>
        </w:rPr>
        <w:t xml:space="preserve"> contrôle de la qualité et </w:t>
      </w:r>
      <w:r w:rsidR="008D1895" w:rsidRPr="00052E3F">
        <w:rPr>
          <w:lang w:val="fr-FR"/>
        </w:rPr>
        <w:t>l</w:t>
      </w:r>
      <w:r w:rsidR="00872BA8" w:rsidRPr="00052E3F">
        <w:rPr>
          <w:lang w:val="fr-FR"/>
        </w:rPr>
        <w:t>’</w:t>
      </w:r>
      <w:r w:rsidR="001C3892" w:rsidRPr="00052E3F">
        <w:rPr>
          <w:lang w:val="fr-FR"/>
        </w:rPr>
        <w:t>application concrète de ces dispositions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25 à </w:t>
      </w:r>
      <w:r w:rsidR="001C3892" w:rsidRPr="00052E3F">
        <w:rPr>
          <w:lang w:val="fr-FR"/>
        </w:rPr>
        <w:t xml:space="preserve">27), </w:t>
      </w:r>
      <w:r w:rsidR="008D1895" w:rsidRPr="00052E3F">
        <w:rPr>
          <w:lang w:val="fr-FR"/>
        </w:rPr>
        <w:t xml:space="preserve">la </w:t>
      </w:r>
      <w:r w:rsidR="001C3892" w:rsidRPr="00052E3F">
        <w:rPr>
          <w:lang w:val="fr-FR"/>
        </w:rPr>
        <w:t>section des définitions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28 à </w:t>
      </w:r>
      <w:r w:rsidR="001C3892" w:rsidRPr="00052E3F">
        <w:rPr>
          <w:lang w:val="fr-FR"/>
        </w:rPr>
        <w:t xml:space="preserve">30),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clauses de concession de licences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30 à </w:t>
      </w:r>
      <w:r w:rsidR="001C3892" w:rsidRPr="00052E3F">
        <w:rPr>
          <w:lang w:val="fr-FR"/>
        </w:rPr>
        <w:t xml:space="preserve">34),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 xml:space="preserve">clauses de résiliation, </w:t>
      </w:r>
      <w:r w:rsidR="008D1895" w:rsidRPr="00052E3F">
        <w:rPr>
          <w:lang w:val="fr-FR"/>
        </w:rPr>
        <w:t xml:space="preserve">le </w:t>
      </w:r>
      <w:r w:rsidR="001C3892" w:rsidRPr="00052E3F">
        <w:rPr>
          <w:lang w:val="fr-FR"/>
        </w:rPr>
        <w:t xml:space="preserve">mode extrajudiciaire de règlement des litiges et </w:t>
      </w:r>
      <w:r w:rsidR="008D1895" w:rsidRPr="00052E3F">
        <w:rPr>
          <w:lang w:val="fr-FR"/>
        </w:rPr>
        <w:t xml:space="preserve">le </w:t>
      </w:r>
      <w:r w:rsidR="001C3892" w:rsidRPr="00052E3F">
        <w:rPr>
          <w:lang w:val="fr-FR"/>
        </w:rPr>
        <w:t>maintien de</w:t>
      </w:r>
      <w:r w:rsidR="008D1895" w:rsidRPr="00052E3F">
        <w:rPr>
          <w:lang w:val="fr-FR"/>
        </w:rPr>
        <w:t xml:space="preserve">s </w:t>
      </w:r>
      <w:r w:rsidR="001C3892" w:rsidRPr="00052E3F">
        <w:rPr>
          <w:lang w:val="fr-FR"/>
        </w:rPr>
        <w:t>obligation</w:t>
      </w:r>
      <w:r w:rsidR="008D1895" w:rsidRPr="00052E3F">
        <w:rPr>
          <w:lang w:val="fr-FR"/>
        </w:rPr>
        <w:t>s</w:t>
      </w:r>
      <w:r w:rsidR="001C3892" w:rsidRPr="00052E3F">
        <w:rPr>
          <w:lang w:val="fr-FR"/>
        </w:rPr>
        <w:t xml:space="preserve"> des parties après la résiliation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35 à </w:t>
      </w:r>
      <w:r w:rsidR="001C3892" w:rsidRPr="00052E3F">
        <w:rPr>
          <w:lang w:val="fr-FR"/>
        </w:rPr>
        <w:t xml:space="preserve">38),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clauses relatives au contrôle de la qualité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41 à </w:t>
      </w:r>
      <w:r w:rsidR="001C3892" w:rsidRPr="00052E3F">
        <w:rPr>
          <w:lang w:val="fr-FR"/>
        </w:rPr>
        <w:t xml:space="preserve">42), </w:t>
      </w:r>
      <w:r w:rsidR="008D1895" w:rsidRPr="00052E3F">
        <w:rPr>
          <w:lang w:val="fr-FR"/>
        </w:rPr>
        <w:t>l</w:t>
      </w:r>
      <w:r w:rsidR="00872BA8" w:rsidRPr="00052E3F">
        <w:rPr>
          <w:lang w:val="fr-FR"/>
        </w:rPr>
        <w:t>’</w:t>
      </w:r>
      <w:r w:rsidR="001C3892" w:rsidRPr="00052E3F">
        <w:rPr>
          <w:lang w:val="fr-FR"/>
        </w:rPr>
        <w:t>attribution et</w:t>
      </w:r>
      <w:r w:rsidR="008D1895" w:rsidRPr="00052E3F">
        <w:rPr>
          <w:lang w:val="fr-FR"/>
        </w:rPr>
        <w:t xml:space="preserve"> le</w:t>
      </w:r>
      <w:r w:rsidR="001C3892" w:rsidRPr="00052E3F">
        <w:rPr>
          <w:lang w:val="fr-FR"/>
        </w:rPr>
        <w:t xml:space="preserve"> maintien en vigueur des marques (page</w:t>
      </w:r>
      <w:r w:rsidR="00023682" w:rsidRPr="00052E3F">
        <w:rPr>
          <w:lang w:val="fr-FR"/>
        </w:rPr>
        <w:t> </w:t>
      </w:r>
      <w:r w:rsidR="001C3892" w:rsidRPr="00052E3F">
        <w:rPr>
          <w:lang w:val="fr-FR"/>
        </w:rPr>
        <w:t xml:space="preserve">43),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 xml:space="preserve">informations confidentielles,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 xml:space="preserve">atteintes et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arrangements</w:t>
      </w:r>
      <w:r w:rsidR="008D1895" w:rsidRPr="00052E3F">
        <w:rPr>
          <w:lang w:val="fr-FR"/>
        </w:rPr>
        <w:t xml:space="preserve"> relatifs aux droits</w:t>
      </w:r>
      <w:r w:rsidR="001C3892" w:rsidRPr="00052E3F">
        <w:rPr>
          <w:lang w:val="fr-FR"/>
        </w:rPr>
        <w:t xml:space="preserve">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44 et </w:t>
      </w:r>
      <w:r w:rsidR="001C3892" w:rsidRPr="00052E3F">
        <w:rPr>
          <w:lang w:val="fr-FR"/>
        </w:rPr>
        <w:t xml:space="preserve">45),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clauses de non</w:t>
      </w:r>
      <w:r w:rsidR="001738AB">
        <w:rPr>
          <w:lang w:val="fr-FR"/>
        </w:rPr>
        <w:noBreakHyphen/>
      </w:r>
      <w:r w:rsidR="001C3892" w:rsidRPr="00052E3F">
        <w:rPr>
          <w:lang w:val="fr-FR"/>
        </w:rPr>
        <w:t>concurrence et de non</w:t>
      </w:r>
      <w:r w:rsidR="001738AB">
        <w:rPr>
          <w:lang w:val="fr-FR"/>
        </w:rPr>
        <w:noBreakHyphen/>
      </w:r>
      <w:r w:rsidR="001C3892" w:rsidRPr="00052E3F">
        <w:rPr>
          <w:lang w:val="fr-FR"/>
        </w:rPr>
        <w:t>sollicitation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46 et </w:t>
      </w:r>
      <w:r w:rsidR="001C3892" w:rsidRPr="00052E3F">
        <w:rPr>
          <w:lang w:val="fr-FR"/>
        </w:rPr>
        <w:t xml:space="preserve">47),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 xml:space="preserve">clauses relatives aux différents types de garants, pour les licences avec des particuliers </w:t>
      </w:r>
      <w:r w:rsidR="00846029">
        <w:rPr>
          <w:lang w:val="fr-FR"/>
        </w:rPr>
        <w:t>(</w:t>
      </w:r>
      <w:r w:rsidR="00023682" w:rsidRPr="00052E3F">
        <w:rPr>
          <w:lang w:val="fr-FR"/>
        </w:rPr>
        <w:t>page </w:t>
      </w:r>
      <w:r w:rsidR="001C3892" w:rsidRPr="00052E3F">
        <w:rPr>
          <w:lang w:val="fr-FR"/>
        </w:rPr>
        <w:t xml:space="preserve">47),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clauses d</w:t>
      </w:r>
      <w:r w:rsidR="00872BA8" w:rsidRPr="00052E3F">
        <w:rPr>
          <w:lang w:val="fr-FR"/>
        </w:rPr>
        <w:t>’</w:t>
      </w:r>
      <w:r w:rsidR="001C3892" w:rsidRPr="00052E3F">
        <w:rPr>
          <w:lang w:val="fr-FR"/>
        </w:rPr>
        <w:t>assurance et d</w:t>
      </w:r>
      <w:r w:rsidR="00872BA8" w:rsidRPr="00052E3F">
        <w:rPr>
          <w:lang w:val="fr-FR"/>
        </w:rPr>
        <w:t>’</w:t>
      </w:r>
      <w:r w:rsidR="001C3892" w:rsidRPr="00052E3F">
        <w:rPr>
          <w:lang w:val="fr-FR"/>
        </w:rPr>
        <w:t>indemnisation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47 et </w:t>
      </w:r>
      <w:r w:rsidR="001C3892" w:rsidRPr="00052E3F">
        <w:rPr>
          <w:lang w:val="fr-FR"/>
        </w:rPr>
        <w:t xml:space="preserve">48), </w:t>
      </w:r>
      <w:r w:rsidR="008D1895" w:rsidRPr="00052E3F">
        <w:rPr>
          <w:lang w:val="fr-FR"/>
        </w:rPr>
        <w:t xml:space="preserve">les clauses relatives aux </w:t>
      </w:r>
      <w:r w:rsidR="001C3892" w:rsidRPr="00052E3F">
        <w:rPr>
          <w:lang w:val="fr-FR"/>
        </w:rPr>
        <w:t xml:space="preserve">paiements et </w:t>
      </w:r>
      <w:r w:rsidR="008D1895" w:rsidRPr="00052E3F">
        <w:rPr>
          <w:lang w:val="fr-FR"/>
        </w:rPr>
        <w:t xml:space="preserve">aux </w:t>
      </w:r>
      <w:r w:rsidR="001C3892" w:rsidRPr="00052E3F">
        <w:rPr>
          <w:lang w:val="fr-FR"/>
        </w:rPr>
        <w:t>redevances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50 à </w:t>
      </w:r>
      <w:r w:rsidR="001C3892" w:rsidRPr="00052E3F">
        <w:rPr>
          <w:lang w:val="fr-FR"/>
        </w:rPr>
        <w:t>53) et</w:t>
      </w:r>
      <w:r w:rsidR="008D1895" w:rsidRPr="00052E3F">
        <w:rPr>
          <w:lang w:val="fr-FR"/>
        </w:rPr>
        <w:t xml:space="preserve"> les</w:t>
      </w:r>
      <w:r w:rsidR="001C3892" w:rsidRPr="00052E3F">
        <w:rPr>
          <w:lang w:val="fr-FR"/>
        </w:rPr>
        <w:t xml:space="preserve"> clauses juridiques générales ou </w:t>
      </w:r>
      <w:r w:rsidR="008D1895" w:rsidRPr="00052E3F">
        <w:rPr>
          <w:lang w:val="fr-FR"/>
        </w:rPr>
        <w:t xml:space="preserve">les </w:t>
      </w:r>
      <w:r w:rsidR="001C3892" w:rsidRPr="00052E3F">
        <w:rPr>
          <w:lang w:val="fr-FR"/>
        </w:rPr>
        <w:t>clauses types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53 à </w:t>
      </w:r>
      <w:r w:rsidR="001C3892" w:rsidRPr="00052E3F">
        <w:rPr>
          <w:lang w:val="fr-FR"/>
        </w:rPr>
        <w:t>62).</w:t>
      </w:r>
    </w:p>
    <w:p w:rsidR="00592FF2" w:rsidRPr="00052E3F" w:rsidRDefault="00592FF2" w:rsidP="00C304EC">
      <w:pPr>
        <w:rPr>
          <w:lang w:val="fr-FR"/>
        </w:rPr>
      </w:pPr>
    </w:p>
    <w:p w:rsidR="00592FF2" w:rsidRPr="00052E3F" w:rsidRDefault="001C3892" w:rsidP="001C3892">
      <w:pPr>
        <w:rPr>
          <w:lang w:val="fr-FR"/>
        </w:rPr>
      </w:pPr>
      <w:r w:rsidRPr="00052E3F">
        <w:rPr>
          <w:lang w:val="fr-FR"/>
        </w:rPr>
        <w:t>Le guide aborde aussi des questions 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ordre général concernant les licences, notamment la législation antitrust, la concession de licences sur Internet, la faillite et la concession de licences sur des marques collectives et de certification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63 à </w:t>
      </w:r>
      <w:r w:rsidRPr="00052E3F">
        <w:rPr>
          <w:lang w:val="fr-FR"/>
        </w:rPr>
        <w:t>65).</w:t>
      </w:r>
    </w:p>
    <w:p w:rsidR="00592FF2" w:rsidRPr="00052E3F" w:rsidRDefault="00592FF2" w:rsidP="00C304EC">
      <w:pPr>
        <w:rPr>
          <w:lang w:val="fr-FR"/>
        </w:rPr>
      </w:pPr>
    </w:p>
    <w:p w:rsidR="00592FF2" w:rsidRPr="00052E3F" w:rsidRDefault="00592FF2" w:rsidP="00592FF2">
      <w:pPr>
        <w:rPr>
          <w:lang w:val="fr-FR"/>
        </w:rPr>
      </w:pPr>
      <w:r w:rsidRPr="00052E3F">
        <w:rPr>
          <w:lang w:val="fr-FR"/>
        </w:rPr>
        <w:t>Enfin, on trouve dans le guide plusieurs annexes portant sur des points précis, notamment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 xml:space="preserve">I sur les différents types de droits de propriété intellectuelle, </w:t>
      </w:r>
      <w:r w:rsidR="00872BA8" w:rsidRPr="00052E3F">
        <w:rPr>
          <w:lang w:val="fr-FR"/>
        </w:rPr>
        <w:t>à savoir</w:t>
      </w:r>
      <w:r w:rsidRPr="00052E3F">
        <w:rPr>
          <w:lang w:val="fr-FR"/>
        </w:rPr>
        <w:t xml:space="preserve"> les brevets (page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65), les marques (page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67), les dessins et modèles industriels (page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67), les secrets 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affaires (page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68)</w:t>
      </w:r>
      <w:r w:rsidR="00846029">
        <w:rPr>
          <w:lang w:val="fr-FR"/>
        </w:rPr>
        <w:t xml:space="preserve"> et</w:t>
      </w:r>
      <w:r w:rsidRPr="00052E3F">
        <w:rPr>
          <w:lang w:val="fr-FR"/>
        </w:rPr>
        <w:t xml:space="preserve"> le droit 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auteur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68 et </w:t>
      </w:r>
      <w:r w:rsidRPr="00052E3F">
        <w:rPr>
          <w:lang w:val="fr-FR"/>
        </w:rPr>
        <w:t>69); 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II sur l</w:t>
      </w:r>
      <w:r w:rsidR="00872BA8" w:rsidRPr="00052E3F">
        <w:rPr>
          <w:lang w:val="fr-FR"/>
        </w:rPr>
        <w:t>’</w:t>
      </w:r>
      <w:r w:rsidR="008D1895" w:rsidRPr="00052E3F">
        <w:rPr>
          <w:lang w:val="fr-FR"/>
        </w:rPr>
        <w:t>importance de l</w:t>
      </w:r>
      <w:r w:rsidR="00872BA8" w:rsidRPr="00052E3F">
        <w:rPr>
          <w:lang w:val="fr-FR"/>
        </w:rPr>
        <w:t>’</w:t>
      </w:r>
      <w:r w:rsidR="008D1895" w:rsidRPr="00052E3F">
        <w:rPr>
          <w:lang w:val="fr-FR"/>
        </w:rPr>
        <w:t>utilisation</w:t>
      </w:r>
      <w:r w:rsidRPr="00052E3F">
        <w:rPr>
          <w:lang w:val="fr-FR"/>
        </w:rPr>
        <w:t xml:space="preserve"> </w:t>
      </w:r>
      <w:r w:rsidR="008D1895" w:rsidRPr="00052E3F">
        <w:rPr>
          <w:lang w:val="fr-FR"/>
        </w:rPr>
        <w:t>d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un style simple</w:t>
      </w:r>
      <w:r w:rsidR="008D1895" w:rsidRPr="00052E3F">
        <w:rPr>
          <w:lang w:val="fr-FR"/>
        </w:rPr>
        <w:t xml:space="preserve"> </w:t>
      </w:r>
      <w:r w:rsidR="00846029">
        <w:rPr>
          <w:lang w:val="fr-FR"/>
        </w:rPr>
        <w:t>dans</w:t>
      </w:r>
      <w:r w:rsidR="008D1895" w:rsidRPr="00052E3F">
        <w:rPr>
          <w:lang w:val="fr-FR"/>
        </w:rPr>
        <w:t xml:space="preserve"> la rédaction des licences;  l</w:t>
      </w:r>
      <w:r w:rsidR="00872BA8" w:rsidRPr="00052E3F">
        <w:rPr>
          <w:lang w:val="fr-FR"/>
        </w:rPr>
        <w:t>’</w:t>
      </w:r>
      <w:r w:rsidR="008D1895"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="008D1895" w:rsidRPr="00052E3F">
        <w:rPr>
          <w:lang w:val="fr-FR"/>
        </w:rPr>
        <w:t xml:space="preserve">III sur les </w:t>
      </w:r>
      <w:r w:rsidRPr="00052E3F">
        <w:rPr>
          <w:lang w:val="fr-FR"/>
        </w:rPr>
        <w:t xml:space="preserve">autres </w:t>
      </w:r>
      <w:r w:rsidR="00846029">
        <w:rPr>
          <w:lang w:val="fr-FR"/>
        </w:rPr>
        <w:t>contrat</w:t>
      </w:r>
      <w:r w:rsidRPr="00052E3F">
        <w:rPr>
          <w:lang w:val="fr-FR"/>
        </w:rPr>
        <w:t xml:space="preserve">s </w:t>
      </w:r>
      <w:r w:rsidR="008D1895" w:rsidRPr="00052E3F">
        <w:rPr>
          <w:lang w:val="fr-FR"/>
        </w:rPr>
        <w:t>relatifs aux</w:t>
      </w:r>
      <w:r w:rsidRPr="00052E3F">
        <w:rPr>
          <w:lang w:val="fr-FR"/>
        </w:rPr>
        <w:t xml:space="preserve"> accords de franchise, notamment les contrats de location</w:t>
      </w:r>
      <w:r w:rsidR="00846029">
        <w:rPr>
          <w:lang w:val="fr-FR"/>
        </w:rPr>
        <w:t xml:space="preserve"> et</w:t>
      </w:r>
      <w:r w:rsidRPr="00052E3F">
        <w:rPr>
          <w:lang w:val="fr-FR"/>
        </w:rPr>
        <w:t xml:space="preserve"> les contrat</w:t>
      </w:r>
      <w:r w:rsidR="00846029">
        <w:rPr>
          <w:lang w:val="fr-FR"/>
        </w:rPr>
        <w:t>s</w:t>
      </w:r>
      <w:r w:rsidRPr="00052E3F">
        <w:rPr>
          <w:lang w:val="fr-FR"/>
        </w:rPr>
        <w:t xml:space="preserve"> de fabrication</w:t>
      </w:r>
      <w:r w:rsidR="00846029">
        <w:rPr>
          <w:lang w:val="fr-FR"/>
        </w:rPr>
        <w:t>, entre autres</w:t>
      </w:r>
      <w:r w:rsidRPr="00052E3F">
        <w:rPr>
          <w:lang w:val="fr-FR"/>
        </w:rPr>
        <w:t xml:space="preserve">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78 à </w:t>
      </w:r>
      <w:r w:rsidRPr="00052E3F">
        <w:rPr>
          <w:lang w:val="fr-FR"/>
        </w:rPr>
        <w:t>86); 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 xml:space="preserve">IV sur les </w:t>
      </w:r>
      <w:r w:rsidR="008D1895" w:rsidRPr="00052E3F">
        <w:rPr>
          <w:lang w:val="fr-FR"/>
        </w:rPr>
        <w:t>accords</w:t>
      </w:r>
      <w:r w:rsidRPr="00052E3F">
        <w:rPr>
          <w:lang w:val="fr-FR"/>
        </w:rPr>
        <w:t xml:space="preserve"> de licence de marques pour des entités </w:t>
      </w:r>
      <w:r w:rsidR="008D1895" w:rsidRPr="00052E3F">
        <w:rPr>
          <w:lang w:val="fr-FR"/>
        </w:rPr>
        <w:t>affiliées</w:t>
      </w:r>
      <w:r w:rsidRPr="00052E3F">
        <w:rPr>
          <w:lang w:val="fr-FR"/>
        </w:rPr>
        <w:t xml:space="preserve">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87 à </w:t>
      </w:r>
      <w:r w:rsidRPr="00052E3F">
        <w:rPr>
          <w:lang w:val="fr-FR"/>
        </w:rPr>
        <w:t>90);  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 xml:space="preserve">V sur les </w:t>
      </w:r>
      <w:r w:rsidR="008D1895" w:rsidRPr="00052E3F">
        <w:rPr>
          <w:lang w:val="fr-FR"/>
        </w:rPr>
        <w:t xml:space="preserve">accords </w:t>
      </w:r>
      <w:r w:rsidRPr="00052E3F">
        <w:rPr>
          <w:lang w:val="fr-FR"/>
        </w:rPr>
        <w:t xml:space="preserve">de licence de marques pour des entités non </w:t>
      </w:r>
      <w:r w:rsidR="008D1895" w:rsidRPr="00052E3F">
        <w:rPr>
          <w:lang w:val="fr-FR"/>
        </w:rPr>
        <w:t xml:space="preserve">affiliées </w:t>
      </w:r>
      <w:r w:rsidRPr="00052E3F">
        <w:rPr>
          <w:lang w:val="fr-FR"/>
        </w:rPr>
        <w:t>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91 à </w:t>
      </w:r>
      <w:r w:rsidRPr="00052E3F">
        <w:rPr>
          <w:lang w:val="fr-FR"/>
        </w:rPr>
        <w:t xml:space="preserve">116);  </w:t>
      </w:r>
      <w:r w:rsidR="00846029">
        <w:rPr>
          <w:lang w:val="fr-FR"/>
        </w:rPr>
        <w:t xml:space="preserve">et </w:t>
      </w:r>
      <w:r w:rsidRPr="00052E3F">
        <w:rPr>
          <w:lang w:val="fr-FR"/>
        </w:rPr>
        <w:t>l</w:t>
      </w:r>
      <w:r w:rsidR="00872BA8" w:rsidRPr="00052E3F">
        <w:rPr>
          <w:lang w:val="fr-FR"/>
        </w:rPr>
        <w:t>’</w:t>
      </w:r>
      <w:r w:rsidRPr="00052E3F">
        <w:rPr>
          <w:lang w:val="fr-FR"/>
        </w:rPr>
        <w:t>annexe</w:t>
      </w:r>
      <w:r w:rsidR="00023682" w:rsidRPr="00052E3F">
        <w:rPr>
          <w:lang w:val="fr-FR"/>
        </w:rPr>
        <w:t> </w:t>
      </w:r>
      <w:r w:rsidRPr="00052E3F">
        <w:rPr>
          <w:lang w:val="fr-FR"/>
        </w:rPr>
        <w:t>VI sur la liste des points à vérifier dans le cadre de la diligence requise préalable (pages</w:t>
      </w:r>
      <w:r w:rsidR="00023682" w:rsidRPr="00052E3F">
        <w:rPr>
          <w:lang w:val="fr-FR"/>
        </w:rPr>
        <w:t> </w:t>
      </w:r>
      <w:r w:rsidR="001738AB">
        <w:rPr>
          <w:lang w:val="fr-FR"/>
        </w:rPr>
        <w:t>117 à </w:t>
      </w:r>
      <w:r w:rsidRPr="00052E3F">
        <w:rPr>
          <w:lang w:val="fr-FR"/>
        </w:rPr>
        <w:t>119).</w:t>
      </w:r>
    </w:p>
    <w:p w:rsidR="00592FF2" w:rsidRPr="00052E3F" w:rsidRDefault="00592FF2" w:rsidP="00872BA8">
      <w:pPr>
        <w:pStyle w:val="Endofdocument-Annex"/>
        <w:rPr>
          <w:lang w:val="fr-FR"/>
        </w:rPr>
      </w:pPr>
    </w:p>
    <w:p w:rsidR="00872BA8" w:rsidRPr="00052E3F" w:rsidRDefault="00872BA8" w:rsidP="00872BA8">
      <w:pPr>
        <w:pStyle w:val="Endofdocument-Annex"/>
        <w:rPr>
          <w:lang w:val="fr-FR"/>
        </w:rPr>
      </w:pPr>
    </w:p>
    <w:p w:rsidR="00592FF2" w:rsidRPr="00052E3F" w:rsidRDefault="00592FF2" w:rsidP="00872BA8">
      <w:pPr>
        <w:pStyle w:val="Endofdocument-Annex"/>
        <w:rPr>
          <w:lang w:val="fr-FR"/>
        </w:rPr>
      </w:pPr>
    </w:p>
    <w:p w:rsidR="00C304EC" w:rsidRPr="00052E3F" w:rsidRDefault="00592FF2" w:rsidP="00872BA8">
      <w:pPr>
        <w:pStyle w:val="Endofdocument-Annex"/>
        <w:rPr>
          <w:lang w:val="fr-FR"/>
        </w:rPr>
      </w:pPr>
      <w:r w:rsidRPr="00052E3F">
        <w:rPr>
          <w:lang w:val="fr-FR"/>
        </w:rPr>
        <w:t>[Fin du document]</w:t>
      </w:r>
    </w:p>
    <w:sectPr w:rsidR="00C304EC" w:rsidRPr="00052E3F" w:rsidSect="00872BA8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EC" w:rsidRDefault="00C304EC">
      <w:r>
        <w:separator/>
      </w:r>
    </w:p>
  </w:endnote>
  <w:endnote w:type="continuationSeparator" w:id="0">
    <w:p w:rsidR="00C304EC" w:rsidRDefault="00C304EC" w:rsidP="003B38C1">
      <w:r>
        <w:separator/>
      </w:r>
    </w:p>
    <w:p w:rsidR="00C304EC" w:rsidRPr="003B38C1" w:rsidRDefault="00C304E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04EC" w:rsidRPr="003B38C1" w:rsidRDefault="00C304E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A8" w:rsidRPr="00872BA8" w:rsidRDefault="00872BA8" w:rsidP="00872BA8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EC" w:rsidRDefault="00C304EC">
      <w:r>
        <w:separator/>
      </w:r>
    </w:p>
  </w:footnote>
  <w:footnote w:type="continuationSeparator" w:id="0">
    <w:p w:rsidR="00C304EC" w:rsidRDefault="00C304EC" w:rsidP="008B60B2">
      <w:r>
        <w:separator/>
      </w:r>
    </w:p>
    <w:p w:rsidR="00C304EC" w:rsidRPr="00ED77FB" w:rsidRDefault="00C304E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04EC" w:rsidRPr="00ED77FB" w:rsidRDefault="00C304E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82A20" w:rsidRPr="00052E3F" w:rsidRDefault="00482A20">
      <w:pPr>
        <w:pStyle w:val="FootnoteText"/>
        <w:rPr>
          <w:lang w:val="fr-CH"/>
        </w:rPr>
      </w:pPr>
      <w:r w:rsidRPr="00052E3F">
        <w:rPr>
          <w:rStyle w:val="FootnoteReference"/>
        </w:rPr>
        <w:footnoteRef/>
      </w:r>
      <w:r w:rsidRPr="00052E3F">
        <w:rPr>
          <w:lang w:val="fr-CH"/>
        </w:rPr>
        <w:t xml:space="preserve"> </w:t>
      </w:r>
      <w:r w:rsidR="00872BA8" w:rsidRPr="00052E3F">
        <w:rPr>
          <w:lang w:val="fr-CH"/>
        </w:rPr>
        <w:tab/>
      </w:r>
      <w:r w:rsidRPr="00052E3F">
        <w:rPr>
          <w:lang w:val="fr-CH"/>
        </w:rPr>
        <w:t>Les opinions exprimées dans ce guide sont celles de l</w:t>
      </w:r>
      <w:r w:rsidR="00052E3F">
        <w:rPr>
          <w:lang w:val="fr-CH"/>
        </w:rPr>
        <w:t>’</w:t>
      </w:r>
      <w:r w:rsidRPr="00052E3F">
        <w:rPr>
          <w:lang w:val="fr-CH"/>
        </w:rPr>
        <w:t>auteur et ne sont pas nécessairement celles du Secrétariat ou des États membres de l</w:t>
      </w:r>
      <w:r w:rsidR="00052E3F">
        <w:rPr>
          <w:lang w:val="fr-CH"/>
        </w:rPr>
        <w:t>’</w:t>
      </w:r>
      <w:r w:rsidRPr="00052E3F">
        <w:rPr>
          <w:lang w:val="fr-CH"/>
        </w:rPr>
        <w:t>OMPI.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04EC" w:rsidP="00477D6B">
    <w:pPr>
      <w:jc w:val="right"/>
    </w:pPr>
    <w:bookmarkStart w:id="5" w:name="Code2"/>
    <w:bookmarkEnd w:id="5"/>
    <w:r>
      <w:t>CDIP/16/INF/2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0649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Administrative\Meetings|TextBase TMs\Administrative\Other|TextBase TMs\Administrative\Publications|TextBase TMs\Copyright\Meetings|TextBase TMs\Copyright\Other|TextBase TMs\Copyright\Publications|TextBase TMs\Budget and Finance\Meetings|TextBase TMs\Budget and Finance\Other|TextBase TMs\Budget and Finance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Trademarks\Meetings|TextBase TMs\Trademarks\Other|TextBase TMs\Trademarks\Publications|TextBase TMs\Patents\Meetings|TextBase TMs\Patents\Other|TextBase TMs\Patents\Publications"/>
    <w:docVar w:name="TextBaseURL" w:val="empty"/>
    <w:docVar w:name="UILng" w:val="en"/>
  </w:docVars>
  <w:rsids>
    <w:rsidRoot w:val="00C304EC"/>
    <w:rsid w:val="00023682"/>
    <w:rsid w:val="000366EA"/>
    <w:rsid w:val="00043CAA"/>
    <w:rsid w:val="00052E3F"/>
    <w:rsid w:val="00075432"/>
    <w:rsid w:val="000968ED"/>
    <w:rsid w:val="000F5E56"/>
    <w:rsid w:val="001362EE"/>
    <w:rsid w:val="001738AB"/>
    <w:rsid w:val="001832A6"/>
    <w:rsid w:val="001C3892"/>
    <w:rsid w:val="00215E34"/>
    <w:rsid w:val="002634C4"/>
    <w:rsid w:val="00287B00"/>
    <w:rsid w:val="002928D3"/>
    <w:rsid w:val="002F1FE6"/>
    <w:rsid w:val="002F4E68"/>
    <w:rsid w:val="00300834"/>
    <w:rsid w:val="00312F7F"/>
    <w:rsid w:val="00361450"/>
    <w:rsid w:val="003673CF"/>
    <w:rsid w:val="00381E59"/>
    <w:rsid w:val="003845C1"/>
    <w:rsid w:val="003A6F89"/>
    <w:rsid w:val="003B38C1"/>
    <w:rsid w:val="00423E3E"/>
    <w:rsid w:val="00427AF4"/>
    <w:rsid w:val="004647DA"/>
    <w:rsid w:val="00474062"/>
    <w:rsid w:val="00477D6B"/>
    <w:rsid w:val="00482A20"/>
    <w:rsid w:val="005019FF"/>
    <w:rsid w:val="0053057A"/>
    <w:rsid w:val="00560A29"/>
    <w:rsid w:val="00592FF2"/>
    <w:rsid w:val="005C6649"/>
    <w:rsid w:val="005F5386"/>
    <w:rsid w:val="00605827"/>
    <w:rsid w:val="00646050"/>
    <w:rsid w:val="006713CA"/>
    <w:rsid w:val="00676C5C"/>
    <w:rsid w:val="006A22A0"/>
    <w:rsid w:val="007D1613"/>
    <w:rsid w:val="007E40EA"/>
    <w:rsid w:val="00846029"/>
    <w:rsid w:val="00872BA8"/>
    <w:rsid w:val="008B2CC1"/>
    <w:rsid w:val="008B60B2"/>
    <w:rsid w:val="008D1895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353F"/>
    <w:rsid w:val="00A45BD8"/>
    <w:rsid w:val="00A869B7"/>
    <w:rsid w:val="00AC205C"/>
    <w:rsid w:val="00AF0A6B"/>
    <w:rsid w:val="00B05A69"/>
    <w:rsid w:val="00B30999"/>
    <w:rsid w:val="00B9734B"/>
    <w:rsid w:val="00BC73AE"/>
    <w:rsid w:val="00BE7F46"/>
    <w:rsid w:val="00C06494"/>
    <w:rsid w:val="00C11BFE"/>
    <w:rsid w:val="00C304EC"/>
    <w:rsid w:val="00CA11F4"/>
    <w:rsid w:val="00D45252"/>
    <w:rsid w:val="00D71B4D"/>
    <w:rsid w:val="00D7387F"/>
    <w:rsid w:val="00D93D55"/>
    <w:rsid w:val="00DE0A75"/>
    <w:rsid w:val="00E335FE"/>
    <w:rsid w:val="00E61CB2"/>
    <w:rsid w:val="00E70994"/>
    <w:rsid w:val="00EC20FA"/>
    <w:rsid w:val="00EC4E49"/>
    <w:rsid w:val="00ED77FB"/>
    <w:rsid w:val="00EE45FA"/>
    <w:rsid w:val="00F2052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3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4E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C304EC"/>
    <w:rPr>
      <w:vertAlign w:val="superscript"/>
    </w:rPr>
  </w:style>
  <w:style w:type="character" w:styleId="PageNumber">
    <w:name w:val="page number"/>
    <w:basedOn w:val="DefaultParagraphFont"/>
    <w:rsid w:val="00C304EC"/>
  </w:style>
  <w:style w:type="character" w:customStyle="1" w:styleId="HeaderChar">
    <w:name w:val="Header Char"/>
    <w:link w:val="Header"/>
    <w:uiPriority w:val="99"/>
    <w:rsid w:val="00C304E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52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3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4E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C304EC"/>
    <w:rPr>
      <w:vertAlign w:val="superscript"/>
    </w:rPr>
  </w:style>
  <w:style w:type="character" w:styleId="PageNumber">
    <w:name w:val="page number"/>
    <w:basedOn w:val="DefaultParagraphFont"/>
    <w:rsid w:val="00C304EC"/>
  </w:style>
  <w:style w:type="character" w:customStyle="1" w:styleId="HeaderChar">
    <w:name w:val="Header Char"/>
    <w:link w:val="Header"/>
    <w:uiPriority w:val="99"/>
    <w:rsid w:val="00C304E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52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(E).dotm</Template>
  <TotalTime>2</TotalTime>
  <Pages>2</Pages>
  <Words>797</Words>
  <Characters>3846</Characters>
  <Application>Microsoft Office Word</Application>
  <DocSecurity>4</DocSecurity>
  <Lines>91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keywords>NGG/ko</cp:keywords>
  <cp:lastModifiedBy>BRACI Biljana</cp:lastModifiedBy>
  <cp:revision>2</cp:revision>
  <cp:lastPrinted>2015-10-13T18:47:00Z</cp:lastPrinted>
  <dcterms:created xsi:type="dcterms:W3CDTF">2015-10-14T15:23:00Z</dcterms:created>
  <dcterms:modified xsi:type="dcterms:W3CDTF">2015-10-14T15:23:00Z</dcterms:modified>
</cp:coreProperties>
</file>