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B73A4" w:rsidRPr="00FB73A4" w:rsidTr="007012B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D47EC" w:rsidRPr="00FB73A4" w:rsidRDefault="009D47EC" w:rsidP="00660590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7EC" w:rsidRPr="00FB73A4" w:rsidRDefault="009D47EC" w:rsidP="00660590">
            <w:pPr>
              <w:rPr>
                <w:lang w:val="fr-FR"/>
              </w:rPr>
            </w:pPr>
            <w:r w:rsidRPr="00FB73A4">
              <w:rPr>
                <w:noProof/>
                <w:lang w:eastAsia="en-US"/>
              </w:rPr>
              <w:drawing>
                <wp:inline distT="0" distB="0" distL="0" distR="0" wp14:anchorId="6F4EC23C" wp14:editId="3B7E621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D47EC" w:rsidRPr="00FB73A4" w:rsidRDefault="009D47EC" w:rsidP="00660590">
            <w:pPr>
              <w:jc w:val="right"/>
              <w:rPr>
                <w:lang w:val="fr-FR"/>
              </w:rPr>
            </w:pPr>
            <w:r w:rsidRPr="00FB73A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B73A4" w:rsidRPr="00FB73A4" w:rsidTr="007012B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D47EC" w:rsidRPr="00FB73A4" w:rsidRDefault="009D47EC" w:rsidP="0066059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B73A4">
              <w:rPr>
                <w:rFonts w:ascii="Arial Black" w:hAnsi="Arial Black"/>
                <w:caps/>
                <w:sz w:val="15"/>
                <w:lang w:val="fr-FR"/>
              </w:rPr>
              <w:t>CDIP/16/</w:t>
            </w:r>
            <w:bookmarkStart w:id="1" w:name="Code"/>
            <w:bookmarkEnd w:id="1"/>
            <w:r w:rsidRPr="00FB73A4">
              <w:rPr>
                <w:rFonts w:ascii="Arial Black" w:hAnsi="Arial Black"/>
                <w:caps/>
                <w:sz w:val="15"/>
                <w:lang w:val="fr-FR"/>
              </w:rPr>
              <w:t xml:space="preserve">5 </w:t>
            </w:r>
          </w:p>
        </w:tc>
      </w:tr>
      <w:tr w:rsidR="00FB73A4" w:rsidRPr="00FB73A4" w:rsidTr="007012B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D47EC" w:rsidRPr="00FB73A4" w:rsidRDefault="009D47EC" w:rsidP="0066059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B73A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E7CF4" w:rsidRPr="00FB73A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B73A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FB73A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9D47EC" w:rsidRPr="00FB73A4" w:rsidTr="007012B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D47EC" w:rsidRPr="00FB73A4" w:rsidRDefault="009D47EC" w:rsidP="0066059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B73A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E7CF4" w:rsidRPr="00FB73A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FB73A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FB73A4">
              <w:rPr>
                <w:rFonts w:ascii="Arial Black" w:hAnsi="Arial Black"/>
                <w:caps/>
                <w:sz w:val="15"/>
                <w:lang w:val="fr-FR"/>
              </w:rPr>
              <w:t>27 août 2015</w:t>
            </w:r>
          </w:p>
        </w:tc>
      </w:tr>
    </w:tbl>
    <w:p w:rsidR="009D47EC" w:rsidRPr="00FB73A4" w:rsidRDefault="009D47EC" w:rsidP="00660590">
      <w:pPr>
        <w:rPr>
          <w:lang w:val="fr-FR"/>
        </w:rPr>
      </w:pPr>
    </w:p>
    <w:p w:rsidR="009D47EC" w:rsidRPr="00FB73A4" w:rsidRDefault="009D47EC" w:rsidP="00660590">
      <w:pPr>
        <w:rPr>
          <w:lang w:val="fr-FR"/>
        </w:rPr>
      </w:pPr>
    </w:p>
    <w:p w:rsidR="009D47EC" w:rsidRPr="00FB73A4" w:rsidRDefault="009D47EC" w:rsidP="00FB73A4">
      <w:pPr>
        <w:rPr>
          <w:lang w:val="fr-FR"/>
        </w:rPr>
      </w:pPr>
    </w:p>
    <w:p w:rsidR="009D47EC" w:rsidRPr="00FB73A4" w:rsidRDefault="009D47EC" w:rsidP="00FB73A4">
      <w:pPr>
        <w:rPr>
          <w:lang w:val="fr-FR"/>
        </w:rPr>
      </w:pPr>
    </w:p>
    <w:p w:rsidR="009D47EC" w:rsidRPr="00FB73A4" w:rsidRDefault="009D47EC" w:rsidP="00FB73A4">
      <w:pPr>
        <w:rPr>
          <w:lang w:val="fr-FR"/>
        </w:rPr>
      </w:pPr>
    </w:p>
    <w:p w:rsidR="009D47EC" w:rsidRPr="00FB73A4" w:rsidRDefault="009D47EC" w:rsidP="00FB73A4">
      <w:pPr>
        <w:rPr>
          <w:b/>
          <w:sz w:val="28"/>
          <w:szCs w:val="28"/>
          <w:lang w:val="fr-FR"/>
        </w:rPr>
      </w:pPr>
      <w:r w:rsidRPr="00FB73A4">
        <w:rPr>
          <w:b/>
          <w:sz w:val="28"/>
          <w:szCs w:val="28"/>
          <w:lang w:val="fr-FR"/>
        </w:rPr>
        <w:t>Comité du développement et de la propriété intellectuelle (CDIP)</w:t>
      </w:r>
    </w:p>
    <w:p w:rsidR="009D47EC" w:rsidRPr="00FB73A4" w:rsidRDefault="009D47EC" w:rsidP="00FB73A4">
      <w:pPr>
        <w:rPr>
          <w:lang w:val="fr-FR"/>
        </w:rPr>
      </w:pPr>
    </w:p>
    <w:p w:rsidR="009D47EC" w:rsidRPr="00FB73A4" w:rsidRDefault="009D47EC" w:rsidP="00FB73A4">
      <w:pPr>
        <w:rPr>
          <w:lang w:val="fr-FR"/>
        </w:rPr>
      </w:pPr>
    </w:p>
    <w:p w:rsidR="009D47EC" w:rsidRPr="00FB73A4" w:rsidRDefault="009D47EC" w:rsidP="00FB73A4">
      <w:pPr>
        <w:rPr>
          <w:b/>
          <w:sz w:val="24"/>
          <w:szCs w:val="24"/>
          <w:lang w:val="fr-FR"/>
        </w:rPr>
      </w:pPr>
      <w:r w:rsidRPr="00FB73A4">
        <w:rPr>
          <w:b/>
          <w:sz w:val="24"/>
          <w:szCs w:val="24"/>
          <w:lang w:val="fr-FR"/>
        </w:rPr>
        <w:t>Seizième</w:t>
      </w:r>
      <w:r w:rsidR="005E7CF4" w:rsidRPr="00FB73A4">
        <w:rPr>
          <w:b/>
          <w:sz w:val="24"/>
          <w:szCs w:val="24"/>
          <w:lang w:val="fr-FR"/>
        </w:rPr>
        <w:t> </w:t>
      </w:r>
      <w:r w:rsidRPr="00FB73A4">
        <w:rPr>
          <w:b/>
          <w:sz w:val="24"/>
          <w:szCs w:val="24"/>
          <w:lang w:val="fr-FR"/>
        </w:rPr>
        <w:t>session</w:t>
      </w:r>
    </w:p>
    <w:p w:rsidR="009D47EC" w:rsidRPr="00FB73A4" w:rsidRDefault="009D47EC" w:rsidP="00FB73A4">
      <w:pPr>
        <w:rPr>
          <w:b/>
          <w:sz w:val="24"/>
          <w:szCs w:val="24"/>
          <w:lang w:val="fr-FR"/>
        </w:rPr>
      </w:pPr>
      <w:r w:rsidRPr="00FB73A4">
        <w:rPr>
          <w:b/>
          <w:sz w:val="24"/>
          <w:szCs w:val="24"/>
          <w:lang w:val="fr-FR"/>
        </w:rPr>
        <w:t>Genève, 9 – 13 novembre 2015</w:t>
      </w:r>
    </w:p>
    <w:p w:rsidR="009D47EC" w:rsidRPr="00FB73A4" w:rsidRDefault="009D47EC" w:rsidP="00FB73A4">
      <w:pPr>
        <w:rPr>
          <w:lang w:val="fr-FR"/>
        </w:rPr>
      </w:pPr>
    </w:p>
    <w:p w:rsidR="009D47EC" w:rsidRPr="00FB73A4" w:rsidRDefault="009D47EC" w:rsidP="00FB73A4">
      <w:pPr>
        <w:rPr>
          <w:lang w:val="fr-FR"/>
        </w:rPr>
      </w:pPr>
    </w:p>
    <w:p w:rsidR="009D47EC" w:rsidRPr="00FB73A4" w:rsidRDefault="009D47EC" w:rsidP="00FB73A4">
      <w:pPr>
        <w:rPr>
          <w:lang w:val="fr-FR"/>
        </w:rPr>
      </w:pPr>
    </w:p>
    <w:p w:rsidR="006F2D3E" w:rsidRPr="00FB73A4" w:rsidRDefault="006F2D3E" w:rsidP="00FB73A4">
      <w:pPr>
        <w:rPr>
          <w:caps/>
          <w:sz w:val="24"/>
          <w:lang w:val="fr-FR"/>
        </w:rPr>
      </w:pPr>
      <w:r w:rsidRPr="00FB73A4">
        <w:rPr>
          <w:caps/>
          <w:sz w:val="24"/>
          <w:lang w:val="fr-FR"/>
        </w:rPr>
        <w:t>R</w:t>
      </w:r>
      <w:r w:rsidR="003A2BF0" w:rsidRPr="00FB73A4">
        <w:rPr>
          <w:caps/>
          <w:sz w:val="24"/>
          <w:lang w:val="fr-FR"/>
        </w:rPr>
        <w:t>a</w:t>
      </w:r>
      <w:r w:rsidRPr="00FB73A4">
        <w:rPr>
          <w:caps/>
          <w:sz w:val="24"/>
          <w:lang w:val="fr-FR"/>
        </w:rPr>
        <w:t>P</w:t>
      </w:r>
      <w:r w:rsidR="003A2BF0" w:rsidRPr="00FB73A4">
        <w:rPr>
          <w:caps/>
          <w:sz w:val="24"/>
          <w:lang w:val="fr-FR"/>
        </w:rPr>
        <w:t>p</w:t>
      </w:r>
      <w:r w:rsidRPr="00FB73A4">
        <w:rPr>
          <w:caps/>
          <w:sz w:val="24"/>
          <w:lang w:val="fr-FR"/>
        </w:rPr>
        <w:t xml:space="preserve">ORT </w:t>
      </w:r>
      <w:r w:rsidR="003A2BF0" w:rsidRPr="00FB73A4">
        <w:rPr>
          <w:caps/>
          <w:sz w:val="24"/>
          <w:lang w:val="fr-FR"/>
        </w:rPr>
        <w:t>sur la</w:t>
      </w:r>
      <w:r w:rsidR="00F55202" w:rsidRPr="00FB73A4">
        <w:rPr>
          <w:caps/>
          <w:sz w:val="24"/>
          <w:lang w:val="fr-FR"/>
        </w:rPr>
        <w:t xml:space="preserve"> mise à jour </w:t>
      </w:r>
      <w:r w:rsidR="003A2BF0" w:rsidRPr="00FB73A4">
        <w:rPr>
          <w:caps/>
          <w:sz w:val="24"/>
          <w:lang w:val="fr-FR"/>
        </w:rPr>
        <w:t>de la base de données consacrée aux</w:t>
      </w:r>
      <w:r w:rsidR="00C5097B" w:rsidRPr="00FB73A4">
        <w:rPr>
          <w:caps/>
          <w:sz w:val="24"/>
          <w:lang w:val="fr-FR"/>
        </w:rPr>
        <w:t> </w:t>
      </w:r>
      <w:r w:rsidR="003A2BF0" w:rsidRPr="00FB73A4">
        <w:rPr>
          <w:caps/>
          <w:sz w:val="24"/>
          <w:lang w:val="fr-FR"/>
        </w:rPr>
        <w:t>éléments de flexibilité</w:t>
      </w: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6F2D3E" w:rsidP="00FB73A4">
      <w:pPr>
        <w:rPr>
          <w:i/>
          <w:lang w:val="fr-FR"/>
        </w:rPr>
      </w:pPr>
      <w:bookmarkStart w:id="4" w:name="Prepared"/>
      <w:bookmarkEnd w:id="4"/>
      <w:proofErr w:type="gramStart"/>
      <w:r w:rsidRPr="00FB73A4">
        <w:rPr>
          <w:i/>
          <w:lang w:val="fr-FR"/>
        </w:rPr>
        <w:t>établi</w:t>
      </w:r>
      <w:proofErr w:type="gramEnd"/>
      <w:r w:rsidRPr="00FB73A4">
        <w:rPr>
          <w:i/>
          <w:lang w:val="fr-FR"/>
        </w:rPr>
        <w:t xml:space="preserve"> par le Secrétariat</w:t>
      </w: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3A2BF0" w:rsidP="00FB73A4">
      <w:pPr>
        <w:pStyle w:val="ONUMFS"/>
        <w:rPr>
          <w:lang w:val="fr-FR"/>
        </w:rPr>
      </w:pPr>
      <w:r w:rsidRPr="00FB73A4">
        <w:rPr>
          <w:lang w:val="fr-FR"/>
        </w:rPr>
        <w:t>À sa quinzième</w:t>
      </w:r>
      <w:r w:rsidR="005E7CF4" w:rsidRPr="00FB73A4">
        <w:rPr>
          <w:lang w:val="fr-FR"/>
        </w:rPr>
        <w:t> </w:t>
      </w:r>
      <w:r w:rsidRPr="00FB73A4">
        <w:rPr>
          <w:lang w:val="fr-FR"/>
        </w:rPr>
        <w:t xml:space="preserve">session, le Comité du développement et de la propriété intellectuelle </w:t>
      </w:r>
      <w:r w:rsidR="00D602A1" w:rsidRPr="00FB73A4">
        <w:rPr>
          <w:lang w:val="fr-FR"/>
        </w:rPr>
        <w:t xml:space="preserve">(CDIP) </w:t>
      </w:r>
      <w:r w:rsidR="009B3DAF" w:rsidRPr="00FB73A4">
        <w:rPr>
          <w:lang w:val="fr-FR"/>
        </w:rPr>
        <w:t>a demandé au Secrétariat d</w:t>
      </w:r>
      <w:r w:rsidR="009D47EC" w:rsidRPr="00FB73A4">
        <w:rPr>
          <w:lang w:val="fr-FR"/>
        </w:rPr>
        <w:t>’</w:t>
      </w:r>
      <w:r w:rsidR="009B3DAF" w:rsidRPr="00FB73A4">
        <w:rPr>
          <w:lang w:val="fr-FR"/>
        </w:rPr>
        <w:t>actualiser la base de données consacrée aux éléments de flexibilité et d</w:t>
      </w:r>
      <w:r w:rsidR="009D47EC" w:rsidRPr="00FB73A4">
        <w:rPr>
          <w:lang w:val="fr-FR"/>
        </w:rPr>
        <w:t>’</w:t>
      </w:r>
      <w:r w:rsidR="009B3DAF" w:rsidRPr="00FB73A4">
        <w:rPr>
          <w:lang w:val="fr-FR"/>
        </w:rPr>
        <w:t xml:space="preserve">en rendre compte lors de la prochaine session du </w:t>
      </w:r>
      <w:r w:rsidR="00F30623" w:rsidRPr="00FB73A4">
        <w:rPr>
          <w:lang w:val="fr-FR"/>
        </w:rPr>
        <w:t>c</w:t>
      </w:r>
      <w:r w:rsidR="009B3DAF" w:rsidRPr="00FB73A4">
        <w:rPr>
          <w:lang w:val="fr-FR"/>
        </w:rPr>
        <w:t>omité</w:t>
      </w:r>
      <w:r w:rsidR="00D602A1" w:rsidRPr="00FB73A4">
        <w:rPr>
          <w:lang w:val="fr-FR"/>
        </w:rPr>
        <w:t>.</w:t>
      </w:r>
    </w:p>
    <w:p w:rsidR="006F2D3E" w:rsidRPr="00FB73A4" w:rsidRDefault="009B3DAF" w:rsidP="00FB73A4">
      <w:pPr>
        <w:pStyle w:val="ONUMFS"/>
        <w:rPr>
          <w:szCs w:val="22"/>
          <w:lang w:val="fr-FR"/>
        </w:rPr>
      </w:pPr>
      <w:r w:rsidRPr="00FB73A4">
        <w:rPr>
          <w:szCs w:val="22"/>
          <w:lang w:val="fr-FR"/>
        </w:rPr>
        <w:t>Comme suite à cette demande, 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 xml:space="preserve">annexe du présent document </w:t>
      </w:r>
      <w:r w:rsidR="00F55202" w:rsidRPr="00FB73A4">
        <w:rPr>
          <w:szCs w:val="22"/>
          <w:lang w:val="fr-FR"/>
        </w:rPr>
        <w:t xml:space="preserve">fait le point sur la mise à jour de la base de données qui peut être consultée sur la page Web consacrée aux </w:t>
      </w:r>
      <w:r w:rsidR="00017978" w:rsidRPr="00FB73A4">
        <w:rPr>
          <w:szCs w:val="22"/>
          <w:lang w:val="fr-FR"/>
        </w:rPr>
        <w:t>éléments de flexibilité du système de propriété intellectuelle</w:t>
      </w:r>
      <w:r w:rsidR="006E01F3" w:rsidRPr="00FB73A4">
        <w:rPr>
          <w:szCs w:val="22"/>
          <w:lang w:val="fr-FR"/>
        </w:rPr>
        <w:t xml:space="preserve"> à l’adresse suivante</w:t>
      </w:r>
      <w:r w:rsidR="00017978" w:rsidRPr="00FB73A4">
        <w:rPr>
          <w:szCs w:val="22"/>
          <w:lang w:val="fr-FR"/>
        </w:rPr>
        <w:t> </w:t>
      </w:r>
      <w:r w:rsidR="009A5468" w:rsidRPr="00FB73A4">
        <w:rPr>
          <w:szCs w:val="22"/>
          <w:lang w:val="fr-FR"/>
        </w:rPr>
        <w:t xml:space="preserve">: </w:t>
      </w:r>
      <w:r w:rsidR="00452CC3">
        <w:fldChar w:fldCharType="begin"/>
      </w:r>
      <w:r w:rsidR="00452CC3" w:rsidRPr="00E34C8B">
        <w:rPr>
          <w:lang w:val="fr-CH"/>
        </w:rPr>
        <w:instrText xml:space="preserve"> HYPERLINK "http://www.wipo.int/ip-development/en/agenda/flexibilities/" </w:instrText>
      </w:r>
      <w:r w:rsidR="00452CC3">
        <w:fldChar w:fldCharType="separate"/>
      </w:r>
      <w:r w:rsidR="009A5468" w:rsidRPr="00FB73A4">
        <w:rPr>
          <w:rStyle w:val="Hyperlink"/>
          <w:color w:val="auto"/>
          <w:szCs w:val="22"/>
          <w:lang w:val="fr-FR"/>
        </w:rPr>
        <w:t>http://www.wipo.int/ip</w:t>
      </w:r>
      <w:r w:rsidR="0012588B" w:rsidRPr="00FB73A4">
        <w:rPr>
          <w:rStyle w:val="Hyperlink"/>
          <w:color w:val="auto"/>
          <w:szCs w:val="22"/>
          <w:lang w:val="fr-FR"/>
        </w:rPr>
        <w:noBreakHyphen/>
      </w:r>
      <w:r w:rsidR="009A5468" w:rsidRPr="00FB73A4">
        <w:rPr>
          <w:rStyle w:val="Hyperlink"/>
          <w:color w:val="auto"/>
          <w:szCs w:val="22"/>
          <w:lang w:val="fr-FR"/>
        </w:rPr>
        <w:t>development/en/agenda/flexibilities/</w:t>
      </w:r>
      <w:r w:rsidR="00452CC3">
        <w:rPr>
          <w:rStyle w:val="Hyperlink"/>
          <w:color w:val="auto"/>
          <w:szCs w:val="22"/>
          <w:lang w:val="fr-FR"/>
        </w:rPr>
        <w:fldChar w:fldCharType="end"/>
      </w:r>
      <w:r w:rsidR="00C62638" w:rsidRPr="00FB73A4">
        <w:rPr>
          <w:szCs w:val="22"/>
          <w:lang w:val="fr-FR"/>
        </w:rPr>
        <w:t>.</w:t>
      </w:r>
    </w:p>
    <w:p w:rsidR="006F2D3E" w:rsidRPr="00FB73A4" w:rsidRDefault="006F2D3E" w:rsidP="00FB73A4">
      <w:pPr>
        <w:pStyle w:val="ONUMFS"/>
        <w:ind w:left="5533"/>
        <w:rPr>
          <w:i/>
          <w:iCs/>
          <w:szCs w:val="22"/>
          <w:lang w:val="fr-FR"/>
        </w:rPr>
      </w:pPr>
      <w:r w:rsidRPr="00FB73A4">
        <w:rPr>
          <w:i/>
          <w:iCs/>
          <w:szCs w:val="22"/>
          <w:lang w:val="fr-FR"/>
        </w:rPr>
        <w:t>Le CDIP est invité à prendre note des informations figurant dans l</w:t>
      </w:r>
      <w:r w:rsidR="009D47EC" w:rsidRPr="00FB73A4">
        <w:rPr>
          <w:i/>
          <w:iCs/>
          <w:szCs w:val="22"/>
          <w:lang w:val="fr-FR"/>
        </w:rPr>
        <w:t>’</w:t>
      </w:r>
      <w:r w:rsidRPr="00FB73A4">
        <w:rPr>
          <w:i/>
          <w:iCs/>
          <w:szCs w:val="22"/>
          <w:lang w:val="fr-FR"/>
        </w:rPr>
        <w:t>annexe du présent document.</w:t>
      </w:r>
    </w:p>
    <w:p w:rsidR="006F2D3E" w:rsidRPr="00FB73A4" w:rsidRDefault="006F2D3E" w:rsidP="00FB73A4">
      <w:pPr>
        <w:pStyle w:val="Endofdocument-Annex"/>
        <w:rPr>
          <w:lang w:val="fr-FR"/>
        </w:rPr>
      </w:pPr>
    </w:p>
    <w:p w:rsidR="006F2D3E" w:rsidRPr="00FB73A4" w:rsidRDefault="006F2D3E" w:rsidP="00FB73A4">
      <w:pPr>
        <w:pStyle w:val="Endofdocument-Annex"/>
        <w:rPr>
          <w:lang w:val="fr-FR"/>
        </w:rPr>
      </w:pPr>
    </w:p>
    <w:p w:rsidR="009D47EC" w:rsidRPr="00FB73A4" w:rsidRDefault="006F2D3E" w:rsidP="00FB73A4">
      <w:pPr>
        <w:pStyle w:val="Endofdocument-Annex"/>
        <w:rPr>
          <w:lang w:val="fr-FR"/>
        </w:rPr>
      </w:pPr>
      <w:r w:rsidRPr="00FB73A4">
        <w:rPr>
          <w:lang w:val="fr-FR"/>
        </w:rPr>
        <w:t>[L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annexe suit]</w:t>
      </w: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6F2D3E" w:rsidP="00FB73A4">
      <w:pPr>
        <w:rPr>
          <w:lang w:val="fr-FR"/>
        </w:rPr>
      </w:pPr>
    </w:p>
    <w:p w:rsidR="00C9356A" w:rsidRPr="00FB73A4" w:rsidRDefault="00C9356A" w:rsidP="00FB73A4">
      <w:pPr>
        <w:rPr>
          <w:lang w:val="fr-FR"/>
        </w:rPr>
        <w:sectPr w:rsidR="00C9356A" w:rsidRPr="00FB73A4" w:rsidSect="00827F6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F2D3E" w:rsidRPr="00FB73A4" w:rsidRDefault="00234111" w:rsidP="00FB73A4">
      <w:pPr>
        <w:rPr>
          <w:b/>
          <w:caps/>
          <w:sz w:val="24"/>
          <w:lang w:val="fr-FR"/>
        </w:rPr>
      </w:pPr>
      <w:r w:rsidRPr="00FB73A4">
        <w:rPr>
          <w:b/>
          <w:caps/>
          <w:sz w:val="24"/>
          <w:lang w:val="fr-FR"/>
        </w:rPr>
        <w:lastRenderedPageBreak/>
        <w:t>mise à jour de la base de do</w:t>
      </w:r>
      <w:r w:rsidR="00C5097B" w:rsidRPr="00FB73A4">
        <w:rPr>
          <w:b/>
          <w:caps/>
          <w:sz w:val="24"/>
          <w:lang w:val="fr-FR"/>
        </w:rPr>
        <w:t>nnées consacrée aux éléments de </w:t>
      </w:r>
      <w:r w:rsidRPr="00FB73A4">
        <w:rPr>
          <w:b/>
          <w:caps/>
          <w:sz w:val="24"/>
          <w:lang w:val="fr-FR"/>
        </w:rPr>
        <w:t>flexibilité</w:t>
      </w:r>
    </w:p>
    <w:p w:rsidR="006F2D3E" w:rsidRPr="00E34C8B" w:rsidRDefault="006F2D3E" w:rsidP="00FB73A4">
      <w:pPr>
        <w:rPr>
          <w:lang w:val="fr-CH"/>
        </w:rPr>
      </w:pPr>
    </w:p>
    <w:p w:rsidR="00C5097B" w:rsidRPr="00E34C8B" w:rsidRDefault="00C5097B" w:rsidP="00FB73A4">
      <w:pPr>
        <w:rPr>
          <w:lang w:val="fr-CH"/>
        </w:rPr>
      </w:pPr>
    </w:p>
    <w:p w:rsidR="006F2D3E" w:rsidRPr="00FB73A4" w:rsidRDefault="00C5097B" w:rsidP="00FB73A4">
      <w:pPr>
        <w:pStyle w:val="NormalWeb"/>
        <w:kinsoku w:val="0"/>
        <w:overflowPunct w:val="0"/>
        <w:textAlignment w:val="baseline"/>
        <w:rPr>
          <w:rFonts w:ascii="Arial" w:eastAsiaTheme="minorEastAsia" w:hAnsi="Arial" w:cs="Arial"/>
          <w:b/>
          <w:sz w:val="22"/>
          <w:szCs w:val="22"/>
          <w:lang w:val="fr-FR"/>
        </w:rPr>
      </w:pPr>
      <w:r w:rsidRPr="00FB73A4">
        <w:rPr>
          <w:rFonts w:ascii="Arial" w:eastAsiaTheme="minorEastAsia" w:hAnsi="Arial" w:cs="Arial"/>
          <w:b/>
          <w:sz w:val="22"/>
          <w:szCs w:val="22"/>
          <w:lang w:val="fr-FR"/>
        </w:rPr>
        <w:t>CONTEXTE</w:t>
      </w:r>
    </w:p>
    <w:p w:rsidR="006F2D3E" w:rsidRPr="00E34C8B" w:rsidRDefault="006F2D3E" w:rsidP="00FB73A4">
      <w:pPr>
        <w:rPr>
          <w:lang w:val="fr-CH"/>
        </w:rPr>
      </w:pPr>
    </w:p>
    <w:p w:rsidR="006F2D3E" w:rsidRPr="00FB73A4" w:rsidRDefault="00E267AB" w:rsidP="00FB73A4">
      <w:pPr>
        <w:pStyle w:val="NormalWeb"/>
        <w:kinsoku w:val="0"/>
        <w:overflowPunct w:val="0"/>
        <w:textAlignment w:val="baseline"/>
        <w:rPr>
          <w:rFonts w:ascii="Arial" w:eastAsiaTheme="minorEastAsia" w:hAnsi="Arial" w:cs="Arial"/>
          <w:sz w:val="22"/>
          <w:szCs w:val="22"/>
          <w:lang w:val="fr-FR"/>
        </w:rPr>
      </w:pPr>
      <w:r w:rsidRPr="00FB73A4">
        <w:rPr>
          <w:rFonts w:ascii="Arial" w:eastAsiaTheme="minorEastAsia" w:hAnsi="Arial" w:cs="Arial"/>
          <w:sz w:val="22"/>
          <w:szCs w:val="22"/>
          <w:lang w:val="fr-FR"/>
        </w:rPr>
        <w:t>À sa sixième</w:t>
      </w:r>
      <w:r w:rsidR="005E7CF4" w:rsidRPr="00FB73A4">
        <w:rPr>
          <w:rFonts w:ascii="Arial" w:eastAsiaTheme="minorEastAsia" w:hAnsi="Arial" w:cs="Arial"/>
          <w:sz w:val="22"/>
          <w:szCs w:val="22"/>
          <w:lang w:val="fr-FR"/>
        </w:rPr>
        <w:t> </w:t>
      </w:r>
      <w:r w:rsidRPr="00FB73A4">
        <w:rPr>
          <w:rFonts w:ascii="Arial" w:eastAsiaTheme="minorEastAsia" w:hAnsi="Arial" w:cs="Arial"/>
          <w:sz w:val="22"/>
          <w:szCs w:val="22"/>
          <w:lang w:val="fr-FR"/>
        </w:rPr>
        <w:t xml:space="preserve">session, le </w:t>
      </w:r>
      <w:r w:rsidR="00C5097B" w:rsidRPr="00FB73A4">
        <w:rPr>
          <w:rFonts w:ascii="Arial" w:eastAsiaTheme="minorEastAsia" w:hAnsi="Arial" w:cs="Arial"/>
          <w:sz w:val="22"/>
          <w:szCs w:val="22"/>
          <w:lang w:val="fr-FR"/>
        </w:rPr>
        <w:t>C</w:t>
      </w:r>
      <w:r w:rsidRPr="00FB73A4">
        <w:rPr>
          <w:rFonts w:ascii="Arial" w:eastAsiaTheme="minorEastAsia" w:hAnsi="Arial" w:cs="Arial"/>
          <w:sz w:val="22"/>
          <w:szCs w:val="22"/>
          <w:lang w:val="fr-FR"/>
        </w:rPr>
        <w:t>omité du développement et de la propriété intellectuelle (CDIP) est convenu d</w:t>
      </w:r>
      <w:r w:rsidR="009D47EC" w:rsidRPr="00FB73A4">
        <w:rPr>
          <w:rFonts w:ascii="Arial" w:eastAsiaTheme="minorEastAsia" w:hAnsi="Arial" w:cs="Arial"/>
          <w:sz w:val="22"/>
          <w:szCs w:val="22"/>
          <w:lang w:val="fr-FR"/>
        </w:rPr>
        <w:t>’</w:t>
      </w:r>
      <w:r w:rsidRPr="00FB73A4">
        <w:rPr>
          <w:rFonts w:ascii="Arial" w:eastAsiaTheme="minorEastAsia" w:hAnsi="Arial" w:cs="Arial"/>
          <w:sz w:val="22"/>
          <w:szCs w:val="22"/>
          <w:lang w:val="fr-FR"/>
        </w:rPr>
        <w:t>élaborer une page</w:t>
      </w:r>
      <w:r w:rsidR="005E7CF4" w:rsidRPr="00FB73A4">
        <w:rPr>
          <w:rFonts w:ascii="Arial" w:eastAsiaTheme="minorEastAsia" w:hAnsi="Arial" w:cs="Arial"/>
          <w:sz w:val="22"/>
          <w:szCs w:val="22"/>
          <w:lang w:val="fr-FR"/>
        </w:rPr>
        <w:t> </w:t>
      </w:r>
      <w:r w:rsidRPr="00FB73A4">
        <w:rPr>
          <w:rFonts w:ascii="Arial" w:eastAsiaTheme="minorEastAsia" w:hAnsi="Arial" w:cs="Arial"/>
          <w:sz w:val="22"/>
          <w:szCs w:val="22"/>
          <w:lang w:val="fr-FR"/>
        </w:rPr>
        <w:t xml:space="preserve">Web consacrée aux </w:t>
      </w:r>
      <w:r w:rsidR="005C5880" w:rsidRPr="00FB73A4">
        <w:rPr>
          <w:rFonts w:ascii="Arial" w:eastAsiaTheme="minorEastAsia" w:hAnsi="Arial" w:cs="Arial"/>
          <w:sz w:val="22"/>
          <w:szCs w:val="22"/>
          <w:lang w:val="fr-FR"/>
        </w:rPr>
        <w:t>éléments</w:t>
      </w:r>
      <w:r w:rsidRPr="00FB73A4">
        <w:rPr>
          <w:rFonts w:ascii="Arial" w:eastAsiaTheme="minorEastAsia" w:hAnsi="Arial" w:cs="Arial"/>
          <w:sz w:val="22"/>
          <w:szCs w:val="22"/>
          <w:lang w:val="fr-FR"/>
        </w:rPr>
        <w:t xml:space="preserve"> de flexibilité </w:t>
      </w:r>
      <w:r w:rsidR="008459C6" w:rsidRPr="00FB73A4">
        <w:rPr>
          <w:rFonts w:ascii="Arial" w:eastAsiaTheme="minorEastAsia" w:hAnsi="Arial" w:cs="Arial"/>
          <w:sz w:val="22"/>
          <w:szCs w:val="22"/>
          <w:lang w:val="fr-FR"/>
        </w:rPr>
        <w:t>du système de propriété intellectuelle, comprenant </w:t>
      </w:r>
      <w:r w:rsidR="0053407C" w:rsidRPr="00FB73A4">
        <w:rPr>
          <w:rFonts w:ascii="Arial" w:eastAsiaTheme="minorEastAsia" w:hAnsi="Arial" w:cs="Arial"/>
          <w:sz w:val="22"/>
          <w:szCs w:val="22"/>
          <w:lang w:val="fr-FR"/>
        </w:rPr>
        <w:t>:</w:t>
      </w:r>
    </w:p>
    <w:p w:rsidR="006F2D3E" w:rsidRPr="00FB73A4" w:rsidRDefault="006F2D3E" w:rsidP="00FB73A4">
      <w:pPr>
        <w:jc w:val="both"/>
        <w:rPr>
          <w:szCs w:val="22"/>
          <w:lang w:val="fr-FR"/>
        </w:rPr>
      </w:pPr>
    </w:p>
    <w:p w:rsidR="009D47EC" w:rsidRPr="00FB73A4" w:rsidRDefault="00456970" w:rsidP="00FB73A4">
      <w:pPr>
        <w:pStyle w:val="ListParagraph"/>
        <w:numPr>
          <w:ilvl w:val="0"/>
          <w:numId w:val="4"/>
        </w:numPr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 xml:space="preserve">une feuille de route </w:t>
      </w:r>
      <w:r w:rsidR="00C76A4F" w:rsidRPr="00FB73A4">
        <w:rPr>
          <w:szCs w:val="22"/>
          <w:lang w:val="fr-FR"/>
        </w:rPr>
        <w:t>qui rend compte des travaux de l</w:t>
      </w:r>
      <w:r w:rsidR="009D47EC" w:rsidRPr="00FB73A4">
        <w:rPr>
          <w:szCs w:val="22"/>
          <w:lang w:val="fr-FR"/>
        </w:rPr>
        <w:t>’</w:t>
      </w:r>
      <w:r w:rsidR="00C76A4F" w:rsidRPr="00FB73A4">
        <w:rPr>
          <w:szCs w:val="22"/>
          <w:lang w:val="fr-FR"/>
        </w:rPr>
        <w:t>OMPI sur les éléments de flexibilité dans les secteurs opérationnels et les comités</w:t>
      </w:r>
      <w:r w:rsidR="0053407C" w:rsidRPr="00FB73A4">
        <w:rPr>
          <w:szCs w:val="22"/>
          <w:lang w:val="fr-FR"/>
        </w:rPr>
        <w:t>;</w:t>
      </w:r>
    </w:p>
    <w:p w:rsidR="006F2D3E" w:rsidRPr="00FB73A4" w:rsidRDefault="006F2D3E" w:rsidP="00FB73A4">
      <w:pPr>
        <w:pStyle w:val="ListParagraph"/>
        <w:ind w:left="1134" w:hanging="567"/>
        <w:rPr>
          <w:szCs w:val="22"/>
          <w:lang w:val="fr-FR"/>
        </w:rPr>
      </w:pPr>
    </w:p>
    <w:p w:rsidR="009D47EC" w:rsidRPr="00FB73A4" w:rsidRDefault="002B2C71" w:rsidP="00FB73A4">
      <w:pPr>
        <w:pStyle w:val="ListParagraph"/>
        <w:numPr>
          <w:ilvl w:val="0"/>
          <w:numId w:val="4"/>
        </w:numPr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une base de données contenant les dispositions des législations nationales relatives aux éléments de flexibilité du système de propriété intellectuelle, ainsi que des informations sur les données d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 xml:space="preserve">expérience nationales et des études de cas portant sur la mise en </w:t>
      </w:r>
      <w:r w:rsidR="00E06381" w:rsidRPr="00FB73A4">
        <w:rPr>
          <w:szCs w:val="22"/>
          <w:lang w:val="fr-FR"/>
        </w:rPr>
        <w:t>œuvre</w:t>
      </w:r>
      <w:r w:rsidRPr="00FB73A4">
        <w:rPr>
          <w:szCs w:val="22"/>
          <w:lang w:val="fr-FR"/>
        </w:rPr>
        <w:t xml:space="preserve"> des éléments de flexibilité à 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échelle nationale</w:t>
      </w:r>
      <w:r w:rsidR="00AD1DB6" w:rsidRPr="00FB73A4">
        <w:rPr>
          <w:szCs w:val="22"/>
          <w:lang w:val="fr-FR"/>
        </w:rPr>
        <w:t>;</w:t>
      </w:r>
    </w:p>
    <w:p w:rsidR="006F2D3E" w:rsidRPr="00FB73A4" w:rsidRDefault="006F2D3E" w:rsidP="00FB73A4">
      <w:pPr>
        <w:pStyle w:val="ListParagraph"/>
        <w:ind w:left="1134" w:hanging="567"/>
        <w:rPr>
          <w:szCs w:val="22"/>
          <w:lang w:val="fr-FR"/>
        </w:rPr>
      </w:pPr>
    </w:p>
    <w:p w:rsidR="006F2D3E" w:rsidRPr="00FB73A4" w:rsidRDefault="00E06381" w:rsidP="00FB73A4">
      <w:pPr>
        <w:pStyle w:val="ListParagraph"/>
        <w:numPr>
          <w:ilvl w:val="0"/>
          <w:numId w:val="4"/>
        </w:numPr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 xml:space="preserve">des </w:t>
      </w:r>
      <w:r w:rsidR="006F2D3E" w:rsidRPr="00FB73A4">
        <w:rPr>
          <w:szCs w:val="22"/>
          <w:lang w:val="fr-FR"/>
        </w:rPr>
        <w:t xml:space="preserve">liens renvoyant à la littérature et aux </w:t>
      </w:r>
      <w:r w:rsidR="006E01F3" w:rsidRPr="00FB73A4">
        <w:rPr>
          <w:szCs w:val="22"/>
          <w:lang w:val="fr-FR"/>
        </w:rPr>
        <w:t>sources d’information</w:t>
      </w:r>
      <w:r w:rsidR="006F2D3E" w:rsidRPr="00FB73A4">
        <w:rPr>
          <w:szCs w:val="22"/>
          <w:lang w:val="fr-FR"/>
        </w:rPr>
        <w:t xml:space="preserve"> sur les éléments de flexibilité produits par le Secrétariat et les experts mandatés par l</w:t>
      </w:r>
      <w:r w:rsidR="009D47EC" w:rsidRPr="00FB73A4">
        <w:rPr>
          <w:szCs w:val="22"/>
          <w:lang w:val="fr-FR"/>
        </w:rPr>
        <w:t>’</w:t>
      </w:r>
      <w:r w:rsidR="006F2D3E" w:rsidRPr="00FB73A4">
        <w:rPr>
          <w:szCs w:val="22"/>
          <w:lang w:val="fr-FR"/>
        </w:rPr>
        <w:t xml:space="preserve">OMPI et des liens renvoyant aux </w:t>
      </w:r>
      <w:r w:rsidR="00FB73A4" w:rsidRPr="00FB73A4">
        <w:rPr>
          <w:szCs w:val="22"/>
          <w:lang w:val="fr-FR"/>
        </w:rPr>
        <w:t>sources d’information</w:t>
      </w:r>
      <w:r w:rsidR="006F2D3E" w:rsidRPr="00FB73A4">
        <w:rPr>
          <w:szCs w:val="22"/>
          <w:lang w:val="fr-FR"/>
        </w:rPr>
        <w:t xml:space="preserve"> sur les éléments</w:t>
      </w:r>
      <w:r w:rsidRPr="00FB73A4">
        <w:rPr>
          <w:szCs w:val="22"/>
          <w:lang w:val="fr-FR"/>
        </w:rPr>
        <w:t xml:space="preserve"> de </w:t>
      </w:r>
      <w:r w:rsidR="00221DCA" w:rsidRPr="00FB73A4">
        <w:rPr>
          <w:szCs w:val="22"/>
          <w:lang w:val="fr-FR"/>
        </w:rPr>
        <w:t>flexibilité</w:t>
      </w:r>
      <w:r w:rsidRPr="00FB73A4">
        <w:rPr>
          <w:szCs w:val="22"/>
          <w:lang w:val="fr-FR"/>
        </w:rPr>
        <w:t xml:space="preserve"> produits par d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autres organisations internationales compétentes</w:t>
      </w:r>
      <w:r w:rsidR="006F2D3E" w:rsidRPr="00FB73A4">
        <w:rPr>
          <w:szCs w:val="22"/>
          <w:lang w:val="fr-FR"/>
        </w:rPr>
        <w:t>;</w:t>
      </w:r>
    </w:p>
    <w:p w:rsidR="006F2D3E" w:rsidRPr="00FB73A4" w:rsidRDefault="006F2D3E" w:rsidP="00FB73A4">
      <w:pPr>
        <w:pStyle w:val="ListParagraph"/>
        <w:ind w:left="1134" w:hanging="567"/>
        <w:rPr>
          <w:szCs w:val="22"/>
          <w:lang w:val="fr-FR"/>
        </w:rPr>
      </w:pPr>
    </w:p>
    <w:p w:rsidR="009D47EC" w:rsidRPr="00FB73A4" w:rsidRDefault="00FB73A4" w:rsidP="00FB73A4">
      <w:pPr>
        <w:pStyle w:val="ListParagraph"/>
        <w:numPr>
          <w:ilvl w:val="0"/>
          <w:numId w:val="4"/>
        </w:numPr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du matériel</w:t>
      </w:r>
      <w:r w:rsidR="00E06381" w:rsidRPr="00FB73A4">
        <w:rPr>
          <w:szCs w:val="22"/>
          <w:lang w:val="fr-FR"/>
        </w:rPr>
        <w:t xml:space="preserve"> et des </w:t>
      </w:r>
      <w:r w:rsidRPr="00FB73A4">
        <w:rPr>
          <w:szCs w:val="22"/>
          <w:lang w:val="fr-FR"/>
        </w:rPr>
        <w:t xml:space="preserve">conclusions </w:t>
      </w:r>
      <w:r w:rsidR="00E06381" w:rsidRPr="00FB73A4">
        <w:rPr>
          <w:szCs w:val="22"/>
          <w:lang w:val="fr-FR"/>
        </w:rPr>
        <w:t xml:space="preserve">de séminaires, </w:t>
      </w:r>
      <w:r w:rsidR="0027127D" w:rsidRPr="00FB73A4">
        <w:rPr>
          <w:szCs w:val="22"/>
          <w:lang w:val="fr-FR"/>
        </w:rPr>
        <w:t>d</w:t>
      </w:r>
      <w:r w:rsidR="009D47EC" w:rsidRPr="00FB73A4">
        <w:rPr>
          <w:szCs w:val="22"/>
          <w:lang w:val="fr-FR"/>
        </w:rPr>
        <w:t>’</w:t>
      </w:r>
      <w:r w:rsidR="0027127D" w:rsidRPr="00FB73A4">
        <w:rPr>
          <w:szCs w:val="22"/>
          <w:lang w:val="fr-FR"/>
        </w:rPr>
        <w:t>ateliers et d</w:t>
      </w:r>
      <w:r w:rsidR="009D47EC" w:rsidRPr="00FB73A4">
        <w:rPr>
          <w:szCs w:val="22"/>
          <w:lang w:val="fr-FR"/>
        </w:rPr>
        <w:t>’</w:t>
      </w:r>
      <w:r w:rsidR="0027127D" w:rsidRPr="00FB73A4">
        <w:rPr>
          <w:szCs w:val="22"/>
          <w:lang w:val="fr-FR"/>
        </w:rPr>
        <w:t>activités d</w:t>
      </w:r>
      <w:r w:rsidR="009D47EC" w:rsidRPr="00FB73A4">
        <w:rPr>
          <w:szCs w:val="22"/>
          <w:lang w:val="fr-FR"/>
        </w:rPr>
        <w:t>’</w:t>
      </w:r>
      <w:r w:rsidR="0027127D" w:rsidRPr="00FB73A4">
        <w:rPr>
          <w:szCs w:val="22"/>
          <w:lang w:val="fr-FR"/>
        </w:rPr>
        <w:t>assistance technique de l</w:t>
      </w:r>
      <w:r w:rsidR="009D47EC" w:rsidRPr="00FB73A4">
        <w:rPr>
          <w:szCs w:val="22"/>
          <w:lang w:val="fr-FR"/>
        </w:rPr>
        <w:t>’</w:t>
      </w:r>
      <w:r w:rsidR="0027127D" w:rsidRPr="00FB73A4">
        <w:rPr>
          <w:szCs w:val="22"/>
          <w:lang w:val="fr-FR"/>
        </w:rPr>
        <w:t>OMPI</w:t>
      </w:r>
      <w:r w:rsidR="00E06381" w:rsidRPr="00FB73A4">
        <w:rPr>
          <w:szCs w:val="22"/>
          <w:lang w:val="fr-FR"/>
        </w:rPr>
        <w:t xml:space="preserve"> </w:t>
      </w:r>
      <w:r w:rsidR="00316CCE" w:rsidRPr="00FB73A4">
        <w:rPr>
          <w:szCs w:val="22"/>
          <w:lang w:val="fr-FR"/>
        </w:rPr>
        <w:t>qui traitent</w:t>
      </w:r>
      <w:r w:rsidR="0027127D" w:rsidRPr="00FB73A4">
        <w:rPr>
          <w:szCs w:val="22"/>
          <w:lang w:val="fr-FR"/>
        </w:rPr>
        <w:t xml:space="preserve"> des éléments de flexibilité</w:t>
      </w:r>
      <w:r w:rsidR="0053407C" w:rsidRPr="00FB73A4">
        <w:rPr>
          <w:szCs w:val="22"/>
          <w:lang w:val="fr-FR"/>
        </w:rPr>
        <w:t>.</w:t>
      </w:r>
    </w:p>
    <w:p w:rsidR="006F2D3E" w:rsidRPr="00FB73A4" w:rsidRDefault="006F2D3E" w:rsidP="00FB73A4">
      <w:pPr>
        <w:pStyle w:val="NormalWeb"/>
        <w:kinsoku w:val="0"/>
        <w:overflowPunct w:val="0"/>
        <w:spacing w:before="96"/>
        <w:ind w:left="1134" w:hanging="567"/>
        <w:textAlignment w:val="baseline"/>
        <w:rPr>
          <w:rFonts w:ascii="Arial" w:eastAsiaTheme="minorEastAsia" w:hAnsi="Arial" w:cs="Arial"/>
          <w:sz w:val="22"/>
          <w:szCs w:val="22"/>
          <w:lang w:val="fr-FR"/>
        </w:rPr>
      </w:pPr>
    </w:p>
    <w:p w:rsidR="009D47EC" w:rsidRPr="00FB73A4" w:rsidRDefault="00CF0C11" w:rsidP="00FB73A4">
      <w:pPr>
        <w:rPr>
          <w:szCs w:val="22"/>
          <w:lang w:val="fr-FR"/>
        </w:rPr>
      </w:pPr>
      <w:r w:rsidRPr="00FB73A4">
        <w:rPr>
          <w:szCs w:val="22"/>
          <w:lang w:val="fr-FR"/>
        </w:rPr>
        <w:t xml:space="preserve">Le Secrétariat a présenté au </w:t>
      </w:r>
      <w:r w:rsidR="00F30623" w:rsidRPr="00FB73A4">
        <w:rPr>
          <w:szCs w:val="22"/>
          <w:lang w:val="fr-FR"/>
        </w:rPr>
        <w:t>c</w:t>
      </w:r>
      <w:r w:rsidRPr="00FB73A4">
        <w:rPr>
          <w:szCs w:val="22"/>
          <w:lang w:val="fr-FR"/>
        </w:rPr>
        <w:t>omité, à sa huitième</w:t>
      </w:r>
      <w:r w:rsidR="005E7CF4" w:rsidRPr="00FB73A4">
        <w:rPr>
          <w:szCs w:val="22"/>
          <w:lang w:val="fr-FR"/>
        </w:rPr>
        <w:t> </w:t>
      </w:r>
      <w:r w:rsidRPr="00FB73A4">
        <w:rPr>
          <w:szCs w:val="22"/>
          <w:lang w:val="fr-FR"/>
        </w:rPr>
        <w:t xml:space="preserve">session, la version </w:t>
      </w:r>
      <w:r w:rsidR="00221DCA" w:rsidRPr="00FB73A4">
        <w:rPr>
          <w:szCs w:val="22"/>
          <w:lang w:val="fr-FR"/>
        </w:rPr>
        <w:t>expérimentale</w:t>
      </w:r>
      <w:r w:rsidRPr="00FB73A4">
        <w:rPr>
          <w:szCs w:val="22"/>
          <w:lang w:val="fr-FR"/>
        </w:rPr>
        <w:t xml:space="preserve"> de la base de données. </w:t>
      </w:r>
      <w:r w:rsidR="00AD1DB6" w:rsidRPr="00FB73A4">
        <w:rPr>
          <w:szCs w:val="22"/>
          <w:lang w:val="fr-FR"/>
        </w:rPr>
        <w:t xml:space="preserve"> </w:t>
      </w:r>
      <w:r w:rsidRPr="00FB73A4">
        <w:rPr>
          <w:szCs w:val="22"/>
          <w:lang w:val="fr-FR"/>
        </w:rPr>
        <w:t>Celle</w:t>
      </w:r>
      <w:r w:rsidR="0012588B" w:rsidRPr="00FB73A4">
        <w:rPr>
          <w:szCs w:val="22"/>
          <w:lang w:val="fr-FR"/>
        </w:rPr>
        <w:noBreakHyphen/>
      </w:r>
      <w:r w:rsidRPr="00FB73A4">
        <w:rPr>
          <w:szCs w:val="22"/>
          <w:lang w:val="fr-FR"/>
        </w:rPr>
        <w:t xml:space="preserve">ci comprenait des informations </w:t>
      </w:r>
      <w:r w:rsidR="001B222E" w:rsidRPr="00FB73A4">
        <w:rPr>
          <w:szCs w:val="22"/>
          <w:lang w:val="fr-FR"/>
        </w:rPr>
        <w:t xml:space="preserve">concernant </w:t>
      </w:r>
      <w:r w:rsidRPr="00FB73A4">
        <w:rPr>
          <w:szCs w:val="22"/>
          <w:lang w:val="fr-FR"/>
        </w:rPr>
        <w:t>les éléments de flexibilité relatifs aux brevets dans le cadre juridique multilatéral et leur mise en œuvre législative aux niveaux national et régional</w:t>
      </w:r>
      <w:r w:rsidR="00660590" w:rsidRPr="00FB73A4">
        <w:rPr>
          <w:szCs w:val="22"/>
          <w:lang w:val="fr-FR"/>
        </w:rPr>
        <w:t>,</w:t>
      </w:r>
      <w:r w:rsidRPr="00FB73A4">
        <w:rPr>
          <w:szCs w:val="22"/>
          <w:lang w:val="fr-FR"/>
        </w:rPr>
        <w:t xml:space="preserve"> qui figur</w:t>
      </w:r>
      <w:r w:rsidR="00FB73A4" w:rsidRPr="00FB73A4">
        <w:rPr>
          <w:szCs w:val="22"/>
          <w:lang w:val="fr-FR"/>
        </w:rPr>
        <w:t>ai</w:t>
      </w:r>
      <w:r w:rsidRPr="00FB73A4">
        <w:rPr>
          <w:szCs w:val="22"/>
          <w:lang w:val="fr-FR"/>
        </w:rPr>
        <w:t>e</w:t>
      </w:r>
      <w:r w:rsidR="001B222E" w:rsidRPr="00FB73A4">
        <w:rPr>
          <w:szCs w:val="22"/>
          <w:lang w:val="fr-FR"/>
        </w:rPr>
        <w:t>nt</w:t>
      </w:r>
      <w:r w:rsidRPr="00FB73A4">
        <w:rPr>
          <w:szCs w:val="22"/>
          <w:lang w:val="fr-FR"/>
        </w:rPr>
        <w:t xml:space="preserve"> dans le document </w:t>
      </w:r>
      <w:r w:rsidR="0053407C" w:rsidRPr="00FB73A4">
        <w:rPr>
          <w:szCs w:val="22"/>
          <w:lang w:val="fr-FR"/>
        </w:rPr>
        <w:t>CDIP/5/4</w:t>
      </w:r>
      <w:r w:rsidR="005E7CF4" w:rsidRPr="00FB73A4">
        <w:rPr>
          <w:szCs w:val="22"/>
          <w:lang w:val="fr-FR"/>
        </w:rPr>
        <w:t> </w:t>
      </w:r>
      <w:proofErr w:type="spellStart"/>
      <w:r w:rsidR="0053407C" w:rsidRPr="00FB73A4">
        <w:rPr>
          <w:szCs w:val="22"/>
          <w:lang w:val="fr-FR"/>
        </w:rPr>
        <w:t>Rev</w:t>
      </w:r>
      <w:proofErr w:type="spellEnd"/>
      <w:r w:rsidR="0053407C" w:rsidRPr="00FB73A4">
        <w:rPr>
          <w:szCs w:val="22"/>
          <w:lang w:val="fr-FR"/>
        </w:rPr>
        <w:t xml:space="preserve">. </w:t>
      </w:r>
      <w:r w:rsidR="00AD1DB6" w:rsidRPr="00FB73A4">
        <w:rPr>
          <w:szCs w:val="22"/>
          <w:lang w:val="fr-FR"/>
        </w:rPr>
        <w:t xml:space="preserve"> </w:t>
      </w:r>
      <w:r w:rsidR="00121FC5" w:rsidRPr="00FB73A4">
        <w:rPr>
          <w:szCs w:val="22"/>
          <w:lang w:val="fr-FR"/>
        </w:rPr>
        <w:t xml:space="preserve">Ces informations </w:t>
      </w:r>
      <w:r w:rsidR="008132F3" w:rsidRPr="00FB73A4">
        <w:rPr>
          <w:szCs w:val="22"/>
          <w:lang w:val="fr-FR"/>
        </w:rPr>
        <w:t xml:space="preserve">traitaient des </w:t>
      </w:r>
      <w:r w:rsidR="00121FC5" w:rsidRPr="00FB73A4">
        <w:rPr>
          <w:szCs w:val="22"/>
          <w:lang w:val="fr-FR"/>
        </w:rPr>
        <w:t xml:space="preserve">éléments de flexibilité </w:t>
      </w:r>
      <w:r w:rsidR="008132F3" w:rsidRPr="00FB73A4">
        <w:rPr>
          <w:szCs w:val="22"/>
          <w:lang w:val="fr-FR"/>
        </w:rPr>
        <w:t>ci</w:t>
      </w:r>
      <w:r w:rsidR="0012588B" w:rsidRPr="00FB73A4">
        <w:rPr>
          <w:szCs w:val="22"/>
          <w:lang w:val="fr-FR"/>
        </w:rPr>
        <w:noBreakHyphen/>
      </w:r>
      <w:r w:rsidR="008132F3" w:rsidRPr="00FB73A4">
        <w:rPr>
          <w:szCs w:val="22"/>
          <w:lang w:val="fr-FR"/>
        </w:rPr>
        <w:t>après</w:t>
      </w:r>
      <w:r w:rsidR="00121FC5" w:rsidRPr="00FB73A4">
        <w:rPr>
          <w:szCs w:val="22"/>
          <w:lang w:val="fr-FR"/>
        </w:rPr>
        <w:t> </w:t>
      </w:r>
      <w:r w:rsidR="0053407C" w:rsidRPr="00FB73A4">
        <w:rPr>
          <w:lang w:val="fr-FR"/>
        </w:rPr>
        <w:t>:</w:t>
      </w:r>
    </w:p>
    <w:p w:rsidR="006F2D3E" w:rsidRPr="00FB73A4" w:rsidRDefault="006F2D3E" w:rsidP="00FB73A4">
      <w:pPr>
        <w:rPr>
          <w:szCs w:val="22"/>
          <w:lang w:val="fr-FR"/>
        </w:rPr>
      </w:pPr>
    </w:p>
    <w:p w:rsidR="009D47EC" w:rsidRPr="00FB73A4" w:rsidRDefault="008132F3" w:rsidP="00FB73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les l</w:t>
      </w:r>
      <w:r w:rsidR="006F2D3E" w:rsidRPr="00FB73A4">
        <w:rPr>
          <w:szCs w:val="22"/>
          <w:lang w:val="fr-FR"/>
        </w:rPr>
        <w:t xml:space="preserve">icences obligatoires et </w:t>
      </w:r>
      <w:r w:rsidR="00660590" w:rsidRPr="00FB73A4">
        <w:rPr>
          <w:szCs w:val="22"/>
          <w:lang w:val="fr-FR"/>
        </w:rPr>
        <w:t>l’</w:t>
      </w:r>
      <w:r w:rsidR="006F2D3E" w:rsidRPr="00FB73A4">
        <w:rPr>
          <w:szCs w:val="22"/>
          <w:lang w:val="fr-FR"/>
        </w:rPr>
        <w:t>utilisation par les pouvoirs publics</w:t>
      </w:r>
      <w:r w:rsidR="00C5097B" w:rsidRPr="00FB73A4">
        <w:rPr>
          <w:szCs w:val="22"/>
          <w:lang w:val="fr-FR"/>
        </w:rPr>
        <w:t>;</w:t>
      </w:r>
    </w:p>
    <w:p w:rsidR="009D47EC" w:rsidRPr="00FB73A4" w:rsidRDefault="008132F3" w:rsidP="00FB73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é</w:t>
      </w:r>
      <w:r w:rsidR="006F2D3E" w:rsidRPr="00FB73A4">
        <w:rPr>
          <w:szCs w:val="22"/>
          <w:lang w:val="fr-FR"/>
        </w:rPr>
        <w:t>puisement des droits</w:t>
      </w:r>
      <w:r w:rsidR="00C5097B" w:rsidRPr="00FB73A4">
        <w:rPr>
          <w:szCs w:val="22"/>
          <w:lang w:val="fr-FR"/>
        </w:rPr>
        <w:t>;</w:t>
      </w:r>
    </w:p>
    <w:p w:rsidR="006F2D3E" w:rsidRPr="00FB73A4" w:rsidRDefault="008132F3" w:rsidP="00FB73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e</w:t>
      </w:r>
      <w:r w:rsidR="006F2D3E" w:rsidRPr="00FB73A4">
        <w:rPr>
          <w:szCs w:val="22"/>
          <w:lang w:val="fr-FR"/>
        </w:rPr>
        <w:t>xception pour l</w:t>
      </w:r>
      <w:r w:rsidR="009D47EC" w:rsidRPr="00FB73A4">
        <w:rPr>
          <w:szCs w:val="22"/>
          <w:lang w:val="fr-FR"/>
        </w:rPr>
        <w:t>’</w:t>
      </w:r>
      <w:r w:rsidR="006F2D3E" w:rsidRPr="00FB73A4">
        <w:rPr>
          <w:szCs w:val="22"/>
          <w:lang w:val="fr-FR"/>
        </w:rPr>
        <w:t>examen réglementaire</w:t>
      </w:r>
      <w:r w:rsidR="00C5097B" w:rsidRPr="00FB73A4">
        <w:rPr>
          <w:szCs w:val="22"/>
          <w:lang w:val="fr-FR"/>
        </w:rPr>
        <w:t>;</w:t>
      </w:r>
    </w:p>
    <w:p w:rsidR="006F2D3E" w:rsidRPr="00FB73A4" w:rsidRDefault="008132F3" w:rsidP="00FB73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e</w:t>
      </w:r>
      <w:r w:rsidR="006F2D3E" w:rsidRPr="00FB73A4">
        <w:rPr>
          <w:szCs w:val="22"/>
          <w:lang w:val="fr-FR"/>
        </w:rPr>
        <w:t>xception en faveur de la recherche</w:t>
      </w:r>
      <w:r w:rsidR="00C5097B" w:rsidRPr="00FB73A4">
        <w:rPr>
          <w:szCs w:val="22"/>
          <w:lang w:val="fr-FR"/>
        </w:rPr>
        <w:t>;</w:t>
      </w:r>
    </w:p>
    <w:p w:rsidR="006F2D3E" w:rsidRPr="00FB73A4" w:rsidRDefault="008132F3" w:rsidP="00FB73A4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les exclusions de la protection par modèle d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utilité</w:t>
      </w:r>
      <w:r w:rsidR="00C5097B" w:rsidRPr="00FB73A4">
        <w:rPr>
          <w:szCs w:val="22"/>
          <w:lang w:val="fr-FR"/>
        </w:rPr>
        <w:t>.</w:t>
      </w:r>
    </w:p>
    <w:p w:rsidR="006F2D3E" w:rsidRPr="00FB73A4" w:rsidRDefault="006F2D3E" w:rsidP="00FB73A4">
      <w:pPr>
        <w:rPr>
          <w:szCs w:val="22"/>
          <w:lang w:val="fr-FR"/>
        </w:rPr>
      </w:pPr>
    </w:p>
    <w:p w:rsidR="009D47EC" w:rsidRPr="00FB73A4" w:rsidRDefault="003E2704" w:rsidP="00FB73A4">
      <w:pPr>
        <w:rPr>
          <w:szCs w:val="22"/>
          <w:lang w:val="fr-FR"/>
        </w:rPr>
      </w:pPr>
      <w:r w:rsidRPr="00FB73A4">
        <w:rPr>
          <w:szCs w:val="22"/>
          <w:lang w:val="fr-FR"/>
        </w:rPr>
        <w:t xml:space="preserve">Le Secrétariat a présenté au </w:t>
      </w:r>
      <w:r w:rsidR="00F30623" w:rsidRPr="00FB73A4">
        <w:rPr>
          <w:szCs w:val="22"/>
          <w:lang w:val="fr-FR"/>
        </w:rPr>
        <w:t>c</w:t>
      </w:r>
      <w:r w:rsidRPr="00FB73A4">
        <w:rPr>
          <w:szCs w:val="22"/>
          <w:lang w:val="fr-FR"/>
        </w:rPr>
        <w:t>omité, à sa neuvième</w:t>
      </w:r>
      <w:r w:rsidR="005E7CF4" w:rsidRPr="00FB73A4">
        <w:rPr>
          <w:szCs w:val="22"/>
          <w:lang w:val="fr-FR"/>
        </w:rPr>
        <w:t> </w:t>
      </w:r>
      <w:r w:rsidRPr="00FB73A4">
        <w:rPr>
          <w:szCs w:val="22"/>
          <w:lang w:val="fr-FR"/>
        </w:rPr>
        <w:t xml:space="preserve">session, le </w:t>
      </w:r>
      <w:r w:rsidR="00C76EE3" w:rsidRPr="00FB73A4">
        <w:rPr>
          <w:szCs w:val="22"/>
          <w:lang w:val="fr-FR"/>
        </w:rPr>
        <w:t>p</w:t>
      </w:r>
      <w:r w:rsidRPr="00FB73A4">
        <w:rPr>
          <w:szCs w:val="22"/>
          <w:lang w:val="fr-FR"/>
        </w:rPr>
        <w:t>rogramme de travail sur les éléments de flexibilité du système de propriété intellectuelle</w:t>
      </w:r>
      <w:r w:rsidR="0053407C" w:rsidRPr="00FB73A4">
        <w:rPr>
          <w:szCs w:val="22"/>
          <w:lang w:val="fr-FR"/>
        </w:rPr>
        <w:t xml:space="preserve"> – </w:t>
      </w:r>
      <w:r w:rsidR="00C76EE3" w:rsidRPr="00FB73A4">
        <w:rPr>
          <w:szCs w:val="22"/>
          <w:lang w:val="fr-FR"/>
        </w:rPr>
        <w:t>n</w:t>
      </w:r>
      <w:r w:rsidR="007F098C" w:rsidRPr="00FB73A4">
        <w:rPr>
          <w:szCs w:val="22"/>
          <w:lang w:val="fr-FR"/>
        </w:rPr>
        <w:t xml:space="preserve">ouveaux éléments proposés, </w:t>
      </w:r>
      <w:r w:rsidR="00FB73A4" w:rsidRPr="00FB73A4">
        <w:rPr>
          <w:szCs w:val="22"/>
          <w:lang w:val="fr-FR"/>
        </w:rPr>
        <w:t xml:space="preserve">figurant </w:t>
      </w:r>
      <w:r w:rsidR="007F098C" w:rsidRPr="00FB73A4">
        <w:rPr>
          <w:szCs w:val="22"/>
          <w:lang w:val="fr-FR"/>
        </w:rPr>
        <w:t>dans le document</w:t>
      </w:r>
      <w:r w:rsidR="0053407C" w:rsidRPr="00FB73A4">
        <w:rPr>
          <w:szCs w:val="22"/>
          <w:lang w:val="fr-FR"/>
        </w:rPr>
        <w:t xml:space="preserve"> CDIP/9/1</w:t>
      </w:r>
      <w:r w:rsidR="00660590" w:rsidRPr="00FB73A4">
        <w:rPr>
          <w:szCs w:val="22"/>
          <w:lang w:val="fr-FR"/>
        </w:rPr>
        <w:t>1</w:t>
      </w:r>
      <w:r w:rsidR="0053407C" w:rsidRPr="00FB73A4">
        <w:rPr>
          <w:szCs w:val="22"/>
          <w:lang w:val="fr-FR"/>
        </w:rPr>
        <w:t xml:space="preserve">, </w:t>
      </w:r>
      <w:r w:rsidR="00D564D2" w:rsidRPr="00FB73A4">
        <w:rPr>
          <w:szCs w:val="22"/>
          <w:lang w:val="fr-FR"/>
        </w:rPr>
        <w:t>en réponse à la demande formulée par les États membres lors de la huitième</w:t>
      </w:r>
      <w:r w:rsidR="005E7CF4" w:rsidRPr="00FB73A4">
        <w:rPr>
          <w:szCs w:val="22"/>
          <w:lang w:val="fr-FR"/>
        </w:rPr>
        <w:t> </w:t>
      </w:r>
      <w:r w:rsidR="00D564D2" w:rsidRPr="00FB73A4">
        <w:rPr>
          <w:szCs w:val="22"/>
          <w:lang w:val="fr-FR"/>
        </w:rPr>
        <w:t>session</w:t>
      </w:r>
      <w:r w:rsidR="009D47EC" w:rsidRPr="00FB73A4">
        <w:rPr>
          <w:szCs w:val="22"/>
          <w:lang w:val="fr-FR"/>
        </w:rPr>
        <w:t xml:space="preserve"> du CDI</w:t>
      </w:r>
      <w:r w:rsidR="0053407C" w:rsidRPr="00FB73A4">
        <w:rPr>
          <w:szCs w:val="22"/>
          <w:lang w:val="fr-FR"/>
        </w:rPr>
        <w:t xml:space="preserve">P. </w:t>
      </w:r>
      <w:r w:rsidR="00AD1DB6" w:rsidRPr="00FB73A4">
        <w:rPr>
          <w:szCs w:val="22"/>
          <w:lang w:val="fr-FR"/>
        </w:rPr>
        <w:t xml:space="preserve"> </w:t>
      </w:r>
      <w:r w:rsidR="008F5143" w:rsidRPr="00FB73A4">
        <w:rPr>
          <w:szCs w:val="22"/>
          <w:lang w:val="fr-FR"/>
        </w:rPr>
        <w:t xml:space="preserve">Le </w:t>
      </w:r>
      <w:r w:rsidR="00C76EE3" w:rsidRPr="00FB73A4">
        <w:rPr>
          <w:szCs w:val="22"/>
          <w:lang w:val="fr-FR"/>
        </w:rPr>
        <w:t xml:space="preserve">comité a </w:t>
      </w:r>
      <w:r w:rsidR="00B274E8" w:rsidRPr="00FB73A4">
        <w:rPr>
          <w:szCs w:val="22"/>
          <w:lang w:val="fr-FR"/>
        </w:rPr>
        <w:t>examiné</w:t>
      </w:r>
      <w:r w:rsidR="00C76EE3" w:rsidRPr="00FB73A4">
        <w:rPr>
          <w:szCs w:val="22"/>
          <w:lang w:val="fr-FR"/>
        </w:rPr>
        <w:t xml:space="preserve"> le document et est convenu</w:t>
      </w:r>
      <w:r w:rsidR="00715BA9" w:rsidRPr="00FB73A4">
        <w:rPr>
          <w:szCs w:val="22"/>
          <w:lang w:val="fr-FR"/>
        </w:rPr>
        <w:t>,</w:t>
      </w:r>
      <w:r w:rsidR="00C76EE3" w:rsidRPr="00FB73A4">
        <w:rPr>
          <w:szCs w:val="22"/>
          <w:lang w:val="fr-FR"/>
        </w:rPr>
        <w:t xml:space="preserve"> notamment</w:t>
      </w:r>
      <w:r w:rsidR="00715BA9" w:rsidRPr="00FB73A4">
        <w:rPr>
          <w:szCs w:val="22"/>
          <w:lang w:val="fr-FR"/>
        </w:rPr>
        <w:t>,</w:t>
      </w:r>
      <w:r w:rsidR="00C76EE3" w:rsidRPr="00FB73A4">
        <w:rPr>
          <w:szCs w:val="22"/>
          <w:lang w:val="fr-FR"/>
        </w:rPr>
        <w:t xml:space="preserve"> d</w:t>
      </w:r>
      <w:r w:rsidR="009D47EC" w:rsidRPr="00FB73A4">
        <w:rPr>
          <w:szCs w:val="22"/>
          <w:lang w:val="fr-FR"/>
        </w:rPr>
        <w:t>’</w:t>
      </w:r>
      <w:r w:rsidR="00C76EE3" w:rsidRPr="00FB73A4">
        <w:rPr>
          <w:szCs w:val="22"/>
          <w:lang w:val="fr-FR"/>
        </w:rPr>
        <w:t xml:space="preserve">inclure dans la base de données des informations </w:t>
      </w:r>
      <w:r w:rsidR="00EE10CF" w:rsidRPr="00FB73A4">
        <w:rPr>
          <w:szCs w:val="22"/>
          <w:lang w:val="fr-FR"/>
        </w:rPr>
        <w:t>soumises par les États membres</w:t>
      </w:r>
      <w:r w:rsidR="00C76EE3" w:rsidRPr="00FB73A4">
        <w:rPr>
          <w:szCs w:val="22"/>
          <w:lang w:val="fr-FR"/>
        </w:rPr>
        <w:t xml:space="preserve"> </w:t>
      </w:r>
      <w:r w:rsidR="00EE10CF" w:rsidRPr="00FB73A4">
        <w:rPr>
          <w:szCs w:val="22"/>
          <w:lang w:val="fr-FR"/>
        </w:rPr>
        <w:t xml:space="preserve">concernant leurs expériences concrètes en matière de mise en </w:t>
      </w:r>
      <w:r w:rsidR="00715BA9" w:rsidRPr="00FB73A4">
        <w:rPr>
          <w:szCs w:val="22"/>
          <w:lang w:val="fr-FR"/>
        </w:rPr>
        <w:t>œuvre des éléments de flexibilité.</w:t>
      </w:r>
    </w:p>
    <w:p w:rsidR="006F2D3E" w:rsidRPr="00FB73A4" w:rsidRDefault="006F2D3E" w:rsidP="00FB73A4">
      <w:pPr>
        <w:rPr>
          <w:szCs w:val="22"/>
          <w:lang w:val="fr-FR"/>
        </w:rPr>
      </w:pPr>
    </w:p>
    <w:p w:rsidR="006F2D3E" w:rsidRPr="00FB73A4" w:rsidRDefault="00B43D08" w:rsidP="00FB73A4">
      <w:pPr>
        <w:tabs>
          <w:tab w:val="num" w:pos="1100"/>
        </w:tabs>
        <w:rPr>
          <w:szCs w:val="22"/>
          <w:u w:val="single"/>
          <w:lang w:val="fr-FR"/>
        </w:rPr>
      </w:pPr>
      <w:r w:rsidRPr="00FB73A4">
        <w:rPr>
          <w:szCs w:val="22"/>
          <w:lang w:val="fr-FR"/>
        </w:rPr>
        <w:t>À la dixième</w:t>
      </w:r>
      <w:r w:rsidR="005E7CF4" w:rsidRPr="00FB73A4">
        <w:rPr>
          <w:szCs w:val="22"/>
          <w:lang w:val="fr-FR"/>
        </w:rPr>
        <w:t> </w:t>
      </w:r>
      <w:r w:rsidRPr="00FB73A4">
        <w:rPr>
          <w:szCs w:val="22"/>
          <w:lang w:val="fr-FR"/>
        </w:rPr>
        <w:t>session</w:t>
      </w:r>
      <w:r w:rsidR="009D47EC" w:rsidRPr="00FB73A4">
        <w:rPr>
          <w:szCs w:val="22"/>
          <w:lang w:val="fr-FR"/>
        </w:rPr>
        <w:t xml:space="preserve"> du CDI</w:t>
      </w:r>
      <w:r w:rsidR="0053407C" w:rsidRPr="00FB73A4">
        <w:rPr>
          <w:szCs w:val="22"/>
          <w:lang w:val="fr-FR"/>
        </w:rPr>
        <w:t xml:space="preserve">P, </w:t>
      </w:r>
      <w:r w:rsidR="00E74AB4" w:rsidRPr="00FB73A4">
        <w:rPr>
          <w:szCs w:val="22"/>
          <w:lang w:val="fr-FR"/>
        </w:rPr>
        <w:t xml:space="preserve">le comité a examiné </w:t>
      </w:r>
      <w:r w:rsidR="003A0792" w:rsidRPr="00FB73A4">
        <w:rPr>
          <w:szCs w:val="22"/>
          <w:lang w:val="fr-FR"/>
        </w:rPr>
        <w:t>l</w:t>
      </w:r>
      <w:r w:rsidR="009D47EC" w:rsidRPr="00FB73A4">
        <w:rPr>
          <w:szCs w:val="22"/>
          <w:lang w:val="fr-FR"/>
        </w:rPr>
        <w:t>’</w:t>
      </w:r>
      <w:r w:rsidR="00FB73A4" w:rsidRPr="00FB73A4">
        <w:rPr>
          <w:szCs w:val="22"/>
          <w:lang w:val="fr-FR"/>
        </w:rPr>
        <w:t>état d’</w:t>
      </w:r>
      <w:r w:rsidR="003A0792" w:rsidRPr="00FB73A4">
        <w:rPr>
          <w:szCs w:val="22"/>
          <w:lang w:val="fr-FR"/>
        </w:rPr>
        <w:t xml:space="preserve">avancement du programme de travail sur les éléments de flexibilité du système de propriété intellectuelle, </w:t>
      </w:r>
      <w:r w:rsidR="00FB73A4" w:rsidRPr="00FB73A4">
        <w:rPr>
          <w:szCs w:val="22"/>
          <w:lang w:val="fr-FR"/>
        </w:rPr>
        <w:t xml:space="preserve">figurant </w:t>
      </w:r>
      <w:r w:rsidR="003A0792" w:rsidRPr="00FB73A4">
        <w:rPr>
          <w:szCs w:val="22"/>
          <w:lang w:val="fr-FR"/>
        </w:rPr>
        <w:t xml:space="preserve">dans le document </w:t>
      </w:r>
      <w:r w:rsidR="0053407C" w:rsidRPr="00FB73A4">
        <w:rPr>
          <w:szCs w:val="22"/>
          <w:lang w:val="fr-FR"/>
        </w:rPr>
        <w:t xml:space="preserve">CDIP/10/10. </w:t>
      </w:r>
      <w:r w:rsidR="00AD1DB6" w:rsidRPr="00FB73A4">
        <w:rPr>
          <w:szCs w:val="22"/>
          <w:lang w:val="fr-FR"/>
        </w:rPr>
        <w:t xml:space="preserve"> </w:t>
      </w:r>
      <w:r w:rsidR="00AB6B58" w:rsidRPr="00FB73A4">
        <w:rPr>
          <w:szCs w:val="22"/>
          <w:lang w:val="fr-FR"/>
        </w:rPr>
        <w:t xml:space="preserve">Le </w:t>
      </w:r>
      <w:r w:rsidR="0053407C" w:rsidRPr="00FB73A4">
        <w:rPr>
          <w:szCs w:val="22"/>
          <w:lang w:val="fr-FR"/>
        </w:rPr>
        <w:t>Secr</w:t>
      </w:r>
      <w:r w:rsidR="00AB6B58" w:rsidRPr="00FB73A4">
        <w:rPr>
          <w:szCs w:val="22"/>
          <w:lang w:val="fr-FR"/>
        </w:rPr>
        <w:t>é</w:t>
      </w:r>
      <w:r w:rsidR="0053407C" w:rsidRPr="00FB73A4">
        <w:rPr>
          <w:szCs w:val="22"/>
          <w:lang w:val="fr-FR"/>
        </w:rPr>
        <w:t xml:space="preserve">tariat </w:t>
      </w:r>
      <w:r w:rsidR="00AB6B58" w:rsidRPr="00FB73A4">
        <w:rPr>
          <w:szCs w:val="22"/>
          <w:lang w:val="fr-FR"/>
        </w:rPr>
        <w:t xml:space="preserve">a </w:t>
      </w:r>
      <w:r w:rsidR="009A02D5" w:rsidRPr="00FB73A4">
        <w:rPr>
          <w:szCs w:val="22"/>
          <w:lang w:val="fr-FR"/>
        </w:rPr>
        <w:t xml:space="preserve">sollicité des orientations </w:t>
      </w:r>
      <w:r w:rsidR="00AB6B58" w:rsidRPr="00FB73A4">
        <w:rPr>
          <w:szCs w:val="22"/>
          <w:lang w:val="fr-FR"/>
        </w:rPr>
        <w:t xml:space="preserve">concernant le contenu de la base de données. </w:t>
      </w:r>
      <w:r w:rsidR="0053407C" w:rsidRPr="00FB73A4">
        <w:rPr>
          <w:szCs w:val="22"/>
          <w:lang w:val="fr-FR"/>
        </w:rPr>
        <w:t xml:space="preserve"> </w:t>
      </w:r>
      <w:r w:rsidR="00AB6B58" w:rsidRPr="00FB73A4">
        <w:rPr>
          <w:szCs w:val="22"/>
          <w:lang w:val="fr-FR"/>
        </w:rPr>
        <w:t>Un consensus s</w:t>
      </w:r>
      <w:r w:rsidR="009D47EC" w:rsidRPr="00FB73A4">
        <w:rPr>
          <w:szCs w:val="22"/>
          <w:lang w:val="fr-FR"/>
        </w:rPr>
        <w:t>’</w:t>
      </w:r>
      <w:r w:rsidR="00AB6B58" w:rsidRPr="00FB73A4">
        <w:rPr>
          <w:szCs w:val="22"/>
          <w:lang w:val="fr-FR"/>
        </w:rPr>
        <w:t>est dégagé sur les catégories d</w:t>
      </w:r>
      <w:r w:rsidR="009D47EC" w:rsidRPr="00FB73A4">
        <w:rPr>
          <w:szCs w:val="22"/>
          <w:lang w:val="fr-FR"/>
        </w:rPr>
        <w:t>’</w:t>
      </w:r>
      <w:r w:rsidR="00AB6B58" w:rsidRPr="00FB73A4">
        <w:rPr>
          <w:szCs w:val="22"/>
          <w:lang w:val="fr-FR"/>
        </w:rPr>
        <w:t>informations suivantes à inclure dans la base de données </w:t>
      </w:r>
      <w:r w:rsidR="0053407C" w:rsidRPr="00FB73A4">
        <w:rPr>
          <w:szCs w:val="22"/>
          <w:lang w:val="fr-FR"/>
        </w:rPr>
        <w:t>:</w:t>
      </w:r>
    </w:p>
    <w:p w:rsidR="006F2D3E" w:rsidRPr="00FB73A4" w:rsidRDefault="006F2D3E" w:rsidP="00FB73A4">
      <w:pPr>
        <w:rPr>
          <w:szCs w:val="22"/>
          <w:lang w:val="fr-FR"/>
        </w:rPr>
      </w:pPr>
    </w:p>
    <w:p w:rsidR="009D47EC" w:rsidRPr="00FB73A4" w:rsidRDefault="00663ED3" w:rsidP="00FB73A4">
      <w:pPr>
        <w:pStyle w:val="ListParagraph"/>
        <w:numPr>
          <w:ilvl w:val="0"/>
          <w:numId w:val="5"/>
        </w:numPr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 xml:space="preserve">des liens vers des </w:t>
      </w:r>
      <w:r w:rsidR="00FB73A4" w:rsidRPr="00FB73A4">
        <w:rPr>
          <w:szCs w:val="22"/>
          <w:lang w:val="fr-FR"/>
        </w:rPr>
        <w:t>procédures judiciaires</w:t>
      </w:r>
      <w:r w:rsidRPr="00FB73A4">
        <w:rPr>
          <w:szCs w:val="22"/>
          <w:lang w:val="fr-FR"/>
        </w:rPr>
        <w:t>, des articles universitaires et des études de cas fournis par les États membres</w:t>
      </w:r>
      <w:r w:rsidR="0053407C" w:rsidRPr="00FB73A4">
        <w:rPr>
          <w:szCs w:val="22"/>
          <w:lang w:val="fr-FR"/>
        </w:rPr>
        <w:t>;</w:t>
      </w:r>
    </w:p>
    <w:p w:rsidR="006F2D3E" w:rsidRPr="00FB73A4" w:rsidRDefault="00663ED3" w:rsidP="00FB73A4">
      <w:pPr>
        <w:pStyle w:val="ListParagraph"/>
        <w:numPr>
          <w:ilvl w:val="0"/>
          <w:numId w:val="5"/>
        </w:numPr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lastRenderedPageBreak/>
        <w:t xml:space="preserve">des documents rédigés </w:t>
      </w:r>
      <w:r w:rsidR="00B1527F" w:rsidRPr="00FB73A4">
        <w:rPr>
          <w:szCs w:val="22"/>
          <w:lang w:val="fr-FR"/>
        </w:rPr>
        <w:t>ou</w:t>
      </w:r>
      <w:r w:rsidRPr="00FB73A4">
        <w:rPr>
          <w:szCs w:val="22"/>
          <w:lang w:val="fr-FR"/>
        </w:rPr>
        <w:t xml:space="preserve"> </w:t>
      </w:r>
      <w:r w:rsidR="00FB73A4" w:rsidRPr="00FB73A4">
        <w:rPr>
          <w:szCs w:val="22"/>
          <w:lang w:val="fr-FR"/>
        </w:rPr>
        <w:t>commandés</w:t>
      </w:r>
      <w:r w:rsidRPr="00FB73A4">
        <w:rPr>
          <w:szCs w:val="22"/>
          <w:lang w:val="fr-FR"/>
        </w:rPr>
        <w:t xml:space="preserve"> </w:t>
      </w:r>
      <w:r w:rsidR="00B1527F" w:rsidRPr="00FB73A4">
        <w:rPr>
          <w:szCs w:val="22"/>
          <w:lang w:val="fr-FR"/>
        </w:rPr>
        <w:t>par l</w:t>
      </w:r>
      <w:r w:rsidR="009D47EC" w:rsidRPr="00FB73A4">
        <w:rPr>
          <w:szCs w:val="22"/>
          <w:lang w:val="fr-FR"/>
        </w:rPr>
        <w:t>’</w:t>
      </w:r>
      <w:r w:rsidR="00B1527F" w:rsidRPr="00FB73A4">
        <w:rPr>
          <w:szCs w:val="22"/>
          <w:lang w:val="fr-FR"/>
        </w:rPr>
        <w:t>OMPI dans le cadre de ses activités régulières d</w:t>
      </w:r>
      <w:r w:rsidR="009D47EC" w:rsidRPr="00FB73A4">
        <w:rPr>
          <w:szCs w:val="22"/>
          <w:lang w:val="fr-FR"/>
        </w:rPr>
        <w:t>’</w:t>
      </w:r>
      <w:r w:rsidR="00B1527F" w:rsidRPr="00FB73A4">
        <w:rPr>
          <w:szCs w:val="22"/>
          <w:lang w:val="fr-FR"/>
        </w:rPr>
        <w:t>assistance technique</w:t>
      </w:r>
      <w:r w:rsidR="0053407C" w:rsidRPr="00FB73A4">
        <w:rPr>
          <w:szCs w:val="22"/>
          <w:lang w:val="fr-FR"/>
        </w:rPr>
        <w:t xml:space="preserve">;  </w:t>
      </w:r>
      <w:r w:rsidR="00B1527F" w:rsidRPr="00FB73A4">
        <w:rPr>
          <w:szCs w:val="22"/>
          <w:lang w:val="fr-FR"/>
        </w:rPr>
        <w:t>et</w:t>
      </w:r>
    </w:p>
    <w:p w:rsidR="006F2D3E" w:rsidRPr="00FB73A4" w:rsidRDefault="00B1527F" w:rsidP="00FB73A4">
      <w:pPr>
        <w:pStyle w:val="ListParagraph"/>
        <w:numPr>
          <w:ilvl w:val="0"/>
          <w:numId w:val="5"/>
        </w:numPr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 xml:space="preserve">des documents et présentations liés à des séminaires </w:t>
      </w:r>
      <w:r w:rsidR="00B274E8" w:rsidRPr="00FB73A4">
        <w:rPr>
          <w:szCs w:val="22"/>
          <w:lang w:val="fr-FR"/>
        </w:rPr>
        <w:t>organisés</w:t>
      </w:r>
      <w:r w:rsidRPr="00FB73A4">
        <w:rPr>
          <w:szCs w:val="22"/>
          <w:lang w:val="fr-FR"/>
        </w:rPr>
        <w:t xml:space="preserve"> par 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OMPI dans le cadre de ses activités régulières d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assistance technique</w:t>
      </w:r>
      <w:r w:rsidR="0053407C" w:rsidRPr="00FB73A4">
        <w:rPr>
          <w:szCs w:val="22"/>
          <w:lang w:val="fr-FR"/>
        </w:rPr>
        <w:t>.</w:t>
      </w:r>
    </w:p>
    <w:p w:rsidR="006F2D3E" w:rsidRPr="00FB73A4" w:rsidRDefault="006F2D3E" w:rsidP="00FB73A4">
      <w:pPr>
        <w:tabs>
          <w:tab w:val="num" w:pos="1100"/>
        </w:tabs>
        <w:rPr>
          <w:szCs w:val="22"/>
          <w:lang w:val="fr-FR"/>
        </w:rPr>
      </w:pPr>
    </w:p>
    <w:p w:rsidR="006F2D3E" w:rsidRPr="00FB73A4" w:rsidRDefault="006F2D3E" w:rsidP="00FB73A4">
      <w:pPr>
        <w:rPr>
          <w:szCs w:val="22"/>
          <w:lang w:val="fr-FR"/>
        </w:rPr>
      </w:pPr>
    </w:p>
    <w:p w:rsidR="006F2D3E" w:rsidRPr="00FB73A4" w:rsidRDefault="00EB725A" w:rsidP="00FB73A4">
      <w:pPr>
        <w:rPr>
          <w:b/>
          <w:lang w:val="fr-FR"/>
        </w:rPr>
      </w:pPr>
      <w:r w:rsidRPr="00FB73A4">
        <w:rPr>
          <w:b/>
          <w:lang w:val="fr-FR"/>
        </w:rPr>
        <w:t>CRÉATION DE LA BASE DE DONNÉES</w:t>
      </w: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323E64" w:rsidP="00FB73A4">
      <w:pPr>
        <w:rPr>
          <w:lang w:val="fr-FR"/>
        </w:rPr>
      </w:pPr>
      <w:r w:rsidRPr="00FB73A4">
        <w:rPr>
          <w:lang w:val="fr-FR"/>
        </w:rPr>
        <w:t xml:space="preserve">La base de données consacrée aux éléments de flexibilité a été mise à disposition en ligne en </w:t>
      </w:r>
      <w:r w:rsidR="00B15214" w:rsidRPr="00FB73A4">
        <w:rPr>
          <w:lang w:val="fr-FR"/>
        </w:rPr>
        <w:t>juin </w:t>
      </w:r>
      <w:r w:rsidRPr="00FB73A4">
        <w:rPr>
          <w:lang w:val="fr-FR"/>
        </w:rPr>
        <w:t xml:space="preserve">2013, </w:t>
      </w:r>
      <w:r w:rsidR="00FB73A4" w:rsidRPr="00FB73A4">
        <w:rPr>
          <w:lang w:val="fr-FR"/>
        </w:rPr>
        <w:t xml:space="preserve">donnant </w:t>
      </w:r>
      <w:r w:rsidRPr="00FB73A4">
        <w:rPr>
          <w:lang w:val="fr-FR"/>
        </w:rPr>
        <w:t xml:space="preserve">aux États membres accès à </w:t>
      </w:r>
      <w:r w:rsidR="0099343F" w:rsidRPr="00FB73A4">
        <w:rPr>
          <w:lang w:val="fr-FR"/>
        </w:rPr>
        <w:t>“</w:t>
      </w:r>
      <w:r w:rsidRPr="00FB73A4">
        <w:rPr>
          <w:lang w:val="fr-FR"/>
        </w:rPr>
        <w:t>une liste non exhaustive d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 xml:space="preserve">éléments de flexibilité en usage : licences obligatoires et utilisation par les </w:t>
      </w:r>
      <w:r w:rsidR="004E53D3" w:rsidRPr="00FB73A4">
        <w:rPr>
          <w:lang w:val="fr-FR"/>
        </w:rPr>
        <w:t>pouvoirs</w:t>
      </w:r>
      <w:r w:rsidRPr="00FB73A4">
        <w:rPr>
          <w:lang w:val="fr-FR"/>
        </w:rPr>
        <w:t xml:space="preserve"> </w:t>
      </w:r>
      <w:r w:rsidR="004E53D3" w:rsidRPr="00FB73A4">
        <w:rPr>
          <w:lang w:val="fr-FR"/>
        </w:rPr>
        <w:t>publics</w:t>
      </w:r>
      <w:r w:rsidRPr="00FB73A4">
        <w:rPr>
          <w:lang w:val="fr-FR"/>
        </w:rPr>
        <w:t>;  épuisement des droits;  exception en faveur de la recherche;  exception pour l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examen réglementaire</w:t>
      </w:r>
      <w:r w:rsidR="0099343F" w:rsidRPr="00FB73A4">
        <w:rPr>
          <w:lang w:val="fr-FR"/>
        </w:rPr>
        <w:t>”</w:t>
      </w:r>
      <w:r w:rsidR="00C5097B" w:rsidRPr="00FB73A4">
        <w:rPr>
          <w:lang w:val="fr-FR"/>
        </w:rPr>
        <w:t>.</w:t>
      </w:r>
    </w:p>
    <w:p w:rsidR="006F2D3E" w:rsidRPr="00FB73A4" w:rsidRDefault="006F2D3E" w:rsidP="00FB73A4">
      <w:pPr>
        <w:tabs>
          <w:tab w:val="num" w:pos="1100"/>
        </w:tabs>
        <w:rPr>
          <w:lang w:val="fr-FR"/>
        </w:rPr>
      </w:pPr>
    </w:p>
    <w:p w:rsidR="006F2D3E" w:rsidRPr="00FB73A4" w:rsidRDefault="00323E64" w:rsidP="00FB73A4">
      <w:pPr>
        <w:rPr>
          <w:lang w:val="fr-FR"/>
        </w:rPr>
      </w:pPr>
      <w:r w:rsidRPr="00FB73A4">
        <w:rPr>
          <w:lang w:val="fr-FR"/>
        </w:rPr>
        <w:t>En outre, le</w:t>
      </w:r>
      <w:r w:rsidR="0053407C" w:rsidRPr="00FB73A4">
        <w:rPr>
          <w:lang w:val="fr-FR"/>
        </w:rPr>
        <w:t xml:space="preserve"> Secr</w:t>
      </w:r>
      <w:r w:rsidRPr="00FB73A4">
        <w:rPr>
          <w:lang w:val="fr-FR"/>
        </w:rPr>
        <w:t>é</w:t>
      </w:r>
      <w:r w:rsidR="0053407C" w:rsidRPr="00FB73A4">
        <w:rPr>
          <w:lang w:val="fr-FR"/>
        </w:rPr>
        <w:t xml:space="preserve">tariat </w:t>
      </w:r>
      <w:r w:rsidRPr="00FB73A4">
        <w:rPr>
          <w:lang w:val="fr-FR"/>
        </w:rPr>
        <w:t>a mis à disposition sur la page</w:t>
      </w:r>
      <w:r w:rsidR="005E7CF4" w:rsidRPr="00FB73A4">
        <w:rPr>
          <w:lang w:val="fr-FR"/>
        </w:rPr>
        <w:t> </w:t>
      </w:r>
      <w:r w:rsidRPr="00FB73A4">
        <w:rPr>
          <w:lang w:val="fr-FR"/>
        </w:rPr>
        <w:t xml:space="preserve">Web consacrée aux éléments de flexibilité les documents rédigés ou </w:t>
      </w:r>
      <w:r w:rsidR="00FB73A4" w:rsidRPr="00FB73A4">
        <w:rPr>
          <w:lang w:val="fr-FR"/>
        </w:rPr>
        <w:t>commandés</w:t>
      </w:r>
      <w:r w:rsidRPr="00FB73A4">
        <w:rPr>
          <w:lang w:val="fr-FR"/>
        </w:rPr>
        <w:t xml:space="preserve"> par l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OMPI dans le cadre de ses activités régulières d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 xml:space="preserve">assistance technique, </w:t>
      </w:r>
      <w:r w:rsidR="009D47EC" w:rsidRPr="00FB73A4">
        <w:rPr>
          <w:lang w:val="fr-FR"/>
        </w:rPr>
        <w:t>y compris</w:t>
      </w:r>
      <w:r w:rsidRPr="00FB73A4">
        <w:rPr>
          <w:lang w:val="fr-FR"/>
        </w:rPr>
        <w:t xml:space="preserve"> </w:t>
      </w:r>
      <w:r w:rsidR="00A867FA" w:rsidRPr="00FB73A4">
        <w:rPr>
          <w:lang w:val="fr-FR"/>
        </w:rPr>
        <w:t>d</w:t>
      </w:r>
      <w:r w:rsidRPr="00FB73A4">
        <w:rPr>
          <w:lang w:val="fr-FR"/>
        </w:rPr>
        <w:t>es documents liés aux séminaires</w:t>
      </w:r>
      <w:r w:rsidR="0053407C" w:rsidRPr="00FB73A4">
        <w:rPr>
          <w:lang w:val="fr-FR"/>
        </w:rPr>
        <w:t>.</w:t>
      </w:r>
    </w:p>
    <w:p w:rsidR="006F2D3E" w:rsidRPr="00FB73A4" w:rsidRDefault="006F2D3E" w:rsidP="00FB73A4">
      <w:pPr>
        <w:autoSpaceDE w:val="0"/>
        <w:autoSpaceDN w:val="0"/>
        <w:adjustRightInd w:val="0"/>
        <w:rPr>
          <w:szCs w:val="22"/>
          <w:lang w:val="fr-FR"/>
        </w:rPr>
      </w:pP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A867FA" w:rsidP="00FB73A4">
      <w:pPr>
        <w:rPr>
          <w:b/>
          <w:lang w:val="fr-FR"/>
        </w:rPr>
      </w:pPr>
      <w:r w:rsidRPr="00FB73A4">
        <w:rPr>
          <w:b/>
          <w:lang w:val="fr-FR"/>
        </w:rPr>
        <w:t>MISE À JOUR ET SITUATION ACTUELLE</w:t>
      </w: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C069BC" w:rsidP="00FB73A4">
      <w:pPr>
        <w:rPr>
          <w:lang w:val="fr-FR"/>
        </w:rPr>
      </w:pPr>
      <w:r w:rsidRPr="00FB73A4">
        <w:rPr>
          <w:lang w:val="fr-FR"/>
        </w:rPr>
        <w:t>Ainsi que l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a demandé</w:t>
      </w:r>
      <w:r w:rsidR="009D47EC" w:rsidRPr="00FB73A4">
        <w:rPr>
          <w:lang w:val="fr-FR"/>
        </w:rPr>
        <w:t xml:space="preserve"> le CDI</w:t>
      </w:r>
      <w:r w:rsidR="0053407C" w:rsidRPr="00FB73A4">
        <w:rPr>
          <w:lang w:val="fr-FR"/>
        </w:rPr>
        <w:t xml:space="preserve">P </w:t>
      </w:r>
      <w:r w:rsidRPr="00FB73A4">
        <w:rPr>
          <w:lang w:val="fr-FR"/>
        </w:rPr>
        <w:t>à sa quinzième</w:t>
      </w:r>
      <w:r w:rsidR="005E7CF4" w:rsidRPr="00FB73A4">
        <w:rPr>
          <w:lang w:val="fr-FR"/>
        </w:rPr>
        <w:t> </w:t>
      </w:r>
      <w:r w:rsidRPr="00FB73A4">
        <w:rPr>
          <w:lang w:val="fr-FR"/>
        </w:rPr>
        <w:t>session, la base de données consacrée aux éléments de flexibilité a été actualisée afin d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inclure</w:t>
      </w:r>
      <w:r w:rsidR="00440F1C" w:rsidRPr="00FB73A4">
        <w:rPr>
          <w:lang w:val="fr-FR"/>
        </w:rPr>
        <w:t> :</w:t>
      </w:r>
    </w:p>
    <w:p w:rsidR="006F2D3E" w:rsidRPr="00FB73A4" w:rsidRDefault="006F2D3E" w:rsidP="00FB73A4">
      <w:pPr>
        <w:rPr>
          <w:lang w:val="fr-FR"/>
        </w:rPr>
      </w:pPr>
    </w:p>
    <w:p w:rsidR="006F2D3E" w:rsidRPr="00FB73A4" w:rsidRDefault="006F1785" w:rsidP="00FB73A4">
      <w:pPr>
        <w:pStyle w:val="ListParagraph"/>
        <w:numPr>
          <w:ilvl w:val="0"/>
          <w:numId w:val="8"/>
        </w:numPr>
        <w:ind w:left="567" w:hanging="567"/>
        <w:rPr>
          <w:lang w:val="fr-FR"/>
        </w:rPr>
      </w:pPr>
      <w:r w:rsidRPr="00FB73A4">
        <w:rPr>
          <w:lang w:val="fr-FR"/>
        </w:rPr>
        <w:t>954 </w:t>
      </w:r>
      <w:r w:rsidR="00C069BC" w:rsidRPr="00FB73A4">
        <w:rPr>
          <w:lang w:val="fr-FR"/>
        </w:rPr>
        <w:t xml:space="preserve">nouvelles dispositions </w:t>
      </w:r>
      <w:r w:rsidR="004A0095" w:rsidRPr="00FB73A4">
        <w:rPr>
          <w:lang w:val="fr-FR"/>
        </w:rPr>
        <w:t xml:space="preserve">législatives </w:t>
      </w:r>
      <w:r w:rsidR="00FB73A4" w:rsidRPr="00FB73A4">
        <w:rPr>
          <w:lang w:val="fr-FR"/>
        </w:rPr>
        <w:t>tiré</w:t>
      </w:r>
      <w:r w:rsidR="00157DA6">
        <w:rPr>
          <w:lang w:val="fr-FR"/>
        </w:rPr>
        <w:t>e</w:t>
      </w:r>
      <w:r w:rsidR="00FB73A4" w:rsidRPr="00FB73A4">
        <w:rPr>
          <w:lang w:val="fr-FR"/>
        </w:rPr>
        <w:t>s</w:t>
      </w:r>
      <w:r w:rsidR="00440F1C" w:rsidRPr="00FB73A4">
        <w:rPr>
          <w:lang w:val="fr-FR"/>
        </w:rPr>
        <w:t xml:space="preserve"> </w:t>
      </w:r>
      <w:r w:rsidR="004A0095" w:rsidRPr="00FB73A4">
        <w:rPr>
          <w:lang w:val="fr-FR"/>
        </w:rPr>
        <w:t xml:space="preserve">de documents sur les éléments de flexibilité relatifs aux brevets dans le cadre juridique multilatéral et </w:t>
      </w:r>
      <w:r w:rsidR="00FB73A4" w:rsidRPr="00FB73A4">
        <w:rPr>
          <w:lang w:val="fr-FR"/>
        </w:rPr>
        <w:t>leur transposition</w:t>
      </w:r>
      <w:r w:rsidR="004A0095" w:rsidRPr="00FB73A4">
        <w:rPr>
          <w:lang w:val="fr-FR"/>
        </w:rPr>
        <w:t xml:space="preserve"> législative aux niveaux national et régional</w:t>
      </w:r>
      <w:r w:rsidR="0053407C" w:rsidRPr="00FB73A4">
        <w:rPr>
          <w:szCs w:val="22"/>
          <w:lang w:val="fr-FR"/>
        </w:rPr>
        <w:t xml:space="preserve">, </w:t>
      </w:r>
      <w:r w:rsidR="00FB73A4" w:rsidRPr="00FB73A4">
        <w:rPr>
          <w:szCs w:val="22"/>
          <w:lang w:val="fr-FR"/>
        </w:rPr>
        <w:t>figurant</w:t>
      </w:r>
      <w:r w:rsidR="004A0095" w:rsidRPr="00FB73A4">
        <w:rPr>
          <w:szCs w:val="22"/>
          <w:lang w:val="fr-FR"/>
        </w:rPr>
        <w:t xml:space="preserve"> dans les documents </w:t>
      </w:r>
      <w:r w:rsidR="0053407C" w:rsidRPr="00FB73A4">
        <w:rPr>
          <w:lang w:val="fr-FR"/>
        </w:rPr>
        <w:t>CDIP/7/3</w:t>
      </w:r>
      <w:r w:rsidR="005E7CF4" w:rsidRPr="00FB73A4">
        <w:rPr>
          <w:lang w:val="fr-FR"/>
        </w:rPr>
        <w:t> </w:t>
      </w:r>
      <w:proofErr w:type="spellStart"/>
      <w:r w:rsidR="0053407C" w:rsidRPr="00FB73A4">
        <w:rPr>
          <w:lang w:val="fr-FR"/>
        </w:rPr>
        <w:t>Add</w:t>
      </w:r>
      <w:proofErr w:type="spellEnd"/>
      <w:r w:rsidR="0053407C" w:rsidRPr="00FB73A4">
        <w:rPr>
          <w:lang w:val="fr-FR"/>
        </w:rPr>
        <w:t>., CDIP/13/10</w:t>
      </w:r>
      <w:r w:rsidR="0012588B" w:rsidRPr="00FB73A4">
        <w:rPr>
          <w:lang w:val="fr-FR"/>
        </w:rPr>
        <w:t> </w:t>
      </w:r>
      <w:proofErr w:type="spellStart"/>
      <w:r w:rsidR="0053407C" w:rsidRPr="00FB73A4">
        <w:rPr>
          <w:lang w:val="fr-FR"/>
        </w:rPr>
        <w:t>Rev</w:t>
      </w:r>
      <w:proofErr w:type="spellEnd"/>
      <w:r w:rsidR="0012588B" w:rsidRPr="00FB73A4">
        <w:rPr>
          <w:lang w:val="fr-FR"/>
        </w:rPr>
        <w:t>.</w:t>
      </w:r>
      <w:r w:rsidR="0053407C" w:rsidRPr="00FB73A4">
        <w:rPr>
          <w:lang w:val="fr-FR"/>
        </w:rPr>
        <w:t xml:space="preserve"> </w:t>
      </w:r>
      <w:r w:rsidR="004A0095" w:rsidRPr="00FB73A4">
        <w:rPr>
          <w:lang w:val="fr-FR"/>
        </w:rPr>
        <w:t>et</w:t>
      </w:r>
      <w:r w:rsidR="0053407C" w:rsidRPr="00FB73A4">
        <w:rPr>
          <w:lang w:val="fr-FR"/>
        </w:rPr>
        <w:t xml:space="preserve"> CDIP/15/6. </w:t>
      </w:r>
      <w:r w:rsidR="005E7CF4" w:rsidRPr="00FB73A4">
        <w:rPr>
          <w:lang w:val="fr-FR"/>
        </w:rPr>
        <w:t xml:space="preserve"> </w:t>
      </w:r>
      <w:r w:rsidR="004A0095" w:rsidRPr="00FB73A4">
        <w:rPr>
          <w:szCs w:val="22"/>
          <w:lang w:val="fr-FR"/>
        </w:rPr>
        <w:t xml:space="preserve">Ces informations </w:t>
      </w:r>
      <w:r w:rsidR="00910675" w:rsidRPr="00FB73A4">
        <w:rPr>
          <w:szCs w:val="22"/>
          <w:lang w:val="fr-FR"/>
        </w:rPr>
        <w:t>traitaient des neuf</w:t>
      </w:r>
      <w:r w:rsidR="005E7CF4" w:rsidRPr="00FB73A4">
        <w:rPr>
          <w:szCs w:val="22"/>
          <w:lang w:val="fr-FR"/>
        </w:rPr>
        <w:t> </w:t>
      </w:r>
      <w:r w:rsidR="00910675" w:rsidRPr="00FB73A4">
        <w:rPr>
          <w:szCs w:val="22"/>
          <w:lang w:val="fr-FR"/>
        </w:rPr>
        <w:t>éléments de flexibilité ci</w:t>
      </w:r>
      <w:r w:rsidR="0012588B" w:rsidRPr="00FB73A4">
        <w:rPr>
          <w:szCs w:val="22"/>
          <w:lang w:val="fr-FR"/>
        </w:rPr>
        <w:noBreakHyphen/>
      </w:r>
      <w:r w:rsidR="00910675" w:rsidRPr="00FB73A4">
        <w:rPr>
          <w:szCs w:val="22"/>
          <w:lang w:val="fr-FR"/>
        </w:rPr>
        <w:t>après </w:t>
      </w:r>
      <w:r w:rsidR="0053407C" w:rsidRPr="00FB73A4">
        <w:rPr>
          <w:szCs w:val="22"/>
          <w:lang w:val="fr-FR"/>
        </w:rPr>
        <w:t>:</w:t>
      </w:r>
    </w:p>
    <w:p w:rsidR="006F2D3E" w:rsidRPr="00FB73A4" w:rsidRDefault="006F2D3E" w:rsidP="00FB73A4">
      <w:pPr>
        <w:pStyle w:val="ListParagraph"/>
        <w:ind w:left="1134"/>
        <w:rPr>
          <w:lang w:val="fr-FR"/>
        </w:rPr>
      </w:pPr>
    </w:p>
    <w:p w:rsidR="006F2D3E" w:rsidRPr="00FB73A4" w:rsidRDefault="00EF014C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les</w:t>
      </w:r>
      <w:r w:rsidR="00637D99" w:rsidRPr="00FB73A4">
        <w:rPr>
          <w:lang w:val="fr-FR"/>
        </w:rPr>
        <w:t xml:space="preserve"> </w:t>
      </w:r>
      <w:r w:rsidRPr="00FB73A4">
        <w:rPr>
          <w:lang w:val="fr-FR"/>
        </w:rPr>
        <w:t>p</w:t>
      </w:r>
      <w:r w:rsidR="006F2D3E" w:rsidRPr="00FB73A4">
        <w:rPr>
          <w:lang w:val="fr-FR"/>
        </w:rPr>
        <w:t>ériodes de transition</w:t>
      </w:r>
      <w:r w:rsidR="00C5097B" w:rsidRPr="00FB73A4">
        <w:rPr>
          <w:lang w:val="fr-FR"/>
        </w:rPr>
        <w:t>;</w:t>
      </w:r>
    </w:p>
    <w:p w:rsidR="006F2D3E" w:rsidRPr="00FB73A4" w:rsidRDefault="00EF014C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la b</w:t>
      </w:r>
      <w:r w:rsidR="006F2D3E" w:rsidRPr="00FB73A4">
        <w:rPr>
          <w:lang w:val="fr-FR"/>
        </w:rPr>
        <w:t>revetabilité des substances existant dans la nature</w:t>
      </w:r>
      <w:r w:rsidR="00C5097B" w:rsidRPr="00FB73A4">
        <w:rPr>
          <w:lang w:val="fr-FR"/>
        </w:rPr>
        <w:t>;</w:t>
      </w:r>
    </w:p>
    <w:p w:rsidR="006F2D3E" w:rsidRPr="00FB73A4" w:rsidRDefault="006F2D3E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les éléments de flexibilité relatifs à la divulgation;</w:t>
      </w:r>
    </w:p>
    <w:p w:rsidR="006F2D3E" w:rsidRPr="00FB73A4" w:rsidRDefault="00440F1C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examen quant au fond</w:t>
      </w:r>
      <w:r w:rsidR="00C5097B" w:rsidRPr="00FB73A4">
        <w:rPr>
          <w:lang w:val="fr-FR"/>
        </w:rPr>
        <w:t>;</w:t>
      </w:r>
    </w:p>
    <w:p w:rsidR="006F2D3E" w:rsidRPr="00FB73A4" w:rsidRDefault="00EF014C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le c</w:t>
      </w:r>
      <w:r w:rsidR="006F2D3E" w:rsidRPr="00FB73A4">
        <w:rPr>
          <w:lang w:val="fr-FR"/>
        </w:rPr>
        <w:t>ontrôle d</w:t>
      </w:r>
      <w:r w:rsidR="009D47EC" w:rsidRPr="00FB73A4">
        <w:rPr>
          <w:lang w:val="fr-FR"/>
        </w:rPr>
        <w:t>’</w:t>
      </w:r>
      <w:r w:rsidR="006F2D3E" w:rsidRPr="00FB73A4">
        <w:rPr>
          <w:lang w:val="fr-FR"/>
        </w:rPr>
        <w:t xml:space="preserve">office des clauses contractuelles anticoncurrentielles par les offices de propriété intellectuelle dans les </w:t>
      </w:r>
      <w:r w:rsidR="00FB73A4" w:rsidRPr="00FB73A4">
        <w:rPr>
          <w:lang w:val="fr-FR"/>
        </w:rPr>
        <w:t>contrats</w:t>
      </w:r>
      <w:r w:rsidR="006F2D3E" w:rsidRPr="00FB73A4">
        <w:rPr>
          <w:lang w:val="fr-FR"/>
        </w:rPr>
        <w:t xml:space="preserve"> de licence</w:t>
      </w:r>
      <w:r w:rsidR="00C5097B" w:rsidRPr="00FB73A4">
        <w:rPr>
          <w:lang w:val="fr-FR"/>
        </w:rPr>
        <w:t>;</w:t>
      </w:r>
    </w:p>
    <w:p w:rsidR="009D47EC" w:rsidRPr="00FB73A4" w:rsidRDefault="00EF014C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 xml:space="preserve">la </w:t>
      </w:r>
      <w:r w:rsidR="006F2D3E" w:rsidRPr="00FB73A4">
        <w:rPr>
          <w:lang w:val="fr-FR"/>
        </w:rPr>
        <w:t>portée de l</w:t>
      </w:r>
      <w:r w:rsidR="009D47EC" w:rsidRPr="00FB73A4">
        <w:rPr>
          <w:lang w:val="fr-FR"/>
        </w:rPr>
        <w:t>’</w:t>
      </w:r>
      <w:r w:rsidR="006F2D3E" w:rsidRPr="00FB73A4">
        <w:rPr>
          <w:lang w:val="fr-FR"/>
        </w:rPr>
        <w:t>exclusion de la brevetabilité concernant les végétaux</w:t>
      </w:r>
      <w:r w:rsidR="00C5097B" w:rsidRPr="00FB73A4">
        <w:rPr>
          <w:lang w:val="fr-FR"/>
        </w:rPr>
        <w:t>;</w:t>
      </w:r>
    </w:p>
    <w:p w:rsidR="006F2D3E" w:rsidRPr="00FB73A4" w:rsidRDefault="00EF014C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la b</w:t>
      </w:r>
      <w:r w:rsidR="006F2D3E" w:rsidRPr="00FB73A4">
        <w:rPr>
          <w:lang w:val="fr-FR"/>
        </w:rPr>
        <w:t xml:space="preserve">revetabilité, ou </w:t>
      </w:r>
      <w:r w:rsidRPr="00FB73A4">
        <w:rPr>
          <w:lang w:val="fr-FR"/>
        </w:rPr>
        <w:t>l</w:t>
      </w:r>
      <w:r w:rsidR="009D47EC" w:rsidRPr="00FB73A4">
        <w:rPr>
          <w:lang w:val="fr-FR"/>
        </w:rPr>
        <w:t>’</w:t>
      </w:r>
      <w:r w:rsidR="006F2D3E" w:rsidRPr="00FB73A4">
        <w:rPr>
          <w:lang w:val="fr-FR"/>
        </w:rPr>
        <w:t>exclusion de la brevetabilité, des inventions relatives à des logiciels</w:t>
      </w:r>
      <w:r w:rsidR="00C5097B" w:rsidRPr="00FB73A4">
        <w:rPr>
          <w:lang w:val="fr-FR"/>
        </w:rPr>
        <w:t>;</w:t>
      </w:r>
    </w:p>
    <w:p w:rsidR="006F2D3E" w:rsidRPr="00FB73A4" w:rsidRDefault="001A0D06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la possibilité d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 xml:space="preserve">appliquer ou non des sanctions pénales </w:t>
      </w:r>
      <w:r w:rsidR="00FB73A4" w:rsidRPr="00FB73A4">
        <w:rPr>
          <w:lang w:val="fr-FR"/>
        </w:rPr>
        <w:t>aux fins de l’application</w:t>
      </w:r>
      <w:r w:rsidRPr="00FB73A4">
        <w:rPr>
          <w:lang w:val="fr-FR"/>
        </w:rPr>
        <w:t xml:space="preserve"> des droits de brevet</w:t>
      </w:r>
      <w:r w:rsidR="00C5097B" w:rsidRPr="00FB73A4">
        <w:rPr>
          <w:lang w:val="fr-FR"/>
        </w:rPr>
        <w:t>;</w:t>
      </w:r>
    </w:p>
    <w:p w:rsidR="006F2D3E" w:rsidRPr="00FB73A4" w:rsidRDefault="00440F1C" w:rsidP="00FB73A4">
      <w:pPr>
        <w:pStyle w:val="ListParagraph"/>
        <w:numPr>
          <w:ilvl w:val="0"/>
          <w:numId w:val="9"/>
        </w:numPr>
        <w:ind w:left="1134" w:hanging="567"/>
        <w:rPr>
          <w:lang w:val="fr-FR"/>
        </w:rPr>
      </w:pPr>
      <w:r w:rsidRPr="00FB73A4">
        <w:rPr>
          <w:lang w:val="fr-FR"/>
        </w:rPr>
        <w:t>les mesures liées à la sécurité nationale</w:t>
      </w:r>
      <w:r w:rsidR="0053407C" w:rsidRPr="00FB73A4">
        <w:rPr>
          <w:lang w:val="fr-FR"/>
        </w:rPr>
        <w:t xml:space="preserve"> (</w:t>
      </w:r>
      <w:r w:rsidR="001A0D06" w:rsidRPr="00FB73A4">
        <w:rPr>
          <w:lang w:val="fr-FR"/>
        </w:rPr>
        <w:t xml:space="preserve">dénommées </w:t>
      </w:r>
      <w:r w:rsidR="0053407C" w:rsidRPr="00FB73A4">
        <w:rPr>
          <w:lang w:val="fr-FR"/>
        </w:rPr>
        <w:t>“</w:t>
      </w:r>
      <w:r w:rsidR="001A0D06" w:rsidRPr="00FB73A4">
        <w:rPr>
          <w:lang w:val="fr-FR"/>
        </w:rPr>
        <w:t>exceptions concer</w:t>
      </w:r>
      <w:r w:rsidR="00DA53B4" w:rsidRPr="00FB73A4">
        <w:rPr>
          <w:lang w:val="fr-FR"/>
        </w:rPr>
        <w:t>n</w:t>
      </w:r>
      <w:r w:rsidR="001A0D06" w:rsidRPr="00FB73A4">
        <w:rPr>
          <w:lang w:val="fr-FR"/>
        </w:rPr>
        <w:t>ant la sécurité</w:t>
      </w:r>
      <w:r w:rsidR="00C5097B" w:rsidRPr="00FB73A4">
        <w:rPr>
          <w:lang w:val="fr-FR"/>
        </w:rPr>
        <w:t>”);</w:t>
      </w:r>
    </w:p>
    <w:p w:rsidR="006F2D3E" w:rsidRPr="00FB73A4" w:rsidRDefault="006F2D3E" w:rsidP="00FB73A4">
      <w:pPr>
        <w:pStyle w:val="ListParagraph"/>
        <w:ind w:left="1134"/>
        <w:rPr>
          <w:lang w:val="fr-FR"/>
        </w:rPr>
      </w:pPr>
    </w:p>
    <w:p w:rsidR="006F2D3E" w:rsidRPr="00FB73A4" w:rsidRDefault="00D05C9D" w:rsidP="00FB73A4">
      <w:pPr>
        <w:pStyle w:val="ListParagraph"/>
        <w:numPr>
          <w:ilvl w:val="0"/>
          <w:numId w:val="8"/>
        </w:numPr>
        <w:ind w:left="567" w:hanging="567"/>
        <w:rPr>
          <w:lang w:val="fr-FR"/>
        </w:rPr>
      </w:pPr>
      <w:r w:rsidRPr="00FB73A4">
        <w:rPr>
          <w:lang w:val="fr-FR"/>
        </w:rPr>
        <w:t xml:space="preserve">des tableaux </w:t>
      </w:r>
      <w:r w:rsidR="00570E74" w:rsidRPr="00FB73A4">
        <w:rPr>
          <w:lang w:val="fr-FR"/>
        </w:rPr>
        <w:t xml:space="preserve">indiquant </w:t>
      </w:r>
      <w:r w:rsidRPr="00FB73A4">
        <w:rPr>
          <w:lang w:val="fr-FR"/>
        </w:rPr>
        <w:t xml:space="preserve">les différentes catégories de dispositions portant sur les éléments de flexibilité </w:t>
      </w:r>
      <w:r w:rsidR="00E627D9" w:rsidRPr="00FB73A4">
        <w:rPr>
          <w:lang w:val="fr-FR"/>
        </w:rPr>
        <w:t xml:space="preserve">figurant </w:t>
      </w:r>
      <w:r w:rsidRPr="00FB73A4">
        <w:rPr>
          <w:lang w:val="fr-FR"/>
        </w:rPr>
        <w:t>en particulier dans les documents susmentionnés</w:t>
      </w:r>
      <w:r w:rsidR="0053407C" w:rsidRPr="00FB73A4">
        <w:rPr>
          <w:lang w:val="fr-FR"/>
        </w:rPr>
        <w:t>.</w:t>
      </w:r>
    </w:p>
    <w:p w:rsidR="006F2D3E" w:rsidRPr="00FB73A4" w:rsidRDefault="006F2D3E" w:rsidP="00FB73A4">
      <w:pPr>
        <w:rPr>
          <w:lang w:val="fr-FR"/>
        </w:rPr>
      </w:pPr>
    </w:p>
    <w:p w:rsidR="009D47EC" w:rsidRPr="00FB73A4" w:rsidRDefault="00F83D64" w:rsidP="00FB73A4">
      <w:pPr>
        <w:rPr>
          <w:lang w:val="fr-FR"/>
        </w:rPr>
      </w:pPr>
      <w:r w:rsidRPr="00FB73A4">
        <w:rPr>
          <w:lang w:val="fr-FR"/>
        </w:rPr>
        <w:t xml:space="preserve">La base de données contient actuellement </w:t>
      </w:r>
      <w:r w:rsidR="00B15214" w:rsidRPr="00FB73A4">
        <w:rPr>
          <w:lang w:val="fr-FR"/>
        </w:rPr>
        <w:t>1371 </w:t>
      </w:r>
      <w:r w:rsidRPr="00FB73A4">
        <w:rPr>
          <w:lang w:val="fr-FR"/>
        </w:rPr>
        <w:t xml:space="preserve">dispositions </w:t>
      </w:r>
      <w:r w:rsidR="00FB73A4" w:rsidRPr="00FB73A4">
        <w:rPr>
          <w:lang w:val="fr-FR"/>
        </w:rPr>
        <w:t xml:space="preserve">de législation nationale </w:t>
      </w:r>
      <w:r w:rsidRPr="00FB73A4">
        <w:rPr>
          <w:lang w:val="fr-FR"/>
        </w:rPr>
        <w:t>de propriété intellectuelle relative aux éléments de flexibilité</w:t>
      </w:r>
      <w:r w:rsidR="00E84BAA" w:rsidRPr="00FB73A4">
        <w:rPr>
          <w:lang w:val="fr-FR"/>
        </w:rPr>
        <w:t>,</w:t>
      </w:r>
      <w:r w:rsidR="0053407C" w:rsidRPr="00FB73A4">
        <w:rPr>
          <w:lang w:val="fr-FR"/>
        </w:rPr>
        <w:t xml:space="preserve"> </w:t>
      </w:r>
      <w:r w:rsidRPr="00FB73A4">
        <w:rPr>
          <w:lang w:val="fr-FR"/>
        </w:rPr>
        <w:t xml:space="preserve">provenant de </w:t>
      </w:r>
      <w:r w:rsidR="00B15214" w:rsidRPr="00FB73A4">
        <w:rPr>
          <w:lang w:val="fr-FR"/>
        </w:rPr>
        <w:t>202 </w:t>
      </w:r>
      <w:r w:rsidR="00FB73A4" w:rsidRPr="00FB73A4">
        <w:rPr>
          <w:lang w:val="fr-FR"/>
        </w:rPr>
        <w:t xml:space="preserve">ressorts </w:t>
      </w:r>
      <w:r w:rsidR="00E84BAA" w:rsidRPr="00FB73A4">
        <w:rPr>
          <w:lang w:val="fr-FR"/>
        </w:rPr>
        <w:t>juridiques</w:t>
      </w:r>
      <w:r w:rsidR="0053407C" w:rsidRPr="00FB73A4">
        <w:rPr>
          <w:lang w:val="fr-FR"/>
        </w:rPr>
        <w:t xml:space="preserve">. </w:t>
      </w:r>
      <w:r w:rsidR="00AD1DB6" w:rsidRPr="00FB73A4">
        <w:rPr>
          <w:lang w:val="fr-FR"/>
        </w:rPr>
        <w:t xml:space="preserve"> </w:t>
      </w:r>
      <w:r w:rsidR="00E84BAA" w:rsidRPr="00FB73A4">
        <w:rPr>
          <w:lang w:val="fr-FR"/>
        </w:rPr>
        <w:t>Elle permet aux utilisateurs d</w:t>
      </w:r>
      <w:r w:rsidR="009D47EC" w:rsidRPr="00FB73A4">
        <w:rPr>
          <w:lang w:val="fr-FR"/>
        </w:rPr>
        <w:t>’</w:t>
      </w:r>
      <w:r w:rsidR="00E84BAA" w:rsidRPr="00FB73A4">
        <w:rPr>
          <w:lang w:val="fr-FR"/>
        </w:rPr>
        <w:t xml:space="preserve">effectuer des recherches concernant </w:t>
      </w:r>
      <w:r w:rsidR="005E7CF4" w:rsidRPr="00FB73A4">
        <w:rPr>
          <w:lang w:val="fr-FR"/>
        </w:rPr>
        <w:t>14 </w:t>
      </w:r>
      <w:r w:rsidR="00E84BAA" w:rsidRPr="00FB73A4">
        <w:rPr>
          <w:lang w:val="fr-FR"/>
        </w:rPr>
        <w:t>types d</w:t>
      </w:r>
      <w:r w:rsidR="009D47EC" w:rsidRPr="00FB73A4">
        <w:rPr>
          <w:lang w:val="fr-FR"/>
        </w:rPr>
        <w:t>’</w:t>
      </w:r>
      <w:r w:rsidR="00E84BAA" w:rsidRPr="00FB73A4">
        <w:rPr>
          <w:lang w:val="fr-FR"/>
        </w:rPr>
        <w:t xml:space="preserve">éléments de flexibilité, </w:t>
      </w:r>
      <w:r w:rsidR="009D47EC" w:rsidRPr="00FB73A4">
        <w:rPr>
          <w:lang w:val="fr-FR"/>
        </w:rPr>
        <w:t>à savoir</w:t>
      </w:r>
      <w:r w:rsidR="00E84BAA" w:rsidRPr="00FB73A4">
        <w:rPr>
          <w:lang w:val="fr-FR"/>
        </w:rPr>
        <w:t> </w:t>
      </w:r>
      <w:r w:rsidR="0053407C" w:rsidRPr="00FB73A4">
        <w:rPr>
          <w:lang w:val="fr-FR"/>
        </w:rPr>
        <w:t>:</w:t>
      </w:r>
    </w:p>
    <w:p w:rsidR="006F2D3E" w:rsidRPr="00FB73A4" w:rsidRDefault="006F2D3E" w:rsidP="00FB73A4">
      <w:pPr>
        <w:rPr>
          <w:lang w:val="fr-FR"/>
        </w:rPr>
      </w:pPr>
    </w:p>
    <w:p w:rsidR="009D47EC" w:rsidRPr="00FB73A4" w:rsidRDefault="00637D99" w:rsidP="00FB73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les l</w:t>
      </w:r>
      <w:r w:rsidR="006F2D3E" w:rsidRPr="00FB73A4">
        <w:rPr>
          <w:szCs w:val="22"/>
          <w:lang w:val="fr-FR"/>
        </w:rPr>
        <w:t xml:space="preserve">icences obligatoires et </w:t>
      </w:r>
      <w:r w:rsidR="00660590" w:rsidRPr="00FB73A4">
        <w:rPr>
          <w:szCs w:val="22"/>
          <w:lang w:val="fr-FR"/>
        </w:rPr>
        <w:t>l’</w:t>
      </w:r>
      <w:r w:rsidR="006F2D3E" w:rsidRPr="00FB73A4">
        <w:rPr>
          <w:szCs w:val="22"/>
          <w:lang w:val="fr-FR"/>
        </w:rPr>
        <w:t>utilisation par les pouvoirs publics</w:t>
      </w:r>
      <w:r w:rsidR="00C5097B" w:rsidRPr="00FB73A4">
        <w:rPr>
          <w:lang w:val="fr-FR"/>
        </w:rPr>
        <w:t>;</w:t>
      </w:r>
    </w:p>
    <w:p w:rsidR="009D47EC" w:rsidRPr="00FB73A4" w:rsidRDefault="00637D99" w:rsidP="00FB73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é</w:t>
      </w:r>
      <w:r w:rsidR="006F2D3E" w:rsidRPr="00FB73A4">
        <w:rPr>
          <w:szCs w:val="22"/>
          <w:lang w:val="fr-FR"/>
        </w:rPr>
        <w:t>puisement des droits</w:t>
      </w:r>
      <w:r w:rsidR="00C5097B" w:rsidRPr="00FB73A4">
        <w:rPr>
          <w:lang w:val="fr-FR"/>
        </w:rPr>
        <w:t>;</w:t>
      </w:r>
    </w:p>
    <w:p w:rsidR="006F2D3E" w:rsidRPr="00FB73A4" w:rsidRDefault="00637D99" w:rsidP="00FB73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e</w:t>
      </w:r>
      <w:r w:rsidR="006F2D3E" w:rsidRPr="00FB73A4">
        <w:rPr>
          <w:szCs w:val="22"/>
          <w:lang w:val="fr-FR"/>
        </w:rPr>
        <w:t>xception pour l</w:t>
      </w:r>
      <w:r w:rsidR="009D47EC" w:rsidRPr="00FB73A4">
        <w:rPr>
          <w:szCs w:val="22"/>
          <w:lang w:val="fr-FR"/>
        </w:rPr>
        <w:t>’</w:t>
      </w:r>
      <w:r w:rsidR="006F2D3E" w:rsidRPr="00FB73A4">
        <w:rPr>
          <w:szCs w:val="22"/>
          <w:lang w:val="fr-FR"/>
        </w:rPr>
        <w:t>examen réglementaire</w:t>
      </w:r>
      <w:r w:rsidR="00C5097B" w:rsidRPr="00FB73A4">
        <w:rPr>
          <w:lang w:val="fr-FR"/>
        </w:rPr>
        <w:t>;</w:t>
      </w:r>
    </w:p>
    <w:p w:rsidR="006F2D3E" w:rsidRPr="00FB73A4" w:rsidRDefault="00637D99" w:rsidP="00FB73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t>l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e</w:t>
      </w:r>
      <w:r w:rsidR="006F2D3E" w:rsidRPr="00FB73A4">
        <w:rPr>
          <w:szCs w:val="22"/>
          <w:lang w:val="fr-FR"/>
        </w:rPr>
        <w:t>xception en faveur de la recherche</w:t>
      </w:r>
      <w:r w:rsidR="00C5097B" w:rsidRPr="00FB73A4">
        <w:rPr>
          <w:lang w:val="fr-FR"/>
        </w:rPr>
        <w:t>;</w:t>
      </w:r>
    </w:p>
    <w:p w:rsidR="006F2D3E" w:rsidRPr="00FB73A4" w:rsidRDefault="00DA53B4" w:rsidP="00FB73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134" w:hanging="567"/>
        <w:rPr>
          <w:szCs w:val="22"/>
          <w:lang w:val="fr-FR"/>
        </w:rPr>
      </w:pPr>
      <w:r w:rsidRPr="00FB73A4">
        <w:rPr>
          <w:szCs w:val="22"/>
          <w:lang w:val="fr-FR"/>
        </w:rPr>
        <w:lastRenderedPageBreak/>
        <w:t>les exclusions de la protection par modèle d</w:t>
      </w:r>
      <w:r w:rsidR="009D47EC" w:rsidRPr="00FB73A4">
        <w:rPr>
          <w:szCs w:val="22"/>
          <w:lang w:val="fr-FR"/>
        </w:rPr>
        <w:t>’</w:t>
      </w:r>
      <w:r w:rsidRPr="00FB73A4">
        <w:rPr>
          <w:szCs w:val="22"/>
          <w:lang w:val="fr-FR"/>
        </w:rPr>
        <w:t>utilité</w:t>
      </w:r>
      <w:r w:rsidR="00C5097B" w:rsidRPr="00FB73A4">
        <w:rPr>
          <w:lang w:val="fr-FR"/>
        </w:rPr>
        <w:t>;</w:t>
      </w:r>
    </w:p>
    <w:p w:rsidR="006F2D3E" w:rsidRPr="00FB73A4" w:rsidRDefault="00637D99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les p</w:t>
      </w:r>
      <w:r w:rsidR="006F2D3E" w:rsidRPr="00FB73A4">
        <w:rPr>
          <w:lang w:val="fr-FR"/>
        </w:rPr>
        <w:t>ériodes de transition</w:t>
      </w:r>
      <w:r w:rsidR="00C5097B" w:rsidRPr="00FB73A4">
        <w:rPr>
          <w:lang w:val="fr-FR"/>
        </w:rPr>
        <w:t>;</w:t>
      </w:r>
    </w:p>
    <w:p w:rsidR="006F2D3E" w:rsidRPr="00FB73A4" w:rsidRDefault="00637D99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la b</w:t>
      </w:r>
      <w:r w:rsidR="006F2D3E" w:rsidRPr="00FB73A4">
        <w:rPr>
          <w:lang w:val="fr-FR"/>
        </w:rPr>
        <w:t>revetabilité des substances existant dans la nature</w:t>
      </w:r>
      <w:r w:rsidR="00C5097B" w:rsidRPr="00FB73A4">
        <w:rPr>
          <w:lang w:val="fr-FR"/>
        </w:rPr>
        <w:t>;</w:t>
      </w:r>
    </w:p>
    <w:p w:rsidR="006F2D3E" w:rsidRPr="00FB73A4" w:rsidRDefault="006F2D3E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les éléments de flexibilité relatifs à la divulgation;</w:t>
      </w:r>
    </w:p>
    <w:p w:rsidR="006F2D3E" w:rsidRPr="00FB73A4" w:rsidRDefault="00DA53B4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examen quant au fond</w:t>
      </w:r>
      <w:r w:rsidR="00C5097B" w:rsidRPr="00FB73A4">
        <w:rPr>
          <w:lang w:val="fr-FR"/>
        </w:rPr>
        <w:t>;</w:t>
      </w:r>
    </w:p>
    <w:p w:rsidR="006F2D3E" w:rsidRPr="00FB73A4" w:rsidRDefault="00637D99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le c</w:t>
      </w:r>
      <w:r w:rsidR="006F2D3E" w:rsidRPr="00FB73A4">
        <w:rPr>
          <w:lang w:val="fr-FR"/>
        </w:rPr>
        <w:t>ontrôle d</w:t>
      </w:r>
      <w:r w:rsidR="009D47EC" w:rsidRPr="00FB73A4">
        <w:rPr>
          <w:lang w:val="fr-FR"/>
        </w:rPr>
        <w:t>’</w:t>
      </w:r>
      <w:r w:rsidR="006F2D3E" w:rsidRPr="00FB73A4">
        <w:rPr>
          <w:lang w:val="fr-FR"/>
        </w:rPr>
        <w:t xml:space="preserve">office des clauses contractuelles anticoncurrentielles par les offices de propriété intellectuelle dans les </w:t>
      </w:r>
      <w:r w:rsidR="00FB73A4" w:rsidRPr="00FB73A4">
        <w:rPr>
          <w:lang w:val="fr-FR"/>
        </w:rPr>
        <w:t>contrats</w:t>
      </w:r>
      <w:r w:rsidR="006F2D3E" w:rsidRPr="00FB73A4">
        <w:rPr>
          <w:lang w:val="fr-FR"/>
        </w:rPr>
        <w:t xml:space="preserve"> de licence</w:t>
      </w:r>
      <w:r w:rsidR="00C5097B" w:rsidRPr="00FB73A4">
        <w:rPr>
          <w:lang w:val="fr-FR"/>
        </w:rPr>
        <w:t>;</w:t>
      </w:r>
    </w:p>
    <w:p w:rsidR="009D47EC" w:rsidRPr="00FB73A4" w:rsidRDefault="00637D99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 xml:space="preserve">la </w:t>
      </w:r>
      <w:r w:rsidR="006F2D3E" w:rsidRPr="00FB73A4">
        <w:rPr>
          <w:lang w:val="fr-FR"/>
        </w:rPr>
        <w:t>portée de l</w:t>
      </w:r>
      <w:r w:rsidR="009D47EC" w:rsidRPr="00FB73A4">
        <w:rPr>
          <w:lang w:val="fr-FR"/>
        </w:rPr>
        <w:t>’</w:t>
      </w:r>
      <w:r w:rsidR="006F2D3E" w:rsidRPr="00FB73A4">
        <w:rPr>
          <w:lang w:val="fr-FR"/>
        </w:rPr>
        <w:t>exclusion de la brevetabilité concernant les végétaux</w:t>
      </w:r>
      <w:r w:rsidR="00C5097B" w:rsidRPr="00FB73A4">
        <w:rPr>
          <w:lang w:val="fr-FR"/>
        </w:rPr>
        <w:t>;</w:t>
      </w:r>
    </w:p>
    <w:p w:rsidR="006F2D3E" w:rsidRPr="00FB73A4" w:rsidRDefault="00637D99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la b</w:t>
      </w:r>
      <w:r w:rsidR="006F2D3E" w:rsidRPr="00FB73A4">
        <w:rPr>
          <w:lang w:val="fr-FR"/>
        </w:rPr>
        <w:t>revetabilité, ou exclusion de la brevetabilité, des inventions relatives à des logiciels</w:t>
      </w:r>
      <w:r w:rsidR="00C5097B" w:rsidRPr="00FB73A4">
        <w:rPr>
          <w:lang w:val="fr-FR"/>
        </w:rPr>
        <w:t>;</w:t>
      </w:r>
    </w:p>
    <w:p w:rsidR="006F2D3E" w:rsidRPr="00FB73A4" w:rsidRDefault="00DA53B4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la possibilité d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 xml:space="preserve">appliquer ou non des sanctions pénales </w:t>
      </w:r>
      <w:r w:rsidR="00FB73A4" w:rsidRPr="00FB73A4">
        <w:rPr>
          <w:lang w:val="fr-FR"/>
        </w:rPr>
        <w:t>aux fins de l’application</w:t>
      </w:r>
      <w:r w:rsidRPr="00FB73A4">
        <w:rPr>
          <w:lang w:val="fr-FR"/>
        </w:rPr>
        <w:t xml:space="preserve"> des droits de brevet</w:t>
      </w:r>
      <w:r w:rsidR="00C5097B" w:rsidRPr="00FB73A4">
        <w:rPr>
          <w:lang w:val="fr-FR"/>
        </w:rPr>
        <w:t>;</w:t>
      </w:r>
    </w:p>
    <w:p w:rsidR="006F2D3E" w:rsidRPr="00FB73A4" w:rsidRDefault="00DA53B4" w:rsidP="00FB73A4">
      <w:pPr>
        <w:pStyle w:val="ListParagraph"/>
        <w:numPr>
          <w:ilvl w:val="0"/>
          <w:numId w:val="10"/>
        </w:numPr>
        <w:ind w:left="1134" w:hanging="567"/>
        <w:rPr>
          <w:lang w:val="fr-FR"/>
        </w:rPr>
      </w:pPr>
      <w:r w:rsidRPr="00FB73A4">
        <w:rPr>
          <w:lang w:val="fr-FR"/>
        </w:rPr>
        <w:t>les mesures liées à la sécurité nationale (dénommées “exceptions concernant la sécurité”</w:t>
      </w:r>
      <w:r w:rsidR="0053407C" w:rsidRPr="00FB73A4">
        <w:rPr>
          <w:lang w:val="fr-FR"/>
        </w:rPr>
        <w:t>)</w:t>
      </w:r>
      <w:r w:rsidR="000E2879" w:rsidRPr="00FB73A4">
        <w:rPr>
          <w:lang w:val="fr-FR"/>
        </w:rPr>
        <w:t>.</w:t>
      </w:r>
    </w:p>
    <w:p w:rsidR="006F2D3E" w:rsidRPr="00FB73A4" w:rsidRDefault="006F2D3E" w:rsidP="00FB73A4">
      <w:pPr>
        <w:rPr>
          <w:szCs w:val="22"/>
          <w:lang w:val="fr-FR"/>
        </w:rPr>
      </w:pPr>
    </w:p>
    <w:p w:rsidR="006F2D3E" w:rsidRPr="00FB73A4" w:rsidRDefault="004A4605" w:rsidP="00FB73A4">
      <w:pPr>
        <w:autoSpaceDE w:val="0"/>
        <w:autoSpaceDN w:val="0"/>
        <w:adjustRightInd w:val="0"/>
        <w:rPr>
          <w:lang w:val="fr-FR"/>
        </w:rPr>
      </w:pPr>
      <w:r w:rsidRPr="00FB73A4">
        <w:rPr>
          <w:lang w:val="fr-FR"/>
        </w:rPr>
        <w:t xml:space="preserve">En outre, les utilisateurs ont la possibilité de parcourir les tableaux </w:t>
      </w:r>
      <w:r w:rsidR="00570E74" w:rsidRPr="00FB73A4">
        <w:rPr>
          <w:lang w:val="fr-FR"/>
        </w:rPr>
        <w:t>indiquant les différentes catégories de dispositions portant sur les éléments de flexibilité susmentionnés</w:t>
      </w:r>
      <w:r w:rsidR="0053407C" w:rsidRPr="00FB73A4">
        <w:rPr>
          <w:lang w:val="fr-FR"/>
        </w:rPr>
        <w:t>.</w:t>
      </w:r>
    </w:p>
    <w:p w:rsidR="006F2D3E" w:rsidRPr="00FB73A4" w:rsidRDefault="006F2D3E" w:rsidP="00FB73A4">
      <w:pPr>
        <w:autoSpaceDE w:val="0"/>
        <w:autoSpaceDN w:val="0"/>
        <w:adjustRightInd w:val="0"/>
        <w:rPr>
          <w:lang w:val="fr-FR"/>
        </w:rPr>
      </w:pPr>
    </w:p>
    <w:p w:rsidR="00C5097B" w:rsidRPr="00FB73A4" w:rsidRDefault="00C5097B" w:rsidP="00FB73A4">
      <w:pPr>
        <w:autoSpaceDE w:val="0"/>
        <w:autoSpaceDN w:val="0"/>
        <w:adjustRightInd w:val="0"/>
        <w:rPr>
          <w:lang w:val="fr-FR"/>
        </w:rPr>
      </w:pPr>
    </w:p>
    <w:p w:rsidR="006F2D3E" w:rsidRPr="00FB73A4" w:rsidRDefault="005B503D" w:rsidP="00FB73A4">
      <w:pPr>
        <w:autoSpaceDE w:val="0"/>
        <w:autoSpaceDN w:val="0"/>
        <w:adjustRightInd w:val="0"/>
        <w:rPr>
          <w:b/>
          <w:szCs w:val="22"/>
          <w:lang w:val="fr-FR"/>
        </w:rPr>
      </w:pPr>
      <w:r w:rsidRPr="00FB73A4">
        <w:rPr>
          <w:b/>
          <w:szCs w:val="22"/>
          <w:lang w:val="fr-FR"/>
        </w:rPr>
        <w:t>STATISTIQUES D</w:t>
      </w:r>
      <w:r w:rsidR="009D47EC" w:rsidRPr="00FB73A4">
        <w:rPr>
          <w:b/>
          <w:szCs w:val="22"/>
          <w:lang w:val="fr-FR"/>
        </w:rPr>
        <w:t>’</w:t>
      </w:r>
      <w:r w:rsidRPr="00FB73A4">
        <w:rPr>
          <w:b/>
          <w:szCs w:val="22"/>
          <w:lang w:val="fr-FR"/>
        </w:rPr>
        <w:t>UTILISATION AVANT LA MISE À JOUR</w:t>
      </w:r>
    </w:p>
    <w:p w:rsidR="006F2D3E" w:rsidRPr="00FB73A4" w:rsidRDefault="006F2D3E" w:rsidP="00FB73A4">
      <w:pPr>
        <w:autoSpaceDE w:val="0"/>
        <w:autoSpaceDN w:val="0"/>
        <w:adjustRightInd w:val="0"/>
        <w:rPr>
          <w:szCs w:val="22"/>
          <w:lang w:val="fr-FR"/>
        </w:rPr>
      </w:pPr>
      <w:bookmarkStart w:id="6" w:name="_GoBack"/>
      <w:bookmarkEnd w:id="6"/>
    </w:p>
    <w:p w:rsidR="006F2D3E" w:rsidRPr="00FB73A4" w:rsidRDefault="005F33A1" w:rsidP="00FB73A4">
      <w:pPr>
        <w:autoSpaceDE w:val="0"/>
        <w:autoSpaceDN w:val="0"/>
        <w:adjustRightInd w:val="0"/>
        <w:rPr>
          <w:lang w:val="fr-FR"/>
        </w:rPr>
      </w:pPr>
      <w:r w:rsidRPr="00FB73A4">
        <w:rPr>
          <w:lang w:val="fr-FR"/>
        </w:rPr>
        <w:t>I</w:t>
      </w:r>
      <w:r w:rsidR="005B503D" w:rsidRPr="00FB73A4">
        <w:rPr>
          <w:lang w:val="fr-FR"/>
        </w:rPr>
        <w:t>l convient de noter que</w:t>
      </w:r>
      <w:r w:rsidR="00FB73A4" w:rsidRPr="00FB73A4">
        <w:rPr>
          <w:lang w:val="fr-FR"/>
        </w:rPr>
        <w:t>,</w:t>
      </w:r>
      <w:r w:rsidR="005B503D" w:rsidRPr="00FB73A4">
        <w:rPr>
          <w:lang w:val="fr-FR"/>
        </w:rPr>
        <w:t xml:space="preserve"> pour la période allant de sa création en </w:t>
      </w:r>
      <w:r w:rsidR="009D47EC" w:rsidRPr="00FB73A4">
        <w:rPr>
          <w:lang w:val="fr-FR"/>
        </w:rPr>
        <w:t>juin 20</w:t>
      </w:r>
      <w:r w:rsidR="005B503D" w:rsidRPr="00FB73A4">
        <w:rPr>
          <w:lang w:val="fr-FR"/>
        </w:rPr>
        <w:t>13 jusqu</w:t>
      </w:r>
      <w:r w:rsidR="009D47EC" w:rsidRPr="00FB73A4">
        <w:rPr>
          <w:lang w:val="fr-FR"/>
        </w:rPr>
        <w:t>’</w:t>
      </w:r>
      <w:r w:rsidR="005B503D" w:rsidRPr="00FB73A4">
        <w:rPr>
          <w:lang w:val="fr-FR"/>
        </w:rPr>
        <w:t>au stade précéd</w:t>
      </w:r>
      <w:r w:rsidR="00FB73A4" w:rsidRPr="00FB73A4">
        <w:rPr>
          <w:lang w:val="fr-FR"/>
        </w:rPr>
        <w:t>a</w:t>
      </w:r>
      <w:r w:rsidR="005B503D" w:rsidRPr="00FB73A4">
        <w:rPr>
          <w:lang w:val="fr-FR"/>
        </w:rPr>
        <w:t>nt sa mise à jour</w:t>
      </w:r>
      <w:r w:rsidR="00C26687" w:rsidRPr="00FB73A4">
        <w:rPr>
          <w:lang w:val="fr-FR"/>
        </w:rPr>
        <w:t xml:space="preserve"> en </w:t>
      </w:r>
      <w:r w:rsidR="009D47EC" w:rsidRPr="00FB73A4">
        <w:rPr>
          <w:lang w:val="fr-FR"/>
        </w:rPr>
        <w:t>juin 20</w:t>
      </w:r>
      <w:r w:rsidR="00C26687" w:rsidRPr="00FB73A4">
        <w:rPr>
          <w:lang w:val="fr-FR"/>
        </w:rPr>
        <w:t>15</w:t>
      </w:r>
      <w:r w:rsidR="005B503D" w:rsidRPr="00FB73A4">
        <w:rPr>
          <w:lang w:val="fr-FR"/>
        </w:rPr>
        <w:t xml:space="preserve">, </w:t>
      </w:r>
      <w:r w:rsidR="00B15214" w:rsidRPr="00FB73A4">
        <w:rPr>
          <w:lang w:val="fr-FR"/>
        </w:rPr>
        <w:t>77 </w:t>
      </w:r>
      <w:r w:rsidR="005B503D" w:rsidRPr="00FB73A4">
        <w:rPr>
          <w:lang w:val="fr-FR"/>
        </w:rPr>
        <w:t xml:space="preserve">visiteurs ont consulté la base de données consacrée aux éléments de flexibilité, </w:t>
      </w:r>
      <w:r w:rsidR="00FB73A4" w:rsidRPr="00FB73A4">
        <w:rPr>
          <w:lang w:val="fr-FR"/>
        </w:rPr>
        <w:t xml:space="preserve">dont </w:t>
      </w:r>
      <w:r w:rsidRPr="00FB73A4">
        <w:rPr>
          <w:lang w:val="fr-FR"/>
        </w:rPr>
        <w:t xml:space="preserve">43 </w:t>
      </w:r>
      <w:r w:rsidR="00C26687" w:rsidRPr="00FB73A4">
        <w:rPr>
          <w:lang w:val="fr-FR"/>
        </w:rPr>
        <w:t xml:space="preserve">visiteurs uniques ou </w:t>
      </w:r>
      <w:r w:rsidR="00FB73A4" w:rsidRPr="00FB73A4">
        <w:rPr>
          <w:lang w:val="fr-FR"/>
        </w:rPr>
        <w:t xml:space="preserve">qui </w:t>
      </w:r>
      <w:r w:rsidR="00C26687" w:rsidRPr="00FB73A4">
        <w:rPr>
          <w:lang w:val="fr-FR"/>
        </w:rPr>
        <w:t>consultaient l</w:t>
      </w:r>
      <w:r w:rsidR="002C78A3" w:rsidRPr="00FB73A4">
        <w:rPr>
          <w:lang w:val="fr-FR"/>
        </w:rPr>
        <w:t xml:space="preserve">a page </w:t>
      </w:r>
      <w:r w:rsidR="006F1785" w:rsidRPr="00FB73A4">
        <w:rPr>
          <w:lang w:val="fr-FR"/>
        </w:rPr>
        <w:t>pour la première </w:t>
      </w:r>
      <w:r w:rsidR="00C26687" w:rsidRPr="00FB73A4">
        <w:rPr>
          <w:lang w:val="fr-FR"/>
        </w:rPr>
        <w:t xml:space="preserve">fois. </w:t>
      </w:r>
      <w:r w:rsidRPr="00FB73A4">
        <w:rPr>
          <w:lang w:val="fr-FR"/>
        </w:rPr>
        <w:t xml:space="preserve"> </w:t>
      </w:r>
      <w:r w:rsidR="005B503D" w:rsidRPr="00FB73A4">
        <w:rPr>
          <w:lang w:val="fr-FR"/>
        </w:rPr>
        <w:t>Le taux de rebond des visiteurs était de 5</w:t>
      </w:r>
      <w:r w:rsidRPr="00FB73A4">
        <w:rPr>
          <w:lang w:val="fr-FR"/>
        </w:rPr>
        <w:t xml:space="preserve">0%, </w:t>
      </w:r>
      <w:r w:rsidR="005B503D" w:rsidRPr="00FB73A4">
        <w:rPr>
          <w:lang w:val="fr-FR"/>
        </w:rPr>
        <w:t xml:space="preserve">ce qui signifie que </w:t>
      </w:r>
      <w:r w:rsidR="00C26687" w:rsidRPr="00FB73A4">
        <w:rPr>
          <w:lang w:val="fr-FR"/>
        </w:rPr>
        <w:t>la moitié des visiteurs ont quitté la page</w:t>
      </w:r>
      <w:r w:rsidR="00660590" w:rsidRPr="00FB73A4">
        <w:rPr>
          <w:lang w:val="fr-FR"/>
        </w:rPr>
        <w:t> Web</w:t>
      </w:r>
      <w:r w:rsidR="00C26687" w:rsidRPr="00FB73A4">
        <w:rPr>
          <w:lang w:val="fr-FR"/>
        </w:rPr>
        <w:t xml:space="preserve"> de la base de données sans avoir consulté d</w:t>
      </w:r>
      <w:r w:rsidR="009D47EC" w:rsidRPr="00FB73A4">
        <w:rPr>
          <w:lang w:val="fr-FR"/>
        </w:rPr>
        <w:t>’</w:t>
      </w:r>
      <w:r w:rsidR="00C26687" w:rsidRPr="00FB73A4">
        <w:rPr>
          <w:lang w:val="fr-FR"/>
        </w:rPr>
        <w:t>autre contenu</w:t>
      </w:r>
      <w:r w:rsidRPr="00FB73A4">
        <w:rPr>
          <w:lang w:val="fr-FR"/>
        </w:rPr>
        <w:t xml:space="preserve">.  </w:t>
      </w:r>
      <w:r w:rsidR="006F1785" w:rsidRPr="00FB73A4">
        <w:rPr>
          <w:lang w:val="fr-FR"/>
        </w:rPr>
        <w:t>Le taux de sortie était de </w:t>
      </w:r>
      <w:r w:rsidRPr="00FB73A4">
        <w:rPr>
          <w:lang w:val="fr-FR"/>
        </w:rPr>
        <w:t>19</w:t>
      </w:r>
      <w:r w:rsidR="00C26687" w:rsidRPr="00FB73A4">
        <w:rPr>
          <w:lang w:val="fr-FR"/>
        </w:rPr>
        <w:t>,</w:t>
      </w:r>
      <w:r w:rsidRPr="00FB73A4">
        <w:rPr>
          <w:lang w:val="fr-FR"/>
        </w:rPr>
        <w:t xml:space="preserve">48%.  </w:t>
      </w:r>
      <w:r w:rsidR="00C26687" w:rsidRPr="00FB73A4">
        <w:rPr>
          <w:lang w:val="fr-FR"/>
        </w:rPr>
        <w:t>Ce pourcentage représente le nombre de visiteurs qui ont quitté la page</w:t>
      </w:r>
      <w:r w:rsidR="00660590" w:rsidRPr="00FB73A4">
        <w:rPr>
          <w:lang w:val="fr-FR"/>
        </w:rPr>
        <w:t> Web</w:t>
      </w:r>
      <w:r w:rsidR="00C26687" w:rsidRPr="00FB73A4">
        <w:rPr>
          <w:lang w:val="fr-FR"/>
        </w:rPr>
        <w:t xml:space="preserve"> de la base de données </w:t>
      </w:r>
      <w:r w:rsidR="00BA746F" w:rsidRPr="00FB73A4">
        <w:rPr>
          <w:lang w:val="fr-FR"/>
        </w:rPr>
        <w:t>après l</w:t>
      </w:r>
      <w:r w:rsidR="009D47EC" w:rsidRPr="00FB73A4">
        <w:rPr>
          <w:lang w:val="fr-FR"/>
        </w:rPr>
        <w:t>’</w:t>
      </w:r>
      <w:r w:rsidR="00BA746F" w:rsidRPr="00FB73A4">
        <w:rPr>
          <w:lang w:val="fr-FR"/>
        </w:rPr>
        <w:t>avoir ouverte</w:t>
      </w:r>
      <w:r w:rsidRPr="00FB73A4">
        <w:rPr>
          <w:lang w:val="fr-FR"/>
        </w:rPr>
        <w:t xml:space="preserve">, </w:t>
      </w:r>
      <w:r w:rsidR="00BA746F" w:rsidRPr="00FB73A4">
        <w:rPr>
          <w:lang w:val="fr-FR"/>
        </w:rPr>
        <w:t>sans signifier pour autant qu</w:t>
      </w:r>
      <w:r w:rsidR="009D47EC" w:rsidRPr="00FB73A4">
        <w:rPr>
          <w:lang w:val="fr-FR"/>
        </w:rPr>
        <w:t>’</w:t>
      </w:r>
      <w:r w:rsidR="00BA746F" w:rsidRPr="00FB73A4">
        <w:rPr>
          <w:lang w:val="fr-FR"/>
        </w:rPr>
        <w:t>ils n</w:t>
      </w:r>
      <w:r w:rsidR="009D47EC" w:rsidRPr="00FB73A4">
        <w:rPr>
          <w:lang w:val="fr-FR"/>
        </w:rPr>
        <w:t>’</w:t>
      </w:r>
      <w:r w:rsidR="00BA746F" w:rsidRPr="00FB73A4">
        <w:rPr>
          <w:lang w:val="fr-FR"/>
        </w:rPr>
        <w:t>ont pas auparavant ouvert d</w:t>
      </w:r>
      <w:r w:rsidR="009D47EC" w:rsidRPr="00FB73A4">
        <w:rPr>
          <w:lang w:val="fr-FR"/>
        </w:rPr>
        <w:t>’</w:t>
      </w:r>
      <w:r w:rsidR="00BA746F" w:rsidRPr="00FB73A4">
        <w:rPr>
          <w:lang w:val="fr-FR"/>
        </w:rPr>
        <w:t xml:space="preserve">autres pages </w:t>
      </w:r>
      <w:r w:rsidR="00660590" w:rsidRPr="00FB73A4">
        <w:rPr>
          <w:lang w:val="fr-FR"/>
        </w:rPr>
        <w:t xml:space="preserve">du </w:t>
      </w:r>
      <w:r w:rsidR="00BA746F" w:rsidRPr="00FB73A4">
        <w:rPr>
          <w:lang w:val="fr-FR"/>
        </w:rPr>
        <w:t>même site</w:t>
      </w:r>
      <w:r w:rsidR="005E7CF4" w:rsidRPr="00FB73A4">
        <w:rPr>
          <w:lang w:val="fr-FR"/>
        </w:rPr>
        <w:t> </w:t>
      </w:r>
      <w:r w:rsidR="00BA746F" w:rsidRPr="00FB73A4">
        <w:rPr>
          <w:lang w:val="fr-FR"/>
        </w:rPr>
        <w:t>Web</w:t>
      </w:r>
      <w:r w:rsidRPr="00FB73A4">
        <w:rPr>
          <w:lang w:val="fr-FR"/>
        </w:rPr>
        <w:t>.</w:t>
      </w:r>
    </w:p>
    <w:p w:rsidR="006F2D3E" w:rsidRPr="00E34C8B" w:rsidRDefault="006F2D3E" w:rsidP="00FB73A4">
      <w:pPr>
        <w:pStyle w:val="Endofdocument-Annex"/>
        <w:rPr>
          <w:lang w:val="fr-CH"/>
        </w:rPr>
      </w:pPr>
    </w:p>
    <w:p w:rsidR="009D47EC" w:rsidRPr="00E34C8B" w:rsidRDefault="009D47EC" w:rsidP="00FB73A4">
      <w:pPr>
        <w:pStyle w:val="Endofdocument-Annex"/>
        <w:rPr>
          <w:lang w:val="fr-CH"/>
        </w:rPr>
      </w:pPr>
    </w:p>
    <w:p w:rsidR="00660590" w:rsidRPr="00E34C8B" w:rsidRDefault="00660590" w:rsidP="00FB73A4">
      <w:pPr>
        <w:pStyle w:val="Endofdocument-Annex"/>
        <w:rPr>
          <w:lang w:val="fr-CH"/>
        </w:rPr>
      </w:pPr>
    </w:p>
    <w:p w:rsidR="006F2D3E" w:rsidRPr="00FB73A4" w:rsidRDefault="00864486" w:rsidP="00FB73A4">
      <w:pPr>
        <w:pStyle w:val="Endofdocument-Annex"/>
        <w:rPr>
          <w:lang w:val="fr-FR"/>
        </w:rPr>
      </w:pPr>
      <w:r w:rsidRPr="00FB73A4">
        <w:rPr>
          <w:lang w:val="fr-FR"/>
        </w:rPr>
        <w:t>[Fin de l</w:t>
      </w:r>
      <w:r w:rsidR="009D47EC" w:rsidRPr="00FB73A4">
        <w:rPr>
          <w:lang w:val="fr-FR"/>
        </w:rPr>
        <w:t>’</w:t>
      </w:r>
      <w:r w:rsidRPr="00FB73A4">
        <w:rPr>
          <w:lang w:val="fr-FR"/>
        </w:rPr>
        <w:t>annexe et du document]</w:t>
      </w:r>
    </w:p>
    <w:p w:rsidR="000C51E3" w:rsidRPr="00FB73A4" w:rsidRDefault="000C51E3" w:rsidP="00FB73A4">
      <w:pPr>
        <w:pStyle w:val="Endofdocument-Annex"/>
        <w:rPr>
          <w:lang w:val="fr-FR"/>
        </w:rPr>
      </w:pPr>
    </w:p>
    <w:sectPr w:rsidR="000C51E3" w:rsidRPr="00FB73A4" w:rsidSect="00790748">
      <w:head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8A" w:rsidRDefault="00117F8A">
      <w:r>
        <w:separator/>
      </w:r>
    </w:p>
  </w:endnote>
  <w:endnote w:type="continuationSeparator" w:id="0">
    <w:p w:rsidR="00117F8A" w:rsidRDefault="00117F8A" w:rsidP="003B38C1">
      <w:r>
        <w:separator/>
      </w:r>
    </w:p>
    <w:p w:rsidR="00117F8A" w:rsidRPr="003B38C1" w:rsidRDefault="00117F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7F8A" w:rsidRPr="003B38C1" w:rsidRDefault="00117F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117F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8A" w:rsidRDefault="00117F8A">
      <w:r>
        <w:separator/>
      </w:r>
    </w:p>
  </w:footnote>
  <w:footnote w:type="continuationSeparator" w:id="0">
    <w:p w:rsidR="00117F8A" w:rsidRDefault="00117F8A" w:rsidP="008B60B2">
      <w:r>
        <w:separator/>
      </w:r>
    </w:p>
    <w:p w:rsidR="00117F8A" w:rsidRPr="00ED77FB" w:rsidRDefault="00117F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7F8A" w:rsidRPr="00ED77FB" w:rsidRDefault="00117F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117F8A" w:rsidP="00477D6B">
    <w:pPr>
      <w:jc w:val="right"/>
    </w:pPr>
    <w:bookmarkStart w:id="5" w:name="Code2"/>
    <w:bookmarkEnd w:id="5"/>
    <w:r>
      <w:t>CDIP/16/3</w:t>
    </w:r>
  </w:p>
  <w:p w:rsidR="00117F8A" w:rsidRDefault="00117F8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B73A4">
      <w:rPr>
        <w:noProof/>
      </w:rPr>
      <w:t>1</w:t>
    </w:r>
    <w:r>
      <w:fldChar w:fldCharType="end"/>
    </w:r>
  </w:p>
  <w:p w:rsidR="00117F8A" w:rsidRDefault="00117F8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7423A2" w:rsidP="00BA0CE1">
    <w:pPr>
      <w:pStyle w:val="Header"/>
      <w:jc w:val="right"/>
      <w:rPr>
        <w:lang w:val="fr-CH"/>
      </w:rPr>
    </w:pPr>
    <w:r>
      <w:rPr>
        <w:lang w:val="fr-CH"/>
      </w:rPr>
      <w:t>CDIP/16/5</w:t>
    </w:r>
  </w:p>
  <w:p w:rsidR="00117F8A" w:rsidRDefault="007423A2" w:rsidP="00BA0CE1">
    <w:pPr>
      <w:pStyle w:val="Header"/>
      <w:jc w:val="right"/>
      <w:rPr>
        <w:lang w:val="fr-CH"/>
      </w:rPr>
    </w:pPr>
    <w:r>
      <w:rPr>
        <w:lang w:val="fr-CH"/>
      </w:rPr>
      <w:t>Annex</w:t>
    </w:r>
    <w:r w:rsidR="001806D4">
      <w:rPr>
        <w:lang w:val="fr-CH"/>
      </w:rPr>
      <w:t>e</w:t>
    </w:r>
    <w:r w:rsidR="00117F8A">
      <w:rPr>
        <w:lang w:val="fr-CH"/>
      </w:rPr>
      <w:t xml:space="preserve">, page </w:t>
    </w:r>
    <w:r w:rsidR="00117F8A" w:rsidRPr="00790748">
      <w:rPr>
        <w:lang w:val="fr-CH"/>
      </w:rPr>
      <w:fldChar w:fldCharType="begin"/>
    </w:r>
    <w:r w:rsidR="00117F8A" w:rsidRPr="00790748">
      <w:rPr>
        <w:lang w:val="fr-CH"/>
      </w:rPr>
      <w:instrText xml:space="preserve"> PAGE   \* MERGEFORMAT </w:instrText>
    </w:r>
    <w:r w:rsidR="00117F8A" w:rsidRPr="00790748">
      <w:rPr>
        <w:lang w:val="fr-CH"/>
      </w:rPr>
      <w:fldChar w:fldCharType="separate"/>
    </w:r>
    <w:r w:rsidR="00452CC3">
      <w:rPr>
        <w:noProof/>
        <w:lang w:val="fr-CH"/>
      </w:rPr>
      <w:t>3</w:t>
    </w:r>
    <w:r w:rsidR="00117F8A" w:rsidRPr="00790748">
      <w:rPr>
        <w:noProof/>
        <w:lang w:val="fr-CH"/>
      </w:rPr>
      <w:fldChar w:fldCharType="end"/>
    </w:r>
  </w:p>
  <w:p w:rsidR="00117F8A" w:rsidRPr="00DD4C78" w:rsidRDefault="00117F8A" w:rsidP="00BA0CE1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7423A2" w:rsidP="00790748">
    <w:pPr>
      <w:pStyle w:val="Header"/>
      <w:jc w:val="right"/>
    </w:pPr>
    <w:r>
      <w:t>CDIP/16/5</w:t>
    </w:r>
  </w:p>
  <w:p w:rsidR="00117F8A" w:rsidRDefault="007423A2" w:rsidP="00790748">
    <w:pPr>
      <w:pStyle w:val="Header"/>
      <w:jc w:val="right"/>
    </w:pPr>
    <w:r>
      <w:t>ANNEX</w:t>
    </w:r>
    <w:r w:rsidR="00971372">
      <w:t>E</w:t>
    </w:r>
  </w:p>
  <w:p w:rsidR="00117F8A" w:rsidRDefault="00117F8A" w:rsidP="007907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D48DDE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26565F2B"/>
    <w:multiLevelType w:val="hybridMultilevel"/>
    <w:tmpl w:val="76F6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C076F"/>
    <w:multiLevelType w:val="hybridMultilevel"/>
    <w:tmpl w:val="0458D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80362F"/>
    <w:multiLevelType w:val="hybridMultilevel"/>
    <w:tmpl w:val="B418B46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8C0729"/>
    <w:multiLevelType w:val="hybridMultilevel"/>
    <w:tmpl w:val="BD5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7970EE"/>
    <w:multiLevelType w:val="hybridMultilevel"/>
    <w:tmpl w:val="65B2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24EB4"/>
    <w:multiLevelType w:val="hybridMultilevel"/>
    <w:tmpl w:val="6E74C780"/>
    <w:lvl w:ilvl="0" w:tplc="E1D681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7A60F5"/>
    <w:multiLevelType w:val="hybridMultilevel"/>
    <w:tmpl w:val="C6C89DE6"/>
    <w:lvl w:ilvl="0" w:tplc="6F101A0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FTS_Glossary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WO_CC|TextBase TMs\WorkspaceFTS\EN-FR\WO_GA|TextBase TMs\WorkspaceFTS\EN-FR\WO_PBC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827F61"/>
    <w:rsid w:val="00003627"/>
    <w:rsid w:val="00003BE6"/>
    <w:rsid w:val="00017978"/>
    <w:rsid w:val="000366EA"/>
    <w:rsid w:val="0004361E"/>
    <w:rsid w:val="00043CAA"/>
    <w:rsid w:val="00045F9F"/>
    <w:rsid w:val="00052D3F"/>
    <w:rsid w:val="00075432"/>
    <w:rsid w:val="00092EEA"/>
    <w:rsid w:val="00094EE8"/>
    <w:rsid w:val="000968ED"/>
    <w:rsid w:val="000A0DE2"/>
    <w:rsid w:val="000A7840"/>
    <w:rsid w:val="000C51E3"/>
    <w:rsid w:val="000D23C2"/>
    <w:rsid w:val="000E2879"/>
    <w:rsid w:val="000F45DD"/>
    <w:rsid w:val="000F5E56"/>
    <w:rsid w:val="001000E6"/>
    <w:rsid w:val="00117F8A"/>
    <w:rsid w:val="00121FC5"/>
    <w:rsid w:val="00122517"/>
    <w:rsid w:val="0012588B"/>
    <w:rsid w:val="001320D5"/>
    <w:rsid w:val="001362EE"/>
    <w:rsid w:val="00157DA6"/>
    <w:rsid w:val="00161C07"/>
    <w:rsid w:val="001755E3"/>
    <w:rsid w:val="001806D4"/>
    <w:rsid w:val="001832A6"/>
    <w:rsid w:val="00191A29"/>
    <w:rsid w:val="0019236A"/>
    <w:rsid w:val="001A0D06"/>
    <w:rsid w:val="001B222E"/>
    <w:rsid w:val="001C0AC1"/>
    <w:rsid w:val="001C5579"/>
    <w:rsid w:val="00221DCA"/>
    <w:rsid w:val="00226EEE"/>
    <w:rsid w:val="00234111"/>
    <w:rsid w:val="002634C4"/>
    <w:rsid w:val="0027127D"/>
    <w:rsid w:val="0027556F"/>
    <w:rsid w:val="00275C5C"/>
    <w:rsid w:val="00281BB7"/>
    <w:rsid w:val="00282572"/>
    <w:rsid w:val="00283E6B"/>
    <w:rsid w:val="002928D3"/>
    <w:rsid w:val="002B2297"/>
    <w:rsid w:val="002B2C71"/>
    <w:rsid w:val="002B6AFC"/>
    <w:rsid w:val="002C263F"/>
    <w:rsid w:val="002C2C9C"/>
    <w:rsid w:val="002C78A3"/>
    <w:rsid w:val="002D236D"/>
    <w:rsid w:val="002E2787"/>
    <w:rsid w:val="002E2F01"/>
    <w:rsid w:val="002E591E"/>
    <w:rsid w:val="002F1FE6"/>
    <w:rsid w:val="002F2E47"/>
    <w:rsid w:val="002F4E68"/>
    <w:rsid w:val="002F772F"/>
    <w:rsid w:val="00304E10"/>
    <w:rsid w:val="003106AA"/>
    <w:rsid w:val="00312F7F"/>
    <w:rsid w:val="00314764"/>
    <w:rsid w:val="00314DFF"/>
    <w:rsid w:val="00316CCE"/>
    <w:rsid w:val="00322772"/>
    <w:rsid w:val="00323E64"/>
    <w:rsid w:val="00324388"/>
    <w:rsid w:val="00324E38"/>
    <w:rsid w:val="00331BEE"/>
    <w:rsid w:val="00353310"/>
    <w:rsid w:val="0035396C"/>
    <w:rsid w:val="00354EC2"/>
    <w:rsid w:val="00360E3D"/>
    <w:rsid w:val="00361450"/>
    <w:rsid w:val="003673CF"/>
    <w:rsid w:val="003769D7"/>
    <w:rsid w:val="003845C1"/>
    <w:rsid w:val="00394C94"/>
    <w:rsid w:val="003A0792"/>
    <w:rsid w:val="003A2BF0"/>
    <w:rsid w:val="003A6F89"/>
    <w:rsid w:val="003B0B71"/>
    <w:rsid w:val="003B38C1"/>
    <w:rsid w:val="003C06C1"/>
    <w:rsid w:val="003C3E71"/>
    <w:rsid w:val="003C5725"/>
    <w:rsid w:val="003D606B"/>
    <w:rsid w:val="003D6138"/>
    <w:rsid w:val="003D67A2"/>
    <w:rsid w:val="003D79D9"/>
    <w:rsid w:val="003E2704"/>
    <w:rsid w:val="003F5B3E"/>
    <w:rsid w:val="00410A3B"/>
    <w:rsid w:val="00412717"/>
    <w:rsid w:val="00420DE1"/>
    <w:rsid w:val="00423E3E"/>
    <w:rsid w:val="00427AF4"/>
    <w:rsid w:val="00433582"/>
    <w:rsid w:val="004345D5"/>
    <w:rsid w:val="00440F1C"/>
    <w:rsid w:val="00441BF3"/>
    <w:rsid w:val="00452CC3"/>
    <w:rsid w:val="00456970"/>
    <w:rsid w:val="00457C76"/>
    <w:rsid w:val="004647DA"/>
    <w:rsid w:val="00474062"/>
    <w:rsid w:val="00477D6B"/>
    <w:rsid w:val="00492127"/>
    <w:rsid w:val="0049620F"/>
    <w:rsid w:val="004A0095"/>
    <w:rsid w:val="004A4605"/>
    <w:rsid w:val="004D1FF3"/>
    <w:rsid w:val="004E3036"/>
    <w:rsid w:val="004E53D3"/>
    <w:rsid w:val="004E6B66"/>
    <w:rsid w:val="005019FF"/>
    <w:rsid w:val="00516FCC"/>
    <w:rsid w:val="00520C62"/>
    <w:rsid w:val="00526F4B"/>
    <w:rsid w:val="0053057A"/>
    <w:rsid w:val="00530E4E"/>
    <w:rsid w:val="005318E2"/>
    <w:rsid w:val="0053407C"/>
    <w:rsid w:val="00543C2F"/>
    <w:rsid w:val="00550AEE"/>
    <w:rsid w:val="00552572"/>
    <w:rsid w:val="00560A29"/>
    <w:rsid w:val="00570E74"/>
    <w:rsid w:val="005B2639"/>
    <w:rsid w:val="005B2C59"/>
    <w:rsid w:val="005B503D"/>
    <w:rsid w:val="005C5880"/>
    <w:rsid w:val="005C6649"/>
    <w:rsid w:val="005D54C3"/>
    <w:rsid w:val="005D65B9"/>
    <w:rsid w:val="005E7CF4"/>
    <w:rsid w:val="005F33A1"/>
    <w:rsid w:val="00605827"/>
    <w:rsid w:val="006155D1"/>
    <w:rsid w:val="00623CFD"/>
    <w:rsid w:val="006258FC"/>
    <w:rsid w:val="00637D99"/>
    <w:rsid w:val="0064332F"/>
    <w:rsid w:val="00646050"/>
    <w:rsid w:val="006524CF"/>
    <w:rsid w:val="00657486"/>
    <w:rsid w:val="00660590"/>
    <w:rsid w:val="00663023"/>
    <w:rsid w:val="00663ED3"/>
    <w:rsid w:val="006713CA"/>
    <w:rsid w:val="00675CFC"/>
    <w:rsid w:val="00676644"/>
    <w:rsid w:val="00676C5C"/>
    <w:rsid w:val="006B002A"/>
    <w:rsid w:val="006C56AB"/>
    <w:rsid w:val="006E01F3"/>
    <w:rsid w:val="006E407E"/>
    <w:rsid w:val="006F16D0"/>
    <w:rsid w:val="006F1785"/>
    <w:rsid w:val="006F2D3E"/>
    <w:rsid w:val="006F3320"/>
    <w:rsid w:val="0070070D"/>
    <w:rsid w:val="00712679"/>
    <w:rsid w:val="007127C2"/>
    <w:rsid w:val="00715BA9"/>
    <w:rsid w:val="007315FF"/>
    <w:rsid w:val="007341D0"/>
    <w:rsid w:val="00736EF3"/>
    <w:rsid w:val="007423A2"/>
    <w:rsid w:val="0075338C"/>
    <w:rsid w:val="00764174"/>
    <w:rsid w:val="007878BF"/>
    <w:rsid w:val="00790748"/>
    <w:rsid w:val="007A48BB"/>
    <w:rsid w:val="007B19B7"/>
    <w:rsid w:val="007B5F9A"/>
    <w:rsid w:val="007B61CA"/>
    <w:rsid w:val="007C6BFC"/>
    <w:rsid w:val="007D1613"/>
    <w:rsid w:val="007F098C"/>
    <w:rsid w:val="008132F3"/>
    <w:rsid w:val="00827F61"/>
    <w:rsid w:val="008459C6"/>
    <w:rsid w:val="008550B5"/>
    <w:rsid w:val="00864486"/>
    <w:rsid w:val="00867249"/>
    <w:rsid w:val="0089640E"/>
    <w:rsid w:val="008B2CC1"/>
    <w:rsid w:val="008B60B2"/>
    <w:rsid w:val="008D0634"/>
    <w:rsid w:val="008D50B0"/>
    <w:rsid w:val="008F34EA"/>
    <w:rsid w:val="008F5143"/>
    <w:rsid w:val="0090731E"/>
    <w:rsid w:val="00910675"/>
    <w:rsid w:val="00916EE2"/>
    <w:rsid w:val="0092092F"/>
    <w:rsid w:val="00937ACE"/>
    <w:rsid w:val="00937B99"/>
    <w:rsid w:val="00950414"/>
    <w:rsid w:val="00952DBB"/>
    <w:rsid w:val="0096181D"/>
    <w:rsid w:val="00966A22"/>
    <w:rsid w:val="0096722F"/>
    <w:rsid w:val="00971372"/>
    <w:rsid w:val="00977BB9"/>
    <w:rsid w:val="00980843"/>
    <w:rsid w:val="0098507A"/>
    <w:rsid w:val="0099343F"/>
    <w:rsid w:val="009A02D5"/>
    <w:rsid w:val="009A5468"/>
    <w:rsid w:val="009B3DAF"/>
    <w:rsid w:val="009B749B"/>
    <w:rsid w:val="009D2738"/>
    <w:rsid w:val="009D47EC"/>
    <w:rsid w:val="009E2791"/>
    <w:rsid w:val="009E3F6F"/>
    <w:rsid w:val="009F499F"/>
    <w:rsid w:val="009F6187"/>
    <w:rsid w:val="009F6D44"/>
    <w:rsid w:val="009F7616"/>
    <w:rsid w:val="00A00234"/>
    <w:rsid w:val="00A12CD0"/>
    <w:rsid w:val="00A14814"/>
    <w:rsid w:val="00A42DAF"/>
    <w:rsid w:val="00A45BD8"/>
    <w:rsid w:val="00A5124A"/>
    <w:rsid w:val="00A61F0D"/>
    <w:rsid w:val="00A66994"/>
    <w:rsid w:val="00A867FA"/>
    <w:rsid w:val="00A869B7"/>
    <w:rsid w:val="00A87E0B"/>
    <w:rsid w:val="00AB6B58"/>
    <w:rsid w:val="00AC0C8D"/>
    <w:rsid w:val="00AC205C"/>
    <w:rsid w:val="00AC230E"/>
    <w:rsid w:val="00AC3336"/>
    <w:rsid w:val="00AD1DB6"/>
    <w:rsid w:val="00AE61A1"/>
    <w:rsid w:val="00AE7216"/>
    <w:rsid w:val="00AF0A6B"/>
    <w:rsid w:val="00B05A69"/>
    <w:rsid w:val="00B07E1E"/>
    <w:rsid w:val="00B134DA"/>
    <w:rsid w:val="00B15214"/>
    <w:rsid w:val="00B1527F"/>
    <w:rsid w:val="00B15B66"/>
    <w:rsid w:val="00B2489D"/>
    <w:rsid w:val="00B274E8"/>
    <w:rsid w:val="00B27781"/>
    <w:rsid w:val="00B36CB7"/>
    <w:rsid w:val="00B43D08"/>
    <w:rsid w:val="00B55DE0"/>
    <w:rsid w:val="00B57FA2"/>
    <w:rsid w:val="00B9734B"/>
    <w:rsid w:val="00BA0CE1"/>
    <w:rsid w:val="00BA746F"/>
    <w:rsid w:val="00BB231F"/>
    <w:rsid w:val="00BB3B69"/>
    <w:rsid w:val="00BB4B28"/>
    <w:rsid w:val="00BC40C6"/>
    <w:rsid w:val="00BF3E47"/>
    <w:rsid w:val="00C069BC"/>
    <w:rsid w:val="00C11BFE"/>
    <w:rsid w:val="00C13343"/>
    <w:rsid w:val="00C16C4E"/>
    <w:rsid w:val="00C17A92"/>
    <w:rsid w:val="00C17E16"/>
    <w:rsid w:val="00C26687"/>
    <w:rsid w:val="00C41ED5"/>
    <w:rsid w:val="00C43C38"/>
    <w:rsid w:val="00C45A59"/>
    <w:rsid w:val="00C5097B"/>
    <w:rsid w:val="00C55F0F"/>
    <w:rsid w:val="00C62638"/>
    <w:rsid w:val="00C70B0A"/>
    <w:rsid w:val="00C70EE3"/>
    <w:rsid w:val="00C719B6"/>
    <w:rsid w:val="00C71CA2"/>
    <w:rsid w:val="00C7433A"/>
    <w:rsid w:val="00C755D1"/>
    <w:rsid w:val="00C76A4F"/>
    <w:rsid w:val="00C76EE3"/>
    <w:rsid w:val="00C9356A"/>
    <w:rsid w:val="00CA1FA2"/>
    <w:rsid w:val="00CB50DD"/>
    <w:rsid w:val="00CB6639"/>
    <w:rsid w:val="00CC054D"/>
    <w:rsid w:val="00CE482F"/>
    <w:rsid w:val="00CF0C11"/>
    <w:rsid w:val="00CF3F13"/>
    <w:rsid w:val="00CF4D29"/>
    <w:rsid w:val="00CF4EEB"/>
    <w:rsid w:val="00D05C9D"/>
    <w:rsid w:val="00D152C5"/>
    <w:rsid w:val="00D272AC"/>
    <w:rsid w:val="00D32D41"/>
    <w:rsid w:val="00D43440"/>
    <w:rsid w:val="00D44C50"/>
    <w:rsid w:val="00D45252"/>
    <w:rsid w:val="00D47363"/>
    <w:rsid w:val="00D564D2"/>
    <w:rsid w:val="00D602A1"/>
    <w:rsid w:val="00D71B4D"/>
    <w:rsid w:val="00D83368"/>
    <w:rsid w:val="00D844B3"/>
    <w:rsid w:val="00D93D55"/>
    <w:rsid w:val="00D93D7E"/>
    <w:rsid w:val="00DA53B4"/>
    <w:rsid w:val="00DB09F3"/>
    <w:rsid w:val="00DE005B"/>
    <w:rsid w:val="00E06381"/>
    <w:rsid w:val="00E267AB"/>
    <w:rsid w:val="00E335FE"/>
    <w:rsid w:val="00E34C8B"/>
    <w:rsid w:val="00E60C64"/>
    <w:rsid w:val="00E627D9"/>
    <w:rsid w:val="00E74AB4"/>
    <w:rsid w:val="00E84B25"/>
    <w:rsid w:val="00E84BAA"/>
    <w:rsid w:val="00EB725A"/>
    <w:rsid w:val="00EB7312"/>
    <w:rsid w:val="00EC4937"/>
    <w:rsid w:val="00EC4E49"/>
    <w:rsid w:val="00ED77FB"/>
    <w:rsid w:val="00EE0566"/>
    <w:rsid w:val="00EE10CF"/>
    <w:rsid w:val="00EE45FA"/>
    <w:rsid w:val="00EE7CD8"/>
    <w:rsid w:val="00EF014C"/>
    <w:rsid w:val="00EF736E"/>
    <w:rsid w:val="00F0123F"/>
    <w:rsid w:val="00F0322A"/>
    <w:rsid w:val="00F0466A"/>
    <w:rsid w:val="00F30623"/>
    <w:rsid w:val="00F34937"/>
    <w:rsid w:val="00F53802"/>
    <w:rsid w:val="00F54B81"/>
    <w:rsid w:val="00F55202"/>
    <w:rsid w:val="00F66152"/>
    <w:rsid w:val="00F83BAB"/>
    <w:rsid w:val="00F83D64"/>
    <w:rsid w:val="00F91646"/>
    <w:rsid w:val="00FB27BC"/>
    <w:rsid w:val="00FB73A4"/>
    <w:rsid w:val="00FC2BB7"/>
    <w:rsid w:val="00FC60DF"/>
    <w:rsid w:val="00FD625B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aliases w:val="doc_path_name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aliases w:val="doc_path_name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zh-CN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aliases w:val="Footnote Char"/>
    <w:link w:val="FootnoteText"/>
    <w:locked/>
    <w:rsid w:val="000D23C2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zh-CN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x-none" w:eastAsia="zh-CN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D23C2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ED000-4081-4C75-B0CD-A2B48C65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16 (E).dotm</Template>
  <TotalTime>1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keywords>PB/ko</cp:keywords>
  <cp:lastModifiedBy>SHOUSHA Sally</cp:lastModifiedBy>
  <cp:revision>4</cp:revision>
  <cp:lastPrinted>2015-09-08T13:57:00Z</cp:lastPrinted>
  <dcterms:created xsi:type="dcterms:W3CDTF">2015-09-08T13:56:00Z</dcterms:created>
  <dcterms:modified xsi:type="dcterms:W3CDTF">2015-09-08T13:57:00Z</dcterms:modified>
</cp:coreProperties>
</file>