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A365C1" w:rsidTr="00C80BF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A365C1" w:rsidRDefault="00EC4E49" w:rsidP="00BB570E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365C1" w:rsidRDefault="00C80BF7" w:rsidP="00BB570E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7A610362" wp14:editId="76CBB245">
                  <wp:extent cx="1857375" cy="1323975"/>
                  <wp:effectExtent l="0" t="0" r="9525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365C1" w:rsidRDefault="00C80BF7" w:rsidP="00BB570E">
            <w:pPr>
              <w:jc w:val="right"/>
              <w:rPr>
                <w:lang w:val="fr-FR"/>
              </w:rPr>
            </w:pPr>
            <w:r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CA67D7" w:rsidRPr="00A365C1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365C1" w:rsidRDefault="006A44A7" w:rsidP="00BB570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365C1">
              <w:rPr>
                <w:rFonts w:ascii="Arial Black" w:hAnsi="Arial Black"/>
                <w:caps/>
                <w:sz w:val="15"/>
                <w:lang w:val="fr-FR"/>
              </w:rPr>
              <w:t>cdip/14/</w:t>
            </w:r>
            <w:bookmarkStart w:id="0" w:name="Code"/>
            <w:bookmarkEnd w:id="0"/>
            <w:r w:rsidR="00185493" w:rsidRPr="00A365C1">
              <w:rPr>
                <w:rFonts w:ascii="Arial Black" w:hAnsi="Arial Black"/>
                <w:caps/>
                <w:sz w:val="15"/>
                <w:lang w:val="fr-FR"/>
              </w:rPr>
              <w:t>7</w:t>
            </w:r>
            <w:r w:rsidR="00A42DAF" w:rsidRPr="00A365C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CA67D7" w:rsidRPr="00A365C1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365C1" w:rsidRDefault="008B2CC1" w:rsidP="00BB570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365C1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73152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CA67D7" w:rsidRPr="00A365C1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r w:rsidR="00CA0667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CA67D7" w:rsidRPr="00A365C1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365C1" w:rsidRDefault="008B2CC1" w:rsidP="00BB570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365C1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73152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CA67D7" w:rsidRPr="00A365C1">
              <w:rPr>
                <w:rFonts w:ascii="Arial Black" w:hAnsi="Arial Black"/>
                <w:caps/>
                <w:sz w:val="15"/>
                <w:lang w:val="fr-FR"/>
              </w:rPr>
              <w:t>: 2</w:t>
            </w:r>
            <w:r w:rsidR="003E4153" w:rsidRPr="00A365C1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3E4153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CA0667">
              <w:rPr>
                <w:rFonts w:ascii="Arial Black" w:hAnsi="Arial Black"/>
                <w:sz w:val="15"/>
                <w:lang w:val="fr-FR"/>
              </w:rPr>
              <w:t>SEPTEMBRE</w:t>
            </w:r>
            <w:r w:rsidR="003E4153">
              <w:rPr>
                <w:rFonts w:ascii="Arial Black" w:hAnsi="Arial Black"/>
                <w:sz w:val="15"/>
                <w:lang w:val="fr-FR"/>
              </w:rPr>
              <w:t> </w:t>
            </w:r>
            <w:r w:rsidR="003E4153" w:rsidRPr="00A365C1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="00AC3279" w:rsidRPr="00A365C1">
              <w:rPr>
                <w:rFonts w:ascii="Arial Black" w:hAnsi="Arial Black"/>
                <w:caps/>
                <w:sz w:val="15"/>
                <w:lang w:val="fr-FR"/>
              </w:rPr>
              <w:t>14</w:t>
            </w:r>
          </w:p>
        </w:tc>
      </w:tr>
    </w:tbl>
    <w:p w:rsidR="006B5952" w:rsidRPr="00A365C1" w:rsidRDefault="006B5952" w:rsidP="00BB570E">
      <w:pPr>
        <w:rPr>
          <w:lang w:val="fr-FR"/>
        </w:rPr>
      </w:pPr>
    </w:p>
    <w:p w:rsidR="006B5952" w:rsidRPr="00A365C1" w:rsidRDefault="006B5952" w:rsidP="00BB570E">
      <w:pPr>
        <w:rPr>
          <w:lang w:val="fr-FR"/>
        </w:rPr>
      </w:pPr>
    </w:p>
    <w:p w:rsidR="006B5952" w:rsidRPr="00A365C1" w:rsidRDefault="006B5952" w:rsidP="00BB570E">
      <w:pPr>
        <w:rPr>
          <w:lang w:val="fr-FR"/>
        </w:rPr>
      </w:pPr>
    </w:p>
    <w:p w:rsidR="006B5952" w:rsidRPr="00A365C1" w:rsidRDefault="006B5952" w:rsidP="00BB570E">
      <w:pPr>
        <w:rPr>
          <w:lang w:val="fr-FR"/>
        </w:rPr>
      </w:pPr>
    </w:p>
    <w:p w:rsidR="006B5952" w:rsidRPr="00A365C1" w:rsidRDefault="006B5952" w:rsidP="00BB570E">
      <w:pPr>
        <w:rPr>
          <w:lang w:val="fr-FR"/>
        </w:rPr>
      </w:pPr>
    </w:p>
    <w:p w:rsidR="006B5952" w:rsidRPr="00A365C1" w:rsidRDefault="00B26C11" w:rsidP="00BB570E">
      <w:pPr>
        <w:rPr>
          <w:b/>
          <w:sz w:val="28"/>
          <w:szCs w:val="28"/>
          <w:lang w:val="fr-FR"/>
        </w:rPr>
      </w:pPr>
      <w:r w:rsidRPr="00A365C1">
        <w:rPr>
          <w:b/>
          <w:sz w:val="28"/>
          <w:szCs w:val="28"/>
          <w:lang w:val="fr-FR"/>
        </w:rPr>
        <w:t>Comité du développement et de la propriété intellectuelle (CDIP)</w:t>
      </w:r>
    </w:p>
    <w:p w:rsidR="006B5952" w:rsidRPr="00A365C1" w:rsidRDefault="006B5952" w:rsidP="00BB570E">
      <w:pPr>
        <w:rPr>
          <w:lang w:val="fr-FR"/>
        </w:rPr>
      </w:pPr>
    </w:p>
    <w:p w:rsidR="006B5952" w:rsidRPr="00A365C1" w:rsidRDefault="006B5952" w:rsidP="00BB570E">
      <w:pPr>
        <w:rPr>
          <w:lang w:val="fr-FR"/>
        </w:rPr>
      </w:pPr>
    </w:p>
    <w:p w:rsidR="006B5952" w:rsidRPr="00A365C1" w:rsidRDefault="00B26C11" w:rsidP="00BB570E">
      <w:pPr>
        <w:rPr>
          <w:b/>
          <w:sz w:val="24"/>
          <w:szCs w:val="24"/>
          <w:lang w:val="fr-FR"/>
        </w:rPr>
      </w:pPr>
      <w:r w:rsidRPr="00A365C1">
        <w:rPr>
          <w:b/>
          <w:sz w:val="24"/>
          <w:szCs w:val="24"/>
          <w:lang w:val="fr-FR"/>
        </w:rPr>
        <w:t>Quatorzième</w:t>
      </w:r>
      <w:r w:rsidR="00731524">
        <w:rPr>
          <w:b/>
          <w:sz w:val="24"/>
          <w:szCs w:val="24"/>
          <w:lang w:val="fr-FR"/>
        </w:rPr>
        <w:t> </w:t>
      </w:r>
      <w:r w:rsidRPr="00A365C1">
        <w:rPr>
          <w:b/>
          <w:sz w:val="24"/>
          <w:szCs w:val="24"/>
          <w:lang w:val="fr-FR"/>
        </w:rPr>
        <w:t>session</w:t>
      </w:r>
    </w:p>
    <w:p w:rsidR="006B5952" w:rsidRPr="00A365C1" w:rsidRDefault="00B26C11" w:rsidP="00BB570E">
      <w:pPr>
        <w:rPr>
          <w:b/>
          <w:sz w:val="24"/>
          <w:szCs w:val="24"/>
          <w:lang w:val="fr-FR"/>
        </w:rPr>
      </w:pPr>
      <w:r w:rsidRPr="00A365C1">
        <w:rPr>
          <w:b/>
          <w:sz w:val="24"/>
          <w:szCs w:val="24"/>
          <w:lang w:val="fr-FR"/>
        </w:rPr>
        <w:t>Genève, 10 – 1</w:t>
      </w:r>
      <w:r w:rsidR="003E4153" w:rsidRPr="00A365C1">
        <w:rPr>
          <w:b/>
          <w:sz w:val="24"/>
          <w:szCs w:val="24"/>
          <w:lang w:val="fr-FR"/>
        </w:rPr>
        <w:t>4</w:t>
      </w:r>
      <w:r w:rsidR="003E4153">
        <w:rPr>
          <w:b/>
          <w:sz w:val="24"/>
          <w:szCs w:val="24"/>
          <w:lang w:val="fr-FR"/>
        </w:rPr>
        <w:t> </w:t>
      </w:r>
      <w:r w:rsidR="003E4153" w:rsidRPr="00A365C1">
        <w:rPr>
          <w:b/>
          <w:sz w:val="24"/>
          <w:szCs w:val="24"/>
          <w:lang w:val="fr-FR"/>
        </w:rPr>
        <w:t>novembre</w:t>
      </w:r>
      <w:r w:rsidR="003E4153">
        <w:rPr>
          <w:b/>
          <w:sz w:val="24"/>
          <w:szCs w:val="24"/>
          <w:lang w:val="fr-FR"/>
        </w:rPr>
        <w:t> </w:t>
      </w:r>
      <w:r w:rsidR="003E4153" w:rsidRPr="00A365C1">
        <w:rPr>
          <w:b/>
          <w:sz w:val="24"/>
          <w:szCs w:val="24"/>
          <w:lang w:val="fr-FR"/>
        </w:rPr>
        <w:t>20</w:t>
      </w:r>
      <w:r w:rsidRPr="00A365C1">
        <w:rPr>
          <w:b/>
          <w:sz w:val="24"/>
          <w:szCs w:val="24"/>
          <w:lang w:val="fr-FR"/>
        </w:rPr>
        <w:t>14</w:t>
      </w:r>
    </w:p>
    <w:p w:rsidR="006B5952" w:rsidRPr="00A365C1" w:rsidRDefault="006B5952" w:rsidP="00BB570E">
      <w:pPr>
        <w:rPr>
          <w:b/>
          <w:sz w:val="24"/>
          <w:szCs w:val="24"/>
          <w:lang w:val="fr-FR"/>
        </w:rPr>
      </w:pPr>
    </w:p>
    <w:p w:rsidR="006B5952" w:rsidRPr="00A365C1" w:rsidRDefault="006B5952" w:rsidP="00BB570E">
      <w:pPr>
        <w:rPr>
          <w:lang w:val="fr-FR"/>
        </w:rPr>
      </w:pPr>
    </w:p>
    <w:p w:rsidR="006B5952" w:rsidRPr="00A365C1" w:rsidRDefault="006B5952" w:rsidP="00BB570E">
      <w:pPr>
        <w:rPr>
          <w:lang w:val="fr-FR"/>
        </w:rPr>
      </w:pPr>
    </w:p>
    <w:p w:rsidR="006B5952" w:rsidRPr="00A365C1" w:rsidRDefault="006B5952" w:rsidP="00BB570E">
      <w:pPr>
        <w:rPr>
          <w:lang w:val="fr-FR"/>
        </w:rPr>
      </w:pPr>
    </w:p>
    <w:p w:rsidR="006B5952" w:rsidRPr="00A365C1" w:rsidRDefault="005F4BB4" w:rsidP="00BB570E">
      <w:pPr>
        <w:rPr>
          <w:caps/>
          <w:sz w:val="24"/>
          <w:lang w:val="fr-FR"/>
        </w:rPr>
      </w:pPr>
      <w:bookmarkStart w:id="1" w:name="TitleOfDoc"/>
      <w:bookmarkEnd w:id="1"/>
      <w:r w:rsidRPr="00A365C1">
        <w:rPr>
          <w:caps/>
          <w:sz w:val="24"/>
          <w:lang w:val="fr-FR"/>
        </w:rPr>
        <w:t>Projet relatif à la propriété intellectuelle et au développement socioéconomique</w:t>
      </w:r>
      <w:r w:rsidR="0086567E" w:rsidRPr="00A365C1">
        <w:rPr>
          <w:caps/>
          <w:sz w:val="24"/>
          <w:lang w:val="fr-FR"/>
        </w:rPr>
        <w:t xml:space="preserve"> – phase</w:t>
      </w:r>
      <w:r w:rsidR="005F69B3">
        <w:rPr>
          <w:caps/>
          <w:sz w:val="24"/>
          <w:lang w:val="fr-FR"/>
        </w:rPr>
        <w:t> </w:t>
      </w:r>
      <w:r w:rsidR="0086567E" w:rsidRPr="00A365C1">
        <w:rPr>
          <w:caps/>
          <w:sz w:val="24"/>
          <w:lang w:val="fr-FR"/>
        </w:rPr>
        <w:t>ii</w:t>
      </w:r>
    </w:p>
    <w:p w:rsidR="006B5952" w:rsidRPr="00A365C1" w:rsidRDefault="006B5952" w:rsidP="00BB570E">
      <w:pPr>
        <w:rPr>
          <w:lang w:val="fr-FR"/>
        </w:rPr>
      </w:pPr>
    </w:p>
    <w:p w:rsidR="006B5952" w:rsidRPr="00A365C1" w:rsidRDefault="005F4BB4" w:rsidP="00BB570E">
      <w:pPr>
        <w:rPr>
          <w:i/>
          <w:lang w:val="fr-FR"/>
        </w:rPr>
      </w:pPr>
      <w:bookmarkStart w:id="2" w:name="Prepared"/>
      <w:bookmarkEnd w:id="2"/>
      <w:proofErr w:type="gramStart"/>
      <w:r w:rsidRPr="00A365C1">
        <w:rPr>
          <w:i/>
          <w:lang w:val="fr-FR"/>
        </w:rPr>
        <w:t>établi</w:t>
      </w:r>
      <w:proofErr w:type="gramEnd"/>
      <w:r w:rsidRPr="00A365C1">
        <w:rPr>
          <w:i/>
          <w:lang w:val="fr-FR"/>
        </w:rPr>
        <w:t xml:space="preserve"> par le Secrétariat</w:t>
      </w:r>
    </w:p>
    <w:p w:rsidR="006B5952" w:rsidRPr="00A365C1" w:rsidRDefault="006B5952" w:rsidP="00BB570E">
      <w:pPr>
        <w:rPr>
          <w:lang w:val="fr-FR"/>
        </w:rPr>
      </w:pPr>
    </w:p>
    <w:p w:rsidR="006B5952" w:rsidRPr="00A365C1" w:rsidRDefault="006B5952" w:rsidP="00BB570E">
      <w:pPr>
        <w:rPr>
          <w:lang w:val="fr-FR"/>
        </w:rPr>
      </w:pPr>
    </w:p>
    <w:p w:rsidR="006B5952" w:rsidRPr="00A365C1" w:rsidRDefault="006B5952" w:rsidP="00BB570E">
      <w:pPr>
        <w:rPr>
          <w:lang w:val="fr-FR"/>
        </w:rPr>
      </w:pPr>
    </w:p>
    <w:p w:rsidR="006B5952" w:rsidRPr="00A365C1" w:rsidRDefault="006B5952" w:rsidP="00BB570E">
      <w:pPr>
        <w:rPr>
          <w:lang w:val="fr-FR"/>
        </w:rPr>
      </w:pPr>
    </w:p>
    <w:p w:rsidR="006B5952" w:rsidRPr="00A365C1" w:rsidRDefault="005F4BB4" w:rsidP="00BB570E">
      <w:pPr>
        <w:pStyle w:val="ONUMFS"/>
        <w:rPr>
          <w:lang w:val="fr-FR"/>
        </w:rPr>
      </w:pPr>
      <w:r w:rsidRPr="00A365C1">
        <w:rPr>
          <w:lang w:val="fr-FR"/>
        </w:rPr>
        <w:t>L</w:t>
      </w:r>
      <w:r w:rsidR="00ED416A">
        <w:rPr>
          <w:lang w:val="fr-FR"/>
        </w:rPr>
        <w:t>’</w:t>
      </w:r>
      <w:r w:rsidRPr="00A365C1">
        <w:rPr>
          <w:lang w:val="fr-FR"/>
        </w:rPr>
        <w:t xml:space="preserve">annexe </w:t>
      </w:r>
      <w:r w:rsidR="003B5521" w:rsidRPr="00A365C1">
        <w:rPr>
          <w:lang w:val="fr-FR"/>
        </w:rPr>
        <w:t>du</w:t>
      </w:r>
      <w:r w:rsidRPr="00A365C1">
        <w:rPr>
          <w:lang w:val="fr-FR"/>
        </w:rPr>
        <w:t xml:space="preserve"> présent document, dans laquelle figure une proposition relative à un projet sur la propriété intellectuelle et le développement, a trait aux </w:t>
      </w:r>
      <w:r w:rsidR="00C80BF7">
        <w:rPr>
          <w:lang w:val="fr-FR"/>
        </w:rPr>
        <w:t>recommandations n</w:t>
      </w:r>
      <w:r w:rsidR="00C80BF7" w:rsidRPr="005F69B3">
        <w:rPr>
          <w:vertAlign w:val="superscript"/>
          <w:lang w:val="fr-FR"/>
        </w:rPr>
        <w:t>os</w:t>
      </w:r>
      <w:r w:rsidR="00C80BF7">
        <w:rPr>
          <w:lang w:val="fr-FR"/>
        </w:rPr>
        <w:t> 35 et 37 du </w:t>
      </w:r>
      <w:r w:rsidRPr="00A365C1">
        <w:rPr>
          <w:lang w:val="fr-FR"/>
        </w:rPr>
        <w:t>Plan d</w:t>
      </w:r>
      <w:r w:rsidR="00ED416A">
        <w:rPr>
          <w:lang w:val="fr-FR"/>
        </w:rPr>
        <w:t>’</w:t>
      </w:r>
      <w:r w:rsidRPr="00A365C1">
        <w:rPr>
          <w:lang w:val="fr-FR"/>
        </w:rPr>
        <w:t>action pour le développement.  Le coût du projet s</w:t>
      </w:r>
      <w:r w:rsidR="00ED416A">
        <w:rPr>
          <w:lang w:val="fr-FR"/>
        </w:rPr>
        <w:t>’</w:t>
      </w:r>
      <w:r w:rsidRPr="00A365C1">
        <w:rPr>
          <w:lang w:val="fr-FR"/>
        </w:rPr>
        <w:t xml:space="preserve">élève, selon les estimations, à 801 000 francs suisses, dont 485 000 francs suisses </w:t>
      </w:r>
      <w:r w:rsidRPr="005F69B3">
        <w:t>pour</w:t>
      </w:r>
      <w:r w:rsidRPr="00A365C1">
        <w:rPr>
          <w:lang w:val="fr-FR"/>
        </w:rPr>
        <w:t xml:space="preserve"> les dépenses autres que les dépenses de personnel et 316 000 francs suisses pour les dépenses de personnel.</w:t>
      </w:r>
    </w:p>
    <w:p w:rsidR="006B5952" w:rsidRPr="00A365C1" w:rsidRDefault="006B5952" w:rsidP="00BB570E">
      <w:pPr>
        <w:pStyle w:val="ListParagraph"/>
        <w:ind w:left="0"/>
        <w:rPr>
          <w:iCs/>
          <w:szCs w:val="22"/>
          <w:lang w:val="fr-FR"/>
        </w:rPr>
      </w:pPr>
    </w:p>
    <w:p w:rsidR="006B5952" w:rsidRPr="00C80BF7" w:rsidRDefault="005F4BB4" w:rsidP="00BB570E">
      <w:pPr>
        <w:pStyle w:val="ONUMFS"/>
        <w:spacing w:after="0"/>
        <w:ind w:left="5533"/>
        <w:rPr>
          <w:i/>
          <w:lang w:val="fr-FR"/>
        </w:rPr>
      </w:pPr>
      <w:r w:rsidRPr="00C80BF7">
        <w:rPr>
          <w:i/>
          <w:lang w:val="fr-FR"/>
        </w:rPr>
        <w:t>Le CDIP est invité à examiner et à approuver l</w:t>
      </w:r>
      <w:r w:rsidR="00ED416A">
        <w:rPr>
          <w:i/>
          <w:lang w:val="fr-FR"/>
        </w:rPr>
        <w:t>’</w:t>
      </w:r>
      <w:r w:rsidRPr="00C80BF7">
        <w:rPr>
          <w:i/>
          <w:lang w:val="fr-FR"/>
        </w:rPr>
        <w:t>annexe du présent document.</w:t>
      </w:r>
    </w:p>
    <w:p w:rsidR="006B5952" w:rsidRPr="00A365C1" w:rsidRDefault="006B5952" w:rsidP="00BB570E">
      <w:pPr>
        <w:ind w:left="4903"/>
        <w:rPr>
          <w:lang w:val="fr-FR"/>
        </w:rPr>
      </w:pPr>
    </w:p>
    <w:p w:rsidR="006B5952" w:rsidRPr="00A365C1" w:rsidRDefault="006B5952" w:rsidP="00BB570E">
      <w:pPr>
        <w:ind w:left="4903"/>
        <w:rPr>
          <w:lang w:val="fr-FR"/>
        </w:rPr>
      </w:pPr>
    </w:p>
    <w:p w:rsidR="006B5952" w:rsidRPr="00A365C1" w:rsidRDefault="006B5952" w:rsidP="00BB570E">
      <w:pPr>
        <w:ind w:left="4903"/>
        <w:rPr>
          <w:lang w:val="fr-FR"/>
        </w:rPr>
      </w:pPr>
    </w:p>
    <w:p w:rsidR="00810559" w:rsidRPr="00A365C1" w:rsidRDefault="005F4BB4" w:rsidP="00BB570E">
      <w:pPr>
        <w:ind w:left="4903"/>
        <w:rPr>
          <w:lang w:val="fr-FR"/>
        </w:rPr>
        <w:sectPr w:rsidR="00810559" w:rsidRPr="00A365C1" w:rsidSect="00AC3279">
          <w:headerReference w:type="defaul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A365C1">
        <w:rPr>
          <w:lang w:val="fr-FR"/>
        </w:rPr>
        <w:t>[L</w:t>
      </w:r>
      <w:r w:rsidR="00ED416A">
        <w:rPr>
          <w:lang w:val="fr-FR"/>
        </w:rPr>
        <w:t>’</w:t>
      </w:r>
      <w:r w:rsidRPr="00A365C1">
        <w:rPr>
          <w:lang w:val="fr-FR"/>
        </w:rPr>
        <w:t>annexe suit]</w:t>
      </w:r>
    </w:p>
    <w:p w:rsidR="006B5952" w:rsidRPr="00A365C1" w:rsidRDefault="005F4BB4" w:rsidP="00BB570E">
      <w:pPr>
        <w:rPr>
          <w:b/>
          <w:bCs/>
          <w:lang w:val="fr-FR"/>
        </w:rPr>
      </w:pPr>
      <w:r w:rsidRPr="00A365C1">
        <w:rPr>
          <w:b/>
          <w:bCs/>
          <w:lang w:val="fr-FR"/>
        </w:rPr>
        <w:lastRenderedPageBreak/>
        <w:t>RECOMMANDATIONS N</w:t>
      </w:r>
      <w:r w:rsidR="00C80BF7" w:rsidRPr="00C80BF7">
        <w:rPr>
          <w:b/>
          <w:bCs/>
          <w:vertAlign w:val="superscript"/>
          <w:lang w:val="fr-FR"/>
        </w:rPr>
        <w:t>OS</w:t>
      </w:r>
      <w:r w:rsidR="00C80BF7">
        <w:rPr>
          <w:b/>
          <w:bCs/>
          <w:vertAlign w:val="superscript"/>
          <w:lang w:val="fr-FR"/>
        </w:rPr>
        <w:t> </w:t>
      </w:r>
      <w:r w:rsidRPr="00A365C1">
        <w:rPr>
          <w:b/>
          <w:bCs/>
          <w:lang w:val="fr-FR"/>
        </w:rPr>
        <w:t>35 ET 37 DU PLAN D</w:t>
      </w:r>
      <w:r w:rsidR="00ED416A">
        <w:rPr>
          <w:b/>
          <w:bCs/>
          <w:lang w:val="fr-FR"/>
        </w:rPr>
        <w:t>’</w:t>
      </w:r>
      <w:r w:rsidRPr="00A365C1">
        <w:rPr>
          <w:b/>
          <w:bCs/>
          <w:lang w:val="fr-FR"/>
        </w:rPr>
        <w:t>ACTION POUR LE DÉVELOPPEMENT</w:t>
      </w:r>
    </w:p>
    <w:p w:rsidR="006B5952" w:rsidRPr="00A365C1" w:rsidRDefault="006B5952" w:rsidP="00BB570E">
      <w:pPr>
        <w:rPr>
          <w:b/>
          <w:bCs/>
          <w:lang w:val="fr-FR"/>
        </w:rPr>
      </w:pPr>
    </w:p>
    <w:p w:rsidR="006B5952" w:rsidRPr="00A365C1" w:rsidRDefault="005F4BB4" w:rsidP="00BB570E">
      <w:pPr>
        <w:rPr>
          <w:b/>
          <w:bCs/>
          <w:lang w:val="fr-FR"/>
        </w:rPr>
      </w:pPr>
      <w:r w:rsidRPr="00A365C1">
        <w:rPr>
          <w:b/>
          <w:bCs/>
          <w:lang w:val="fr-FR"/>
        </w:rPr>
        <w:t>DESCRIPTIF DU PROJET</w:t>
      </w:r>
    </w:p>
    <w:p w:rsidR="00810559" w:rsidRPr="00A365C1" w:rsidRDefault="00810559" w:rsidP="00BB570E">
      <w:pPr>
        <w:rPr>
          <w:b/>
          <w:bCs/>
          <w:iCs/>
          <w:lang w:val="fr-F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76"/>
        <w:gridCol w:w="5636"/>
      </w:tblGrid>
      <w:tr w:rsidR="00CA67D7" w:rsidRPr="00A365C1" w:rsidTr="00B26C11">
        <w:tc>
          <w:tcPr>
            <w:tcW w:w="9288" w:type="dxa"/>
            <w:gridSpan w:val="3"/>
            <w:shd w:val="clear" w:color="auto" w:fill="auto"/>
          </w:tcPr>
          <w:p w:rsidR="006B5952" w:rsidRPr="00A365C1" w:rsidRDefault="006B5952" w:rsidP="00BB570E">
            <w:pPr>
              <w:rPr>
                <w:bCs/>
                <w:iCs/>
                <w:lang w:val="fr-FR"/>
              </w:rPr>
            </w:pPr>
          </w:p>
          <w:p w:rsidR="006B5952" w:rsidRPr="00A365C1" w:rsidRDefault="005F4BB4" w:rsidP="00BB570E">
            <w:pPr>
              <w:rPr>
                <w:bCs/>
                <w:iCs/>
                <w:lang w:val="fr-FR"/>
              </w:rPr>
            </w:pPr>
            <w:r w:rsidRPr="00A365C1">
              <w:rPr>
                <w:bCs/>
                <w:iCs/>
                <w:lang w:val="fr-FR"/>
              </w:rPr>
              <w:t xml:space="preserve">1 </w:t>
            </w:r>
            <w:r w:rsidR="005F69B3">
              <w:rPr>
                <w:bCs/>
                <w:iCs/>
                <w:lang w:val="fr-FR"/>
              </w:rPr>
              <w:tab/>
            </w:r>
            <w:r w:rsidRPr="00A365C1">
              <w:rPr>
                <w:bCs/>
                <w:iCs/>
                <w:lang w:val="fr-FR"/>
              </w:rPr>
              <w:t>R</w:t>
            </w:r>
            <w:r w:rsidR="00304102" w:rsidRPr="00A365C1">
              <w:rPr>
                <w:bCs/>
                <w:iCs/>
                <w:lang w:val="fr-FR"/>
              </w:rPr>
              <w:t>ÉSUMÉ</w:t>
            </w:r>
          </w:p>
          <w:p w:rsidR="00810559" w:rsidRPr="00A365C1" w:rsidRDefault="00810559" w:rsidP="00BB570E">
            <w:pPr>
              <w:rPr>
                <w:bCs/>
                <w:iCs/>
                <w:lang w:val="fr-FR"/>
              </w:rPr>
            </w:pPr>
          </w:p>
        </w:tc>
      </w:tr>
      <w:tr w:rsidR="00CA67D7" w:rsidRPr="00A365C1" w:rsidTr="00B26C11">
        <w:tc>
          <w:tcPr>
            <w:tcW w:w="2376" w:type="dxa"/>
            <w:shd w:val="clear" w:color="auto" w:fill="auto"/>
          </w:tcPr>
          <w:p w:rsidR="006B5952" w:rsidRPr="00A365C1" w:rsidRDefault="005F4BB4" w:rsidP="00BB570E">
            <w:pPr>
              <w:rPr>
                <w:u w:val="single"/>
                <w:lang w:val="fr-FR"/>
              </w:rPr>
            </w:pPr>
            <w:r w:rsidRPr="00A365C1">
              <w:rPr>
                <w:u w:val="single"/>
                <w:lang w:val="fr-FR"/>
              </w:rPr>
              <w:t>Cote du projet</w:t>
            </w:r>
          </w:p>
          <w:p w:rsidR="00810559" w:rsidRPr="00A365C1" w:rsidRDefault="00810559" w:rsidP="00BB570E">
            <w:pPr>
              <w:rPr>
                <w:b/>
                <w:lang w:val="fr-FR"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:rsidR="00810559" w:rsidRPr="00A365C1" w:rsidRDefault="00810559" w:rsidP="00BB570E">
            <w:pPr>
              <w:rPr>
                <w:iCs/>
                <w:lang w:val="fr-FR"/>
              </w:rPr>
            </w:pPr>
            <w:r w:rsidRPr="00A365C1">
              <w:rPr>
                <w:iCs/>
                <w:lang w:val="fr-FR"/>
              </w:rPr>
              <w:t>DA_</w:t>
            </w:r>
            <w:r w:rsidR="00C4328B" w:rsidRPr="00A365C1">
              <w:rPr>
                <w:iCs/>
                <w:lang w:val="fr-FR"/>
              </w:rPr>
              <w:t>35_37_02</w:t>
            </w:r>
          </w:p>
        </w:tc>
      </w:tr>
      <w:tr w:rsidR="00CA67D7" w:rsidRPr="00A365C1" w:rsidTr="00B26C11">
        <w:tc>
          <w:tcPr>
            <w:tcW w:w="2376" w:type="dxa"/>
            <w:shd w:val="clear" w:color="auto" w:fill="auto"/>
          </w:tcPr>
          <w:p w:rsidR="006B5952" w:rsidRPr="00A365C1" w:rsidRDefault="005F4BB4" w:rsidP="00BB570E">
            <w:pPr>
              <w:rPr>
                <w:u w:val="single"/>
                <w:lang w:val="fr-FR"/>
              </w:rPr>
            </w:pPr>
            <w:r w:rsidRPr="00A365C1">
              <w:rPr>
                <w:u w:val="single"/>
                <w:lang w:val="fr-FR"/>
              </w:rPr>
              <w:t>Titre</w:t>
            </w:r>
          </w:p>
          <w:p w:rsidR="00810559" w:rsidRPr="00A365C1" w:rsidRDefault="00810559" w:rsidP="00BB570E">
            <w:pPr>
              <w:rPr>
                <w:b/>
                <w:lang w:val="fr-FR"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:rsidR="006B5952" w:rsidRPr="00A365C1" w:rsidRDefault="005F4BB4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Propriété intellectuelle et développement socioéconomique</w:t>
            </w:r>
            <w:r w:rsidR="00304102" w:rsidRPr="00A365C1">
              <w:rPr>
                <w:lang w:val="fr-FR"/>
              </w:rPr>
              <w:t xml:space="preserve"> – Phase II.</w:t>
            </w:r>
          </w:p>
          <w:p w:rsidR="00810559" w:rsidRPr="00A365C1" w:rsidRDefault="00810559" w:rsidP="00BB570E">
            <w:pPr>
              <w:rPr>
                <w:i/>
                <w:lang w:val="fr-FR"/>
              </w:rPr>
            </w:pPr>
          </w:p>
        </w:tc>
      </w:tr>
      <w:tr w:rsidR="00CA67D7" w:rsidRPr="00A365C1" w:rsidTr="00B26C11">
        <w:tc>
          <w:tcPr>
            <w:tcW w:w="2376" w:type="dxa"/>
            <w:shd w:val="clear" w:color="auto" w:fill="auto"/>
          </w:tcPr>
          <w:p w:rsidR="006B5952" w:rsidRPr="00A365C1" w:rsidRDefault="005F4BB4" w:rsidP="00BB570E">
            <w:pPr>
              <w:rPr>
                <w:u w:val="single"/>
                <w:lang w:val="fr-FR"/>
              </w:rPr>
            </w:pPr>
            <w:r w:rsidRPr="00A365C1">
              <w:rPr>
                <w:u w:val="single"/>
                <w:lang w:val="fr-FR"/>
              </w:rPr>
              <w:t>Recommandation(s) du Plan d</w:t>
            </w:r>
            <w:r w:rsidR="00ED416A">
              <w:rPr>
                <w:u w:val="single"/>
                <w:lang w:val="fr-FR"/>
              </w:rPr>
              <w:t>’</w:t>
            </w:r>
            <w:r w:rsidRPr="00A365C1">
              <w:rPr>
                <w:u w:val="single"/>
                <w:lang w:val="fr-FR"/>
              </w:rPr>
              <w:t>action pour le développement</w:t>
            </w:r>
          </w:p>
          <w:p w:rsidR="00810559" w:rsidRPr="00A365C1" w:rsidRDefault="00810559" w:rsidP="00BB570E">
            <w:pPr>
              <w:rPr>
                <w:b/>
                <w:lang w:val="fr-FR"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:rsidR="006B5952" w:rsidRPr="00A365C1" w:rsidRDefault="005F4BB4" w:rsidP="00BB570E">
            <w:pPr>
              <w:rPr>
                <w:iCs/>
                <w:lang w:val="fr-FR"/>
              </w:rPr>
            </w:pPr>
            <w:r w:rsidRPr="00A365C1">
              <w:rPr>
                <w:iCs/>
                <w:lang w:val="fr-FR"/>
              </w:rPr>
              <w:t>Rec</w:t>
            </w:r>
            <w:r w:rsidR="006B674D" w:rsidRPr="00A365C1">
              <w:rPr>
                <w:iCs/>
                <w:lang w:val="fr-FR"/>
              </w:rPr>
              <w:t>ommandation n° 35 (groupe D) : d</w:t>
            </w:r>
            <w:r w:rsidRPr="00A365C1">
              <w:rPr>
                <w:iCs/>
                <w:lang w:val="fr-FR"/>
              </w:rPr>
              <w:t>emander à l</w:t>
            </w:r>
            <w:r w:rsidR="00ED416A">
              <w:rPr>
                <w:iCs/>
                <w:lang w:val="fr-FR"/>
              </w:rPr>
              <w:t>’</w:t>
            </w:r>
            <w:r w:rsidRPr="00A365C1">
              <w:rPr>
                <w:iCs/>
                <w:lang w:val="fr-FR"/>
              </w:rPr>
              <w:t>OMPI de réaliser, à la demande des États membres, de nouvelles études pour évaluer l</w:t>
            </w:r>
            <w:r w:rsidR="00ED416A">
              <w:rPr>
                <w:iCs/>
                <w:lang w:val="fr-FR"/>
              </w:rPr>
              <w:t>’</w:t>
            </w:r>
            <w:r w:rsidRPr="00A365C1">
              <w:rPr>
                <w:iCs/>
                <w:lang w:val="fr-FR"/>
              </w:rPr>
              <w:t>incidence économique, sociale et culturelle de l</w:t>
            </w:r>
            <w:r w:rsidR="00ED416A">
              <w:rPr>
                <w:iCs/>
                <w:lang w:val="fr-FR"/>
              </w:rPr>
              <w:t>’</w:t>
            </w:r>
            <w:r w:rsidRPr="00A365C1">
              <w:rPr>
                <w:iCs/>
                <w:lang w:val="fr-FR"/>
              </w:rPr>
              <w:t>utilisation des systèmes de propriété intellectuelle dans ces États.</w:t>
            </w:r>
          </w:p>
          <w:p w:rsidR="006B5952" w:rsidRPr="00A365C1" w:rsidRDefault="006B5952" w:rsidP="00BB570E">
            <w:pPr>
              <w:rPr>
                <w:iCs/>
                <w:lang w:val="fr-FR"/>
              </w:rPr>
            </w:pPr>
          </w:p>
          <w:p w:rsidR="006B5952" w:rsidRPr="00A365C1" w:rsidRDefault="005F4BB4" w:rsidP="00BB570E">
            <w:pPr>
              <w:rPr>
                <w:iCs/>
                <w:lang w:val="fr-FR"/>
              </w:rPr>
            </w:pPr>
            <w:r w:rsidRPr="00A365C1">
              <w:rPr>
                <w:iCs/>
                <w:lang w:val="fr-FR"/>
              </w:rPr>
              <w:t>Reco</w:t>
            </w:r>
            <w:r w:rsidR="006B674D" w:rsidRPr="00A365C1">
              <w:rPr>
                <w:iCs/>
                <w:lang w:val="fr-FR"/>
              </w:rPr>
              <w:t>mmandation n° 37 (groupe D) : à</w:t>
            </w:r>
            <w:r w:rsidRPr="00A365C1">
              <w:rPr>
                <w:iCs/>
                <w:lang w:val="fr-FR"/>
              </w:rPr>
              <w:t xml:space="preserve"> la demande des États membres et selon leurs instructions, l</w:t>
            </w:r>
            <w:r w:rsidR="00ED416A">
              <w:rPr>
                <w:iCs/>
                <w:lang w:val="fr-FR"/>
              </w:rPr>
              <w:t>’</w:t>
            </w:r>
            <w:r w:rsidRPr="00A365C1">
              <w:rPr>
                <w:iCs/>
                <w:lang w:val="fr-FR"/>
              </w:rPr>
              <w:t>OMPI peut réaliser des études sur la protection de la propriété intellectuelle afin de déterminer les liens et les incidences possibles entre propriété intellectuelle et développement.</w:t>
            </w:r>
          </w:p>
          <w:p w:rsidR="006B5952" w:rsidRPr="00A365C1" w:rsidRDefault="006B5952" w:rsidP="00BB570E">
            <w:pPr>
              <w:rPr>
                <w:iCs/>
                <w:lang w:val="fr-FR"/>
              </w:rPr>
            </w:pPr>
          </w:p>
          <w:p w:rsidR="00810559" w:rsidRPr="00A365C1" w:rsidRDefault="00810559" w:rsidP="00BB570E">
            <w:pPr>
              <w:rPr>
                <w:iCs/>
                <w:lang w:val="fr-FR"/>
              </w:rPr>
            </w:pPr>
          </w:p>
        </w:tc>
      </w:tr>
      <w:tr w:rsidR="00CA67D7" w:rsidRPr="00A365C1" w:rsidTr="00B26C11">
        <w:tc>
          <w:tcPr>
            <w:tcW w:w="2376" w:type="dxa"/>
            <w:shd w:val="clear" w:color="auto" w:fill="auto"/>
          </w:tcPr>
          <w:p w:rsidR="006B5952" w:rsidRPr="00A365C1" w:rsidRDefault="005F4BB4" w:rsidP="00BB570E">
            <w:pPr>
              <w:rPr>
                <w:u w:val="single"/>
                <w:lang w:val="fr-FR"/>
              </w:rPr>
            </w:pPr>
            <w:r w:rsidRPr="00A365C1">
              <w:rPr>
                <w:u w:val="single"/>
                <w:lang w:val="fr-FR"/>
              </w:rPr>
              <w:t>Brève description du projet</w:t>
            </w:r>
          </w:p>
          <w:p w:rsidR="006B5952" w:rsidRPr="00A365C1" w:rsidRDefault="006B5952" w:rsidP="00BB570E">
            <w:pPr>
              <w:rPr>
                <w:b/>
                <w:lang w:val="fr-FR"/>
              </w:rPr>
            </w:pPr>
          </w:p>
          <w:p w:rsidR="006B5952" w:rsidRPr="00A365C1" w:rsidRDefault="006B5952" w:rsidP="00BB570E">
            <w:pPr>
              <w:rPr>
                <w:b/>
                <w:lang w:val="fr-FR"/>
              </w:rPr>
            </w:pPr>
          </w:p>
          <w:p w:rsidR="006B5952" w:rsidRPr="00A365C1" w:rsidRDefault="006B5952" w:rsidP="00BB570E">
            <w:pPr>
              <w:rPr>
                <w:b/>
                <w:lang w:val="fr-FR"/>
              </w:rPr>
            </w:pPr>
          </w:p>
          <w:p w:rsidR="006B5952" w:rsidRPr="00A365C1" w:rsidRDefault="006B5952" w:rsidP="00BB570E">
            <w:pPr>
              <w:rPr>
                <w:i/>
                <w:lang w:val="fr-FR"/>
              </w:rPr>
            </w:pPr>
          </w:p>
          <w:p w:rsidR="006B5952" w:rsidRPr="00A365C1" w:rsidRDefault="006B5952" w:rsidP="00BB570E">
            <w:pPr>
              <w:rPr>
                <w:i/>
                <w:lang w:val="fr-FR"/>
              </w:rPr>
            </w:pPr>
          </w:p>
          <w:p w:rsidR="006B5952" w:rsidRPr="00A365C1" w:rsidRDefault="006B5952" w:rsidP="00BB570E">
            <w:pPr>
              <w:rPr>
                <w:i/>
                <w:lang w:val="fr-FR"/>
              </w:rPr>
            </w:pPr>
          </w:p>
          <w:p w:rsidR="006B5952" w:rsidRPr="00A365C1" w:rsidRDefault="006B5952" w:rsidP="00BB570E">
            <w:pPr>
              <w:rPr>
                <w:i/>
                <w:lang w:val="fr-FR"/>
              </w:rPr>
            </w:pPr>
          </w:p>
          <w:p w:rsidR="006B5952" w:rsidRPr="00A365C1" w:rsidRDefault="006B5952" w:rsidP="00BB570E">
            <w:pPr>
              <w:rPr>
                <w:i/>
                <w:lang w:val="fr-FR"/>
              </w:rPr>
            </w:pPr>
          </w:p>
          <w:p w:rsidR="006B5952" w:rsidRPr="00A365C1" w:rsidRDefault="006B5952" w:rsidP="00BB570E">
            <w:pPr>
              <w:rPr>
                <w:i/>
                <w:lang w:val="fr-FR"/>
              </w:rPr>
            </w:pPr>
          </w:p>
          <w:p w:rsidR="006B5952" w:rsidRPr="00A365C1" w:rsidRDefault="006B5952" w:rsidP="00BB570E">
            <w:pPr>
              <w:rPr>
                <w:i/>
                <w:lang w:val="fr-FR"/>
              </w:rPr>
            </w:pPr>
          </w:p>
          <w:p w:rsidR="00810559" w:rsidRPr="00A365C1" w:rsidRDefault="00810559" w:rsidP="00BB570E">
            <w:pPr>
              <w:rPr>
                <w:b/>
                <w:lang w:val="fr-FR"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:rsidR="006B5952" w:rsidRPr="00A365C1" w:rsidRDefault="0086567E" w:rsidP="00BB570E">
            <w:pPr>
              <w:rPr>
                <w:iCs/>
                <w:lang w:val="fr-FR"/>
              </w:rPr>
            </w:pPr>
            <w:r w:rsidRPr="00A365C1">
              <w:rPr>
                <w:iCs/>
                <w:lang w:val="fr-FR"/>
              </w:rPr>
              <w:t>Ce projet constitue un suivi du projet relatif à la propriété intellectuelle et au développement socioéconomique (CDIP/5/7/rev.1), achevé à la fin de l</w:t>
            </w:r>
            <w:r w:rsidR="00ED416A">
              <w:rPr>
                <w:iCs/>
                <w:lang w:val="fr-FR"/>
              </w:rPr>
              <w:t>’</w:t>
            </w:r>
            <w:r w:rsidR="00943653">
              <w:rPr>
                <w:iCs/>
                <w:lang w:val="fr-FR"/>
              </w:rPr>
              <w:t>année </w:t>
            </w:r>
            <w:r w:rsidRPr="00A365C1">
              <w:rPr>
                <w:iCs/>
                <w:lang w:val="fr-FR"/>
              </w:rPr>
              <w:t>2013.</w:t>
            </w:r>
            <w:r w:rsidR="00810559" w:rsidRPr="00A365C1">
              <w:rPr>
                <w:iCs/>
                <w:lang w:val="fr-FR"/>
              </w:rPr>
              <w:t xml:space="preserve">  </w:t>
            </w:r>
            <w:r w:rsidRPr="00A365C1">
              <w:rPr>
                <w:iCs/>
                <w:lang w:val="fr-FR"/>
              </w:rPr>
              <w:t>Il continuera d</w:t>
            </w:r>
            <w:r w:rsidR="00484852" w:rsidRPr="00A365C1">
              <w:rPr>
                <w:iCs/>
                <w:lang w:val="fr-FR"/>
              </w:rPr>
              <w:t>e servir</w:t>
            </w:r>
            <w:r w:rsidR="00CB1885" w:rsidRPr="00A365C1">
              <w:rPr>
                <w:iCs/>
                <w:lang w:val="fr-FR"/>
              </w:rPr>
              <w:t xml:space="preserve"> de</w:t>
            </w:r>
            <w:r w:rsidRPr="00A365C1">
              <w:rPr>
                <w:iCs/>
                <w:lang w:val="fr-FR"/>
              </w:rPr>
              <w:t xml:space="preserve"> projet cadre pour des études nationales et régionales visant à réduire le déséquilibre de connaissances auquel sont confrontés les décideurs en ce qui concerne l</w:t>
            </w:r>
            <w:r w:rsidR="00ED416A">
              <w:rPr>
                <w:iCs/>
                <w:lang w:val="fr-FR"/>
              </w:rPr>
              <w:t>’</w:t>
            </w:r>
            <w:r w:rsidRPr="00A365C1">
              <w:rPr>
                <w:iCs/>
                <w:lang w:val="fr-FR"/>
              </w:rPr>
              <w:t xml:space="preserve">élaboration et la mise en </w:t>
            </w:r>
            <w:r w:rsidR="00CA67D7" w:rsidRPr="00A365C1">
              <w:rPr>
                <w:iCs/>
                <w:lang w:val="fr-FR"/>
              </w:rPr>
              <w:t>œuvre</w:t>
            </w:r>
            <w:r w:rsidRPr="00A365C1">
              <w:rPr>
                <w:iCs/>
                <w:lang w:val="fr-FR"/>
              </w:rPr>
              <w:t xml:space="preserve"> d</w:t>
            </w:r>
            <w:r w:rsidR="00ED416A">
              <w:rPr>
                <w:iCs/>
                <w:lang w:val="fr-FR"/>
              </w:rPr>
              <w:t>’</w:t>
            </w:r>
            <w:r w:rsidRPr="00A365C1">
              <w:rPr>
                <w:iCs/>
                <w:lang w:val="fr-FR"/>
              </w:rPr>
              <w:t>un régime de propriété intellectuelle favorisant le développement.</w:t>
            </w:r>
          </w:p>
          <w:p w:rsidR="006B5952" w:rsidRPr="00A365C1" w:rsidRDefault="006B5952" w:rsidP="00BB570E">
            <w:pPr>
              <w:rPr>
                <w:iCs/>
                <w:lang w:val="fr-FR"/>
              </w:rPr>
            </w:pPr>
          </w:p>
          <w:p w:rsidR="00810559" w:rsidRPr="00A365C1" w:rsidRDefault="00871610" w:rsidP="00BB570E">
            <w:pPr>
              <w:rPr>
                <w:iCs/>
                <w:lang w:val="fr-FR"/>
              </w:rPr>
            </w:pPr>
            <w:r w:rsidRPr="00A365C1">
              <w:rPr>
                <w:iCs/>
                <w:lang w:val="fr-FR"/>
              </w:rPr>
              <w:t xml:space="preserve">Tout en </w:t>
            </w:r>
            <w:r w:rsidR="00484852" w:rsidRPr="00A365C1">
              <w:rPr>
                <w:iCs/>
                <w:lang w:val="fr-FR"/>
              </w:rPr>
              <w:t>cherchant à atteindre les</w:t>
            </w:r>
            <w:r w:rsidRPr="00A365C1">
              <w:rPr>
                <w:iCs/>
                <w:lang w:val="fr-FR"/>
              </w:rPr>
              <w:t xml:space="preserve"> mêmes objectifs que le projet initial, la phase II vise à promouvoir la </w:t>
            </w:r>
            <w:r w:rsidR="003F33BA" w:rsidRPr="00A365C1">
              <w:rPr>
                <w:iCs/>
                <w:lang w:val="fr-FR"/>
              </w:rPr>
              <w:t>continuité</w:t>
            </w:r>
            <w:r w:rsidRPr="00A365C1">
              <w:rPr>
                <w:iCs/>
                <w:lang w:val="fr-FR"/>
              </w:rPr>
              <w:t xml:space="preserve"> des recherches entamées lors de la première phase du projet et à étendre l</w:t>
            </w:r>
            <w:r w:rsidR="00ED416A">
              <w:rPr>
                <w:iCs/>
                <w:lang w:val="fr-FR"/>
              </w:rPr>
              <w:t>’</w:t>
            </w:r>
            <w:r w:rsidRPr="00A365C1">
              <w:rPr>
                <w:iCs/>
                <w:lang w:val="fr-FR"/>
              </w:rPr>
              <w:t>étude à de nouveaux pays et régions</w:t>
            </w:r>
            <w:r w:rsidR="00E97A7C" w:rsidRPr="00A365C1">
              <w:rPr>
                <w:iCs/>
                <w:lang w:val="fr-FR"/>
              </w:rPr>
              <w:t>,</w:t>
            </w:r>
            <w:r w:rsidRPr="00A365C1">
              <w:rPr>
                <w:iCs/>
                <w:lang w:val="fr-FR"/>
              </w:rPr>
              <w:t xml:space="preserve"> </w:t>
            </w:r>
            <w:r w:rsidR="00E97A7C" w:rsidRPr="00A365C1">
              <w:rPr>
                <w:iCs/>
                <w:lang w:val="fr-FR"/>
              </w:rPr>
              <w:t xml:space="preserve">et </w:t>
            </w:r>
            <w:r w:rsidRPr="00A365C1">
              <w:rPr>
                <w:iCs/>
                <w:lang w:val="fr-FR"/>
              </w:rPr>
              <w:t xml:space="preserve">à des sujets </w:t>
            </w:r>
            <w:r w:rsidR="00B67109" w:rsidRPr="00A365C1">
              <w:rPr>
                <w:iCs/>
                <w:lang w:val="fr-FR"/>
              </w:rPr>
              <w:t>non traités au cours de</w:t>
            </w:r>
            <w:r w:rsidRPr="00A365C1">
              <w:rPr>
                <w:iCs/>
                <w:lang w:val="fr-FR"/>
              </w:rPr>
              <w:t xml:space="preserve"> la phase</w:t>
            </w:r>
            <w:r w:rsidR="00C80BF7">
              <w:rPr>
                <w:iCs/>
                <w:lang w:val="fr-FR"/>
              </w:rPr>
              <w:t> </w:t>
            </w:r>
            <w:r w:rsidRPr="00A365C1">
              <w:rPr>
                <w:iCs/>
                <w:lang w:val="fr-FR"/>
              </w:rPr>
              <w:t>I.</w:t>
            </w:r>
          </w:p>
        </w:tc>
      </w:tr>
      <w:tr w:rsidR="00CA67D7" w:rsidRPr="00A365C1" w:rsidTr="00B26C11">
        <w:tc>
          <w:tcPr>
            <w:tcW w:w="2376" w:type="dxa"/>
            <w:shd w:val="clear" w:color="auto" w:fill="auto"/>
          </w:tcPr>
          <w:p w:rsidR="006B5952" w:rsidRPr="00A365C1" w:rsidRDefault="00871610" w:rsidP="00BB570E">
            <w:pPr>
              <w:rPr>
                <w:bCs/>
                <w:u w:val="single"/>
                <w:lang w:val="fr-FR"/>
              </w:rPr>
            </w:pPr>
            <w:r w:rsidRPr="00A365C1">
              <w:rPr>
                <w:bCs/>
                <w:u w:val="single"/>
                <w:lang w:val="fr-FR"/>
              </w:rPr>
              <w:t>Programme(s) mis en œuvre</w:t>
            </w:r>
          </w:p>
          <w:p w:rsidR="00810559" w:rsidRPr="00A365C1" w:rsidRDefault="00810559" w:rsidP="00BB570E">
            <w:pPr>
              <w:rPr>
                <w:u w:val="single"/>
                <w:lang w:val="fr-FR"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:rsidR="00810559" w:rsidRPr="00A365C1" w:rsidRDefault="00871610" w:rsidP="00BB570E">
            <w:pPr>
              <w:rPr>
                <w:iCs/>
                <w:lang w:val="fr-FR"/>
              </w:rPr>
            </w:pPr>
            <w:r w:rsidRPr="00A365C1">
              <w:rPr>
                <w:iCs/>
                <w:lang w:val="fr-FR"/>
              </w:rPr>
              <w:t>Programme 16 ‏– ‎Économie et statistiques</w:t>
            </w:r>
          </w:p>
        </w:tc>
      </w:tr>
      <w:tr w:rsidR="00CA67D7" w:rsidRPr="00A365C1" w:rsidTr="00B26C11">
        <w:trPr>
          <w:cantSplit/>
        </w:trPr>
        <w:tc>
          <w:tcPr>
            <w:tcW w:w="2376" w:type="dxa"/>
            <w:shd w:val="clear" w:color="auto" w:fill="auto"/>
          </w:tcPr>
          <w:p w:rsidR="006B5952" w:rsidRPr="00A365C1" w:rsidRDefault="00871610" w:rsidP="00BB570E">
            <w:pPr>
              <w:rPr>
                <w:u w:val="single"/>
                <w:lang w:val="fr-FR"/>
              </w:rPr>
            </w:pPr>
            <w:r w:rsidRPr="00A365C1">
              <w:rPr>
                <w:u w:val="single"/>
                <w:lang w:val="fr-FR"/>
              </w:rPr>
              <w:t>Liens avec d</w:t>
            </w:r>
            <w:r w:rsidR="00ED416A">
              <w:rPr>
                <w:u w:val="single"/>
                <w:lang w:val="fr-FR"/>
              </w:rPr>
              <w:t>’</w:t>
            </w:r>
            <w:r w:rsidRPr="00A365C1">
              <w:rPr>
                <w:u w:val="single"/>
                <w:lang w:val="fr-FR"/>
              </w:rPr>
              <w:t>autres programmes/projets connexes du Plan d</w:t>
            </w:r>
            <w:r w:rsidR="00ED416A">
              <w:rPr>
                <w:u w:val="single"/>
                <w:lang w:val="fr-FR"/>
              </w:rPr>
              <w:t>’</w:t>
            </w:r>
            <w:r w:rsidRPr="00A365C1">
              <w:rPr>
                <w:u w:val="single"/>
                <w:lang w:val="fr-FR"/>
              </w:rPr>
              <w:t>action pour le développement</w:t>
            </w:r>
          </w:p>
          <w:p w:rsidR="00810559" w:rsidRPr="00A365C1" w:rsidRDefault="00810559" w:rsidP="00BB570E">
            <w:pPr>
              <w:rPr>
                <w:u w:val="single"/>
                <w:lang w:val="fr-FR"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:rsidR="00810559" w:rsidRPr="00A365C1" w:rsidRDefault="00871610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 xml:space="preserve">Les études seront mises en </w:t>
            </w:r>
            <w:r w:rsidR="0076203A" w:rsidRPr="00A365C1">
              <w:rPr>
                <w:lang w:val="fr-FR"/>
              </w:rPr>
              <w:t>œuvre</w:t>
            </w:r>
            <w:r w:rsidRPr="00A365C1">
              <w:rPr>
                <w:lang w:val="fr-FR"/>
              </w:rPr>
              <w:t xml:space="preserve"> en coordination avec les programmes 8, 9 et 10.</w:t>
            </w:r>
          </w:p>
        </w:tc>
      </w:tr>
      <w:tr w:rsidR="00CA67D7" w:rsidRPr="00A365C1" w:rsidTr="00D40397">
        <w:tc>
          <w:tcPr>
            <w:tcW w:w="2376" w:type="dxa"/>
            <w:shd w:val="clear" w:color="auto" w:fill="auto"/>
          </w:tcPr>
          <w:p w:rsidR="006B5952" w:rsidRPr="00A365C1" w:rsidRDefault="00871610" w:rsidP="00BB570E">
            <w:pPr>
              <w:rPr>
                <w:lang w:val="fr-FR"/>
              </w:rPr>
            </w:pPr>
            <w:r w:rsidRPr="00A365C1">
              <w:rPr>
                <w:u w:val="single"/>
                <w:lang w:val="fr-FR"/>
              </w:rPr>
              <w:t>Liens avec les résultats escomptés dans le programme et budget</w:t>
            </w:r>
          </w:p>
          <w:p w:rsidR="00810559" w:rsidRPr="00A365C1" w:rsidDel="00196374" w:rsidRDefault="00810559" w:rsidP="00BB570E">
            <w:pPr>
              <w:rPr>
                <w:lang w:val="fr-FR"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:rsidR="00810559" w:rsidRPr="00A365C1" w:rsidDel="00196374" w:rsidRDefault="00871610" w:rsidP="00BB570E">
            <w:pPr>
              <w:rPr>
                <w:iCs/>
                <w:lang w:val="fr-FR"/>
              </w:rPr>
            </w:pPr>
            <w:r w:rsidRPr="00A365C1">
              <w:rPr>
                <w:iCs/>
                <w:lang w:val="fr-FR"/>
              </w:rPr>
              <w:t>V.2 Utilisation élargie et améliorée des analyses économiques de l</w:t>
            </w:r>
            <w:r w:rsidR="00ED416A">
              <w:rPr>
                <w:iCs/>
                <w:lang w:val="fr-FR"/>
              </w:rPr>
              <w:t>’</w:t>
            </w:r>
            <w:r w:rsidRPr="00A365C1">
              <w:rPr>
                <w:iCs/>
                <w:lang w:val="fr-FR"/>
              </w:rPr>
              <w:t>OMPI aux fins de l</w:t>
            </w:r>
            <w:r w:rsidR="00ED416A">
              <w:rPr>
                <w:iCs/>
                <w:lang w:val="fr-FR"/>
              </w:rPr>
              <w:t>’</w:t>
            </w:r>
            <w:r w:rsidRPr="00A365C1">
              <w:rPr>
                <w:iCs/>
                <w:lang w:val="fr-FR"/>
              </w:rPr>
              <w:t>élaboration des politiques</w:t>
            </w:r>
          </w:p>
        </w:tc>
      </w:tr>
      <w:tr w:rsidR="00CA67D7" w:rsidRPr="00A365C1" w:rsidTr="00B26C11">
        <w:tc>
          <w:tcPr>
            <w:tcW w:w="2376" w:type="dxa"/>
            <w:shd w:val="clear" w:color="auto" w:fill="auto"/>
          </w:tcPr>
          <w:p w:rsidR="006B5952" w:rsidRPr="00A365C1" w:rsidRDefault="00871610" w:rsidP="00BB570E">
            <w:pPr>
              <w:rPr>
                <w:lang w:val="fr-FR"/>
              </w:rPr>
            </w:pPr>
            <w:r w:rsidRPr="00A365C1">
              <w:rPr>
                <w:u w:val="single"/>
                <w:lang w:val="fr-FR"/>
              </w:rPr>
              <w:t>Durée du projet</w:t>
            </w:r>
          </w:p>
          <w:p w:rsidR="00810559" w:rsidRPr="00A365C1" w:rsidRDefault="00810559" w:rsidP="00BB570E">
            <w:pPr>
              <w:rPr>
                <w:b/>
                <w:lang w:val="fr-FR"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:rsidR="00810559" w:rsidRPr="00A365C1" w:rsidRDefault="00871610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36 mois.</w:t>
            </w:r>
          </w:p>
        </w:tc>
      </w:tr>
      <w:tr w:rsidR="00CA67D7" w:rsidRPr="00A365C1" w:rsidTr="00B26C11">
        <w:tc>
          <w:tcPr>
            <w:tcW w:w="2376" w:type="dxa"/>
            <w:shd w:val="clear" w:color="auto" w:fill="auto"/>
          </w:tcPr>
          <w:p w:rsidR="006B5952" w:rsidRPr="00A365C1" w:rsidRDefault="00871610" w:rsidP="00BB570E">
            <w:pPr>
              <w:keepNext/>
              <w:keepLines/>
              <w:rPr>
                <w:lang w:val="fr-FR"/>
              </w:rPr>
            </w:pPr>
            <w:r w:rsidRPr="00A365C1">
              <w:rPr>
                <w:u w:val="single"/>
                <w:lang w:val="fr-FR"/>
              </w:rPr>
              <w:lastRenderedPageBreak/>
              <w:t>Budget du projet</w:t>
            </w:r>
          </w:p>
          <w:p w:rsidR="00810559" w:rsidRPr="00A365C1" w:rsidRDefault="00810559" w:rsidP="00BB570E">
            <w:pPr>
              <w:rPr>
                <w:b/>
                <w:lang w:val="fr-FR"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:rsidR="006B5952" w:rsidRPr="00A365C1" w:rsidRDefault="00871610" w:rsidP="00BB570E">
            <w:pPr>
              <w:rPr>
                <w:i/>
                <w:iCs/>
                <w:lang w:val="fr-FR"/>
              </w:rPr>
            </w:pPr>
            <w:r w:rsidRPr="00A365C1">
              <w:rPr>
                <w:i/>
                <w:iCs/>
                <w:lang w:val="fr-FR"/>
              </w:rPr>
              <w:t>Dépenses autres que les dépenses de personnel : 485 000 francs suisses</w:t>
            </w:r>
          </w:p>
          <w:p w:rsidR="006B5952" w:rsidRPr="00A365C1" w:rsidRDefault="006B5952" w:rsidP="00BB570E">
            <w:pPr>
              <w:rPr>
                <w:i/>
                <w:iCs/>
                <w:lang w:val="fr-FR"/>
              </w:rPr>
            </w:pPr>
          </w:p>
          <w:p w:rsidR="006B5952" w:rsidRPr="00A365C1" w:rsidRDefault="00B27CCD" w:rsidP="00BB570E">
            <w:pPr>
              <w:rPr>
                <w:i/>
                <w:iCs/>
                <w:lang w:val="fr-FR"/>
              </w:rPr>
            </w:pPr>
            <w:r w:rsidRPr="00A365C1">
              <w:rPr>
                <w:i/>
                <w:iCs/>
                <w:lang w:val="fr-FR"/>
              </w:rPr>
              <w:t>Dépenses de personnel</w:t>
            </w:r>
            <w:r w:rsidR="007A7228" w:rsidRPr="00A365C1">
              <w:rPr>
                <w:i/>
                <w:iCs/>
                <w:lang w:val="fr-FR"/>
              </w:rPr>
              <w:t>*</w:t>
            </w:r>
            <w:r w:rsidRPr="00A365C1">
              <w:rPr>
                <w:i/>
                <w:iCs/>
                <w:lang w:val="fr-FR"/>
              </w:rPr>
              <w:t> : 316 000 francs suisses</w:t>
            </w:r>
          </w:p>
          <w:p w:rsidR="006B5952" w:rsidRPr="00A365C1" w:rsidRDefault="007A7228" w:rsidP="00BB570E">
            <w:pPr>
              <w:rPr>
                <w:i/>
                <w:iCs/>
                <w:lang w:val="fr-FR"/>
              </w:rPr>
            </w:pPr>
            <w:r w:rsidRPr="00A365C1">
              <w:rPr>
                <w:i/>
                <w:iCs/>
                <w:lang w:val="fr-FR"/>
              </w:rPr>
              <w:t>*</w:t>
            </w:r>
            <w:r w:rsidR="00B27CCD" w:rsidRPr="00A365C1">
              <w:rPr>
                <w:i/>
                <w:iCs/>
                <w:lang w:val="fr-FR"/>
              </w:rPr>
              <w:t>Sont comprises les dépenses liées au poste d</w:t>
            </w:r>
            <w:r w:rsidR="00ED416A">
              <w:rPr>
                <w:i/>
                <w:iCs/>
                <w:lang w:val="fr-FR"/>
              </w:rPr>
              <w:t>’</w:t>
            </w:r>
            <w:r w:rsidR="00B27CCD" w:rsidRPr="00A365C1">
              <w:rPr>
                <w:i/>
                <w:iCs/>
                <w:lang w:val="fr-FR"/>
              </w:rPr>
              <w:t xml:space="preserve">administrateur de projet, mais pas les </w:t>
            </w:r>
            <w:r w:rsidR="00EC5B27" w:rsidRPr="00A365C1">
              <w:rPr>
                <w:i/>
                <w:iCs/>
                <w:lang w:val="fr-FR"/>
              </w:rPr>
              <w:t xml:space="preserve">contributions </w:t>
            </w:r>
            <w:r w:rsidR="00B27CCD" w:rsidRPr="00A365C1">
              <w:rPr>
                <w:i/>
                <w:iCs/>
                <w:lang w:val="fr-FR"/>
              </w:rPr>
              <w:t>des membres du personnel de l</w:t>
            </w:r>
            <w:r w:rsidR="00ED416A">
              <w:rPr>
                <w:i/>
                <w:iCs/>
                <w:lang w:val="fr-FR"/>
              </w:rPr>
              <w:t>’</w:t>
            </w:r>
            <w:r w:rsidR="00B27CCD" w:rsidRPr="00A365C1">
              <w:rPr>
                <w:i/>
                <w:iCs/>
                <w:lang w:val="fr-FR"/>
              </w:rPr>
              <w:t>OMPI.</w:t>
            </w:r>
          </w:p>
          <w:p w:rsidR="00810559" w:rsidRPr="00A365C1" w:rsidRDefault="00810559" w:rsidP="00BB570E">
            <w:pPr>
              <w:rPr>
                <w:iCs/>
                <w:lang w:val="fr-FR"/>
              </w:rPr>
            </w:pPr>
          </w:p>
        </w:tc>
      </w:tr>
      <w:tr w:rsidR="00810559" w:rsidRPr="00A365C1" w:rsidTr="004C142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52" w:rsidRPr="00A365C1" w:rsidRDefault="00810559" w:rsidP="00BB570E">
            <w:pPr>
              <w:rPr>
                <w:b/>
                <w:bCs/>
                <w:lang w:val="fr-FR"/>
              </w:rPr>
            </w:pPr>
            <w:r w:rsidRPr="00A365C1">
              <w:rPr>
                <w:lang w:val="fr-FR"/>
              </w:rPr>
              <w:br w:type="page"/>
            </w:r>
          </w:p>
          <w:p w:rsidR="006B5952" w:rsidRPr="00A365C1" w:rsidRDefault="00943653" w:rsidP="00BB570E">
            <w:pPr>
              <w:rPr>
                <w:bCs/>
                <w:iCs/>
                <w:lang w:val="fr-FR"/>
              </w:rPr>
            </w:pPr>
            <w:r>
              <w:rPr>
                <w:bCs/>
                <w:iCs/>
                <w:lang w:val="fr-FR"/>
              </w:rPr>
              <w:t xml:space="preserve">2. </w:t>
            </w:r>
            <w:r>
              <w:rPr>
                <w:bCs/>
                <w:iCs/>
                <w:lang w:val="fr-FR"/>
              </w:rPr>
              <w:tab/>
            </w:r>
            <w:r w:rsidR="00B27CCD" w:rsidRPr="00A365C1">
              <w:rPr>
                <w:bCs/>
                <w:iCs/>
                <w:lang w:val="fr-FR"/>
              </w:rPr>
              <w:t>DESCRIPTION DU PROJET</w:t>
            </w:r>
          </w:p>
          <w:p w:rsidR="00810559" w:rsidRPr="00A365C1" w:rsidRDefault="00810559" w:rsidP="00BB570E">
            <w:pPr>
              <w:rPr>
                <w:b/>
                <w:bCs/>
                <w:lang w:val="fr-FR"/>
              </w:rPr>
            </w:pPr>
          </w:p>
        </w:tc>
      </w:tr>
      <w:tr w:rsidR="00810559" w:rsidRPr="00A365C1" w:rsidTr="004C142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19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59" w:rsidRPr="00A365C1" w:rsidRDefault="00B27CCD" w:rsidP="00BB570E">
            <w:pPr>
              <w:numPr>
                <w:ilvl w:val="1"/>
                <w:numId w:val="8"/>
              </w:numPr>
              <w:tabs>
                <w:tab w:val="clear" w:pos="720"/>
                <w:tab w:val="num" w:pos="567"/>
              </w:tabs>
              <w:rPr>
                <w:bCs/>
                <w:u w:val="single"/>
                <w:lang w:val="fr-FR"/>
              </w:rPr>
            </w:pPr>
            <w:r w:rsidRPr="00A365C1">
              <w:rPr>
                <w:bCs/>
                <w:u w:val="single"/>
                <w:lang w:val="fr-FR"/>
              </w:rPr>
              <w:t>Résultats de la phase I</w:t>
            </w:r>
          </w:p>
        </w:tc>
      </w:tr>
      <w:tr w:rsidR="00810559" w:rsidRPr="00A365C1" w:rsidTr="004C142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52" w:rsidRPr="00A365C1" w:rsidRDefault="00332E8B" w:rsidP="00BB570E">
            <w:pPr>
              <w:pStyle w:val="ONUME"/>
              <w:numPr>
                <w:ilvl w:val="0"/>
                <w:numId w:val="0"/>
              </w:numPr>
              <w:ind w:left="567"/>
              <w:rPr>
                <w:bCs/>
                <w:lang w:val="fr-FR"/>
              </w:rPr>
            </w:pPr>
            <w:r w:rsidRPr="00A365C1">
              <w:rPr>
                <w:bCs/>
                <w:lang w:val="fr-FR"/>
              </w:rPr>
              <w:t>Au cours de la phase</w:t>
            </w:r>
            <w:r w:rsidR="00C80BF7">
              <w:rPr>
                <w:bCs/>
                <w:lang w:val="fr-FR"/>
              </w:rPr>
              <w:t> </w:t>
            </w:r>
            <w:r w:rsidRPr="00A365C1">
              <w:rPr>
                <w:bCs/>
                <w:lang w:val="fr-FR"/>
              </w:rPr>
              <w:t>I du projet, des travaux de recherche ont été menés dans six</w:t>
            </w:r>
            <w:r w:rsidR="00731524">
              <w:rPr>
                <w:bCs/>
                <w:lang w:val="fr-FR"/>
              </w:rPr>
              <w:t> </w:t>
            </w:r>
            <w:r w:rsidRPr="00A365C1">
              <w:rPr>
                <w:bCs/>
                <w:lang w:val="fr-FR"/>
              </w:rPr>
              <w:t>pays (Brésil</w:t>
            </w:r>
            <w:r w:rsidR="00CA67D7" w:rsidRPr="00A365C1">
              <w:rPr>
                <w:bCs/>
                <w:lang w:val="fr-FR"/>
              </w:rPr>
              <w:t>,</w:t>
            </w:r>
            <w:r w:rsidR="009F6958" w:rsidRPr="00A365C1">
              <w:rPr>
                <w:bCs/>
                <w:lang w:val="fr-FR"/>
              </w:rPr>
              <w:t xml:space="preserve"> Chili, Chine, É</w:t>
            </w:r>
            <w:r w:rsidRPr="00A365C1">
              <w:rPr>
                <w:bCs/>
                <w:lang w:val="fr-FR"/>
              </w:rPr>
              <w:t>gypte, Thaïlande et Uruguay), donnant lieu à toute une série d</w:t>
            </w:r>
            <w:r w:rsidR="00ED416A">
              <w:rPr>
                <w:bCs/>
                <w:lang w:val="fr-FR"/>
              </w:rPr>
              <w:t>’</w:t>
            </w:r>
            <w:r w:rsidRPr="00A365C1">
              <w:rPr>
                <w:bCs/>
                <w:lang w:val="fr-FR"/>
              </w:rPr>
              <w:t>études sur la propriété intellectuelle et les résultats socioéconomiques.</w:t>
            </w:r>
            <w:r w:rsidR="00810559" w:rsidRPr="00A365C1">
              <w:rPr>
                <w:bCs/>
                <w:lang w:val="fr-FR"/>
              </w:rPr>
              <w:t xml:space="preserve">  </w:t>
            </w:r>
            <w:r w:rsidRPr="00A365C1">
              <w:rPr>
                <w:bCs/>
                <w:lang w:val="fr-FR"/>
              </w:rPr>
              <w:t>Outre des études analytiques, le projet a favorisé la création d</w:t>
            </w:r>
            <w:r w:rsidR="00ED416A">
              <w:rPr>
                <w:bCs/>
                <w:lang w:val="fr-FR"/>
              </w:rPr>
              <w:t>’</w:t>
            </w:r>
            <w:r w:rsidRPr="00A365C1">
              <w:rPr>
                <w:bCs/>
                <w:lang w:val="fr-FR"/>
              </w:rPr>
              <w:t xml:space="preserve">ensembles de </w:t>
            </w:r>
            <w:proofErr w:type="spellStart"/>
            <w:r w:rsidRPr="00A365C1">
              <w:rPr>
                <w:bCs/>
                <w:lang w:val="fr-FR"/>
              </w:rPr>
              <w:t>microdonnées</w:t>
            </w:r>
            <w:proofErr w:type="spellEnd"/>
            <w:r w:rsidRPr="00A365C1">
              <w:rPr>
                <w:bCs/>
                <w:lang w:val="fr-FR"/>
              </w:rPr>
              <w:t xml:space="preserve"> sur la propriété intellectuelle et les résultats économiques, en s</w:t>
            </w:r>
            <w:r w:rsidR="00ED416A">
              <w:rPr>
                <w:bCs/>
                <w:lang w:val="fr-FR"/>
              </w:rPr>
              <w:t>’</w:t>
            </w:r>
            <w:r w:rsidRPr="00A365C1">
              <w:rPr>
                <w:bCs/>
                <w:lang w:val="fr-FR"/>
              </w:rPr>
              <w:t>appuyant sur les données opérationnelles des bureau</w:t>
            </w:r>
            <w:r w:rsidR="006F0427" w:rsidRPr="00A365C1">
              <w:rPr>
                <w:bCs/>
                <w:lang w:val="fr-FR"/>
              </w:rPr>
              <w:t>x de propriété intellectuelle, l</w:t>
            </w:r>
            <w:r w:rsidRPr="00A365C1">
              <w:rPr>
                <w:bCs/>
                <w:lang w:val="fr-FR"/>
              </w:rPr>
              <w:t>es données d</w:t>
            </w:r>
            <w:r w:rsidR="00ED416A">
              <w:rPr>
                <w:bCs/>
                <w:lang w:val="fr-FR"/>
              </w:rPr>
              <w:t>’</w:t>
            </w:r>
            <w:r w:rsidRPr="00A365C1">
              <w:rPr>
                <w:bCs/>
                <w:lang w:val="fr-FR"/>
              </w:rPr>
              <w:t xml:space="preserve">enquête tenues par des </w:t>
            </w:r>
            <w:r w:rsidR="00CA67D7" w:rsidRPr="00A365C1">
              <w:rPr>
                <w:bCs/>
                <w:lang w:val="fr-FR"/>
              </w:rPr>
              <w:t>instituts</w:t>
            </w:r>
            <w:r w:rsidRPr="00A365C1">
              <w:rPr>
                <w:bCs/>
                <w:lang w:val="fr-FR"/>
              </w:rPr>
              <w:t xml:space="preserve"> nationaux de statistique et d</w:t>
            </w:r>
            <w:r w:rsidR="00ED416A">
              <w:rPr>
                <w:bCs/>
                <w:lang w:val="fr-FR"/>
              </w:rPr>
              <w:t>’</w:t>
            </w:r>
            <w:r w:rsidRPr="00A365C1">
              <w:rPr>
                <w:bCs/>
                <w:lang w:val="fr-FR"/>
              </w:rPr>
              <w:t>autres sources de données.</w:t>
            </w:r>
          </w:p>
          <w:p w:rsidR="006B5952" w:rsidRPr="00A365C1" w:rsidRDefault="009261EF" w:rsidP="00BB570E">
            <w:pPr>
              <w:pStyle w:val="ONUME"/>
              <w:numPr>
                <w:ilvl w:val="0"/>
                <w:numId w:val="0"/>
              </w:numPr>
              <w:ind w:left="567"/>
              <w:rPr>
                <w:bCs/>
                <w:lang w:val="fr-FR"/>
              </w:rPr>
            </w:pPr>
            <w:r w:rsidRPr="00A365C1">
              <w:rPr>
                <w:bCs/>
                <w:lang w:val="fr-FR"/>
              </w:rPr>
              <w:t>Dans le rapport d</w:t>
            </w:r>
            <w:r w:rsidR="00ED416A">
              <w:rPr>
                <w:bCs/>
                <w:lang w:val="fr-FR"/>
              </w:rPr>
              <w:t>’</w:t>
            </w:r>
            <w:r w:rsidRPr="00A365C1">
              <w:rPr>
                <w:bCs/>
                <w:lang w:val="fr-FR"/>
              </w:rPr>
              <w:t>évaluation du projet (CDIP/14/3), les conclusions ci</w:t>
            </w:r>
            <w:r w:rsidR="005F69B3">
              <w:rPr>
                <w:bCs/>
                <w:lang w:val="fr-FR"/>
              </w:rPr>
              <w:noBreakHyphen/>
            </w:r>
            <w:r w:rsidRPr="00A365C1">
              <w:rPr>
                <w:bCs/>
                <w:lang w:val="fr-FR"/>
              </w:rPr>
              <w:t>après concernant la pertinence, la qualité et la portée du rapport ont notamment été formulées</w:t>
            </w:r>
            <w:r w:rsidR="00731524">
              <w:rPr>
                <w:bCs/>
                <w:lang w:val="fr-FR"/>
              </w:rPr>
              <w:t> </w:t>
            </w:r>
            <w:r w:rsidRPr="00A365C1">
              <w:rPr>
                <w:bCs/>
                <w:lang w:val="fr-FR"/>
              </w:rPr>
              <w:t>:</w:t>
            </w:r>
          </w:p>
          <w:p w:rsidR="006B5952" w:rsidRPr="00A365C1" w:rsidRDefault="006B674D" w:rsidP="00BB570E">
            <w:pPr>
              <w:pStyle w:val="ONUME"/>
              <w:numPr>
                <w:ilvl w:val="0"/>
                <w:numId w:val="10"/>
              </w:numPr>
              <w:spacing w:after="120"/>
              <w:ind w:left="1282"/>
              <w:rPr>
                <w:bCs/>
                <w:lang w:val="fr-FR"/>
              </w:rPr>
            </w:pPr>
            <w:r w:rsidRPr="00A365C1">
              <w:rPr>
                <w:bCs/>
                <w:lang w:val="fr-FR"/>
              </w:rPr>
              <w:t>l</w:t>
            </w:r>
            <w:r w:rsidR="009261EF" w:rsidRPr="00A365C1">
              <w:rPr>
                <w:bCs/>
                <w:lang w:val="fr-FR"/>
              </w:rPr>
              <w:t>e projet a présenté un réel intérêt pour les États membres en ce qui leur a permis d</w:t>
            </w:r>
            <w:r w:rsidR="00ED416A">
              <w:rPr>
                <w:bCs/>
                <w:lang w:val="fr-FR"/>
              </w:rPr>
              <w:t>’</w:t>
            </w:r>
            <w:r w:rsidR="009261EF" w:rsidRPr="00A365C1">
              <w:rPr>
                <w:bCs/>
                <w:lang w:val="fr-FR"/>
              </w:rPr>
              <w:t>élaborer des politiques et d</w:t>
            </w:r>
            <w:r w:rsidR="00ED416A">
              <w:rPr>
                <w:bCs/>
                <w:lang w:val="fr-FR"/>
              </w:rPr>
              <w:t>’</w:t>
            </w:r>
            <w:r w:rsidR="009261EF" w:rsidRPr="00A365C1">
              <w:rPr>
                <w:bCs/>
                <w:lang w:val="fr-FR"/>
              </w:rPr>
              <w:t>établir des liens entre l</w:t>
            </w:r>
            <w:r w:rsidR="00ED416A">
              <w:rPr>
                <w:bCs/>
                <w:lang w:val="fr-FR"/>
              </w:rPr>
              <w:t>’</w:t>
            </w:r>
            <w:r w:rsidR="009261EF" w:rsidRPr="00A365C1">
              <w:rPr>
                <w:bCs/>
                <w:lang w:val="fr-FR"/>
              </w:rPr>
              <w:t>utilisation de la propriété intellectuelle et l</w:t>
            </w:r>
            <w:r w:rsidR="00ED416A">
              <w:rPr>
                <w:bCs/>
                <w:lang w:val="fr-FR"/>
              </w:rPr>
              <w:t>’</w:t>
            </w:r>
            <w:r w:rsidR="009261EF" w:rsidRPr="00A365C1">
              <w:rPr>
                <w:bCs/>
                <w:lang w:val="fr-FR"/>
              </w:rPr>
              <w:t xml:space="preserve">obtention de résultats à </w:t>
            </w:r>
            <w:r w:rsidRPr="00A365C1">
              <w:rPr>
                <w:bCs/>
                <w:lang w:val="fr-FR"/>
              </w:rPr>
              <w:t>l</w:t>
            </w:r>
            <w:r w:rsidR="00ED416A">
              <w:rPr>
                <w:bCs/>
                <w:lang w:val="fr-FR"/>
              </w:rPr>
              <w:t>’</w:t>
            </w:r>
            <w:r w:rsidRPr="00A365C1">
              <w:rPr>
                <w:bCs/>
                <w:lang w:val="fr-FR"/>
              </w:rPr>
              <w:t>échelle économique et sociale;</w:t>
            </w:r>
          </w:p>
          <w:p w:rsidR="006B5952" w:rsidRPr="00A365C1" w:rsidRDefault="006B674D" w:rsidP="00BB570E">
            <w:pPr>
              <w:pStyle w:val="ONUME"/>
              <w:numPr>
                <w:ilvl w:val="0"/>
                <w:numId w:val="10"/>
              </w:numPr>
              <w:spacing w:after="120"/>
              <w:ind w:left="1282"/>
              <w:rPr>
                <w:bCs/>
                <w:lang w:val="fr-FR"/>
              </w:rPr>
            </w:pPr>
            <w:r w:rsidRPr="00A365C1">
              <w:rPr>
                <w:bCs/>
                <w:lang w:val="fr-FR"/>
              </w:rPr>
              <w:t>l</w:t>
            </w:r>
            <w:r w:rsidR="009261EF" w:rsidRPr="00A365C1">
              <w:rPr>
                <w:bCs/>
                <w:lang w:val="fr-FR"/>
              </w:rPr>
              <w:t>es études réalisées dans le cadre de ce projet étaient de bonne qualité et le projet a contribué à renforcer les capacités des offices nationaux de la propriété intellectuelle et des experts locaux dans les pays bénéficiaires en leur permettant de mieux comprendre quels sont les facteurs qui déterminent l</w:t>
            </w:r>
            <w:r w:rsidR="00ED416A">
              <w:rPr>
                <w:bCs/>
                <w:lang w:val="fr-FR"/>
              </w:rPr>
              <w:t>’</w:t>
            </w:r>
            <w:r w:rsidR="009261EF" w:rsidRPr="00A365C1">
              <w:rPr>
                <w:bCs/>
                <w:lang w:val="fr-FR"/>
              </w:rPr>
              <w:t>utilisation qui est faite</w:t>
            </w:r>
            <w:r w:rsidRPr="00A365C1">
              <w:rPr>
                <w:bCs/>
                <w:lang w:val="fr-FR"/>
              </w:rPr>
              <w:t xml:space="preserve"> de la propriété intellectuelle;</w:t>
            </w:r>
          </w:p>
          <w:p w:rsidR="006B5952" w:rsidRPr="00A365C1" w:rsidRDefault="006B674D" w:rsidP="00BB570E">
            <w:pPr>
              <w:pStyle w:val="ONUME"/>
              <w:numPr>
                <w:ilvl w:val="0"/>
                <w:numId w:val="10"/>
              </w:numPr>
              <w:spacing w:after="120"/>
              <w:ind w:left="1282"/>
              <w:rPr>
                <w:bCs/>
                <w:lang w:val="fr-FR"/>
              </w:rPr>
            </w:pPr>
            <w:r w:rsidRPr="00A365C1">
              <w:rPr>
                <w:bCs/>
                <w:lang w:val="fr-FR"/>
              </w:rPr>
              <w:t>l</w:t>
            </w:r>
            <w:r w:rsidR="009261EF" w:rsidRPr="00A365C1">
              <w:rPr>
                <w:bCs/>
                <w:lang w:val="fr-FR"/>
              </w:rPr>
              <w:t>a méthode appliquée avec succès à un petit nombre de pays pourrait également être appliquée à d</w:t>
            </w:r>
            <w:r w:rsidR="00ED416A">
              <w:rPr>
                <w:bCs/>
                <w:lang w:val="fr-FR"/>
              </w:rPr>
              <w:t>’</w:t>
            </w:r>
            <w:r w:rsidR="009261EF" w:rsidRPr="00A365C1">
              <w:rPr>
                <w:bCs/>
                <w:lang w:val="fr-FR"/>
              </w:rPr>
              <w:t>autres pays.</w:t>
            </w:r>
          </w:p>
          <w:p w:rsidR="00810559" w:rsidRPr="00A365C1" w:rsidRDefault="00810559" w:rsidP="00BB570E">
            <w:pPr>
              <w:pStyle w:val="ONUME"/>
              <w:numPr>
                <w:ilvl w:val="0"/>
                <w:numId w:val="0"/>
              </w:numPr>
              <w:ind w:left="567"/>
              <w:rPr>
                <w:bCs/>
                <w:lang w:val="fr-FR"/>
              </w:rPr>
            </w:pPr>
          </w:p>
        </w:tc>
      </w:tr>
      <w:tr w:rsidR="00810559" w:rsidRPr="00A365C1" w:rsidTr="004C142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153" w:rsidRDefault="009261EF" w:rsidP="00BB570E">
            <w:pPr>
              <w:rPr>
                <w:bCs/>
                <w:iCs/>
                <w:lang w:val="fr-FR"/>
              </w:rPr>
            </w:pPr>
            <w:r w:rsidRPr="00A365C1">
              <w:rPr>
                <w:bCs/>
                <w:iCs/>
                <w:lang w:val="fr-FR"/>
              </w:rPr>
              <w:t>2</w:t>
            </w:r>
            <w:r w:rsidR="00CA67D7" w:rsidRPr="00A365C1">
              <w:rPr>
                <w:bCs/>
                <w:iCs/>
                <w:lang w:val="fr-FR"/>
              </w:rPr>
              <w:t>.</w:t>
            </w:r>
            <w:r w:rsidRPr="00A365C1">
              <w:rPr>
                <w:bCs/>
                <w:iCs/>
                <w:lang w:val="fr-FR"/>
              </w:rPr>
              <w:t xml:space="preserve">2. </w:t>
            </w:r>
            <w:r w:rsidR="00943653">
              <w:rPr>
                <w:bCs/>
                <w:iCs/>
                <w:lang w:val="fr-FR"/>
              </w:rPr>
              <w:tab/>
            </w:r>
            <w:r w:rsidRPr="00A365C1">
              <w:rPr>
                <w:bCs/>
                <w:iCs/>
                <w:u w:val="single"/>
                <w:lang w:val="fr-FR"/>
              </w:rPr>
              <w:t>Objectifs de la phase II</w:t>
            </w:r>
          </w:p>
          <w:p w:rsidR="00810559" w:rsidRPr="00A365C1" w:rsidRDefault="00810559" w:rsidP="00BB570E">
            <w:pPr>
              <w:rPr>
                <w:i/>
                <w:lang w:val="fr-FR"/>
              </w:rPr>
            </w:pPr>
          </w:p>
        </w:tc>
      </w:tr>
      <w:tr w:rsidR="00810559" w:rsidRPr="00A365C1" w:rsidTr="00C80BF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7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52" w:rsidRPr="00A365C1" w:rsidRDefault="009261EF" w:rsidP="00BB570E">
            <w:pPr>
              <w:pStyle w:val="ONUME"/>
              <w:numPr>
                <w:ilvl w:val="0"/>
                <w:numId w:val="0"/>
              </w:numPr>
              <w:spacing w:after="120"/>
              <w:ind w:left="567"/>
              <w:rPr>
                <w:lang w:val="fr-FR"/>
              </w:rPr>
            </w:pPr>
            <w:r w:rsidRPr="00A365C1">
              <w:rPr>
                <w:lang w:val="fr-FR"/>
              </w:rPr>
              <w:t>Les objectifs de ce projet sont directement déterminés par les recommandations n</w:t>
            </w:r>
            <w:r w:rsidRPr="009E6999">
              <w:rPr>
                <w:vertAlign w:val="superscript"/>
                <w:lang w:val="fr-FR"/>
              </w:rPr>
              <w:t>os</w:t>
            </w:r>
            <w:r w:rsidRPr="00A365C1">
              <w:rPr>
                <w:lang w:val="fr-FR"/>
              </w:rPr>
              <w:t xml:space="preserve"> 35 et 37, </w:t>
            </w:r>
            <w:r w:rsidR="00ED416A">
              <w:rPr>
                <w:lang w:val="fr-FR"/>
              </w:rPr>
              <w:t>à savoir</w:t>
            </w:r>
            <w:r w:rsidRPr="00A365C1">
              <w:rPr>
                <w:lang w:val="fr-FR"/>
              </w:rPr>
              <w:t xml:space="preserve"> acquérir une meilleure compréhension des effets socioéconomiques de la protection de la propriété intellectuelle dans les pays en développement.</w:t>
            </w:r>
          </w:p>
          <w:p w:rsidR="006B5952" w:rsidRPr="00A365C1" w:rsidRDefault="000F4B5D" w:rsidP="00BB570E">
            <w:pPr>
              <w:pStyle w:val="ONUME"/>
              <w:numPr>
                <w:ilvl w:val="0"/>
                <w:numId w:val="0"/>
              </w:numPr>
              <w:spacing w:after="120"/>
              <w:ind w:left="567"/>
              <w:rPr>
                <w:lang w:val="fr-FR"/>
              </w:rPr>
            </w:pPr>
            <w:r w:rsidRPr="00A365C1">
              <w:rPr>
                <w:lang w:val="fr-FR"/>
              </w:rPr>
              <w:t>Un objectif connexe est la création et la tenue à jour de capacités d</w:t>
            </w:r>
            <w:r w:rsidR="00ED416A">
              <w:rPr>
                <w:lang w:val="fr-FR"/>
              </w:rPr>
              <w:t>’</w:t>
            </w:r>
            <w:r w:rsidRPr="00A365C1">
              <w:rPr>
                <w:lang w:val="fr-FR"/>
              </w:rPr>
              <w:t>analyse dans les pays où peu d</w:t>
            </w:r>
            <w:r w:rsidR="00ED416A">
              <w:rPr>
                <w:lang w:val="fr-FR"/>
              </w:rPr>
              <w:t>’</w:t>
            </w:r>
            <w:r w:rsidRPr="00A365C1">
              <w:rPr>
                <w:lang w:val="fr-FR"/>
              </w:rPr>
              <w:t>études économiques sur la propriété intellectuelle ont été entreprises jusqu</w:t>
            </w:r>
            <w:r w:rsidR="00ED416A">
              <w:rPr>
                <w:lang w:val="fr-FR"/>
              </w:rPr>
              <w:t>’</w:t>
            </w:r>
            <w:r w:rsidRPr="00A365C1">
              <w:rPr>
                <w:lang w:val="fr-FR"/>
              </w:rPr>
              <w:t>ici.</w:t>
            </w:r>
            <w:bookmarkStart w:id="4" w:name="_GoBack"/>
            <w:bookmarkEnd w:id="4"/>
          </w:p>
          <w:p w:rsidR="006B5952" w:rsidRPr="00A365C1" w:rsidRDefault="000F4B5D" w:rsidP="00BB570E">
            <w:pPr>
              <w:pStyle w:val="ONUME"/>
              <w:numPr>
                <w:ilvl w:val="0"/>
                <w:numId w:val="0"/>
              </w:numPr>
              <w:spacing w:after="120"/>
              <w:ind w:left="567"/>
              <w:rPr>
                <w:lang w:val="fr-FR"/>
              </w:rPr>
            </w:pPr>
            <w:r w:rsidRPr="00A365C1">
              <w:rPr>
                <w:lang w:val="fr-FR"/>
              </w:rPr>
              <w:t>Le projet est principalement destiné aux décideurs et à leurs conseillers, les autres bénéficiaires étant les organisations non gouvernementales, les économistes et le grand public.</w:t>
            </w:r>
          </w:p>
          <w:p w:rsidR="006B5952" w:rsidRPr="00A365C1" w:rsidRDefault="000F4B5D" w:rsidP="00BB570E">
            <w:pPr>
              <w:pStyle w:val="ONUME"/>
              <w:numPr>
                <w:ilvl w:val="0"/>
                <w:numId w:val="0"/>
              </w:numPr>
              <w:spacing w:after="120"/>
              <w:ind w:left="567"/>
              <w:rPr>
                <w:lang w:val="fr-FR"/>
              </w:rPr>
            </w:pPr>
            <w:r w:rsidRPr="00A365C1">
              <w:rPr>
                <w:lang w:val="fr-FR"/>
              </w:rPr>
              <w:t>En définitive, il est espéré que ce projet contribuera à mieux informer les décideurs chargés d</w:t>
            </w:r>
            <w:r w:rsidR="00ED416A">
              <w:rPr>
                <w:lang w:val="fr-FR"/>
              </w:rPr>
              <w:t>’</w:t>
            </w:r>
            <w:r w:rsidRPr="00A365C1">
              <w:rPr>
                <w:lang w:val="fr-FR"/>
              </w:rPr>
              <w:t>élaborer les politiques de propriété intellectuelle aux niveaux national et international.</w:t>
            </w:r>
          </w:p>
          <w:p w:rsidR="00810559" w:rsidRPr="00A365C1" w:rsidRDefault="00810559" w:rsidP="00BB570E">
            <w:pPr>
              <w:pStyle w:val="ONUME"/>
              <w:numPr>
                <w:ilvl w:val="0"/>
                <w:numId w:val="0"/>
              </w:numPr>
              <w:spacing w:after="120"/>
              <w:ind w:left="567"/>
              <w:rPr>
                <w:lang w:val="fr-FR"/>
              </w:rPr>
            </w:pPr>
          </w:p>
        </w:tc>
      </w:tr>
      <w:tr w:rsidR="00810559" w:rsidRPr="00A365C1" w:rsidTr="004C142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52" w:rsidRPr="00A365C1" w:rsidRDefault="00CA67D7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lastRenderedPageBreak/>
              <w:t>2.</w:t>
            </w:r>
            <w:r w:rsidR="000F4B5D" w:rsidRPr="00A365C1">
              <w:rPr>
                <w:lang w:val="fr-FR"/>
              </w:rPr>
              <w:t xml:space="preserve">3. </w:t>
            </w:r>
            <w:r w:rsidR="00943653">
              <w:rPr>
                <w:lang w:val="fr-FR"/>
              </w:rPr>
              <w:tab/>
            </w:r>
            <w:r w:rsidR="000F4B5D" w:rsidRPr="00A365C1">
              <w:rPr>
                <w:u w:val="single"/>
                <w:lang w:val="fr-FR"/>
              </w:rPr>
              <w:t>Stratégie de mise en œuvre de la phase II</w:t>
            </w:r>
          </w:p>
          <w:p w:rsidR="00810559" w:rsidRPr="00A365C1" w:rsidRDefault="00810559" w:rsidP="00BB570E">
            <w:pPr>
              <w:rPr>
                <w:lang w:val="fr-FR"/>
              </w:rPr>
            </w:pPr>
          </w:p>
        </w:tc>
      </w:tr>
      <w:tr w:rsidR="00810559" w:rsidRPr="00A365C1" w:rsidTr="004C142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791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52" w:rsidRPr="00A365C1" w:rsidRDefault="000F4B5D" w:rsidP="00BB570E">
            <w:pPr>
              <w:pStyle w:val="ONUME"/>
              <w:numPr>
                <w:ilvl w:val="0"/>
                <w:numId w:val="0"/>
              </w:numPr>
              <w:ind w:left="567"/>
              <w:rPr>
                <w:lang w:val="fr-FR"/>
              </w:rPr>
            </w:pPr>
            <w:r w:rsidRPr="00A365C1">
              <w:rPr>
                <w:lang w:val="fr-FR"/>
              </w:rPr>
              <w:t>À partir des résultats obtenus au cours de la phase</w:t>
            </w:r>
            <w:r w:rsidR="00943653">
              <w:rPr>
                <w:lang w:val="fr-FR"/>
              </w:rPr>
              <w:t> </w:t>
            </w:r>
            <w:r w:rsidRPr="00A365C1">
              <w:rPr>
                <w:lang w:val="fr-FR"/>
              </w:rPr>
              <w:t>I, la seconde phase du projet s</w:t>
            </w:r>
            <w:r w:rsidR="00ED416A">
              <w:rPr>
                <w:lang w:val="fr-FR"/>
              </w:rPr>
              <w:t>’</w:t>
            </w:r>
            <w:r w:rsidRPr="00A365C1">
              <w:rPr>
                <w:lang w:val="fr-FR"/>
              </w:rPr>
              <w:t>articulera autour de deux</w:t>
            </w:r>
            <w:r w:rsidR="00731524">
              <w:rPr>
                <w:lang w:val="fr-FR"/>
              </w:rPr>
              <w:t> </w:t>
            </w:r>
            <w:r w:rsidRPr="00A365C1">
              <w:rPr>
                <w:lang w:val="fr-FR"/>
              </w:rPr>
              <w:t>grands axes</w:t>
            </w:r>
            <w:r w:rsidR="006B674D" w:rsidRPr="00A365C1">
              <w:rPr>
                <w:lang w:val="fr-FR"/>
              </w:rPr>
              <w:t> :</w:t>
            </w:r>
          </w:p>
          <w:p w:rsidR="006B5952" w:rsidRPr="00A365C1" w:rsidRDefault="006B674D" w:rsidP="00BB570E">
            <w:pPr>
              <w:pStyle w:val="ONUME"/>
              <w:numPr>
                <w:ilvl w:val="0"/>
                <w:numId w:val="13"/>
              </w:numPr>
              <w:spacing w:after="120"/>
              <w:rPr>
                <w:lang w:val="fr-FR"/>
              </w:rPr>
            </w:pPr>
            <w:r w:rsidRPr="00A365C1">
              <w:rPr>
                <w:lang w:val="fr-FR"/>
              </w:rPr>
              <w:t>l</w:t>
            </w:r>
            <w:r w:rsidR="00894B6A" w:rsidRPr="00A365C1">
              <w:rPr>
                <w:lang w:val="fr-FR"/>
              </w:rPr>
              <w:t xml:space="preserve">a promotion de la </w:t>
            </w:r>
            <w:r w:rsidR="003F33BA" w:rsidRPr="00A365C1">
              <w:rPr>
                <w:lang w:val="fr-FR"/>
              </w:rPr>
              <w:t>continuité</w:t>
            </w:r>
            <w:r w:rsidR="00894B6A" w:rsidRPr="00A365C1">
              <w:rPr>
                <w:lang w:val="fr-FR"/>
              </w:rPr>
              <w:t xml:space="preserve"> des recherche</w:t>
            </w:r>
            <w:r w:rsidR="003F33BA" w:rsidRPr="00A365C1">
              <w:rPr>
                <w:lang w:val="fr-FR"/>
              </w:rPr>
              <w:t>s</w:t>
            </w:r>
            <w:r w:rsidR="00894B6A" w:rsidRPr="00A365C1">
              <w:rPr>
                <w:lang w:val="fr-FR"/>
              </w:rPr>
              <w:t xml:space="preserve"> entamé</w:t>
            </w:r>
            <w:r w:rsidR="003F33BA" w:rsidRPr="00A365C1">
              <w:rPr>
                <w:lang w:val="fr-FR"/>
              </w:rPr>
              <w:t>e</w:t>
            </w:r>
            <w:r w:rsidR="00894B6A" w:rsidRPr="00A365C1">
              <w:rPr>
                <w:lang w:val="fr-FR"/>
              </w:rPr>
              <w:t>s au cours de la phase</w:t>
            </w:r>
            <w:r w:rsidR="00882736">
              <w:rPr>
                <w:lang w:val="fr-FR"/>
              </w:rPr>
              <w:t> </w:t>
            </w:r>
            <w:r w:rsidR="00894B6A" w:rsidRPr="00A365C1">
              <w:rPr>
                <w:lang w:val="fr-FR"/>
              </w:rPr>
              <w:t>I, en soutenant les travaux s</w:t>
            </w:r>
            <w:r w:rsidR="00ED416A">
              <w:rPr>
                <w:lang w:val="fr-FR"/>
              </w:rPr>
              <w:t>’</w:t>
            </w:r>
            <w:r w:rsidR="00894B6A" w:rsidRPr="00A365C1">
              <w:rPr>
                <w:lang w:val="fr-FR"/>
              </w:rPr>
              <w:t xml:space="preserve">appuyant sur les ensembles de </w:t>
            </w:r>
            <w:proofErr w:type="spellStart"/>
            <w:r w:rsidR="00CA67D7" w:rsidRPr="00A365C1">
              <w:rPr>
                <w:lang w:val="fr-FR"/>
              </w:rPr>
              <w:t>microdonnées</w:t>
            </w:r>
            <w:proofErr w:type="spellEnd"/>
            <w:r w:rsidR="00894B6A" w:rsidRPr="00A365C1">
              <w:rPr>
                <w:lang w:val="fr-FR"/>
              </w:rPr>
              <w:t xml:space="preserve"> obtenues à l</w:t>
            </w:r>
            <w:r w:rsidR="00ED416A">
              <w:rPr>
                <w:lang w:val="fr-FR"/>
              </w:rPr>
              <w:t>’</w:t>
            </w:r>
            <w:r w:rsidR="00894B6A" w:rsidRPr="00A365C1">
              <w:rPr>
                <w:lang w:val="fr-FR"/>
              </w:rPr>
              <w:t>issue de la phase I</w:t>
            </w:r>
            <w:r w:rsidRPr="00A365C1">
              <w:rPr>
                <w:lang w:val="fr-FR"/>
              </w:rPr>
              <w:t>;</w:t>
            </w:r>
          </w:p>
          <w:p w:rsidR="006B5952" w:rsidRPr="00A365C1" w:rsidRDefault="006B674D" w:rsidP="00BB570E">
            <w:pPr>
              <w:pStyle w:val="ONUME"/>
              <w:numPr>
                <w:ilvl w:val="0"/>
                <w:numId w:val="13"/>
              </w:numPr>
              <w:spacing w:after="120"/>
              <w:rPr>
                <w:lang w:val="fr-FR"/>
              </w:rPr>
            </w:pPr>
            <w:r w:rsidRPr="00A365C1">
              <w:rPr>
                <w:lang w:val="fr-FR"/>
              </w:rPr>
              <w:t>l</w:t>
            </w:r>
            <w:r w:rsidR="00ED416A">
              <w:rPr>
                <w:lang w:val="fr-FR"/>
              </w:rPr>
              <w:t>’</w:t>
            </w:r>
            <w:r w:rsidRPr="00A365C1">
              <w:rPr>
                <w:lang w:val="fr-FR"/>
              </w:rPr>
              <w:t>e</w:t>
            </w:r>
            <w:r w:rsidR="00894B6A" w:rsidRPr="00A365C1">
              <w:rPr>
                <w:lang w:val="fr-FR"/>
              </w:rPr>
              <w:t xml:space="preserve">xtension </w:t>
            </w:r>
            <w:r w:rsidR="003F33BA" w:rsidRPr="00A365C1">
              <w:rPr>
                <w:lang w:val="fr-FR"/>
              </w:rPr>
              <w:t>des travaux</w:t>
            </w:r>
            <w:r w:rsidR="00894B6A" w:rsidRPr="00A365C1">
              <w:rPr>
                <w:lang w:val="fr-FR"/>
              </w:rPr>
              <w:t xml:space="preserve"> à de nouveaux pays et régions, </w:t>
            </w:r>
            <w:r w:rsidR="00ED416A">
              <w:rPr>
                <w:lang w:val="fr-FR"/>
              </w:rPr>
              <w:t>y compris</w:t>
            </w:r>
            <w:r w:rsidR="00894B6A" w:rsidRPr="00A365C1">
              <w:rPr>
                <w:lang w:val="fr-FR"/>
              </w:rPr>
              <w:t xml:space="preserve"> au moins un pays de la catégorie des pays les moins avancés, ainsi qu</w:t>
            </w:r>
            <w:r w:rsidR="00ED416A">
              <w:rPr>
                <w:lang w:val="fr-FR"/>
              </w:rPr>
              <w:t>’</w:t>
            </w:r>
            <w:r w:rsidR="00894B6A" w:rsidRPr="00A365C1">
              <w:rPr>
                <w:lang w:val="fr-FR"/>
              </w:rPr>
              <w:t>à de nouveaux sujets non traités pendant la phase I.</w:t>
            </w:r>
          </w:p>
          <w:p w:rsidR="006B5952" w:rsidRPr="00A365C1" w:rsidRDefault="006B5952" w:rsidP="00BB570E">
            <w:pPr>
              <w:ind w:left="540"/>
              <w:rPr>
                <w:bCs/>
                <w:lang w:val="fr-FR"/>
              </w:rPr>
            </w:pPr>
          </w:p>
          <w:p w:rsidR="006B5952" w:rsidRPr="00A365C1" w:rsidRDefault="00894B6A" w:rsidP="00BB570E">
            <w:pPr>
              <w:ind w:left="540"/>
              <w:rPr>
                <w:bCs/>
                <w:szCs w:val="22"/>
                <w:lang w:val="fr-FR"/>
              </w:rPr>
            </w:pPr>
            <w:r w:rsidRPr="00A365C1">
              <w:rPr>
                <w:bCs/>
                <w:szCs w:val="22"/>
                <w:lang w:val="fr-FR"/>
              </w:rPr>
              <w:t>La phase</w:t>
            </w:r>
            <w:r w:rsidR="00882736">
              <w:rPr>
                <w:bCs/>
                <w:szCs w:val="22"/>
                <w:lang w:val="fr-FR"/>
              </w:rPr>
              <w:t> </w:t>
            </w:r>
            <w:r w:rsidRPr="00A365C1">
              <w:rPr>
                <w:bCs/>
                <w:szCs w:val="22"/>
                <w:lang w:val="fr-FR"/>
              </w:rPr>
              <w:t>II du projet suivra les mêmes méthodes d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Pr="00A365C1">
              <w:rPr>
                <w:bCs/>
                <w:szCs w:val="22"/>
                <w:lang w:val="fr-FR"/>
              </w:rPr>
              <w:t>exécution que la phase</w:t>
            </w:r>
            <w:r w:rsidR="00882736">
              <w:rPr>
                <w:bCs/>
                <w:szCs w:val="22"/>
                <w:lang w:val="fr-FR"/>
              </w:rPr>
              <w:t> </w:t>
            </w:r>
            <w:r w:rsidRPr="00A365C1">
              <w:rPr>
                <w:bCs/>
                <w:szCs w:val="22"/>
                <w:lang w:val="fr-FR"/>
              </w:rPr>
              <w:t xml:space="preserve">I, </w:t>
            </w:r>
            <w:r w:rsidR="00CC19E5" w:rsidRPr="00A365C1">
              <w:rPr>
                <w:bCs/>
                <w:szCs w:val="22"/>
                <w:lang w:val="fr-FR"/>
              </w:rPr>
              <w:t>notamment</w:t>
            </w:r>
            <w:r w:rsidRPr="00A365C1">
              <w:rPr>
                <w:bCs/>
                <w:szCs w:val="22"/>
                <w:lang w:val="fr-FR"/>
              </w:rPr>
              <w:t xml:space="preserve"> les éléments suivants</w:t>
            </w:r>
            <w:r w:rsidR="006B674D" w:rsidRPr="00A365C1">
              <w:rPr>
                <w:bCs/>
                <w:szCs w:val="22"/>
                <w:lang w:val="fr-FR"/>
              </w:rPr>
              <w:t> :</w:t>
            </w:r>
          </w:p>
          <w:p w:rsidR="006B5952" w:rsidRPr="00A365C1" w:rsidRDefault="006B5952" w:rsidP="00BB570E">
            <w:pPr>
              <w:ind w:left="540"/>
              <w:rPr>
                <w:bCs/>
                <w:szCs w:val="22"/>
                <w:lang w:val="fr-FR"/>
              </w:rPr>
            </w:pPr>
          </w:p>
          <w:p w:rsidR="006B5952" w:rsidRPr="00A365C1" w:rsidRDefault="006B674D" w:rsidP="00BB570E">
            <w:pPr>
              <w:pStyle w:val="ListParagraph"/>
              <w:numPr>
                <w:ilvl w:val="0"/>
                <w:numId w:val="11"/>
              </w:numPr>
              <w:spacing w:after="120"/>
              <w:ind w:left="1267"/>
              <w:contextualSpacing w:val="0"/>
              <w:rPr>
                <w:bCs/>
                <w:szCs w:val="22"/>
                <w:lang w:val="fr-FR"/>
              </w:rPr>
            </w:pPr>
            <w:r w:rsidRPr="00A365C1">
              <w:rPr>
                <w:bCs/>
                <w:szCs w:val="22"/>
                <w:lang w:val="fr-FR"/>
              </w:rPr>
              <w:t>l</w:t>
            </w:r>
            <w:r w:rsidR="003700C6" w:rsidRPr="00A365C1">
              <w:rPr>
                <w:bCs/>
                <w:szCs w:val="22"/>
                <w:lang w:val="fr-FR"/>
              </w:rPr>
              <w:t xml:space="preserve">es études cherchent, au moyen de données empiriques, à mettre en lumière le rôle du système de propriété intellectuelle, ce qui nécessite souvent un investissement préalable en ce qui concerne la mise au point de séries de </w:t>
            </w:r>
            <w:r w:rsidRPr="00A365C1">
              <w:rPr>
                <w:bCs/>
                <w:szCs w:val="22"/>
                <w:lang w:val="fr-FR"/>
              </w:rPr>
              <w:t>données;</w:t>
            </w:r>
          </w:p>
          <w:p w:rsidR="006B5952" w:rsidRPr="00A365C1" w:rsidRDefault="006B674D" w:rsidP="00BB570E">
            <w:pPr>
              <w:pStyle w:val="ListParagraph"/>
              <w:numPr>
                <w:ilvl w:val="0"/>
                <w:numId w:val="11"/>
              </w:numPr>
              <w:spacing w:after="120"/>
              <w:ind w:left="1267"/>
              <w:contextualSpacing w:val="0"/>
              <w:rPr>
                <w:bCs/>
                <w:szCs w:val="22"/>
                <w:lang w:val="fr-FR"/>
              </w:rPr>
            </w:pPr>
            <w:r w:rsidRPr="00A365C1">
              <w:rPr>
                <w:bCs/>
                <w:szCs w:val="22"/>
                <w:lang w:val="fr-FR"/>
              </w:rPr>
              <w:t>l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="0061234E" w:rsidRPr="00A365C1">
              <w:rPr>
                <w:bCs/>
                <w:szCs w:val="22"/>
                <w:lang w:val="fr-FR"/>
              </w:rPr>
              <w:t>orientation des études sera adaptée aux besoins des décideurs locaux et s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="0061234E" w:rsidRPr="00A365C1">
              <w:rPr>
                <w:bCs/>
                <w:szCs w:val="22"/>
                <w:lang w:val="fr-FR"/>
              </w:rPr>
              <w:t xml:space="preserve">appuiera sur les données disponibles permettant de </w:t>
            </w:r>
            <w:r w:rsidR="006E1B14" w:rsidRPr="00A365C1">
              <w:rPr>
                <w:bCs/>
                <w:szCs w:val="22"/>
                <w:lang w:val="fr-FR"/>
              </w:rPr>
              <w:t>traiter les</w:t>
            </w:r>
            <w:r w:rsidR="0061234E" w:rsidRPr="00A365C1">
              <w:rPr>
                <w:bCs/>
                <w:szCs w:val="22"/>
                <w:lang w:val="fr-FR"/>
              </w:rPr>
              <w:t xml:space="preserve"> questions présentant un intérêt</w:t>
            </w:r>
            <w:r w:rsidRPr="00A365C1">
              <w:rPr>
                <w:bCs/>
                <w:szCs w:val="22"/>
                <w:lang w:val="fr-FR"/>
              </w:rPr>
              <w:t>;</w:t>
            </w:r>
          </w:p>
          <w:p w:rsidR="006B5952" w:rsidRPr="00A365C1" w:rsidRDefault="006B674D" w:rsidP="00BB570E">
            <w:pPr>
              <w:pStyle w:val="ListParagraph"/>
              <w:numPr>
                <w:ilvl w:val="0"/>
                <w:numId w:val="11"/>
              </w:numPr>
              <w:spacing w:after="120"/>
              <w:ind w:left="1267"/>
              <w:contextualSpacing w:val="0"/>
              <w:rPr>
                <w:bCs/>
                <w:szCs w:val="22"/>
                <w:lang w:val="fr-FR"/>
              </w:rPr>
            </w:pPr>
            <w:r w:rsidRPr="00A365C1">
              <w:rPr>
                <w:bCs/>
                <w:szCs w:val="22"/>
                <w:lang w:val="fr-FR"/>
              </w:rPr>
              <w:t>l</w:t>
            </w:r>
            <w:r w:rsidR="005E2E13" w:rsidRPr="00A365C1">
              <w:rPr>
                <w:bCs/>
                <w:szCs w:val="22"/>
                <w:lang w:val="fr-FR"/>
              </w:rPr>
              <w:t xml:space="preserve">es projets seront mis en </w:t>
            </w:r>
            <w:r w:rsidR="00CA67D7" w:rsidRPr="00A365C1">
              <w:rPr>
                <w:bCs/>
                <w:szCs w:val="22"/>
                <w:lang w:val="fr-FR"/>
              </w:rPr>
              <w:t>œuvre</w:t>
            </w:r>
            <w:r w:rsidR="005E2E13" w:rsidRPr="00A365C1">
              <w:rPr>
                <w:bCs/>
                <w:szCs w:val="22"/>
                <w:lang w:val="fr-FR"/>
              </w:rPr>
              <w:t xml:space="preserve"> en étroite </w:t>
            </w:r>
            <w:r w:rsidR="00CA67D7" w:rsidRPr="00A365C1">
              <w:rPr>
                <w:bCs/>
                <w:szCs w:val="22"/>
                <w:lang w:val="fr-FR"/>
              </w:rPr>
              <w:t>coordination</w:t>
            </w:r>
            <w:r w:rsidR="005E2E13" w:rsidRPr="00A365C1">
              <w:rPr>
                <w:bCs/>
                <w:szCs w:val="22"/>
                <w:lang w:val="fr-FR"/>
              </w:rPr>
              <w:t xml:space="preserve"> avec les institutions nationales concernées et s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="005E2E13" w:rsidRPr="00A365C1">
              <w:rPr>
                <w:bCs/>
                <w:szCs w:val="22"/>
                <w:lang w:val="fr-FR"/>
              </w:rPr>
              <w:t>appuieront sur les compétences de chercheurs loc</w:t>
            </w:r>
            <w:r w:rsidRPr="00A365C1">
              <w:rPr>
                <w:bCs/>
                <w:szCs w:val="22"/>
                <w:lang w:val="fr-FR"/>
              </w:rPr>
              <w:t>aux et d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Pr="00A365C1">
              <w:rPr>
                <w:bCs/>
                <w:szCs w:val="22"/>
                <w:lang w:val="fr-FR"/>
              </w:rPr>
              <w:t>experts internationaux;</w:t>
            </w:r>
          </w:p>
          <w:p w:rsidR="006B5952" w:rsidRPr="00A365C1" w:rsidRDefault="006B674D" w:rsidP="00BB570E">
            <w:pPr>
              <w:pStyle w:val="ListParagraph"/>
              <w:numPr>
                <w:ilvl w:val="0"/>
                <w:numId w:val="11"/>
              </w:numPr>
              <w:spacing w:after="120"/>
              <w:ind w:left="1267"/>
              <w:contextualSpacing w:val="0"/>
              <w:rPr>
                <w:bCs/>
                <w:szCs w:val="22"/>
                <w:lang w:val="fr-FR"/>
              </w:rPr>
            </w:pPr>
            <w:r w:rsidRPr="00A365C1">
              <w:rPr>
                <w:bCs/>
                <w:szCs w:val="22"/>
                <w:lang w:val="fr-FR"/>
              </w:rPr>
              <w:t>c</w:t>
            </w:r>
            <w:r w:rsidR="005E2E13" w:rsidRPr="00A365C1">
              <w:rPr>
                <w:bCs/>
                <w:szCs w:val="22"/>
                <w:lang w:val="fr-FR"/>
              </w:rPr>
              <w:t>haque étude fera l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="005E2E13" w:rsidRPr="00A365C1">
              <w:rPr>
                <w:bCs/>
                <w:szCs w:val="22"/>
                <w:lang w:val="fr-FR"/>
              </w:rPr>
              <w:t>objet d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="005E2E13" w:rsidRPr="00A365C1">
              <w:rPr>
                <w:bCs/>
                <w:szCs w:val="22"/>
                <w:lang w:val="fr-FR"/>
              </w:rPr>
              <w:t>une évaluation par des experts internationaux reconnus qui ne sont pas membres des équipes de recherche concernées.</w:t>
            </w:r>
            <w:r w:rsidR="00810559" w:rsidRPr="00A365C1">
              <w:rPr>
                <w:bCs/>
                <w:szCs w:val="22"/>
                <w:lang w:val="fr-FR"/>
              </w:rPr>
              <w:t xml:space="preserve">  </w:t>
            </w:r>
            <w:r w:rsidR="005E2E13" w:rsidRPr="00A365C1">
              <w:rPr>
                <w:bCs/>
                <w:szCs w:val="22"/>
                <w:lang w:val="fr-FR"/>
              </w:rPr>
              <w:t xml:space="preserve">En outre, les études seront présentées, si nécessaire, à des conférences universitaires internationales afin </w:t>
            </w:r>
            <w:r w:rsidR="003F33BA" w:rsidRPr="00A365C1">
              <w:rPr>
                <w:bCs/>
                <w:szCs w:val="22"/>
                <w:lang w:val="fr-FR"/>
              </w:rPr>
              <w:t>que</w:t>
            </w:r>
            <w:r w:rsidR="005E2E13" w:rsidRPr="00A365C1">
              <w:rPr>
                <w:bCs/>
                <w:szCs w:val="22"/>
                <w:lang w:val="fr-FR"/>
              </w:rPr>
              <w:t xml:space="preserve"> les auteurs bénéficient </w:t>
            </w:r>
            <w:r w:rsidR="00724738" w:rsidRPr="00A365C1">
              <w:rPr>
                <w:bCs/>
                <w:szCs w:val="22"/>
                <w:lang w:val="fr-FR"/>
              </w:rPr>
              <w:t>de</w:t>
            </w:r>
            <w:r w:rsidR="005E2E13" w:rsidRPr="00A365C1">
              <w:rPr>
                <w:bCs/>
                <w:szCs w:val="22"/>
                <w:lang w:val="fr-FR"/>
              </w:rPr>
              <w:t xml:space="preserve"> retour</w:t>
            </w:r>
            <w:r w:rsidR="00724738" w:rsidRPr="00A365C1">
              <w:rPr>
                <w:bCs/>
                <w:szCs w:val="22"/>
                <w:lang w:val="fr-FR"/>
              </w:rPr>
              <w:t>s d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="00724738" w:rsidRPr="00A365C1">
              <w:rPr>
                <w:bCs/>
                <w:szCs w:val="22"/>
                <w:lang w:val="fr-FR"/>
              </w:rPr>
              <w:t>informations</w:t>
            </w:r>
            <w:r w:rsidR="005E2E13" w:rsidRPr="00A365C1">
              <w:rPr>
                <w:bCs/>
                <w:szCs w:val="22"/>
                <w:lang w:val="fr-FR"/>
              </w:rPr>
              <w:t xml:space="preserve"> supplémentaires.</w:t>
            </w:r>
          </w:p>
          <w:p w:rsidR="006B5952" w:rsidRPr="00A365C1" w:rsidRDefault="006B5952" w:rsidP="00BB570E">
            <w:pPr>
              <w:ind w:left="540"/>
              <w:rPr>
                <w:bCs/>
                <w:lang w:val="fr-FR"/>
              </w:rPr>
            </w:pPr>
          </w:p>
          <w:p w:rsidR="006B5952" w:rsidRPr="00A365C1" w:rsidRDefault="005E2E13" w:rsidP="00BB570E">
            <w:pPr>
              <w:ind w:left="540"/>
              <w:rPr>
                <w:bCs/>
                <w:szCs w:val="22"/>
                <w:lang w:val="fr-FR"/>
              </w:rPr>
            </w:pPr>
            <w:r w:rsidRPr="00A365C1">
              <w:rPr>
                <w:bCs/>
                <w:szCs w:val="22"/>
                <w:lang w:val="fr-FR"/>
              </w:rPr>
              <w:t>Compte tenu des enseignements tirés à l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="00943653">
              <w:rPr>
                <w:bCs/>
                <w:szCs w:val="22"/>
                <w:lang w:val="fr-FR"/>
              </w:rPr>
              <w:t>issue de la phase </w:t>
            </w:r>
            <w:r w:rsidRPr="00A365C1">
              <w:rPr>
                <w:bCs/>
                <w:szCs w:val="22"/>
                <w:lang w:val="fr-FR"/>
              </w:rPr>
              <w:t xml:space="preserve">I et des recommandations </w:t>
            </w:r>
            <w:r w:rsidR="00C80BF7">
              <w:rPr>
                <w:bCs/>
                <w:szCs w:val="22"/>
                <w:lang w:val="fr-FR"/>
              </w:rPr>
              <w:t>n</w:t>
            </w:r>
            <w:r w:rsidR="00C80BF7" w:rsidRPr="00C80BF7">
              <w:rPr>
                <w:bCs/>
                <w:szCs w:val="22"/>
                <w:vertAlign w:val="superscript"/>
                <w:lang w:val="fr-FR"/>
              </w:rPr>
              <w:t>os</w:t>
            </w:r>
            <w:r w:rsidR="00C80BF7">
              <w:rPr>
                <w:bCs/>
                <w:szCs w:val="22"/>
                <w:lang w:val="fr-FR"/>
              </w:rPr>
              <w:t> </w:t>
            </w:r>
            <w:r w:rsidRPr="00A365C1">
              <w:rPr>
                <w:bCs/>
                <w:szCs w:val="22"/>
                <w:lang w:val="fr-FR"/>
              </w:rPr>
              <w:t>1 et 3 du rapport d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Pr="00A365C1">
              <w:rPr>
                <w:bCs/>
                <w:szCs w:val="22"/>
                <w:lang w:val="fr-FR"/>
              </w:rPr>
              <w:t>évaluation (CDIP/14/3, pages</w:t>
            </w:r>
            <w:r w:rsidR="00731524">
              <w:rPr>
                <w:bCs/>
                <w:szCs w:val="22"/>
                <w:lang w:val="fr-FR"/>
              </w:rPr>
              <w:t> </w:t>
            </w:r>
            <w:r w:rsidRPr="00A365C1">
              <w:rPr>
                <w:bCs/>
                <w:szCs w:val="22"/>
                <w:lang w:val="fr-FR"/>
              </w:rPr>
              <w:t>4/5</w:t>
            </w:r>
            <w:r w:rsidR="006E1B14" w:rsidRPr="00A365C1">
              <w:rPr>
                <w:bCs/>
                <w:szCs w:val="22"/>
                <w:lang w:val="fr-FR"/>
              </w:rPr>
              <w:t>, en anglais seulement</w:t>
            </w:r>
            <w:r w:rsidRPr="00A365C1">
              <w:rPr>
                <w:bCs/>
                <w:szCs w:val="22"/>
                <w:lang w:val="fr-FR"/>
              </w:rPr>
              <w:t>), le projet adoptera les stratégies supplémentaires ci</w:t>
            </w:r>
            <w:r w:rsidR="005F69B3">
              <w:rPr>
                <w:bCs/>
                <w:szCs w:val="22"/>
                <w:lang w:val="fr-FR"/>
              </w:rPr>
              <w:noBreakHyphen/>
            </w:r>
            <w:r w:rsidRPr="00A365C1">
              <w:rPr>
                <w:bCs/>
                <w:szCs w:val="22"/>
                <w:lang w:val="fr-FR"/>
              </w:rPr>
              <w:t>après</w:t>
            </w:r>
            <w:r w:rsidR="006B674D" w:rsidRPr="00A365C1">
              <w:rPr>
                <w:bCs/>
                <w:szCs w:val="22"/>
                <w:lang w:val="fr-FR"/>
              </w:rPr>
              <w:t> :</w:t>
            </w:r>
          </w:p>
          <w:p w:rsidR="006B5952" w:rsidRPr="00A365C1" w:rsidRDefault="006B5952" w:rsidP="00BB570E">
            <w:pPr>
              <w:ind w:left="540"/>
              <w:rPr>
                <w:bCs/>
                <w:szCs w:val="22"/>
                <w:lang w:val="fr-FR"/>
              </w:rPr>
            </w:pPr>
          </w:p>
          <w:p w:rsidR="006B5952" w:rsidRPr="00A365C1" w:rsidRDefault="006B674D" w:rsidP="00BB570E">
            <w:pPr>
              <w:pStyle w:val="ListParagraph"/>
              <w:numPr>
                <w:ilvl w:val="0"/>
                <w:numId w:val="12"/>
              </w:numPr>
              <w:spacing w:after="120"/>
              <w:ind w:left="1267"/>
              <w:contextualSpacing w:val="0"/>
              <w:rPr>
                <w:bCs/>
                <w:szCs w:val="22"/>
                <w:lang w:val="fr-FR"/>
              </w:rPr>
            </w:pPr>
            <w:r w:rsidRPr="00A365C1">
              <w:rPr>
                <w:bCs/>
                <w:szCs w:val="22"/>
                <w:lang w:val="fr-FR"/>
              </w:rPr>
              <w:t>l</w:t>
            </w:r>
            <w:r w:rsidR="00724738" w:rsidRPr="00A365C1">
              <w:rPr>
                <w:bCs/>
                <w:szCs w:val="22"/>
                <w:lang w:val="fr-FR"/>
              </w:rPr>
              <w:t>e suivi des activités dans l</w:t>
            </w:r>
            <w:r w:rsidR="0076203A" w:rsidRPr="00A365C1">
              <w:rPr>
                <w:bCs/>
                <w:szCs w:val="22"/>
                <w:lang w:val="fr-FR"/>
              </w:rPr>
              <w:t xml:space="preserve">es pays qui ont bénéficié des travaux menés pendant la phase I visera principalement à garantir la </w:t>
            </w:r>
            <w:r w:rsidR="003F33BA" w:rsidRPr="00A365C1">
              <w:rPr>
                <w:bCs/>
                <w:szCs w:val="22"/>
                <w:lang w:val="fr-FR"/>
              </w:rPr>
              <w:t>continuité</w:t>
            </w:r>
            <w:r w:rsidR="0076203A" w:rsidRPr="00A365C1">
              <w:rPr>
                <w:bCs/>
                <w:szCs w:val="22"/>
                <w:lang w:val="fr-FR"/>
              </w:rPr>
              <w:t xml:space="preserve"> des travaux entamés pendant la phase en question, notamment en ce qui concerne la tenue à jour et l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="0076203A" w:rsidRPr="00A365C1">
              <w:rPr>
                <w:bCs/>
                <w:szCs w:val="22"/>
                <w:lang w:val="fr-FR"/>
              </w:rPr>
              <w:t xml:space="preserve">utilisation des ensembles de </w:t>
            </w:r>
            <w:proofErr w:type="spellStart"/>
            <w:r w:rsidR="0076203A" w:rsidRPr="00A365C1">
              <w:rPr>
                <w:bCs/>
                <w:szCs w:val="22"/>
                <w:lang w:val="fr-FR"/>
              </w:rPr>
              <w:t>microdonnées</w:t>
            </w:r>
            <w:proofErr w:type="spellEnd"/>
            <w:r w:rsidR="0076203A" w:rsidRPr="00A365C1">
              <w:rPr>
                <w:bCs/>
                <w:szCs w:val="22"/>
                <w:lang w:val="fr-FR"/>
              </w:rPr>
              <w:t>.</w:t>
            </w:r>
            <w:r w:rsidR="00810559" w:rsidRPr="00A365C1">
              <w:rPr>
                <w:bCs/>
                <w:szCs w:val="22"/>
                <w:lang w:val="fr-FR"/>
              </w:rPr>
              <w:t xml:space="preserve">  </w:t>
            </w:r>
            <w:r w:rsidR="0076203A" w:rsidRPr="00A365C1">
              <w:rPr>
                <w:bCs/>
                <w:szCs w:val="22"/>
                <w:lang w:val="fr-FR"/>
              </w:rPr>
              <w:t>Le niveau de participation du Secrétariat de l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="0076203A" w:rsidRPr="00A365C1">
              <w:rPr>
                <w:bCs/>
                <w:szCs w:val="22"/>
                <w:lang w:val="fr-FR"/>
              </w:rPr>
              <w:t xml:space="preserve">OMPI sera moindre par rapport à celui de la phase I et à celui concernant les études </w:t>
            </w:r>
            <w:r w:rsidR="00CC19E5" w:rsidRPr="00A365C1">
              <w:rPr>
                <w:bCs/>
                <w:szCs w:val="22"/>
                <w:lang w:val="fr-FR"/>
              </w:rPr>
              <w:t>relatives</w:t>
            </w:r>
            <w:r w:rsidR="0076203A" w:rsidRPr="00A365C1">
              <w:rPr>
                <w:bCs/>
                <w:szCs w:val="22"/>
                <w:lang w:val="fr-FR"/>
              </w:rPr>
              <w:t xml:space="preserve"> aux nouvea</w:t>
            </w:r>
            <w:r w:rsidRPr="00A365C1">
              <w:rPr>
                <w:bCs/>
                <w:szCs w:val="22"/>
                <w:lang w:val="fr-FR"/>
              </w:rPr>
              <w:t>ux bénéficiaires de la phase II;</w:t>
            </w:r>
          </w:p>
          <w:p w:rsidR="006B5952" w:rsidRPr="00A365C1" w:rsidRDefault="006B674D" w:rsidP="00BB570E">
            <w:pPr>
              <w:pStyle w:val="ListParagraph"/>
              <w:numPr>
                <w:ilvl w:val="0"/>
                <w:numId w:val="12"/>
              </w:numPr>
              <w:spacing w:after="120"/>
              <w:ind w:left="1267"/>
              <w:contextualSpacing w:val="0"/>
              <w:rPr>
                <w:bCs/>
                <w:szCs w:val="22"/>
                <w:lang w:val="fr-FR"/>
              </w:rPr>
            </w:pPr>
            <w:r w:rsidRPr="00A365C1">
              <w:rPr>
                <w:bCs/>
                <w:szCs w:val="22"/>
                <w:lang w:val="fr-FR"/>
              </w:rPr>
              <w:t>a</w:t>
            </w:r>
            <w:r w:rsidR="006776D4" w:rsidRPr="00A365C1">
              <w:rPr>
                <w:bCs/>
                <w:szCs w:val="22"/>
                <w:lang w:val="fr-FR"/>
              </w:rPr>
              <w:t>u cours de la phase II, des projets seront lancés dans 4</w:t>
            </w:r>
            <w:r w:rsidR="005F69B3">
              <w:rPr>
                <w:bCs/>
                <w:szCs w:val="22"/>
                <w:lang w:val="fr-FR"/>
              </w:rPr>
              <w:noBreakHyphen/>
            </w:r>
            <w:r w:rsidR="006776D4" w:rsidRPr="00A365C1">
              <w:rPr>
                <w:bCs/>
                <w:szCs w:val="22"/>
                <w:lang w:val="fr-FR"/>
              </w:rPr>
              <w:t>5 nouveaux pays.</w:t>
            </w:r>
            <w:r w:rsidR="00731524">
              <w:rPr>
                <w:bCs/>
                <w:szCs w:val="22"/>
                <w:lang w:val="fr-FR"/>
              </w:rPr>
              <w:t xml:space="preserve"> </w:t>
            </w:r>
            <w:r w:rsidR="00810559" w:rsidRPr="00A365C1">
              <w:rPr>
                <w:bCs/>
                <w:szCs w:val="22"/>
                <w:lang w:val="fr-FR"/>
              </w:rPr>
              <w:t xml:space="preserve"> </w:t>
            </w:r>
            <w:r w:rsidR="006776D4" w:rsidRPr="00A365C1">
              <w:rPr>
                <w:bCs/>
                <w:szCs w:val="22"/>
                <w:lang w:val="fr-FR"/>
              </w:rPr>
              <w:t>Les États membres intéressés seront invités à prendre contact avec le Secrétariat de l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="006776D4" w:rsidRPr="00A365C1">
              <w:rPr>
                <w:bCs/>
                <w:szCs w:val="22"/>
                <w:lang w:val="fr-FR"/>
              </w:rPr>
              <w:t xml:space="preserve">OMPI et à lui présenter leurs intérêts </w:t>
            </w:r>
            <w:r w:rsidR="006E1B14" w:rsidRPr="00A365C1">
              <w:rPr>
                <w:bCs/>
                <w:szCs w:val="22"/>
                <w:lang w:val="fr-FR"/>
              </w:rPr>
              <w:t>en matière d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="006E1B14" w:rsidRPr="00A365C1">
              <w:rPr>
                <w:bCs/>
                <w:szCs w:val="22"/>
                <w:lang w:val="fr-FR"/>
              </w:rPr>
              <w:t xml:space="preserve">études </w:t>
            </w:r>
            <w:r w:rsidR="006776D4" w:rsidRPr="00A365C1">
              <w:rPr>
                <w:bCs/>
                <w:szCs w:val="22"/>
                <w:lang w:val="fr-FR"/>
              </w:rPr>
              <w:t>analytiques, l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="006776D4" w:rsidRPr="00A365C1">
              <w:rPr>
                <w:bCs/>
                <w:szCs w:val="22"/>
                <w:lang w:val="fr-FR"/>
              </w:rPr>
              <w:t xml:space="preserve">infrastructure de données dont ils disposent et la manière dont ils appuieraient la mise en </w:t>
            </w:r>
            <w:r w:rsidR="00CA67D7" w:rsidRPr="00A365C1">
              <w:rPr>
                <w:bCs/>
                <w:szCs w:val="22"/>
                <w:lang w:val="fr-FR"/>
              </w:rPr>
              <w:t>œuvre</w:t>
            </w:r>
            <w:r w:rsidR="006776D4" w:rsidRPr="00A365C1">
              <w:rPr>
                <w:bCs/>
                <w:szCs w:val="22"/>
                <w:lang w:val="fr-FR"/>
              </w:rPr>
              <w:t xml:space="preserve"> et la coordination du projet.</w:t>
            </w:r>
            <w:r w:rsidR="00810559" w:rsidRPr="00A365C1">
              <w:rPr>
                <w:bCs/>
                <w:szCs w:val="22"/>
                <w:lang w:val="fr-FR"/>
              </w:rPr>
              <w:t xml:space="preserve"> </w:t>
            </w:r>
            <w:r w:rsidR="00731524">
              <w:rPr>
                <w:bCs/>
                <w:szCs w:val="22"/>
                <w:lang w:val="fr-FR"/>
              </w:rPr>
              <w:t xml:space="preserve"> </w:t>
            </w:r>
            <w:r w:rsidR="007A58DB" w:rsidRPr="00A365C1">
              <w:rPr>
                <w:bCs/>
                <w:szCs w:val="22"/>
                <w:lang w:val="fr-FR"/>
              </w:rPr>
              <w:t>Si le projet suscite l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="007A58DB" w:rsidRPr="00A365C1">
              <w:rPr>
                <w:bCs/>
                <w:szCs w:val="22"/>
                <w:lang w:val="fr-FR"/>
              </w:rPr>
              <w:t>intérêt de plus des 4</w:t>
            </w:r>
            <w:r w:rsidR="005F69B3">
              <w:rPr>
                <w:bCs/>
                <w:szCs w:val="22"/>
                <w:lang w:val="fr-FR"/>
              </w:rPr>
              <w:noBreakHyphen/>
            </w:r>
            <w:r w:rsidR="007A58DB" w:rsidRPr="00A365C1">
              <w:rPr>
                <w:bCs/>
                <w:szCs w:val="22"/>
                <w:lang w:val="fr-FR"/>
              </w:rPr>
              <w:t>5 pays prévus, le Secrétariat de l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="007A58DB" w:rsidRPr="00A365C1">
              <w:rPr>
                <w:bCs/>
                <w:szCs w:val="22"/>
                <w:lang w:val="fr-FR"/>
              </w:rPr>
              <w:t>OMPI fera appel à l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="007A58DB" w:rsidRPr="00A365C1">
              <w:rPr>
                <w:bCs/>
                <w:szCs w:val="22"/>
                <w:lang w:val="fr-FR"/>
              </w:rPr>
              <w:t>assistance des coordonnateurs régionaux pour séle</w:t>
            </w:r>
            <w:r w:rsidRPr="00A365C1">
              <w:rPr>
                <w:bCs/>
                <w:szCs w:val="22"/>
                <w:lang w:val="fr-FR"/>
              </w:rPr>
              <w:t>ctionner les pays bénéficiaires;</w:t>
            </w:r>
          </w:p>
          <w:p w:rsidR="006B5952" w:rsidRPr="00A365C1" w:rsidRDefault="006B674D" w:rsidP="00BB570E">
            <w:pPr>
              <w:pStyle w:val="ListParagraph"/>
              <w:keepNext/>
              <w:keepLines/>
              <w:numPr>
                <w:ilvl w:val="0"/>
                <w:numId w:val="12"/>
              </w:numPr>
              <w:spacing w:after="120"/>
              <w:ind w:left="1264" w:hanging="357"/>
              <w:contextualSpacing w:val="0"/>
              <w:rPr>
                <w:bCs/>
                <w:szCs w:val="22"/>
                <w:lang w:val="fr-FR"/>
              </w:rPr>
            </w:pPr>
            <w:r w:rsidRPr="00A365C1">
              <w:rPr>
                <w:bCs/>
                <w:szCs w:val="22"/>
                <w:lang w:val="fr-FR"/>
              </w:rPr>
              <w:t>s</w:t>
            </w:r>
            <w:r w:rsidR="00D54B07" w:rsidRPr="00A365C1">
              <w:rPr>
                <w:bCs/>
                <w:szCs w:val="22"/>
                <w:lang w:val="fr-FR"/>
              </w:rPr>
              <w:t>e servir des compétences locales acquises au cours de la phase</w:t>
            </w:r>
            <w:r w:rsidR="00882736">
              <w:rPr>
                <w:bCs/>
                <w:szCs w:val="22"/>
                <w:lang w:val="fr-FR"/>
              </w:rPr>
              <w:t> </w:t>
            </w:r>
            <w:r w:rsidR="00D54B07" w:rsidRPr="00A365C1">
              <w:rPr>
                <w:bCs/>
                <w:szCs w:val="22"/>
                <w:lang w:val="fr-FR"/>
              </w:rPr>
              <w:t xml:space="preserve">I pour </w:t>
            </w:r>
            <w:r w:rsidR="00D54B07" w:rsidRPr="00A365C1">
              <w:rPr>
                <w:bCs/>
                <w:szCs w:val="22"/>
                <w:lang w:val="fr-FR"/>
              </w:rPr>
              <w:lastRenderedPageBreak/>
              <w:t>sélectionner des experts internationaux chargés des travaux à mener dans les nouveaux pays bénéficia</w:t>
            </w:r>
            <w:r w:rsidRPr="00A365C1">
              <w:rPr>
                <w:bCs/>
                <w:szCs w:val="22"/>
                <w:lang w:val="fr-FR"/>
              </w:rPr>
              <w:t>ires;</w:t>
            </w:r>
          </w:p>
          <w:p w:rsidR="006B5952" w:rsidRPr="00A365C1" w:rsidRDefault="006B674D" w:rsidP="00BB570E">
            <w:pPr>
              <w:pStyle w:val="ListParagraph"/>
              <w:numPr>
                <w:ilvl w:val="0"/>
                <w:numId w:val="12"/>
              </w:numPr>
              <w:spacing w:after="120"/>
              <w:contextualSpacing w:val="0"/>
              <w:rPr>
                <w:bCs/>
                <w:szCs w:val="22"/>
                <w:lang w:val="fr-FR"/>
              </w:rPr>
            </w:pPr>
            <w:r w:rsidRPr="00A365C1">
              <w:rPr>
                <w:bCs/>
                <w:szCs w:val="22"/>
                <w:lang w:val="fr-FR"/>
              </w:rPr>
              <w:t>m</w:t>
            </w:r>
            <w:r w:rsidR="00574E8C" w:rsidRPr="00A365C1">
              <w:rPr>
                <w:bCs/>
                <w:szCs w:val="22"/>
                <w:lang w:val="fr-FR"/>
              </w:rPr>
              <w:t>ettre davantage l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="00574E8C" w:rsidRPr="00A365C1">
              <w:rPr>
                <w:bCs/>
                <w:szCs w:val="22"/>
                <w:lang w:val="fr-FR"/>
              </w:rPr>
              <w:t xml:space="preserve">accent sur le renforcement des capacités techniques et analytiques des partenaires dans les États membres, en vue de garantir la </w:t>
            </w:r>
            <w:r w:rsidR="00724738" w:rsidRPr="00A365C1">
              <w:rPr>
                <w:bCs/>
                <w:szCs w:val="22"/>
                <w:lang w:val="fr-FR"/>
              </w:rPr>
              <w:t>pérennité</w:t>
            </w:r>
            <w:r w:rsidR="00574E8C" w:rsidRPr="00A365C1">
              <w:rPr>
                <w:bCs/>
                <w:szCs w:val="22"/>
                <w:lang w:val="fr-FR"/>
              </w:rPr>
              <w:t xml:space="preserve"> de l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="00574E8C" w:rsidRPr="00A365C1">
              <w:rPr>
                <w:bCs/>
                <w:szCs w:val="22"/>
                <w:lang w:val="fr-FR"/>
              </w:rPr>
              <w:t xml:space="preserve">infrastructure de recherche empirique créée </w:t>
            </w:r>
            <w:r w:rsidR="009F6958" w:rsidRPr="00A365C1">
              <w:rPr>
                <w:bCs/>
                <w:szCs w:val="22"/>
                <w:lang w:val="fr-FR"/>
              </w:rPr>
              <w:t>à l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="009F6958" w:rsidRPr="00A365C1">
              <w:rPr>
                <w:bCs/>
                <w:szCs w:val="22"/>
                <w:lang w:val="fr-FR"/>
              </w:rPr>
              <w:t>issue des</w:t>
            </w:r>
            <w:r w:rsidR="00574E8C" w:rsidRPr="00A365C1">
              <w:rPr>
                <w:bCs/>
                <w:szCs w:val="22"/>
                <w:lang w:val="fr-FR"/>
              </w:rPr>
              <w:t xml:space="preserve"> nouvelles études.</w:t>
            </w:r>
            <w:r w:rsidR="00810559" w:rsidRPr="00A365C1">
              <w:rPr>
                <w:bCs/>
                <w:szCs w:val="22"/>
                <w:lang w:val="fr-FR"/>
              </w:rPr>
              <w:t xml:space="preserve">  </w:t>
            </w:r>
            <w:r w:rsidR="00824272" w:rsidRPr="00A365C1">
              <w:rPr>
                <w:bCs/>
                <w:szCs w:val="22"/>
                <w:lang w:val="fr-FR"/>
              </w:rPr>
              <w:t>À cette fin, le projet étudiera la possibilité d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="00824272" w:rsidRPr="00A365C1">
              <w:rPr>
                <w:bCs/>
                <w:szCs w:val="22"/>
                <w:lang w:val="fr-FR"/>
              </w:rPr>
              <w:t xml:space="preserve">inclure une formation spécialisée dans les programmes de </w:t>
            </w:r>
            <w:r w:rsidR="00724738" w:rsidRPr="00A365C1">
              <w:rPr>
                <w:bCs/>
                <w:szCs w:val="22"/>
                <w:lang w:val="fr-FR"/>
              </w:rPr>
              <w:t>perfectionnement</w:t>
            </w:r>
            <w:r w:rsidR="00824272" w:rsidRPr="00A365C1">
              <w:rPr>
                <w:bCs/>
                <w:szCs w:val="22"/>
                <w:lang w:val="fr-FR"/>
              </w:rPr>
              <w:t xml:space="preserve"> assurés d</w:t>
            </w:r>
            <w:r w:rsidRPr="00A365C1">
              <w:rPr>
                <w:bCs/>
                <w:szCs w:val="22"/>
                <w:lang w:val="fr-FR"/>
              </w:rPr>
              <w:t>ans le cadre du projet DA_10_02;</w:t>
            </w:r>
          </w:p>
          <w:p w:rsidR="006B5952" w:rsidRPr="00A365C1" w:rsidRDefault="006B674D" w:rsidP="00BB570E">
            <w:pPr>
              <w:pStyle w:val="ListParagraph"/>
              <w:numPr>
                <w:ilvl w:val="0"/>
                <w:numId w:val="12"/>
              </w:numPr>
              <w:spacing w:after="120"/>
              <w:ind w:left="1267"/>
              <w:contextualSpacing w:val="0"/>
              <w:rPr>
                <w:bCs/>
                <w:szCs w:val="22"/>
                <w:lang w:val="fr-FR"/>
              </w:rPr>
            </w:pPr>
            <w:r w:rsidRPr="00A365C1">
              <w:rPr>
                <w:bCs/>
                <w:szCs w:val="22"/>
                <w:lang w:val="fr-FR"/>
              </w:rPr>
              <w:t>r</w:t>
            </w:r>
            <w:r w:rsidR="00824272" w:rsidRPr="00A365C1">
              <w:rPr>
                <w:bCs/>
                <w:szCs w:val="22"/>
                <w:lang w:val="fr-FR"/>
              </w:rPr>
              <w:t>enforcer la gestion du projet en adopta</w:t>
            </w:r>
            <w:r w:rsidRPr="00A365C1">
              <w:rPr>
                <w:bCs/>
                <w:szCs w:val="22"/>
                <w:lang w:val="fr-FR"/>
              </w:rPr>
              <w:t>nt une matrice de planification;</w:t>
            </w:r>
          </w:p>
          <w:p w:rsidR="006B5952" w:rsidRPr="00A365C1" w:rsidRDefault="006B674D" w:rsidP="00BB570E">
            <w:pPr>
              <w:pStyle w:val="ListParagraph"/>
              <w:numPr>
                <w:ilvl w:val="0"/>
                <w:numId w:val="12"/>
              </w:numPr>
              <w:spacing w:after="120"/>
              <w:ind w:left="1267"/>
              <w:contextualSpacing w:val="0"/>
              <w:rPr>
                <w:bCs/>
                <w:szCs w:val="22"/>
                <w:lang w:val="fr-FR"/>
              </w:rPr>
            </w:pPr>
            <w:r w:rsidRPr="00A365C1">
              <w:rPr>
                <w:bCs/>
                <w:szCs w:val="22"/>
                <w:lang w:val="fr-FR"/>
              </w:rPr>
              <w:t>m</w:t>
            </w:r>
            <w:r w:rsidR="00824272" w:rsidRPr="00A365C1">
              <w:rPr>
                <w:bCs/>
                <w:szCs w:val="22"/>
                <w:lang w:val="fr-FR"/>
              </w:rPr>
              <w:t>ettre en place un mécanisme permettant aux bénéficiaires du projet, une fois les travaux achevés, de fournir un retour d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="00824272" w:rsidRPr="00A365C1">
              <w:rPr>
                <w:bCs/>
                <w:szCs w:val="22"/>
                <w:lang w:val="fr-FR"/>
              </w:rPr>
              <w:t>information</w:t>
            </w:r>
            <w:r w:rsidR="00724738" w:rsidRPr="00A365C1">
              <w:rPr>
                <w:bCs/>
                <w:szCs w:val="22"/>
                <w:lang w:val="fr-FR"/>
              </w:rPr>
              <w:t>s</w:t>
            </w:r>
            <w:r w:rsidR="00824272" w:rsidRPr="00A365C1">
              <w:rPr>
                <w:bCs/>
                <w:szCs w:val="22"/>
                <w:lang w:val="fr-FR"/>
              </w:rPr>
              <w:t xml:space="preserve"> de qualité sur la conception, la mise en </w:t>
            </w:r>
            <w:r w:rsidR="00CA67D7" w:rsidRPr="00A365C1">
              <w:rPr>
                <w:bCs/>
                <w:szCs w:val="22"/>
                <w:lang w:val="fr-FR"/>
              </w:rPr>
              <w:t>œuvre</w:t>
            </w:r>
            <w:r w:rsidR="00824272" w:rsidRPr="00A365C1">
              <w:rPr>
                <w:bCs/>
                <w:szCs w:val="22"/>
                <w:lang w:val="fr-FR"/>
              </w:rPr>
              <w:t xml:space="preserve"> et les effets des activités menées dans le cadre d</w:t>
            </w:r>
            <w:r w:rsidR="00ED2A1B" w:rsidRPr="00A365C1">
              <w:rPr>
                <w:bCs/>
                <w:szCs w:val="22"/>
                <w:lang w:val="fr-FR"/>
              </w:rPr>
              <w:t>es études</w:t>
            </w:r>
            <w:r w:rsidRPr="00A365C1">
              <w:rPr>
                <w:bCs/>
                <w:szCs w:val="22"/>
                <w:lang w:val="fr-FR"/>
              </w:rPr>
              <w:t>;</w:t>
            </w:r>
          </w:p>
          <w:p w:rsidR="006B5952" w:rsidRPr="00A365C1" w:rsidRDefault="006B674D" w:rsidP="00BB570E">
            <w:pPr>
              <w:pStyle w:val="ListParagraph"/>
              <w:numPr>
                <w:ilvl w:val="0"/>
                <w:numId w:val="12"/>
              </w:numPr>
              <w:spacing w:after="120"/>
              <w:contextualSpacing w:val="0"/>
              <w:rPr>
                <w:bCs/>
                <w:szCs w:val="22"/>
                <w:lang w:val="fr-FR"/>
              </w:rPr>
            </w:pPr>
            <w:r w:rsidRPr="00A365C1">
              <w:rPr>
                <w:bCs/>
                <w:szCs w:val="22"/>
                <w:lang w:val="fr-FR"/>
              </w:rPr>
              <w:t>v</w:t>
            </w:r>
            <w:r w:rsidR="006B5952" w:rsidRPr="00A365C1">
              <w:rPr>
                <w:bCs/>
                <w:szCs w:val="22"/>
                <w:lang w:val="fr-FR"/>
              </w:rPr>
              <w:t>ers la fin du projet, un colloque de recherche final réunira à Genève les auteurs des études, les décideurs et d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="006B5952" w:rsidRPr="00A365C1">
              <w:rPr>
                <w:bCs/>
                <w:szCs w:val="22"/>
                <w:lang w:val="fr-FR"/>
              </w:rPr>
              <w:t>autres parties prenantes concernées pour débattre des enseignements tirés des différentes études, de la possibilité de les appliquer à une plus grande échelle et de leurs effets sur l</w:t>
            </w:r>
            <w:r w:rsidR="00ED416A">
              <w:rPr>
                <w:bCs/>
                <w:szCs w:val="22"/>
                <w:lang w:val="fr-FR"/>
              </w:rPr>
              <w:t>’</w:t>
            </w:r>
            <w:r w:rsidR="006B5952" w:rsidRPr="00A365C1">
              <w:rPr>
                <w:bCs/>
                <w:szCs w:val="22"/>
                <w:lang w:val="fr-FR"/>
              </w:rPr>
              <w:t>élaboration des politiques aux niveaux national et international.</w:t>
            </w:r>
          </w:p>
          <w:p w:rsidR="00810559" w:rsidRPr="00A365C1" w:rsidRDefault="00810559" w:rsidP="00BB570E">
            <w:pPr>
              <w:rPr>
                <w:bCs/>
                <w:lang w:val="fr-FR"/>
              </w:rPr>
            </w:pPr>
          </w:p>
        </w:tc>
      </w:tr>
      <w:tr w:rsidR="00810559" w:rsidRPr="00A365C1" w:rsidTr="004C142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791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52" w:rsidRPr="00A365C1" w:rsidRDefault="00CA67D7" w:rsidP="00BB570E">
            <w:pPr>
              <w:rPr>
                <w:bCs/>
                <w:u w:val="single"/>
                <w:lang w:val="fr-FR"/>
              </w:rPr>
            </w:pPr>
            <w:r w:rsidRPr="00A365C1">
              <w:rPr>
                <w:bCs/>
                <w:lang w:val="fr-FR"/>
              </w:rPr>
              <w:lastRenderedPageBreak/>
              <w:t>2.</w:t>
            </w:r>
            <w:r w:rsidR="009C1183" w:rsidRPr="00A365C1">
              <w:rPr>
                <w:bCs/>
                <w:lang w:val="fr-FR"/>
              </w:rPr>
              <w:t>4.</w:t>
            </w:r>
            <w:r w:rsidR="00CE211B">
              <w:rPr>
                <w:bCs/>
                <w:lang w:val="fr-FR"/>
              </w:rPr>
              <w:t xml:space="preserve"> </w:t>
            </w:r>
            <w:r w:rsidR="00943653">
              <w:rPr>
                <w:bCs/>
                <w:lang w:val="fr-FR"/>
              </w:rPr>
              <w:tab/>
            </w:r>
            <w:r w:rsidR="009C1183" w:rsidRPr="00A365C1">
              <w:rPr>
                <w:bCs/>
                <w:u w:val="single"/>
                <w:lang w:val="fr-FR"/>
              </w:rPr>
              <w:t>Risques et stratégies d</w:t>
            </w:r>
            <w:r w:rsidR="00ED416A">
              <w:rPr>
                <w:bCs/>
                <w:u w:val="single"/>
                <w:lang w:val="fr-FR"/>
              </w:rPr>
              <w:t>’</w:t>
            </w:r>
            <w:r w:rsidR="009C1183" w:rsidRPr="00A365C1">
              <w:rPr>
                <w:bCs/>
                <w:u w:val="single"/>
                <w:lang w:val="fr-FR"/>
              </w:rPr>
              <w:t>atténuation</w:t>
            </w:r>
          </w:p>
          <w:p w:rsidR="006B5952" w:rsidRPr="00A365C1" w:rsidRDefault="006B5952" w:rsidP="00BB570E">
            <w:pPr>
              <w:rPr>
                <w:bCs/>
                <w:u w:val="single"/>
                <w:lang w:val="fr-FR"/>
              </w:rPr>
            </w:pPr>
          </w:p>
          <w:p w:rsidR="006B5952" w:rsidRPr="00A365C1" w:rsidRDefault="00406B51" w:rsidP="00BB570E">
            <w:pPr>
              <w:ind w:left="567"/>
              <w:rPr>
                <w:szCs w:val="22"/>
                <w:lang w:val="fr-FR"/>
              </w:rPr>
            </w:pPr>
            <w:r w:rsidRPr="00A365C1">
              <w:rPr>
                <w:szCs w:val="22"/>
                <w:lang w:val="fr-FR"/>
              </w:rPr>
              <w:t>Comme pour la phase</w:t>
            </w:r>
            <w:r w:rsidR="00882736">
              <w:rPr>
                <w:szCs w:val="22"/>
                <w:lang w:val="fr-FR"/>
              </w:rPr>
              <w:t> </w:t>
            </w:r>
            <w:r w:rsidRPr="00A365C1">
              <w:rPr>
                <w:szCs w:val="22"/>
                <w:lang w:val="fr-FR"/>
              </w:rPr>
              <w:t>I, l</w:t>
            </w:r>
            <w:r w:rsidR="00ED416A">
              <w:rPr>
                <w:szCs w:val="22"/>
                <w:lang w:val="fr-FR"/>
              </w:rPr>
              <w:t>’</w:t>
            </w:r>
            <w:r w:rsidRPr="00A365C1">
              <w:rPr>
                <w:szCs w:val="22"/>
                <w:lang w:val="fr-FR"/>
              </w:rPr>
              <w:t>un des principaux risques découle de l</w:t>
            </w:r>
            <w:r w:rsidR="00ED416A">
              <w:rPr>
                <w:szCs w:val="22"/>
                <w:lang w:val="fr-FR"/>
              </w:rPr>
              <w:t>’</w:t>
            </w:r>
            <w:r w:rsidRPr="00A365C1">
              <w:rPr>
                <w:szCs w:val="22"/>
                <w:lang w:val="fr-FR"/>
              </w:rPr>
              <w:t xml:space="preserve">incertitude concernant la qualité des données disponibles pour réaliser de véritables </w:t>
            </w:r>
            <w:r w:rsidR="00724738" w:rsidRPr="00A365C1">
              <w:rPr>
                <w:szCs w:val="22"/>
                <w:lang w:val="fr-FR"/>
              </w:rPr>
              <w:t>recherches</w:t>
            </w:r>
            <w:r w:rsidRPr="00A365C1">
              <w:rPr>
                <w:szCs w:val="22"/>
                <w:lang w:val="fr-FR"/>
              </w:rPr>
              <w:t xml:space="preserve"> sur les questions présentant un intérêt.</w:t>
            </w:r>
            <w:r w:rsidR="00810559" w:rsidRPr="00A365C1">
              <w:rPr>
                <w:szCs w:val="22"/>
                <w:lang w:val="fr-FR"/>
              </w:rPr>
              <w:t xml:space="preserve">  </w:t>
            </w:r>
            <w:r w:rsidRPr="00A365C1">
              <w:rPr>
                <w:szCs w:val="22"/>
                <w:lang w:val="fr-FR"/>
              </w:rPr>
              <w:t xml:space="preserve">Ce risque peut être </w:t>
            </w:r>
            <w:r w:rsidR="00CA67D7" w:rsidRPr="00A365C1">
              <w:rPr>
                <w:szCs w:val="22"/>
                <w:lang w:val="fr-FR"/>
              </w:rPr>
              <w:t>atténué</w:t>
            </w:r>
            <w:r w:rsidRPr="00A365C1">
              <w:rPr>
                <w:szCs w:val="22"/>
                <w:lang w:val="fr-FR"/>
              </w:rPr>
              <w:t xml:space="preserve"> au moyen d</w:t>
            </w:r>
            <w:r w:rsidR="00ED416A">
              <w:rPr>
                <w:szCs w:val="22"/>
                <w:lang w:val="fr-FR"/>
              </w:rPr>
              <w:t>’</w:t>
            </w:r>
            <w:r w:rsidRPr="00A365C1">
              <w:rPr>
                <w:szCs w:val="22"/>
                <w:lang w:val="fr-FR"/>
              </w:rPr>
              <w:t>études de faisabilité faisant intervenir les parties prenantes concernées, qui seraient réalisées avant de décider de l</w:t>
            </w:r>
            <w:r w:rsidR="00ED416A">
              <w:rPr>
                <w:szCs w:val="22"/>
                <w:lang w:val="fr-FR"/>
              </w:rPr>
              <w:t>’</w:t>
            </w:r>
            <w:r w:rsidRPr="00A365C1">
              <w:rPr>
                <w:szCs w:val="22"/>
                <w:lang w:val="fr-FR"/>
              </w:rPr>
              <w:t>orientation à donner aux travaux.</w:t>
            </w:r>
          </w:p>
          <w:p w:rsidR="006B5952" w:rsidRPr="00A365C1" w:rsidRDefault="006B5952" w:rsidP="00BB570E">
            <w:pPr>
              <w:ind w:left="1134"/>
              <w:rPr>
                <w:szCs w:val="22"/>
                <w:lang w:val="fr-FR"/>
              </w:rPr>
            </w:pPr>
          </w:p>
          <w:p w:rsidR="00810559" w:rsidRPr="00A365C1" w:rsidRDefault="00810559" w:rsidP="00BB570E">
            <w:pPr>
              <w:ind w:left="1134"/>
              <w:rPr>
                <w:bCs/>
                <w:lang w:val="fr-FR"/>
              </w:rPr>
            </w:pPr>
          </w:p>
        </w:tc>
      </w:tr>
      <w:tr w:rsidR="00810559" w:rsidRPr="00A365C1" w:rsidTr="004C142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8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52" w:rsidRPr="00A365C1" w:rsidRDefault="00406B51" w:rsidP="00BB570E">
            <w:pPr>
              <w:rPr>
                <w:bCs/>
                <w:iCs/>
                <w:lang w:val="fr-FR"/>
              </w:rPr>
            </w:pPr>
            <w:r w:rsidRPr="00A365C1">
              <w:rPr>
                <w:bCs/>
                <w:iCs/>
                <w:lang w:val="fr-FR"/>
              </w:rPr>
              <w:t xml:space="preserve">3. </w:t>
            </w:r>
            <w:r w:rsidR="00943653">
              <w:rPr>
                <w:bCs/>
                <w:iCs/>
                <w:lang w:val="fr-FR"/>
              </w:rPr>
              <w:tab/>
            </w:r>
            <w:r w:rsidRPr="00A365C1">
              <w:rPr>
                <w:bCs/>
                <w:iCs/>
                <w:lang w:val="fr-FR"/>
              </w:rPr>
              <w:t>EXAMEN ET ÉVALUATION</w:t>
            </w:r>
          </w:p>
          <w:p w:rsidR="00810559" w:rsidRPr="00A365C1" w:rsidRDefault="00810559" w:rsidP="00BB570E">
            <w:pPr>
              <w:rPr>
                <w:b/>
                <w:bCs/>
                <w:lang w:val="fr-FR"/>
              </w:rPr>
            </w:pPr>
          </w:p>
        </w:tc>
      </w:tr>
      <w:tr w:rsidR="00810559" w:rsidRPr="00A365C1" w:rsidTr="004C142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8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59" w:rsidRPr="00A365C1" w:rsidRDefault="00CA67D7" w:rsidP="00BB570E">
            <w:pPr>
              <w:rPr>
                <w:u w:val="single"/>
                <w:lang w:val="fr-FR"/>
              </w:rPr>
            </w:pPr>
            <w:r w:rsidRPr="00A365C1">
              <w:rPr>
                <w:lang w:val="fr-FR"/>
              </w:rPr>
              <w:t>3.</w:t>
            </w:r>
            <w:r w:rsidR="009C1183" w:rsidRPr="00A365C1">
              <w:rPr>
                <w:lang w:val="fr-FR"/>
              </w:rPr>
              <w:t>1</w:t>
            </w:r>
            <w:r w:rsidR="00C80BF7">
              <w:rPr>
                <w:lang w:val="fr-FR"/>
              </w:rPr>
              <w:t xml:space="preserve">. </w:t>
            </w:r>
            <w:r w:rsidR="00943653">
              <w:rPr>
                <w:lang w:val="fr-FR"/>
              </w:rPr>
              <w:tab/>
            </w:r>
            <w:r w:rsidR="009C1183" w:rsidRPr="00A365C1">
              <w:rPr>
                <w:u w:val="single"/>
                <w:lang w:val="fr-FR"/>
              </w:rPr>
              <w:t>Calendrier d</w:t>
            </w:r>
            <w:r w:rsidR="00ED416A">
              <w:rPr>
                <w:u w:val="single"/>
                <w:lang w:val="fr-FR"/>
              </w:rPr>
              <w:t>’</w:t>
            </w:r>
            <w:r w:rsidR="009C1183" w:rsidRPr="00A365C1">
              <w:rPr>
                <w:u w:val="single"/>
                <w:lang w:val="fr-FR"/>
              </w:rPr>
              <w:t>exécution du projet</w:t>
            </w:r>
          </w:p>
        </w:tc>
      </w:tr>
      <w:tr w:rsidR="00810559" w:rsidRPr="00A365C1" w:rsidTr="004C142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58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52" w:rsidRPr="00A365C1" w:rsidRDefault="007A5CA8" w:rsidP="00BB570E">
            <w:pPr>
              <w:rPr>
                <w:bCs/>
                <w:lang w:val="fr-FR"/>
              </w:rPr>
            </w:pPr>
            <w:r w:rsidRPr="00A365C1">
              <w:rPr>
                <w:bCs/>
                <w:lang w:val="fr-FR"/>
              </w:rPr>
              <w:t>Le programme</w:t>
            </w:r>
            <w:r w:rsidR="00882736">
              <w:rPr>
                <w:bCs/>
                <w:lang w:val="fr-FR"/>
              </w:rPr>
              <w:t> </w:t>
            </w:r>
            <w:r w:rsidRPr="00A365C1">
              <w:rPr>
                <w:bCs/>
                <w:lang w:val="fr-FR"/>
              </w:rPr>
              <w:t>16 informera régulièrement</w:t>
            </w:r>
            <w:r w:rsidR="003E4153" w:rsidRPr="00A365C1">
              <w:rPr>
                <w:bCs/>
                <w:lang w:val="fr-FR"/>
              </w:rPr>
              <w:t xml:space="preserve"> le</w:t>
            </w:r>
            <w:r w:rsidR="003E4153">
              <w:rPr>
                <w:bCs/>
                <w:lang w:val="fr-FR"/>
              </w:rPr>
              <w:t> </w:t>
            </w:r>
            <w:r w:rsidR="003E4153" w:rsidRPr="00A365C1">
              <w:rPr>
                <w:bCs/>
                <w:lang w:val="fr-FR"/>
              </w:rPr>
              <w:t>CDI</w:t>
            </w:r>
            <w:r w:rsidRPr="00A365C1">
              <w:rPr>
                <w:bCs/>
                <w:lang w:val="fr-FR"/>
              </w:rPr>
              <w:t xml:space="preserve">P de la mise en </w:t>
            </w:r>
            <w:r w:rsidR="00CA67D7" w:rsidRPr="00A365C1">
              <w:rPr>
                <w:bCs/>
                <w:lang w:val="fr-FR"/>
              </w:rPr>
              <w:t>œuvre</w:t>
            </w:r>
            <w:r w:rsidRPr="00A365C1">
              <w:rPr>
                <w:bCs/>
                <w:lang w:val="fr-FR"/>
              </w:rPr>
              <w:t xml:space="preserve"> de ce projet, par l</w:t>
            </w:r>
            <w:r w:rsidR="00ED416A">
              <w:rPr>
                <w:bCs/>
                <w:lang w:val="fr-FR"/>
              </w:rPr>
              <w:t>’</w:t>
            </w:r>
            <w:r w:rsidRPr="00A365C1">
              <w:rPr>
                <w:bCs/>
                <w:lang w:val="fr-FR"/>
              </w:rPr>
              <w:t>intermédiaire du traditionnel mécanisme d</w:t>
            </w:r>
            <w:r w:rsidR="00ED416A">
              <w:rPr>
                <w:bCs/>
                <w:lang w:val="fr-FR"/>
              </w:rPr>
              <w:t>’</w:t>
            </w:r>
            <w:r w:rsidRPr="00A365C1">
              <w:rPr>
                <w:bCs/>
                <w:lang w:val="fr-FR"/>
              </w:rPr>
              <w:t>établissement de rapports d</w:t>
            </w:r>
            <w:r w:rsidR="00ED416A">
              <w:rPr>
                <w:bCs/>
                <w:lang w:val="fr-FR"/>
              </w:rPr>
              <w:t>’</w:t>
            </w:r>
            <w:r w:rsidRPr="00A365C1">
              <w:rPr>
                <w:bCs/>
                <w:lang w:val="fr-FR"/>
              </w:rPr>
              <w:t>avancement.</w:t>
            </w:r>
            <w:r w:rsidR="00810559" w:rsidRPr="00A365C1">
              <w:rPr>
                <w:bCs/>
                <w:lang w:val="fr-FR"/>
              </w:rPr>
              <w:t xml:space="preserve">  </w:t>
            </w:r>
            <w:r w:rsidRPr="00A365C1">
              <w:rPr>
                <w:bCs/>
                <w:lang w:val="fr-FR"/>
              </w:rPr>
              <w:t>Une fois le projet achevé, il fera l</w:t>
            </w:r>
            <w:r w:rsidR="00ED416A">
              <w:rPr>
                <w:bCs/>
                <w:lang w:val="fr-FR"/>
              </w:rPr>
              <w:t>’</w:t>
            </w:r>
            <w:r w:rsidRPr="00A365C1">
              <w:rPr>
                <w:bCs/>
                <w:lang w:val="fr-FR"/>
              </w:rPr>
              <w:t>objet d</w:t>
            </w:r>
            <w:r w:rsidR="00ED416A">
              <w:rPr>
                <w:bCs/>
                <w:lang w:val="fr-FR"/>
              </w:rPr>
              <w:t>’</w:t>
            </w:r>
            <w:r w:rsidRPr="00A365C1">
              <w:rPr>
                <w:bCs/>
                <w:lang w:val="fr-FR"/>
              </w:rPr>
              <w:t>un rapport d</w:t>
            </w:r>
            <w:r w:rsidR="00ED416A">
              <w:rPr>
                <w:bCs/>
                <w:lang w:val="fr-FR"/>
              </w:rPr>
              <w:t>’</w:t>
            </w:r>
            <w:r w:rsidRPr="00A365C1">
              <w:rPr>
                <w:bCs/>
                <w:lang w:val="fr-FR"/>
              </w:rPr>
              <w:t xml:space="preserve">achèvement de projet </w:t>
            </w:r>
            <w:r w:rsidR="00724738" w:rsidRPr="00A365C1">
              <w:rPr>
                <w:bCs/>
                <w:lang w:val="fr-FR"/>
              </w:rPr>
              <w:t>présenté par</w:t>
            </w:r>
            <w:r w:rsidR="00943653">
              <w:rPr>
                <w:bCs/>
                <w:lang w:val="fr-FR"/>
              </w:rPr>
              <w:t xml:space="preserve"> le programme </w:t>
            </w:r>
            <w:r w:rsidRPr="00A365C1">
              <w:rPr>
                <w:bCs/>
                <w:lang w:val="fr-FR"/>
              </w:rPr>
              <w:t>16 et d</w:t>
            </w:r>
            <w:r w:rsidR="00ED416A">
              <w:rPr>
                <w:bCs/>
                <w:lang w:val="fr-FR"/>
              </w:rPr>
              <w:t>’</w:t>
            </w:r>
            <w:r w:rsidRPr="00A365C1">
              <w:rPr>
                <w:bCs/>
                <w:lang w:val="fr-FR"/>
              </w:rPr>
              <w:t>une évaluation indépendante.</w:t>
            </w:r>
          </w:p>
          <w:p w:rsidR="00810559" w:rsidRPr="00A365C1" w:rsidRDefault="00810559" w:rsidP="00BB570E">
            <w:pPr>
              <w:rPr>
                <w:b/>
                <w:bCs/>
                <w:lang w:val="fr-FR"/>
              </w:rPr>
            </w:pPr>
          </w:p>
        </w:tc>
      </w:tr>
      <w:tr w:rsidR="00810559" w:rsidRPr="00A365C1" w:rsidTr="004C142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52" w:rsidRPr="00A365C1" w:rsidRDefault="00CA67D7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3.</w:t>
            </w:r>
            <w:r w:rsidR="009C1183" w:rsidRPr="00A365C1">
              <w:rPr>
                <w:lang w:val="fr-FR"/>
              </w:rPr>
              <w:t>2.</w:t>
            </w:r>
            <w:r w:rsidR="00CE211B">
              <w:rPr>
                <w:lang w:val="fr-FR"/>
              </w:rPr>
              <w:t xml:space="preserve"> </w:t>
            </w:r>
            <w:r w:rsidR="00943653">
              <w:rPr>
                <w:lang w:val="fr-FR"/>
              </w:rPr>
              <w:tab/>
            </w:r>
            <w:r w:rsidR="009C1183" w:rsidRPr="00A365C1">
              <w:rPr>
                <w:u w:val="single"/>
                <w:lang w:val="fr-FR"/>
              </w:rPr>
              <w:t>Auto</w:t>
            </w:r>
            <w:r w:rsidR="005F69B3">
              <w:rPr>
                <w:u w:val="single"/>
                <w:lang w:val="fr-FR"/>
              </w:rPr>
              <w:noBreakHyphen/>
            </w:r>
            <w:r w:rsidR="009C1183" w:rsidRPr="00A365C1">
              <w:rPr>
                <w:u w:val="single"/>
                <w:lang w:val="fr-FR"/>
              </w:rPr>
              <w:t>évaluation du projet</w:t>
            </w:r>
          </w:p>
          <w:p w:rsidR="006B5952" w:rsidRPr="00A365C1" w:rsidRDefault="009C1183" w:rsidP="00BB570E">
            <w:pPr>
              <w:rPr>
                <w:i/>
                <w:lang w:val="fr-FR"/>
              </w:rPr>
            </w:pPr>
            <w:r w:rsidRPr="00A365C1">
              <w:rPr>
                <w:i/>
                <w:lang w:val="fr-FR"/>
              </w:rPr>
              <w:t>En sus de l</w:t>
            </w:r>
            <w:r w:rsidR="00ED416A">
              <w:rPr>
                <w:i/>
                <w:lang w:val="fr-FR"/>
              </w:rPr>
              <w:t>’</w:t>
            </w:r>
            <w:r w:rsidRPr="00A365C1">
              <w:rPr>
                <w:i/>
                <w:lang w:val="fr-FR"/>
              </w:rPr>
              <w:t>auto</w:t>
            </w:r>
            <w:r w:rsidR="005F69B3">
              <w:rPr>
                <w:i/>
                <w:lang w:val="fr-FR"/>
              </w:rPr>
              <w:noBreakHyphen/>
            </w:r>
            <w:r w:rsidRPr="00A365C1">
              <w:rPr>
                <w:i/>
                <w:lang w:val="fr-FR"/>
              </w:rPr>
              <w:t>évaluation du projet, une évaluation indépendante du projet sera réalisée.</w:t>
            </w:r>
          </w:p>
          <w:p w:rsidR="00A25D24" w:rsidRPr="00A365C1" w:rsidRDefault="00A25D24" w:rsidP="00BB570E">
            <w:pPr>
              <w:rPr>
                <w:i/>
                <w:lang w:val="fr-FR"/>
              </w:rPr>
            </w:pPr>
          </w:p>
        </w:tc>
      </w:tr>
      <w:tr w:rsidR="00810559" w:rsidRPr="00A365C1" w:rsidTr="004C142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59" w:rsidRPr="00A365C1" w:rsidRDefault="007A5CA8" w:rsidP="00BB570E">
            <w:pPr>
              <w:rPr>
                <w:bCs/>
                <w:i/>
                <w:lang w:val="fr-FR"/>
              </w:rPr>
            </w:pPr>
            <w:r w:rsidRPr="00A365C1">
              <w:rPr>
                <w:bCs/>
                <w:i/>
                <w:lang w:val="fr-FR"/>
              </w:rPr>
              <w:t>Résultats du Projet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52" w:rsidRPr="00A365C1" w:rsidRDefault="007A5CA8" w:rsidP="00BB570E">
            <w:pPr>
              <w:rPr>
                <w:bCs/>
                <w:i/>
                <w:lang w:val="fr-FR"/>
              </w:rPr>
            </w:pPr>
            <w:r w:rsidRPr="00A365C1">
              <w:rPr>
                <w:bCs/>
                <w:i/>
                <w:lang w:val="fr-FR"/>
              </w:rPr>
              <w:t>Indicateur</w:t>
            </w:r>
            <w:r w:rsidR="00464A24" w:rsidRPr="00A365C1">
              <w:rPr>
                <w:bCs/>
                <w:i/>
                <w:lang w:val="fr-FR"/>
              </w:rPr>
              <w:t>s d</w:t>
            </w:r>
            <w:r w:rsidR="00ED416A">
              <w:rPr>
                <w:bCs/>
                <w:i/>
                <w:lang w:val="fr-FR"/>
              </w:rPr>
              <w:t>’</w:t>
            </w:r>
            <w:r w:rsidR="00464A24" w:rsidRPr="00A365C1">
              <w:rPr>
                <w:bCs/>
                <w:i/>
                <w:lang w:val="fr-FR"/>
              </w:rPr>
              <w:t>exécution</w:t>
            </w:r>
          </w:p>
          <w:p w:rsidR="006B5952" w:rsidRPr="00A365C1" w:rsidRDefault="007A5CA8" w:rsidP="00BB570E">
            <w:pPr>
              <w:rPr>
                <w:bCs/>
                <w:lang w:val="fr-FR"/>
              </w:rPr>
            </w:pPr>
            <w:r w:rsidRPr="00A365C1">
              <w:rPr>
                <w:bCs/>
                <w:lang w:val="fr-FR"/>
              </w:rPr>
              <w:t>(indicateurs de ré</w:t>
            </w:r>
            <w:r w:rsidR="00464A24" w:rsidRPr="00A365C1">
              <w:rPr>
                <w:bCs/>
                <w:lang w:val="fr-FR"/>
              </w:rPr>
              <w:t>sultats</w:t>
            </w:r>
            <w:r w:rsidRPr="00A365C1">
              <w:rPr>
                <w:bCs/>
                <w:lang w:val="fr-FR"/>
              </w:rPr>
              <w:t>)</w:t>
            </w:r>
          </w:p>
          <w:p w:rsidR="00810559" w:rsidRPr="00A365C1" w:rsidRDefault="00810559" w:rsidP="00BB570E">
            <w:pPr>
              <w:rPr>
                <w:b/>
                <w:bCs/>
                <w:lang w:val="fr-FR"/>
              </w:rPr>
            </w:pPr>
          </w:p>
        </w:tc>
      </w:tr>
      <w:tr w:rsidR="00810559" w:rsidRPr="00A365C1" w:rsidTr="004C142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52" w:rsidRPr="00A365C1" w:rsidRDefault="007A5CA8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 xml:space="preserve">Activités de suivi dans les pays qui ont </w:t>
            </w:r>
            <w:r w:rsidR="00CA67D7" w:rsidRPr="00A365C1">
              <w:rPr>
                <w:lang w:val="fr-FR"/>
              </w:rPr>
              <w:t>bénéficié</w:t>
            </w:r>
            <w:r w:rsidR="00943653">
              <w:rPr>
                <w:lang w:val="fr-FR"/>
              </w:rPr>
              <w:t xml:space="preserve"> de la phase </w:t>
            </w:r>
            <w:r w:rsidRPr="00A365C1">
              <w:rPr>
                <w:lang w:val="fr-FR"/>
              </w:rPr>
              <w:t>I.</w:t>
            </w:r>
          </w:p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59" w:rsidRPr="00A365C1" w:rsidRDefault="00313B94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Organisation d</w:t>
            </w:r>
            <w:r w:rsidR="00ED416A">
              <w:rPr>
                <w:lang w:val="fr-FR"/>
              </w:rPr>
              <w:t>’</w:t>
            </w:r>
            <w:r w:rsidRPr="00A365C1">
              <w:rPr>
                <w:lang w:val="fr-FR"/>
              </w:rPr>
              <w:t>atelier</w:t>
            </w:r>
            <w:r w:rsidR="00724738" w:rsidRPr="00A365C1">
              <w:rPr>
                <w:lang w:val="fr-FR"/>
              </w:rPr>
              <w:t>s</w:t>
            </w:r>
            <w:r w:rsidRPr="00A365C1">
              <w:rPr>
                <w:lang w:val="fr-FR"/>
              </w:rPr>
              <w:t xml:space="preserve"> à l</w:t>
            </w:r>
            <w:r w:rsidR="00ED416A">
              <w:rPr>
                <w:lang w:val="fr-FR"/>
              </w:rPr>
              <w:t>’</w:t>
            </w:r>
            <w:r w:rsidRPr="00A365C1">
              <w:rPr>
                <w:lang w:val="fr-FR"/>
              </w:rPr>
              <w:t>échelle locale</w:t>
            </w:r>
            <w:r w:rsidR="00731524">
              <w:rPr>
                <w:lang w:val="fr-FR"/>
              </w:rPr>
              <w:t xml:space="preserve">; </w:t>
            </w:r>
            <w:r w:rsidRPr="00A365C1">
              <w:rPr>
                <w:lang w:val="fr-FR"/>
              </w:rPr>
              <w:t xml:space="preserve"> établissement d</w:t>
            </w:r>
            <w:r w:rsidR="00ED416A">
              <w:rPr>
                <w:lang w:val="fr-FR"/>
              </w:rPr>
              <w:t>’</w:t>
            </w:r>
            <w:r w:rsidRPr="00A365C1">
              <w:rPr>
                <w:lang w:val="fr-FR"/>
              </w:rPr>
              <w:t>études</w:t>
            </w:r>
            <w:r w:rsidR="00731524">
              <w:rPr>
                <w:lang w:val="fr-FR"/>
              </w:rPr>
              <w:t xml:space="preserve">; </w:t>
            </w:r>
            <w:r w:rsidRPr="00A365C1">
              <w:rPr>
                <w:lang w:val="fr-FR"/>
              </w:rPr>
              <w:t xml:space="preserve"> tenue à jour d</w:t>
            </w:r>
            <w:r w:rsidR="00ED416A">
              <w:rPr>
                <w:lang w:val="fr-FR"/>
              </w:rPr>
              <w:t>’</w:t>
            </w:r>
            <w:r w:rsidRPr="00A365C1">
              <w:rPr>
                <w:lang w:val="fr-FR"/>
              </w:rPr>
              <w:t xml:space="preserve">ensembles de </w:t>
            </w:r>
            <w:proofErr w:type="spellStart"/>
            <w:r w:rsidRPr="00A365C1">
              <w:rPr>
                <w:lang w:val="fr-FR"/>
              </w:rPr>
              <w:t>microdonnées</w:t>
            </w:r>
            <w:proofErr w:type="spellEnd"/>
            <w:r w:rsidRPr="00A365C1">
              <w:rPr>
                <w:lang w:val="fr-FR"/>
              </w:rPr>
              <w:t>.</w:t>
            </w:r>
          </w:p>
        </w:tc>
      </w:tr>
      <w:tr w:rsidR="00810559" w:rsidRPr="00A365C1" w:rsidTr="004C142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52" w:rsidRPr="00A365C1" w:rsidRDefault="00313B94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4</w:t>
            </w:r>
            <w:r w:rsidR="005F69B3">
              <w:rPr>
                <w:lang w:val="fr-FR"/>
              </w:rPr>
              <w:noBreakHyphen/>
            </w:r>
            <w:r w:rsidRPr="00A365C1">
              <w:rPr>
                <w:lang w:val="fr-FR"/>
              </w:rPr>
              <w:t>5 nouveaux projets d</w:t>
            </w:r>
            <w:r w:rsidR="00ED416A">
              <w:rPr>
                <w:lang w:val="fr-FR"/>
              </w:rPr>
              <w:t>’</w:t>
            </w:r>
            <w:r w:rsidRPr="00A365C1">
              <w:rPr>
                <w:lang w:val="fr-FR"/>
              </w:rPr>
              <w:t>étude à l</w:t>
            </w:r>
            <w:r w:rsidR="00ED416A">
              <w:rPr>
                <w:lang w:val="fr-FR"/>
              </w:rPr>
              <w:t>’</w:t>
            </w:r>
            <w:r w:rsidRPr="00A365C1">
              <w:rPr>
                <w:lang w:val="fr-FR"/>
              </w:rPr>
              <w:t>échelle nationale ou régionale.</w:t>
            </w:r>
          </w:p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59" w:rsidRPr="00A365C1" w:rsidRDefault="00313B94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Organisation d</w:t>
            </w:r>
            <w:r w:rsidR="00ED416A">
              <w:rPr>
                <w:lang w:val="fr-FR"/>
              </w:rPr>
              <w:t>’</w:t>
            </w:r>
            <w:r w:rsidRPr="00A365C1">
              <w:rPr>
                <w:lang w:val="fr-FR"/>
              </w:rPr>
              <w:t>ateliers</w:t>
            </w:r>
            <w:r w:rsidR="00731524">
              <w:rPr>
                <w:lang w:val="fr-FR"/>
              </w:rPr>
              <w:t xml:space="preserve">; </w:t>
            </w:r>
            <w:r w:rsidRPr="00A365C1">
              <w:rPr>
                <w:lang w:val="fr-FR"/>
              </w:rPr>
              <w:t xml:space="preserve"> établissement d</w:t>
            </w:r>
            <w:r w:rsidR="00ED416A">
              <w:rPr>
                <w:lang w:val="fr-FR"/>
              </w:rPr>
              <w:t>’</w:t>
            </w:r>
            <w:r w:rsidRPr="00A365C1">
              <w:rPr>
                <w:lang w:val="fr-FR"/>
              </w:rPr>
              <w:t>études et d</w:t>
            </w:r>
            <w:r w:rsidR="00ED416A">
              <w:rPr>
                <w:lang w:val="fr-FR"/>
              </w:rPr>
              <w:t>’</w:t>
            </w:r>
            <w:r w:rsidRPr="00A365C1">
              <w:rPr>
                <w:lang w:val="fr-FR"/>
              </w:rPr>
              <w:t xml:space="preserve">ensembles de </w:t>
            </w:r>
            <w:proofErr w:type="spellStart"/>
            <w:r w:rsidRPr="00A365C1">
              <w:rPr>
                <w:lang w:val="fr-FR"/>
              </w:rPr>
              <w:t>microdonnées</w:t>
            </w:r>
            <w:proofErr w:type="spellEnd"/>
            <w:r w:rsidRPr="00A365C1">
              <w:rPr>
                <w:lang w:val="fr-FR"/>
              </w:rPr>
              <w:t>.</w:t>
            </w:r>
          </w:p>
        </w:tc>
      </w:tr>
      <w:tr w:rsidR="00810559" w:rsidRPr="00A365C1" w:rsidTr="004C142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52" w:rsidRPr="00A365C1" w:rsidRDefault="00313B94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Colloque de recherche final.</w:t>
            </w:r>
          </w:p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52" w:rsidRPr="00A365C1" w:rsidRDefault="00313B94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Réussite du colloque faisant intervenir les principaux chercheurs et décideurs.</w:t>
            </w:r>
          </w:p>
          <w:p w:rsidR="00810559" w:rsidRPr="00A365C1" w:rsidRDefault="00810559" w:rsidP="00BB570E">
            <w:pPr>
              <w:rPr>
                <w:lang w:val="fr-FR"/>
              </w:rPr>
            </w:pPr>
          </w:p>
        </w:tc>
      </w:tr>
      <w:tr w:rsidR="00810559" w:rsidRPr="00A365C1" w:rsidTr="004C142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59" w:rsidRPr="00A365C1" w:rsidRDefault="00810559" w:rsidP="00BB570E">
            <w:pPr>
              <w:rPr>
                <w:bCs/>
                <w:i/>
                <w:lang w:val="fr-FR"/>
              </w:rPr>
            </w:pPr>
            <w:r w:rsidRPr="00A365C1">
              <w:rPr>
                <w:lang w:val="fr-FR"/>
              </w:rPr>
              <w:lastRenderedPageBreak/>
              <w:br w:type="page"/>
            </w:r>
            <w:r w:rsidR="009C1183" w:rsidRPr="00A365C1">
              <w:rPr>
                <w:i/>
                <w:lang w:val="fr-FR"/>
              </w:rPr>
              <w:t>Objectif(s) du projet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52" w:rsidRPr="00A365C1" w:rsidRDefault="009C1183" w:rsidP="00BB570E">
            <w:pPr>
              <w:rPr>
                <w:bCs/>
                <w:i/>
                <w:lang w:val="fr-FR"/>
              </w:rPr>
            </w:pPr>
            <w:r w:rsidRPr="00A365C1">
              <w:rPr>
                <w:bCs/>
                <w:i/>
                <w:lang w:val="fr-FR"/>
              </w:rPr>
              <w:t>Indicateurs de réussite dans la réalisation de l</w:t>
            </w:r>
            <w:r w:rsidR="00ED416A">
              <w:rPr>
                <w:bCs/>
                <w:i/>
                <w:lang w:val="fr-FR"/>
              </w:rPr>
              <w:t>’</w:t>
            </w:r>
            <w:r w:rsidRPr="00A365C1">
              <w:rPr>
                <w:bCs/>
                <w:i/>
                <w:lang w:val="fr-FR"/>
              </w:rPr>
              <w:t>objectif du projet (Indicateurs de réussite)</w:t>
            </w:r>
          </w:p>
          <w:p w:rsidR="00810559" w:rsidRPr="00A365C1" w:rsidRDefault="00810559" w:rsidP="00BB570E">
            <w:pPr>
              <w:rPr>
                <w:b/>
                <w:lang w:val="fr-FR"/>
              </w:rPr>
            </w:pPr>
          </w:p>
        </w:tc>
      </w:tr>
      <w:tr w:rsidR="00810559" w:rsidRPr="00A365C1" w:rsidTr="004C142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52" w:rsidRPr="00A365C1" w:rsidRDefault="009C1183" w:rsidP="00BB570E">
            <w:pPr>
              <w:rPr>
                <w:bCs/>
                <w:lang w:val="fr-FR"/>
              </w:rPr>
            </w:pPr>
            <w:r w:rsidRPr="00A365C1">
              <w:rPr>
                <w:bCs/>
                <w:lang w:val="fr-FR"/>
              </w:rPr>
              <w:t>Meilleure compréhension des incidences économiques des politiques de propriété intellectuelle et décisions en meilleure connaissance de cause</w:t>
            </w:r>
          </w:p>
          <w:p w:rsidR="00810559" w:rsidRPr="00A365C1" w:rsidRDefault="00810559" w:rsidP="00BB570E">
            <w:pPr>
              <w:rPr>
                <w:bCs/>
                <w:lang w:val="fr-FR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52" w:rsidRPr="00A365C1" w:rsidRDefault="00155FC8" w:rsidP="00BB570E">
            <w:pPr>
              <w:rPr>
                <w:bCs/>
                <w:lang w:val="fr-FR"/>
              </w:rPr>
            </w:pPr>
            <w:r w:rsidRPr="00A365C1">
              <w:rPr>
                <w:bCs/>
                <w:lang w:val="fr-FR"/>
              </w:rPr>
              <w:t>Études sur lesquelles s</w:t>
            </w:r>
            <w:r w:rsidR="00ED416A">
              <w:rPr>
                <w:bCs/>
                <w:lang w:val="fr-FR"/>
              </w:rPr>
              <w:t>’</w:t>
            </w:r>
            <w:r w:rsidRPr="00A365C1">
              <w:rPr>
                <w:bCs/>
                <w:lang w:val="fr-FR"/>
              </w:rPr>
              <w:t xml:space="preserve">appuient </w:t>
            </w:r>
            <w:r w:rsidR="00CA67D7" w:rsidRPr="00A365C1">
              <w:rPr>
                <w:bCs/>
                <w:lang w:val="fr-FR"/>
              </w:rPr>
              <w:t>directement</w:t>
            </w:r>
            <w:r w:rsidRPr="00A365C1">
              <w:rPr>
                <w:bCs/>
                <w:lang w:val="fr-FR"/>
              </w:rPr>
              <w:t xml:space="preserve"> des réformes politiques (notamment des modifications législatives ou des stratégies nationales en matière de propriété intellectuelle)</w:t>
            </w:r>
            <w:r w:rsidR="00731524">
              <w:rPr>
                <w:bCs/>
                <w:lang w:val="fr-FR"/>
              </w:rPr>
              <w:t xml:space="preserve">; </w:t>
            </w:r>
            <w:r w:rsidRPr="00A365C1">
              <w:rPr>
                <w:bCs/>
                <w:lang w:val="fr-FR"/>
              </w:rPr>
              <w:t xml:space="preserve"> bases de données et études utilisées/citées par les décideurs, les chercheurs, les médias et d</w:t>
            </w:r>
            <w:r w:rsidR="00ED416A">
              <w:rPr>
                <w:bCs/>
                <w:lang w:val="fr-FR"/>
              </w:rPr>
              <w:t>’</w:t>
            </w:r>
            <w:r w:rsidRPr="00A365C1">
              <w:rPr>
                <w:bCs/>
                <w:lang w:val="fr-FR"/>
              </w:rPr>
              <w:t>autres parties prenantes.</w:t>
            </w:r>
          </w:p>
          <w:p w:rsidR="00A25D24" w:rsidRPr="00A365C1" w:rsidRDefault="00A25D24" w:rsidP="00BB570E">
            <w:pPr>
              <w:rPr>
                <w:bCs/>
                <w:lang w:val="fr-FR"/>
              </w:rPr>
            </w:pPr>
          </w:p>
        </w:tc>
      </w:tr>
    </w:tbl>
    <w:p w:rsidR="00810559" w:rsidRPr="00A365C1" w:rsidRDefault="00810559" w:rsidP="00BB570E">
      <w:pPr>
        <w:rPr>
          <w:i/>
          <w:lang w:val="fr-FR"/>
        </w:rPr>
        <w:sectPr w:rsidR="00810559" w:rsidRPr="00A365C1" w:rsidSect="00C4328B">
          <w:headerReference w:type="default" r:id="rId14"/>
          <w:head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810559" w:rsidRDefault="009C1183" w:rsidP="00BB570E">
      <w:pPr>
        <w:pStyle w:val="Heading2"/>
        <w:numPr>
          <w:ilvl w:val="0"/>
          <w:numId w:val="9"/>
        </w:numPr>
        <w:tabs>
          <w:tab w:val="left" w:pos="709"/>
        </w:tabs>
        <w:ind w:hanging="720"/>
        <w:rPr>
          <w:lang w:val="fr-FR"/>
        </w:rPr>
      </w:pPr>
      <w:r w:rsidRPr="00A365C1">
        <w:rPr>
          <w:lang w:val="fr-FR"/>
        </w:rPr>
        <w:lastRenderedPageBreak/>
        <w:t>RESSOURCES TOTALES PAR RÉSULTAT</w:t>
      </w:r>
    </w:p>
    <w:p w:rsidR="00943653" w:rsidRPr="00943653" w:rsidRDefault="00943653" w:rsidP="00BB570E">
      <w:pPr>
        <w:rPr>
          <w:lang w:val="fr-FR"/>
        </w:rPr>
      </w:pP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1183"/>
        <w:gridCol w:w="1172"/>
        <w:gridCol w:w="1183"/>
        <w:gridCol w:w="1142"/>
        <w:gridCol w:w="1170"/>
        <w:gridCol w:w="1170"/>
        <w:gridCol w:w="1170"/>
        <w:gridCol w:w="1080"/>
        <w:gridCol w:w="1170"/>
        <w:gridCol w:w="1170"/>
        <w:gridCol w:w="990"/>
      </w:tblGrid>
      <w:tr w:rsidR="00CA67D7" w:rsidRPr="00A365C1" w:rsidTr="00B26C11">
        <w:trPr>
          <w:tblHeader/>
        </w:trPr>
        <w:tc>
          <w:tcPr>
            <w:tcW w:w="2358" w:type="dxa"/>
            <w:shd w:val="clear" w:color="auto" w:fill="auto"/>
          </w:tcPr>
          <w:p w:rsidR="00810559" w:rsidRPr="00A365C1" w:rsidRDefault="00810559" w:rsidP="00BB570E">
            <w:pPr>
              <w:rPr>
                <w:sz w:val="20"/>
                <w:u w:val="single"/>
                <w:lang w:val="fr-FR"/>
              </w:rPr>
            </w:pPr>
          </w:p>
        </w:tc>
        <w:tc>
          <w:tcPr>
            <w:tcW w:w="12600" w:type="dxa"/>
            <w:gridSpan w:val="11"/>
          </w:tcPr>
          <w:p w:rsidR="00810559" w:rsidRPr="00A365C1" w:rsidRDefault="009C1183" w:rsidP="00BB570E">
            <w:pPr>
              <w:jc w:val="center"/>
              <w:rPr>
                <w:i/>
                <w:sz w:val="20"/>
                <w:lang w:val="fr-FR"/>
              </w:rPr>
            </w:pPr>
            <w:r w:rsidRPr="00A365C1">
              <w:rPr>
                <w:i/>
                <w:sz w:val="20"/>
                <w:lang w:val="fr-FR"/>
              </w:rPr>
              <w:t>(en francs suisses)</w:t>
            </w:r>
          </w:p>
        </w:tc>
      </w:tr>
      <w:tr w:rsidR="00CA67D7" w:rsidRPr="00A365C1" w:rsidTr="00B26C11">
        <w:trPr>
          <w:trHeight w:val="310"/>
          <w:tblHeader/>
        </w:trPr>
        <w:tc>
          <w:tcPr>
            <w:tcW w:w="2358" w:type="dxa"/>
            <w:shd w:val="clear" w:color="auto" w:fill="auto"/>
            <w:vAlign w:val="bottom"/>
          </w:tcPr>
          <w:p w:rsidR="00810559" w:rsidRPr="00A365C1" w:rsidRDefault="009C1183" w:rsidP="00BB570E">
            <w:pPr>
              <w:rPr>
                <w:b/>
                <w:sz w:val="20"/>
                <w:lang w:val="fr-FR"/>
              </w:rPr>
            </w:pPr>
            <w:r w:rsidRPr="00A365C1">
              <w:rPr>
                <w:b/>
                <w:sz w:val="20"/>
                <w:lang w:val="fr-FR"/>
              </w:rPr>
              <w:t>Activités</w:t>
            </w: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b/>
                <w:sz w:val="20"/>
                <w:lang w:val="fr-FR"/>
              </w:rPr>
            </w:pPr>
            <w:r w:rsidRPr="00A365C1">
              <w:rPr>
                <w:b/>
                <w:sz w:val="20"/>
                <w:lang w:val="fr-FR"/>
              </w:rPr>
              <w:t>2014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b/>
                <w:sz w:val="20"/>
                <w:lang w:val="fr-FR"/>
              </w:rPr>
            </w:pPr>
            <w:r w:rsidRPr="00A365C1">
              <w:rPr>
                <w:b/>
                <w:sz w:val="20"/>
                <w:lang w:val="fr-FR"/>
              </w:rPr>
              <w:t>2015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b/>
                <w:sz w:val="20"/>
                <w:lang w:val="fr-FR"/>
              </w:rPr>
            </w:pPr>
            <w:r w:rsidRPr="00A365C1">
              <w:rPr>
                <w:b/>
                <w:sz w:val="20"/>
                <w:lang w:val="fr-FR"/>
              </w:rPr>
              <w:t>2016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b/>
                <w:sz w:val="20"/>
                <w:lang w:val="fr-FR"/>
              </w:rPr>
            </w:pPr>
            <w:r w:rsidRPr="00A365C1">
              <w:rPr>
                <w:b/>
                <w:sz w:val="20"/>
                <w:lang w:val="fr-FR"/>
              </w:rPr>
              <w:t>2017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810559" w:rsidRPr="00A365C1" w:rsidRDefault="009C1183" w:rsidP="00BB570E">
            <w:pPr>
              <w:jc w:val="center"/>
              <w:rPr>
                <w:b/>
                <w:sz w:val="20"/>
                <w:lang w:val="fr-FR"/>
              </w:rPr>
            </w:pPr>
            <w:r w:rsidRPr="00A365C1">
              <w:rPr>
                <w:b/>
                <w:sz w:val="20"/>
                <w:lang w:val="fr-FR"/>
              </w:rPr>
              <w:t>Total</w:t>
            </w:r>
            <w:r w:rsidR="00731524">
              <w:rPr>
                <w:sz w:val="20"/>
                <w:lang w:val="fr-FR"/>
              </w:rPr>
              <w:t> </w:t>
            </w:r>
            <w:r w:rsidRPr="00C80BF7">
              <w:rPr>
                <w:sz w:val="20"/>
                <w:lang w:val="fr-FR"/>
              </w:rPr>
              <w:t>:</w:t>
            </w:r>
          </w:p>
        </w:tc>
        <w:tc>
          <w:tcPr>
            <w:tcW w:w="990" w:type="dxa"/>
          </w:tcPr>
          <w:p w:rsidR="00810559" w:rsidRPr="00A365C1" w:rsidRDefault="009C1183" w:rsidP="00BB570E">
            <w:pPr>
              <w:jc w:val="center"/>
              <w:rPr>
                <w:b/>
                <w:sz w:val="20"/>
                <w:lang w:val="fr-FR"/>
              </w:rPr>
            </w:pPr>
            <w:r w:rsidRPr="00A365C1">
              <w:rPr>
                <w:b/>
                <w:sz w:val="20"/>
                <w:lang w:val="fr-FR"/>
              </w:rPr>
              <w:t>Total</w:t>
            </w:r>
            <w:r w:rsidR="00731524">
              <w:rPr>
                <w:sz w:val="20"/>
                <w:lang w:val="fr-FR"/>
              </w:rPr>
              <w:t> </w:t>
            </w:r>
            <w:r w:rsidRPr="00C80BF7">
              <w:rPr>
                <w:sz w:val="20"/>
                <w:lang w:val="fr-FR"/>
              </w:rPr>
              <w:t>:</w:t>
            </w:r>
          </w:p>
        </w:tc>
      </w:tr>
      <w:tr w:rsidR="00CA67D7" w:rsidRPr="00A365C1" w:rsidTr="00B26C11">
        <w:trPr>
          <w:trHeight w:val="310"/>
          <w:tblHeader/>
        </w:trPr>
        <w:tc>
          <w:tcPr>
            <w:tcW w:w="2358" w:type="dxa"/>
            <w:shd w:val="clear" w:color="auto" w:fill="auto"/>
            <w:vAlign w:val="bottom"/>
          </w:tcPr>
          <w:p w:rsidR="00810559" w:rsidRPr="00A365C1" w:rsidRDefault="00810559" w:rsidP="00BB570E">
            <w:pPr>
              <w:rPr>
                <w:b/>
                <w:sz w:val="20"/>
                <w:lang w:val="fr-FR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10559" w:rsidRPr="00A365C1" w:rsidRDefault="009C1183" w:rsidP="00BB570E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A365C1">
              <w:rPr>
                <w:b/>
                <w:sz w:val="18"/>
                <w:szCs w:val="18"/>
                <w:lang w:val="fr-FR"/>
              </w:rPr>
              <w:t>Dépenses de personnel</w:t>
            </w:r>
          </w:p>
        </w:tc>
        <w:tc>
          <w:tcPr>
            <w:tcW w:w="1172" w:type="dxa"/>
          </w:tcPr>
          <w:p w:rsidR="00810559" w:rsidRPr="00A365C1" w:rsidRDefault="00155FC8" w:rsidP="00BB570E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A365C1">
              <w:rPr>
                <w:b/>
                <w:sz w:val="18"/>
                <w:szCs w:val="18"/>
                <w:lang w:val="fr-FR"/>
              </w:rPr>
              <w:t>Autres dépenses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10559" w:rsidRPr="00A365C1" w:rsidRDefault="00155FC8" w:rsidP="00BB570E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A365C1">
              <w:rPr>
                <w:b/>
                <w:sz w:val="18"/>
                <w:szCs w:val="18"/>
                <w:lang w:val="fr-FR"/>
              </w:rPr>
              <w:t>Dépenses de personnel</w:t>
            </w:r>
          </w:p>
        </w:tc>
        <w:tc>
          <w:tcPr>
            <w:tcW w:w="1142" w:type="dxa"/>
          </w:tcPr>
          <w:p w:rsidR="00810559" w:rsidRPr="00A365C1" w:rsidRDefault="00155FC8" w:rsidP="00BB570E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A365C1">
              <w:rPr>
                <w:b/>
                <w:sz w:val="18"/>
                <w:szCs w:val="18"/>
                <w:lang w:val="fr-FR"/>
              </w:rPr>
              <w:t>Autres dépenses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10559" w:rsidRPr="00A365C1" w:rsidRDefault="00155FC8" w:rsidP="00BB570E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A365C1">
              <w:rPr>
                <w:b/>
                <w:sz w:val="18"/>
                <w:szCs w:val="18"/>
                <w:lang w:val="fr-FR"/>
              </w:rPr>
              <w:t>Dépenses de personnel</w:t>
            </w:r>
          </w:p>
        </w:tc>
        <w:tc>
          <w:tcPr>
            <w:tcW w:w="1170" w:type="dxa"/>
          </w:tcPr>
          <w:p w:rsidR="00810559" w:rsidRPr="00A365C1" w:rsidRDefault="00155FC8" w:rsidP="00BB570E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A365C1">
              <w:rPr>
                <w:b/>
                <w:sz w:val="18"/>
                <w:szCs w:val="18"/>
                <w:lang w:val="fr-FR"/>
              </w:rPr>
              <w:t>Autres dépenses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10559" w:rsidRPr="00A365C1" w:rsidRDefault="00155FC8" w:rsidP="00BB570E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A365C1">
              <w:rPr>
                <w:b/>
                <w:sz w:val="18"/>
                <w:szCs w:val="18"/>
                <w:lang w:val="fr-FR"/>
              </w:rPr>
              <w:t>Dépenses de personnel</w:t>
            </w:r>
          </w:p>
        </w:tc>
        <w:tc>
          <w:tcPr>
            <w:tcW w:w="1080" w:type="dxa"/>
          </w:tcPr>
          <w:p w:rsidR="00810559" w:rsidRPr="00A365C1" w:rsidRDefault="00155FC8" w:rsidP="00BB570E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A365C1">
              <w:rPr>
                <w:b/>
                <w:sz w:val="18"/>
                <w:szCs w:val="18"/>
                <w:lang w:val="fr-FR"/>
              </w:rPr>
              <w:t>Autres dépenses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10559" w:rsidRPr="00A365C1" w:rsidRDefault="00155FC8" w:rsidP="00BB570E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A365C1">
              <w:rPr>
                <w:b/>
                <w:sz w:val="18"/>
                <w:szCs w:val="18"/>
                <w:lang w:val="fr-FR"/>
              </w:rPr>
              <w:t>Dépenses de personnel</w:t>
            </w:r>
          </w:p>
        </w:tc>
        <w:tc>
          <w:tcPr>
            <w:tcW w:w="1170" w:type="dxa"/>
          </w:tcPr>
          <w:p w:rsidR="00810559" w:rsidRPr="00A365C1" w:rsidRDefault="00155FC8" w:rsidP="00BB570E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A365C1">
              <w:rPr>
                <w:b/>
                <w:sz w:val="18"/>
                <w:szCs w:val="18"/>
                <w:lang w:val="fr-FR"/>
              </w:rPr>
              <w:t>Autres dépenses</w:t>
            </w:r>
          </w:p>
        </w:tc>
        <w:tc>
          <w:tcPr>
            <w:tcW w:w="990" w:type="dxa"/>
          </w:tcPr>
          <w:p w:rsidR="00810559" w:rsidRPr="00A365C1" w:rsidRDefault="00810559" w:rsidP="00BB570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  <w:tr w:rsidR="00CA67D7" w:rsidRPr="00A365C1" w:rsidTr="00B26C11">
        <w:tc>
          <w:tcPr>
            <w:tcW w:w="2358" w:type="dxa"/>
            <w:shd w:val="clear" w:color="auto" w:fill="auto"/>
          </w:tcPr>
          <w:p w:rsidR="00810559" w:rsidRPr="00A365C1" w:rsidRDefault="00155FC8" w:rsidP="00BB570E">
            <w:pPr>
              <w:rPr>
                <w:bCs/>
                <w:lang w:val="fr-FR"/>
              </w:rPr>
            </w:pPr>
            <w:r w:rsidRPr="00A365C1">
              <w:rPr>
                <w:bCs/>
                <w:lang w:val="fr-FR"/>
              </w:rPr>
              <w:t xml:space="preserve">Promotion de la </w:t>
            </w:r>
            <w:r w:rsidR="003F33BA" w:rsidRPr="00A365C1">
              <w:rPr>
                <w:bCs/>
                <w:lang w:val="fr-FR"/>
              </w:rPr>
              <w:t>continuité</w:t>
            </w:r>
            <w:r w:rsidRPr="00A365C1">
              <w:rPr>
                <w:bCs/>
                <w:lang w:val="fr-FR"/>
              </w:rPr>
              <w:t xml:space="preserve"> des recherches entamées au cours de la phase</w:t>
            </w:r>
            <w:r w:rsidR="00D05E48" w:rsidRPr="00A365C1">
              <w:rPr>
                <w:bCs/>
                <w:lang w:val="fr-FR"/>
              </w:rPr>
              <w:t> </w:t>
            </w:r>
            <w:r w:rsidRPr="00A365C1">
              <w:rPr>
                <w:bCs/>
                <w:lang w:val="fr-FR"/>
              </w:rPr>
              <w:t>I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72" w:type="dxa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10559" w:rsidRPr="00A365C1" w:rsidRDefault="009C1183" w:rsidP="00BB570E">
            <w:pPr>
              <w:jc w:val="center"/>
              <w:rPr>
                <w:sz w:val="20"/>
                <w:lang w:val="fr-FR"/>
              </w:rPr>
            </w:pPr>
            <w:r w:rsidRPr="00A365C1">
              <w:rPr>
                <w:sz w:val="20"/>
                <w:lang w:val="fr-FR"/>
              </w:rPr>
              <w:t>30 000</w:t>
            </w:r>
          </w:p>
        </w:tc>
        <w:tc>
          <w:tcPr>
            <w:tcW w:w="1142" w:type="dxa"/>
            <w:vAlign w:val="center"/>
          </w:tcPr>
          <w:p w:rsidR="00810559" w:rsidRPr="00A365C1" w:rsidRDefault="009C1183" w:rsidP="00BB570E">
            <w:pPr>
              <w:jc w:val="center"/>
              <w:rPr>
                <w:sz w:val="20"/>
                <w:lang w:val="fr-FR"/>
              </w:rPr>
            </w:pPr>
            <w:r w:rsidRPr="00A365C1">
              <w:rPr>
                <w:sz w:val="20"/>
                <w:lang w:val="fr-FR"/>
              </w:rPr>
              <w:t>50 000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10559" w:rsidRPr="00A365C1" w:rsidRDefault="009C1183" w:rsidP="00BB570E">
            <w:pPr>
              <w:jc w:val="center"/>
              <w:rPr>
                <w:sz w:val="20"/>
                <w:lang w:val="fr-FR"/>
              </w:rPr>
            </w:pPr>
            <w:r w:rsidRPr="00A365C1">
              <w:rPr>
                <w:sz w:val="20"/>
                <w:lang w:val="fr-FR"/>
              </w:rPr>
              <w:t>45 000</w:t>
            </w:r>
          </w:p>
        </w:tc>
        <w:tc>
          <w:tcPr>
            <w:tcW w:w="1170" w:type="dxa"/>
            <w:vAlign w:val="center"/>
          </w:tcPr>
          <w:p w:rsidR="00810559" w:rsidRPr="00A365C1" w:rsidRDefault="009C1183" w:rsidP="00BB570E">
            <w:pPr>
              <w:jc w:val="center"/>
              <w:rPr>
                <w:sz w:val="20"/>
                <w:lang w:val="fr-FR"/>
              </w:rPr>
            </w:pPr>
            <w:r w:rsidRPr="00A365C1">
              <w:rPr>
                <w:sz w:val="20"/>
                <w:lang w:val="fr-FR"/>
              </w:rPr>
              <w:t>55 000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10559" w:rsidRPr="00A365C1" w:rsidRDefault="009C1183" w:rsidP="00BB570E">
            <w:pPr>
              <w:jc w:val="center"/>
              <w:rPr>
                <w:sz w:val="20"/>
                <w:lang w:val="fr-FR"/>
              </w:rPr>
            </w:pPr>
            <w:r w:rsidRPr="00A365C1">
              <w:rPr>
                <w:sz w:val="20"/>
                <w:lang w:val="fr-FR"/>
              </w:rPr>
              <w:t>35 000</w:t>
            </w:r>
          </w:p>
        </w:tc>
        <w:tc>
          <w:tcPr>
            <w:tcW w:w="1080" w:type="dxa"/>
            <w:vAlign w:val="center"/>
          </w:tcPr>
          <w:p w:rsidR="00810559" w:rsidRPr="00A365C1" w:rsidRDefault="009C1183" w:rsidP="00BB570E">
            <w:pPr>
              <w:jc w:val="center"/>
              <w:rPr>
                <w:sz w:val="20"/>
                <w:lang w:val="fr-FR"/>
              </w:rPr>
            </w:pPr>
            <w:r w:rsidRPr="00A365C1">
              <w:rPr>
                <w:sz w:val="20"/>
                <w:lang w:val="fr-FR"/>
              </w:rPr>
              <w:t>50 000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10559" w:rsidRPr="00A365C1" w:rsidRDefault="009C1183" w:rsidP="00BB570E">
            <w:pPr>
              <w:jc w:val="center"/>
              <w:rPr>
                <w:sz w:val="20"/>
                <w:lang w:val="fr-FR"/>
              </w:rPr>
            </w:pPr>
            <w:r w:rsidRPr="00A365C1">
              <w:rPr>
                <w:sz w:val="20"/>
                <w:lang w:val="fr-FR"/>
              </w:rPr>
              <w:t>110 000</w:t>
            </w:r>
          </w:p>
        </w:tc>
        <w:tc>
          <w:tcPr>
            <w:tcW w:w="1170" w:type="dxa"/>
            <w:vAlign w:val="center"/>
          </w:tcPr>
          <w:p w:rsidR="00810559" w:rsidRPr="00A365C1" w:rsidRDefault="009C1183" w:rsidP="00BB570E">
            <w:pPr>
              <w:jc w:val="center"/>
              <w:rPr>
                <w:sz w:val="20"/>
                <w:lang w:val="fr-FR"/>
              </w:rPr>
            </w:pPr>
            <w:r w:rsidRPr="00A365C1">
              <w:rPr>
                <w:sz w:val="20"/>
                <w:lang w:val="fr-FR"/>
              </w:rPr>
              <w:t>155 000</w:t>
            </w:r>
          </w:p>
        </w:tc>
        <w:tc>
          <w:tcPr>
            <w:tcW w:w="990" w:type="dxa"/>
            <w:vAlign w:val="center"/>
          </w:tcPr>
          <w:p w:rsidR="00810559" w:rsidRPr="00A365C1" w:rsidRDefault="009C1183" w:rsidP="00BB570E">
            <w:pPr>
              <w:jc w:val="center"/>
              <w:rPr>
                <w:sz w:val="20"/>
                <w:lang w:val="fr-FR"/>
              </w:rPr>
            </w:pPr>
            <w:r w:rsidRPr="00A365C1">
              <w:rPr>
                <w:sz w:val="20"/>
                <w:lang w:val="fr-FR"/>
              </w:rPr>
              <w:t>265 000</w:t>
            </w:r>
          </w:p>
        </w:tc>
      </w:tr>
      <w:tr w:rsidR="00CA67D7" w:rsidRPr="00A365C1" w:rsidTr="00B26C11">
        <w:tc>
          <w:tcPr>
            <w:tcW w:w="2358" w:type="dxa"/>
            <w:shd w:val="clear" w:color="auto" w:fill="auto"/>
          </w:tcPr>
          <w:p w:rsidR="00810559" w:rsidRPr="00A365C1" w:rsidRDefault="00155FC8" w:rsidP="00BB570E">
            <w:pPr>
              <w:rPr>
                <w:szCs w:val="22"/>
                <w:lang w:val="fr-FR"/>
              </w:rPr>
            </w:pPr>
            <w:r w:rsidRPr="00A365C1">
              <w:rPr>
                <w:szCs w:val="22"/>
                <w:lang w:val="fr-FR"/>
              </w:rPr>
              <w:t>Extension des travaux à de nouveaux pays et régions, et à de nouveaux sujets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72" w:type="dxa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10559" w:rsidRPr="00A365C1" w:rsidRDefault="009C1183" w:rsidP="00BB570E">
            <w:pPr>
              <w:jc w:val="center"/>
              <w:rPr>
                <w:sz w:val="20"/>
                <w:lang w:val="fr-FR"/>
              </w:rPr>
            </w:pPr>
            <w:r w:rsidRPr="00A365C1">
              <w:rPr>
                <w:sz w:val="20"/>
                <w:lang w:val="fr-FR"/>
              </w:rPr>
              <w:t>56 000</w:t>
            </w:r>
          </w:p>
        </w:tc>
        <w:tc>
          <w:tcPr>
            <w:tcW w:w="1142" w:type="dxa"/>
            <w:vAlign w:val="center"/>
          </w:tcPr>
          <w:p w:rsidR="00810559" w:rsidRPr="00A365C1" w:rsidRDefault="009C1183" w:rsidP="00BB570E">
            <w:pPr>
              <w:jc w:val="center"/>
              <w:rPr>
                <w:sz w:val="20"/>
                <w:lang w:val="fr-FR"/>
              </w:rPr>
            </w:pPr>
            <w:r w:rsidRPr="00A365C1">
              <w:rPr>
                <w:sz w:val="20"/>
                <w:lang w:val="fr-FR"/>
              </w:rPr>
              <w:t>90 000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10559" w:rsidRPr="00A365C1" w:rsidRDefault="009C1183" w:rsidP="00BB570E">
            <w:pPr>
              <w:jc w:val="center"/>
              <w:rPr>
                <w:sz w:val="20"/>
                <w:lang w:val="fr-FR"/>
              </w:rPr>
            </w:pPr>
            <w:r w:rsidRPr="00A365C1">
              <w:rPr>
                <w:sz w:val="20"/>
                <w:lang w:val="fr-FR"/>
              </w:rPr>
              <w:t>70 000</w:t>
            </w:r>
          </w:p>
        </w:tc>
        <w:tc>
          <w:tcPr>
            <w:tcW w:w="1170" w:type="dxa"/>
            <w:vAlign w:val="center"/>
          </w:tcPr>
          <w:p w:rsidR="00810559" w:rsidRPr="00A365C1" w:rsidRDefault="009C1183" w:rsidP="00BB570E">
            <w:pPr>
              <w:jc w:val="center"/>
              <w:rPr>
                <w:sz w:val="20"/>
                <w:lang w:val="fr-FR"/>
              </w:rPr>
            </w:pPr>
            <w:r w:rsidRPr="00A365C1">
              <w:rPr>
                <w:sz w:val="20"/>
                <w:lang w:val="fr-FR"/>
              </w:rPr>
              <w:t>90 000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10559" w:rsidRPr="00A365C1" w:rsidRDefault="009C1183" w:rsidP="00BB570E">
            <w:pPr>
              <w:jc w:val="center"/>
              <w:rPr>
                <w:sz w:val="20"/>
                <w:lang w:val="fr-FR"/>
              </w:rPr>
            </w:pPr>
            <w:r w:rsidRPr="00A365C1">
              <w:rPr>
                <w:sz w:val="20"/>
                <w:lang w:val="fr-FR"/>
              </w:rPr>
              <w:t>70 000</w:t>
            </w:r>
          </w:p>
        </w:tc>
        <w:tc>
          <w:tcPr>
            <w:tcW w:w="1080" w:type="dxa"/>
            <w:vAlign w:val="center"/>
          </w:tcPr>
          <w:p w:rsidR="00810559" w:rsidRPr="00A365C1" w:rsidRDefault="009C1183" w:rsidP="00BB570E">
            <w:pPr>
              <w:jc w:val="center"/>
              <w:rPr>
                <w:sz w:val="20"/>
                <w:lang w:val="fr-FR"/>
              </w:rPr>
            </w:pPr>
            <w:r w:rsidRPr="00A365C1">
              <w:rPr>
                <w:sz w:val="20"/>
                <w:lang w:val="fr-FR"/>
              </w:rPr>
              <w:t>90 000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10559" w:rsidRPr="00A365C1" w:rsidRDefault="009C1183" w:rsidP="00BB570E">
            <w:pPr>
              <w:jc w:val="center"/>
              <w:rPr>
                <w:sz w:val="20"/>
                <w:lang w:val="fr-FR"/>
              </w:rPr>
            </w:pPr>
            <w:r w:rsidRPr="00A365C1">
              <w:rPr>
                <w:sz w:val="20"/>
                <w:lang w:val="fr-FR"/>
              </w:rPr>
              <w:t>196 000</w:t>
            </w:r>
          </w:p>
        </w:tc>
        <w:tc>
          <w:tcPr>
            <w:tcW w:w="1170" w:type="dxa"/>
            <w:vAlign w:val="center"/>
          </w:tcPr>
          <w:p w:rsidR="00810559" w:rsidRPr="00A365C1" w:rsidRDefault="009C1183" w:rsidP="00BB570E">
            <w:pPr>
              <w:jc w:val="center"/>
              <w:rPr>
                <w:sz w:val="20"/>
                <w:lang w:val="fr-FR"/>
              </w:rPr>
            </w:pPr>
            <w:r w:rsidRPr="00A365C1">
              <w:rPr>
                <w:sz w:val="20"/>
                <w:lang w:val="fr-FR"/>
              </w:rPr>
              <w:t>270 000</w:t>
            </w:r>
          </w:p>
        </w:tc>
        <w:tc>
          <w:tcPr>
            <w:tcW w:w="990" w:type="dxa"/>
            <w:vAlign w:val="center"/>
          </w:tcPr>
          <w:p w:rsidR="00810559" w:rsidRPr="00A365C1" w:rsidRDefault="009C1183" w:rsidP="00BB570E">
            <w:pPr>
              <w:jc w:val="center"/>
              <w:rPr>
                <w:sz w:val="20"/>
                <w:lang w:val="fr-FR"/>
              </w:rPr>
            </w:pPr>
            <w:r w:rsidRPr="00A365C1">
              <w:rPr>
                <w:sz w:val="20"/>
                <w:lang w:val="fr-FR"/>
              </w:rPr>
              <w:t>466 000</w:t>
            </w:r>
          </w:p>
        </w:tc>
      </w:tr>
      <w:tr w:rsidR="00CA67D7" w:rsidRPr="00A365C1" w:rsidTr="00B26C11">
        <w:tc>
          <w:tcPr>
            <w:tcW w:w="2358" w:type="dxa"/>
            <w:shd w:val="clear" w:color="auto" w:fill="auto"/>
          </w:tcPr>
          <w:p w:rsidR="00810559" w:rsidRPr="00A365C1" w:rsidRDefault="009C1183" w:rsidP="00BB570E">
            <w:pPr>
              <w:rPr>
                <w:szCs w:val="22"/>
                <w:lang w:val="fr-FR"/>
              </w:rPr>
            </w:pPr>
            <w:r w:rsidRPr="00A365C1">
              <w:rPr>
                <w:szCs w:val="22"/>
                <w:lang w:val="fr-FR"/>
              </w:rPr>
              <w:t>Colloque de recherche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72" w:type="dxa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42" w:type="dxa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10559" w:rsidRPr="00A365C1" w:rsidRDefault="009C1183" w:rsidP="00BB570E">
            <w:pPr>
              <w:jc w:val="center"/>
              <w:rPr>
                <w:sz w:val="20"/>
                <w:lang w:val="fr-FR"/>
              </w:rPr>
            </w:pPr>
            <w:r w:rsidRPr="00A365C1">
              <w:rPr>
                <w:sz w:val="20"/>
                <w:lang w:val="fr-FR"/>
              </w:rPr>
              <w:t>10 000</w:t>
            </w:r>
          </w:p>
        </w:tc>
        <w:tc>
          <w:tcPr>
            <w:tcW w:w="1080" w:type="dxa"/>
            <w:vAlign w:val="center"/>
          </w:tcPr>
          <w:p w:rsidR="00810559" w:rsidRPr="00A365C1" w:rsidRDefault="009C1183" w:rsidP="00BB570E">
            <w:pPr>
              <w:jc w:val="center"/>
              <w:rPr>
                <w:sz w:val="20"/>
                <w:lang w:val="fr-FR"/>
              </w:rPr>
            </w:pPr>
            <w:r w:rsidRPr="00A365C1">
              <w:rPr>
                <w:sz w:val="20"/>
                <w:lang w:val="fr-FR"/>
              </w:rPr>
              <w:t>60 000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10559" w:rsidRPr="00A365C1" w:rsidRDefault="009C1183" w:rsidP="00BB570E">
            <w:pPr>
              <w:jc w:val="center"/>
              <w:rPr>
                <w:sz w:val="20"/>
                <w:lang w:val="fr-FR"/>
              </w:rPr>
            </w:pPr>
            <w:r w:rsidRPr="00A365C1">
              <w:rPr>
                <w:sz w:val="20"/>
                <w:lang w:val="fr-FR"/>
              </w:rPr>
              <w:t>10 000</w:t>
            </w:r>
          </w:p>
        </w:tc>
        <w:tc>
          <w:tcPr>
            <w:tcW w:w="1170" w:type="dxa"/>
            <w:vAlign w:val="center"/>
          </w:tcPr>
          <w:p w:rsidR="00810559" w:rsidRPr="00A365C1" w:rsidRDefault="009C1183" w:rsidP="00BB570E">
            <w:pPr>
              <w:jc w:val="center"/>
              <w:rPr>
                <w:sz w:val="20"/>
                <w:lang w:val="fr-FR"/>
              </w:rPr>
            </w:pPr>
            <w:r w:rsidRPr="00A365C1">
              <w:rPr>
                <w:sz w:val="20"/>
                <w:lang w:val="fr-FR"/>
              </w:rPr>
              <w:t>60 000</w:t>
            </w:r>
          </w:p>
        </w:tc>
        <w:tc>
          <w:tcPr>
            <w:tcW w:w="990" w:type="dxa"/>
            <w:vAlign w:val="center"/>
          </w:tcPr>
          <w:p w:rsidR="00810559" w:rsidRPr="00A365C1" w:rsidRDefault="009C1183" w:rsidP="00BB570E">
            <w:pPr>
              <w:jc w:val="center"/>
              <w:rPr>
                <w:sz w:val="20"/>
                <w:lang w:val="fr-FR"/>
              </w:rPr>
            </w:pPr>
            <w:r w:rsidRPr="00A365C1">
              <w:rPr>
                <w:sz w:val="20"/>
                <w:lang w:val="fr-FR"/>
              </w:rPr>
              <w:t>70 000</w:t>
            </w:r>
          </w:p>
        </w:tc>
      </w:tr>
      <w:tr w:rsidR="00CA67D7" w:rsidRPr="00A365C1" w:rsidTr="00B26C11">
        <w:tc>
          <w:tcPr>
            <w:tcW w:w="2358" w:type="dxa"/>
            <w:shd w:val="clear" w:color="auto" w:fill="auto"/>
          </w:tcPr>
          <w:p w:rsidR="00810559" w:rsidRPr="00A365C1" w:rsidRDefault="00810559" w:rsidP="00BB570E">
            <w:pPr>
              <w:rPr>
                <w:sz w:val="20"/>
                <w:lang w:val="fr-FR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72" w:type="dxa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42" w:type="dxa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080" w:type="dxa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990" w:type="dxa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</w:tr>
      <w:tr w:rsidR="00CA67D7" w:rsidRPr="00A365C1" w:rsidTr="00B26C11">
        <w:tc>
          <w:tcPr>
            <w:tcW w:w="2358" w:type="dxa"/>
            <w:shd w:val="clear" w:color="auto" w:fill="auto"/>
          </w:tcPr>
          <w:p w:rsidR="00810559" w:rsidRPr="00A365C1" w:rsidRDefault="00810559" w:rsidP="00BB570E">
            <w:pPr>
              <w:rPr>
                <w:sz w:val="20"/>
                <w:lang w:val="fr-FR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72" w:type="dxa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42" w:type="dxa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080" w:type="dxa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990" w:type="dxa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</w:tr>
      <w:tr w:rsidR="00CA67D7" w:rsidRPr="00A365C1" w:rsidTr="00B26C11">
        <w:tc>
          <w:tcPr>
            <w:tcW w:w="2358" w:type="dxa"/>
            <w:shd w:val="clear" w:color="auto" w:fill="auto"/>
          </w:tcPr>
          <w:p w:rsidR="00810559" w:rsidRPr="00A365C1" w:rsidRDefault="00810559" w:rsidP="00BB570E">
            <w:pPr>
              <w:rPr>
                <w:sz w:val="20"/>
                <w:lang w:val="fr-FR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72" w:type="dxa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42" w:type="dxa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080" w:type="dxa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990" w:type="dxa"/>
            <w:vAlign w:val="center"/>
          </w:tcPr>
          <w:p w:rsidR="00810559" w:rsidRPr="00A365C1" w:rsidRDefault="00810559" w:rsidP="00BB570E">
            <w:pPr>
              <w:jc w:val="center"/>
              <w:rPr>
                <w:sz w:val="20"/>
                <w:lang w:val="fr-FR"/>
              </w:rPr>
            </w:pPr>
          </w:p>
        </w:tc>
      </w:tr>
      <w:tr w:rsidR="00CA67D7" w:rsidRPr="00A365C1" w:rsidTr="00B26C11">
        <w:tc>
          <w:tcPr>
            <w:tcW w:w="2358" w:type="dxa"/>
            <w:shd w:val="clear" w:color="auto" w:fill="auto"/>
            <w:vAlign w:val="center"/>
          </w:tcPr>
          <w:p w:rsidR="006B5952" w:rsidRPr="00A365C1" w:rsidRDefault="006B5952" w:rsidP="00BB570E">
            <w:pPr>
              <w:jc w:val="center"/>
              <w:rPr>
                <w:b/>
                <w:sz w:val="20"/>
                <w:lang w:val="fr-FR"/>
              </w:rPr>
            </w:pPr>
          </w:p>
          <w:p w:rsidR="00810559" w:rsidRPr="00A365C1" w:rsidRDefault="00155FC8" w:rsidP="00BB570E">
            <w:pPr>
              <w:rPr>
                <w:b/>
                <w:sz w:val="20"/>
                <w:lang w:val="fr-FR"/>
              </w:rPr>
            </w:pPr>
            <w:r w:rsidRPr="00A365C1">
              <w:rPr>
                <w:b/>
                <w:sz w:val="20"/>
                <w:lang w:val="fr-FR"/>
              </w:rPr>
              <w:t>Total</w:t>
            </w:r>
            <w:r w:rsidR="00731524">
              <w:rPr>
                <w:sz w:val="20"/>
                <w:lang w:val="fr-FR"/>
              </w:rPr>
              <w:t> 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10559" w:rsidRPr="00A365C1" w:rsidRDefault="00810559" w:rsidP="00BB570E">
            <w:pPr>
              <w:jc w:val="center"/>
              <w:rPr>
                <w:b/>
                <w:sz w:val="20"/>
                <w:lang w:val="fr-FR"/>
              </w:rPr>
            </w:pPr>
          </w:p>
        </w:tc>
        <w:tc>
          <w:tcPr>
            <w:tcW w:w="1172" w:type="dxa"/>
          </w:tcPr>
          <w:p w:rsidR="00810559" w:rsidRPr="00A365C1" w:rsidRDefault="00810559" w:rsidP="00BB570E">
            <w:pPr>
              <w:jc w:val="center"/>
              <w:rPr>
                <w:b/>
                <w:sz w:val="20"/>
                <w:lang w:val="fr-FR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10559" w:rsidRPr="00A365C1" w:rsidRDefault="009C1183" w:rsidP="00BB570E">
            <w:pPr>
              <w:jc w:val="center"/>
              <w:rPr>
                <w:b/>
                <w:sz w:val="20"/>
                <w:lang w:val="fr-FR"/>
              </w:rPr>
            </w:pPr>
            <w:r w:rsidRPr="00A365C1">
              <w:rPr>
                <w:b/>
                <w:sz w:val="20"/>
                <w:lang w:val="fr-FR"/>
              </w:rPr>
              <w:t>86 000</w:t>
            </w:r>
          </w:p>
        </w:tc>
        <w:tc>
          <w:tcPr>
            <w:tcW w:w="1142" w:type="dxa"/>
            <w:vAlign w:val="center"/>
          </w:tcPr>
          <w:p w:rsidR="00810559" w:rsidRPr="00A365C1" w:rsidRDefault="009C1183" w:rsidP="00BB570E">
            <w:pPr>
              <w:jc w:val="center"/>
              <w:rPr>
                <w:b/>
                <w:sz w:val="20"/>
                <w:lang w:val="fr-FR"/>
              </w:rPr>
            </w:pPr>
            <w:r w:rsidRPr="00A365C1">
              <w:rPr>
                <w:b/>
                <w:sz w:val="20"/>
                <w:lang w:val="fr-FR"/>
              </w:rPr>
              <w:t>140 000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10559" w:rsidRPr="00A365C1" w:rsidRDefault="009C1183" w:rsidP="00BB570E">
            <w:pPr>
              <w:jc w:val="center"/>
              <w:rPr>
                <w:b/>
                <w:sz w:val="20"/>
                <w:lang w:val="fr-FR"/>
              </w:rPr>
            </w:pPr>
            <w:r w:rsidRPr="00A365C1">
              <w:rPr>
                <w:b/>
                <w:sz w:val="20"/>
                <w:lang w:val="fr-FR"/>
              </w:rPr>
              <w:t>115 000</w:t>
            </w:r>
          </w:p>
        </w:tc>
        <w:tc>
          <w:tcPr>
            <w:tcW w:w="1170" w:type="dxa"/>
            <w:vAlign w:val="center"/>
          </w:tcPr>
          <w:p w:rsidR="00810559" w:rsidRPr="00A365C1" w:rsidRDefault="009C1183" w:rsidP="00BB570E">
            <w:pPr>
              <w:jc w:val="center"/>
              <w:rPr>
                <w:b/>
                <w:sz w:val="20"/>
                <w:lang w:val="fr-FR"/>
              </w:rPr>
            </w:pPr>
            <w:r w:rsidRPr="00A365C1">
              <w:rPr>
                <w:b/>
                <w:sz w:val="20"/>
                <w:lang w:val="fr-FR"/>
              </w:rPr>
              <w:t>145 000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10559" w:rsidRPr="00A365C1" w:rsidRDefault="009C1183" w:rsidP="00BB570E">
            <w:pPr>
              <w:jc w:val="center"/>
              <w:rPr>
                <w:b/>
                <w:sz w:val="20"/>
                <w:lang w:val="fr-FR"/>
              </w:rPr>
            </w:pPr>
            <w:r w:rsidRPr="00A365C1">
              <w:rPr>
                <w:b/>
                <w:sz w:val="20"/>
                <w:lang w:val="fr-FR"/>
              </w:rPr>
              <w:t>115 000</w:t>
            </w:r>
          </w:p>
        </w:tc>
        <w:tc>
          <w:tcPr>
            <w:tcW w:w="1080" w:type="dxa"/>
            <w:vAlign w:val="center"/>
          </w:tcPr>
          <w:p w:rsidR="00810559" w:rsidRPr="00A365C1" w:rsidRDefault="009C1183" w:rsidP="00BB570E">
            <w:pPr>
              <w:jc w:val="center"/>
              <w:rPr>
                <w:b/>
                <w:sz w:val="20"/>
                <w:lang w:val="fr-FR"/>
              </w:rPr>
            </w:pPr>
            <w:r w:rsidRPr="00A365C1">
              <w:rPr>
                <w:b/>
                <w:sz w:val="20"/>
                <w:lang w:val="fr-FR"/>
              </w:rPr>
              <w:t>200 000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10559" w:rsidRPr="00A365C1" w:rsidRDefault="009C1183" w:rsidP="00BB570E">
            <w:pPr>
              <w:jc w:val="center"/>
              <w:rPr>
                <w:b/>
                <w:sz w:val="20"/>
                <w:lang w:val="fr-FR"/>
              </w:rPr>
            </w:pPr>
            <w:r w:rsidRPr="00A365C1">
              <w:rPr>
                <w:b/>
                <w:sz w:val="20"/>
                <w:lang w:val="fr-FR"/>
              </w:rPr>
              <w:t>316 000</w:t>
            </w:r>
          </w:p>
        </w:tc>
        <w:tc>
          <w:tcPr>
            <w:tcW w:w="1170" w:type="dxa"/>
            <w:vAlign w:val="center"/>
          </w:tcPr>
          <w:p w:rsidR="00810559" w:rsidRPr="00A365C1" w:rsidRDefault="009C1183" w:rsidP="00BB570E">
            <w:pPr>
              <w:jc w:val="center"/>
              <w:rPr>
                <w:b/>
                <w:sz w:val="20"/>
                <w:lang w:val="fr-FR"/>
              </w:rPr>
            </w:pPr>
            <w:r w:rsidRPr="00A365C1">
              <w:rPr>
                <w:b/>
                <w:sz w:val="20"/>
                <w:lang w:val="fr-FR"/>
              </w:rPr>
              <w:t>485 000</w:t>
            </w:r>
          </w:p>
        </w:tc>
        <w:tc>
          <w:tcPr>
            <w:tcW w:w="990" w:type="dxa"/>
            <w:vAlign w:val="center"/>
          </w:tcPr>
          <w:p w:rsidR="00810559" w:rsidRPr="00A365C1" w:rsidRDefault="009C1183" w:rsidP="00BB570E">
            <w:pPr>
              <w:jc w:val="center"/>
              <w:rPr>
                <w:b/>
                <w:sz w:val="20"/>
                <w:lang w:val="fr-FR"/>
              </w:rPr>
            </w:pPr>
            <w:r w:rsidRPr="00A365C1">
              <w:rPr>
                <w:b/>
                <w:sz w:val="20"/>
                <w:lang w:val="fr-FR"/>
              </w:rPr>
              <w:t>801 000</w:t>
            </w:r>
          </w:p>
        </w:tc>
      </w:tr>
    </w:tbl>
    <w:p w:rsidR="006B5952" w:rsidRPr="00A365C1" w:rsidRDefault="006B5952" w:rsidP="00BB570E">
      <w:pPr>
        <w:rPr>
          <w:u w:val="single"/>
          <w:lang w:val="fr-FR"/>
        </w:rPr>
      </w:pPr>
    </w:p>
    <w:p w:rsidR="00810559" w:rsidRPr="00A365C1" w:rsidRDefault="00810559" w:rsidP="00BB570E">
      <w:pPr>
        <w:rPr>
          <w:u w:val="single"/>
          <w:lang w:val="fr-FR"/>
        </w:rPr>
        <w:sectPr w:rsidR="00810559" w:rsidRPr="00A365C1">
          <w:pgSz w:w="16840" w:h="11907" w:orient="landscape"/>
          <w:pgMar w:top="1418" w:right="992" w:bottom="1418" w:left="1134" w:header="510" w:footer="1021" w:gutter="0"/>
          <w:cols w:space="720"/>
        </w:sectPr>
      </w:pPr>
    </w:p>
    <w:p w:rsidR="006B5952" w:rsidRPr="00A365C1" w:rsidRDefault="009C1183" w:rsidP="00BB570E">
      <w:pPr>
        <w:numPr>
          <w:ilvl w:val="0"/>
          <w:numId w:val="9"/>
        </w:numPr>
        <w:ind w:left="0" w:hanging="142"/>
        <w:rPr>
          <w:bCs/>
          <w:iCs/>
          <w:lang w:val="fr-FR"/>
        </w:rPr>
      </w:pPr>
      <w:r w:rsidRPr="00A365C1">
        <w:rPr>
          <w:bCs/>
          <w:iCs/>
          <w:lang w:val="fr-FR"/>
        </w:rPr>
        <w:lastRenderedPageBreak/>
        <w:t>DÉPENSES AUTRES QUE LES DÉPENSES DE PERSONNEL PAR CATÉGORIE DE COÛT</w:t>
      </w:r>
    </w:p>
    <w:p w:rsidR="00810559" w:rsidRPr="00A365C1" w:rsidRDefault="00810559" w:rsidP="00BB570E">
      <w:pPr>
        <w:ind w:hanging="142"/>
        <w:rPr>
          <w:u w:val="single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1890"/>
        <w:gridCol w:w="1980"/>
        <w:gridCol w:w="1890"/>
        <w:gridCol w:w="1890"/>
        <w:gridCol w:w="1912"/>
        <w:gridCol w:w="2032"/>
      </w:tblGrid>
      <w:tr w:rsidR="00CA67D7" w:rsidRPr="00A365C1" w:rsidTr="00B26C11">
        <w:trPr>
          <w:tblHeader/>
        </w:trPr>
        <w:tc>
          <w:tcPr>
            <w:tcW w:w="2628" w:type="dxa"/>
            <w:vMerge w:val="restart"/>
            <w:shd w:val="clear" w:color="auto" w:fill="auto"/>
          </w:tcPr>
          <w:p w:rsidR="00810559" w:rsidRPr="00A365C1" w:rsidRDefault="00810559" w:rsidP="00BB570E">
            <w:pPr>
              <w:rPr>
                <w:u w:val="single"/>
                <w:lang w:val="fr-FR"/>
              </w:rPr>
            </w:pPr>
          </w:p>
        </w:tc>
        <w:tc>
          <w:tcPr>
            <w:tcW w:w="11594" w:type="dxa"/>
            <w:gridSpan w:val="6"/>
            <w:shd w:val="clear" w:color="auto" w:fill="auto"/>
          </w:tcPr>
          <w:p w:rsidR="00810559" w:rsidRPr="00A365C1" w:rsidRDefault="00155FC8" w:rsidP="00BB570E">
            <w:pPr>
              <w:rPr>
                <w:i/>
                <w:lang w:val="fr-FR"/>
              </w:rPr>
            </w:pPr>
            <w:r w:rsidRPr="00A365C1">
              <w:rPr>
                <w:i/>
                <w:lang w:val="fr-FR"/>
              </w:rPr>
              <w:t>(en francs suisses)</w:t>
            </w:r>
          </w:p>
        </w:tc>
      </w:tr>
      <w:tr w:rsidR="00CA67D7" w:rsidRPr="00A365C1" w:rsidTr="00B26C11">
        <w:trPr>
          <w:tblHeader/>
        </w:trPr>
        <w:tc>
          <w:tcPr>
            <w:tcW w:w="2628" w:type="dxa"/>
            <w:vMerge/>
            <w:shd w:val="clear" w:color="auto" w:fill="auto"/>
          </w:tcPr>
          <w:p w:rsidR="00810559" w:rsidRPr="00A365C1" w:rsidRDefault="00810559" w:rsidP="00BB570E">
            <w:pPr>
              <w:rPr>
                <w:u w:val="single"/>
                <w:lang w:val="fr-FR"/>
              </w:rPr>
            </w:pP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810559" w:rsidRPr="00A365C1" w:rsidRDefault="009C1183" w:rsidP="00BB570E">
            <w:pPr>
              <w:rPr>
                <w:b/>
                <w:bCs/>
                <w:i/>
                <w:lang w:val="fr-FR"/>
              </w:rPr>
            </w:pPr>
            <w:r w:rsidRPr="00A365C1">
              <w:rPr>
                <w:b/>
                <w:bCs/>
                <w:i/>
                <w:lang w:val="fr-FR"/>
              </w:rPr>
              <w:t>Voyages et bourses</w:t>
            </w:r>
          </w:p>
        </w:tc>
        <w:tc>
          <w:tcPr>
            <w:tcW w:w="5692" w:type="dxa"/>
            <w:gridSpan w:val="3"/>
            <w:shd w:val="clear" w:color="auto" w:fill="auto"/>
          </w:tcPr>
          <w:p w:rsidR="00810559" w:rsidRPr="00A365C1" w:rsidRDefault="00155FC8" w:rsidP="00BB570E">
            <w:pPr>
              <w:rPr>
                <w:b/>
                <w:bCs/>
                <w:i/>
                <w:lang w:val="fr-FR"/>
              </w:rPr>
            </w:pPr>
            <w:r w:rsidRPr="00A365C1">
              <w:rPr>
                <w:b/>
                <w:bCs/>
                <w:i/>
                <w:lang w:val="fr-FR"/>
              </w:rPr>
              <w:t>Services contractuels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810559" w:rsidRPr="00A365C1" w:rsidRDefault="00155FC8" w:rsidP="00BB570E">
            <w:pPr>
              <w:rPr>
                <w:b/>
                <w:bCs/>
                <w:u w:val="single"/>
                <w:lang w:val="fr-FR"/>
              </w:rPr>
            </w:pPr>
            <w:r w:rsidRPr="00A365C1">
              <w:rPr>
                <w:b/>
                <w:bCs/>
                <w:u w:val="single"/>
                <w:lang w:val="fr-FR"/>
              </w:rPr>
              <w:t>Total</w:t>
            </w:r>
            <w:r w:rsidR="00731524">
              <w:rPr>
                <w:b/>
                <w:bCs/>
                <w:u w:val="single"/>
                <w:lang w:val="fr-FR"/>
              </w:rPr>
              <w:t> </w:t>
            </w:r>
            <w:r w:rsidRPr="00A365C1">
              <w:rPr>
                <w:b/>
                <w:bCs/>
                <w:u w:val="single"/>
                <w:lang w:val="fr-FR"/>
              </w:rPr>
              <w:t>:</w:t>
            </w:r>
          </w:p>
        </w:tc>
      </w:tr>
      <w:tr w:rsidR="00CA67D7" w:rsidRPr="00A365C1" w:rsidTr="00B26C11">
        <w:trPr>
          <w:tblHeader/>
        </w:trPr>
        <w:tc>
          <w:tcPr>
            <w:tcW w:w="2628" w:type="dxa"/>
            <w:shd w:val="clear" w:color="auto" w:fill="auto"/>
            <w:vAlign w:val="center"/>
          </w:tcPr>
          <w:p w:rsidR="00810559" w:rsidRPr="00A365C1" w:rsidRDefault="00155FC8" w:rsidP="00BB570E">
            <w:pPr>
              <w:rPr>
                <w:b/>
                <w:bCs/>
                <w:lang w:val="fr-FR"/>
              </w:rPr>
            </w:pPr>
            <w:r w:rsidRPr="00A365C1">
              <w:rPr>
                <w:b/>
                <w:bCs/>
                <w:lang w:val="fr-FR"/>
              </w:rPr>
              <w:t>Activités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0559" w:rsidRPr="00A365C1" w:rsidRDefault="00155FC8" w:rsidP="00BB570E">
            <w:pPr>
              <w:rPr>
                <w:b/>
                <w:bCs/>
                <w:lang w:val="fr-FR"/>
              </w:rPr>
            </w:pPr>
            <w:r w:rsidRPr="00A365C1">
              <w:rPr>
                <w:b/>
                <w:bCs/>
                <w:lang w:val="fr-FR"/>
              </w:rPr>
              <w:t>Missions de fonctionnaires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0559" w:rsidRPr="00A365C1" w:rsidRDefault="009C1183" w:rsidP="00BB570E">
            <w:pPr>
              <w:rPr>
                <w:b/>
                <w:bCs/>
                <w:lang w:val="fr-FR"/>
              </w:rPr>
            </w:pPr>
            <w:r w:rsidRPr="00A365C1">
              <w:rPr>
                <w:b/>
                <w:bCs/>
                <w:lang w:val="fr-FR"/>
              </w:rPr>
              <w:t>Voyages de tiers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0559" w:rsidRPr="00A365C1" w:rsidRDefault="00155FC8" w:rsidP="00BB570E">
            <w:pPr>
              <w:rPr>
                <w:b/>
                <w:bCs/>
                <w:lang w:val="fr-FR"/>
              </w:rPr>
            </w:pPr>
            <w:r w:rsidRPr="00A365C1">
              <w:rPr>
                <w:b/>
                <w:bCs/>
                <w:lang w:val="fr-FR"/>
              </w:rPr>
              <w:t>Publication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0559" w:rsidRPr="00A365C1" w:rsidRDefault="009C1183" w:rsidP="00BB570E">
            <w:pPr>
              <w:rPr>
                <w:b/>
                <w:bCs/>
                <w:lang w:val="fr-FR"/>
              </w:rPr>
            </w:pPr>
            <w:r w:rsidRPr="00A365C1">
              <w:rPr>
                <w:b/>
                <w:bCs/>
                <w:lang w:val="fr-FR"/>
              </w:rPr>
              <w:t>Services contractuels de personnes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810559" w:rsidRPr="00A365C1" w:rsidRDefault="00540AFC" w:rsidP="00BB570E">
            <w:pPr>
              <w:rPr>
                <w:b/>
                <w:bCs/>
                <w:lang w:val="fr-FR"/>
              </w:rPr>
            </w:pPr>
            <w:r w:rsidRPr="00A365C1">
              <w:rPr>
                <w:b/>
                <w:bCs/>
                <w:lang w:val="fr-FR"/>
              </w:rPr>
              <w:t>Autres services contractuels</w:t>
            </w:r>
          </w:p>
        </w:tc>
        <w:tc>
          <w:tcPr>
            <w:tcW w:w="2032" w:type="dxa"/>
            <w:vMerge/>
            <w:shd w:val="clear" w:color="auto" w:fill="auto"/>
          </w:tcPr>
          <w:p w:rsidR="00810559" w:rsidRPr="00A365C1" w:rsidRDefault="00810559" w:rsidP="00BB570E">
            <w:pPr>
              <w:rPr>
                <w:b/>
                <w:bCs/>
                <w:lang w:val="fr-FR"/>
              </w:rPr>
            </w:pPr>
          </w:p>
        </w:tc>
      </w:tr>
      <w:tr w:rsidR="00CA67D7" w:rsidRPr="00A365C1" w:rsidTr="00B26C11">
        <w:trPr>
          <w:trHeight w:val="818"/>
        </w:trPr>
        <w:tc>
          <w:tcPr>
            <w:tcW w:w="2628" w:type="dxa"/>
            <w:shd w:val="clear" w:color="auto" w:fill="auto"/>
          </w:tcPr>
          <w:p w:rsidR="00810559" w:rsidRPr="00A365C1" w:rsidRDefault="00540AFC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 xml:space="preserve">Promotion de la </w:t>
            </w:r>
            <w:r w:rsidR="003F33BA" w:rsidRPr="00A365C1">
              <w:rPr>
                <w:lang w:val="fr-FR"/>
              </w:rPr>
              <w:t>continuité</w:t>
            </w:r>
            <w:r w:rsidRPr="00A365C1">
              <w:rPr>
                <w:lang w:val="fr-FR"/>
              </w:rPr>
              <w:t xml:space="preserve"> des recherches entamées au cours de la phase I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40 000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40 000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15 000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30 000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30 000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155 000</w:t>
            </w:r>
          </w:p>
        </w:tc>
      </w:tr>
      <w:tr w:rsidR="00CA67D7" w:rsidRPr="00A365C1" w:rsidTr="00B26C11">
        <w:trPr>
          <w:trHeight w:val="844"/>
        </w:trPr>
        <w:tc>
          <w:tcPr>
            <w:tcW w:w="2628" w:type="dxa"/>
            <w:shd w:val="clear" w:color="auto" w:fill="auto"/>
          </w:tcPr>
          <w:p w:rsidR="00810559" w:rsidRPr="00A365C1" w:rsidRDefault="00540AFC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Extension des travaux à de nouveaux pays et régions, et à de nouveaux sujets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75 000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75 000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25 000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45 000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50 000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270 000</w:t>
            </w:r>
          </w:p>
        </w:tc>
      </w:tr>
      <w:tr w:rsidR="00CA67D7" w:rsidRPr="00A365C1" w:rsidTr="00B26C11">
        <w:trPr>
          <w:trHeight w:val="842"/>
        </w:trPr>
        <w:tc>
          <w:tcPr>
            <w:tcW w:w="2628" w:type="dxa"/>
            <w:shd w:val="clear" w:color="auto" w:fill="auto"/>
          </w:tcPr>
          <w:p w:rsidR="006B5952" w:rsidRPr="00A365C1" w:rsidRDefault="006B5952" w:rsidP="00BB570E">
            <w:pPr>
              <w:rPr>
                <w:lang w:val="fr-FR"/>
              </w:rPr>
            </w:pPr>
          </w:p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Colloque de recherche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55 000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5 000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60 000</w:t>
            </w:r>
          </w:p>
        </w:tc>
      </w:tr>
      <w:tr w:rsidR="00CA67D7" w:rsidRPr="00A365C1" w:rsidTr="00B26C11">
        <w:trPr>
          <w:trHeight w:val="1263"/>
        </w:trPr>
        <w:tc>
          <w:tcPr>
            <w:tcW w:w="2628" w:type="dxa"/>
            <w:shd w:val="clear" w:color="auto" w:fill="auto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</w:tr>
      <w:tr w:rsidR="00CA67D7" w:rsidRPr="00A365C1" w:rsidTr="00B26C11">
        <w:trPr>
          <w:trHeight w:val="638"/>
        </w:trPr>
        <w:tc>
          <w:tcPr>
            <w:tcW w:w="2628" w:type="dxa"/>
            <w:shd w:val="clear" w:color="auto" w:fill="auto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</w:tr>
      <w:tr w:rsidR="00CA67D7" w:rsidRPr="00A365C1" w:rsidTr="00B26C11">
        <w:tc>
          <w:tcPr>
            <w:tcW w:w="2628" w:type="dxa"/>
            <w:shd w:val="clear" w:color="auto" w:fill="auto"/>
            <w:vAlign w:val="center"/>
          </w:tcPr>
          <w:p w:rsidR="006B5952" w:rsidRPr="00A365C1" w:rsidRDefault="006B5952" w:rsidP="00BB570E">
            <w:pPr>
              <w:rPr>
                <w:i/>
                <w:lang w:val="fr-FR"/>
              </w:rPr>
            </w:pPr>
          </w:p>
          <w:p w:rsidR="00810559" w:rsidRPr="00A365C1" w:rsidRDefault="00540AFC" w:rsidP="00BB570E">
            <w:pPr>
              <w:rPr>
                <w:b/>
                <w:i/>
                <w:lang w:val="fr-FR"/>
              </w:rPr>
            </w:pPr>
            <w:r w:rsidRPr="00A365C1">
              <w:rPr>
                <w:b/>
                <w:i/>
                <w:lang w:val="fr-FR"/>
              </w:rPr>
              <w:t>Total</w:t>
            </w:r>
            <w:r w:rsidR="00731524">
              <w:rPr>
                <w:b/>
                <w:i/>
                <w:lang w:val="fr-FR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b/>
                <w:lang w:val="fr-F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b/>
                <w:lang w:val="fr-FR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b/>
                <w:lang w:val="fr-FR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b/>
                <w:lang w:val="fr-FR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b/>
                <w:lang w:val="fr-FR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810559" w:rsidRPr="00A365C1" w:rsidRDefault="009C1183" w:rsidP="00BB570E">
            <w:pPr>
              <w:rPr>
                <w:b/>
                <w:lang w:val="fr-FR"/>
              </w:rPr>
            </w:pPr>
            <w:r w:rsidRPr="00A365C1">
              <w:rPr>
                <w:b/>
                <w:lang w:val="fr-FR"/>
              </w:rPr>
              <w:t>485 000</w:t>
            </w:r>
          </w:p>
        </w:tc>
      </w:tr>
    </w:tbl>
    <w:p w:rsidR="00810559" w:rsidRPr="00A365C1" w:rsidRDefault="00810559" w:rsidP="00BB570E">
      <w:pPr>
        <w:rPr>
          <w:lang w:val="fr-FR"/>
        </w:rPr>
        <w:sectPr w:rsidR="00810559" w:rsidRPr="00A365C1" w:rsidSect="00B26C11">
          <w:pgSz w:w="16840" w:h="11907" w:orient="landscape"/>
          <w:pgMar w:top="1418" w:right="992" w:bottom="1418" w:left="1134" w:header="510" w:footer="1021" w:gutter="0"/>
          <w:cols w:space="720"/>
          <w:docGrid w:linePitch="299"/>
        </w:sectPr>
      </w:pPr>
    </w:p>
    <w:p w:rsidR="00810559" w:rsidRDefault="00540AFC" w:rsidP="00BB570E">
      <w:pPr>
        <w:numPr>
          <w:ilvl w:val="0"/>
          <w:numId w:val="9"/>
        </w:numPr>
        <w:ind w:hanging="720"/>
        <w:rPr>
          <w:bCs/>
          <w:iCs/>
          <w:lang w:val="fr-FR"/>
        </w:rPr>
      </w:pPr>
      <w:r w:rsidRPr="00A365C1">
        <w:rPr>
          <w:bCs/>
          <w:iCs/>
          <w:lang w:val="fr-FR"/>
        </w:rPr>
        <w:lastRenderedPageBreak/>
        <w:t>CALENDRIER D</w:t>
      </w:r>
      <w:r w:rsidR="00ED416A">
        <w:rPr>
          <w:bCs/>
          <w:iCs/>
          <w:lang w:val="fr-FR"/>
        </w:rPr>
        <w:t>’</w:t>
      </w:r>
      <w:r w:rsidRPr="00A365C1">
        <w:rPr>
          <w:bCs/>
          <w:iCs/>
          <w:lang w:val="fr-FR"/>
        </w:rPr>
        <w:t>EXÉCUTION</w:t>
      </w:r>
    </w:p>
    <w:p w:rsidR="00943653" w:rsidRPr="00A365C1" w:rsidRDefault="00943653" w:rsidP="00BB570E">
      <w:pPr>
        <w:ind w:left="720"/>
        <w:rPr>
          <w:bCs/>
          <w:iCs/>
          <w:lang w:val="fr-FR"/>
        </w:rPr>
      </w:pPr>
    </w:p>
    <w:tbl>
      <w:tblPr>
        <w:tblW w:w="14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529"/>
        <w:gridCol w:w="767"/>
        <w:gridCol w:w="768"/>
        <w:gridCol w:w="768"/>
        <w:gridCol w:w="768"/>
        <w:gridCol w:w="768"/>
        <w:gridCol w:w="768"/>
        <w:gridCol w:w="767"/>
        <w:gridCol w:w="768"/>
        <w:gridCol w:w="768"/>
        <w:gridCol w:w="768"/>
        <w:gridCol w:w="768"/>
        <w:gridCol w:w="768"/>
      </w:tblGrid>
      <w:tr w:rsidR="00CA67D7" w:rsidRPr="00A365C1" w:rsidTr="00B26C11">
        <w:trPr>
          <w:trHeight w:val="519"/>
        </w:trPr>
        <w:tc>
          <w:tcPr>
            <w:tcW w:w="552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10559" w:rsidRPr="00A365C1" w:rsidRDefault="00540AFC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Activité</w:t>
            </w:r>
          </w:p>
        </w:tc>
        <w:tc>
          <w:tcPr>
            <w:tcW w:w="9214" w:type="dxa"/>
            <w:gridSpan w:val="1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B5952" w:rsidRPr="00A365C1" w:rsidRDefault="00984949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Trimestres</w:t>
            </w:r>
            <w:r w:rsidR="00810559" w:rsidRPr="00A365C1">
              <w:rPr>
                <w:lang w:val="fr-FR"/>
              </w:rPr>
              <w:t xml:space="preserve"> (</w:t>
            </w:r>
            <w:r w:rsidRPr="00A365C1">
              <w:rPr>
                <w:lang w:val="fr-FR"/>
              </w:rPr>
              <w:t>de</w:t>
            </w:r>
            <w:r w:rsidR="00810559" w:rsidRPr="00A365C1">
              <w:rPr>
                <w:lang w:val="fr-FR"/>
              </w:rPr>
              <w:t xml:space="preserve"> </w:t>
            </w:r>
            <w:r w:rsidR="003E4153" w:rsidRPr="00A365C1">
              <w:rPr>
                <w:lang w:val="fr-FR"/>
              </w:rPr>
              <w:t>janvier</w:t>
            </w:r>
            <w:r w:rsidR="003E4153">
              <w:rPr>
                <w:lang w:val="fr-FR"/>
              </w:rPr>
              <w:t> </w:t>
            </w:r>
            <w:r w:rsidR="003E4153" w:rsidRPr="00A365C1">
              <w:rPr>
                <w:lang w:val="fr-FR"/>
              </w:rPr>
              <w:t>20</w:t>
            </w:r>
            <w:r w:rsidR="00810559" w:rsidRPr="00A365C1">
              <w:rPr>
                <w:lang w:val="fr-FR"/>
              </w:rPr>
              <w:t xml:space="preserve">15 </w:t>
            </w:r>
            <w:r w:rsidRPr="00A365C1">
              <w:rPr>
                <w:lang w:val="fr-FR"/>
              </w:rPr>
              <w:t>à</w:t>
            </w:r>
            <w:r w:rsidR="00810559" w:rsidRPr="00A365C1">
              <w:rPr>
                <w:lang w:val="fr-FR"/>
              </w:rPr>
              <w:t xml:space="preserve"> </w:t>
            </w:r>
            <w:r w:rsidR="003E4153" w:rsidRPr="00A365C1">
              <w:rPr>
                <w:lang w:val="fr-FR"/>
              </w:rPr>
              <w:t>décembre</w:t>
            </w:r>
            <w:r w:rsidR="003E4153">
              <w:rPr>
                <w:lang w:val="fr-FR"/>
              </w:rPr>
              <w:t> </w:t>
            </w:r>
            <w:r w:rsidR="003E4153" w:rsidRPr="00A365C1">
              <w:rPr>
                <w:lang w:val="fr-FR"/>
              </w:rPr>
              <w:t>20</w:t>
            </w:r>
            <w:r w:rsidR="00810559" w:rsidRPr="00A365C1">
              <w:rPr>
                <w:lang w:val="fr-FR"/>
              </w:rPr>
              <w:t>17)</w:t>
            </w:r>
          </w:p>
          <w:p w:rsidR="00810559" w:rsidRPr="00A365C1" w:rsidRDefault="00810559" w:rsidP="00BB570E">
            <w:pPr>
              <w:rPr>
                <w:b/>
                <w:lang w:val="fr-FR"/>
              </w:rPr>
            </w:pPr>
          </w:p>
        </w:tc>
      </w:tr>
      <w:tr w:rsidR="00CA67D7" w:rsidRPr="00A365C1" w:rsidTr="00B26C11">
        <w:trPr>
          <w:trHeight w:val="283"/>
        </w:trPr>
        <w:tc>
          <w:tcPr>
            <w:tcW w:w="5529" w:type="dxa"/>
            <w:tcBorders>
              <w:top w:val="single" w:sz="6" w:space="0" w:color="auto"/>
            </w:tcBorders>
          </w:tcPr>
          <w:p w:rsidR="006B5952" w:rsidRPr="00A365C1" w:rsidRDefault="006B5952" w:rsidP="00BB570E">
            <w:pPr>
              <w:rPr>
                <w:lang w:val="fr-FR"/>
              </w:rPr>
            </w:pPr>
          </w:p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7" w:type="dxa"/>
            <w:tcBorders>
              <w:top w:val="single" w:sz="6" w:space="0" w:color="auto"/>
            </w:tcBorders>
            <w:shd w:val="clear" w:color="auto" w:fill="auto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1</w:t>
            </w:r>
            <w:r w:rsidRPr="009E6999">
              <w:rPr>
                <w:vertAlign w:val="subscript"/>
                <w:lang w:val="fr-FR"/>
              </w:rPr>
              <w:t>er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2</w:t>
            </w:r>
            <w:r w:rsidRPr="009E6999">
              <w:rPr>
                <w:vertAlign w:val="superscript"/>
                <w:lang w:val="fr-FR"/>
              </w:rPr>
              <w:t>e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3</w:t>
            </w:r>
            <w:r w:rsidRPr="009E6999">
              <w:rPr>
                <w:vertAlign w:val="superscript"/>
                <w:lang w:val="fr-FR"/>
              </w:rPr>
              <w:t>e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4</w:t>
            </w:r>
            <w:r w:rsidRPr="009E6999">
              <w:rPr>
                <w:vertAlign w:val="superscript"/>
                <w:lang w:val="fr-FR"/>
              </w:rPr>
              <w:t>e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1</w:t>
            </w:r>
            <w:r w:rsidRPr="009E6999">
              <w:rPr>
                <w:vertAlign w:val="superscript"/>
                <w:lang w:val="fr-FR"/>
              </w:rPr>
              <w:t>er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2</w:t>
            </w:r>
            <w:r w:rsidRPr="009E6999">
              <w:rPr>
                <w:vertAlign w:val="superscript"/>
                <w:lang w:val="fr-FR"/>
              </w:rPr>
              <w:t>e</w:t>
            </w:r>
          </w:p>
        </w:tc>
        <w:tc>
          <w:tcPr>
            <w:tcW w:w="767" w:type="dxa"/>
            <w:tcBorders>
              <w:top w:val="single" w:sz="6" w:space="0" w:color="auto"/>
            </w:tcBorders>
            <w:shd w:val="clear" w:color="auto" w:fill="auto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3</w:t>
            </w:r>
            <w:r w:rsidRPr="009E6999">
              <w:rPr>
                <w:vertAlign w:val="superscript"/>
                <w:lang w:val="fr-FR"/>
              </w:rPr>
              <w:t>e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4</w:t>
            </w:r>
            <w:r w:rsidRPr="009E6999">
              <w:rPr>
                <w:vertAlign w:val="superscript"/>
                <w:lang w:val="fr-FR"/>
              </w:rPr>
              <w:t>e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1</w:t>
            </w:r>
            <w:r w:rsidRPr="009E6999">
              <w:rPr>
                <w:vertAlign w:val="superscript"/>
                <w:lang w:val="fr-FR"/>
              </w:rPr>
              <w:t>er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2</w:t>
            </w:r>
            <w:r w:rsidRPr="009E6999">
              <w:rPr>
                <w:vertAlign w:val="superscript"/>
                <w:lang w:val="fr-FR"/>
              </w:rPr>
              <w:t>e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3</w:t>
            </w:r>
            <w:r w:rsidRPr="009E6999">
              <w:rPr>
                <w:vertAlign w:val="superscript"/>
                <w:lang w:val="fr-FR"/>
              </w:rPr>
              <w:t>e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4</w:t>
            </w:r>
            <w:r w:rsidRPr="009E6999">
              <w:rPr>
                <w:vertAlign w:val="superscript"/>
                <w:lang w:val="fr-FR"/>
              </w:rPr>
              <w:t>e</w:t>
            </w:r>
            <w:r w:rsidR="00810559" w:rsidRPr="00A365C1">
              <w:rPr>
                <w:lang w:val="fr-FR"/>
              </w:rPr>
              <w:t xml:space="preserve"> </w:t>
            </w:r>
          </w:p>
        </w:tc>
      </w:tr>
      <w:tr w:rsidR="00CA67D7" w:rsidRPr="00A365C1" w:rsidTr="00B26C11">
        <w:trPr>
          <w:trHeight w:val="283"/>
        </w:trPr>
        <w:tc>
          <w:tcPr>
            <w:tcW w:w="5529" w:type="dxa"/>
          </w:tcPr>
          <w:p w:rsidR="00810559" w:rsidRPr="00A365C1" w:rsidRDefault="00540AFC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 xml:space="preserve">Promotion de la </w:t>
            </w:r>
            <w:r w:rsidR="003F33BA" w:rsidRPr="00A365C1">
              <w:rPr>
                <w:lang w:val="fr-FR"/>
              </w:rPr>
              <w:t>continuité</w:t>
            </w:r>
            <w:r w:rsidRPr="00A365C1">
              <w:rPr>
                <w:lang w:val="fr-FR"/>
              </w:rPr>
              <w:t xml:space="preserve"> des recherche</w:t>
            </w:r>
            <w:r w:rsidR="009E6999">
              <w:rPr>
                <w:lang w:val="fr-FR"/>
              </w:rPr>
              <w:t xml:space="preserve">s entamées au cours de la phase </w:t>
            </w:r>
            <w:r w:rsidRPr="00A365C1">
              <w:rPr>
                <w:lang w:val="fr-FR"/>
              </w:rPr>
              <w:t>I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</w:tr>
      <w:tr w:rsidR="00CA67D7" w:rsidRPr="00A365C1" w:rsidTr="00B26C11">
        <w:trPr>
          <w:trHeight w:val="283"/>
        </w:trPr>
        <w:tc>
          <w:tcPr>
            <w:tcW w:w="5529" w:type="dxa"/>
          </w:tcPr>
          <w:p w:rsidR="00810559" w:rsidRPr="00A365C1" w:rsidRDefault="00540AFC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Études relatives à 1</w:t>
            </w:r>
            <w:r w:rsidR="005F69B3">
              <w:rPr>
                <w:lang w:val="fr-FR"/>
              </w:rPr>
              <w:noBreakHyphen/>
            </w:r>
            <w:r w:rsidRPr="00A365C1">
              <w:rPr>
                <w:lang w:val="fr-FR"/>
              </w:rPr>
              <w:t>2 nouveau(x) pays/région(s)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</w:p>
        </w:tc>
      </w:tr>
      <w:tr w:rsidR="00CA67D7" w:rsidRPr="00A365C1" w:rsidTr="00B26C11">
        <w:trPr>
          <w:trHeight w:val="283"/>
        </w:trPr>
        <w:tc>
          <w:tcPr>
            <w:tcW w:w="5529" w:type="dxa"/>
          </w:tcPr>
          <w:p w:rsidR="00810559" w:rsidRPr="00A365C1" w:rsidRDefault="00540AFC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Études relatives à 1</w:t>
            </w:r>
            <w:r w:rsidR="005F69B3">
              <w:rPr>
                <w:lang w:val="fr-FR"/>
              </w:rPr>
              <w:noBreakHyphen/>
            </w:r>
            <w:r w:rsidRPr="00A365C1">
              <w:rPr>
                <w:lang w:val="fr-FR"/>
              </w:rPr>
              <w:t>2 nouveau(x) pays/région(s)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</w:p>
        </w:tc>
      </w:tr>
      <w:tr w:rsidR="00CA67D7" w:rsidRPr="00A365C1" w:rsidTr="00B26C11">
        <w:trPr>
          <w:trHeight w:val="283"/>
        </w:trPr>
        <w:tc>
          <w:tcPr>
            <w:tcW w:w="5529" w:type="dxa"/>
          </w:tcPr>
          <w:p w:rsidR="00810559" w:rsidRPr="00A365C1" w:rsidRDefault="00540AFC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Études relatives à 1</w:t>
            </w:r>
            <w:r w:rsidR="005F69B3">
              <w:rPr>
                <w:lang w:val="fr-FR"/>
              </w:rPr>
              <w:noBreakHyphen/>
            </w:r>
            <w:r w:rsidRPr="00A365C1">
              <w:rPr>
                <w:lang w:val="fr-FR"/>
              </w:rPr>
              <w:t>2 nouveau(x) pays/région(s)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</w:tr>
      <w:tr w:rsidR="00CA67D7" w:rsidRPr="00A365C1" w:rsidTr="00B26C11">
        <w:trPr>
          <w:trHeight w:val="283"/>
        </w:trPr>
        <w:tc>
          <w:tcPr>
            <w:tcW w:w="5529" w:type="dxa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Colloque de recherche final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caps/>
                <w:lang w:val="fr-FR"/>
              </w:rPr>
            </w:pPr>
            <w:r w:rsidRPr="00A365C1">
              <w:rPr>
                <w:caps/>
                <w:lang w:val="fr-FR"/>
              </w:rPr>
              <w:t>X</w:t>
            </w:r>
          </w:p>
        </w:tc>
      </w:tr>
      <w:tr w:rsidR="00CA67D7" w:rsidRPr="00A365C1" w:rsidTr="00B26C11">
        <w:trPr>
          <w:trHeight w:val="283"/>
        </w:trPr>
        <w:tc>
          <w:tcPr>
            <w:tcW w:w="5529" w:type="dxa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</w:tr>
      <w:tr w:rsidR="00CA67D7" w:rsidRPr="00A365C1" w:rsidTr="00B26C11">
        <w:trPr>
          <w:trHeight w:val="283"/>
        </w:trPr>
        <w:tc>
          <w:tcPr>
            <w:tcW w:w="5529" w:type="dxa"/>
            <w:tcBorders>
              <w:bottom w:val="single" w:sz="6" w:space="0" w:color="auto"/>
            </w:tcBorders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</w:tr>
      <w:tr w:rsidR="00CA67D7" w:rsidRPr="00A365C1" w:rsidTr="00B26C11">
        <w:trPr>
          <w:trHeight w:val="283"/>
        </w:trPr>
        <w:tc>
          <w:tcPr>
            <w:tcW w:w="5529" w:type="dxa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</w:tr>
      <w:tr w:rsidR="00CA67D7" w:rsidRPr="00A365C1" w:rsidTr="00B26C11">
        <w:trPr>
          <w:trHeight w:val="283"/>
        </w:trPr>
        <w:tc>
          <w:tcPr>
            <w:tcW w:w="5529" w:type="dxa"/>
          </w:tcPr>
          <w:p w:rsidR="00810559" w:rsidRPr="00A365C1" w:rsidRDefault="00810559" w:rsidP="00BB570E">
            <w:pPr>
              <w:ind w:left="720"/>
              <w:rPr>
                <w:lang w:val="fr-FR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</w:tr>
      <w:tr w:rsidR="00CA67D7" w:rsidRPr="00A365C1" w:rsidTr="00B26C11">
        <w:trPr>
          <w:trHeight w:val="283"/>
        </w:trPr>
        <w:tc>
          <w:tcPr>
            <w:tcW w:w="5529" w:type="dxa"/>
            <w:vAlign w:val="bottom"/>
          </w:tcPr>
          <w:p w:rsidR="00810559" w:rsidRPr="00A365C1" w:rsidRDefault="009C1183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CALENDRIER D</w:t>
            </w:r>
            <w:r w:rsidR="00ED416A">
              <w:rPr>
                <w:lang w:val="fr-FR"/>
              </w:rPr>
              <w:t>’</w:t>
            </w:r>
            <w:r w:rsidRPr="00A365C1">
              <w:rPr>
                <w:lang w:val="fr-FR"/>
              </w:rPr>
              <w:t>EXAMEN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810559" w:rsidRPr="00A365C1" w:rsidRDefault="00810559" w:rsidP="00BB570E">
            <w:pPr>
              <w:rPr>
                <w:lang w:val="fr-FR"/>
              </w:rPr>
            </w:pPr>
            <w:r w:rsidRPr="00A365C1">
              <w:rPr>
                <w:lang w:val="fr-FR"/>
              </w:rPr>
              <w:t>X</w:t>
            </w:r>
          </w:p>
        </w:tc>
      </w:tr>
    </w:tbl>
    <w:p w:rsidR="006B5952" w:rsidRPr="00A365C1" w:rsidRDefault="006B5952" w:rsidP="00BB570E">
      <w:pPr>
        <w:rPr>
          <w:lang w:val="fr-FR"/>
        </w:rPr>
      </w:pPr>
    </w:p>
    <w:p w:rsidR="006B5952" w:rsidRPr="00A365C1" w:rsidRDefault="006B5952" w:rsidP="00BB570E">
      <w:pPr>
        <w:pStyle w:val="Endofdocument-Annex"/>
        <w:ind w:left="8414" w:firstLine="226"/>
        <w:rPr>
          <w:lang w:val="fr-FR"/>
        </w:rPr>
      </w:pPr>
    </w:p>
    <w:p w:rsidR="006B5952" w:rsidRPr="00A365C1" w:rsidRDefault="006B5952" w:rsidP="00BB570E">
      <w:pPr>
        <w:pStyle w:val="Endofdocument-Annex"/>
        <w:ind w:left="8414" w:firstLine="226"/>
        <w:rPr>
          <w:lang w:val="fr-FR"/>
        </w:rPr>
      </w:pPr>
    </w:p>
    <w:p w:rsidR="006B5952" w:rsidRPr="00A365C1" w:rsidRDefault="00540AFC" w:rsidP="00BB570E">
      <w:pPr>
        <w:pStyle w:val="Endofdocument-Annex"/>
        <w:ind w:left="8414" w:firstLine="226"/>
        <w:rPr>
          <w:lang w:val="fr-FR"/>
        </w:rPr>
      </w:pPr>
      <w:r w:rsidRPr="00A365C1">
        <w:rPr>
          <w:lang w:val="fr-FR"/>
        </w:rPr>
        <w:t>[Fin de l</w:t>
      </w:r>
      <w:r w:rsidR="00ED416A">
        <w:rPr>
          <w:lang w:val="fr-FR"/>
        </w:rPr>
        <w:t>’</w:t>
      </w:r>
      <w:r w:rsidRPr="00A365C1">
        <w:rPr>
          <w:lang w:val="fr-FR"/>
        </w:rPr>
        <w:t>annexe et du document]</w:t>
      </w:r>
    </w:p>
    <w:p w:rsidR="006B5952" w:rsidRPr="00A365C1" w:rsidRDefault="006B5952" w:rsidP="00BB570E">
      <w:pPr>
        <w:pStyle w:val="ListParagraph"/>
        <w:ind w:left="0"/>
        <w:rPr>
          <w:iCs/>
          <w:szCs w:val="22"/>
          <w:lang w:val="fr-FR"/>
        </w:rPr>
      </w:pPr>
    </w:p>
    <w:p w:rsidR="006B5952" w:rsidRPr="00A365C1" w:rsidRDefault="006B5952" w:rsidP="00BB570E">
      <w:pPr>
        <w:pStyle w:val="ListParagraph"/>
        <w:ind w:left="0"/>
        <w:rPr>
          <w:iCs/>
          <w:szCs w:val="22"/>
          <w:lang w:val="fr-FR"/>
        </w:rPr>
      </w:pPr>
    </w:p>
    <w:p w:rsidR="006B5952" w:rsidRPr="00A365C1" w:rsidRDefault="006B5952" w:rsidP="00BB570E">
      <w:pPr>
        <w:pStyle w:val="ListParagraph"/>
        <w:ind w:left="0"/>
        <w:rPr>
          <w:iCs/>
          <w:szCs w:val="22"/>
          <w:lang w:val="fr-FR"/>
        </w:rPr>
      </w:pPr>
    </w:p>
    <w:p w:rsidR="006B5952" w:rsidRPr="00A365C1" w:rsidRDefault="006B5952" w:rsidP="00BB570E">
      <w:pPr>
        <w:pStyle w:val="ListParagraph"/>
        <w:ind w:left="0"/>
        <w:rPr>
          <w:iCs/>
          <w:szCs w:val="22"/>
          <w:lang w:val="fr-FR"/>
        </w:rPr>
      </w:pPr>
    </w:p>
    <w:p w:rsidR="00AC3279" w:rsidRPr="00A365C1" w:rsidRDefault="00AC3279" w:rsidP="00BB570E">
      <w:pPr>
        <w:pStyle w:val="ListParagraph"/>
        <w:ind w:left="0"/>
        <w:rPr>
          <w:iCs/>
          <w:szCs w:val="22"/>
          <w:lang w:val="fr-FR"/>
        </w:rPr>
      </w:pPr>
    </w:p>
    <w:sectPr w:rsidR="00AC3279" w:rsidRPr="00A365C1" w:rsidSect="00D40397">
      <w:headerReference w:type="first" r:id="rId16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C11" w:rsidRDefault="00B26C11">
      <w:r>
        <w:separator/>
      </w:r>
    </w:p>
  </w:endnote>
  <w:endnote w:type="continuationSeparator" w:id="0">
    <w:p w:rsidR="00B26C11" w:rsidRDefault="00B26C11" w:rsidP="003B38C1">
      <w:r>
        <w:separator/>
      </w:r>
    </w:p>
    <w:p w:rsidR="00B26C11" w:rsidRPr="003B38C1" w:rsidRDefault="00B26C1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26C11" w:rsidRPr="003B38C1" w:rsidRDefault="00B26C1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C11" w:rsidRDefault="00B26C11">
      <w:r>
        <w:separator/>
      </w:r>
    </w:p>
  </w:footnote>
  <w:footnote w:type="continuationSeparator" w:id="0">
    <w:p w:rsidR="00B26C11" w:rsidRDefault="00B26C11" w:rsidP="008B60B2">
      <w:r>
        <w:separator/>
      </w:r>
    </w:p>
    <w:p w:rsidR="00B26C11" w:rsidRPr="00ED77FB" w:rsidRDefault="00B26C1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26C11" w:rsidRPr="00ED77FB" w:rsidRDefault="00B26C1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C11" w:rsidRDefault="00B26C11" w:rsidP="00477D6B">
    <w:pPr>
      <w:jc w:val="right"/>
    </w:pPr>
    <w:bookmarkStart w:id="3" w:name="Code2"/>
    <w:bookmarkEnd w:id="3"/>
    <w:r>
      <w:t>CDIP/14/xx</w:t>
    </w:r>
  </w:p>
  <w:p w:rsidR="00B26C11" w:rsidRPr="00C311AB" w:rsidRDefault="009C1183" w:rsidP="009C1183">
    <w:pPr>
      <w:jc w:val="right"/>
      <w:rPr>
        <w:highlight w:val="red"/>
      </w:rPr>
    </w:pPr>
    <w:proofErr w:type="gramStart"/>
    <w:r w:rsidRPr="009C1183">
      <w:rPr>
        <w:color w:val="800080"/>
        <w:highlight w:val="red"/>
      </w:rPr>
      <w:t>page</w:t>
    </w:r>
    <w:proofErr w:type="gramEnd"/>
    <w:r w:rsidR="00B26C11" w:rsidRPr="00C311AB">
      <w:rPr>
        <w:highlight w:val="red"/>
      </w:rPr>
      <w:t xml:space="preserve"> </w:t>
    </w:r>
    <w:r w:rsidR="00B26C11" w:rsidRPr="00C311AB">
      <w:rPr>
        <w:highlight w:val="red"/>
      </w:rPr>
      <w:fldChar w:fldCharType="begin"/>
    </w:r>
    <w:r w:rsidR="00B26C11" w:rsidRPr="00C311AB">
      <w:rPr>
        <w:highlight w:val="red"/>
      </w:rPr>
      <w:instrText xml:space="preserve"> PAGE  \* MERGEFORMAT </w:instrText>
    </w:r>
    <w:r w:rsidR="00B26C11" w:rsidRPr="00C311AB">
      <w:rPr>
        <w:highlight w:val="red"/>
      </w:rPr>
      <w:fldChar w:fldCharType="separate"/>
    </w:r>
    <w:r w:rsidR="004B1D58">
      <w:rPr>
        <w:noProof/>
        <w:highlight w:val="red"/>
      </w:rPr>
      <w:t>1</w:t>
    </w:r>
    <w:r w:rsidR="00B26C11" w:rsidRPr="00C311AB">
      <w:rPr>
        <w:highlight w:val="red"/>
      </w:rPr>
      <w:fldChar w:fldCharType="end"/>
    </w:r>
  </w:p>
  <w:p w:rsidR="00B26C11" w:rsidRDefault="00B26C11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C11" w:rsidRPr="00CA67D7" w:rsidRDefault="009C1183" w:rsidP="009C1183">
    <w:pPr>
      <w:pStyle w:val="Header"/>
      <w:jc w:val="right"/>
      <w:rPr>
        <w:lang w:val="fr-BE"/>
      </w:rPr>
    </w:pPr>
    <w:r>
      <w:t>CDIP/14/7</w:t>
    </w:r>
  </w:p>
  <w:p w:rsidR="00B26C11" w:rsidRDefault="009C1183" w:rsidP="009C1183">
    <w:pPr>
      <w:pStyle w:val="Header"/>
      <w:jc w:val="right"/>
    </w:pPr>
    <w:r w:rsidRPr="00CA67D7">
      <w:rPr>
        <w:color w:val="000000"/>
        <w:lang w:val="fr-BE"/>
      </w:rPr>
      <w:t>Annexe</w:t>
    </w:r>
    <w:r w:rsidRPr="009C1183">
      <w:rPr>
        <w:color w:val="000000"/>
      </w:rPr>
      <w:t>, page</w:t>
    </w:r>
    <w:sdt>
      <w:sdtPr>
        <w:id w:val="-133729663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26C11">
          <w:fldChar w:fldCharType="begin"/>
        </w:r>
        <w:r w:rsidR="00B26C11">
          <w:instrText xml:space="preserve"> PAGE   \* MERGEFORMAT </w:instrText>
        </w:r>
        <w:r w:rsidR="00B26C11">
          <w:fldChar w:fldCharType="separate"/>
        </w:r>
        <w:r w:rsidR="008C5E54">
          <w:rPr>
            <w:noProof/>
          </w:rPr>
          <w:t>3</w:t>
        </w:r>
        <w:r w:rsidR="00B26C11">
          <w:rPr>
            <w:noProof/>
          </w:rPr>
          <w:fldChar w:fldCharType="end"/>
        </w:r>
      </w:sdtContent>
    </w:sdt>
  </w:p>
  <w:p w:rsidR="00B26C11" w:rsidRPr="00B34B6F" w:rsidRDefault="00B26C11" w:rsidP="00B26C11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C11" w:rsidRDefault="00B26C11" w:rsidP="00B26C11">
    <w:pPr>
      <w:pStyle w:val="Header"/>
      <w:jc w:val="right"/>
    </w:pPr>
    <w:r>
      <w:t>CDIP/14/7</w:t>
    </w:r>
  </w:p>
  <w:p w:rsidR="00B26C11" w:rsidRDefault="00B26C11" w:rsidP="00B26C11">
    <w:pPr>
      <w:pStyle w:val="Header"/>
      <w:jc w:val="right"/>
    </w:pPr>
    <w:r>
      <w:t>ANNEX</w:t>
    </w:r>
    <w:r w:rsidR="00C80BF7">
      <w:t>E</w:t>
    </w:r>
  </w:p>
  <w:p w:rsidR="00B26C11" w:rsidRDefault="00B26C11" w:rsidP="00B26C11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C11" w:rsidRDefault="00B26C11" w:rsidP="00D40397">
    <w:pPr>
      <w:pStyle w:val="Header"/>
      <w:ind w:right="396"/>
      <w:jc w:val="right"/>
    </w:pPr>
    <w:r>
      <w:t>CDIP/14/</w:t>
    </w:r>
    <w:sdt>
      <w:sdtPr>
        <w:id w:val="79580841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 xml:space="preserve">7 </w:t>
        </w:r>
        <w:r>
          <w:br/>
        </w:r>
        <w:proofErr w:type="spellStart"/>
        <w:r>
          <w:t>Annex</w:t>
        </w:r>
        <w:r w:rsidR="009E6999">
          <w:t>e</w:t>
        </w:r>
        <w:proofErr w:type="spellEnd"/>
        <w:r>
          <w:t xml:space="preserve">,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E54">
          <w:rPr>
            <w:noProof/>
          </w:rPr>
          <w:t>8</w:t>
        </w:r>
        <w:r>
          <w:rPr>
            <w:noProof/>
          </w:rPr>
          <w:fldChar w:fldCharType="end"/>
        </w:r>
      </w:sdtContent>
    </w:sdt>
  </w:p>
  <w:p w:rsidR="00B26C11" w:rsidRPr="00D40397" w:rsidRDefault="00B26C11" w:rsidP="00D40397">
    <w:pPr>
      <w:pStyle w:val="Header"/>
      <w:ind w:right="39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0805331"/>
    <w:multiLevelType w:val="hybridMultilevel"/>
    <w:tmpl w:val="92C285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0F4E27"/>
    <w:multiLevelType w:val="hybridMultilevel"/>
    <w:tmpl w:val="E6E0D2E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2947343"/>
    <w:multiLevelType w:val="multilevel"/>
    <w:tmpl w:val="2DD83C9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76A6A01"/>
    <w:multiLevelType w:val="hybridMultilevel"/>
    <w:tmpl w:val="EEF01A1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5E3AF2"/>
    <w:multiLevelType w:val="hybridMultilevel"/>
    <w:tmpl w:val="385A5CD2"/>
    <w:lvl w:ilvl="0" w:tplc="3E0CE4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3079C"/>
    <w:multiLevelType w:val="hybridMultilevel"/>
    <w:tmpl w:val="45263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64F6B"/>
    <w:multiLevelType w:val="hybridMultilevel"/>
    <w:tmpl w:val="BE986164"/>
    <w:lvl w:ilvl="0" w:tplc="0409001B">
      <w:start w:val="1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11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IP in General\Academy|IP in General\Arbitration and Mediation|IP in General\Meetings|IP in General\Other|IP in General\Press Room|IP in General\Publications|Administrative\Other|Administrative\Publications|Glossaries\EN-FR|Budget and Finance\Meetings|Budget and Finance\Other|Budget and Finance\Publications|Copyright\Meetings|Copyright\Other|Copyright\Publications|Treaties\Model Laws|Treaties\Other Laws and Agreements|Treaties\WIPO-administered|IP in General\SpeechDG2014|UPOV\Meetings|Administrative\Meetings"/>
    <w:docVar w:name="TextBaseURL" w:val="empty"/>
    <w:docVar w:name="UILng" w:val="en"/>
  </w:docVars>
  <w:rsids>
    <w:rsidRoot w:val="00AC3279"/>
    <w:rsid w:val="00027C55"/>
    <w:rsid w:val="00043CAA"/>
    <w:rsid w:val="00070C27"/>
    <w:rsid w:val="00070D80"/>
    <w:rsid w:val="00075432"/>
    <w:rsid w:val="000877D3"/>
    <w:rsid w:val="000968ED"/>
    <w:rsid w:val="000C1CBB"/>
    <w:rsid w:val="000F4B5D"/>
    <w:rsid w:val="000F5E56"/>
    <w:rsid w:val="001362EE"/>
    <w:rsid w:val="00155FC8"/>
    <w:rsid w:val="001832A6"/>
    <w:rsid w:val="00185493"/>
    <w:rsid w:val="001C709C"/>
    <w:rsid w:val="002634C4"/>
    <w:rsid w:val="002928D3"/>
    <w:rsid w:val="002A3215"/>
    <w:rsid w:val="002F1FE6"/>
    <w:rsid w:val="002F4E68"/>
    <w:rsid w:val="00304102"/>
    <w:rsid w:val="00312F7F"/>
    <w:rsid w:val="00313B94"/>
    <w:rsid w:val="00332E8B"/>
    <w:rsid w:val="00361450"/>
    <w:rsid w:val="003673CF"/>
    <w:rsid w:val="003700C6"/>
    <w:rsid w:val="003845C1"/>
    <w:rsid w:val="003A6F89"/>
    <w:rsid w:val="003B38C1"/>
    <w:rsid w:val="003B5521"/>
    <w:rsid w:val="003D0B9E"/>
    <w:rsid w:val="003E4153"/>
    <w:rsid w:val="003F33BA"/>
    <w:rsid w:val="00406B51"/>
    <w:rsid w:val="00423E3E"/>
    <w:rsid w:val="00427AF4"/>
    <w:rsid w:val="004647DA"/>
    <w:rsid w:val="00464A24"/>
    <w:rsid w:val="00474062"/>
    <w:rsid w:val="00477D6B"/>
    <w:rsid w:val="00484852"/>
    <w:rsid w:val="004B1D58"/>
    <w:rsid w:val="004C142E"/>
    <w:rsid w:val="004C3A0F"/>
    <w:rsid w:val="005019FF"/>
    <w:rsid w:val="0051301E"/>
    <w:rsid w:val="0053057A"/>
    <w:rsid w:val="00540AFC"/>
    <w:rsid w:val="00560A29"/>
    <w:rsid w:val="00574E8C"/>
    <w:rsid w:val="00592B23"/>
    <w:rsid w:val="005C2E40"/>
    <w:rsid w:val="005C6649"/>
    <w:rsid w:val="005E2E13"/>
    <w:rsid w:val="005F4BB4"/>
    <w:rsid w:val="005F69B3"/>
    <w:rsid w:val="00605827"/>
    <w:rsid w:val="0061234E"/>
    <w:rsid w:val="00646050"/>
    <w:rsid w:val="006713CA"/>
    <w:rsid w:val="00676C5C"/>
    <w:rsid w:val="006776D4"/>
    <w:rsid w:val="00685A59"/>
    <w:rsid w:val="006A44A7"/>
    <w:rsid w:val="006B5952"/>
    <w:rsid w:val="006B674D"/>
    <w:rsid w:val="006E1B14"/>
    <w:rsid w:val="006F0427"/>
    <w:rsid w:val="00724738"/>
    <w:rsid w:val="00731524"/>
    <w:rsid w:val="0076203A"/>
    <w:rsid w:val="007A58DB"/>
    <w:rsid w:val="007A5CA8"/>
    <w:rsid w:val="007A7228"/>
    <w:rsid w:val="007D1613"/>
    <w:rsid w:val="00810559"/>
    <w:rsid w:val="00824272"/>
    <w:rsid w:val="0086567E"/>
    <w:rsid w:val="00871610"/>
    <w:rsid w:val="00882736"/>
    <w:rsid w:val="00887DC5"/>
    <w:rsid w:val="00894B6A"/>
    <w:rsid w:val="008B2CC1"/>
    <w:rsid w:val="008B60B2"/>
    <w:rsid w:val="008C5E54"/>
    <w:rsid w:val="0090731E"/>
    <w:rsid w:val="00916EE2"/>
    <w:rsid w:val="009261EF"/>
    <w:rsid w:val="00943653"/>
    <w:rsid w:val="00966A22"/>
    <w:rsid w:val="0096722F"/>
    <w:rsid w:val="00980843"/>
    <w:rsid w:val="00984949"/>
    <w:rsid w:val="009C1183"/>
    <w:rsid w:val="009D1AEE"/>
    <w:rsid w:val="009E2791"/>
    <w:rsid w:val="009E3F6F"/>
    <w:rsid w:val="009E6999"/>
    <w:rsid w:val="009F499F"/>
    <w:rsid w:val="009F6958"/>
    <w:rsid w:val="00A25D24"/>
    <w:rsid w:val="00A365C1"/>
    <w:rsid w:val="00A42DAF"/>
    <w:rsid w:val="00A45BD8"/>
    <w:rsid w:val="00A84E9A"/>
    <w:rsid w:val="00A869B7"/>
    <w:rsid w:val="00AC205C"/>
    <w:rsid w:val="00AC3279"/>
    <w:rsid w:val="00AF0A6B"/>
    <w:rsid w:val="00AF3E4B"/>
    <w:rsid w:val="00B05A69"/>
    <w:rsid w:val="00B26C11"/>
    <w:rsid w:val="00B27CCD"/>
    <w:rsid w:val="00B67109"/>
    <w:rsid w:val="00B80BF5"/>
    <w:rsid w:val="00B938EE"/>
    <w:rsid w:val="00B9734B"/>
    <w:rsid w:val="00BB570E"/>
    <w:rsid w:val="00BB67A2"/>
    <w:rsid w:val="00C11BFE"/>
    <w:rsid w:val="00C311AB"/>
    <w:rsid w:val="00C4328B"/>
    <w:rsid w:val="00C80BF7"/>
    <w:rsid w:val="00CA0667"/>
    <w:rsid w:val="00CA67D7"/>
    <w:rsid w:val="00CB1885"/>
    <w:rsid w:val="00CC19E5"/>
    <w:rsid w:val="00CE211B"/>
    <w:rsid w:val="00D00B1D"/>
    <w:rsid w:val="00D05E48"/>
    <w:rsid w:val="00D36F8C"/>
    <w:rsid w:val="00D40397"/>
    <w:rsid w:val="00D45252"/>
    <w:rsid w:val="00D54B07"/>
    <w:rsid w:val="00D71B4D"/>
    <w:rsid w:val="00D93D55"/>
    <w:rsid w:val="00E335FE"/>
    <w:rsid w:val="00E97A7C"/>
    <w:rsid w:val="00EC4E49"/>
    <w:rsid w:val="00EC5B27"/>
    <w:rsid w:val="00ED2A1B"/>
    <w:rsid w:val="00ED416A"/>
    <w:rsid w:val="00ED77FB"/>
    <w:rsid w:val="00EE45FA"/>
    <w:rsid w:val="00F30202"/>
    <w:rsid w:val="00F31C45"/>
    <w:rsid w:val="00F43C1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E40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C32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10559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81055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BodyTextChar">
    <w:name w:val="Body Text Char"/>
    <w:basedOn w:val="DefaultParagraphFont"/>
    <w:link w:val="BodyText"/>
    <w:rsid w:val="00810559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10559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C80B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E40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C32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10559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81055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BodyTextChar">
    <w:name w:val="Body Text Char"/>
    <w:basedOn w:val="DefaultParagraphFont"/>
    <w:link w:val="BodyText"/>
    <w:rsid w:val="00810559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10559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C80B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B71D7-9222-4B9D-A875-EBAB1DBA54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5C15E8-0EBE-4E19-8576-013F87D98C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E75F22-FFB8-48BB-B132-C9514B114E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58A1EA-D055-48CD-BB15-C51A17D8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14 (E).dotm</Template>
  <TotalTime>2</TotalTime>
  <Pages>9</Pages>
  <Words>2088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CDIP/14/</vt:lpstr>
    </vt:vector>
  </TitlesOfParts>
  <Company>WIPO</Company>
  <LinksUpToDate>false</LinksUpToDate>
  <CharactersWithSpaces>13585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CDIP/14/</dc:title>
  <dc:creator>IBRAHIM Ammar</dc:creator>
  <cp:keywords>TA/mhf</cp:keywords>
  <cp:lastModifiedBy>SHOUSHA Sally</cp:lastModifiedBy>
  <cp:revision>3</cp:revision>
  <cp:lastPrinted>2014-10-07T13:49:00Z</cp:lastPrinted>
  <dcterms:created xsi:type="dcterms:W3CDTF">2014-10-07T13:49:00Z</dcterms:created>
  <dcterms:modified xsi:type="dcterms:W3CDTF">2014-10-07T13:50:00Z</dcterms:modified>
</cp:coreProperties>
</file>