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B08EC" w:rsidRPr="00AB08EC" w:rsidTr="00F70A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41467" w:rsidRPr="00AB08EC" w:rsidRDefault="00641467" w:rsidP="00AD230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1467" w:rsidRPr="00AB08EC" w:rsidRDefault="00641467" w:rsidP="00AD230F">
            <w:pPr>
              <w:rPr>
                <w:lang w:val="fr-FR"/>
              </w:rPr>
            </w:pPr>
            <w:r w:rsidRPr="00AB08EC">
              <w:rPr>
                <w:noProof/>
                <w:lang w:eastAsia="en-US"/>
              </w:rPr>
              <w:drawing>
                <wp:inline distT="0" distB="0" distL="0" distR="0" wp14:anchorId="080ECB3E" wp14:editId="3A97B3A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1467" w:rsidRPr="00AB08EC" w:rsidRDefault="00641467" w:rsidP="00AD230F">
            <w:pPr>
              <w:jc w:val="right"/>
              <w:rPr>
                <w:lang w:val="fr-FR"/>
              </w:rPr>
            </w:pPr>
            <w:r w:rsidRPr="00AB08EC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B08EC" w:rsidRPr="00AB08EC" w:rsidTr="00F70A9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41467" w:rsidRPr="00AB08EC" w:rsidRDefault="00641467" w:rsidP="00AD230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B08EC">
              <w:rPr>
                <w:rFonts w:ascii="Arial Black" w:hAnsi="Arial Black"/>
                <w:caps/>
                <w:sz w:val="15"/>
                <w:lang w:val="fr-FR"/>
              </w:rPr>
              <w:t xml:space="preserve">cdip/14/5 </w:t>
            </w:r>
          </w:p>
        </w:tc>
      </w:tr>
      <w:tr w:rsidR="00AB08EC" w:rsidRPr="00AB08EC" w:rsidTr="00F70A9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41467" w:rsidRPr="00AB08EC" w:rsidRDefault="00641467" w:rsidP="00AD230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B08EC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0" w:name="Original"/>
            <w:bookmarkEnd w:id="0"/>
            <w:r w:rsidRPr="00AB08EC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AB08EC" w:rsidRPr="00AB08EC" w:rsidTr="00F70A9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41467" w:rsidRPr="00AB08EC" w:rsidRDefault="00641467" w:rsidP="00AD230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B08EC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1" w:name="Date"/>
            <w:bookmarkEnd w:id="1"/>
            <w:r w:rsidRPr="00AB08EC">
              <w:rPr>
                <w:rFonts w:ascii="Arial Black" w:hAnsi="Arial Black"/>
                <w:caps/>
                <w:sz w:val="15"/>
                <w:lang w:val="fr-FR"/>
              </w:rPr>
              <w:t>8 SEPTEMBRE 2014</w:t>
            </w:r>
          </w:p>
        </w:tc>
      </w:tr>
    </w:tbl>
    <w:p w:rsidR="00641467" w:rsidRPr="00AB08EC" w:rsidRDefault="00641467" w:rsidP="00AD230F">
      <w:pPr>
        <w:rPr>
          <w:lang w:val="fr-FR"/>
        </w:rPr>
      </w:pPr>
    </w:p>
    <w:p w:rsidR="00641467" w:rsidRPr="00AB08EC" w:rsidRDefault="00641467" w:rsidP="00AD230F">
      <w:pPr>
        <w:rPr>
          <w:lang w:val="fr-FR"/>
        </w:rPr>
      </w:pPr>
    </w:p>
    <w:p w:rsidR="00641467" w:rsidRPr="00AB08EC" w:rsidRDefault="00641467" w:rsidP="00AD230F">
      <w:pPr>
        <w:rPr>
          <w:lang w:val="fr-FR"/>
        </w:rPr>
      </w:pPr>
    </w:p>
    <w:p w:rsidR="00641467" w:rsidRPr="00AB08EC" w:rsidRDefault="00641467" w:rsidP="00AD230F">
      <w:pPr>
        <w:rPr>
          <w:lang w:val="fr-FR"/>
        </w:rPr>
      </w:pPr>
    </w:p>
    <w:p w:rsidR="00641467" w:rsidRPr="00AB08EC" w:rsidRDefault="00641467" w:rsidP="00AD230F">
      <w:pPr>
        <w:rPr>
          <w:lang w:val="fr-FR"/>
        </w:rPr>
      </w:pPr>
    </w:p>
    <w:p w:rsidR="00641467" w:rsidRPr="00AB08EC" w:rsidRDefault="00641467" w:rsidP="00AD230F">
      <w:pPr>
        <w:outlineLvl w:val="0"/>
        <w:rPr>
          <w:b/>
          <w:sz w:val="28"/>
          <w:szCs w:val="28"/>
          <w:lang w:val="fr-FR"/>
        </w:rPr>
      </w:pPr>
      <w:r w:rsidRPr="00AB08EC">
        <w:rPr>
          <w:b/>
          <w:sz w:val="28"/>
          <w:szCs w:val="28"/>
          <w:lang w:val="fr-FR"/>
        </w:rPr>
        <w:t>Comité du développement et de la propriété intellectuelle (CDIP)</w:t>
      </w:r>
    </w:p>
    <w:p w:rsidR="00641467" w:rsidRPr="00AB08EC" w:rsidRDefault="00641467" w:rsidP="00AD230F">
      <w:pPr>
        <w:rPr>
          <w:lang w:val="fr-FR"/>
        </w:rPr>
      </w:pPr>
    </w:p>
    <w:p w:rsidR="00641467" w:rsidRPr="00AB08EC" w:rsidRDefault="00641467" w:rsidP="00AD230F">
      <w:pPr>
        <w:rPr>
          <w:lang w:val="fr-FR"/>
        </w:rPr>
      </w:pPr>
      <w:bookmarkStart w:id="2" w:name="Code"/>
      <w:bookmarkEnd w:id="2"/>
    </w:p>
    <w:p w:rsidR="00641467" w:rsidRPr="00AB08EC" w:rsidRDefault="00641467" w:rsidP="00AD230F">
      <w:pPr>
        <w:rPr>
          <w:b/>
          <w:sz w:val="24"/>
          <w:szCs w:val="24"/>
          <w:lang w:val="fr-FR"/>
        </w:rPr>
      </w:pPr>
      <w:r w:rsidRPr="00AB08EC">
        <w:rPr>
          <w:b/>
          <w:sz w:val="24"/>
          <w:szCs w:val="24"/>
          <w:lang w:val="fr-FR"/>
        </w:rPr>
        <w:t>Quatorzième session</w:t>
      </w:r>
    </w:p>
    <w:p w:rsidR="00641467" w:rsidRPr="00AB08EC" w:rsidRDefault="00641467" w:rsidP="00AD230F">
      <w:pPr>
        <w:rPr>
          <w:b/>
          <w:sz w:val="24"/>
          <w:szCs w:val="24"/>
          <w:lang w:val="fr-FR"/>
        </w:rPr>
      </w:pPr>
      <w:r w:rsidRPr="00AB08EC">
        <w:rPr>
          <w:b/>
          <w:sz w:val="24"/>
          <w:szCs w:val="24"/>
          <w:lang w:val="fr-FR"/>
        </w:rPr>
        <w:t>Genève, 10 – 14 novembre 2014</w:t>
      </w:r>
    </w:p>
    <w:p w:rsidR="00641467" w:rsidRPr="00AB08EC" w:rsidRDefault="00641467" w:rsidP="00AD230F">
      <w:pPr>
        <w:rPr>
          <w:b/>
          <w:sz w:val="24"/>
          <w:szCs w:val="24"/>
          <w:lang w:val="fr-FR"/>
        </w:rPr>
      </w:pPr>
    </w:p>
    <w:p w:rsidR="00641467" w:rsidRPr="00AB08EC" w:rsidRDefault="00641467" w:rsidP="00AD230F">
      <w:pPr>
        <w:rPr>
          <w:lang w:val="fr-FR"/>
        </w:rPr>
      </w:pPr>
    </w:p>
    <w:p w:rsidR="00641467" w:rsidRPr="00AB08EC" w:rsidRDefault="00641467" w:rsidP="00AD230F">
      <w:pPr>
        <w:rPr>
          <w:lang w:val="fr-FR"/>
        </w:rPr>
      </w:pPr>
    </w:p>
    <w:p w:rsidR="007C74A8" w:rsidRPr="00AB08EC" w:rsidRDefault="00D848BD" w:rsidP="00AD230F">
      <w:pPr>
        <w:rPr>
          <w:lang w:val="fr-FR"/>
        </w:rPr>
      </w:pPr>
      <w:r w:rsidRPr="00AB08EC">
        <w:rPr>
          <w:lang w:val="fr-FR"/>
        </w:rPr>
        <w:t>RÉSUMÉ DU RAPPORT D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ÉVALUATION DU PROJET RELATIF À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ACCÈS À DES BASES DE DONNÉES SPÉCIALISÉES ET À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APPUI</w:t>
      </w:r>
      <w:r w:rsidR="00641467" w:rsidRPr="00AB08EC">
        <w:rPr>
          <w:lang w:val="fr-FR"/>
        </w:rPr>
        <w:t xml:space="preserve"> – </w:t>
      </w:r>
      <w:r w:rsidRPr="00AB08EC">
        <w:rPr>
          <w:lang w:val="fr-FR"/>
        </w:rPr>
        <w:t>PHASE II</w:t>
      </w:r>
    </w:p>
    <w:p w:rsidR="007C74A8" w:rsidRPr="00AB08EC" w:rsidRDefault="007C74A8" w:rsidP="00AD230F">
      <w:pPr>
        <w:rPr>
          <w:i/>
          <w:lang w:val="fr-FR"/>
        </w:rPr>
      </w:pPr>
    </w:p>
    <w:p w:rsidR="007C74A8" w:rsidRPr="00AB08EC" w:rsidRDefault="00D848BD" w:rsidP="00AD230F">
      <w:pPr>
        <w:rPr>
          <w:lang w:val="fr-FR"/>
        </w:rPr>
      </w:pPr>
      <w:proofErr w:type="gramStart"/>
      <w:r w:rsidRPr="00AB08EC">
        <w:rPr>
          <w:i/>
          <w:lang w:val="fr-FR"/>
        </w:rPr>
        <w:t>établi</w:t>
      </w:r>
      <w:proofErr w:type="gramEnd"/>
      <w:r w:rsidRPr="00AB08EC">
        <w:rPr>
          <w:i/>
          <w:lang w:val="fr-FR"/>
        </w:rPr>
        <w:t xml:space="preserve"> par M.</w:t>
      </w:r>
      <w:r w:rsidR="00120B0A" w:rsidRPr="00AB08EC">
        <w:rPr>
          <w:i/>
          <w:lang w:val="fr-FR"/>
        </w:rPr>
        <w:t> </w:t>
      </w:r>
      <w:r w:rsidRPr="00AB08EC">
        <w:rPr>
          <w:i/>
          <w:lang w:val="fr-FR"/>
        </w:rPr>
        <w:t xml:space="preserve">Glenn </w:t>
      </w:r>
      <w:proofErr w:type="spellStart"/>
      <w:r w:rsidRPr="00AB08EC">
        <w:rPr>
          <w:i/>
          <w:lang w:val="fr-FR"/>
        </w:rPr>
        <w:t>O</w:t>
      </w:r>
      <w:r w:rsidR="00641467" w:rsidRPr="00AB08EC">
        <w:rPr>
          <w:i/>
          <w:lang w:val="fr-FR"/>
        </w:rPr>
        <w:t>’</w:t>
      </w:r>
      <w:r w:rsidRPr="00AB08EC">
        <w:rPr>
          <w:i/>
          <w:lang w:val="fr-FR"/>
        </w:rPr>
        <w:t>Neil</w:t>
      </w:r>
      <w:proofErr w:type="spellEnd"/>
      <w:r w:rsidRPr="00AB08EC">
        <w:rPr>
          <w:i/>
          <w:lang w:val="fr-FR"/>
        </w:rPr>
        <w:t xml:space="preserve">, fondateur de </w:t>
      </w:r>
      <w:proofErr w:type="spellStart"/>
      <w:r w:rsidRPr="00AB08EC">
        <w:rPr>
          <w:i/>
          <w:lang w:val="fr-FR"/>
        </w:rPr>
        <w:t>Owl</w:t>
      </w:r>
      <w:proofErr w:type="spellEnd"/>
      <w:r w:rsidRPr="00AB08EC">
        <w:rPr>
          <w:i/>
          <w:lang w:val="fr-FR"/>
        </w:rPr>
        <w:t xml:space="preserve"> RE, conseil en évaluation, Genève</w:t>
      </w: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BE704C" w:rsidP="00AD230F">
      <w:pPr>
        <w:pStyle w:val="ONUMFS"/>
        <w:rPr>
          <w:lang w:val="fr-FR"/>
        </w:rPr>
      </w:pPr>
      <w:r w:rsidRPr="00AB08EC">
        <w:rPr>
          <w:lang w:val="fr-FR"/>
        </w:rPr>
        <w:t>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annexe du présent document contient un résumé du rapport d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évaluation externe et indépendant sur le projet relatif à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 xml:space="preserve">accès à des bases de données </w:t>
      </w:r>
      <w:r w:rsidR="00420B42" w:rsidRPr="00AB08EC">
        <w:rPr>
          <w:lang w:val="fr-FR"/>
        </w:rPr>
        <w:t xml:space="preserve">spécialisées </w:t>
      </w:r>
      <w:r w:rsidRPr="00AB08EC">
        <w:rPr>
          <w:lang w:val="fr-FR"/>
        </w:rPr>
        <w:t>et à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appui</w:t>
      </w:r>
      <w:r w:rsidR="00641467" w:rsidRPr="00AB08EC">
        <w:rPr>
          <w:lang w:val="fr-FR"/>
        </w:rPr>
        <w:t xml:space="preserve"> – </w:t>
      </w:r>
      <w:r w:rsidRPr="00AB08EC">
        <w:rPr>
          <w:lang w:val="fr-FR"/>
        </w:rPr>
        <w:t xml:space="preserve">phase II, établi par M. Glenn </w:t>
      </w:r>
      <w:proofErr w:type="spellStart"/>
      <w:r w:rsidRPr="00AB08EC">
        <w:rPr>
          <w:lang w:val="fr-FR"/>
        </w:rPr>
        <w:t>O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Neil</w:t>
      </w:r>
      <w:proofErr w:type="spellEnd"/>
      <w:r w:rsidRPr="00AB08EC">
        <w:rPr>
          <w:lang w:val="fr-FR"/>
        </w:rPr>
        <w:t xml:space="preserve">, fondateur </w:t>
      </w:r>
      <w:proofErr w:type="gramStart"/>
      <w:r w:rsidRPr="00AB08EC">
        <w:rPr>
          <w:lang w:val="fr-FR"/>
        </w:rPr>
        <w:t xml:space="preserve">de </w:t>
      </w:r>
      <w:proofErr w:type="spellStart"/>
      <w:r w:rsidRPr="00AB08EC">
        <w:rPr>
          <w:lang w:val="fr-FR"/>
        </w:rPr>
        <w:t>Owl</w:t>
      </w:r>
      <w:proofErr w:type="spellEnd"/>
      <w:proofErr w:type="gramEnd"/>
      <w:r w:rsidRPr="00AB08EC">
        <w:rPr>
          <w:lang w:val="fr-FR"/>
        </w:rPr>
        <w:t xml:space="preserve"> RE, à Genève.</w:t>
      </w: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BE704C" w:rsidP="00AD230F">
      <w:pPr>
        <w:pStyle w:val="ONUMFS"/>
        <w:spacing w:after="0"/>
        <w:ind w:left="5533"/>
        <w:rPr>
          <w:i/>
          <w:lang w:val="fr-FR"/>
        </w:rPr>
      </w:pPr>
      <w:r w:rsidRPr="00AB08EC">
        <w:rPr>
          <w:i/>
          <w:lang w:val="fr-FR"/>
        </w:rPr>
        <w:t>Le CDIP est invité à prendre note des informations contenues dans l</w:t>
      </w:r>
      <w:r w:rsidR="00641467" w:rsidRPr="00AB08EC">
        <w:rPr>
          <w:i/>
          <w:lang w:val="fr-FR"/>
        </w:rPr>
        <w:t>’</w:t>
      </w:r>
      <w:r w:rsidRPr="00AB08EC">
        <w:rPr>
          <w:i/>
          <w:lang w:val="fr-FR"/>
        </w:rPr>
        <w:t>annexe du présent document.</w:t>
      </w: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4907DF" w:rsidP="00AD230F">
      <w:pPr>
        <w:tabs>
          <w:tab w:val="left" w:pos="4950"/>
        </w:tabs>
        <w:ind w:left="5528"/>
        <w:rPr>
          <w:lang w:val="fr-FR"/>
        </w:rPr>
      </w:pPr>
      <w:r w:rsidRPr="00AB08EC">
        <w:rPr>
          <w:lang w:val="fr-FR"/>
        </w:rPr>
        <w:tab/>
      </w:r>
      <w:r w:rsidR="00BE704C" w:rsidRPr="00AB08EC">
        <w:rPr>
          <w:lang w:val="fr-FR"/>
        </w:rPr>
        <w:t>[L</w:t>
      </w:r>
      <w:r w:rsidR="00641467" w:rsidRPr="00AB08EC">
        <w:rPr>
          <w:lang w:val="fr-FR"/>
        </w:rPr>
        <w:t>’</w:t>
      </w:r>
      <w:r w:rsidR="00BE704C" w:rsidRPr="00AB08EC">
        <w:rPr>
          <w:lang w:val="fr-FR"/>
        </w:rPr>
        <w:t>annexe suit]</w:t>
      </w: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7C74A8" w:rsidP="00AD230F">
      <w:pPr>
        <w:rPr>
          <w:lang w:val="fr-FR"/>
        </w:rPr>
      </w:pPr>
    </w:p>
    <w:p w:rsidR="00FB6E4B" w:rsidRPr="00AB08EC" w:rsidRDefault="00FB6E4B" w:rsidP="00AD230F">
      <w:pPr>
        <w:rPr>
          <w:lang w:val="fr-FR"/>
        </w:rPr>
        <w:sectPr w:rsidR="00FB6E4B" w:rsidRPr="00AB08EC" w:rsidSect="0039724E">
          <w:head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7C74A8" w:rsidP="00AD230F">
      <w:pPr>
        <w:rPr>
          <w:b/>
          <w:caps/>
          <w:lang w:val="fr-FR"/>
        </w:rPr>
      </w:pPr>
    </w:p>
    <w:p w:rsidR="007C74A8" w:rsidRPr="00AB08EC" w:rsidRDefault="00BE704C" w:rsidP="00AD230F">
      <w:pPr>
        <w:rPr>
          <w:b/>
          <w:sz w:val="24"/>
          <w:szCs w:val="24"/>
          <w:lang w:val="fr-FR"/>
        </w:rPr>
      </w:pPr>
      <w:r w:rsidRPr="00AB08EC">
        <w:rPr>
          <w:b/>
          <w:sz w:val="24"/>
          <w:szCs w:val="24"/>
          <w:lang w:val="fr-FR"/>
        </w:rPr>
        <w:t>Liste des sigles utilisés</w:t>
      </w: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7C74A8" w:rsidP="00AD230F">
      <w:pPr>
        <w:rPr>
          <w:lang w:val="fr-FR"/>
        </w:rPr>
      </w:pPr>
    </w:p>
    <w:p w:rsidR="00641467" w:rsidRPr="00AB08EC" w:rsidRDefault="00120B0A" w:rsidP="00AD230F">
      <w:pPr>
        <w:rPr>
          <w:lang w:val="fr-FR"/>
        </w:rPr>
      </w:pPr>
      <w:r w:rsidRPr="00AB08EC">
        <w:rPr>
          <w:lang w:val="fr-FR"/>
        </w:rPr>
        <w:t>ASEAN</w:t>
      </w:r>
      <w:r w:rsidR="00BE704C" w:rsidRPr="00AB08EC">
        <w:rPr>
          <w:lang w:val="fr-FR"/>
        </w:rPr>
        <w:tab/>
      </w:r>
      <w:r w:rsidR="00BE704C" w:rsidRPr="00AB08EC">
        <w:rPr>
          <w:lang w:val="fr-FR"/>
        </w:rPr>
        <w:tab/>
        <w:t>Association des nations de l</w:t>
      </w:r>
      <w:r w:rsidR="00641467" w:rsidRPr="00AB08EC">
        <w:rPr>
          <w:lang w:val="fr-FR"/>
        </w:rPr>
        <w:t>’</w:t>
      </w:r>
      <w:r w:rsidR="00BE704C" w:rsidRPr="00AB08EC">
        <w:rPr>
          <w:lang w:val="fr-FR"/>
        </w:rPr>
        <w:t>Asie du Sud</w:t>
      </w:r>
      <w:r w:rsidR="0039724E" w:rsidRPr="00AB08EC">
        <w:rPr>
          <w:lang w:val="fr-FR"/>
        </w:rPr>
        <w:noBreakHyphen/>
      </w:r>
      <w:r w:rsidR="00BE704C" w:rsidRPr="00AB08EC">
        <w:rPr>
          <w:lang w:val="fr-FR"/>
        </w:rPr>
        <w:t>Est</w:t>
      </w:r>
    </w:p>
    <w:p w:rsidR="007C74A8" w:rsidRPr="00AB08EC" w:rsidRDefault="00BE704C" w:rsidP="00AD230F">
      <w:pPr>
        <w:rPr>
          <w:lang w:val="fr-FR"/>
        </w:rPr>
      </w:pPr>
      <w:proofErr w:type="spellStart"/>
      <w:proofErr w:type="gramStart"/>
      <w:r w:rsidRPr="00AB08EC">
        <w:rPr>
          <w:lang w:val="fr-FR"/>
        </w:rPr>
        <w:t>aRDi</w:t>
      </w:r>
      <w:proofErr w:type="spellEnd"/>
      <w:proofErr w:type="gramEnd"/>
      <w:r w:rsidRPr="00AB08EC">
        <w:rPr>
          <w:lang w:val="fr-FR"/>
        </w:rPr>
        <w:tab/>
      </w:r>
      <w:r w:rsidRPr="00AB08EC">
        <w:rPr>
          <w:lang w:val="fr-FR"/>
        </w:rPr>
        <w:tab/>
      </w:r>
      <w:r w:rsidRPr="00AB08EC">
        <w:rPr>
          <w:lang w:val="fr-FR"/>
        </w:rPr>
        <w:tab/>
        <w:t>Accès à la recherche pour le développement et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innovation</w:t>
      </w:r>
    </w:p>
    <w:p w:rsidR="007C74A8" w:rsidRPr="00AB08EC" w:rsidRDefault="00BE704C" w:rsidP="00AD230F">
      <w:pPr>
        <w:rPr>
          <w:lang w:val="fr-FR"/>
        </w:rPr>
      </w:pPr>
      <w:r w:rsidRPr="00AB08EC">
        <w:rPr>
          <w:lang w:val="fr-FR"/>
        </w:rPr>
        <w:t>ARIPO</w:t>
      </w:r>
      <w:r w:rsidRPr="00AB08EC">
        <w:rPr>
          <w:lang w:val="fr-FR"/>
        </w:rPr>
        <w:tab/>
      </w:r>
      <w:r w:rsidRPr="00AB08EC">
        <w:rPr>
          <w:lang w:val="fr-FR"/>
        </w:rPr>
        <w:tab/>
        <w:t>Organisation régionale africaine de la propriété intellectuelle</w:t>
      </w:r>
    </w:p>
    <w:p w:rsidR="007C74A8" w:rsidRPr="00AB08EC" w:rsidRDefault="00BE704C" w:rsidP="00AD230F">
      <w:pPr>
        <w:rPr>
          <w:lang w:val="fr-FR"/>
        </w:rPr>
      </w:pPr>
      <w:r w:rsidRPr="00AB08EC">
        <w:rPr>
          <w:lang w:val="fr-FR"/>
        </w:rPr>
        <w:t>ASPI</w:t>
      </w:r>
      <w:r w:rsidRPr="00AB08EC">
        <w:rPr>
          <w:lang w:val="fr-FR"/>
        </w:rPr>
        <w:tab/>
      </w:r>
      <w:r w:rsidRPr="00AB08EC">
        <w:rPr>
          <w:lang w:val="fr-FR"/>
        </w:rPr>
        <w:tab/>
      </w:r>
      <w:r w:rsidRPr="00AB08EC">
        <w:rPr>
          <w:lang w:val="fr-FR"/>
        </w:rPr>
        <w:tab/>
        <w:t>Accès à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information spécialisée en matière de brevets</w:t>
      </w:r>
    </w:p>
    <w:p w:rsidR="007C74A8" w:rsidRPr="00AB08EC" w:rsidRDefault="00BE704C" w:rsidP="00AD230F">
      <w:pPr>
        <w:rPr>
          <w:szCs w:val="22"/>
          <w:lang w:val="fr-FR"/>
        </w:rPr>
      </w:pPr>
      <w:r w:rsidRPr="00AB08EC">
        <w:rPr>
          <w:szCs w:val="22"/>
          <w:lang w:val="fr-FR"/>
        </w:rPr>
        <w:t>CDIP</w:t>
      </w:r>
      <w:r w:rsidRPr="00AB08EC">
        <w:rPr>
          <w:szCs w:val="22"/>
          <w:lang w:val="fr-FR"/>
        </w:rPr>
        <w:tab/>
      </w:r>
      <w:r w:rsidRPr="00AB08EC">
        <w:rPr>
          <w:szCs w:val="22"/>
          <w:lang w:val="fr-FR"/>
        </w:rPr>
        <w:tab/>
      </w:r>
      <w:r w:rsidRPr="00AB08EC">
        <w:rPr>
          <w:szCs w:val="22"/>
          <w:lang w:val="fr-FR"/>
        </w:rPr>
        <w:tab/>
        <w:t>Comité du développement et de la propriété intellectuelle</w:t>
      </w:r>
    </w:p>
    <w:p w:rsidR="007C74A8" w:rsidRPr="00AB08EC" w:rsidRDefault="00181D9D" w:rsidP="00AD230F">
      <w:pPr>
        <w:rPr>
          <w:lang w:val="fr-FR"/>
        </w:rPr>
      </w:pPr>
      <w:r w:rsidRPr="00AB08EC">
        <w:rPr>
          <w:lang w:val="fr-FR"/>
        </w:rPr>
        <w:t xml:space="preserve">OAPI </w:t>
      </w:r>
      <w:r w:rsidRPr="00AB08EC">
        <w:rPr>
          <w:lang w:val="fr-FR"/>
        </w:rPr>
        <w:tab/>
      </w:r>
      <w:r w:rsidRPr="00AB08EC">
        <w:rPr>
          <w:lang w:val="fr-FR"/>
        </w:rPr>
        <w:tab/>
        <w:t xml:space="preserve">Organisation </w:t>
      </w:r>
      <w:r w:rsidR="00BE704C" w:rsidRPr="00AB08EC">
        <w:rPr>
          <w:lang w:val="fr-FR"/>
        </w:rPr>
        <w:t>a</w:t>
      </w:r>
      <w:r w:rsidRPr="00AB08EC">
        <w:rPr>
          <w:lang w:val="fr-FR"/>
        </w:rPr>
        <w:t xml:space="preserve">fricaine de la </w:t>
      </w:r>
      <w:r w:rsidR="00BE704C" w:rsidRPr="00AB08EC">
        <w:rPr>
          <w:lang w:val="fr-FR"/>
        </w:rPr>
        <w:t>propriété i</w:t>
      </w:r>
      <w:r w:rsidRPr="00AB08EC">
        <w:rPr>
          <w:lang w:val="fr-FR"/>
        </w:rPr>
        <w:t>ntellectuelle</w:t>
      </w:r>
    </w:p>
    <w:p w:rsidR="007C74A8" w:rsidRPr="00AB08EC" w:rsidRDefault="00181D9D" w:rsidP="00AD230F">
      <w:pPr>
        <w:rPr>
          <w:lang w:val="fr-FR"/>
        </w:rPr>
      </w:pPr>
      <w:r w:rsidRPr="00AB08EC">
        <w:rPr>
          <w:lang w:val="fr-FR"/>
        </w:rPr>
        <w:t>OC</w:t>
      </w:r>
      <w:r w:rsidR="00BE704C" w:rsidRPr="00AB08EC">
        <w:rPr>
          <w:lang w:val="fr-FR"/>
        </w:rPr>
        <w:t>I</w:t>
      </w:r>
      <w:r w:rsidRPr="00AB08EC">
        <w:rPr>
          <w:lang w:val="fr-FR"/>
        </w:rPr>
        <w:tab/>
      </w:r>
      <w:r w:rsidRPr="00AB08EC">
        <w:rPr>
          <w:lang w:val="fr-FR"/>
        </w:rPr>
        <w:tab/>
      </w:r>
      <w:r w:rsidRPr="00AB08EC">
        <w:rPr>
          <w:lang w:val="fr-FR"/>
        </w:rPr>
        <w:tab/>
        <w:t xml:space="preserve">Organisation </w:t>
      </w:r>
      <w:r w:rsidR="00BE704C" w:rsidRPr="00AB08EC">
        <w:rPr>
          <w:lang w:val="fr-FR"/>
        </w:rPr>
        <w:t>de la coopération islamique</w:t>
      </w:r>
    </w:p>
    <w:p w:rsidR="007C74A8" w:rsidRPr="00AB08EC" w:rsidRDefault="00BE704C" w:rsidP="00AD230F">
      <w:pPr>
        <w:rPr>
          <w:lang w:val="fr-FR"/>
        </w:rPr>
      </w:pPr>
      <w:r w:rsidRPr="00AB08EC">
        <w:rPr>
          <w:lang w:val="fr-FR"/>
        </w:rPr>
        <w:t>OMPI</w:t>
      </w:r>
      <w:r w:rsidRPr="00AB08EC">
        <w:rPr>
          <w:lang w:val="fr-FR"/>
        </w:rPr>
        <w:tab/>
      </w:r>
      <w:r w:rsidRPr="00AB08EC">
        <w:rPr>
          <w:lang w:val="fr-FR"/>
        </w:rPr>
        <w:tab/>
      </w:r>
      <w:r w:rsidRPr="00AB08EC">
        <w:rPr>
          <w:lang w:val="fr-FR"/>
        </w:rPr>
        <w:tab/>
        <w:t>Organisation Mondiale de la Propriété Intellectuelle</w:t>
      </w:r>
    </w:p>
    <w:p w:rsidR="007C74A8" w:rsidRPr="00AB08EC" w:rsidRDefault="00BE704C" w:rsidP="00AD230F">
      <w:pPr>
        <w:rPr>
          <w:szCs w:val="22"/>
          <w:lang w:val="fr-FR"/>
        </w:rPr>
      </w:pPr>
      <w:r w:rsidRPr="00AB08EC">
        <w:rPr>
          <w:lang w:val="fr-FR"/>
        </w:rPr>
        <w:t>PMA</w:t>
      </w:r>
      <w:r w:rsidRPr="00AB08EC">
        <w:rPr>
          <w:szCs w:val="22"/>
          <w:lang w:val="fr-FR"/>
        </w:rPr>
        <w:tab/>
      </w:r>
      <w:r w:rsidRPr="00AB08EC">
        <w:rPr>
          <w:szCs w:val="22"/>
          <w:lang w:val="fr-FR"/>
        </w:rPr>
        <w:tab/>
      </w:r>
      <w:r w:rsidRPr="00AB08EC">
        <w:rPr>
          <w:szCs w:val="22"/>
          <w:lang w:val="fr-FR"/>
        </w:rPr>
        <w:tab/>
        <w:t>Pays les moins avancés</w:t>
      </w:r>
    </w:p>
    <w:p w:rsidR="00641467" w:rsidRPr="00AB08EC" w:rsidRDefault="0051119D" w:rsidP="00AD230F">
      <w:pPr>
        <w:rPr>
          <w:szCs w:val="22"/>
          <w:lang w:val="fr-FR"/>
        </w:rPr>
      </w:pPr>
      <w:r w:rsidRPr="00AB08EC">
        <w:rPr>
          <w:szCs w:val="22"/>
          <w:lang w:val="fr-FR"/>
        </w:rPr>
        <w:t>R4L</w:t>
      </w:r>
      <w:r w:rsidRPr="00AB08EC">
        <w:rPr>
          <w:szCs w:val="22"/>
          <w:lang w:val="fr-FR"/>
        </w:rPr>
        <w:tab/>
      </w:r>
      <w:r w:rsidRPr="00AB08EC">
        <w:rPr>
          <w:szCs w:val="22"/>
          <w:lang w:val="fr-FR"/>
        </w:rPr>
        <w:tab/>
      </w:r>
      <w:r w:rsidRPr="00AB08EC">
        <w:rPr>
          <w:szCs w:val="22"/>
          <w:lang w:val="fr-FR"/>
        </w:rPr>
        <w:tab/>
        <w:t>Research4Life</w:t>
      </w:r>
      <w:r w:rsidR="00422938" w:rsidRPr="00AB08EC">
        <w:rPr>
          <w:szCs w:val="22"/>
          <w:lang w:val="fr-FR"/>
        </w:rPr>
        <w:br/>
        <w:t>SLA</w:t>
      </w:r>
      <w:r w:rsidR="00422938" w:rsidRPr="00AB08EC">
        <w:rPr>
          <w:szCs w:val="22"/>
          <w:lang w:val="fr-FR"/>
        </w:rPr>
        <w:tab/>
      </w:r>
      <w:r w:rsidR="00422938" w:rsidRPr="00AB08EC">
        <w:rPr>
          <w:szCs w:val="22"/>
          <w:lang w:val="fr-FR"/>
        </w:rPr>
        <w:tab/>
      </w:r>
      <w:r w:rsidR="00422938" w:rsidRPr="00AB08EC">
        <w:rPr>
          <w:szCs w:val="22"/>
          <w:lang w:val="fr-FR"/>
        </w:rPr>
        <w:tab/>
      </w:r>
      <w:r w:rsidR="00BE704C" w:rsidRPr="00AB08EC">
        <w:rPr>
          <w:szCs w:val="22"/>
          <w:lang w:val="fr-FR"/>
        </w:rPr>
        <w:t>Accord sur le niveau de services</w:t>
      </w:r>
    </w:p>
    <w:p w:rsidR="007C74A8" w:rsidRPr="00AB08EC" w:rsidRDefault="00FB6E4B" w:rsidP="00AD230F">
      <w:pPr>
        <w:pStyle w:val="Heading1"/>
        <w:rPr>
          <w:lang w:val="fr-FR"/>
        </w:rPr>
      </w:pPr>
      <w:r w:rsidRPr="00AB08EC">
        <w:rPr>
          <w:lang w:val="fr-FR"/>
        </w:rPr>
        <w:br w:type="page"/>
      </w:r>
      <w:bookmarkStart w:id="7" w:name="_Toc320700949"/>
      <w:bookmarkStart w:id="8" w:name="_Toc336031966"/>
      <w:bookmarkStart w:id="9" w:name="_Toc336032066"/>
      <w:r w:rsidR="00BE704C" w:rsidRPr="00AB08EC">
        <w:rPr>
          <w:sz w:val="20"/>
          <w:lang w:val="fr-FR"/>
        </w:rPr>
        <w:lastRenderedPageBreak/>
        <w:t>RÉSUMÉ</w:t>
      </w:r>
    </w:p>
    <w:p w:rsidR="007C74A8" w:rsidRPr="00AB08EC" w:rsidRDefault="007C74A8" w:rsidP="00AD230F">
      <w:pPr>
        <w:rPr>
          <w:lang w:val="fr-FR"/>
        </w:rPr>
      </w:pPr>
    </w:p>
    <w:p w:rsidR="00641467" w:rsidRPr="00AB08EC" w:rsidRDefault="00923EB4" w:rsidP="00AD230F">
      <w:pPr>
        <w:pStyle w:val="ONUMFS"/>
        <w:numPr>
          <w:ilvl w:val="0"/>
          <w:numId w:val="19"/>
        </w:numPr>
        <w:rPr>
          <w:lang w:val="fr-FR"/>
        </w:rPr>
      </w:pPr>
      <w:r w:rsidRPr="00AB08EC">
        <w:rPr>
          <w:lang w:val="fr-FR"/>
        </w:rPr>
        <w:t>Le présent rapport est une évaluation indépendante du projet du Plan d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action pour le développement (DA_08_02) relatif à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accès à des bases de données</w:t>
      </w:r>
      <w:r w:rsidR="00420B42" w:rsidRPr="00AB08EC">
        <w:rPr>
          <w:lang w:val="fr-FR"/>
        </w:rPr>
        <w:t xml:space="preserve"> spécialisées</w:t>
      </w:r>
      <w:r w:rsidRPr="00AB08EC">
        <w:rPr>
          <w:lang w:val="fr-FR"/>
        </w:rPr>
        <w:t xml:space="preserve"> et à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appui</w:t>
      </w:r>
      <w:r w:rsidR="00641467" w:rsidRPr="00AB08EC">
        <w:rPr>
          <w:lang w:val="fr-FR"/>
        </w:rPr>
        <w:t xml:space="preserve"> – </w:t>
      </w:r>
      <w:r w:rsidRPr="00AB08EC">
        <w:rPr>
          <w:lang w:val="fr-FR"/>
        </w:rPr>
        <w:t>phase II.  Après la phase</w:t>
      </w:r>
      <w:r w:rsidR="00AB08EC" w:rsidRPr="00AB08EC">
        <w:rPr>
          <w:lang w:val="fr-FR"/>
        </w:rPr>
        <w:t> </w:t>
      </w:r>
      <w:r w:rsidRPr="00AB08EC">
        <w:rPr>
          <w:lang w:val="fr-FR"/>
        </w:rPr>
        <w:t>I (2009</w:t>
      </w:r>
      <w:r w:rsidR="0039724E" w:rsidRPr="00AB08EC">
        <w:rPr>
          <w:lang w:val="fr-FR"/>
        </w:rPr>
        <w:noBreakHyphen/>
      </w:r>
      <w:r w:rsidRPr="00AB08EC">
        <w:rPr>
          <w:lang w:val="fr-FR"/>
        </w:rPr>
        <w:t xml:space="preserve">2012), la phase II a </w:t>
      </w:r>
      <w:r w:rsidR="00420B42" w:rsidRPr="00AB08EC">
        <w:rPr>
          <w:lang w:val="fr-FR"/>
        </w:rPr>
        <w:t>commencé</w:t>
      </w:r>
      <w:r w:rsidRPr="00AB08EC">
        <w:rPr>
          <w:lang w:val="fr-FR"/>
        </w:rPr>
        <w:t xml:space="preserve"> en mai 2012 et </w:t>
      </w:r>
      <w:r w:rsidR="00420B42" w:rsidRPr="00AB08EC">
        <w:rPr>
          <w:lang w:val="fr-FR"/>
        </w:rPr>
        <w:t>s’est terminée</w:t>
      </w:r>
      <w:r w:rsidRPr="00AB08EC">
        <w:rPr>
          <w:lang w:val="fr-FR"/>
        </w:rPr>
        <w:t xml:space="preserve"> en décembre 2013.</w:t>
      </w:r>
    </w:p>
    <w:p w:rsidR="007C74A8" w:rsidRPr="00AB08EC" w:rsidRDefault="00923EB4" w:rsidP="00AD230F">
      <w:pPr>
        <w:pStyle w:val="ONUMFS"/>
        <w:rPr>
          <w:lang w:val="fr-FR"/>
        </w:rPr>
      </w:pPr>
      <w:r w:rsidRPr="00AB08EC">
        <w:rPr>
          <w:lang w:val="fr-FR"/>
        </w:rPr>
        <w:t>Les phases I et II visaient à stimuler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innovation et la croissance économique en facilitant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accès aux informations techniques dans les pays les moins avancés et les pays en développement par la création et le développement de centres d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appui à la technologie et à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innovation.</w:t>
      </w:r>
      <w:r w:rsidR="00576B83" w:rsidRPr="00AB08EC">
        <w:rPr>
          <w:lang w:val="fr-FR"/>
        </w:rPr>
        <w:t xml:space="preserve"> </w:t>
      </w:r>
      <w:r w:rsidR="003F22D7" w:rsidRPr="00AB08EC">
        <w:rPr>
          <w:lang w:val="fr-FR"/>
        </w:rPr>
        <w:t xml:space="preserve"> La phase</w:t>
      </w:r>
      <w:r w:rsidR="00AB08EC" w:rsidRPr="00AB08EC">
        <w:rPr>
          <w:lang w:val="fr-FR"/>
        </w:rPr>
        <w:t> </w:t>
      </w:r>
      <w:r w:rsidR="003F22D7" w:rsidRPr="00AB08EC">
        <w:rPr>
          <w:lang w:val="fr-FR"/>
        </w:rPr>
        <w:t xml:space="preserve">II visait notamment à tirer parti des progrès constatés durant la phase I </w:t>
      </w:r>
      <w:r w:rsidR="00420B42" w:rsidRPr="00AB08EC">
        <w:rPr>
          <w:lang w:val="fr-FR"/>
        </w:rPr>
        <w:t xml:space="preserve">pour </w:t>
      </w:r>
      <w:r w:rsidR="003F22D7" w:rsidRPr="00AB08EC">
        <w:rPr>
          <w:lang w:val="fr-FR"/>
        </w:rPr>
        <w:t xml:space="preserve">assurer la </w:t>
      </w:r>
      <w:r w:rsidR="00420B42" w:rsidRPr="00AB08EC">
        <w:rPr>
          <w:lang w:val="fr-FR"/>
        </w:rPr>
        <w:t>viabilité</w:t>
      </w:r>
      <w:r w:rsidR="003F22D7" w:rsidRPr="00AB08EC">
        <w:rPr>
          <w:lang w:val="fr-FR"/>
        </w:rPr>
        <w:t xml:space="preserve"> à long terme des centres d</w:t>
      </w:r>
      <w:r w:rsidR="00641467" w:rsidRPr="00AB08EC">
        <w:rPr>
          <w:lang w:val="fr-FR"/>
        </w:rPr>
        <w:t>’</w:t>
      </w:r>
      <w:r w:rsidR="003F22D7" w:rsidRPr="00AB08EC">
        <w:rPr>
          <w:lang w:val="fr-FR"/>
        </w:rPr>
        <w:t xml:space="preserve">appui et </w:t>
      </w:r>
      <w:r w:rsidR="00420B42" w:rsidRPr="00AB08EC">
        <w:rPr>
          <w:lang w:val="fr-FR"/>
        </w:rPr>
        <w:t xml:space="preserve">veiller à ce qu’ils puissent </w:t>
      </w:r>
      <w:r w:rsidR="003F22D7" w:rsidRPr="00AB08EC">
        <w:rPr>
          <w:lang w:val="fr-FR"/>
        </w:rPr>
        <w:t>fournir des services d</w:t>
      </w:r>
      <w:r w:rsidR="00641467" w:rsidRPr="00AB08EC">
        <w:rPr>
          <w:lang w:val="fr-FR"/>
        </w:rPr>
        <w:t>’</w:t>
      </w:r>
      <w:r w:rsidR="003F22D7" w:rsidRPr="00AB08EC">
        <w:rPr>
          <w:lang w:val="fr-FR"/>
        </w:rPr>
        <w:t>appui à la technologie et à l</w:t>
      </w:r>
      <w:r w:rsidR="00641467" w:rsidRPr="00AB08EC">
        <w:rPr>
          <w:lang w:val="fr-FR"/>
        </w:rPr>
        <w:t>’</w:t>
      </w:r>
      <w:r w:rsidR="003F22D7" w:rsidRPr="00AB08EC">
        <w:rPr>
          <w:lang w:val="fr-FR"/>
        </w:rPr>
        <w:t xml:space="preserve">innovation </w:t>
      </w:r>
      <w:r w:rsidR="00420B42" w:rsidRPr="00AB08EC">
        <w:rPr>
          <w:lang w:val="fr-FR"/>
        </w:rPr>
        <w:t>à la fois</w:t>
      </w:r>
      <w:r w:rsidR="003F22D7" w:rsidRPr="00AB08EC">
        <w:rPr>
          <w:lang w:val="fr-FR"/>
        </w:rPr>
        <w:t xml:space="preserve"> utiles et de qualité.</w:t>
      </w:r>
    </w:p>
    <w:p w:rsidR="007C74A8" w:rsidRPr="00AB08EC" w:rsidRDefault="003F22D7" w:rsidP="00AD230F">
      <w:pPr>
        <w:pStyle w:val="ONUMFS"/>
        <w:rPr>
          <w:lang w:val="fr-FR" w:eastAsia="en-US"/>
        </w:rPr>
      </w:pPr>
      <w:r w:rsidRPr="00AB08EC">
        <w:rPr>
          <w:lang w:val="fr-FR" w:eastAsia="en-US"/>
        </w:rPr>
        <w:t xml:space="preserve">La phase II </w:t>
      </w:r>
      <w:r w:rsidR="0074067C" w:rsidRPr="00AB08EC">
        <w:rPr>
          <w:lang w:val="fr-FR" w:eastAsia="en-US"/>
        </w:rPr>
        <w:t>én</w:t>
      </w:r>
      <w:r w:rsidR="00420B42" w:rsidRPr="00AB08EC">
        <w:rPr>
          <w:lang w:val="fr-FR" w:eastAsia="en-US"/>
        </w:rPr>
        <w:t>o</w:t>
      </w:r>
      <w:r w:rsidR="0074067C" w:rsidRPr="00AB08EC">
        <w:rPr>
          <w:lang w:val="fr-FR" w:eastAsia="en-US"/>
        </w:rPr>
        <w:t>nç</w:t>
      </w:r>
      <w:r w:rsidR="00420B42" w:rsidRPr="00AB08EC">
        <w:rPr>
          <w:lang w:val="fr-FR" w:eastAsia="en-US"/>
        </w:rPr>
        <w:t>ait</w:t>
      </w:r>
      <w:r w:rsidRPr="00AB08EC">
        <w:rPr>
          <w:lang w:val="fr-FR" w:eastAsia="en-US"/>
        </w:rPr>
        <w:t xml:space="preserve"> les objectifs ci</w:t>
      </w:r>
      <w:r w:rsidR="0039724E" w:rsidRPr="00AB08EC">
        <w:rPr>
          <w:lang w:val="fr-FR" w:eastAsia="en-US"/>
        </w:rPr>
        <w:noBreakHyphen/>
      </w:r>
      <w:r w:rsidRPr="00AB08EC">
        <w:rPr>
          <w:lang w:val="fr-FR" w:eastAsia="en-US"/>
        </w:rPr>
        <w:t xml:space="preserve">après </w:t>
      </w:r>
      <w:r w:rsidR="00420B42" w:rsidRPr="00AB08EC">
        <w:rPr>
          <w:lang w:val="fr-FR" w:eastAsia="en-US"/>
        </w:rPr>
        <w:t>en rapport avec les</w:t>
      </w:r>
      <w:r w:rsidRPr="00AB08EC">
        <w:rPr>
          <w:lang w:val="fr-FR" w:eastAsia="en-US"/>
        </w:rPr>
        <w:t xml:space="preserve"> trois</w:t>
      </w:r>
      <w:r w:rsidR="00120B0A" w:rsidRPr="00AB08EC">
        <w:rPr>
          <w:lang w:val="fr-FR" w:eastAsia="en-US"/>
        </w:rPr>
        <w:t> </w:t>
      </w:r>
      <w:r w:rsidR="00420B42" w:rsidRPr="00AB08EC">
        <w:rPr>
          <w:lang w:val="fr-FR" w:eastAsia="en-US"/>
        </w:rPr>
        <w:t>composantes principales</w:t>
      </w:r>
      <w:r w:rsidRPr="00AB08EC">
        <w:rPr>
          <w:lang w:val="fr-FR" w:eastAsia="en-US"/>
        </w:rPr>
        <w:t xml:space="preserve"> du projet</w:t>
      </w:r>
      <w:r w:rsidR="00120B0A" w:rsidRPr="00AB08EC">
        <w:rPr>
          <w:lang w:val="fr-FR" w:eastAsia="en-US"/>
        </w:rPr>
        <w:t> </w:t>
      </w:r>
      <w:r w:rsidRPr="00AB08EC">
        <w:rPr>
          <w:lang w:val="fr-FR" w:eastAsia="en-US"/>
        </w:rPr>
        <w:t>: assurer la pérennité du programme de formation mis en place pour l</w:t>
      </w:r>
      <w:r w:rsidR="00420B42" w:rsidRPr="00AB08EC">
        <w:rPr>
          <w:lang w:val="fr-FR" w:eastAsia="en-US"/>
        </w:rPr>
        <w:t>e</w:t>
      </w:r>
      <w:r w:rsidRPr="00AB08EC">
        <w:rPr>
          <w:lang w:val="fr-FR" w:eastAsia="en-US"/>
        </w:rPr>
        <w:t xml:space="preserve"> </w:t>
      </w:r>
      <w:r w:rsidR="00420B42" w:rsidRPr="00AB08EC">
        <w:rPr>
          <w:lang w:val="fr-FR" w:eastAsia="en-US"/>
        </w:rPr>
        <w:t>développement</w:t>
      </w:r>
      <w:r w:rsidRPr="00AB08EC">
        <w:rPr>
          <w:lang w:val="fr-FR" w:eastAsia="en-US"/>
        </w:rPr>
        <w:t xml:space="preserve"> des centres d</w:t>
      </w:r>
      <w:r w:rsidR="00641467" w:rsidRPr="00AB08EC">
        <w:rPr>
          <w:lang w:val="fr-FR" w:eastAsia="en-US"/>
        </w:rPr>
        <w:t>’</w:t>
      </w:r>
      <w:r w:rsidRPr="00AB08EC">
        <w:rPr>
          <w:lang w:val="fr-FR" w:eastAsia="en-US"/>
        </w:rPr>
        <w:t>appui;  améliorer l</w:t>
      </w:r>
      <w:r w:rsidR="00641467" w:rsidRPr="00AB08EC">
        <w:rPr>
          <w:lang w:val="fr-FR" w:eastAsia="en-US"/>
        </w:rPr>
        <w:t>’</w:t>
      </w:r>
      <w:r w:rsidRPr="00AB08EC">
        <w:rPr>
          <w:lang w:val="fr-FR" w:eastAsia="en-US"/>
        </w:rPr>
        <w:t xml:space="preserve">utilisation </w:t>
      </w:r>
      <w:r w:rsidR="00420B42" w:rsidRPr="00AB08EC">
        <w:rPr>
          <w:lang w:val="fr-FR" w:eastAsia="en-US"/>
        </w:rPr>
        <w:t>des</w:t>
      </w:r>
      <w:r w:rsidRPr="00AB08EC">
        <w:rPr>
          <w:lang w:val="fr-FR" w:eastAsia="en-US"/>
        </w:rPr>
        <w:t xml:space="preserve"> bases de données spécialisées sur les brevets et la littérature non</w:t>
      </w:r>
      <w:r w:rsidR="0039724E" w:rsidRPr="00AB08EC">
        <w:rPr>
          <w:lang w:val="fr-FR" w:eastAsia="en-US"/>
        </w:rPr>
        <w:noBreakHyphen/>
      </w:r>
      <w:r w:rsidRPr="00AB08EC">
        <w:rPr>
          <w:lang w:val="fr-FR" w:eastAsia="en-US"/>
        </w:rPr>
        <w:t xml:space="preserve">brevet </w:t>
      </w:r>
      <w:r w:rsidR="00420B42" w:rsidRPr="00AB08EC">
        <w:rPr>
          <w:lang w:val="fr-FR" w:eastAsia="en-US"/>
        </w:rPr>
        <w:t xml:space="preserve">et en faciliter l’accès </w:t>
      </w:r>
      <w:r w:rsidRPr="00AB08EC">
        <w:rPr>
          <w:lang w:val="fr-FR" w:eastAsia="en-US"/>
        </w:rPr>
        <w:t>par l</w:t>
      </w:r>
      <w:r w:rsidR="00641467" w:rsidRPr="00AB08EC">
        <w:rPr>
          <w:lang w:val="fr-FR" w:eastAsia="en-US"/>
        </w:rPr>
        <w:t>’</w:t>
      </w:r>
      <w:r w:rsidRPr="00AB08EC">
        <w:rPr>
          <w:lang w:val="fr-FR" w:eastAsia="en-US"/>
        </w:rPr>
        <w:t>entremise des programmes ASPI (Accès à l</w:t>
      </w:r>
      <w:r w:rsidR="00641467" w:rsidRPr="00AB08EC">
        <w:rPr>
          <w:lang w:val="fr-FR" w:eastAsia="en-US"/>
        </w:rPr>
        <w:t>’</w:t>
      </w:r>
      <w:r w:rsidRPr="00AB08EC">
        <w:rPr>
          <w:lang w:val="fr-FR" w:eastAsia="en-US"/>
        </w:rPr>
        <w:t>information spécialisée</w:t>
      </w:r>
      <w:r w:rsidR="0074067C" w:rsidRPr="00AB08EC">
        <w:rPr>
          <w:lang w:val="fr-FR" w:eastAsia="en-US"/>
        </w:rPr>
        <w:t xml:space="preserve"> en matière de brevets) et </w:t>
      </w:r>
      <w:proofErr w:type="spellStart"/>
      <w:r w:rsidR="0074067C" w:rsidRPr="00AB08EC">
        <w:rPr>
          <w:lang w:val="fr-FR" w:eastAsia="en-US"/>
        </w:rPr>
        <w:t>a</w:t>
      </w:r>
      <w:r w:rsidR="00420B42" w:rsidRPr="00AB08EC">
        <w:rPr>
          <w:lang w:val="fr-FR" w:eastAsia="en-US"/>
        </w:rPr>
        <w:t>RD</w:t>
      </w:r>
      <w:r w:rsidR="00AB08EC">
        <w:rPr>
          <w:lang w:val="fr-FR" w:eastAsia="en-US"/>
        </w:rPr>
        <w:t>i</w:t>
      </w:r>
      <w:proofErr w:type="spellEnd"/>
      <w:r w:rsidR="00420B42" w:rsidRPr="00AB08EC">
        <w:rPr>
          <w:lang w:val="fr-FR" w:eastAsia="en-US"/>
        </w:rPr>
        <w:t>;</w:t>
      </w:r>
      <w:r w:rsidRPr="00AB08EC">
        <w:rPr>
          <w:lang w:val="fr-FR" w:eastAsia="en-US"/>
        </w:rPr>
        <w:t xml:space="preserve">  et </w:t>
      </w:r>
      <w:r w:rsidR="00420B42" w:rsidRPr="00AB08EC">
        <w:rPr>
          <w:lang w:val="fr-FR" w:eastAsia="en-US"/>
        </w:rPr>
        <w:t>créer</w:t>
      </w:r>
      <w:r w:rsidRPr="00AB08EC">
        <w:rPr>
          <w:lang w:val="fr-FR" w:eastAsia="en-US"/>
        </w:rPr>
        <w:t xml:space="preserve"> une nouvelle plate</w:t>
      </w:r>
      <w:r w:rsidR="0039724E" w:rsidRPr="00AB08EC">
        <w:rPr>
          <w:lang w:val="fr-FR" w:eastAsia="en-US"/>
        </w:rPr>
        <w:noBreakHyphen/>
      </w:r>
      <w:r w:rsidRPr="00AB08EC">
        <w:rPr>
          <w:lang w:val="fr-FR" w:eastAsia="en-US"/>
        </w:rPr>
        <w:t xml:space="preserve">forme de gestion des </w:t>
      </w:r>
      <w:r w:rsidR="00420B42" w:rsidRPr="00AB08EC">
        <w:rPr>
          <w:lang w:val="fr-FR" w:eastAsia="en-US"/>
        </w:rPr>
        <w:t>savoirs</w:t>
      </w:r>
      <w:r w:rsidRPr="00AB08EC">
        <w:rPr>
          <w:lang w:val="fr-FR" w:eastAsia="en-US"/>
        </w:rPr>
        <w:t xml:space="preserve"> pour faciliter les échanges entre les centres d</w:t>
      </w:r>
      <w:r w:rsidR="00641467" w:rsidRPr="00AB08EC">
        <w:rPr>
          <w:lang w:val="fr-FR" w:eastAsia="en-US"/>
        </w:rPr>
        <w:t>’</w:t>
      </w:r>
      <w:r w:rsidRPr="00AB08EC">
        <w:rPr>
          <w:lang w:val="fr-FR" w:eastAsia="en-US"/>
        </w:rPr>
        <w:t>appui à l</w:t>
      </w:r>
      <w:r w:rsidR="00641467" w:rsidRPr="00AB08EC">
        <w:rPr>
          <w:lang w:val="fr-FR" w:eastAsia="en-US"/>
        </w:rPr>
        <w:t>’</w:t>
      </w:r>
      <w:r w:rsidRPr="00AB08EC">
        <w:rPr>
          <w:lang w:val="fr-FR" w:eastAsia="en-US"/>
        </w:rPr>
        <w:t>échelle nationale, régionale et internationale.</w:t>
      </w:r>
      <w:r w:rsidR="00576B83" w:rsidRPr="00AB08EC">
        <w:rPr>
          <w:lang w:val="fr-FR"/>
        </w:rPr>
        <w:t xml:space="preserve"> </w:t>
      </w:r>
      <w:r w:rsidR="007C7769" w:rsidRPr="00AB08EC">
        <w:rPr>
          <w:lang w:val="fr-FR"/>
        </w:rPr>
        <w:t xml:space="preserve"> </w:t>
      </w:r>
      <w:r w:rsidRPr="00AB08EC">
        <w:rPr>
          <w:lang w:val="fr-FR" w:eastAsia="en-US"/>
        </w:rPr>
        <w:t>Au terme de la phase II, le projet a été intégré dans les activités de la Section de l</w:t>
      </w:r>
      <w:r w:rsidR="00641467" w:rsidRPr="00AB08EC">
        <w:rPr>
          <w:lang w:val="fr-FR" w:eastAsia="en-US"/>
        </w:rPr>
        <w:t>’</w:t>
      </w:r>
      <w:r w:rsidRPr="00AB08EC">
        <w:rPr>
          <w:lang w:val="fr-FR" w:eastAsia="en-US"/>
        </w:rPr>
        <w:t>appui à l</w:t>
      </w:r>
      <w:r w:rsidR="00641467" w:rsidRPr="00AB08EC">
        <w:rPr>
          <w:lang w:val="fr-FR" w:eastAsia="en-US"/>
        </w:rPr>
        <w:t>’</w:t>
      </w:r>
      <w:r w:rsidRPr="00AB08EC">
        <w:rPr>
          <w:lang w:val="fr-FR" w:eastAsia="en-US"/>
        </w:rPr>
        <w:t>innovation et à la technologie du Secrétariat de l</w:t>
      </w:r>
      <w:r w:rsidR="00641467" w:rsidRPr="00AB08EC">
        <w:rPr>
          <w:lang w:val="fr-FR" w:eastAsia="en-US"/>
        </w:rPr>
        <w:t>’</w:t>
      </w:r>
      <w:r w:rsidRPr="00AB08EC">
        <w:rPr>
          <w:lang w:val="fr-FR" w:eastAsia="en-US"/>
        </w:rPr>
        <w:t>OMPI.</w:t>
      </w:r>
    </w:p>
    <w:p w:rsidR="00641467" w:rsidRPr="00AB08EC" w:rsidRDefault="003F22D7" w:rsidP="00AD230F">
      <w:pPr>
        <w:pStyle w:val="ONUMFS"/>
        <w:rPr>
          <w:lang w:val="fr-FR"/>
        </w:rPr>
      </w:pPr>
      <w:r w:rsidRPr="00AB08EC">
        <w:rPr>
          <w:lang w:val="fr-FR"/>
        </w:rPr>
        <w:t>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objet de cette évaluation était de tirer les enseignements de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expérience acquise pendant la mise en œuvre du projet.  Pour ce faire, il a fallu évaluer la conception et la gestion du projet, en particulier en ce qui concerne les instruments de suivi et d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établissement de rapports;  mesurer et rendre compte des résultats obtenus à ce jour;  et estimer le degré de viabilité du projet.</w:t>
      </w:r>
      <w:r w:rsidR="00576B83" w:rsidRPr="00AB08EC">
        <w:rPr>
          <w:lang w:val="fr-FR"/>
        </w:rPr>
        <w:t xml:space="preserve">  </w:t>
      </w:r>
      <w:r w:rsidRPr="00AB08EC">
        <w:rPr>
          <w:lang w:val="fr-FR"/>
        </w:rPr>
        <w:t>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 xml:space="preserve">évaluation a été réalisée </w:t>
      </w:r>
      <w:r w:rsidR="00420B42" w:rsidRPr="00AB08EC">
        <w:rPr>
          <w:lang w:val="fr-FR"/>
        </w:rPr>
        <w:t>sur la base de</w:t>
      </w:r>
      <w:r w:rsidRPr="00AB08EC">
        <w:rPr>
          <w:lang w:val="fr-FR"/>
        </w:rPr>
        <w:t xml:space="preserve"> plusieurs méthodes, dont une analyse de documents</w:t>
      </w:r>
      <w:r w:rsidR="00420B42" w:rsidRPr="00AB08EC">
        <w:rPr>
          <w:lang w:val="fr-FR"/>
        </w:rPr>
        <w:t>,</w:t>
      </w:r>
      <w:r w:rsidRPr="00AB08EC">
        <w:rPr>
          <w:lang w:val="fr-FR"/>
        </w:rPr>
        <w:t xml:space="preserve"> des entretiens avec 14 fonctionnaires du Secrétariat de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OMPI</w:t>
      </w:r>
      <w:r w:rsidR="00420B42" w:rsidRPr="00AB08EC">
        <w:rPr>
          <w:lang w:val="fr-FR"/>
        </w:rPr>
        <w:t xml:space="preserve"> et</w:t>
      </w:r>
      <w:r w:rsidRPr="00AB08EC">
        <w:rPr>
          <w:lang w:val="fr-FR"/>
        </w:rPr>
        <w:t xml:space="preserve"> des entretiens téléphoniques avec 12 coordonnateurs et le personnel correspondant des centres d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appui de 10 pays.</w:t>
      </w:r>
    </w:p>
    <w:p w:rsidR="00641467" w:rsidRPr="00AB08EC" w:rsidRDefault="003F22D7" w:rsidP="00AD230F">
      <w:pPr>
        <w:pStyle w:val="Heading2"/>
      </w:pPr>
      <w:bookmarkStart w:id="10" w:name="_Toc320700946"/>
      <w:proofErr w:type="spellStart"/>
      <w:r w:rsidRPr="00AB08EC">
        <w:t>Principales</w:t>
      </w:r>
      <w:proofErr w:type="spellEnd"/>
      <w:r w:rsidRPr="00AB08EC">
        <w:t xml:space="preserve"> </w:t>
      </w:r>
      <w:proofErr w:type="spellStart"/>
      <w:r w:rsidRPr="00AB08EC">
        <w:t>constatations</w:t>
      </w:r>
      <w:proofErr w:type="spellEnd"/>
    </w:p>
    <w:bookmarkEnd w:id="10"/>
    <w:p w:rsidR="00641467" w:rsidRPr="00AB08EC" w:rsidRDefault="003F22D7" w:rsidP="00AD230F">
      <w:pPr>
        <w:pStyle w:val="Heading3"/>
        <w:rPr>
          <w:b w:val="0"/>
          <w:i w:val="0"/>
          <w:lang w:val="fr-FR"/>
        </w:rPr>
      </w:pPr>
      <w:r w:rsidRPr="00AB08EC">
        <w:rPr>
          <w:lang w:val="fr-FR"/>
        </w:rPr>
        <w:t>Conception et gestion du projet</w:t>
      </w:r>
    </w:p>
    <w:p w:rsidR="007C74A8" w:rsidRPr="00AB08EC" w:rsidRDefault="007C74A8" w:rsidP="00AD230F">
      <w:pPr>
        <w:rPr>
          <w:lang w:val="fr-FR"/>
        </w:rPr>
      </w:pPr>
    </w:p>
    <w:p w:rsidR="00641467" w:rsidRPr="00AB08EC" w:rsidRDefault="00022C9A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 xml:space="preserve">Constatation n° 1 : </w:t>
      </w:r>
      <w:r w:rsidRPr="00AB08EC">
        <w:rPr>
          <w:lang w:val="fr-FR"/>
        </w:rPr>
        <w:t xml:space="preserve">Le descriptif du projet a été jugé </w:t>
      </w:r>
      <w:r w:rsidR="00420B42" w:rsidRPr="00AB08EC">
        <w:rPr>
          <w:lang w:val="fr-FR"/>
        </w:rPr>
        <w:t>suffisant</w:t>
      </w:r>
      <w:r w:rsidR="00BC6E46" w:rsidRPr="00AB08EC">
        <w:rPr>
          <w:lang w:val="fr-FR"/>
        </w:rPr>
        <w:t xml:space="preserve"> pour orienter</w:t>
      </w:r>
      <w:r w:rsidR="00183F08" w:rsidRPr="00AB08EC">
        <w:rPr>
          <w:lang w:val="fr-FR"/>
        </w:rPr>
        <w:t xml:space="preserve"> la </w:t>
      </w:r>
      <w:r w:rsidRPr="00AB08EC">
        <w:rPr>
          <w:lang w:val="fr-FR"/>
        </w:rPr>
        <w:t xml:space="preserve">mise en </w:t>
      </w:r>
      <w:r w:rsidR="00183F08" w:rsidRPr="00AB08EC">
        <w:rPr>
          <w:lang w:val="fr-FR"/>
        </w:rPr>
        <w:t>œuvre</w:t>
      </w:r>
      <w:r w:rsidRPr="00AB08EC">
        <w:rPr>
          <w:lang w:val="fr-FR"/>
        </w:rPr>
        <w:t xml:space="preserve"> du projet et </w:t>
      </w:r>
      <w:r w:rsidR="00420B42" w:rsidRPr="00AB08EC">
        <w:rPr>
          <w:lang w:val="fr-FR"/>
        </w:rPr>
        <w:t>é</w:t>
      </w:r>
      <w:r w:rsidR="00183F08" w:rsidRPr="00AB08EC">
        <w:rPr>
          <w:lang w:val="fr-FR"/>
        </w:rPr>
        <w:t>valu</w:t>
      </w:r>
      <w:r w:rsidR="00420B42" w:rsidRPr="00AB08EC">
        <w:rPr>
          <w:lang w:val="fr-FR"/>
        </w:rPr>
        <w:t>er l’état d’avancement</w:t>
      </w:r>
      <w:r w:rsidRPr="00AB08EC">
        <w:rPr>
          <w:lang w:val="fr-FR"/>
        </w:rPr>
        <w:t>.</w:t>
      </w:r>
      <w:r w:rsidR="007C7769" w:rsidRPr="00AB08EC">
        <w:rPr>
          <w:lang w:val="fr-FR"/>
        </w:rPr>
        <w:t xml:space="preserve"> </w:t>
      </w:r>
      <w:r w:rsidR="00576B83" w:rsidRPr="00AB08EC">
        <w:rPr>
          <w:lang w:val="fr-FR"/>
        </w:rPr>
        <w:t xml:space="preserve"> </w:t>
      </w:r>
      <w:r w:rsidRPr="00AB08EC">
        <w:rPr>
          <w:lang w:val="fr-FR"/>
        </w:rPr>
        <w:t>Compte tenu du champ d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 xml:space="preserve">application très vaste du projet, notamment en ce qui concerne le nombre de pays et de partenaires impliqués, des documents supplémentaires ont été établis </w:t>
      </w:r>
      <w:r w:rsidR="00420B42" w:rsidRPr="00AB08EC">
        <w:rPr>
          <w:lang w:val="fr-FR"/>
        </w:rPr>
        <w:t>pour</w:t>
      </w:r>
      <w:r w:rsidRPr="00AB08EC">
        <w:rPr>
          <w:lang w:val="fr-FR"/>
        </w:rPr>
        <w:t xml:space="preserve"> faciliter la mise en </w:t>
      </w:r>
      <w:r w:rsidR="00183F08" w:rsidRPr="00AB08EC">
        <w:rPr>
          <w:lang w:val="fr-FR"/>
        </w:rPr>
        <w:t>œuvre</w:t>
      </w:r>
      <w:r w:rsidRPr="00AB08EC">
        <w:rPr>
          <w:lang w:val="fr-FR"/>
        </w:rPr>
        <w:t xml:space="preserve"> du projet.</w:t>
      </w:r>
    </w:p>
    <w:p w:rsidR="00641467" w:rsidRPr="00AB08EC" w:rsidRDefault="00022C9A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>Constatation n° 2 </w:t>
      </w:r>
      <w:r w:rsidR="00576B83" w:rsidRPr="00AB08EC">
        <w:rPr>
          <w:b/>
          <w:lang w:val="fr-FR"/>
        </w:rPr>
        <w:t>:</w:t>
      </w:r>
      <w:r w:rsidR="00576B83" w:rsidRPr="00AB08EC">
        <w:rPr>
          <w:lang w:val="fr-FR"/>
        </w:rPr>
        <w:t xml:space="preserve"> </w:t>
      </w:r>
      <w:r w:rsidR="000936FB" w:rsidRPr="00AB08EC">
        <w:rPr>
          <w:lang w:val="fr-FR"/>
        </w:rPr>
        <w:t>L</w:t>
      </w:r>
      <w:r w:rsidR="00641467" w:rsidRPr="00AB08EC">
        <w:rPr>
          <w:lang w:val="fr-FR"/>
        </w:rPr>
        <w:t>’</w:t>
      </w:r>
      <w:r w:rsidR="000936FB" w:rsidRPr="00AB08EC">
        <w:rPr>
          <w:lang w:val="fr-FR"/>
        </w:rPr>
        <w:t>évaluation réalisée au terme de la phase</w:t>
      </w:r>
      <w:r w:rsidR="00355011" w:rsidRPr="00AB08EC">
        <w:rPr>
          <w:lang w:val="fr-FR"/>
        </w:rPr>
        <w:t> </w:t>
      </w:r>
      <w:r w:rsidR="000936FB" w:rsidRPr="00AB08EC">
        <w:rPr>
          <w:lang w:val="fr-FR"/>
        </w:rPr>
        <w:t>I a abouti à quatre</w:t>
      </w:r>
      <w:r w:rsidR="00120B0A" w:rsidRPr="00AB08EC">
        <w:rPr>
          <w:lang w:val="fr-FR"/>
        </w:rPr>
        <w:t> </w:t>
      </w:r>
      <w:r w:rsidR="000936FB" w:rsidRPr="00AB08EC">
        <w:rPr>
          <w:lang w:val="fr-FR"/>
        </w:rPr>
        <w:t>recommandations.</w:t>
      </w:r>
      <w:r w:rsidR="00576B83" w:rsidRPr="00AB08EC">
        <w:rPr>
          <w:lang w:val="fr-FR"/>
        </w:rPr>
        <w:t xml:space="preserve"> </w:t>
      </w:r>
      <w:r w:rsidR="007C7769" w:rsidRPr="00AB08EC">
        <w:rPr>
          <w:lang w:val="fr-FR"/>
        </w:rPr>
        <w:t xml:space="preserve"> </w:t>
      </w:r>
      <w:r w:rsidR="000936FB" w:rsidRPr="00AB08EC">
        <w:rPr>
          <w:lang w:val="fr-FR"/>
        </w:rPr>
        <w:t xml:space="preserve">La recommandation tendant à approuver la phase II du projet a été acceptée et mise en </w:t>
      </w:r>
      <w:r w:rsidR="00641467" w:rsidRPr="00AB08EC">
        <w:rPr>
          <w:lang w:val="fr-FR"/>
        </w:rPr>
        <w:t>œuvre</w:t>
      </w:r>
      <w:r w:rsidR="000936FB" w:rsidRPr="00AB08EC">
        <w:rPr>
          <w:lang w:val="fr-FR"/>
        </w:rPr>
        <w:t>, de même que la recommandation tendant à améliorer les éléments relatifs au suivi et à l</w:t>
      </w:r>
      <w:r w:rsidR="00641467" w:rsidRPr="00AB08EC">
        <w:rPr>
          <w:lang w:val="fr-FR"/>
        </w:rPr>
        <w:t>’</w:t>
      </w:r>
      <w:r w:rsidR="000936FB" w:rsidRPr="00AB08EC">
        <w:rPr>
          <w:lang w:val="fr-FR"/>
        </w:rPr>
        <w:t>évaluation du projet.</w:t>
      </w:r>
      <w:r w:rsidR="00576B83" w:rsidRPr="00AB08EC">
        <w:rPr>
          <w:lang w:val="fr-FR"/>
        </w:rPr>
        <w:t xml:space="preserve"> </w:t>
      </w:r>
      <w:r w:rsidR="007C7769" w:rsidRPr="00AB08EC">
        <w:rPr>
          <w:lang w:val="fr-FR"/>
        </w:rPr>
        <w:t xml:space="preserve"> </w:t>
      </w:r>
      <w:r w:rsidR="00420B42" w:rsidRPr="00AB08EC">
        <w:rPr>
          <w:lang w:val="fr-FR"/>
        </w:rPr>
        <w:t xml:space="preserve">La </w:t>
      </w:r>
      <w:r w:rsidR="000936FB" w:rsidRPr="00AB08EC">
        <w:rPr>
          <w:lang w:val="fr-FR"/>
        </w:rPr>
        <w:t>recommandation sur l</w:t>
      </w:r>
      <w:r w:rsidR="00641467" w:rsidRPr="00AB08EC">
        <w:rPr>
          <w:lang w:val="fr-FR"/>
        </w:rPr>
        <w:t>’</w:t>
      </w:r>
      <w:r w:rsidR="000936FB" w:rsidRPr="00AB08EC">
        <w:rPr>
          <w:lang w:val="fr-FR"/>
        </w:rPr>
        <w:t>utilisation d</w:t>
      </w:r>
      <w:r w:rsidR="00641467" w:rsidRPr="00AB08EC">
        <w:rPr>
          <w:lang w:val="fr-FR"/>
        </w:rPr>
        <w:t>’</w:t>
      </w:r>
      <w:r w:rsidR="000936FB" w:rsidRPr="00AB08EC">
        <w:rPr>
          <w:lang w:val="fr-FR"/>
        </w:rPr>
        <w:t>instruments d</w:t>
      </w:r>
      <w:r w:rsidR="00641467" w:rsidRPr="00AB08EC">
        <w:rPr>
          <w:lang w:val="fr-FR"/>
        </w:rPr>
        <w:t>’</w:t>
      </w:r>
      <w:r w:rsidR="000936FB" w:rsidRPr="00AB08EC">
        <w:rPr>
          <w:lang w:val="fr-FR"/>
        </w:rPr>
        <w:t>analyse utilisés à l</w:t>
      </w:r>
      <w:r w:rsidR="00641467" w:rsidRPr="00AB08EC">
        <w:rPr>
          <w:lang w:val="fr-FR"/>
        </w:rPr>
        <w:t>’</w:t>
      </w:r>
      <w:r w:rsidR="000936FB" w:rsidRPr="00AB08EC">
        <w:rPr>
          <w:lang w:val="fr-FR"/>
        </w:rPr>
        <w:t>ONU a été examinée, mais n</w:t>
      </w:r>
      <w:r w:rsidR="00641467" w:rsidRPr="00AB08EC">
        <w:rPr>
          <w:lang w:val="fr-FR"/>
        </w:rPr>
        <w:t>’</w:t>
      </w:r>
      <w:r w:rsidR="000936FB" w:rsidRPr="00AB08EC">
        <w:rPr>
          <w:lang w:val="fr-FR"/>
        </w:rPr>
        <w:t xml:space="preserve">a pas été mise en </w:t>
      </w:r>
      <w:r w:rsidR="00641467" w:rsidRPr="00AB08EC">
        <w:rPr>
          <w:lang w:val="fr-FR"/>
        </w:rPr>
        <w:t>œuvre</w:t>
      </w:r>
      <w:r w:rsidR="000936FB" w:rsidRPr="00AB08EC">
        <w:rPr>
          <w:lang w:val="fr-FR"/>
        </w:rPr>
        <w:t xml:space="preserve"> compte tenu du caractère général de ces instruments.</w:t>
      </w:r>
      <w:r w:rsidR="00576B83" w:rsidRPr="00AB08EC">
        <w:rPr>
          <w:lang w:val="fr-FR"/>
        </w:rPr>
        <w:t xml:space="preserve"> </w:t>
      </w:r>
      <w:r w:rsidR="007C7769" w:rsidRPr="00AB08EC">
        <w:rPr>
          <w:lang w:val="fr-FR"/>
        </w:rPr>
        <w:t xml:space="preserve"> </w:t>
      </w:r>
      <w:r w:rsidR="00420B42" w:rsidRPr="00AB08EC">
        <w:rPr>
          <w:lang w:val="fr-FR"/>
        </w:rPr>
        <w:t>La dernière</w:t>
      </w:r>
      <w:r w:rsidR="00A904CB" w:rsidRPr="00AB08EC">
        <w:rPr>
          <w:lang w:val="fr-FR"/>
        </w:rPr>
        <w:t xml:space="preserve"> recommandation, encourageant le secteur concerné de l</w:t>
      </w:r>
      <w:r w:rsidR="00641467" w:rsidRPr="00AB08EC">
        <w:rPr>
          <w:lang w:val="fr-FR"/>
        </w:rPr>
        <w:t>’</w:t>
      </w:r>
      <w:r w:rsidR="00A904CB" w:rsidRPr="00AB08EC">
        <w:rPr>
          <w:lang w:val="fr-FR"/>
        </w:rPr>
        <w:t>OMPI à définir plus avant, avec d</w:t>
      </w:r>
      <w:r w:rsidR="00641467" w:rsidRPr="00AB08EC">
        <w:rPr>
          <w:lang w:val="fr-FR"/>
        </w:rPr>
        <w:t>’</w:t>
      </w:r>
      <w:r w:rsidR="00A904CB" w:rsidRPr="00AB08EC">
        <w:rPr>
          <w:lang w:val="fr-FR"/>
        </w:rPr>
        <w:t>autres secteurs, les rôles et les responsabilités de chacun, a été examinée, mais n</w:t>
      </w:r>
      <w:r w:rsidR="00641467" w:rsidRPr="00AB08EC">
        <w:rPr>
          <w:lang w:val="fr-FR"/>
        </w:rPr>
        <w:t>’</w:t>
      </w:r>
      <w:r w:rsidR="00A904CB" w:rsidRPr="00AB08EC">
        <w:rPr>
          <w:lang w:val="fr-FR"/>
        </w:rPr>
        <w:t xml:space="preserve">a pas été mise en </w:t>
      </w:r>
      <w:r w:rsidR="00641467" w:rsidRPr="00AB08EC">
        <w:rPr>
          <w:lang w:val="fr-FR"/>
        </w:rPr>
        <w:t>œuvre</w:t>
      </w:r>
      <w:r w:rsidR="00A904CB" w:rsidRPr="00AB08EC">
        <w:rPr>
          <w:lang w:val="fr-FR"/>
        </w:rPr>
        <w:t>, car il n</w:t>
      </w:r>
      <w:r w:rsidR="00641467" w:rsidRPr="00AB08EC">
        <w:rPr>
          <w:lang w:val="fr-FR"/>
        </w:rPr>
        <w:t>’</w:t>
      </w:r>
      <w:r w:rsidR="00A904CB" w:rsidRPr="00AB08EC">
        <w:rPr>
          <w:lang w:val="fr-FR"/>
        </w:rPr>
        <w:t>a pas été jugé nécessaire d</w:t>
      </w:r>
      <w:r w:rsidR="00641467" w:rsidRPr="00AB08EC">
        <w:rPr>
          <w:lang w:val="fr-FR"/>
        </w:rPr>
        <w:t>’</w:t>
      </w:r>
      <w:r w:rsidR="00A904CB" w:rsidRPr="00AB08EC">
        <w:rPr>
          <w:lang w:val="fr-FR"/>
        </w:rPr>
        <w:t>officialiser ainsi les questions de coordination.</w:t>
      </w:r>
    </w:p>
    <w:p w:rsidR="00641467" w:rsidRPr="00AB08EC" w:rsidRDefault="00A904CB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>Constatation n° 3 :</w:t>
      </w:r>
      <w:r w:rsidR="00420B42" w:rsidRPr="00AB08EC">
        <w:rPr>
          <w:lang w:val="fr-FR"/>
        </w:rPr>
        <w:t xml:space="preserve"> L</w:t>
      </w:r>
      <w:r w:rsidRPr="00AB08EC">
        <w:rPr>
          <w:lang w:val="fr-FR"/>
        </w:rPr>
        <w:t>es instruments de suivi du projet étaient appropriés pour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établissement de rapports destinés aux États membres, dans le cadre du CDIP, sur les progrès réalisés en général, notamment les rapports sur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état d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avancement du projet.</w:t>
      </w:r>
      <w:r w:rsidR="00576B83" w:rsidRPr="00AB08EC">
        <w:rPr>
          <w:lang w:val="fr-FR"/>
        </w:rPr>
        <w:t xml:space="preserve"> </w:t>
      </w:r>
      <w:r w:rsidRPr="00AB08EC">
        <w:rPr>
          <w:lang w:val="fr-FR"/>
        </w:rPr>
        <w:t xml:space="preserve"> Plusieurs observations ont été formulées en ce qui concerne les instruments de suivi et </w:t>
      </w:r>
      <w:r w:rsidRPr="00AB08EC">
        <w:rPr>
          <w:lang w:val="fr-FR"/>
        </w:rPr>
        <w:lastRenderedPageBreak/>
        <w:t>d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établissement de rapports, notamment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élaboration de plusieurs instruments de suivi, les difficultés rencontrées dans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établissement des rapports à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échelle nationale et du réseau en général, la mise en place d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un système de retour d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information sur les cours de formation et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utilisation de statistiques en ligne à des fins de suivi.</w:t>
      </w:r>
    </w:p>
    <w:p w:rsidR="007C74A8" w:rsidRPr="00AB08EC" w:rsidRDefault="00A904CB" w:rsidP="00AD230F">
      <w:pPr>
        <w:pStyle w:val="ONUMFS"/>
        <w:rPr>
          <w:rFonts w:eastAsia="Times New Roman"/>
          <w:szCs w:val="22"/>
          <w:lang w:val="fr-FR" w:eastAsia="en-US"/>
        </w:rPr>
      </w:pPr>
      <w:r w:rsidRPr="00AB08EC">
        <w:rPr>
          <w:b/>
          <w:lang w:val="fr-FR"/>
        </w:rPr>
        <w:t>Constatation n°</w:t>
      </w:r>
      <w:r w:rsidR="00120B0A" w:rsidRPr="00AB08EC">
        <w:rPr>
          <w:b/>
          <w:lang w:val="fr-FR"/>
        </w:rPr>
        <w:t> </w:t>
      </w:r>
      <w:r w:rsidRPr="00AB08EC">
        <w:rPr>
          <w:b/>
          <w:lang w:val="fr-FR"/>
        </w:rPr>
        <w:t>4</w:t>
      </w:r>
      <w:r w:rsidR="00120B0A" w:rsidRPr="00AB08EC">
        <w:rPr>
          <w:b/>
          <w:lang w:val="fr-FR"/>
        </w:rPr>
        <w:t> </w:t>
      </w:r>
      <w:r w:rsidRPr="00AB08EC">
        <w:rPr>
          <w:b/>
          <w:lang w:val="fr-FR"/>
        </w:rPr>
        <w:t xml:space="preserve">: </w:t>
      </w:r>
      <w:r w:rsidRPr="00AB08EC">
        <w:rPr>
          <w:lang w:val="fr-FR"/>
        </w:rPr>
        <w:t>Les activités menées dans le cadre de ce projet ont été gérées par la Section de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appui à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 xml:space="preserve">innovation et à la technologie, avec </w:t>
      </w:r>
      <w:r w:rsidR="00420B42" w:rsidRPr="00AB08EC">
        <w:rPr>
          <w:lang w:val="fr-FR"/>
        </w:rPr>
        <w:t>le concours</w:t>
      </w:r>
      <w:r w:rsidRPr="00AB08EC">
        <w:rPr>
          <w:lang w:val="fr-FR"/>
        </w:rPr>
        <w:t xml:space="preserve"> d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autres entités au sein du Secrétariat.</w:t>
      </w:r>
      <w:r w:rsidR="00576B83" w:rsidRPr="00AB08EC">
        <w:rPr>
          <w:lang w:val="fr-FR"/>
        </w:rPr>
        <w:t xml:space="preserve"> </w:t>
      </w:r>
      <w:r w:rsidR="007C7769" w:rsidRPr="00AB08EC">
        <w:rPr>
          <w:lang w:val="fr-FR"/>
        </w:rPr>
        <w:t xml:space="preserve"> </w:t>
      </w:r>
      <w:r w:rsidRPr="00AB08EC">
        <w:rPr>
          <w:lang w:val="fr-FR"/>
        </w:rPr>
        <w:t>Les bureaux régionaux, en sus de la Division</w:t>
      </w:r>
      <w:r w:rsidR="00641467" w:rsidRPr="00AB08EC">
        <w:rPr>
          <w:lang w:val="fr-FR"/>
        </w:rPr>
        <w:t xml:space="preserve"> des PMA</w:t>
      </w:r>
      <w:r w:rsidRPr="00AB08EC">
        <w:rPr>
          <w:lang w:val="fr-FR"/>
        </w:rPr>
        <w:t xml:space="preserve">, ont contribué au projet en </w:t>
      </w:r>
      <w:r w:rsidR="00420B42" w:rsidRPr="00AB08EC">
        <w:rPr>
          <w:lang w:val="fr-FR"/>
        </w:rPr>
        <w:t>facilitant</w:t>
      </w:r>
      <w:r w:rsidRPr="00AB08EC">
        <w:rPr>
          <w:lang w:val="fr-FR"/>
        </w:rPr>
        <w:t xml:space="preserve"> l</w:t>
      </w:r>
      <w:r w:rsidR="00420B42" w:rsidRPr="00AB08EC">
        <w:rPr>
          <w:lang w:val="fr-FR"/>
        </w:rPr>
        <w:t>a collaboration avec les pays d</w:t>
      </w:r>
      <w:r w:rsidRPr="00AB08EC">
        <w:rPr>
          <w:lang w:val="fr-FR"/>
        </w:rPr>
        <w:t xml:space="preserve">es régions </w:t>
      </w:r>
      <w:r w:rsidR="0039724E" w:rsidRPr="00AB08EC">
        <w:rPr>
          <w:lang w:val="fr-FR"/>
        </w:rPr>
        <w:t>concernées</w:t>
      </w:r>
      <w:r w:rsidRPr="00AB08EC">
        <w:rPr>
          <w:lang w:val="fr-FR"/>
        </w:rPr>
        <w:t xml:space="preserve"> et en finançant certaines activités </w:t>
      </w:r>
      <w:r w:rsidR="00420B42" w:rsidRPr="00AB08EC">
        <w:rPr>
          <w:lang w:val="fr-FR"/>
        </w:rPr>
        <w:t>menées par les</w:t>
      </w:r>
      <w:r w:rsidRPr="00AB08EC">
        <w:rPr>
          <w:lang w:val="fr-FR"/>
        </w:rPr>
        <w:t xml:space="preserve"> centres d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appui.</w:t>
      </w:r>
      <w:r w:rsidR="00576B83" w:rsidRPr="00AB08EC">
        <w:rPr>
          <w:lang w:val="fr-FR"/>
        </w:rPr>
        <w:t xml:space="preserve"> </w:t>
      </w:r>
      <w:r w:rsidR="007C7769" w:rsidRPr="00AB08EC">
        <w:rPr>
          <w:lang w:val="fr-FR"/>
        </w:rPr>
        <w:t xml:space="preserve"> </w:t>
      </w:r>
      <w:r w:rsidRPr="00AB08EC">
        <w:rPr>
          <w:lang w:val="fr-FR"/>
        </w:rPr>
        <w:t>Ont également collaboré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Académie de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OMPI et le Secteur de l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innovation</w:t>
      </w:r>
      <w:r w:rsidR="00420B42" w:rsidRPr="00AB08EC">
        <w:rPr>
          <w:lang w:val="fr-FR"/>
        </w:rPr>
        <w:t xml:space="preserve"> et de la technologie</w:t>
      </w:r>
      <w:r w:rsidRPr="00AB08EC">
        <w:rPr>
          <w:lang w:val="fr-FR"/>
        </w:rPr>
        <w:t>.</w:t>
      </w:r>
    </w:p>
    <w:p w:rsidR="007C74A8" w:rsidRPr="00AB08EC" w:rsidRDefault="00A904CB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>Constatation n°</w:t>
      </w:r>
      <w:r w:rsidR="00120B0A" w:rsidRPr="00AB08EC">
        <w:rPr>
          <w:b/>
          <w:lang w:val="fr-FR"/>
        </w:rPr>
        <w:t> </w:t>
      </w:r>
      <w:r w:rsidRPr="00AB08EC">
        <w:rPr>
          <w:b/>
          <w:lang w:val="fr-FR"/>
        </w:rPr>
        <w:t>5</w:t>
      </w:r>
      <w:r w:rsidR="00120B0A" w:rsidRPr="00AB08EC">
        <w:rPr>
          <w:b/>
          <w:lang w:val="fr-FR"/>
        </w:rPr>
        <w:t> </w:t>
      </w:r>
      <w:r w:rsidRPr="00AB08EC">
        <w:rPr>
          <w:b/>
          <w:lang w:val="fr-FR"/>
        </w:rPr>
        <w:t>:</w:t>
      </w:r>
      <w:r w:rsidRPr="00AB08EC">
        <w:rPr>
          <w:lang w:val="fr-FR"/>
        </w:rPr>
        <w:t xml:space="preserve"> Le descriptif de projet initial faisait état de </w:t>
      </w:r>
      <w:r w:rsidR="00420B42" w:rsidRPr="00AB08EC">
        <w:rPr>
          <w:lang w:val="fr-FR"/>
        </w:rPr>
        <w:t>quatre</w:t>
      </w:r>
      <w:r w:rsidR="00120B0A" w:rsidRPr="00AB08EC">
        <w:rPr>
          <w:lang w:val="fr-FR"/>
        </w:rPr>
        <w:t> </w:t>
      </w:r>
      <w:r w:rsidRPr="00AB08EC">
        <w:rPr>
          <w:lang w:val="fr-FR"/>
        </w:rPr>
        <w:t>risques pour le projet.</w:t>
      </w:r>
      <w:r w:rsidR="00576B83" w:rsidRPr="00AB08EC">
        <w:rPr>
          <w:lang w:val="fr-FR"/>
        </w:rPr>
        <w:t xml:space="preserve"> </w:t>
      </w:r>
      <w:r w:rsidR="007C7769" w:rsidRPr="00AB08EC">
        <w:rPr>
          <w:lang w:val="fr-FR"/>
        </w:rPr>
        <w:t xml:space="preserve"> </w:t>
      </w:r>
      <w:r w:rsidR="00BC6E46" w:rsidRPr="00AB08EC">
        <w:rPr>
          <w:lang w:val="fr-FR"/>
        </w:rPr>
        <w:t>Ces risques ne se sont pas matérialisés, compte tenu notamment des stratégies d</w:t>
      </w:r>
      <w:r w:rsidR="00641467" w:rsidRPr="00AB08EC">
        <w:rPr>
          <w:lang w:val="fr-FR"/>
        </w:rPr>
        <w:t>’</w:t>
      </w:r>
      <w:r w:rsidR="00BC6E46" w:rsidRPr="00AB08EC">
        <w:rPr>
          <w:lang w:val="fr-FR"/>
        </w:rPr>
        <w:t>atténuation prévues et adoptées dans le cadre du projet.</w:t>
      </w:r>
    </w:p>
    <w:p w:rsidR="00641467" w:rsidRPr="00AB08EC" w:rsidRDefault="00022C9A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>Constatation n° 6</w:t>
      </w:r>
      <w:r w:rsidR="00BC6E46" w:rsidRPr="00AB08EC">
        <w:rPr>
          <w:b/>
          <w:lang w:val="fr-FR"/>
        </w:rPr>
        <w:t xml:space="preserve"> : </w:t>
      </w:r>
      <w:r w:rsidR="00BC6E46" w:rsidRPr="00AB08EC">
        <w:rPr>
          <w:lang w:val="fr-FR"/>
        </w:rPr>
        <w:t>L</w:t>
      </w:r>
      <w:r w:rsidR="00641467" w:rsidRPr="00AB08EC">
        <w:rPr>
          <w:lang w:val="fr-FR"/>
        </w:rPr>
        <w:t>’</w:t>
      </w:r>
      <w:r w:rsidR="00BC6E46" w:rsidRPr="00AB08EC">
        <w:rPr>
          <w:lang w:val="fr-FR"/>
        </w:rPr>
        <w:t>évaluation a permis de recenser trois</w:t>
      </w:r>
      <w:r w:rsidR="00120B0A" w:rsidRPr="00AB08EC">
        <w:rPr>
          <w:lang w:val="fr-FR"/>
        </w:rPr>
        <w:t> </w:t>
      </w:r>
      <w:r w:rsidR="00BC6E46" w:rsidRPr="00AB08EC">
        <w:rPr>
          <w:lang w:val="fr-FR"/>
        </w:rPr>
        <w:t xml:space="preserve">facteurs </w:t>
      </w:r>
      <w:r w:rsidR="00F8797F" w:rsidRPr="00AB08EC">
        <w:rPr>
          <w:lang w:val="fr-FR"/>
        </w:rPr>
        <w:t>extérieurs</w:t>
      </w:r>
      <w:r w:rsidR="00BC6E46" w:rsidRPr="00AB08EC">
        <w:rPr>
          <w:lang w:val="fr-FR"/>
        </w:rPr>
        <w:t xml:space="preserve"> auxquels le projet devait faire face</w:t>
      </w:r>
      <w:r w:rsidR="00120B0A" w:rsidRPr="00AB08EC">
        <w:rPr>
          <w:lang w:val="fr-FR"/>
        </w:rPr>
        <w:t> </w:t>
      </w:r>
      <w:r w:rsidR="00BC6E46" w:rsidRPr="00AB08EC">
        <w:rPr>
          <w:lang w:val="fr-FR"/>
        </w:rPr>
        <w:t>: l</w:t>
      </w:r>
      <w:r w:rsidR="00641467" w:rsidRPr="00AB08EC">
        <w:rPr>
          <w:lang w:val="fr-FR"/>
        </w:rPr>
        <w:t>’</w:t>
      </w:r>
      <w:r w:rsidR="00BC6E46" w:rsidRPr="00AB08EC">
        <w:rPr>
          <w:lang w:val="fr-FR"/>
        </w:rPr>
        <w:t>évolution générale de la situation en ce qui concerne l</w:t>
      </w:r>
      <w:r w:rsidR="00641467" w:rsidRPr="00AB08EC">
        <w:rPr>
          <w:lang w:val="fr-FR"/>
        </w:rPr>
        <w:t>’</w:t>
      </w:r>
      <w:r w:rsidR="00BC6E46" w:rsidRPr="00AB08EC">
        <w:rPr>
          <w:lang w:val="fr-FR"/>
        </w:rPr>
        <w:t xml:space="preserve">accès aux contenus académiques ou scientifiques;  </w:t>
      </w:r>
      <w:r w:rsidR="00F8797F" w:rsidRPr="00AB08EC">
        <w:rPr>
          <w:lang w:val="fr-FR"/>
        </w:rPr>
        <w:t>le niveau des connaissances, l</w:t>
      </w:r>
      <w:r w:rsidR="00641467" w:rsidRPr="00AB08EC">
        <w:rPr>
          <w:lang w:val="fr-FR"/>
        </w:rPr>
        <w:t>’</w:t>
      </w:r>
      <w:r w:rsidR="00F8797F" w:rsidRPr="00AB08EC">
        <w:rPr>
          <w:lang w:val="fr-FR"/>
        </w:rPr>
        <w:t>intérêt manifesté et la gestion du savoir</w:t>
      </w:r>
      <w:r w:rsidR="0039724E" w:rsidRPr="00AB08EC">
        <w:rPr>
          <w:lang w:val="fr-FR"/>
        </w:rPr>
        <w:noBreakHyphen/>
      </w:r>
      <w:r w:rsidR="00F8797F" w:rsidRPr="00AB08EC">
        <w:rPr>
          <w:lang w:val="fr-FR"/>
        </w:rPr>
        <w:t>faire en matière de propriété intellectuelle et d</w:t>
      </w:r>
      <w:r w:rsidR="00641467" w:rsidRPr="00AB08EC">
        <w:rPr>
          <w:lang w:val="fr-FR"/>
        </w:rPr>
        <w:t>’</w:t>
      </w:r>
      <w:r w:rsidR="00F8797F" w:rsidRPr="00AB08EC">
        <w:rPr>
          <w:lang w:val="fr-FR"/>
        </w:rPr>
        <w:t>innovation parmi les utilisateurs potentiels</w:t>
      </w:r>
      <w:r w:rsidR="00BC6E46" w:rsidRPr="00AB08EC">
        <w:rPr>
          <w:lang w:val="fr-FR"/>
        </w:rPr>
        <w:t xml:space="preserve">; </w:t>
      </w:r>
      <w:r w:rsidR="00F8797F" w:rsidRPr="00AB08EC">
        <w:rPr>
          <w:lang w:val="fr-FR"/>
        </w:rPr>
        <w:t xml:space="preserve"> et les défis </w:t>
      </w:r>
      <w:r w:rsidR="00420B42" w:rsidRPr="00AB08EC">
        <w:rPr>
          <w:lang w:val="fr-FR"/>
        </w:rPr>
        <w:t>autres posés par</w:t>
      </w:r>
      <w:r w:rsidR="00F8797F" w:rsidRPr="00AB08EC">
        <w:rPr>
          <w:lang w:val="fr-FR"/>
        </w:rPr>
        <w:t xml:space="preserve"> </w:t>
      </w:r>
      <w:r w:rsidR="005F3C6C" w:rsidRPr="00AB08EC">
        <w:rPr>
          <w:lang w:val="fr-FR"/>
        </w:rPr>
        <w:t>la structure</w:t>
      </w:r>
      <w:r w:rsidR="00F8797F" w:rsidRPr="00AB08EC">
        <w:rPr>
          <w:lang w:val="fr-FR"/>
        </w:rPr>
        <w:t xml:space="preserve"> en réseau des centres d</w:t>
      </w:r>
      <w:r w:rsidR="00641467" w:rsidRPr="00AB08EC">
        <w:rPr>
          <w:lang w:val="fr-FR"/>
        </w:rPr>
        <w:t>’</w:t>
      </w:r>
      <w:r w:rsidR="00F8797F" w:rsidRPr="00AB08EC">
        <w:rPr>
          <w:lang w:val="fr-FR"/>
        </w:rPr>
        <w:t>appui</w:t>
      </w:r>
      <w:r w:rsidR="00BC6E46" w:rsidRPr="00AB08EC">
        <w:rPr>
          <w:lang w:val="fr-FR"/>
        </w:rPr>
        <w:t>.</w:t>
      </w:r>
      <w:r w:rsidR="00576B83" w:rsidRPr="00AB08EC">
        <w:rPr>
          <w:lang w:val="fr-FR"/>
        </w:rPr>
        <w:t xml:space="preserve"> </w:t>
      </w:r>
      <w:r w:rsidR="007C7769" w:rsidRPr="00AB08EC">
        <w:rPr>
          <w:lang w:val="fr-FR"/>
        </w:rPr>
        <w:t xml:space="preserve"> </w:t>
      </w:r>
      <w:r w:rsidR="00F8797F" w:rsidRPr="00AB08EC">
        <w:rPr>
          <w:lang w:val="fr-FR"/>
        </w:rPr>
        <w:t>Dans la mesure du possible, l</w:t>
      </w:r>
      <w:r w:rsidR="00641467" w:rsidRPr="00AB08EC">
        <w:rPr>
          <w:lang w:val="fr-FR"/>
        </w:rPr>
        <w:t>’</w:t>
      </w:r>
      <w:r w:rsidR="00F8797F" w:rsidRPr="00AB08EC">
        <w:rPr>
          <w:lang w:val="fr-FR"/>
        </w:rPr>
        <w:t>équipe chargée du projet s</w:t>
      </w:r>
      <w:r w:rsidR="00641467" w:rsidRPr="00AB08EC">
        <w:rPr>
          <w:lang w:val="fr-FR"/>
        </w:rPr>
        <w:t>’</w:t>
      </w:r>
      <w:r w:rsidR="00F8797F" w:rsidRPr="00AB08EC">
        <w:rPr>
          <w:lang w:val="fr-FR"/>
        </w:rPr>
        <w:t>est efforcée de relever les défis posés par ces facteurs extérieurs</w:t>
      </w:r>
      <w:r w:rsidR="00576B83" w:rsidRPr="00AB08EC">
        <w:rPr>
          <w:lang w:val="fr-FR"/>
        </w:rPr>
        <w:t>.</w:t>
      </w:r>
    </w:p>
    <w:p w:rsidR="00641467" w:rsidRPr="00AB08EC" w:rsidRDefault="00576B83" w:rsidP="00AD230F">
      <w:pPr>
        <w:pStyle w:val="Heading3"/>
        <w:rPr>
          <w:lang w:val="fr-FR"/>
        </w:rPr>
      </w:pPr>
      <w:bookmarkStart w:id="11" w:name="_Toc320700947"/>
      <w:bookmarkStart w:id="12" w:name="_Toc336031964"/>
      <w:bookmarkStart w:id="13" w:name="_Toc336032064"/>
      <w:r w:rsidRPr="00AB08EC">
        <w:rPr>
          <w:lang w:val="fr-FR"/>
        </w:rPr>
        <w:t>Eff</w:t>
      </w:r>
      <w:r w:rsidR="00022C9A" w:rsidRPr="00AB08EC">
        <w:rPr>
          <w:lang w:val="fr-FR"/>
        </w:rPr>
        <w:t>icacité</w:t>
      </w:r>
      <w:bookmarkEnd w:id="11"/>
      <w:bookmarkEnd w:id="12"/>
      <w:bookmarkEnd w:id="13"/>
    </w:p>
    <w:p w:rsidR="007C74A8" w:rsidRPr="00AB08EC" w:rsidRDefault="007C74A8" w:rsidP="00AD230F">
      <w:pPr>
        <w:rPr>
          <w:b/>
          <w:szCs w:val="22"/>
          <w:lang w:val="fr-FR"/>
        </w:rPr>
      </w:pPr>
    </w:p>
    <w:p w:rsidR="007C74A8" w:rsidRPr="00AB08EC" w:rsidRDefault="00022C9A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>Constatations n</w:t>
      </w:r>
      <w:r w:rsidRPr="00AB08EC">
        <w:rPr>
          <w:b/>
          <w:vertAlign w:val="superscript"/>
          <w:lang w:val="fr-FR"/>
        </w:rPr>
        <w:t>os</w:t>
      </w:r>
      <w:r w:rsidRPr="00AB08EC">
        <w:rPr>
          <w:b/>
          <w:lang w:val="fr-FR"/>
        </w:rPr>
        <w:t> </w:t>
      </w:r>
      <w:r w:rsidR="00576B83" w:rsidRPr="00AB08EC">
        <w:rPr>
          <w:b/>
          <w:lang w:val="fr-FR"/>
        </w:rPr>
        <w:t>7</w:t>
      </w:r>
      <w:r w:rsidR="00355011" w:rsidRPr="00AB08EC">
        <w:rPr>
          <w:b/>
          <w:lang w:val="fr-FR"/>
        </w:rPr>
        <w:t xml:space="preserve"> à </w:t>
      </w:r>
      <w:r w:rsidR="00576B83" w:rsidRPr="00AB08EC">
        <w:rPr>
          <w:b/>
          <w:lang w:val="fr-FR"/>
        </w:rPr>
        <w:t>9</w:t>
      </w:r>
      <w:r w:rsidRPr="00AB08EC">
        <w:rPr>
          <w:b/>
          <w:lang w:val="fr-FR"/>
        </w:rPr>
        <w:t> </w:t>
      </w:r>
      <w:r w:rsidR="00576B83" w:rsidRPr="00AB08EC">
        <w:rPr>
          <w:b/>
          <w:lang w:val="fr-FR"/>
        </w:rPr>
        <w:t>:</w:t>
      </w:r>
      <w:r w:rsidR="00576B83" w:rsidRPr="00AB08EC">
        <w:rPr>
          <w:lang w:val="fr-FR"/>
        </w:rPr>
        <w:t xml:space="preserve"> </w:t>
      </w:r>
      <w:r w:rsidR="007C74A8" w:rsidRPr="00AB08EC">
        <w:rPr>
          <w:lang w:val="fr-FR"/>
        </w:rPr>
        <w:t>Au total, ce sont 18</w:t>
      </w:r>
      <w:r w:rsidR="00355011" w:rsidRPr="00AB08EC">
        <w:rPr>
          <w:lang w:val="fr-FR"/>
        </w:rPr>
        <w:t> </w:t>
      </w:r>
      <w:r w:rsidR="007C74A8" w:rsidRPr="00AB08EC">
        <w:rPr>
          <w:lang w:val="fr-FR"/>
        </w:rPr>
        <w:t>centres d</w:t>
      </w:r>
      <w:r w:rsidR="00641467" w:rsidRPr="00AB08EC">
        <w:rPr>
          <w:lang w:val="fr-FR"/>
        </w:rPr>
        <w:t>’</w:t>
      </w:r>
      <w:r w:rsidR="007C74A8" w:rsidRPr="00AB08EC">
        <w:rPr>
          <w:lang w:val="fr-FR"/>
        </w:rPr>
        <w:t>appui qui ont été créés durant la phase II, soit un résultat supérieur à l</w:t>
      </w:r>
      <w:r w:rsidR="00641467" w:rsidRPr="00AB08EC">
        <w:rPr>
          <w:lang w:val="fr-FR"/>
        </w:rPr>
        <w:t>’</w:t>
      </w:r>
      <w:r w:rsidR="007C74A8" w:rsidRPr="00AB08EC">
        <w:rPr>
          <w:lang w:val="fr-FR"/>
        </w:rPr>
        <w:t>objectif fixé qui était de 12 centres d</w:t>
      </w:r>
      <w:r w:rsidR="00641467" w:rsidRPr="00AB08EC">
        <w:rPr>
          <w:lang w:val="fr-FR"/>
        </w:rPr>
        <w:t>’</w:t>
      </w:r>
      <w:r w:rsidR="007C74A8" w:rsidRPr="00AB08EC">
        <w:rPr>
          <w:lang w:val="fr-FR"/>
        </w:rPr>
        <w:t>appui, ce qui porte à 39 le nombre total de centres créés durant les phases I et II</w:t>
      </w:r>
      <w:r w:rsidR="00576B83" w:rsidRPr="00AB08EC">
        <w:rPr>
          <w:lang w:val="fr-FR"/>
        </w:rPr>
        <w:t xml:space="preserve">. </w:t>
      </w:r>
      <w:r w:rsidR="007C7769" w:rsidRPr="00AB08EC">
        <w:rPr>
          <w:lang w:val="fr-FR"/>
        </w:rPr>
        <w:t xml:space="preserve"> </w:t>
      </w:r>
      <w:r w:rsidR="00420B42" w:rsidRPr="00AB08EC">
        <w:rPr>
          <w:lang w:val="fr-FR"/>
        </w:rPr>
        <w:t>Le projet, via</w:t>
      </w:r>
      <w:r w:rsidR="007C74A8" w:rsidRPr="00AB08EC">
        <w:rPr>
          <w:lang w:val="fr-FR"/>
        </w:rPr>
        <w:t xml:space="preserve"> son programme de formation facilitant l</w:t>
      </w:r>
      <w:r w:rsidR="00641467" w:rsidRPr="00AB08EC">
        <w:rPr>
          <w:lang w:val="fr-FR"/>
        </w:rPr>
        <w:t>’</w:t>
      </w:r>
      <w:r w:rsidR="007C74A8" w:rsidRPr="00AB08EC">
        <w:rPr>
          <w:lang w:val="fr-FR"/>
        </w:rPr>
        <w:t>accès aux bases de données, à la plate</w:t>
      </w:r>
      <w:r w:rsidR="0039724E" w:rsidRPr="00AB08EC">
        <w:rPr>
          <w:lang w:val="fr-FR"/>
        </w:rPr>
        <w:noBreakHyphen/>
      </w:r>
      <w:r w:rsidR="007C74A8" w:rsidRPr="00AB08EC">
        <w:rPr>
          <w:lang w:val="fr-FR"/>
        </w:rPr>
        <w:t xml:space="preserve">forme de gestion des </w:t>
      </w:r>
      <w:r w:rsidR="00A82B00" w:rsidRPr="00AB08EC">
        <w:rPr>
          <w:lang w:val="fr-FR"/>
        </w:rPr>
        <w:t>connaissances</w:t>
      </w:r>
      <w:r w:rsidR="00127374" w:rsidRPr="00AB08EC">
        <w:rPr>
          <w:lang w:val="fr-FR"/>
        </w:rPr>
        <w:t xml:space="preserve">, à un appui </w:t>
      </w:r>
      <w:r w:rsidR="007C74A8" w:rsidRPr="00AB08EC">
        <w:rPr>
          <w:lang w:val="fr-FR"/>
        </w:rPr>
        <w:t>et à des conseils, visait à assurer la viabilité à long terme des centres d</w:t>
      </w:r>
      <w:r w:rsidR="00641467" w:rsidRPr="00AB08EC">
        <w:rPr>
          <w:lang w:val="fr-FR"/>
        </w:rPr>
        <w:t>’</w:t>
      </w:r>
      <w:r w:rsidR="007C74A8" w:rsidRPr="00AB08EC">
        <w:rPr>
          <w:lang w:val="fr-FR"/>
        </w:rPr>
        <w:t>appui</w:t>
      </w:r>
      <w:r w:rsidR="00576B83" w:rsidRPr="00AB08EC">
        <w:rPr>
          <w:lang w:val="fr-FR"/>
        </w:rPr>
        <w:t xml:space="preserve">.  </w:t>
      </w:r>
      <w:r w:rsidR="007C74A8" w:rsidRPr="00AB08EC">
        <w:rPr>
          <w:lang w:val="fr-FR"/>
        </w:rPr>
        <w:t>Le personnel des centres d</w:t>
      </w:r>
      <w:r w:rsidR="00641467" w:rsidRPr="00AB08EC">
        <w:rPr>
          <w:lang w:val="fr-FR"/>
        </w:rPr>
        <w:t>’</w:t>
      </w:r>
      <w:r w:rsidR="007C74A8" w:rsidRPr="00AB08EC">
        <w:rPr>
          <w:lang w:val="fr-FR"/>
        </w:rPr>
        <w:t xml:space="preserve">appui interrogé a confirmé que </w:t>
      </w:r>
      <w:r w:rsidR="00127374" w:rsidRPr="00AB08EC">
        <w:rPr>
          <w:lang w:val="fr-FR"/>
        </w:rPr>
        <w:t>l</w:t>
      </w:r>
      <w:r w:rsidR="00641467" w:rsidRPr="00AB08EC">
        <w:rPr>
          <w:lang w:val="fr-FR"/>
        </w:rPr>
        <w:t>’</w:t>
      </w:r>
      <w:r w:rsidR="00127374" w:rsidRPr="00AB08EC">
        <w:rPr>
          <w:lang w:val="fr-FR"/>
        </w:rPr>
        <w:t>appui</w:t>
      </w:r>
      <w:r w:rsidR="007C74A8" w:rsidRPr="00AB08EC">
        <w:rPr>
          <w:lang w:val="fr-FR"/>
        </w:rPr>
        <w:t xml:space="preserve"> fourni par l</w:t>
      </w:r>
      <w:r w:rsidR="00641467" w:rsidRPr="00AB08EC">
        <w:rPr>
          <w:lang w:val="fr-FR"/>
        </w:rPr>
        <w:t>’</w:t>
      </w:r>
      <w:r w:rsidR="007C74A8" w:rsidRPr="00AB08EC">
        <w:rPr>
          <w:lang w:val="fr-FR"/>
        </w:rPr>
        <w:t xml:space="preserve">OMPI était essentiel en ce qui concerne </w:t>
      </w:r>
      <w:r w:rsidR="0037373C" w:rsidRPr="00AB08EC">
        <w:rPr>
          <w:lang w:val="fr-FR"/>
        </w:rPr>
        <w:t>la création</w:t>
      </w:r>
      <w:r w:rsidR="007C74A8" w:rsidRPr="00AB08EC">
        <w:rPr>
          <w:lang w:val="fr-FR"/>
        </w:rPr>
        <w:t xml:space="preserve"> et le développement </w:t>
      </w:r>
      <w:r w:rsidR="0037373C" w:rsidRPr="00AB08EC">
        <w:rPr>
          <w:lang w:val="fr-FR"/>
        </w:rPr>
        <w:t xml:space="preserve">continu </w:t>
      </w:r>
      <w:r w:rsidR="007C74A8" w:rsidRPr="00AB08EC">
        <w:rPr>
          <w:lang w:val="fr-FR"/>
        </w:rPr>
        <w:t>des centres d</w:t>
      </w:r>
      <w:r w:rsidR="00641467" w:rsidRPr="00AB08EC">
        <w:rPr>
          <w:lang w:val="fr-FR"/>
        </w:rPr>
        <w:t>’</w:t>
      </w:r>
      <w:r w:rsidR="007C74A8" w:rsidRPr="00AB08EC">
        <w:rPr>
          <w:lang w:val="fr-FR"/>
        </w:rPr>
        <w:t>appui</w:t>
      </w:r>
      <w:r w:rsidR="00576B83" w:rsidRPr="00AB08EC">
        <w:rPr>
          <w:lang w:val="fr-FR"/>
        </w:rPr>
        <w:t xml:space="preserve">. </w:t>
      </w:r>
      <w:r w:rsidR="007C74A8" w:rsidRPr="00AB08EC">
        <w:rPr>
          <w:lang w:val="fr-FR"/>
        </w:rPr>
        <w:t xml:space="preserve"> Dans l</w:t>
      </w:r>
      <w:r w:rsidR="00641467" w:rsidRPr="00AB08EC">
        <w:rPr>
          <w:lang w:val="fr-FR"/>
        </w:rPr>
        <w:t>’</w:t>
      </w:r>
      <w:r w:rsidR="007C74A8" w:rsidRPr="00AB08EC">
        <w:rPr>
          <w:lang w:val="fr-FR"/>
        </w:rPr>
        <w:t>enquête de</w:t>
      </w:r>
      <w:r w:rsidR="00120B0A" w:rsidRPr="00AB08EC">
        <w:rPr>
          <w:lang w:val="fr-FR"/>
        </w:rPr>
        <w:t> </w:t>
      </w:r>
      <w:r w:rsidR="007C74A8" w:rsidRPr="00AB08EC">
        <w:rPr>
          <w:lang w:val="fr-FR"/>
        </w:rPr>
        <w:t xml:space="preserve">2013 </w:t>
      </w:r>
      <w:r w:rsidR="0037373C" w:rsidRPr="00AB08EC">
        <w:rPr>
          <w:lang w:val="fr-FR"/>
        </w:rPr>
        <w:t>menée auprès des</w:t>
      </w:r>
      <w:r w:rsidR="007C74A8" w:rsidRPr="00AB08EC">
        <w:rPr>
          <w:lang w:val="fr-FR"/>
        </w:rPr>
        <w:t xml:space="preserve"> centres d</w:t>
      </w:r>
      <w:r w:rsidR="00641467" w:rsidRPr="00AB08EC">
        <w:rPr>
          <w:lang w:val="fr-FR"/>
        </w:rPr>
        <w:t>’</w:t>
      </w:r>
      <w:r w:rsidR="007C74A8" w:rsidRPr="00AB08EC">
        <w:rPr>
          <w:lang w:val="fr-FR"/>
        </w:rPr>
        <w:t xml:space="preserve">appui, le nombre de centres ayant indiqué que leurs capacités avaient été renforcées grâce aux formations dispensées </w:t>
      </w:r>
      <w:r w:rsidR="0037373C" w:rsidRPr="00AB08EC">
        <w:rPr>
          <w:lang w:val="fr-FR"/>
        </w:rPr>
        <w:t>concernant</w:t>
      </w:r>
      <w:r w:rsidR="007C74A8" w:rsidRPr="00AB08EC">
        <w:rPr>
          <w:lang w:val="fr-FR"/>
        </w:rPr>
        <w:t xml:space="preserve"> les différents services </w:t>
      </w:r>
      <w:r w:rsidR="0037373C" w:rsidRPr="00AB08EC">
        <w:rPr>
          <w:lang w:val="fr-FR"/>
        </w:rPr>
        <w:t xml:space="preserve">proposés </w:t>
      </w:r>
      <w:r w:rsidR="007C74A8" w:rsidRPr="00AB08EC">
        <w:rPr>
          <w:lang w:val="fr-FR"/>
        </w:rPr>
        <w:t xml:space="preserve">est passé </w:t>
      </w:r>
      <w:r w:rsidR="00A5474E" w:rsidRPr="00AB08EC">
        <w:rPr>
          <w:lang w:val="fr-FR"/>
        </w:rPr>
        <w:t>de 71% à 96%</w:t>
      </w:r>
      <w:r w:rsidR="000D230D" w:rsidRPr="00AB08EC">
        <w:rPr>
          <w:lang w:val="fr-FR"/>
        </w:rPr>
        <w:t>.</w:t>
      </w:r>
      <w:r w:rsidR="00576B83" w:rsidRPr="00AB08EC">
        <w:rPr>
          <w:lang w:val="fr-FR"/>
        </w:rPr>
        <w:t xml:space="preserve">  </w:t>
      </w:r>
      <w:r w:rsidR="00A5474E" w:rsidRPr="00AB08EC">
        <w:rPr>
          <w:lang w:val="fr-FR"/>
        </w:rPr>
        <w:t>Parmi les centres ayant répondu à l</w:t>
      </w:r>
      <w:r w:rsidR="00641467" w:rsidRPr="00AB08EC">
        <w:rPr>
          <w:lang w:val="fr-FR"/>
        </w:rPr>
        <w:t>’</w:t>
      </w:r>
      <w:r w:rsidR="00A5474E" w:rsidRPr="00AB08EC">
        <w:rPr>
          <w:lang w:val="fr-FR"/>
        </w:rPr>
        <w:t>enquête, 97% offrent ou prévoient d</w:t>
      </w:r>
      <w:r w:rsidR="00641467" w:rsidRPr="00AB08EC">
        <w:rPr>
          <w:lang w:val="fr-FR"/>
        </w:rPr>
        <w:t>’</w:t>
      </w:r>
      <w:r w:rsidR="00A5474E" w:rsidRPr="00AB08EC">
        <w:rPr>
          <w:lang w:val="fr-FR"/>
        </w:rPr>
        <w:t>offrir un accès à des bases de données spécialisées et 96% offrent ou prévoient d</w:t>
      </w:r>
      <w:r w:rsidR="00641467" w:rsidRPr="00AB08EC">
        <w:rPr>
          <w:lang w:val="fr-FR"/>
        </w:rPr>
        <w:t>’</w:t>
      </w:r>
      <w:r w:rsidR="00A5474E" w:rsidRPr="00AB08EC">
        <w:rPr>
          <w:lang w:val="fr-FR"/>
        </w:rPr>
        <w:t xml:space="preserve">offrir un accès </w:t>
      </w:r>
      <w:r w:rsidR="00C8715B" w:rsidRPr="00AB08EC">
        <w:rPr>
          <w:lang w:val="fr-FR"/>
        </w:rPr>
        <w:t xml:space="preserve">à </w:t>
      </w:r>
      <w:r w:rsidR="00A5474E" w:rsidRPr="00AB08EC">
        <w:rPr>
          <w:lang w:val="fr-FR"/>
        </w:rPr>
        <w:t>des services de recherche en matière de brevets</w:t>
      </w:r>
      <w:r w:rsidR="00576B83" w:rsidRPr="00AB08EC">
        <w:rPr>
          <w:lang w:val="fr-FR"/>
        </w:rPr>
        <w:t>.</w:t>
      </w:r>
    </w:p>
    <w:p w:rsidR="007C74A8" w:rsidRPr="00AB08EC" w:rsidRDefault="00022C9A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>Constatations n</w:t>
      </w:r>
      <w:r w:rsidRPr="00AB08EC">
        <w:rPr>
          <w:b/>
          <w:vertAlign w:val="superscript"/>
          <w:lang w:val="fr-FR"/>
        </w:rPr>
        <w:t>os</w:t>
      </w:r>
      <w:r w:rsidRPr="00AB08EC">
        <w:rPr>
          <w:b/>
          <w:lang w:val="fr-FR"/>
        </w:rPr>
        <w:t> </w:t>
      </w:r>
      <w:r w:rsidR="00576B83" w:rsidRPr="00AB08EC">
        <w:rPr>
          <w:b/>
          <w:lang w:val="fr-FR"/>
        </w:rPr>
        <w:t>10</w:t>
      </w:r>
      <w:r w:rsidR="00355011" w:rsidRPr="00AB08EC">
        <w:rPr>
          <w:b/>
          <w:lang w:val="fr-FR"/>
        </w:rPr>
        <w:t xml:space="preserve"> à </w:t>
      </w:r>
      <w:r w:rsidR="00576B83" w:rsidRPr="00AB08EC">
        <w:rPr>
          <w:b/>
          <w:lang w:val="fr-FR"/>
        </w:rPr>
        <w:t>11</w:t>
      </w:r>
      <w:r w:rsidRPr="00AB08EC">
        <w:rPr>
          <w:b/>
          <w:lang w:val="fr-FR"/>
        </w:rPr>
        <w:t> :</w:t>
      </w:r>
      <w:r w:rsidR="007C7769" w:rsidRPr="00AB08EC">
        <w:rPr>
          <w:lang w:val="fr-FR"/>
        </w:rPr>
        <w:t xml:space="preserve"> </w:t>
      </w:r>
      <w:r w:rsidR="00A5474E" w:rsidRPr="00AB08EC">
        <w:rPr>
          <w:lang w:val="fr-FR"/>
        </w:rPr>
        <w:t>Certains centres d</w:t>
      </w:r>
      <w:r w:rsidR="00641467" w:rsidRPr="00AB08EC">
        <w:rPr>
          <w:lang w:val="fr-FR"/>
        </w:rPr>
        <w:t>’</w:t>
      </w:r>
      <w:r w:rsidR="00A5474E" w:rsidRPr="00AB08EC">
        <w:rPr>
          <w:lang w:val="fr-FR"/>
        </w:rPr>
        <w:t>appui ont pu élaborer d</w:t>
      </w:r>
      <w:r w:rsidR="00641467" w:rsidRPr="00AB08EC">
        <w:rPr>
          <w:lang w:val="fr-FR"/>
        </w:rPr>
        <w:t>’</w:t>
      </w:r>
      <w:r w:rsidR="00A5474E" w:rsidRPr="00AB08EC">
        <w:rPr>
          <w:lang w:val="fr-FR"/>
        </w:rPr>
        <w:t>autres services du fait de la maturité du réseau d</w:t>
      </w:r>
      <w:r w:rsidR="00C8715B" w:rsidRPr="00AB08EC">
        <w:rPr>
          <w:lang w:val="fr-FR"/>
        </w:rPr>
        <w:t>e</w:t>
      </w:r>
      <w:r w:rsidR="00127374" w:rsidRPr="00AB08EC">
        <w:rPr>
          <w:lang w:val="fr-FR"/>
        </w:rPr>
        <w:t xml:space="preserve"> </w:t>
      </w:r>
      <w:r w:rsidR="00A5474E" w:rsidRPr="00AB08EC">
        <w:rPr>
          <w:lang w:val="fr-FR"/>
        </w:rPr>
        <w:t>centre</w:t>
      </w:r>
      <w:r w:rsidR="00C8715B" w:rsidRPr="00AB08EC">
        <w:rPr>
          <w:lang w:val="fr-FR"/>
        </w:rPr>
        <w:t>s</w:t>
      </w:r>
      <w:r w:rsidR="00A5474E" w:rsidRPr="00AB08EC">
        <w:rPr>
          <w:lang w:val="fr-FR"/>
        </w:rPr>
        <w:t xml:space="preserve"> d</w:t>
      </w:r>
      <w:r w:rsidR="00641467" w:rsidRPr="00AB08EC">
        <w:rPr>
          <w:lang w:val="fr-FR"/>
        </w:rPr>
        <w:t>’</w:t>
      </w:r>
      <w:r w:rsidR="00A5474E" w:rsidRPr="00AB08EC">
        <w:rPr>
          <w:lang w:val="fr-FR"/>
        </w:rPr>
        <w:t>appui</w:t>
      </w:r>
      <w:r w:rsidR="00127374" w:rsidRPr="00AB08EC">
        <w:rPr>
          <w:lang w:val="fr-FR"/>
        </w:rPr>
        <w:t xml:space="preserve"> et de facteurs indépendants de l</w:t>
      </w:r>
      <w:r w:rsidR="00641467" w:rsidRPr="00AB08EC">
        <w:rPr>
          <w:lang w:val="fr-FR"/>
        </w:rPr>
        <w:t>’</w:t>
      </w:r>
      <w:r w:rsidR="00127374" w:rsidRPr="00AB08EC">
        <w:rPr>
          <w:lang w:val="fr-FR"/>
        </w:rPr>
        <w:t>appui fourni par l</w:t>
      </w:r>
      <w:r w:rsidR="00641467" w:rsidRPr="00AB08EC">
        <w:rPr>
          <w:lang w:val="fr-FR"/>
        </w:rPr>
        <w:t>’</w:t>
      </w:r>
      <w:r w:rsidR="00127374" w:rsidRPr="00AB08EC">
        <w:rPr>
          <w:lang w:val="fr-FR"/>
        </w:rPr>
        <w:t>OMPI</w:t>
      </w:r>
      <w:r w:rsidR="00576B83" w:rsidRPr="00AB08EC">
        <w:rPr>
          <w:lang w:val="fr-FR"/>
        </w:rPr>
        <w:t>.</w:t>
      </w:r>
      <w:r w:rsidR="007C7769" w:rsidRPr="00AB08EC">
        <w:rPr>
          <w:lang w:val="fr-FR"/>
        </w:rPr>
        <w:t xml:space="preserve"> </w:t>
      </w:r>
      <w:r w:rsidR="00576B83" w:rsidRPr="00AB08EC">
        <w:rPr>
          <w:lang w:val="fr-FR"/>
        </w:rPr>
        <w:t xml:space="preserve"> </w:t>
      </w:r>
      <w:r w:rsidR="00127374" w:rsidRPr="00AB08EC">
        <w:rPr>
          <w:lang w:val="fr-FR"/>
        </w:rPr>
        <w:t>Un autre indicateur important de la viabilité à long terme vient de la capacité des utilisateurs de ces centres d</w:t>
      </w:r>
      <w:r w:rsidR="00641467" w:rsidRPr="00AB08EC">
        <w:rPr>
          <w:lang w:val="fr-FR"/>
        </w:rPr>
        <w:t>’</w:t>
      </w:r>
      <w:r w:rsidR="00127374" w:rsidRPr="00AB08EC">
        <w:rPr>
          <w:lang w:val="fr-FR"/>
        </w:rPr>
        <w:t>utiliser l</w:t>
      </w:r>
      <w:r w:rsidR="00641467" w:rsidRPr="00AB08EC">
        <w:rPr>
          <w:lang w:val="fr-FR"/>
        </w:rPr>
        <w:t>’</w:t>
      </w:r>
      <w:r w:rsidR="00127374" w:rsidRPr="00AB08EC">
        <w:rPr>
          <w:lang w:val="fr-FR"/>
        </w:rPr>
        <w:t>information à des fins d</w:t>
      </w:r>
      <w:r w:rsidR="00641467" w:rsidRPr="00AB08EC">
        <w:rPr>
          <w:lang w:val="fr-FR"/>
        </w:rPr>
        <w:t>’</w:t>
      </w:r>
      <w:r w:rsidR="00127374" w:rsidRPr="00AB08EC">
        <w:rPr>
          <w:lang w:val="fr-FR"/>
        </w:rPr>
        <w:t>innovation</w:t>
      </w:r>
      <w:r w:rsidR="00576B83" w:rsidRPr="00AB08EC">
        <w:rPr>
          <w:lang w:val="fr-FR"/>
        </w:rPr>
        <w:t>.</w:t>
      </w:r>
      <w:r w:rsidR="007C7769" w:rsidRPr="00AB08EC">
        <w:rPr>
          <w:lang w:val="fr-FR"/>
        </w:rPr>
        <w:t xml:space="preserve"> </w:t>
      </w:r>
      <w:r w:rsidR="00576B83" w:rsidRPr="00AB08EC">
        <w:rPr>
          <w:lang w:val="fr-FR"/>
        </w:rPr>
        <w:t xml:space="preserve"> </w:t>
      </w:r>
      <w:r w:rsidR="00127374" w:rsidRPr="00AB08EC">
        <w:rPr>
          <w:lang w:val="fr-FR"/>
        </w:rPr>
        <w:t>Dans la majorité des cas, il est encore trop tôt pour avoir des informations à cet égard.</w:t>
      </w:r>
      <w:r w:rsidR="007C7769" w:rsidRPr="00AB08EC">
        <w:rPr>
          <w:lang w:val="fr-FR"/>
        </w:rPr>
        <w:t xml:space="preserve"> </w:t>
      </w:r>
      <w:r w:rsidR="00576B83" w:rsidRPr="00AB08EC">
        <w:rPr>
          <w:lang w:val="fr-FR"/>
        </w:rPr>
        <w:t xml:space="preserve"> </w:t>
      </w:r>
      <w:r w:rsidR="00127374" w:rsidRPr="00AB08EC">
        <w:rPr>
          <w:lang w:val="fr-FR"/>
        </w:rPr>
        <w:t xml:space="preserve">Cependant, des </w:t>
      </w:r>
      <w:r w:rsidR="00D60018" w:rsidRPr="00AB08EC">
        <w:rPr>
          <w:lang w:val="fr-FR"/>
        </w:rPr>
        <w:t>résultats</w:t>
      </w:r>
      <w:r w:rsidR="00127374" w:rsidRPr="00AB08EC">
        <w:rPr>
          <w:lang w:val="fr-FR"/>
        </w:rPr>
        <w:t xml:space="preserve"> positifs ont été </w:t>
      </w:r>
      <w:r w:rsidR="00D60018" w:rsidRPr="00AB08EC">
        <w:rPr>
          <w:lang w:val="fr-FR"/>
        </w:rPr>
        <w:t>constatés</w:t>
      </w:r>
      <w:r w:rsidR="00127374" w:rsidRPr="00AB08EC">
        <w:rPr>
          <w:lang w:val="fr-FR"/>
        </w:rPr>
        <w:t xml:space="preserve"> </w:t>
      </w:r>
      <w:r w:rsidR="00D60018" w:rsidRPr="00AB08EC">
        <w:rPr>
          <w:lang w:val="fr-FR"/>
        </w:rPr>
        <w:t>aux Philippines et au Maroc, où les centres d</w:t>
      </w:r>
      <w:r w:rsidR="00641467" w:rsidRPr="00AB08EC">
        <w:rPr>
          <w:lang w:val="fr-FR"/>
        </w:rPr>
        <w:t>’</w:t>
      </w:r>
      <w:r w:rsidR="00D60018" w:rsidRPr="00AB08EC">
        <w:rPr>
          <w:lang w:val="fr-FR"/>
        </w:rPr>
        <w:t>appui auraient permis, depuis leur création, d</w:t>
      </w:r>
      <w:r w:rsidR="00641467" w:rsidRPr="00AB08EC">
        <w:rPr>
          <w:lang w:val="fr-FR"/>
        </w:rPr>
        <w:t>’</w:t>
      </w:r>
      <w:r w:rsidR="00D60018" w:rsidRPr="00AB08EC">
        <w:rPr>
          <w:lang w:val="fr-FR"/>
        </w:rPr>
        <w:t>augmenter le nombre de dépôts de demandes de brevet</w:t>
      </w:r>
      <w:r w:rsidR="00576B83" w:rsidRPr="00AB08EC">
        <w:rPr>
          <w:lang w:val="fr-FR"/>
        </w:rPr>
        <w:t>.</w:t>
      </w:r>
    </w:p>
    <w:p w:rsidR="00641467" w:rsidRPr="00AB08EC" w:rsidRDefault="00022C9A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>Constatations n</w:t>
      </w:r>
      <w:r w:rsidRPr="00AB08EC">
        <w:rPr>
          <w:b/>
          <w:vertAlign w:val="superscript"/>
          <w:lang w:val="fr-FR"/>
        </w:rPr>
        <w:t>os</w:t>
      </w:r>
      <w:r w:rsidRPr="00AB08EC">
        <w:rPr>
          <w:b/>
          <w:lang w:val="fr-FR"/>
        </w:rPr>
        <w:t> </w:t>
      </w:r>
      <w:r w:rsidR="00576B83" w:rsidRPr="00AB08EC">
        <w:rPr>
          <w:b/>
          <w:lang w:val="fr-FR"/>
        </w:rPr>
        <w:t>12</w:t>
      </w:r>
      <w:r w:rsidR="00355011" w:rsidRPr="00AB08EC">
        <w:rPr>
          <w:b/>
          <w:lang w:val="fr-FR"/>
        </w:rPr>
        <w:t xml:space="preserve"> à </w:t>
      </w:r>
      <w:r w:rsidR="00576B83" w:rsidRPr="00AB08EC">
        <w:rPr>
          <w:b/>
          <w:lang w:val="fr-FR"/>
        </w:rPr>
        <w:t>14</w:t>
      </w:r>
      <w:r w:rsidRPr="00AB08EC">
        <w:rPr>
          <w:b/>
          <w:lang w:val="fr-FR"/>
        </w:rPr>
        <w:t> :</w:t>
      </w:r>
      <w:r w:rsidR="00576B83" w:rsidRPr="00AB08EC">
        <w:rPr>
          <w:lang w:val="fr-FR"/>
        </w:rPr>
        <w:t xml:space="preserve"> </w:t>
      </w:r>
      <w:r w:rsidR="00D60018" w:rsidRPr="00AB08EC">
        <w:rPr>
          <w:lang w:val="fr-FR"/>
        </w:rPr>
        <w:t>Bien que l</w:t>
      </w:r>
      <w:r w:rsidR="00641467" w:rsidRPr="00AB08EC">
        <w:rPr>
          <w:lang w:val="fr-FR"/>
        </w:rPr>
        <w:t>’</w:t>
      </w:r>
      <w:r w:rsidR="00D60018" w:rsidRPr="00AB08EC">
        <w:rPr>
          <w:lang w:val="fr-FR"/>
        </w:rPr>
        <w:t>appui fourni par l</w:t>
      </w:r>
      <w:r w:rsidR="00641467" w:rsidRPr="00AB08EC">
        <w:rPr>
          <w:lang w:val="fr-FR"/>
        </w:rPr>
        <w:t>’</w:t>
      </w:r>
      <w:r w:rsidR="00D60018" w:rsidRPr="00AB08EC">
        <w:rPr>
          <w:lang w:val="fr-FR"/>
        </w:rPr>
        <w:t xml:space="preserve">OMPI </w:t>
      </w:r>
      <w:r w:rsidR="00C8715B" w:rsidRPr="00AB08EC">
        <w:rPr>
          <w:lang w:val="fr-FR"/>
        </w:rPr>
        <w:t>soit</w:t>
      </w:r>
      <w:r w:rsidR="00D60018" w:rsidRPr="00AB08EC">
        <w:rPr>
          <w:lang w:val="fr-FR"/>
        </w:rPr>
        <w:t xml:space="preserve"> jugé essentiel en ce qui concerne la viabilité à long terme des centres d</w:t>
      </w:r>
      <w:r w:rsidR="00641467" w:rsidRPr="00AB08EC">
        <w:rPr>
          <w:lang w:val="fr-FR"/>
        </w:rPr>
        <w:t>’</w:t>
      </w:r>
      <w:r w:rsidR="00D60018" w:rsidRPr="00AB08EC">
        <w:rPr>
          <w:lang w:val="fr-FR"/>
        </w:rPr>
        <w:t>appui, l</w:t>
      </w:r>
      <w:r w:rsidR="00641467" w:rsidRPr="00AB08EC">
        <w:rPr>
          <w:lang w:val="fr-FR"/>
        </w:rPr>
        <w:t>’</w:t>
      </w:r>
      <w:r w:rsidR="00D60018" w:rsidRPr="00AB08EC">
        <w:rPr>
          <w:lang w:val="fr-FR"/>
        </w:rPr>
        <w:t>appui fourni par les offices nationaux de propriété intellectuelle, les autorités nationales et régionales et les institutions hôtes est tout aussi important</w:t>
      </w:r>
      <w:r w:rsidR="00576B83" w:rsidRPr="00AB08EC">
        <w:rPr>
          <w:lang w:val="fr-FR"/>
        </w:rPr>
        <w:t xml:space="preserve">. </w:t>
      </w:r>
      <w:r w:rsidR="007C7769" w:rsidRPr="00AB08EC">
        <w:rPr>
          <w:lang w:val="fr-FR"/>
        </w:rPr>
        <w:t xml:space="preserve"> </w:t>
      </w:r>
      <w:r w:rsidR="00D60018" w:rsidRPr="00AB08EC">
        <w:rPr>
          <w:lang w:val="fr-FR"/>
        </w:rPr>
        <w:t>Les centres d</w:t>
      </w:r>
      <w:r w:rsidR="00641467" w:rsidRPr="00AB08EC">
        <w:rPr>
          <w:lang w:val="fr-FR"/>
        </w:rPr>
        <w:t>’</w:t>
      </w:r>
      <w:r w:rsidR="00D60018" w:rsidRPr="00AB08EC">
        <w:rPr>
          <w:lang w:val="fr-FR"/>
        </w:rPr>
        <w:t>appui offrant des services à la</w:t>
      </w:r>
      <w:r w:rsidR="00C8715B" w:rsidRPr="00AB08EC">
        <w:rPr>
          <w:lang w:val="fr-FR"/>
        </w:rPr>
        <w:t xml:space="preserve"> fois utiles et de qualité tend</w:t>
      </w:r>
      <w:r w:rsidR="00D60018" w:rsidRPr="00AB08EC">
        <w:rPr>
          <w:lang w:val="fr-FR"/>
        </w:rPr>
        <w:t>ent à bénéficier d</w:t>
      </w:r>
      <w:r w:rsidR="00641467" w:rsidRPr="00AB08EC">
        <w:rPr>
          <w:lang w:val="fr-FR"/>
        </w:rPr>
        <w:t>’</w:t>
      </w:r>
      <w:r w:rsidR="00C8715B" w:rsidRPr="00AB08EC">
        <w:rPr>
          <w:lang w:val="fr-FR"/>
        </w:rPr>
        <w:t>un tel appui et so</w:t>
      </w:r>
      <w:r w:rsidR="00D60018" w:rsidRPr="00AB08EC">
        <w:rPr>
          <w:lang w:val="fr-FR"/>
        </w:rPr>
        <w:t>nt considérés comme jouant un rôle essentiel dans le cadre des stratégies et priorités nationales en matière de propriété intellectuelle</w:t>
      </w:r>
      <w:r w:rsidR="00576B83" w:rsidRPr="00AB08EC">
        <w:rPr>
          <w:lang w:val="fr-FR"/>
        </w:rPr>
        <w:t>.</w:t>
      </w:r>
      <w:r w:rsidR="007C7769" w:rsidRPr="00AB08EC">
        <w:rPr>
          <w:lang w:val="fr-FR"/>
        </w:rPr>
        <w:t xml:space="preserve"> </w:t>
      </w:r>
      <w:r w:rsidR="00576B83" w:rsidRPr="00AB08EC">
        <w:rPr>
          <w:lang w:val="fr-FR"/>
        </w:rPr>
        <w:t xml:space="preserve"> </w:t>
      </w:r>
      <w:r w:rsidR="00D60018" w:rsidRPr="00AB08EC">
        <w:rPr>
          <w:lang w:val="fr-FR"/>
        </w:rPr>
        <w:t>Les réseaux de centres d</w:t>
      </w:r>
      <w:r w:rsidR="00641467" w:rsidRPr="00AB08EC">
        <w:rPr>
          <w:lang w:val="fr-FR"/>
        </w:rPr>
        <w:t>’</w:t>
      </w:r>
      <w:r w:rsidR="00C8715B" w:rsidRPr="00AB08EC">
        <w:rPr>
          <w:lang w:val="fr-FR"/>
        </w:rPr>
        <w:t>appui créés so</w:t>
      </w:r>
      <w:r w:rsidR="00D60018" w:rsidRPr="00AB08EC">
        <w:rPr>
          <w:lang w:val="fr-FR"/>
        </w:rPr>
        <w:t>nt fondés sur un</w:t>
      </w:r>
      <w:r w:rsidR="00C8715B" w:rsidRPr="00AB08EC">
        <w:rPr>
          <w:lang w:val="fr-FR"/>
        </w:rPr>
        <w:t xml:space="preserve">e structure </w:t>
      </w:r>
      <w:r w:rsidR="00D60018" w:rsidRPr="00AB08EC">
        <w:rPr>
          <w:lang w:val="fr-FR"/>
        </w:rPr>
        <w:t>comprenant un coordonnateur (national) central et un réseau de centres d</w:t>
      </w:r>
      <w:r w:rsidR="00641467" w:rsidRPr="00AB08EC">
        <w:rPr>
          <w:lang w:val="fr-FR"/>
        </w:rPr>
        <w:t>’</w:t>
      </w:r>
      <w:r w:rsidR="00D60018" w:rsidRPr="00AB08EC">
        <w:rPr>
          <w:lang w:val="fr-FR"/>
        </w:rPr>
        <w:t>appui</w:t>
      </w:r>
      <w:r w:rsidR="00576B83" w:rsidRPr="00AB08EC">
        <w:rPr>
          <w:lang w:val="fr-FR"/>
        </w:rPr>
        <w:t xml:space="preserve">. </w:t>
      </w:r>
      <w:r w:rsidR="007C7769" w:rsidRPr="00AB08EC">
        <w:rPr>
          <w:lang w:val="fr-FR"/>
        </w:rPr>
        <w:t xml:space="preserve"> </w:t>
      </w:r>
      <w:r w:rsidR="00D60018" w:rsidRPr="00AB08EC">
        <w:rPr>
          <w:lang w:val="fr-FR"/>
        </w:rPr>
        <w:t>Le personnel des centres d</w:t>
      </w:r>
      <w:r w:rsidR="00641467" w:rsidRPr="00AB08EC">
        <w:rPr>
          <w:lang w:val="fr-FR"/>
        </w:rPr>
        <w:t>’</w:t>
      </w:r>
      <w:r w:rsidR="00D60018" w:rsidRPr="00AB08EC">
        <w:rPr>
          <w:lang w:val="fr-FR"/>
        </w:rPr>
        <w:t>appui interrogé a indiqué qu</w:t>
      </w:r>
      <w:r w:rsidR="00641467" w:rsidRPr="00AB08EC">
        <w:rPr>
          <w:lang w:val="fr-FR"/>
        </w:rPr>
        <w:t>’</w:t>
      </w:r>
      <w:r w:rsidR="00D60018" w:rsidRPr="00AB08EC">
        <w:rPr>
          <w:lang w:val="fr-FR"/>
        </w:rPr>
        <w:t xml:space="preserve">il était </w:t>
      </w:r>
      <w:r w:rsidR="00D60018" w:rsidRPr="00AB08EC">
        <w:rPr>
          <w:lang w:val="fr-FR"/>
        </w:rPr>
        <w:lastRenderedPageBreak/>
        <w:t>difficile de maintenir ce</w:t>
      </w:r>
      <w:r w:rsidR="00C8715B" w:rsidRPr="00AB08EC">
        <w:rPr>
          <w:lang w:val="fr-FR"/>
        </w:rPr>
        <w:t>tte</w:t>
      </w:r>
      <w:r w:rsidR="00D60018" w:rsidRPr="00AB08EC">
        <w:rPr>
          <w:lang w:val="fr-FR"/>
        </w:rPr>
        <w:t xml:space="preserve"> </w:t>
      </w:r>
      <w:r w:rsidR="00C8715B" w:rsidRPr="00AB08EC">
        <w:rPr>
          <w:lang w:val="fr-FR"/>
        </w:rPr>
        <w:t>structure</w:t>
      </w:r>
      <w:r w:rsidR="00D60018" w:rsidRPr="00AB08EC">
        <w:rPr>
          <w:lang w:val="fr-FR"/>
        </w:rPr>
        <w:t xml:space="preserve">, compte tenu de sa </w:t>
      </w:r>
      <w:r w:rsidR="00C8715B" w:rsidRPr="00AB08EC">
        <w:rPr>
          <w:lang w:val="fr-FR"/>
        </w:rPr>
        <w:t>disposition</w:t>
      </w:r>
      <w:r w:rsidR="00D60018" w:rsidRPr="00AB08EC">
        <w:rPr>
          <w:lang w:val="fr-FR"/>
        </w:rPr>
        <w:t xml:space="preserve"> en réseau et des stratégies d</w:t>
      </w:r>
      <w:r w:rsidR="00641467" w:rsidRPr="00AB08EC">
        <w:rPr>
          <w:lang w:val="fr-FR"/>
        </w:rPr>
        <w:t>’</w:t>
      </w:r>
      <w:r w:rsidR="00D60018" w:rsidRPr="00AB08EC">
        <w:rPr>
          <w:lang w:val="fr-FR"/>
        </w:rPr>
        <w:t>adaptation requises</w:t>
      </w:r>
      <w:r w:rsidR="00576B83" w:rsidRPr="00AB08EC">
        <w:rPr>
          <w:lang w:val="fr-FR"/>
        </w:rPr>
        <w:t xml:space="preserve">. </w:t>
      </w:r>
      <w:r w:rsidR="007C7769" w:rsidRPr="00AB08EC">
        <w:rPr>
          <w:lang w:val="fr-FR"/>
        </w:rPr>
        <w:t xml:space="preserve"> </w:t>
      </w:r>
      <w:r w:rsidR="00D60018" w:rsidRPr="00AB08EC">
        <w:rPr>
          <w:lang w:val="fr-FR"/>
        </w:rPr>
        <w:t>L</w:t>
      </w:r>
      <w:r w:rsidR="00641467" w:rsidRPr="00AB08EC">
        <w:rPr>
          <w:lang w:val="fr-FR"/>
        </w:rPr>
        <w:t>’</w:t>
      </w:r>
      <w:r w:rsidR="00D60018" w:rsidRPr="00AB08EC">
        <w:rPr>
          <w:lang w:val="fr-FR"/>
        </w:rPr>
        <w:t xml:space="preserve">équipe chargée du projet a </w:t>
      </w:r>
      <w:r w:rsidR="00351644" w:rsidRPr="00AB08EC">
        <w:rPr>
          <w:lang w:val="fr-FR"/>
        </w:rPr>
        <w:t>eu des</w:t>
      </w:r>
      <w:r w:rsidR="00D60018" w:rsidRPr="00AB08EC">
        <w:rPr>
          <w:lang w:val="fr-FR"/>
        </w:rPr>
        <w:t xml:space="preserve"> difficultés</w:t>
      </w:r>
      <w:r w:rsidR="00351644" w:rsidRPr="00AB08EC">
        <w:rPr>
          <w:lang w:val="fr-FR"/>
        </w:rPr>
        <w:t xml:space="preserve"> à répondre à toutes les demandes d</w:t>
      </w:r>
      <w:r w:rsidR="00641467" w:rsidRPr="00AB08EC">
        <w:rPr>
          <w:lang w:val="fr-FR"/>
        </w:rPr>
        <w:t>’</w:t>
      </w:r>
      <w:r w:rsidR="00351644" w:rsidRPr="00AB08EC">
        <w:rPr>
          <w:lang w:val="fr-FR"/>
        </w:rPr>
        <w:t xml:space="preserve">appui et a dû </w:t>
      </w:r>
      <w:proofErr w:type="gramStart"/>
      <w:r w:rsidR="00351644" w:rsidRPr="00AB08EC">
        <w:rPr>
          <w:lang w:val="fr-FR"/>
        </w:rPr>
        <w:t>mobiliser</w:t>
      </w:r>
      <w:proofErr w:type="gramEnd"/>
      <w:r w:rsidR="00351644" w:rsidRPr="00AB08EC">
        <w:rPr>
          <w:lang w:val="fr-FR"/>
        </w:rPr>
        <w:t xml:space="preserve"> des ressources budgétaires </w:t>
      </w:r>
      <w:r w:rsidR="00C8715B" w:rsidRPr="00AB08EC">
        <w:rPr>
          <w:lang w:val="fr-FR"/>
        </w:rPr>
        <w:t xml:space="preserve">provenant </w:t>
      </w:r>
      <w:r w:rsidR="00351644" w:rsidRPr="00AB08EC">
        <w:rPr>
          <w:lang w:val="fr-FR"/>
        </w:rPr>
        <w:t>d</w:t>
      </w:r>
      <w:r w:rsidR="00641467" w:rsidRPr="00AB08EC">
        <w:rPr>
          <w:lang w:val="fr-FR"/>
        </w:rPr>
        <w:t>’</w:t>
      </w:r>
      <w:r w:rsidR="00351644" w:rsidRPr="00AB08EC">
        <w:rPr>
          <w:lang w:val="fr-FR"/>
        </w:rPr>
        <w:t>autres services de l</w:t>
      </w:r>
      <w:r w:rsidR="00641467" w:rsidRPr="00AB08EC">
        <w:rPr>
          <w:lang w:val="fr-FR"/>
        </w:rPr>
        <w:t>’</w:t>
      </w:r>
      <w:r w:rsidR="00351644" w:rsidRPr="00AB08EC">
        <w:rPr>
          <w:lang w:val="fr-FR"/>
        </w:rPr>
        <w:t>OMPI</w:t>
      </w:r>
      <w:r w:rsidR="00576B83" w:rsidRPr="00AB08EC">
        <w:rPr>
          <w:lang w:val="fr-FR"/>
        </w:rPr>
        <w:t xml:space="preserve">; </w:t>
      </w:r>
      <w:r w:rsidR="00351644" w:rsidRPr="00AB08EC">
        <w:rPr>
          <w:lang w:val="fr-FR"/>
        </w:rPr>
        <w:t xml:space="preserve"> 59% du budget 2013 provenait d</w:t>
      </w:r>
      <w:r w:rsidR="00641467" w:rsidRPr="00AB08EC">
        <w:rPr>
          <w:lang w:val="fr-FR"/>
        </w:rPr>
        <w:t>’</w:t>
      </w:r>
      <w:r w:rsidR="00351644" w:rsidRPr="00AB08EC">
        <w:rPr>
          <w:lang w:val="fr-FR"/>
        </w:rPr>
        <w:t>autres services ou sources de l</w:t>
      </w:r>
      <w:r w:rsidR="00641467" w:rsidRPr="00AB08EC">
        <w:rPr>
          <w:lang w:val="fr-FR"/>
        </w:rPr>
        <w:t>’</w:t>
      </w:r>
      <w:r w:rsidR="00351644" w:rsidRPr="00AB08EC">
        <w:rPr>
          <w:lang w:val="fr-FR"/>
        </w:rPr>
        <w:t>OMPI</w:t>
      </w:r>
      <w:r w:rsidR="00576B83" w:rsidRPr="00AB08EC">
        <w:rPr>
          <w:lang w:val="fr-FR"/>
        </w:rPr>
        <w:t>.</w:t>
      </w:r>
    </w:p>
    <w:p w:rsidR="00641467" w:rsidRPr="00AB08EC" w:rsidRDefault="00022C9A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>Constatations n</w:t>
      </w:r>
      <w:r w:rsidRPr="00AB08EC">
        <w:rPr>
          <w:b/>
          <w:vertAlign w:val="superscript"/>
          <w:lang w:val="fr-FR"/>
        </w:rPr>
        <w:t>os </w:t>
      </w:r>
      <w:r w:rsidR="00576B83" w:rsidRPr="00AB08EC">
        <w:rPr>
          <w:b/>
          <w:lang w:val="fr-FR"/>
        </w:rPr>
        <w:t>15</w:t>
      </w:r>
      <w:r w:rsidR="00355011" w:rsidRPr="00AB08EC">
        <w:rPr>
          <w:b/>
          <w:lang w:val="fr-FR"/>
        </w:rPr>
        <w:t xml:space="preserve"> à </w:t>
      </w:r>
      <w:r w:rsidR="00576B83" w:rsidRPr="00AB08EC">
        <w:rPr>
          <w:b/>
          <w:lang w:val="fr-FR"/>
        </w:rPr>
        <w:t>18</w:t>
      </w:r>
      <w:r w:rsidRPr="00AB08EC">
        <w:rPr>
          <w:b/>
          <w:lang w:val="fr-FR"/>
        </w:rPr>
        <w:t> :</w:t>
      </w:r>
      <w:r w:rsidR="00576B83" w:rsidRPr="00AB08EC">
        <w:rPr>
          <w:lang w:val="fr-FR"/>
        </w:rPr>
        <w:t xml:space="preserve"> </w:t>
      </w:r>
      <w:r w:rsidR="00972EB2" w:rsidRPr="00AB08EC">
        <w:rPr>
          <w:lang w:val="fr-FR"/>
        </w:rPr>
        <w:t>L</w:t>
      </w:r>
      <w:r w:rsidR="00641467" w:rsidRPr="00AB08EC">
        <w:rPr>
          <w:lang w:val="fr-FR"/>
        </w:rPr>
        <w:t>’</w:t>
      </w:r>
      <w:r w:rsidR="00972EB2" w:rsidRPr="00AB08EC">
        <w:rPr>
          <w:lang w:val="fr-FR"/>
        </w:rPr>
        <w:t>augmentation du nombre de centres d</w:t>
      </w:r>
      <w:r w:rsidR="00641467" w:rsidRPr="00AB08EC">
        <w:rPr>
          <w:lang w:val="fr-FR"/>
        </w:rPr>
        <w:t>’</w:t>
      </w:r>
      <w:r w:rsidR="00972EB2" w:rsidRPr="00AB08EC">
        <w:rPr>
          <w:lang w:val="fr-FR"/>
        </w:rPr>
        <w:t>appui durant la phase II a été le résultat d</w:t>
      </w:r>
      <w:r w:rsidR="00641467" w:rsidRPr="00AB08EC">
        <w:rPr>
          <w:lang w:val="fr-FR"/>
        </w:rPr>
        <w:t>’</w:t>
      </w:r>
      <w:r w:rsidR="00972EB2" w:rsidRPr="00AB08EC">
        <w:rPr>
          <w:lang w:val="fr-FR"/>
        </w:rPr>
        <w:t>activités visant à renforcer leurs compétences et l</w:t>
      </w:r>
      <w:r w:rsidR="00C8715B" w:rsidRPr="00AB08EC">
        <w:rPr>
          <w:lang w:val="fr-FR"/>
        </w:rPr>
        <w:t>a gamme des</w:t>
      </w:r>
      <w:r w:rsidR="00972EB2" w:rsidRPr="00AB08EC">
        <w:rPr>
          <w:lang w:val="fr-FR"/>
        </w:rPr>
        <w:t xml:space="preserve"> services offerts.  Dans le cadre du programme de formation, des ateliers de niveau avancé ont été proposés</w:t>
      </w:r>
      <w:r w:rsidR="00576B83" w:rsidRPr="00AB08EC">
        <w:rPr>
          <w:lang w:val="fr-FR"/>
        </w:rPr>
        <w:t xml:space="preserve">.  </w:t>
      </w:r>
      <w:r w:rsidR="00972EB2" w:rsidRPr="00AB08EC">
        <w:rPr>
          <w:lang w:val="fr-FR"/>
        </w:rPr>
        <w:t>Durant la phase </w:t>
      </w:r>
      <w:r w:rsidR="00576B83" w:rsidRPr="00AB08EC">
        <w:rPr>
          <w:lang w:val="fr-FR"/>
        </w:rPr>
        <w:t xml:space="preserve">II, </w:t>
      </w:r>
      <w:r w:rsidR="00972EB2" w:rsidRPr="00AB08EC">
        <w:rPr>
          <w:lang w:val="fr-FR"/>
        </w:rPr>
        <w:t>l</w:t>
      </w:r>
      <w:r w:rsidR="00641467" w:rsidRPr="00AB08EC">
        <w:rPr>
          <w:lang w:val="fr-FR"/>
        </w:rPr>
        <w:t>’</w:t>
      </w:r>
      <w:r w:rsidR="00972EB2" w:rsidRPr="00AB08EC">
        <w:rPr>
          <w:lang w:val="fr-FR"/>
        </w:rPr>
        <w:t>utilisation des bases de données spécialisées s</w:t>
      </w:r>
      <w:r w:rsidR="00641467" w:rsidRPr="00AB08EC">
        <w:rPr>
          <w:lang w:val="fr-FR"/>
        </w:rPr>
        <w:t>’</w:t>
      </w:r>
      <w:r w:rsidR="00972EB2" w:rsidRPr="00AB08EC">
        <w:rPr>
          <w:lang w:val="fr-FR"/>
        </w:rPr>
        <w:t>est accrue : le nombre d</w:t>
      </w:r>
      <w:r w:rsidR="00641467" w:rsidRPr="00AB08EC">
        <w:rPr>
          <w:lang w:val="fr-FR"/>
        </w:rPr>
        <w:t>’</w:t>
      </w:r>
      <w:r w:rsidR="00972EB2" w:rsidRPr="00AB08EC">
        <w:rPr>
          <w:lang w:val="fr-FR"/>
        </w:rPr>
        <w:t xml:space="preserve">institutions utilisant le programme </w:t>
      </w:r>
      <w:proofErr w:type="spellStart"/>
      <w:r w:rsidR="00972EB2" w:rsidRPr="00AB08EC">
        <w:rPr>
          <w:lang w:val="fr-FR"/>
        </w:rPr>
        <w:t>aRDi</w:t>
      </w:r>
      <w:proofErr w:type="spellEnd"/>
      <w:r w:rsidR="00972EB2" w:rsidRPr="00AB08EC">
        <w:rPr>
          <w:lang w:val="fr-FR"/>
        </w:rPr>
        <w:t xml:space="preserve"> a plus que triplé par rapport au nombre d</w:t>
      </w:r>
      <w:r w:rsidR="00641467" w:rsidRPr="00AB08EC">
        <w:rPr>
          <w:lang w:val="fr-FR"/>
        </w:rPr>
        <w:t>’</w:t>
      </w:r>
      <w:r w:rsidR="00972EB2" w:rsidRPr="00AB08EC">
        <w:rPr>
          <w:lang w:val="fr-FR"/>
        </w:rPr>
        <w:t>institutions utilisant le programme ASPI</w:t>
      </w:r>
      <w:r w:rsidR="00576B83" w:rsidRPr="00AB08EC">
        <w:rPr>
          <w:lang w:val="fr-FR"/>
        </w:rPr>
        <w:t xml:space="preserve">. </w:t>
      </w:r>
      <w:r w:rsidR="007C7769" w:rsidRPr="00AB08EC">
        <w:rPr>
          <w:lang w:val="fr-FR"/>
        </w:rPr>
        <w:t xml:space="preserve"> </w:t>
      </w:r>
      <w:r w:rsidR="00C8715B" w:rsidRPr="00AB08EC">
        <w:rPr>
          <w:lang w:val="fr-FR"/>
        </w:rPr>
        <w:t>Les compétences</w:t>
      </w:r>
      <w:r w:rsidR="00972EB2" w:rsidRPr="00AB08EC">
        <w:rPr>
          <w:lang w:val="fr-FR"/>
        </w:rPr>
        <w:t xml:space="preserve"> et les réseaux ainsi constitués </w:t>
      </w:r>
      <w:r w:rsidR="00C8715B" w:rsidRPr="00AB08EC">
        <w:rPr>
          <w:lang w:val="fr-FR"/>
        </w:rPr>
        <w:t>ont été</w:t>
      </w:r>
      <w:r w:rsidR="00972EB2" w:rsidRPr="00AB08EC">
        <w:rPr>
          <w:lang w:val="fr-FR"/>
        </w:rPr>
        <w:t xml:space="preserve"> renforcés à trois</w:t>
      </w:r>
      <w:r w:rsidR="00120B0A" w:rsidRPr="00AB08EC">
        <w:rPr>
          <w:lang w:val="fr-FR"/>
        </w:rPr>
        <w:t> </w:t>
      </w:r>
      <w:r w:rsidR="00972EB2" w:rsidRPr="00AB08EC">
        <w:rPr>
          <w:lang w:val="fr-FR"/>
        </w:rPr>
        <w:t>niveaux : national, régional et mondial</w:t>
      </w:r>
      <w:r w:rsidR="00576B83" w:rsidRPr="00AB08EC">
        <w:rPr>
          <w:lang w:val="fr-FR"/>
        </w:rPr>
        <w:t>.</w:t>
      </w:r>
      <w:r w:rsidR="007C7769" w:rsidRPr="00AB08EC">
        <w:rPr>
          <w:lang w:val="fr-FR"/>
        </w:rPr>
        <w:t xml:space="preserve"> </w:t>
      </w:r>
      <w:r w:rsidR="00576B83" w:rsidRPr="00AB08EC">
        <w:rPr>
          <w:lang w:val="fr-FR"/>
        </w:rPr>
        <w:t xml:space="preserve"> </w:t>
      </w:r>
      <w:r w:rsidR="00972EB2" w:rsidRPr="00AB08EC">
        <w:rPr>
          <w:lang w:val="fr-FR"/>
        </w:rPr>
        <w:t>Cet effet de levier a également été influencé par des facteurs extérieurs</w:t>
      </w:r>
      <w:r w:rsidR="000D230D" w:rsidRPr="00AB08EC">
        <w:rPr>
          <w:lang w:val="fr-FR"/>
        </w:rPr>
        <w:t>.</w:t>
      </w:r>
    </w:p>
    <w:p w:rsidR="007C74A8" w:rsidRPr="00AB08EC" w:rsidRDefault="00022C9A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>Constatations n</w:t>
      </w:r>
      <w:r w:rsidRPr="00AB08EC">
        <w:rPr>
          <w:b/>
          <w:vertAlign w:val="superscript"/>
          <w:lang w:val="fr-FR"/>
        </w:rPr>
        <w:t>os</w:t>
      </w:r>
      <w:r w:rsidRPr="00AB08EC">
        <w:rPr>
          <w:b/>
          <w:lang w:val="fr-FR"/>
        </w:rPr>
        <w:t> </w:t>
      </w:r>
      <w:r w:rsidR="00576B83" w:rsidRPr="00AB08EC">
        <w:rPr>
          <w:b/>
          <w:lang w:val="fr-FR"/>
        </w:rPr>
        <w:t>19</w:t>
      </w:r>
      <w:r w:rsidR="00355011" w:rsidRPr="00AB08EC">
        <w:rPr>
          <w:b/>
          <w:lang w:val="fr-FR"/>
        </w:rPr>
        <w:t xml:space="preserve"> à </w:t>
      </w:r>
      <w:r w:rsidR="00576B83" w:rsidRPr="00AB08EC">
        <w:rPr>
          <w:b/>
          <w:lang w:val="fr-FR"/>
        </w:rPr>
        <w:t>22</w:t>
      </w:r>
      <w:r w:rsidRPr="00AB08EC">
        <w:rPr>
          <w:b/>
          <w:lang w:val="fr-FR"/>
        </w:rPr>
        <w:t> :</w:t>
      </w:r>
      <w:r w:rsidR="00576B83" w:rsidRPr="00AB08EC">
        <w:rPr>
          <w:lang w:val="fr-FR"/>
        </w:rPr>
        <w:t xml:space="preserve"> </w:t>
      </w:r>
      <w:r w:rsidR="0039724E" w:rsidRPr="00AB08EC">
        <w:rPr>
          <w:lang w:val="fr-FR"/>
        </w:rPr>
        <w:t>Une</w:t>
      </w:r>
      <w:r w:rsidR="00A82B00" w:rsidRPr="00AB08EC">
        <w:rPr>
          <w:lang w:val="fr-FR"/>
        </w:rPr>
        <w:t xml:space="preserve"> des étapes fondamentales de la phase II a été la mise en place de la plate</w:t>
      </w:r>
      <w:r w:rsidR="0039724E" w:rsidRPr="00AB08EC">
        <w:rPr>
          <w:lang w:val="fr-FR"/>
        </w:rPr>
        <w:noBreakHyphen/>
      </w:r>
      <w:r w:rsidR="00A82B00" w:rsidRPr="00AB08EC">
        <w:rPr>
          <w:lang w:val="fr-FR"/>
        </w:rPr>
        <w:t>forme de gestion des connaissances en ligne</w:t>
      </w:r>
      <w:r w:rsidR="00576B83" w:rsidRPr="00AB08EC">
        <w:rPr>
          <w:lang w:val="fr-FR"/>
        </w:rPr>
        <w:t xml:space="preserve">. </w:t>
      </w:r>
      <w:r w:rsidR="007C7769" w:rsidRPr="00AB08EC">
        <w:rPr>
          <w:lang w:val="fr-FR"/>
        </w:rPr>
        <w:t xml:space="preserve"> </w:t>
      </w:r>
      <w:r w:rsidR="00A82B00" w:rsidRPr="00AB08EC">
        <w:rPr>
          <w:lang w:val="fr-FR"/>
        </w:rPr>
        <w:t xml:space="preserve">En </w:t>
      </w:r>
      <w:r w:rsidR="00641467" w:rsidRPr="00AB08EC">
        <w:rPr>
          <w:lang w:val="fr-FR"/>
        </w:rPr>
        <w:t>décembre 20</w:t>
      </w:r>
      <w:r w:rsidR="00A82B00" w:rsidRPr="00AB08EC">
        <w:rPr>
          <w:lang w:val="fr-FR"/>
        </w:rPr>
        <w:t>13, la plate</w:t>
      </w:r>
      <w:r w:rsidR="0039724E" w:rsidRPr="00AB08EC">
        <w:rPr>
          <w:lang w:val="fr-FR"/>
        </w:rPr>
        <w:noBreakHyphen/>
      </w:r>
      <w:r w:rsidR="00355011" w:rsidRPr="00AB08EC">
        <w:rPr>
          <w:lang w:val="fr-FR"/>
        </w:rPr>
        <w:t>forme comptait 650 </w:t>
      </w:r>
      <w:r w:rsidR="00A82B00" w:rsidRPr="00AB08EC">
        <w:rPr>
          <w:lang w:val="fr-FR"/>
        </w:rPr>
        <w:t>personnes inscrites et avait été consultée plus de</w:t>
      </w:r>
      <w:r w:rsidR="00120B0A" w:rsidRPr="00AB08EC">
        <w:rPr>
          <w:lang w:val="fr-FR"/>
        </w:rPr>
        <w:t> </w:t>
      </w:r>
      <w:r w:rsidR="00A82B00" w:rsidRPr="00AB08EC">
        <w:rPr>
          <w:lang w:val="fr-FR"/>
        </w:rPr>
        <w:t>4700 fois</w:t>
      </w:r>
      <w:r w:rsidR="00576B83" w:rsidRPr="00AB08EC">
        <w:rPr>
          <w:lang w:val="fr-FR"/>
        </w:rPr>
        <w:t xml:space="preserve">. </w:t>
      </w:r>
      <w:r w:rsidR="007C7769" w:rsidRPr="00AB08EC">
        <w:rPr>
          <w:lang w:val="fr-FR"/>
        </w:rPr>
        <w:t xml:space="preserve"> </w:t>
      </w:r>
      <w:r w:rsidR="00355011" w:rsidRPr="00AB08EC">
        <w:rPr>
          <w:lang w:val="fr-FR"/>
        </w:rPr>
        <w:t>Le </w:t>
      </w:r>
      <w:r w:rsidR="00A82B00" w:rsidRPr="00AB08EC">
        <w:rPr>
          <w:lang w:val="fr-FR"/>
        </w:rPr>
        <w:t>nombre de contributions des membres, sous forme de questions, de commentaires ou de messages</w:t>
      </w:r>
      <w:r w:rsidR="00C8715B" w:rsidRPr="00AB08EC">
        <w:rPr>
          <w:lang w:val="fr-FR"/>
        </w:rPr>
        <w:t>,</w:t>
      </w:r>
      <w:r w:rsidR="00A82B00" w:rsidRPr="00AB08EC">
        <w:rPr>
          <w:lang w:val="fr-FR"/>
        </w:rPr>
        <w:t xml:space="preserve"> s</w:t>
      </w:r>
      <w:r w:rsidR="00641467" w:rsidRPr="00AB08EC">
        <w:rPr>
          <w:lang w:val="fr-FR"/>
        </w:rPr>
        <w:t>’</w:t>
      </w:r>
      <w:r w:rsidR="00355011" w:rsidRPr="00AB08EC">
        <w:rPr>
          <w:lang w:val="fr-FR"/>
        </w:rPr>
        <w:t>élevait à </w:t>
      </w:r>
      <w:r w:rsidR="00A82B00" w:rsidRPr="00AB08EC">
        <w:rPr>
          <w:lang w:val="fr-FR"/>
        </w:rPr>
        <w:t>519 depuis le lancement de la plate</w:t>
      </w:r>
      <w:r w:rsidR="0039724E" w:rsidRPr="00AB08EC">
        <w:rPr>
          <w:lang w:val="fr-FR"/>
        </w:rPr>
        <w:noBreakHyphen/>
      </w:r>
      <w:r w:rsidR="00A82B00" w:rsidRPr="00AB08EC">
        <w:rPr>
          <w:lang w:val="fr-FR"/>
        </w:rPr>
        <w:t xml:space="preserve">forme, </w:t>
      </w:r>
      <w:r w:rsidR="00C8715B" w:rsidRPr="00AB08EC">
        <w:rPr>
          <w:lang w:val="fr-FR"/>
        </w:rPr>
        <w:t xml:space="preserve">ce qui signifie </w:t>
      </w:r>
      <w:r w:rsidR="00EC348B">
        <w:rPr>
          <w:lang w:val="fr-FR"/>
        </w:rPr>
        <w:t>que 80% des membres o</w:t>
      </w:r>
      <w:r w:rsidR="00A82B00" w:rsidRPr="00AB08EC">
        <w:rPr>
          <w:lang w:val="fr-FR"/>
        </w:rPr>
        <w:t>nt utilisé la plate</w:t>
      </w:r>
      <w:r w:rsidR="0039724E" w:rsidRPr="00AB08EC">
        <w:rPr>
          <w:lang w:val="fr-FR"/>
        </w:rPr>
        <w:noBreakHyphen/>
      </w:r>
      <w:r w:rsidR="00A82B00" w:rsidRPr="00AB08EC">
        <w:rPr>
          <w:lang w:val="fr-FR"/>
        </w:rPr>
        <w:t>forme au moins une fois.  Le personnel des centres d</w:t>
      </w:r>
      <w:r w:rsidR="00641467" w:rsidRPr="00AB08EC">
        <w:rPr>
          <w:lang w:val="fr-FR"/>
        </w:rPr>
        <w:t>’</w:t>
      </w:r>
      <w:r w:rsidR="00A82B00" w:rsidRPr="00AB08EC">
        <w:rPr>
          <w:lang w:val="fr-FR"/>
        </w:rPr>
        <w:t>appui interrogé connaissait cette plate</w:t>
      </w:r>
      <w:r w:rsidR="0039724E" w:rsidRPr="00AB08EC">
        <w:rPr>
          <w:lang w:val="fr-FR"/>
        </w:rPr>
        <w:noBreakHyphen/>
      </w:r>
      <w:r w:rsidR="00A82B00" w:rsidRPr="00AB08EC">
        <w:rPr>
          <w:lang w:val="fr-FR"/>
        </w:rPr>
        <w:t>forme et avait dans l</w:t>
      </w:r>
      <w:r w:rsidR="00641467" w:rsidRPr="00AB08EC">
        <w:rPr>
          <w:lang w:val="fr-FR"/>
        </w:rPr>
        <w:t>’</w:t>
      </w:r>
      <w:r w:rsidR="00A82B00" w:rsidRPr="00AB08EC">
        <w:rPr>
          <w:lang w:val="fr-FR"/>
        </w:rPr>
        <w:t>ensemble consulté celle</w:t>
      </w:r>
      <w:r w:rsidR="0039724E" w:rsidRPr="00AB08EC">
        <w:rPr>
          <w:lang w:val="fr-FR"/>
        </w:rPr>
        <w:noBreakHyphen/>
      </w:r>
      <w:r w:rsidR="00A82B00" w:rsidRPr="00AB08EC">
        <w:rPr>
          <w:lang w:val="fr-FR"/>
        </w:rPr>
        <w:t>ci ou s</w:t>
      </w:r>
      <w:r w:rsidR="00641467" w:rsidRPr="00AB08EC">
        <w:rPr>
          <w:lang w:val="fr-FR"/>
        </w:rPr>
        <w:t>’</w:t>
      </w:r>
      <w:r w:rsidR="00A82B00" w:rsidRPr="00AB08EC">
        <w:rPr>
          <w:lang w:val="fr-FR"/>
        </w:rPr>
        <w:t>était inscrit sur celle</w:t>
      </w:r>
      <w:r w:rsidR="0039724E" w:rsidRPr="00AB08EC">
        <w:rPr>
          <w:lang w:val="fr-FR"/>
        </w:rPr>
        <w:noBreakHyphen/>
      </w:r>
      <w:r w:rsidR="00A82B00" w:rsidRPr="00AB08EC">
        <w:rPr>
          <w:lang w:val="fr-FR"/>
        </w:rPr>
        <w:t xml:space="preserve">ci.  Certaines personnes </w:t>
      </w:r>
      <w:r w:rsidR="0094221E" w:rsidRPr="00AB08EC">
        <w:rPr>
          <w:lang w:val="fr-FR"/>
        </w:rPr>
        <w:t>ont indiqué que,</w:t>
      </w:r>
      <w:r w:rsidR="00A82B00" w:rsidRPr="00AB08EC">
        <w:rPr>
          <w:lang w:val="fr-FR"/>
        </w:rPr>
        <w:t xml:space="preserve"> pour des </w:t>
      </w:r>
      <w:r w:rsidR="0094221E" w:rsidRPr="00AB08EC">
        <w:rPr>
          <w:lang w:val="fr-FR"/>
        </w:rPr>
        <w:t>raisons</w:t>
      </w:r>
      <w:r w:rsidR="00A82B00" w:rsidRPr="00AB08EC">
        <w:rPr>
          <w:lang w:val="fr-FR"/>
        </w:rPr>
        <w:t xml:space="preserve"> de langue,</w:t>
      </w:r>
      <w:r w:rsidR="0094221E" w:rsidRPr="00AB08EC">
        <w:rPr>
          <w:lang w:val="fr-FR"/>
        </w:rPr>
        <w:t xml:space="preserve"> elles</w:t>
      </w:r>
      <w:r w:rsidR="00A82B00" w:rsidRPr="00AB08EC">
        <w:rPr>
          <w:lang w:val="fr-FR"/>
        </w:rPr>
        <w:t xml:space="preserve"> n</w:t>
      </w:r>
      <w:r w:rsidR="00641467" w:rsidRPr="00AB08EC">
        <w:rPr>
          <w:lang w:val="fr-FR"/>
        </w:rPr>
        <w:t>’</w:t>
      </w:r>
      <w:r w:rsidR="00A82B00" w:rsidRPr="00AB08EC">
        <w:rPr>
          <w:lang w:val="fr-FR"/>
        </w:rPr>
        <w:t xml:space="preserve">avaient pas pu utiliser pleinement </w:t>
      </w:r>
      <w:r w:rsidR="0094221E" w:rsidRPr="00AB08EC">
        <w:rPr>
          <w:lang w:val="fr-FR"/>
        </w:rPr>
        <w:t>la plate</w:t>
      </w:r>
      <w:r w:rsidR="0039724E" w:rsidRPr="00AB08EC">
        <w:rPr>
          <w:lang w:val="fr-FR"/>
        </w:rPr>
        <w:noBreakHyphen/>
      </w:r>
      <w:r w:rsidR="0094221E" w:rsidRPr="00AB08EC">
        <w:rPr>
          <w:lang w:val="fr-FR"/>
        </w:rPr>
        <w:t>forme (celle</w:t>
      </w:r>
      <w:r w:rsidR="0039724E" w:rsidRPr="00AB08EC">
        <w:rPr>
          <w:lang w:val="fr-FR"/>
        </w:rPr>
        <w:noBreakHyphen/>
      </w:r>
      <w:r w:rsidR="0094221E" w:rsidRPr="00AB08EC">
        <w:rPr>
          <w:lang w:val="fr-FR"/>
        </w:rPr>
        <w:t>ci étant en anglais uniquement), tandis que d</w:t>
      </w:r>
      <w:r w:rsidR="00641467" w:rsidRPr="00AB08EC">
        <w:rPr>
          <w:lang w:val="fr-FR"/>
        </w:rPr>
        <w:t>’</w:t>
      </w:r>
      <w:r w:rsidR="0094221E" w:rsidRPr="00AB08EC">
        <w:rPr>
          <w:lang w:val="fr-FR"/>
        </w:rPr>
        <w:t>autres personnes ont indiqué qu</w:t>
      </w:r>
      <w:r w:rsidR="00641467" w:rsidRPr="00AB08EC">
        <w:rPr>
          <w:lang w:val="fr-FR"/>
        </w:rPr>
        <w:t>’</w:t>
      </w:r>
      <w:r w:rsidR="0094221E" w:rsidRPr="00AB08EC">
        <w:rPr>
          <w:lang w:val="fr-FR"/>
        </w:rPr>
        <w:t xml:space="preserve">elles </w:t>
      </w:r>
      <w:r w:rsidR="00C8715B" w:rsidRPr="00AB08EC">
        <w:rPr>
          <w:lang w:val="fr-FR"/>
        </w:rPr>
        <w:t>avaient pu</w:t>
      </w:r>
      <w:r w:rsidR="0094221E" w:rsidRPr="00AB08EC">
        <w:rPr>
          <w:lang w:val="fr-FR"/>
        </w:rPr>
        <w:t xml:space="preserve"> participer et trouver des ressources dans leur propre langue sur la plate</w:t>
      </w:r>
      <w:r w:rsidR="0039724E" w:rsidRPr="00AB08EC">
        <w:rPr>
          <w:lang w:val="fr-FR"/>
        </w:rPr>
        <w:noBreakHyphen/>
      </w:r>
      <w:r w:rsidR="0094221E" w:rsidRPr="00AB08EC">
        <w:rPr>
          <w:lang w:val="fr-FR"/>
        </w:rPr>
        <w:t>forme.</w:t>
      </w:r>
    </w:p>
    <w:p w:rsidR="007C74A8" w:rsidRPr="00AB08EC" w:rsidRDefault="00022C9A" w:rsidP="00AD230F">
      <w:pPr>
        <w:pStyle w:val="Heading3"/>
        <w:rPr>
          <w:lang w:val="fr-FR"/>
        </w:rPr>
      </w:pPr>
      <w:r w:rsidRPr="00AB08EC">
        <w:rPr>
          <w:lang w:val="fr-FR"/>
        </w:rPr>
        <w:t>Viabilité</w:t>
      </w:r>
    </w:p>
    <w:p w:rsidR="00355011" w:rsidRPr="00AB08EC" w:rsidRDefault="00355011" w:rsidP="00AD230F">
      <w:pPr>
        <w:rPr>
          <w:lang w:val="fr-FR"/>
        </w:rPr>
      </w:pPr>
    </w:p>
    <w:p w:rsidR="007C74A8" w:rsidRPr="00AB08EC" w:rsidRDefault="00022C9A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>Constatations n</w:t>
      </w:r>
      <w:r w:rsidRPr="00AB08EC">
        <w:rPr>
          <w:b/>
          <w:vertAlign w:val="superscript"/>
          <w:lang w:val="fr-FR"/>
        </w:rPr>
        <w:t>os</w:t>
      </w:r>
      <w:r w:rsidRPr="00AB08EC">
        <w:rPr>
          <w:b/>
          <w:lang w:val="fr-FR"/>
        </w:rPr>
        <w:t> </w:t>
      </w:r>
      <w:r w:rsidR="00576B83" w:rsidRPr="00AB08EC">
        <w:rPr>
          <w:b/>
          <w:lang w:val="fr-FR"/>
        </w:rPr>
        <w:t>23</w:t>
      </w:r>
      <w:r w:rsidR="00355011" w:rsidRPr="00AB08EC">
        <w:rPr>
          <w:b/>
          <w:lang w:val="fr-FR"/>
        </w:rPr>
        <w:t xml:space="preserve"> à </w:t>
      </w:r>
      <w:r w:rsidR="00576B83" w:rsidRPr="00AB08EC">
        <w:rPr>
          <w:b/>
          <w:lang w:val="fr-FR"/>
        </w:rPr>
        <w:t>25</w:t>
      </w:r>
      <w:r w:rsidRPr="00AB08EC">
        <w:rPr>
          <w:b/>
          <w:lang w:val="fr-FR"/>
        </w:rPr>
        <w:t> :</w:t>
      </w:r>
      <w:r w:rsidR="00576B83" w:rsidRPr="00AB08EC">
        <w:rPr>
          <w:b/>
          <w:lang w:val="fr-FR"/>
        </w:rPr>
        <w:t xml:space="preserve"> </w:t>
      </w:r>
      <w:r w:rsidR="000D5897" w:rsidRPr="00AB08EC">
        <w:rPr>
          <w:lang w:val="fr-FR"/>
        </w:rPr>
        <w:t>La probabilité que les travaux visant à renforcer l</w:t>
      </w:r>
      <w:r w:rsidR="00641467" w:rsidRPr="00AB08EC">
        <w:rPr>
          <w:lang w:val="fr-FR"/>
        </w:rPr>
        <w:t>’</w:t>
      </w:r>
      <w:r w:rsidR="000D5897" w:rsidRPr="00AB08EC">
        <w:rPr>
          <w:lang w:val="fr-FR"/>
        </w:rPr>
        <w:t>accès aux bases de données spécialisées se poursuivent est élevée du fait que le projet a été intégré dans le budget de l</w:t>
      </w:r>
      <w:r w:rsidR="00641467" w:rsidRPr="00AB08EC">
        <w:rPr>
          <w:lang w:val="fr-FR"/>
        </w:rPr>
        <w:t>’</w:t>
      </w:r>
      <w:r w:rsidR="000D5897" w:rsidRPr="00AB08EC">
        <w:rPr>
          <w:lang w:val="fr-FR"/>
        </w:rPr>
        <w:t>OMPI</w:t>
      </w:r>
      <w:r w:rsidR="00576B83" w:rsidRPr="00AB08EC">
        <w:rPr>
          <w:lang w:val="fr-FR"/>
        </w:rPr>
        <w:t>.</w:t>
      </w:r>
      <w:r w:rsidR="007C7769" w:rsidRPr="00AB08EC">
        <w:rPr>
          <w:lang w:val="fr-FR"/>
        </w:rPr>
        <w:t xml:space="preserve"> </w:t>
      </w:r>
      <w:r w:rsidR="00576B83" w:rsidRPr="00AB08EC">
        <w:rPr>
          <w:lang w:val="fr-FR"/>
        </w:rPr>
        <w:t xml:space="preserve"> </w:t>
      </w:r>
      <w:r w:rsidR="000D5897" w:rsidRPr="00AB08EC">
        <w:rPr>
          <w:lang w:val="fr-FR"/>
        </w:rPr>
        <w:t>Toutefois, la viabilité du projet sur le long terme dépend également d</w:t>
      </w:r>
      <w:r w:rsidR="00641467" w:rsidRPr="00AB08EC">
        <w:rPr>
          <w:lang w:val="fr-FR"/>
        </w:rPr>
        <w:t>’</w:t>
      </w:r>
      <w:r w:rsidR="000D5897" w:rsidRPr="00AB08EC">
        <w:rPr>
          <w:lang w:val="fr-FR"/>
        </w:rPr>
        <w:t>autres facteurs, parmi lesquels on peut citer : la motivation et l</w:t>
      </w:r>
      <w:r w:rsidR="00641467" w:rsidRPr="00AB08EC">
        <w:rPr>
          <w:lang w:val="fr-FR"/>
        </w:rPr>
        <w:t>’</w:t>
      </w:r>
      <w:r w:rsidR="000D5897" w:rsidRPr="00AB08EC">
        <w:rPr>
          <w:lang w:val="fr-FR"/>
        </w:rPr>
        <w:t>engagement des institutions hôtes;  le niveau des connaissances, l</w:t>
      </w:r>
      <w:r w:rsidR="00641467" w:rsidRPr="00AB08EC">
        <w:rPr>
          <w:lang w:val="fr-FR"/>
        </w:rPr>
        <w:t>’</w:t>
      </w:r>
      <w:r w:rsidR="000D5897" w:rsidRPr="00AB08EC">
        <w:rPr>
          <w:lang w:val="fr-FR"/>
        </w:rPr>
        <w:t>intérêt manifesté et la gestion du savoir</w:t>
      </w:r>
      <w:r w:rsidR="0039724E" w:rsidRPr="00AB08EC">
        <w:rPr>
          <w:lang w:val="fr-FR"/>
        </w:rPr>
        <w:noBreakHyphen/>
      </w:r>
      <w:r w:rsidR="000D5897" w:rsidRPr="00AB08EC">
        <w:rPr>
          <w:lang w:val="fr-FR"/>
        </w:rPr>
        <w:t>faire en matière de propriété intellectuelle et d</w:t>
      </w:r>
      <w:r w:rsidR="00641467" w:rsidRPr="00AB08EC">
        <w:rPr>
          <w:lang w:val="fr-FR"/>
        </w:rPr>
        <w:t>’</w:t>
      </w:r>
      <w:r w:rsidR="000D5897" w:rsidRPr="00AB08EC">
        <w:rPr>
          <w:lang w:val="fr-FR"/>
        </w:rPr>
        <w:t>innovation parmi les utilisateurs potentiels;  la capacité du coordonnateur national de motiver et d</w:t>
      </w:r>
      <w:r w:rsidR="00641467" w:rsidRPr="00AB08EC">
        <w:rPr>
          <w:lang w:val="fr-FR"/>
        </w:rPr>
        <w:t>’</w:t>
      </w:r>
      <w:r w:rsidR="000D5897" w:rsidRPr="00AB08EC">
        <w:rPr>
          <w:lang w:val="fr-FR"/>
        </w:rPr>
        <w:t xml:space="preserve">animer </w:t>
      </w:r>
      <w:r w:rsidR="00BB553D" w:rsidRPr="00AB08EC">
        <w:rPr>
          <w:lang w:val="fr-FR"/>
        </w:rPr>
        <w:t>le réseau;  le niveau d</w:t>
      </w:r>
      <w:r w:rsidR="00641467" w:rsidRPr="00AB08EC">
        <w:rPr>
          <w:lang w:val="fr-FR"/>
        </w:rPr>
        <w:t>’</w:t>
      </w:r>
      <w:r w:rsidR="00BB553D" w:rsidRPr="00AB08EC">
        <w:rPr>
          <w:lang w:val="fr-FR"/>
        </w:rPr>
        <w:t>engagement entre les coordonnateurs nationaux et les institutions hôtes;  le niveau d</w:t>
      </w:r>
      <w:r w:rsidR="00641467" w:rsidRPr="00AB08EC">
        <w:rPr>
          <w:lang w:val="fr-FR"/>
        </w:rPr>
        <w:t>’</w:t>
      </w:r>
      <w:r w:rsidR="00BB553D" w:rsidRPr="00AB08EC">
        <w:rPr>
          <w:lang w:val="fr-FR"/>
        </w:rPr>
        <w:t>intégration des centres d</w:t>
      </w:r>
      <w:r w:rsidR="00641467" w:rsidRPr="00AB08EC">
        <w:rPr>
          <w:lang w:val="fr-FR"/>
        </w:rPr>
        <w:t>’</w:t>
      </w:r>
      <w:r w:rsidR="00BB553D" w:rsidRPr="00AB08EC">
        <w:rPr>
          <w:lang w:val="fr-FR"/>
        </w:rPr>
        <w:t>appui et de la propriété intellectuelle en général dans d</w:t>
      </w:r>
      <w:r w:rsidR="00641467" w:rsidRPr="00AB08EC">
        <w:rPr>
          <w:lang w:val="fr-FR"/>
        </w:rPr>
        <w:t>’</w:t>
      </w:r>
      <w:r w:rsidR="00BB553D" w:rsidRPr="00AB08EC">
        <w:rPr>
          <w:lang w:val="fr-FR"/>
        </w:rPr>
        <w:t>autres services d</w:t>
      </w:r>
      <w:r w:rsidR="00641467" w:rsidRPr="00AB08EC">
        <w:rPr>
          <w:lang w:val="fr-FR"/>
        </w:rPr>
        <w:t>’</w:t>
      </w:r>
      <w:r w:rsidR="00BB553D" w:rsidRPr="00AB08EC">
        <w:rPr>
          <w:lang w:val="fr-FR"/>
        </w:rPr>
        <w:t>innovation et programmes d</w:t>
      </w:r>
      <w:r w:rsidR="00641467" w:rsidRPr="00AB08EC">
        <w:rPr>
          <w:lang w:val="fr-FR"/>
        </w:rPr>
        <w:t>’</w:t>
      </w:r>
      <w:r w:rsidR="00BB553D" w:rsidRPr="00AB08EC">
        <w:rPr>
          <w:lang w:val="fr-FR"/>
        </w:rPr>
        <w:t>enseignement.</w:t>
      </w:r>
    </w:p>
    <w:p w:rsidR="00641467" w:rsidRPr="00AB08EC" w:rsidRDefault="00022C9A" w:rsidP="00AD230F">
      <w:pPr>
        <w:pStyle w:val="Heading3"/>
        <w:rPr>
          <w:lang w:val="fr-FR"/>
        </w:rPr>
      </w:pPr>
      <w:r w:rsidRPr="00AB08EC">
        <w:rPr>
          <w:lang w:val="fr-FR"/>
        </w:rPr>
        <w:t>Mise en œuvre des recommandations du Plan d</w:t>
      </w:r>
      <w:r w:rsidR="00641467" w:rsidRPr="00AB08EC">
        <w:rPr>
          <w:lang w:val="fr-FR"/>
        </w:rPr>
        <w:t>’</w:t>
      </w:r>
      <w:r w:rsidRPr="00AB08EC">
        <w:rPr>
          <w:lang w:val="fr-FR"/>
        </w:rPr>
        <w:t>action pour le développement</w:t>
      </w:r>
    </w:p>
    <w:p w:rsidR="007C74A8" w:rsidRPr="00AB08EC" w:rsidRDefault="007C74A8" w:rsidP="00AD230F">
      <w:pPr>
        <w:rPr>
          <w:lang w:val="fr-FR"/>
        </w:rPr>
      </w:pPr>
    </w:p>
    <w:p w:rsidR="00641467" w:rsidRPr="00AB08EC" w:rsidRDefault="00022C9A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>Constatations n</w:t>
      </w:r>
      <w:r w:rsidRPr="00AB08EC">
        <w:rPr>
          <w:b/>
          <w:vertAlign w:val="superscript"/>
          <w:lang w:val="fr-FR"/>
        </w:rPr>
        <w:t>os</w:t>
      </w:r>
      <w:r w:rsidRPr="00AB08EC">
        <w:rPr>
          <w:b/>
          <w:lang w:val="fr-FR"/>
        </w:rPr>
        <w:t> 2</w:t>
      </w:r>
      <w:r w:rsidR="00576B83" w:rsidRPr="00AB08EC">
        <w:rPr>
          <w:b/>
          <w:lang w:val="fr-FR"/>
        </w:rPr>
        <w:t>6</w:t>
      </w:r>
      <w:r w:rsidR="00355011" w:rsidRPr="00AB08EC">
        <w:rPr>
          <w:b/>
          <w:lang w:val="fr-FR"/>
        </w:rPr>
        <w:t xml:space="preserve"> à </w:t>
      </w:r>
      <w:r w:rsidR="00576B83" w:rsidRPr="00AB08EC">
        <w:rPr>
          <w:b/>
          <w:lang w:val="fr-FR"/>
        </w:rPr>
        <w:t>28</w:t>
      </w:r>
      <w:r w:rsidRPr="00AB08EC">
        <w:rPr>
          <w:b/>
          <w:lang w:val="fr-FR"/>
        </w:rPr>
        <w:t> :</w:t>
      </w:r>
      <w:r w:rsidR="00576B83" w:rsidRPr="00AB08EC">
        <w:rPr>
          <w:lang w:val="fr-FR"/>
        </w:rPr>
        <w:t xml:space="preserve"> </w:t>
      </w:r>
      <w:r w:rsidR="009D626F" w:rsidRPr="00AB08EC">
        <w:rPr>
          <w:lang w:val="fr-FR"/>
        </w:rPr>
        <w:t>Ce projet a dans une large mesure contribué à la réalisation de la recommandation n° 8 du Plan d</w:t>
      </w:r>
      <w:r w:rsidR="00641467" w:rsidRPr="00AB08EC">
        <w:rPr>
          <w:lang w:val="fr-FR"/>
        </w:rPr>
        <w:t>’</w:t>
      </w:r>
      <w:r w:rsidR="009D626F" w:rsidRPr="00AB08EC">
        <w:rPr>
          <w:lang w:val="fr-FR"/>
        </w:rPr>
        <w:t>action pour le développement, concernant le fait de faciliter l</w:t>
      </w:r>
      <w:r w:rsidR="00641467" w:rsidRPr="00AB08EC">
        <w:rPr>
          <w:lang w:val="fr-FR"/>
        </w:rPr>
        <w:t>’</w:t>
      </w:r>
      <w:r w:rsidR="009D626F" w:rsidRPr="00AB08EC">
        <w:rPr>
          <w:lang w:val="fr-FR"/>
        </w:rPr>
        <w:t>accès des pays en développement, en particulier</w:t>
      </w:r>
      <w:r w:rsidR="00641467" w:rsidRPr="00AB08EC">
        <w:rPr>
          <w:lang w:val="fr-FR"/>
        </w:rPr>
        <w:t xml:space="preserve"> des PMA</w:t>
      </w:r>
      <w:r w:rsidR="009D626F" w:rsidRPr="00AB08EC">
        <w:rPr>
          <w:lang w:val="fr-FR"/>
        </w:rPr>
        <w:t>, à des bases de données spécialisées aux fins de la recherche en matière de brevets.</w:t>
      </w:r>
      <w:r w:rsidR="00576B83" w:rsidRPr="00AB08EC">
        <w:rPr>
          <w:lang w:val="fr-FR"/>
        </w:rPr>
        <w:t xml:space="preserve"> </w:t>
      </w:r>
      <w:r w:rsidR="009D626F" w:rsidRPr="00AB08EC">
        <w:rPr>
          <w:lang w:val="fr-FR"/>
        </w:rPr>
        <w:t xml:space="preserve"> Une des étapes fondamentales du projet a été la création des bases de données des programmes </w:t>
      </w:r>
      <w:proofErr w:type="spellStart"/>
      <w:r w:rsidR="009D626F" w:rsidRPr="00AB08EC">
        <w:rPr>
          <w:lang w:val="fr-FR"/>
        </w:rPr>
        <w:t>aRDi</w:t>
      </w:r>
      <w:proofErr w:type="spellEnd"/>
      <w:r w:rsidR="009D626F" w:rsidRPr="00AB08EC">
        <w:rPr>
          <w:lang w:val="fr-FR"/>
        </w:rPr>
        <w:t xml:space="preserve"> et ASPI accessibles gratuitement</w:t>
      </w:r>
      <w:r w:rsidR="00641467" w:rsidRPr="00AB08EC">
        <w:rPr>
          <w:lang w:val="fr-FR"/>
        </w:rPr>
        <w:t xml:space="preserve"> aux PMA</w:t>
      </w:r>
      <w:r w:rsidR="009D626F" w:rsidRPr="00AB08EC">
        <w:rPr>
          <w:lang w:val="fr-FR"/>
        </w:rPr>
        <w:t xml:space="preserve"> et à</w:t>
      </w:r>
      <w:r w:rsidR="00C8715B" w:rsidRPr="00AB08EC">
        <w:rPr>
          <w:lang w:val="fr-FR"/>
        </w:rPr>
        <w:t xml:space="preserve"> un</w:t>
      </w:r>
      <w:r w:rsidR="009D626F" w:rsidRPr="00AB08EC">
        <w:rPr>
          <w:lang w:val="fr-FR"/>
        </w:rPr>
        <w:t xml:space="preserve"> moindre coût aux pays en développement</w:t>
      </w:r>
      <w:r w:rsidR="00576B83" w:rsidRPr="00AB08EC">
        <w:rPr>
          <w:lang w:val="fr-FR"/>
        </w:rPr>
        <w:t xml:space="preserve">. </w:t>
      </w:r>
      <w:r w:rsidR="007C7769" w:rsidRPr="00AB08EC">
        <w:rPr>
          <w:lang w:val="fr-FR"/>
        </w:rPr>
        <w:t xml:space="preserve"> </w:t>
      </w:r>
      <w:r w:rsidR="009D626F" w:rsidRPr="00AB08EC">
        <w:rPr>
          <w:lang w:val="fr-FR"/>
        </w:rPr>
        <w:t>Jusqu</w:t>
      </w:r>
      <w:r w:rsidR="00641467" w:rsidRPr="00AB08EC">
        <w:rPr>
          <w:lang w:val="fr-FR"/>
        </w:rPr>
        <w:t>’</w:t>
      </w:r>
      <w:r w:rsidR="009D626F" w:rsidRPr="00AB08EC">
        <w:rPr>
          <w:lang w:val="fr-FR"/>
        </w:rPr>
        <w:t xml:space="preserve">à présent, ces bases de données ont été utilisées principalement par des institutions établies en Afrique, </w:t>
      </w:r>
      <w:r w:rsidR="00C8715B" w:rsidRPr="00AB08EC">
        <w:rPr>
          <w:lang w:val="fr-FR"/>
        </w:rPr>
        <w:t>essentiellement</w:t>
      </w:r>
      <w:r w:rsidR="009D626F" w:rsidRPr="00AB08EC">
        <w:rPr>
          <w:lang w:val="fr-FR"/>
        </w:rPr>
        <w:t xml:space="preserve"> dans</w:t>
      </w:r>
      <w:r w:rsidR="00641467" w:rsidRPr="00AB08EC">
        <w:rPr>
          <w:lang w:val="fr-FR"/>
        </w:rPr>
        <w:t xml:space="preserve"> des PMA</w:t>
      </w:r>
      <w:r w:rsidR="009D626F" w:rsidRPr="00AB08EC">
        <w:rPr>
          <w:lang w:val="fr-FR"/>
        </w:rPr>
        <w:t xml:space="preserve"> </w:t>
      </w:r>
      <w:r w:rsidR="00C8715B" w:rsidRPr="00AB08EC">
        <w:rPr>
          <w:lang w:val="fr-FR"/>
        </w:rPr>
        <w:t>ou</w:t>
      </w:r>
      <w:r w:rsidR="009D626F" w:rsidRPr="00AB08EC">
        <w:rPr>
          <w:lang w:val="fr-FR"/>
        </w:rPr>
        <w:t xml:space="preserve"> des pays en développement</w:t>
      </w:r>
      <w:r w:rsidR="00576B83" w:rsidRPr="00AB08EC">
        <w:rPr>
          <w:lang w:val="fr-FR"/>
        </w:rPr>
        <w:t xml:space="preserve">. </w:t>
      </w:r>
      <w:r w:rsidR="007C7769" w:rsidRPr="00AB08EC">
        <w:rPr>
          <w:lang w:val="fr-FR"/>
        </w:rPr>
        <w:t xml:space="preserve"> </w:t>
      </w:r>
      <w:r w:rsidR="009D626F" w:rsidRPr="00AB08EC">
        <w:rPr>
          <w:lang w:val="fr-FR"/>
        </w:rPr>
        <w:t>Le projet a également joué un rôle central dans la promotion et dans l</w:t>
      </w:r>
      <w:r w:rsidR="00641467" w:rsidRPr="00AB08EC">
        <w:rPr>
          <w:lang w:val="fr-FR"/>
        </w:rPr>
        <w:t>’</w:t>
      </w:r>
      <w:r w:rsidR="009D626F" w:rsidRPr="00AB08EC">
        <w:rPr>
          <w:lang w:val="fr-FR"/>
        </w:rPr>
        <w:t>utilisation de ces bases de données</w:t>
      </w:r>
      <w:r w:rsidR="00576B83" w:rsidRPr="00AB08EC">
        <w:rPr>
          <w:lang w:val="fr-FR"/>
        </w:rPr>
        <w:t xml:space="preserve">. </w:t>
      </w:r>
      <w:r w:rsidR="007C7769" w:rsidRPr="00AB08EC">
        <w:rPr>
          <w:lang w:val="fr-FR"/>
        </w:rPr>
        <w:t xml:space="preserve"> </w:t>
      </w:r>
      <w:r w:rsidR="009D626F" w:rsidRPr="00AB08EC">
        <w:rPr>
          <w:lang w:val="fr-FR"/>
        </w:rPr>
        <w:t xml:space="preserve">La capacité des utilisateurs à </w:t>
      </w:r>
      <w:r w:rsidR="00EC348B">
        <w:rPr>
          <w:lang w:val="fr-FR"/>
        </w:rPr>
        <w:t>exploiter</w:t>
      </w:r>
      <w:r w:rsidR="00C8715B" w:rsidRPr="00AB08EC">
        <w:rPr>
          <w:lang w:val="fr-FR"/>
        </w:rPr>
        <w:t xml:space="preserve"> les</w:t>
      </w:r>
      <w:r w:rsidR="009D626F" w:rsidRPr="00AB08EC">
        <w:rPr>
          <w:lang w:val="fr-FR"/>
        </w:rPr>
        <w:t xml:space="preserve"> informations trouvées dans ces bases de données dans le cycle d</w:t>
      </w:r>
      <w:r w:rsidR="00641467" w:rsidRPr="00AB08EC">
        <w:rPr>
          <w:lang w:val="fr-FR"/>
        </w:rPr>
        <w:t>’</w:t>
      </w:r>
      <w:r w:rsidR="009D626F" w:rsidRPr="00AB08EC">
        <w:rPr>
          <w:lang w:val="fr-FR"/>
        </w:rPr>
        <w:t xml:space="preserve">innovation </w:t>
      </w:r>
      <w:r w:rsidR="00C8715B" w:rsidRPr="00AB08EC">
        <w:rPr>
          <w:lang w:val="fr-FR"/>
        </w:rPr>
        <w:t>dépend</w:t>
      </w:r>
      <w:r w:rsidR="00CB5CEC" w:rsidRPr="00AB08EC">
        <w:rPr>
          <w:lang w:val="fr-FR"/>
        </w:rPr>
        <w:t xml:space="preserve"> dans une large mesure du contexte et de facteurs extérieurs, comme indiqué ci</w:t>
      </w:r>
      <w:r w:rsidR="0039724E" w:rsidRPr="00AB08EC">
        <w:rPr>
          <w:lang w:val="fr-FR"/>
        </w:rPr>
        <w:noBreakHyphen/>
      </w:r>
      <w:r w:rsidR="00CB5CEC" w:rsidRPr="00AB08EC">
        <w:rPr>
          <w:lang w:val="fr-FR"/>
        </w:rPr>
        <w:t>dessus</w:t>
      </w:r>
      <w:r w:rsidR="00576B83" w:rsidRPr="00AB08EC">
        <w:rPr>
          <w:lang w:val="fr-FR"/>
        </w:rPr>
        <w:t>.</w:t>
      </w:r>
    </w:p>
    <w:p w:rsidR="00355011" w:rsidRPr="00AB08EC" w:rsidRDefault="00355011" w:rsidP="00AD230F">
      <w:pPr>
        <w:rPr>
          <w:rFonts w:cs="Times New Roman"/>
          <w:b/>
          <w:lang w:val="x-none"/>
        </w:rPr>
      </w:pPr>
      <w:r w:rsidRPr="005739FA">
        <w:rPr>
          <w:lang w:val="fr-CH"/>
        </w:rPr>
        <w:br w:type="page"/>
      </w:r>
    </w:p>
    <w:p w:rsidR="00641467" w:rsidRPr="00AB08EC" w:rsidRDefault="00FB6E4B" w:rsidP="00AD230F">
      <w:pPr>
        <w:pStyle w:val="Heading2"/>
      </w:pPr>
      <w:r w:rsidRPr="00AB08EC">
        <w:lastRenderedPageBreak/>
        <w:t xml:space="preserve">Conclusions </w:t>
      </w:r>
      <w:r w:rsidR="00022C9A" w:rsidRPr="00AB08EC">
        <w:t xml:space="preserve">et </w:t>
      </w:r>
      <w:proofErr w:type="spellStart"/>
      <w:r w:rsidR="00022C9A" w:rsidRPr="00AB08EC">
        <w:t>recomma</w:t>
      </w:r>
      <w:r w:rsidRPr="00AB08EC">
        <w:t>ndations</w:t>
      </w:r>
      <w:bookmarkEnd w:id="7"/>
      <w:bookmarkEnd w:id="8"/>
      <w:bookmarkEnd w:id="9"/>
      <w:proofErr w:type="spellEnd"/>
    </w:p>
    <w:p w:rsidR="00641467" w:rsidRPr="00AB08EC" w:rsidRDefault="00460326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>Conclusion</w:t>
      </w:r>
      <w:r w:rsidR="00022C9A" w:rsidRPr="00AB08EC">
        <w:rPr>
          <w:b/>
          <w:lang w:val="fr-FR"/>
        </w:rPr>
        <w:t xml:space="preserve"> n° </w:t>
      </w:r>
      <w:r w:rsidRPr="00AB08EC">
        <w:rPr>
          <w:b/>
          <w:lang w:val="fr-FR"/>
        </w:rPr>
        <w:t xml:space="preserve">1 </w:t>
      </w:r>
      <w:r w:rsidRPr="00AB08EC">
        <w:rPr>
          <w:b/>
          <w:i/>
          <w:lang w:val="fr-FR"/>
        </w:rPr>
        <w:t>(R</w:t>
      </w:r>
      <w:r w:rsidR="00022C9A" w:rsidRPr="00AB08EC">
        <w:rPr>
          <w:b/>
          <w:i/>
          <w:lang w:val="fr-FR"/>
        </w:rPr>
        <w:t>é</w:t>
      </w:r>
      <w:r w:rsidRPr="00AB08EC">
        <w:rPr>
          <w:b/>
          <w:i/>
          <w:lang w:val="fr-FR"/>
        </w:rPr>
        <w:t>f</w:t>
      </w:r>
      <w:r w:rsidR="00022C9A" w:rsidRPr="00AB08EC">
        <w:rPr>
          <w:b/>
          <w:i/>
          <w:lang w:val="fr-FR"/>
        </w:rPr>
        <w:t>.</w:t>
      </w:r>
      <w:r w:rsidR="00120B0A" w:rsidRPr="00AB08EC">
        <w:rPr>
          <w:b/>
          <w:i/>
          <w:lang w:val="fr-FR"/>
        </w:rPr>
        <w:t xml:space="preserve"> </w:t>
      </w:r>
      <w:r w:rsidR="00022C9A" w:rsidRPr="00AB08EC">
        <w:rPr>
          <w:b/>
          <w:i/>
          <w:lang w:val="fr-FR"/>
        </w:rPr>
        <w:t> :</w:t>
      </w:r>
      <w:r w:rsidRPr="00AB08EC">
        <w:rPr>
          <w:b/>
          <w:i/>
          <w:lang w:val="fr-FR"/>
        </w:rPr>
        <w:t xml:space="preserve"> </w:t>
      </w:r>
      <w:r w:rsidR="00022C9A" w:rsidRPr="00AB08EC">
        <w:rPr>
          <w:b/>
          <w:i/>
          <w:lang w:val="fr-FR"/>
        </w:rPr>
        <w:t>constatations n</w:t>
      </w:r>
      <w:r w:rsidR="00022C9A" w:rsidRPr="00AB08EC">
        <w:rPr>
          <w:b/>
          <w:i/>
          <w:vertAlign w:val="superscript"/>
          <w:lang w:val="fr-FR"/>
        </w:rPr>
        <w:t>os</w:t>
      </w:r>
      <w:r w:rsidR="00022C9A" w:rsidRPr="00AB08EC">
        <w:rPr>
          <w:b/>
          <w:i/>
          <w:lang w:val="fr-FR"/>
        </w:rPr>
        <w:t> </w:t>
      </w:r>
      <w:r w:rsidR="000D230D" w:rsidRPr="00AB08EC">
        <w:rPr>
          <w:b/>
          <w:i/>
          <w:lang w:val="fr-FR"/>
        </w:rPr>
        <w:t>7</w:t>
      </w:r>
      <w:r w:rsidR="00355011" w:rsidRPr="00AB08EC">
        <w:rPr>
          <w:b/>
          <w:i/>
          <w:lang w:val="fr-FR"/>
        </w:rPr>
        <w:t xml:space="preserve"> à </w:t>
      </w:r>
      <w:r w:rsidR="000D230D" w:rsidRPr="00AB08EC">
        <w:rPr>
          <w:b/>
          <w:i/>
          <w:lang w:val="fr-FR"/>
        </w:rPr>
        <w:t>22</w:t>
      </w:r>
      <w:r w:rsidRPr="00AB08EC">
        <w:rPr>
          <w:b/>
          <w:i/>
          <w:lang w:val="fr-FR"/>
        </w:rPr>
        <w:t>)</w:t>
      </w:r>
      <w:r w:rsidRPr="00AB08EC">
        <w:rPr>
          <w:i/>
          <w:lang w:val="fr-FR"/>
        </w:rPr>
        <w:t xml:space="preserve">.  </w:t>
      </w:r>
      <w:r w:rsidR="00D059E8" w:rsidRPr="00AB08EC">
        <w:rPr>
          <w:lang w:val="fr-FR"/>
        </w:rPr>
        <w:t>Dans l</w:t>
      </w:r>
      <w:r w:rsidR="00641467" w:rsidRPr="00AB08EC">
        <w:rPr>
          <w:lang w:val="fr-FR"/>
        </w:rPr>
        <w:t>’</w:t>
      </w:r>
      <w:r w:rsidR="00D059E8" w:rsidRPr="00AB08EC">
        <w:rPr>
          <w:lang w:val="fr-FR"/>
        </w:rPr>
        <w:t xml:space="preserve">ensemble, les objectifs prévus </w:t>
      </w:r>
      <w:r w:rsidR="00C8715B" w:rsidRPr="00AB08EC">
        <w:rPr>
          <w:lang w:val="fr-FR"/>
        </w:rPr>
        <w:t>pour</w:t>
      </w:r>
      <w:r w:rsidR="00D059E8" w:rsidRPr="00AB08EC">
        <w:rPr>
          <w:lang w:val="fr-FR"/>
        </w:rPr>
        <w:t xml:space="preserve"> les phases I et II</w:t>
      </w:r>
      <w:r w:rsidR="00EC348B">
        <w:rPr>
          <w:lang w:val="fr-FR"/>
        </w:rPr>
        <w:t xml:space="preserve"> ont été atteints, voire même dépassé</w:t>
      </w:r>
      <w:r w:rsidR="00C8715B" w:rsidRPr="00AB08EC">
        <w:rPr>
          <w:lang w:val="fr-FR"/>
        </w:rPr>
        <w:t>s</w:t>
      </w:r>
      <w:r w:rsidRPr="00AB08EC">
        <w:rPr>
          <w:lang w:val="fr-FR"/>
        </w:rPr>
        <w:t xml:space="preserve">. </w:t>
      </w:r>
      <w:r w:rsidR="007C7769" w:rsidRPr="00AB08EC">
        <w:rPr>
          <w:lang w:val="fr-FR"/>
        </w:rPr>
        <w:t xml:space="preserve"> </w:t>
      </w:r>
      <w:r w:rsidR="00C8715B" w:rsidRPr="00AB08EC">
        <w:rPr>
          <w:lang w:val="fr-FR"/>
        </w:rPr>
        <w:t>Le projet a été per</w:t>
      </w:r>
      <w:r w:rsidR="00D059E8" w:rsidRPr="00AB08EC">
        <w:rPr>
          <w:lang w:val="fr-FR"/>
        </w:rPr>
        <w:t>çu de manière positive à la fois au sein de l</w:t>
      </w:r>
      <w:r w:rsidR="00641467" w:rsidRPr="00AB08EC">
        <w:rPr>
          <w:lang w:val="fr-FR"/>
        </w:rPr>
        <w:t>’</w:t>
      </w:r>
      <w:r w:rsidR="00D059E8" w:rsidRPr="00AB08EC">
        <w:rPr>
          <w:lang w:val="fr-FR"/>
        </w:rPr>
        <w:t>OMPI et à l</w:t>
      </w:r>
      <w:r w:rsidR="00641467" w:rsidRPr="00AB08EC">
        <w:rPr>
          <w:lang w:val="fr-FR"/>
        </w:rPr>
        <w:t>’</w:t>
      </w:r>
      <w:r w:rsidR="00D059E8" w:rsidRPr="00AB08EC">
        <w:rPr>
          <w:lang w:val="fr-FR"/>
        </w:rPr>
        <w:t xml:space="preserve">extérieur, de nombreuses personnes considérant ce projet comme une </w:t>
      </w:r>
      <w:r w:rsidRPr="00AB08EC">
        <w:rPr>
          <w:lang w:val="fr-FR"/>
        </w:rPr>
        <w:t>“</w:t>
      </w:r>
      <w:r w:rsidR="00D059E8" w:rsidRPr="00AB08EC">
        <w:rPr>
          <w:lang w:val="fr-FR"/>
        </w:rPr>
        <w:t xml:space="preserve">véritable réussite” pour les pays en développement en </w:t>
      </w:r>
      <w:r w:rsidR="00C8715B" w:rsidRPr="00AB08EC">
        <w:rPr>
          <w:lang w:val="fr-FR"/>
        </w:rPr>
        <w:t>termes d</w:t>
      </w:r>
      <w:r w:rsidR="00641467" w:rsidRPr="00AB08EC">
        <w:rPr>
          <w:lang w:val="fr-FR"/>
        </w:rPr>
        <w:t>’</w:t>
      </w:r>
      <w:r w:rsidR="00D059E8" w:rsidRPr="00AB08EC">
        <w:rPr>
          <w:lang w:val="fr-FR"/>
        </w:rPr>
        <w:t xml:space="preserve">accès à </w:t>
      </w:r>
      <w:r w:rsidR="00C8715B" w:rsidRPr="00AB08EC">
        <w:rPr>
          <w:lang w:val="fr-FR"/>
        </w:rPr>
        <w:t>la propriété intellectuelle et d</w:t>
      </w:r>
      <w:r w:rsidR="00641467" w:rsidRPr="00AB08EC">
        <w:rPr>
          <w:lang w:val="fr-FR"/>
        </w:rPr>
        <w:t>’</w:t>
      </w:r>
      <w:r w:rsidR="00D059E8" w:rsidRPr="00AB08EC">
        <w:rPr>
          <w:lang w:val="fr-FR"/>
        </w:rPr>
        <w:t>innovation</w:t>
      </w:r>
      <w:r w:rsidRPr="00AB08EC">
        <w:rPr>
          <w:lang w:val="fr-FR"/>
        </w:rPr>
        <w:t xml:space="preserve">.  </w:t>
      </w:r>
      <w:r w:rsidR="00D059E8" w:rsidRPr="00AB08EC">
        <w:rPr>
          <w:lang w:val="fr-FR"/>
        </w:rPr>
        <w:t>Comme dans le</w:t>
      </w:r>
      <w:r w:rsidR="00C8715B" w:rsidRPr="00AB08EC">
        <w:rPr>
          <w:lang w:val="fr-FR"/>
        </w:rPr>
        <w:t>s exemples</w:t>
      </w:r>
      <w:r w:rsidR="00D059E8" w:rsidRPr="00AB08EC">
        <w:rPr>
          <w:lang w:val="fr-FR"/>
        </w:rPr>
        <w:t xml:space="preserve"> du Maroc et des Philippines, ce projet a démontré qu</w:t>
      </w:r>
      <w:r w:rsidR="00641467" w:rsidRPr="00AB08EC">
        <w:rPr>
          <w:lang w:val="fr-FR"/>
        </w:rPr>
        <w:t>’</w:t>
      </w:r>
      <w:r w:rsidR="00D059E8" w:rsidRPr="00AB08EC">
        <w:rPr>
          <w:lang w:val="fr-FR"/>
        </w:rPr>
        <w:t xml:space="preserve">il pouvait </w:t>
      </w:r>
      <w:r w:rsidR="00C8715B" w:rsidRPr="00AB08EC">
        <w:rPr>
          <w:lang w:val="fr-FR"/>
        </w:rPr>
        <w:t>se traduire par des résultats concrets</w:t>
      </w:r>
      <w:r w:rsidR="00D059E8" w:rsidRPr="00AB08EC">
        <w:rPr>
          <w:lang w:val="fr-FR"/>
        </w:rPr>
        <w:t xml:space="preserve"> dans le cadre du cycle de l</w:t>
      </w:r>
      <w:r w:rsidR="00641467" w:rsidRPr="00AB08EC">
        <w:rPr>
          <w:lang w:val="fr-FR"/>
        </w:rPr>
        <w:t>’</w:t>
      </w:r>
      <w:r w:rsidR="00D059E8" w:rsidRPr="00AB08EC">
        <w:rPr>
          <w:lang w:val="fr-FR"/>
        </w:rPr>
        <w:t xml:space="preserve">innovation, notamment dans ce cas </w:t>
      </w:r>
      <w:r w:rsidR="00C8715B" w:rsidRPr="00AB08EC">
        <w:rPr>
          <w:lang w:val="fr-FR"/>
        </w:rPr>
        <w:t>p</w:t>
      </w:r>
      <w:r w:rsidR="00EC348B">
        <w:rPr>
          <w:lang w:val="fr-FR"/>
        </w:rPr>
        <w:t>a</w:t>
      </w:r>
      <w:r w:rsidR="00C8715B" w:rsidRPr="00AB08EC">
        <w:rPr>
          <w:lang w:val="fr-FR"/>
        </w:rPr>
        <w:t>r une augmentation du</w:t>
      </w:r>
      <w:r w:rsidR="00D059E8" w:rsidRPr="00AB08EC">
        <w:rPr>
          <w:lang w:val="fr-FR"/>
        </w:rPr>
        <w:t xml:space="preserve"> nombre de dépôts de dem</w:t>
      </w:r>
      <w:r w:rsidR="00EC348B">
        <w:rPr>
          <w:lang w:val="fr-FR"/>
        </w:rPr>
        <w:t>andes de brevet.  Cependant, pou</w:t>
      </w:r>
      <w:r w:rsidR="00D059E8" w:rsidRPr="00AB08EC">
        <w:rPr>
          <w:lang w:val="fr-FR"/>
        </w:rPr>
        <w:t xml:space="preserve">r que cette tendance se généralise, certaines conditions </w:t>
      </w:r>
      <w:r w:rsidR="00C8715B" w:rsidRPr="00AB08EC">
        <w:rPr>
          <w:lang w:val="fr-FR"/>
        </w:rPr>
        <w:t>sont nécessaires</w:t>
      </w:r>
      <w:r w:rsidRPr="00AB08EC">
        <w:rPr>
          <w:lang w:val="fr-FR"/>
        </w:rPr>
        <w:t>.</w:t>
      </w:r>
    </w:p>
    <w:p w:rsidR="00641467" w:rsidRPr="00AB08EC" w:rsidRDefault="00D14AA2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 xml:space="preserve">Conclusion n° 2 </w:t>
      </w:r>
      <w:r w:rsidRPr="00AB08EC">
        <w:rPr>
          <w:b/>
          <w:i/>
          <w:lang w:val="fr-FR"/>
        </w:rPr>
        <w:t>(Réf.</w:t>
      </w:r>
      <w:r w:rsidR="00120B0A" w:rsidRPr="00AB08EC">
        <w:rPr>
          <w:b/>
          <w:i/>
          <w:lang w:val="fr-FR"/>
        </w:rPr>
        <w:t xml:space="preserve"> </w:t>
      </w:r>
      <w:r w:rsidRPr="00AB08EC">
        <w:rPr>
          <w:b/>
          <w:i/>
          <w:lang w:val="fr-FR"/>
        </w:rPr>
        <w:t> : constatations n</w:t>
      </w:r>
      <w:r w:rsidRPr="00AB08EC">
        <w:rPr>
          <w:b/>
          <w:i/>
          <w:vertAlign w:val="superscript"/>
          <w:lang w:val="fr-FR"/>
        </w:rPr>
        <w:t>os</w:t>
      </w:r>
      <w:r w:rsidRPr="00AB08EC">
        <w:rPr>
          <w:b/>
          <w:i/>
          <w:lang w:val="fr-FR"/>
        </w:rPr>
        <w:t> 1</w:t>
      </w:r>
      <w:r w:rsidR="00355011" w:rsidRPr="00AB08EC">
        <w:rPr>
          <w:b/>
          <w:i/>
          <w:lang w:val="fr-FR"/>
        </w:rPr>
        <w:t xml:space="preserve"> à </w:t>
      </w:r>
      <w:r w:rsidRPr="00AB08EC">
        <w:rPr>
          <w:b/>
          <w:i/>
          <w:lang w:val="fr-FR"/>
        </w:rPr>
        <w:t>6)</w:t>
      </w:r>
      <w:r w:rsidRPr="00AB08EC">
        <w:rPr>
          <w:i/>
          <w:lang w:val="fr-FR"/>
        </w:rPr>
        <w:t>.</w:t>
      </w:r>
      <w:r w:rsidR="00460326" w:rsidRPr="00AB08EC">
        <w:rPr>
          <w:i/>
          <w:lang w:val="fr-FR"/>
        </w:rPr>
        <w:t xml:space="preserve">  </w:t>
      </w:r>
      <w:r w:rsidR="00C8715B" w:rsidRPr="00AB08EC">
        <w:rPr>
          <w:lang w:val="fr-FR"/>
        </w:rPr>
        <w:t>Réunir</w:t>
      </w:r>
      <w:r w:rsidR="00D059E8" w:rsidRPr="00AB08EC">
        <w:rPr>
          <w:lang w:val="fr-FR"/>
        </w:rPr>
        <w:t xml:space="preserve"> les conditions nécessaires à la viabilité du projet relève des offices nationaux de propriété intellectuelle et </w:t>
      </w:r>
      <w:r w:rsidR="004241D0" w:rsidRPr="00AB08EC">
        <w:rPr>
          <w:lang w:val="fr-FR"/>
        </w:rPr>
        <w:t>des</w:t>
      </w:r>
      <w:r w:rsidR="00D059E8" w:rsidRPr="00AB08EC">
        <w:rPr>
          <w:lang w:val="fr-FR"/>
        </w:rPr>
        <w:t xml:space="preserve"> institutions hôtes</w:t>
      </w:r>
      <w:r w:rsidR="004241D0" w:rsidRPr="00AB08EC">
        <w:rPr>
          <w:lang w:val="fr-FR"/>
        </w:rPr>
        <w:t>, et non pas de l</w:t>
      </w:r>
      <w:r w:rsidR="00641467" w:rsidRPr="00AB08EC">
        <w:rPr>
          <w:lang w:val="fr-FR"/>
        </w:rPr>
        <w:t>’</w:t>
      </w:r>
      <w:r w:rsidR="004241D0" w:rsidRPr="00AB08EC">
        <w:rPr>
          <w:lang w:val="fr-FR"/>
        </w:rPr>
        <w:t>OMPI</w:t>
      </w:r>
      <w:r w:rsidR="00D059E8" w:rsidRPr="00AB08EC">
        <w:rPr>
          <w:lang w:val="fr-FR"/>
        </w:rPr>
        <w:t xml:space="preserve">.  </w:t>
      </w:r>
      <w:r w:rsidR="004241D0" w:rsidRPr="00AB08EC">
        <w:rPr>
          <w:lang w:val="fr-FR"/>
        </w:rPr>
        <w:t>Bien entendu, nul ne peut nier le rôle fondamental qu</w:t>
      </w:r>
      <w:r w:rsidR="00C8715B" w:rsidRPr="00AB08EC">
        <w:rPr>
          <w:lang w:val="fr-FR"/>
        </w:rPr>
        <w:t>e</w:t>
      </w:r>
      <w:r w:rsidR="004241D0" w:rsidRPr="00AB08EC">
        <w:rPr>
          <w:lang w:val="fr-FR"/>
        </w:rPr>
        <w:t xml:space="preserve"> jou</w:t>
      </w:r>
      <w:r w:rsidR="00C8715B" w:rsidRPr="00AB08EC">
        <w:rPr>
          <w:lang w:val="fr-FR"/>
        </w:rPr>
        <w:t>e</w:t>
      </w:r>
      <w:r w:rsidR="004241D0" w:rsidRPr="00AB08EC">
        <w:rPr>
          <w:lang w:val="fr-FR"/>
        </w:rPr>
        <w:t xml:space="preserve"> l</w:t>
      </w:r>
      <w:r w:rsidR="00641467" w:rsidRPr="00AB08EC">
        <w:rPr>
          <w:lang w:val="fr-FR"/>
        </w:rPr>
        <w:t>’</w:t>
      </w:r>
      <w:r w:rsidR="004241D0" w:rsidRPr="00AB08EC">
        <w:rPr>
          <w:lang w:val="fr-FR"/>
        </w:rPr>
        <w:t>OMPI dans la création et le développement des réseaux de centres d</w:t>
      </w:r>
      <w:r w:rsidR="00641467" w:rsidRPr="00AB08EC">
        <w:rPr>
          <w:lang w:val="fr-FR"/>
        </w:rPr>
        <w:t>’</w:t>
      </w:r>
      <w:r w:rsidR="004241D0" w:rsidRPr="00AB08EC">
        <w:rPr>
          <w:lang w:val="fr-FR"/>
        </w:rPr>
        <w:t>appui</w:t>
      </w:r>
      <w:r w:rsidR="00460326" w:rsidRPr="00AB08EC">
        <w:rPr>
          <w:lang w:val="fr-FR"/>
        </w:rPr>
        <w:t>.</w:t>
      </w:r>
      <w:r w:rsidR="007C7769" w:rsidRPr="00AB08EC">
        <w:rPr>
          <w:lang w:val="fr-FR"/>
        </w:rPr>
        <w:t xml:space="preserve"> </w:t>
      </w:r>
      <w:r w:rsidR="00460326" w:rsidRPr="00AB08EC">
        <w:rPr>
          <w:lang w:val="fr-FR"/>
        </w:rPr>
        <w:t xml:space="preserve"> </w:t>
      </w:r>
      <w:r w:rsidR="004241D0" w:rsidRPr="00AB08EC">
        <w:rPr>
          <w:lang w:val="fr-FR"/>
        </w:rPr>
        <w:t>Il ressort toutefois d</w:t>
      </w:r>
      <w:r w:rsidR="00641467" w:rsidRPr="00AB08EC">
        <w:rPr>
          <w:lang w:val="fr-FR"/>
        </w:rPr>
        <w:t>’</w:t>
      </w:r>
      <w:r w:rsidR="00AF6393" w:rsidRPr="00AB08EC">
        <w:rPr>
          <w:lang w:val="fr-FR"/>
        </w:rPr>
        <w:t xml:space="preserve">un examen </w:t>
      </w:r>
      <w:r w:rsidR="004241D0" w:rsidRPr="00AB08EC">
        <w:rPr>
          <w:lang w:val="fr-FR"/>
        </w:rPr>
        <w:t xml:space="preserve">des principaux défis </w:t>
      </w:r>
      <w:r w:rsidR="00AF6393" w:rsidRPr="00AB08EC">
        <w:rPr>
          <w:lang w:val="fr-FR"/>
        </w:rPr>
        <w:t>auxquels doivent faire face</w:t>
      </w:r>
      <w:r w:rsidR="004241D0" w:rsidRPr="00AB08EC">
        <w:rPr>
          <w:lang w:val="fr-FR"/>
        </w:rPr>
        <w:t xml:space="preserve"> les réseaux de centres d</w:t>
      </w:r>
      <w:r w:rsidR="00641467" w:rsidRPr="00AB08EC">
        <w:rPr>
          <w:lang w:val="fr-FR"/>
        </w:rPr>
        <w:t>’</w:t>
      </w:r>
      <w:r w:rsidR="004241D0" w:rsidRPr="00AB08EC">
        <w:rPr>
          <w:lang w:val="fr-FR"/>
        </w:rPr>
        <w:t xml:space="preserve">appui </w:t>
      </w:r>
      <w:bookmarkStart w:id="14" w:name="_GoBack"/>
      <w:bookmarkEnd w:id="14"/>
      <w:r w:rsidR="00AF6393" w:rsidRPr="00AB08EC">
        <w:rPr>
          <w:lang w:val="fr-FR"/>
        </w:rPr>
        <w:t>que, à l</w:t>
      </w:r>
      <w:r w:rsidR="00641467" w:rsidRPr="00AB08EC">
        <w:rPr>
          <w:lang w:val="fr-FR"/>
        </w:rPr>
        <w:t>’</w:t>
      </w:r>
      <w:r w:rsidR="00AF6393" w:rsidRPr="00AB08EC">
        <w:rPr>
          <w:lang w:val="fr-FR"/>
        </w:rPr>
        <w:t>exception de la formation, la plupart de ces défis doivent être relevés par les institutions hôtes et les offices nationaux de propriété intellectuelle.</w:t>
      </w:r>
    </w:p>
    <w:p w:rsidR="00641467" w:rsidRPr="00AB08EC" w:rsidRDefault="00D14AA2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 xml:space="preserve">Conclusion n° 3 </w:t>
      </w:r>
      <w:r w:rsidRPr="00AB08EC">
        <w:rPr>
          <w:b/>
          <w:i/>
          <w:lang w:val="fr-FR"/>
        </w:rPr>
        <w:t>(Réf.</w:t>
      </w:r>
      <w:r w:rsidR="00120B0A" w:rsidRPr="00AB08EC">
        <w:rPr>
          <w:b/>
          <w:i/>
          <w:lang w:val="fr-FR"/>
        </w:rPr>
        <w:t xml:space="preserve"> </w:t>
      </w:r>
      <w:r w:rsidRPr="00AB08EC">
        <w:rPr>
          <w:b/>
          <w:i/>
          <w:lang w:val="fr-FR"/>
        </w:rPr>
        <w:t> : constatations n</w:t>
      </w:r>
      <w:r w:rsidRPr="00AB08EC">
        <w:rPr>
          <w:b/>
          <w:i/>
          <w:vertAlign w:val="superscript"/>
          <w:lang w:val="fr-FR"/>
        </w:rPr>
        <w:t>os</w:t>
      </w:r>
      <w:r w:rsidRPr="00AB08EC">
        <w:rPr>
          <w:b/>
          <w:i/>
          <w:lang w:val="fr-FR"/>
        </w:rPr>
        <w:t> 15</w:t>
      </w:r>
      <w:r w:rsidR="001F0EAF" w:rsidRPr="00AB08EC">
        <w:rPr>
          <w:b/>
          <w:i/>
          <w:lang w:val="fr-FR"/>
        </w:rPr>
        <w:t xml:space="preserve"> à </w:t>
      </w:r>
      <w:r w:rsidRPr="00AB08EC">
        <w:rPr>
          <w:b/>
          <w:i/>
          <w:lang w:val="fr-FR"/>
        </w:rPr>
        <w:t>25)</w:t>
      </w:r>
      <w:r w:rsidRPr="00AB08EC">
        <w:rPr>
          <w:lang w:val="fr-FR"/>
        </w:rPr>
        <w:t xml:space="preserve">. </w:t>
      </w:r>
      <w:r w:rsidR="00460326" w:rsidRPr="00AB08EC">
        <w:rPr>
          <w:lang w:val="fr-FR"/>
        </w:rPr>
        <w:t xml:space="preserve"> </w:t>
      </w:r>
      <w:r w:rsidR="00AF6393" w:rsidRPr="00AB08EC">
        <w:rPr>
          <w:lang w:val="fr-FR"/>
        </w:rPr>
        <w:t>Ces constatations vont dans le sens de la décision de l</w:t>
      </w:r>
      <w:r w:rsidR="00641467" w:rsidRPr="00AB08EC">
        <w:rPr>
          <w:lang w:val="fr-FR"/>
        </w:rPr>
        <w:t>’</w:t>
      </w:r>
      <w:r w:rsidR="00AF6393" w:rsidRPr="00AB08EC">
        <w:rPr>
          <w:lang w:val="fr-FR"/>
        </w:rPr>
        <w:t>OMPI de continuer à développer et à soutenir le réseau de centres d</w:t>
      </w:r>
      <w:r w:rsidR="00641467" w:rsidRPr="00AB08EC">
        <w:rPr>
          <w:lang w:val="fr-FR"/>
        </w:rPr>
        <w:t>’</w:t>
      </w:r>
      <w:r w:rsidR="00AF6393" w:rsidRPr="00AB08EC">
        <w:rPr>
          <w:lang w:val="fr-FR"/>
        </w:rPr>
        <w:t>appui.  La question fondamentale qui se pose maintenant est de savoir que</w:t>
      </w:r>
      <w:r w:rsidR="0039724E" w:rsidRPr="00AB08EC">
        <w:rPr>
          <w:lang w:val="fr-FR"/>
        </w:rPr>
        <w:t>l</w:t>
      </w:r>
      <w:r w:rsidR="00AF6393" w:rsidRPr="00AB08EC">
        <w:rPr>
          <w:lang w:val="fr-FR"/>
        </w:rPr>
        <w:t xml:space="preserve"> type d</w:t>
      </w:r>
      <w:r w:rsidR="00641467" w:rsidRPr="00AB08EC">
        <w:rPr>
          <w:lang w:val="fr-FR"/>
        </w:rPr>
        <w:t>’</w:t>
      </w:r>
      <w:r w:rsidR="00AF6393" w:rsidRPr="00AB08EC">
        <w:rPr>
          <w:lang w:val="fr-FR"/>
        </w:rPr>
        <w:t>appui doit être fourni aux centres d</w:t>
      </w:r>
      <w:r w:rsidR="00641467" w:rsidRPr="00AB08EC">
        <w:rPr>
          <w:lang w:val="fr-FR"/>
        </w:rPr>
        <w:t>’</w:t>
      </w:r>
      <w:r w:rsidR="00AF6393" w:rsidRPr="00AB08EC">
        <w:rPr>
          <w:lang w:val="fr-FR"/>
        </w:rPr>
        <w:t>appui, et de quelle manière</w:t>
      </w:r>
      <w:r w:rsidR="00C8715B" w:rsidRPr="00AB08EC">
        <w:rPr>
          <w:lang w:val="fr-FR"/>
        </w:rPr>
        <w:t xml:space="preserve"> il doit être fourni</w:t>
      </w:r>
      <w:r w:rsidR="00AF6393" w:rsidRPr="00AB08EC">
        <w:rPr>
          <w:lang w:val="fr-FR"/>
        </w:rPr>
        <w:t>, pour qu</w:t>
      </w:r>
      <w:r w:rsidR="00641467" w:rsidRPr="00AB08EC">
        <w:rPr>
          <w:lang w:val="fr-FR"/>
        </w:rPr>
        <w:t>’</w:t>
      </w:r>
      <w:r w:rsidR="00AF6393" w:rsidRPr="00AB08EC">
        <w:rPr>
          <w:lang w:val="fr-FR"/>
        </w:rPr>
        <w:t>ils puissent répondre plus efficacement et durable</w:t>
      </w:r>
      <w:r w:rsidR="00C8715B" w:rsidRPr="00AB08EC">
        <w:rPr>
          <w:lang w:val="fr-FR"/>
        </w:rPr>
        <w:t>ment</w:t>
      </w:r>
      <w:r w:rsidR="00AF6393" w:rsidRPr="00AB08EC">
        <w:rPr>
          <w:lang w:val="fr-FR"/>
        </w:rPr>
        <w:t xml:space="preserve"> aux besoins des innovateurs locaux</w:t>
      </w:r>
      <w:r w:rsidR="00460326" w:rsidRPr="00AB08EC">
        <w:rPr>
          <w:lang w:val="fr-FR"/>
        </w:rPr>
        <w:t xml:space="preserve">.  </w:t>
      </w:r>
      <w:r w:rsidR="00AF6393" w:rsidRPr="00AB08EC">
        <w:rPr>
          <w:lang w:val="fr-FR"/>
        </w:rPr>
        <w:t>Dans ce type de projet, la demande en formation est illimitée, c</w:t>
      </w:r>
      <w:r w:rsidR="00641467" w:rsidRPr="00AB08EC">
        <w:rPr>
          <w:lang w:val="fr-FR"/>
        </w:rPr>
        <w:t>’</w:t>
      </w:r>
      <w:r w:rsidR="00AF6393" w:rsidRPr="00AB08EC">
        <w:rPr>
          <w:lang w:val="fr-FR"/>
        </w:rPr>
        <w:t>est pourquoi il revient à l</w:t>
      </w:r>
      <w:r w:rsidR="00641467" w:rsidRPr="00AB08EC">
        <w:rPr>
          <w:lang w:val="fr-FR"/>
        </w:rPr>
        <w:t>’</w:t>
      </w:r>
      <w:r w:rsidR="00AF6393" w:rsidRPr="00AB08EC">
        <w:rPr>
          <w:lang w:val="fr-FR"/>
        </w:rPr>
        <w:t>OMPI de déterminer ce qu</w:t>
      </w:r>
      <w:r w:rsidR="00641467" w:rsidRPr="00AB08EC">
        <w:rPr>
          <w:lang w:val="fr-FR"/>
        </w:rPr>
        <w:t>’</w:t>
      </w:r>
      <w:r w:rsidR="00AF6393" w:rsidRPr="00AB08EC">
        <w:rPr>
          <w:lang w:val="fr-FR"/>
        </w:rPr>
        <w:t xml:space="preserve">elle peut offrir comme formation </w:t>
      </w:r>
      <w:r w:rsidR="00C8715B" w:rsidRPr="00AB08EC">
        <w:rPr>
          <w:lang w:val="fr-FR"/>
        </w:rPr>
        <w:t>sur place</w:t>
      </w:r>
      <w:r w:rsidR="00AF6393" w:rsidRPr="00AB08EC">
        <w:rPr>
          <w:lang w:val="fr-FR"/>
        </w:rPr>
        <w:t xml:space="preserve"> et à distance</w:t>
      </w:r>
      <w:r w:rsidR="00460326" w:rsidRPr="00AB08EC">
        <w:rPr>
          <w:lang w:val="fr-FR"/>
        </w:rPr>
        <w:t xml:space="preserve">.  </w:t>
      </w:r>
      <w:r w:rsidR="00AF6393" w:rsidRPr="00AB08EC">
        <w:rPr>
          <w:lang w:val="fr-FR"/>
        </w:rPr>
        <w:t>L</w:t>
      </w:r>
      <w:r w:rsidR="00641467" w:rsidRPr="00AB08EC">
        <w:rPr>
          <w:lang w:val="fr-FR"/>
        </w:rPr>
        <w:t>’</w:t>
      </w:r>
      <w:r w:rsidR="00AF6393" w:rsidRPr="00AB08EC">
        <w:rPr>
          <w:lang w:val="fr-FR"/>
        </w:rPr>
        <w:t>OMPI devrait également envisager de renforcer systématiquement les capacités des centres d</w:t>
      </w:r>
      <w:r w:rsidR="00641467" w:rsidRPr="00AB08EC">
        <w:rPr>
          <w:lang w:val="fr-FR"/>
        </w:rPr>
        <w:t>’</w:t>
      </w:r>
      <w:r w:rsidR="00AF6393" w:rsidRPr="00AB08EC">
        <w:rPr>
          <w:lang w:val="fr-FR"/>
        </w:rPr>
        <w:t>appui en ce qui concerne d</w:t>
      </w:r>
      <w:r w:rsidR="00641467" w:rsidRPr="00AB08EC">
        <w:rPr>
          <w:lang w:val="fr-FR"/>
        </w:rPr>
        <w:t>’</w:t>
      </w:r>
      <w:r w:rsidR="00AF6393" w:rsidRPr="00AB08EC">
        <w:rPr>
          <w:lang w:val="fr-FR"/>
        </w:rPr>
        <w:t xml:space="preserve">autres </w:t>
      </w:r>
      <w:r w:rsidR="000A28C1" w:rsidRPr="00AB08EC">
        <w:rPr>
          <w:lang w:val="fr-FR"/>
        </w:rPr>
        <w:t>composantes</w:t>
      </w:r>
      <w:r w:rsidR="00AF6393" w:rsidRPr="00AB08EC">
        <w:rPr>
          <w:lang w:val="fr-FR"/>
        </w:rPr>
        <w:t xml:space="preserve"> du cycle de l</w:t>
      </w:r>
      <w:r w:rsidR="00641467" w:rsidRPr="00AB08EC">
        <w:rPr>
          <w:lang w:val="fr-FR"/>
        </w:rPr>
        <w:t>’</w:t>
      </w:r>
      <w:r w:rsidR="00AF6393" w:rsidRPr="00AB08EC">
        <w:rPr>
          <w:lang w:val="fr-FR"/>
        </w:rPr>
        <w:t>innovation, tels que l</w:t>
      </w:r>
      <w:r w:rsidR="005F3C6C" w:rsidRPr="00AB08EC">
        <w:rPr>
          <w:lang w:val="fr-FR"/>
        </w:rPr>
        <w:t>a rédaction des demandes de titres de propriété intellectuelle, le transfert de technologie, les stratégies commerciales, etc</w:t>
      </w:r>
      <w:r w:rsidR="00120B0A" w:rsidRPr="00AB08EC">
        <w:rPr>
          <w:lang w:val="fr-FR"/>
        </w:rPr>
        <w:t>.,</w:t>
      </w:r>
      <w:r w:rsidR="005F3C6C" w:rsidRPr="00AB08EC">
        <w:rPr>
          <w:lang w:val="fr-FR"/>
        </w:rPr>
        <w:t xml:space="preserve"> afin d</w:t>
      </w:r>
      <w:r w:rsidR="000A28C1" w:rsidRPr="00AB08EC">
        <w:rPr>
          <w:lang w:val="fr-FR"/>
        </w:rPr>
        <w:t>’apporter une valeur ajoutée aux</w:t>
      </w:r>
      <w:r w:rsidR="005F3C6C" w:rsidRPr="00AB08EC">
        <w:rPr>
          <w:lang w:val="fr-FR"/>
        </w:rPr>
        <w:t xml:space="preserve"> divers services d</w:t>
      </w:r>
      <w:r w:rsidR="00641467" w:rsidRPr="00AB08EC">
        <w:rPr>
          <w:lang w:val="fr-FR"/>
        </w:rPr>
        <w:t>’</w:t>
      </w:r>
      <w:r w:rsidR="005F3C6C" w:rsidRPr="00AB08EC">
        <w:rPr>
          <w:lang w:val="fr-FR"/>
        </w:rPr>
        <w:t>appui à l</w:t>
      </w:r>
      <w:r w:rsidR="00641467" w:rsidRPr="00AB08EC">
        <w:rPr>
          <w:lang w:val="fr-FR"/>
        </w:rPr>
        <w:t>’</w:t>
      </w:r>
      <w:r w:rsidR="005F3C6C" w:rsidRPr="00AB08EC">
        <w:rPr>
          <w:lang w:val="fr-FR"/>
        </w:rPr>
        <w:t xml:space="preserve">innovation </w:t>
      </w:r>
      <w:r w:rsidR="000A28C1" w:rsidRPr="00AB08EC">
        <w:rPr>
          <w:lang w:val="fr-FR"/>
        </w:rPr>
        <w:t>qu’</w:t>
      </w:r>
      <w:r w:rsidR="005F3C6C" w:rsidRPr="00AB08EC">
        <w:rPr>
          <w:lang w:val="fr-FR"/>
        </w:rPr>
        <w:t>off</w:t>
      </w:r>
      <w:r w:rsidR="000A28C1" w:rsidRPr="00AB08EC">
        <w:rPr>
          <w:lang w:val="fr-FR"/>
        </w:rPr>
        <w:t>rent</w:t>
      </w:r>
      <w:r w:rsidR="005F3C6C" w:rsidRPr="00AB08EC">
        <w:rPr>
          <w:lang w:val="fr-FR"/>
        </w:rPr>
        <w:t xml:space="preserve"> les centres d</w:t>
      </w:r>
      <w:r w:rsidR="00641467" w:rsidRPr="00AB08EC">
        <w:rPr>
          <w:lang w:val="fr-FR"/>
        </w:rPr>
        <w:t>’</w:t>
      </w:r>
      <w:r w:rsidR="005F3C6C" w:rsidRPr="00AB08EC">
        <w:rPr>
          <w:lang w:val="fr-FR"/>
        </w:rPr>
        <w:t>appui aux utilisateurs locaux (voir la conclusion n° 4 ci</w:t>
      </w:r>
      <w:r w:rsidR="0039724E" w:rsidRPr="00AB08EC">
        <w:rPr>
          <w:lang w:val="fr-FR"/>
        </w:rPr>
        <w:noBreakHyphen/>
      </w:r>
      <w:r w:rsidR="005F3C6C" w:rsidRPr="00AB08EC">
        <w:rPr>
          <w:lang w:val="fr-FR"/>
        </w:rPr>
        <w:t>dessous).  En outre, l</w:t>
      </w:r>
      <w:r w:rsidR="00641467" w:rsidRPr="00AB08EC">
        <w:rPr>
          <w:lang w:val="fr-FR"/>
        </w:rPr>
        <w:t>’</w:t>
      </w:r>
      <w:r w:rsidR="005F3C6C" w:rsidRPr="00AB08EC">
        <w:rPr>
          <w:lang w:val="fr-FR"/>
        </w:rPr>
        <w:t>OMPI doit s</w:t>
      </w:r>
      <w:r w:rsidR="00641467" w:rsidRPr="00AB08EC">
        <w:rPr>
          <w:lang w:val="fr-FR"/>
        </w:rPr>
        <w:t>’</w:t>
      </w:r>
      <w:r w:rsidR="005F3C6C" w:rsidRPr="00AB08EC">
        <w:rPr>
          <w:lang w:val="fr-FR"/>
        </w:rPr>
        <w:t>interroger sur la façon dont elle peut aider les réseaux de centres d</w:t>
      </w:r>
      <w:r w:rsidR="00641467" w:rsidRPr="00AB08EC">
        <w:rPr>
          <w:lang w:val="fr-FR"/>
        </w:rPr>
        <w:t>’</w:t>
      </w:r>
      <w:r w:rsidR="005F3C6C" w:rsidRPr="00AB08EC">
        <w:rPr>
          <w:lang w:val="fr-FR"/>
        </w:rPr>
        <w:t>appui à relever les défis auxquels ils doivent faire face, liés à la fois à la structure en réseau du projet et à des facteurs extérieurs.  Parmi les enjeux recensés dans cette évaluation, on peut citer : la motivation et l</w:t>
      </w:r>
      <w:r w:rsidR="00641467" w:rsidRPr="00AB08EC">
        <w:rPr>
          <w:lang w:val="fr-FR"/>
        </w:rPr>
        <w:t>’</w:t>
      </w:r>
      <w:r w:rsidR="005F3C6C" w:rsidRPr="00AB08EC">
        <w:rPr>
          <w:lang w:val="fr-FR"/>
        </w:rPr>
        <w:t>engagement des coordonnateurs nationaux et des institutions hôtes (et les accords entre eux);  le niveau des connaissances, l</w:t>
      </w:r>
      <w:r w:rsidR="00641467" w:rsidRPr="00AB08EC">
        <w:rPr>
          <w:lang w:val="fr-FR"/>
        </w:rPr>
        <w:t>’</w:t>
      </w:r>
      <w:r w:rsidR="005F3C6C" w:rsidRPr="00AB08EC">
        <w:rPr>
          <w:lang w:val="fr-FR"/>
        </w:rPr>
        <w:t>intérêt manifesté et la gestion du savoir</w:t>
      </w:r>
      <w:r w:rsidR="0039724E" w:rsidRPr="00AB08EC">
        <w:rPr>
          <w:lang w:val="fr-FR"/>
        </w:rPr>
        <w:noBreakHyphen/>
      </w:r>
      <w:r w:rsidR="005F3C6C" w:rsidRPr="00AB08EC">
        <w:rPr>
          <w:lang w:val="fr-FR"/>
        </w:rPr>
        <w:t>faire en matière de propriété intellectuelle et d</w:t>
      </w:r>
      <w:r w:rsidR="00641467" w:rsidRPr="00AB08EC">
        <w:rPr>
          <w:lang w:val="fr-FR"/>
        </w:rPr>
        <w:t>’</w:t>
      </w:r>
      <w:r w:rsidR="005F3C6C" w:rsidRPr="00AB08EC">
        <w:rPr>
          <w:lang w:val="fr-FR"/>
        </w:rPr>
        <w:t>innovation parmi les utilisateurs potentiels;  et l</w:t>
      </w:r>
      <w:r w:rsidR="00641467" w:rsidRPr="00AB08EC">
        <w:rPr>
          <w:lang w:val="fr-FR"/>
        </w:rPr>
        <w:t>’</w:t>
      </w:r>
      <w:r w:rsidR="005F3C6C" w:rsidRPr="00AB08EC">
        <w:rPr>
          <w:lang w:val="fr-FR"/>
        </w:rPr>
        <w:t>intégration des centres d</w:t>
      </w:r>
      <w:r w:rsidR="00641467" w:rsidRPr="00AB08EC">
        <w:rPr>
          <w:lang w:val="fr-FR"/>
        </w:rPr>
        <w:t>’</w:t>
      </w:r>
      <w:r w:rsidR="005F3C6C" w:rsidRPr="00AB08EC">
        <w:rPr>
          <w:lang w:val="fr-FR"/>
        </w:rPr>
        <w:t>appui dans d</w:t>
      </w:r>
      <w:r w:rsidR="00641467" w:rsidRPr="00AB08EC">
        <w:rPr>
          <w:lang w:val="fr-FR"/>
        </w:rPr>
        <w:t>’</w:t>
      </w:r>
      <w:r w:rsidR="005F3C6C" w:rsidRPr="00AB08EC">
        <w:rPr>
          <w:lang w:val="fr-FR"/>
        </w:rPr>
        <w:t>autres services d</w:t>
      </w:r>
      <w:r w:rsidR="00641467" w:rsidRPr="00AB08EC">
        <w:rPr>
          <w:lang w:val="fr-FR"/>
        </w:rPr>
        <w:t>’</w:t>
      </w:r>
      <w:r w:rsidR="005F3C6C" w:rsidRPr="00AB08EC">
        <w:rPr>
          <w:lang w:val="fr-FR"/>
        </w:rPr>
        <w:t>innovation ou programmes d</w:t>
      </w:r>
      <w:r w:rsidR="00641467" w:rsidRPr="00AB08EC">
        <w:rPr>
          <w:lang w:val="fr-FR"/>
        </w:rPr>
        <w:t>’</w:t>
      </w:r>
      <w:r w:rsidR="005F3C6C" w:rsidRPr="00AB08EC">
        <w:rPr>
          <w:lang w:val="fr-FR"/>
        </w:rPr>
        <w:t>enseignement.  Certes, ces défis sont plus difficiles à relever pour l</w:t>
      </w:r>
      <w:r w:rsidR="00641467" w:rsidRPr="00AB08EC">
        <w:rPr>
          <w:lang w:val="fr-FR"/>
        </w:rPr>
        <w:t>’</w:t>
      </w:r>
      <w:r w:rsidR="005F3C6C" w:rsidRPr="00AB08EC">
        <w:rPr>
          <w:lang w:val="fr-FR"/>
        </w:rPr>
        <w:t>OMPI en termes d</w:t>
      </w:r>
      <w:r w:rsidR="00641467" w:rsidRPr="00AB08EC">
        <w:rPr>
          <w:lang w:val="fr-FR"/>
        </w:rPr>
        <w:t>’</w:t>
      </w:r>
      <w:r w:rsidR="005F3C6C" w:rsidRPr="00AB08EC">
        <w:rPr>
          <w:lang w:val="fr-FR"/>
        </w:rPr>
        <w:t xml:space="preserve">appui, </w:t>
      </w:r>
      <w:r w:rsidR="00392AA3" w:rsidRPr="00AB08EC">
        <w:rPr>
          <w:lang w:val="fr-FR"/>
        </w:rPr>
        <w:t>m</w:t>
      </w:r>
      <w:r w:rsidR="000A28C1" w:rsidRPr="00AB08EC">
        <w:rPr>
          <w:lang w:val="fr-FR"/>
        </w:rPr>
        <w:t>ais des pratiques recommandées peuvent être</w:t>
      </w:r>
      <w:r w:rsidR="00392AA3" w:rsidRPr="00AB08EC">
        <w:rPr>
          <w:lang w:val="fr-FR"/>
        </w:rPr>
        <w:t xml:space="preserve"> observées et mises à profit.</w:t>
      </w:r>
    </w:p>
    <w:p w:rsidR="004C0CB4" w:rsidRPr="00AB08EC" w:rsidRDefault="00D14AA2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 xml:space="preserve">Conclusion n° 4 </w:t>
      </w:r>
      <w:r w:rsidRPr="00AB08EC">
        <w:rPr>
          <w:b/>
          <w:i/>
          <w:lang w:val="fr-FR"/>
        </w:rPr>
        <w:t>(Réf.</w:t>
      </w:r>
      <w:r w:rsidR="00120B0A" w:rsidRPr="00AB08EC">
        <w:rPr>
          <w:b/>
          <w:i/>
          <w:lang w:val="fr-FR"/>
        </w:rPr>
        <w:t xml:space="preserve"> </w:t>
      </w:r>
      <w:r w:rsidRPr="00AB08EC">
        <w:rPr>
          <w:b/>
          <w:i/>
          <w:lang w:val="fr-FR"/>
        </w:rPr>
        <w:t> : constatations n</w:t>
      </w:r>
      <w:r w:rsidRPr="00AB08EC">
        <w:rPr>
          <w:b/>
          <w:i/>
          <w:vertAlign w:val="superscript"/>
          <w:lang w:val="fr-FR"/>
        </w:rPr>
        <w:t>os</w:t>
      </w:r>
      <w:r w:rsidRPr="00AB08EC">
        <w:rPr>
          <w:b/>
          <w:i/>
          <w:lang w:val="fr-FR"/>
        </w:rPr>
        <w:t> 23</w:t>
      </w:r>
      <w:r w:rsidR="001F0EAF" w:rsidRPr="00AB08EC">
        <w:rPr>
          <w:b/>
          <w:i/>
          <w:lang w:val="fr-FR"/>
        </w:rPr>
        <w:t xml:space="preserve"> à </w:t>
      </w:r>
      <w:r w:rsidRPr="00AB08EC">
        <w:rPr>
          <w:b/>
          <w:i/>
          <w:lang w:val="fr-FR"/>
        </w:rPr>
        <w:t>28)</w:t>
      </w:r>
      <w:r w:rsidRPr="00AB08EC">
        <w:rPr>
          <w:i/>
          <w:lang w:val="fr-FR"/>
        </w:rPr>
        <w:t xml:space="preserve">. </w:t>
      </w:r>
      <w:r w:rsidR="00392AA3" w:rsidRPr="00AB08EC">
        <w:rPr>
          <w:i/>
          <w:lang w:val="fr-FR"/>
        </w:rPr>
        <w:t xml:space="preserve"> </w:t>
      </w:r>
      <w:r w:rsidR="000A28C1" w:rsidRPr="00AB08EC">
        <w:rPr>
          <w:lang w:val="fr-FR"/>
        </w:rPr>
        <w:t>L</w:t>
      </w:r>
      <w:r w:rsidR="00392AA3" w:rsidRPr="00AB08EC">
        <w:rPr>
          <w:lang w:val="fr-FR"/>
        </w:rPr>
        <w:t>es centres d</w:t>
      </w:r>
      <w:r w:rsidR="00641467" w:rsidRPr="00AB08EC">
        <w:rPr>
          <w:lang w:val="fr-FR"/>
        </w:rPr>
        <w:t>’</w:t>
      </w:r>
      <w:r w:rsidR="00392AA3" w:rsidRPr="00AB08EC">
        <w:rPr>
          <w:lang w:val="fr-FR"/>
        </w:rPr>
        <w:t>appui</w:t>
      </w:r>
      <w:r w:rsidR="000A28C1" w:rsidRPr="00AB08EC">
        <w:rPr>
          <w:lang w:val="fr-FR"/>
        </w:rPr>
        <w:t>, pour pouvoir</w:t>
      </w:r>
      <w:r w:rsidR="00392AA3" w:rsidRPr="00AB08EC">
        <w:rPr>
          <w:lang w:val="fr-FR"/>
        </w:rPr>
        <w:t xml:space="preserve"> pleinement </w:t>
      </w:r>
      <w:r w:rsidR="000A28C1" w:rsidRPr="00AB08EC">
        <w:rPr>
          <w:lang w:val="fr-FR"/>
        </w:rPr>
        <w:t xml:space="preserve">atteindre </w:t>
      </w:r>
      <w:r w:rsidR="00392AA3" w:rsidRPr="00AB08EC">
        <w:rPr>
          <w:lang w:val="fr-FR"/>
        </w:rPr>
        <w:t>leurs objectifs, doivent être intégrés dans des initiatives plus vastes dans le domaine de la technologie et de l</w:t>
      </w:r>
      <w:r w:rsidR="00641467" w:rsidRPr="00AB08EC">
        <w:rPr>
          <w:lang w:val="fr-FR"/>
        </w:rPr>
        <w:t>’</w:t>
      </w:r>
      <w:r w:rsidR="00392AA3" w:rsidRPr="00AB08EC">
        <w:rPr>
          <w:lang w:val="fr-FR"/>
        </w:rPr>
        <w:t>innovation, car l</w:t>
      </w:r>
      <w:r w:rsidR="00641467" w:rsidRPr="00AB08EC">
        <w:rPr>
          <w:lang w:val="fr-FR"/>
        </w:rPr>
        <w:t>’</w:t>
      </w:r>
      <w:r w:rsidR="00392AA3" w:rsidRPr="00AB08EC">
        <w:rPr>
          <w:lang w:val="fr-FR"/>
        </w:rPr>
        <w:t>accès aux bases de données sur les brevet</w:t>
      </w:r>
      <w:r w:rsidR="000A28C1" w:rsidRPr="00AB08EC">
        <w:rPr>
          <w:lang w:val="fr-FR"/>
        </w:rPr>
        <w:t>s</w:t>
      </w:r>
      <w:r w:rsidR="00392AA3" w:rsidRPr="00AB08EC">
        <w:rPr>
          <w:lang w:val="fr-FR"/>
        </w:rPr>
        <w:t xml:space="preserve"> et la littérature non</w:t>
      </w:r>
      <w:r w:rsidR="0039724E" w:rsidRPr="00AB08EC">
        <w:rPr>
          <w:lang w:val="fr-FR"/>
        </w:rPr>
        <w:noBreakHyphen/>
      </w:r>
      <w:r w:rsidR="00392AA3" w:rsidRPr="00AB08EC">
        <w:rPr>
          <w:lang w:val="fr-FR"/>
        </w:rPr>
        <w:t>brevet n</w:t>
      </w:r>
      <w:r w:rsidR="00641467" w:rsidRPr="00AB08EC">
        <w:rPr>
          <w:lang w:val="fr-FR"/>
        </w:rPr>
        <w:t>’</w:t>
      </w:r>
      <w:r w:rsidR="00392AA3" w:rsidRPr="00AB08EC">
        <w:rPr>
          <w:lang w:val="fr-FR"/>
        </w:rPr>
        <w:t>est qu</w:t>
      </w:r>
      <w:r w:rsidR="00641467" w:rsidRPr="00AB08EC">
        <w:rPr>
          <w:lang w:val="fr-FR"/>
        </w:rPr>
        <w:t>’</w:t>
      </w:r>
      <w:r w:rsidR="00392AA3" w:rsidRPr="00AB08EC">
        <w:rPr>
          <w:lang w:val="fr-FR"/>
        </w:rPr>
        <w:t>une des composantes du cycle de l</w:t>
      </w:r>
      <w:r w:rsidR="00641467" w:rsidRPr="00AB08EC">
        <w:rPr>
          <w:lang w:val="fr-FR"/>
        </w:rPr>
        <w:t>’</w:t>
      </w:r>
      <w:r w:rsidR="00392AA3" w:rsidRPr="00AB08EC">
        <w:rPr>
          <w:lang w:val="fr-FR"/>
        </w:rPr>
        <w:t xml:space="preserve">innovation.  Certains </w:t>
      </w:r>
      <w:r w:rsidR="004C0CB4" w:rsidRPr="00AB08EC">
        <w:rPr>
          <w:lang w:val="fr-FR"/>
        </w:rPr>
        <w:t>exemples positifs</w:t>
      </w:r>
      <w:r w:rsidR="00392AA3" w:rsidRPr="00AB08EC">
        <w:rPr>
          <w:lang w:val="fr-FR"/>
        </w:rPr>
        <w:t xml:space="preserve"> ont pu être observés à cet égard, tels que</w:t>
      </w:r>
      <w:r w:rsidR="000A28C1" w:rsidRPr="00AB08EC">
        <w:rPr>
          <w:lang w:val="fr-FR"/>
        </w:rPr>
        <w:t xml:space="preserve"> : </w:t>
      </w:r>
      <w:r w:rsidR="00392AA3" w:rsidRPr="00AB08EC">
        <w:rPr>
          <w:lang w:val="fr-FR"/>
        </w:rPr>
        <w:t>l</w:t>
      </w:r>
      <w:r w:rsidR="00641467" w:rsidRPr="00AB08EC">
        <w:rPr>
          <w:lang w:val="fr-FR"/>
        </w:rPr>
        <w:t>’</w:t>
      </w:r>
      <w:r w:rsidR="00392AA3" w:rsidRPr="00AB08EC">
        <w:rPr>
          <w:lang w:val="fr-FR"/>
        </w:rPr>
        <w:t>intégration des centres d</w:t>
      </w:r>
      <w:r w:rsidR="00641467" w:rsidRPr="00AB08EC">
        <w:rPr>
          <w:lang w:val="fr-FR"/>
        </w:rPr>
        <w:t>’</w:t>
      </w:r>
      <w:r w:rsidR="00392AA3" w:rsidRPr="00AB08EC">
        <w:rPr>
          <w:lang w:val="fr-FR"/>
        </w:rPr>
        <w:t>appui dans des services plus complets en matière d</w:t>
      </w:r>
      <w:r w:rsidR="00641467" w:rsidRPr="00AB08EC">
        <w:rPr>
          <w:lang w:val="fr-FR"/>
        </w:rPr>
        <w:t>’</w:t>
      </w:r>
      <w:r w:rsidR="00392AA3" w:rsidRPr="00AB08EC">
        <w:rPr>
          <w:lang w:val="fr-FR"/>
        </w:rPr>
        <w:t>innovation (tels que les offices de transfert de technologie);  des centres d</w:t>
      </w:r>
      <w:r w:rsidR="00641467" w:rsidRPr="00AB08EC">
        <w:rPr>
          <w:lang w:val="fr-FR"/>
        </w:rPr>
        <w:t>’</w:t>
      </w:r>
      <w:r w:rsidR="00392AA3" w:rsidRPr="00AB08EC">
        <w:rPr>
          <w:lang w:val="fr-FR"/>
        </w:rPr>
        <w:t>appui offrant un large éventail de services en lien avec les étapes suivantes du cycle de l</w:t>
      </w:r>
      <w:r w:rsidR="00641467" w:rsidRPr="00AB08EC">
        <w:rPr>
          <w:lang w:val="fr-FR"/>
        </w:rPr>
        <w:t>’</w:t>
      </w:r>
      <w:r w:rsidR="00392AA3" w:rsidRPr="00AB08EC">
        <w:rPr>
          <w:lang w:val="fr-FR"/>
        </w:rPr>
        <w:t xml:space="preserve">innovation, </w:t>
      </w:r>
      <w:r w:rsidR="004C0CB4" w:rsidRPr="00AB08EC">
        <w:rPr>
          <w:lang w:val="fr-FR"/>
        </w:rPr>
        <w:t>faisant le lien avec l</w:t>
      </w:r>
      <w:r w:rsidR="00641467" w:rsidRPr="00AB08EC">
        <w:rPr>
          <w:lang w:val="fr-FR"/>
        </w:rPr>
        <w:t>’</w:t>
      </w:r>
      <w:r w:rsidR="004C0CB4" w:rsidRPr="00AB08EC">
        <w:rPr>
          <w:lang w:val="fr-FR"/>
        </w:rPr>
        <w:t>enseignement de la propriété intellectuelle dans les universités</w:t>
      </w:r>
      <w:r w:rsidR="00392AA3" w:rsidRPr="00AB08EC">
        <w:rPr>
          <w:lang w:val="fr-FR"/>
        </w:rPr>
        <w:t xml:space="preserve">; </w:t>
      </w:r>
      <w:r w:rsidR="004C0CB4" w:rsidRPr="00AB08EC">
        <w:rPr>
          <w:lang w:val="fr-FR"/>
        </w:rPr>
        <w:t xml:space="preserve"> la promotion de</w:t>
      </w:r>
      <w:r w:rsidR="000A28C1" w:rsidRPr="00AB08EC">
        <w:rPr>
          <w:lang w:val="fr-FR"/>
        </w:rPr>
        <w:t>s</w:t>
      </w:r>
      <w:r w:rsidR="004C0CB4" w:rsidRPr="00AB08EC">
        <w:rPr>
          <w:lang w:val="fr-FR"/>
        </w:rPr>
        <w:t xml:space="preserve"> services proposés par les centres d</w:t>
      </w:r>
      <w:r w:rsidR="00641467" w:rsidRPr="00AB08EC">
        <w:rPr>
          <w:lang w:val="fr-FR"/>
        </w:rPr>
        <w:t>’</w:t>
      </w:r>
      <w:r w:rsidR="004C0CB4" w:rsidRPr="00AB08EC">
        <w:rPr>
          <w:lang w:val="fr-FR"/>
        </w:rPr>
        <w:t>appui par voie de concours pour les étudiants et les universitaires.  Ces exemples peuvent servir à mieux comprendre le potentiel des centres d</w:t>
      </w:r>
      <w:r w:rsidR="00641467" w:rsidRPr="00AB08EC">
        <w:rPr>
          <w:lang w:val="fr-FR"/>
        </w:rPr>
        <w:t>’</w:t>
      </w:r>
      <w:r w:rsidR="004C0CB4" w:rsidRPr="00AB08EC">
        <w:rPr>
          <w:lang w:val="fr-FR"/>
        </w:rPr>
        <w:t>appui dans le cycle de l</w:t>
      </w:r>
      <w:r w:rsidR="00641467" w:rsidRPr="00AB08EC">
        <w:rPr>
          <w:lang w:val="fr-FR"/>
        </w:rPr>
        <w:t>’</w:t>
      </w:r>
      <w:r w:rsidR="004C0CB4" w:rsidRPr="00AB08EC">
        <w:rPr>
          <w:lang w:val="fr-FR"/>
        </w:rPr>
        <w:t>innovation en général.</w:t>
      </w:r>
    </w:p>
    <w:p w:rsidR="00641467" w:rsidRPr="00AB08EC" w:rsidRDefault="00576B83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>Recomm</w:t>
      </w:r>
      <w:r w:rsidR="00D14AA2" w:rsidRPr="00AB08EC">
        <w:rPr>
          <w:b/>
          <w:lang w:val="fr-FR"/>
        </w:rPr>
        <w:t>a</w:t>
      </w:r>
      <w:r w:rsidRPr="00AB08EC">
        <w:rPr>
          <w:b/>
          <w:lang w:val="fr-FR"/>
        </w:rPr>
        <w:t>ndation</w:t>
      </w:r>
      <w:r w:rsidR="00D14AA2" w:rsidRPr="00AB08EC">
        <w:rPr>
          <w:b/>
          <w:lang w:val="fr-FR"/>
        </w:rPr>
        <w:t xml:space="preserve"> n° </w:t>
      </w:r>
      <w:r w:rsidRPr="00AB08EC">
        <w:rPr>
          <w:b/>
          <w:lang w:val="fr-FR"/>
        </w:rPr>
        <w:t xml:space="preserve">1 </w:t>
      </w:r>
      <w:r w:rsidRPr="00AB08EC">
        <w:rPr>
          <w:b/>
          <w:i/>
          <w:lang w:val="fr-FR"/>
        </w:rPr>
        <w:t>(R</w:t>
      </w:r>
      <w:r w:rsidR="00D14AA2" w:rsidRPr="00AB08EC">
        <w:rPr>
          <w:b/>
          <w:i/>
          <w:lang w:val="fr-FR"/>
        </w:rPr>
        <w:t>é</w:t>
      </w:r>
      <w:r w:rsidRPr="00AB08EC">
        <w:rPr>
          <w:b/>
          <w:i/>
          <w:lang w:val="fr-FR"/>
        </w:rPr>
        <w:t>f</w:t>
      </w:r>
      <w:r w:rsidR="00D14AA2" w:rsidRPr="00AB08EC">
        <w:rPr>
          <w:b/>
          <w:i/>
          <w:lang w:val="fr-FR"/>
        </w:rPr>
        <w:t>.</w:t>
      </w:r>
      <w:r w:rsidR="00120B0A" w:rsidRPr="00AB08EC">
        <w:rPr>
          <w:b/>
          <w:i/>
          <w:lang w:val="fr-FR"/>
        </w:rPr>
        <w:t xml:space="preserve"> </w:t>
      </w:r>
      <w:r w:rsidR="00D14AA2" w:rsidRPr="00AB08EC">
        <w:rPr>
          <w:b/>
          <w:i/>
          <w:lang w:val="fr-FR"/>
        </w:rPr>
        <w:t> :</w:t>
      </w:r>
      <w:r w:rsidR="00D464DE" w:rsidRPr="00AB08EC">
        <w:rPr>
          <w:b/>
          <w:i/>
          <w:lang w:val="fr-FR"/>
        </w:rPr>
        <w:t xml:space="preserve"> </w:t>
      </w:r>
      <w:r w:rsidR="00D14AA2" w:rsidRPr="00AB08EC">
        <w:rPr>
          <w:b/>
          <w:i/>
          <w:lang w:val="fr-FR"/>
        </w:rPr>
        <w:t>c</w:t>
      </w:r>
      <w:r w:rsidRPr="00AB08EC">
        <w:rPr>
          <w:b/>
          <w:i/>
          <w:lang w:val="fr-FR"/>
        </w:rPr>
        <w:t>onclusion</w:t>
      </w:r>
      <w:r w:rsidR="00D14AA2" w:rsidRPr="00AB08EC">
        <w:rPr>
          <w:b/>
          <w:i/>
          <w:lang w:val="fr-FR"/>
        </w:rPr>
        <w:t xml:space="preserve"> n° </w:t>
      </w:r>
      <w:r w:rsidR="000D230D" w:rsidRPr="00AB08EC">
        <w:rPr>
          <w:b/>
          <w:i/>
          <w:lang w:val="fr-FR"/>
        </w:rPr>
        <w:t>1</w:t>
      </w:r>
      <w:r w:rsidRPr="00AB08EC">
        <w:rPr>
          <w:b/>
          <w:i/>
          <w:lang w:val="fr-FR"/>
        </w:rPr>
        <w:t xml:space="preserve">, </w:t>
      </w:r>
      <w:r w:rsidR="00D14AA2" w:rsidRPr="00AB08EC">
        <w:rPr>
          <w:b/>
          <w:i/>
          <w:lang w:val="fr-FR"/>
        </w:rPr>
        <w:t>constatations n</w:t>
      </w:r>
      <w:r w:rsidR="00D14AA2" w:rsidRPr="00AB08EC">
        <w:rPr>
          <w:b/>
          <w:i/>
          <w:vertAlign w:val="superscript"/>
          <w:lang w:val="fr-FR"/>
        </w:rPr>
        <w:t>os</w:t>
      </w:r>
      <w:r w:rsidR="00D14AA2" w:rsidRPr="00AB08EC">
        <w:rPr>
          <w:b/>
          <w:i/>
          <w:lang w:val="fr-FR"/>
        </w:rPr>
        <w:t> </w:t>
      </w:r>
      <w:r w:rsidR="000D230D" w:rsidRPr="00AB08EC">
        <w:rPr>
          <w:b/>
          <w:i/>
          <w:lang w:val="fr-FR"/>
        </w:rPr>
        <w:t>7</w:t>
      </w:r>
      <w:r w:rsidR="001F0EAF" w:rsidRPr="00AB08EC">
        <w:rPr>
          <w:b/>
          <w:i/>
          <w:lang w:val="fr-FR"/>
        </w:rPr>
        <w:t xml:space="preserve"> à </w:t>
      </w:r>
      <w:r w:rsidR="000D230D" w:rsidRPr="00AB08EC">
        <w:rPr>
          <w:b/>
          <w:i/>
          <w:lang w:val="fr-FR"/>
        </w:rPr>
        <w:t>22</w:t>
      </w:r>
      <w:r w:rsidRPr="00AB08EC">
        <w:rPr>
          <w:b/>
          <w:i/>
          <w:lang w:val="fr-FR"/>
        </w:rPr>
        <w:t>)</w:t>
      </w:r>
      <w:r w:rsidRPr="00AB08EC">
        <w:rPr>
          <w:i/>
          <w:lang w:val="fr-FR"/>
        </w:rPr>
        <w:t xml:space="preserve">.  </w:t>
      </w:r>
      <w:r w:rsidR="00EA1F0C" w:rsidRPr="00AB08EC">
        <w:rPr>
          <w:lang w:val="fr-FR"/>
        </w:rPr>
        <w:t>Il est recommandé que le Secrétariat de l</w:t>
      </w:r>
      <w:r w:rsidR="00641467" w:rsidRPr="00AB08EC">
        <w:rPr>
          <w:lang w:val="fr-FR"/>
        </w:rPr>
        <w:t>’</w:t>
      </w:r>
      <w:r w:rsidR="00EA1F0C" w:rsidRPr="00AB08EC">
        <w:rPr>
          <w:lang w:val="fr-FR"/>
        </w:rPr>
        <w:t>OMPI continue de soutenir ce projet en l</w:t>
      </w:r>
      <w:r w:rsidR="00641467" w:rsidRPr="00AB08EC">
        <w:rPr>
          <w:lang w:val="fr-FR"/>
        </w:rPr>
        <w:t>’</w:t>
      </w:r>
      <w:r w:rsidR="00EA1F0C" w:rsidRPr="00AB08EC">
        <w:rPr>
          <w:lang w:val="fr-FR"/>
        </w:rPr>
        <w:t>intégrant dans les activités du Secteur de l</w:t>
      </w:r>
      <w:r w:rsidR="00641467" w:rsidRPr="00AB08EC">
        <w:rPr>
          <w:lang w:val="fr-FR"/>
        </w:rPr>
        <w:t>’</w:t>
      </w:r>
      <w:r w:rsidR="00EA1F0C" w:rsidRPr="00AB08EC">
        <w:rPr>
          <w:lang w:val="fr-FR"/>
        </w:rPr>
        <w:t>infrastructure mondiale, et qu</w:t>
      </w:r>
      <w:r w:rsidR="00641467" w:rsidRPr="00AB08EC">
        <w:rPr>
          <w:lang w:val="fr-FR"/>
        </w:rPr>
        <w:t>’</w:t>
      </w:r>
      <w:r w:rsidR="00EA1F0C" w:rsidRPr="00AB08EC">
        <w:rPr>
          <w:lang w:val="fr-FR"/>
        </w:rPr>
        <w:t xml:space="preserve">il détermine si les dispositions prises </w:t>
      </w:r>
      <w:r w:rsidR="00EA1F0C" w:rsidRPr="00AB08EC">
        <w:rPr>
          <w:lang w:val="fr-FR"/>
        </w:rPr>
        <w:lastRenderedPageBreak/>
        <w:t xml:space="preserve">concernant le financement de ce projet, </w:t>
      </w:r>
      <w:r w:rsidR="00641467" w:rsidRPr="00AB08EC">
        <w:rPr>
          <w:lang w:val="fr-FR"/>
        </w:rPr>
        <w:t>à savoir</w:t>
      </w:r>
      <w:r w:rsidR="00EA1F0C" w:rsidRPr="00AB08EC">
        <w:rPr>
          <w:lang w:val="fr-FR"/>
        </w:rPr>
        <w:t xml:space="preserve"> que 60% environ du projet provien</w:t>
      </w:r>
      <w:r w:rsidR="000A28C1" w:rsidRPr="00AB08EC">
        <w:rPr>
          <w:lang w:val="fr-FR"/>
        </w:rPr>
        <w:t xml:space="preserve">ne </w:t>
      </w:r>
      <w:r w:rsidR="00EA1F0C" w:rsidRPr="00AB08EC">
        <w:rPr>
          <w:lang w:val="fr-FR"/>
        </w:rPr>
        <w:t>d</w:t>
      </w:r>
      <w:r w:rsidR="00641467" w:rsidRPr="00AB08EC">
        <w:rPr>
          <w:lang w:val="fr-FR"/>
        </w:rPr>
        <w:t>’</w:t>
      </w:r>
      <w:r w:rsidR="00EA1F0C" w:rsidRPr="00AB08EC">
        <w:rPr>
          <w:lang w:val="fr-FR"/>
        </w:rPr>
        <w:t>autres secteurs, sont véritablement adaptées</w:t>
      </w:r>
      <w:r w:rsidRPr="00AB08EC">
        <w:rPr>
          <w:lang w:val="fr-FR"/>
        </w:rPr>
        <w:t>.</w:t>
      </w:r>
    </w:p>
    <w:p w:rsidR="007C74A8" w:rsidRPr="00AB08EC" w:rsidRDefault="00D14AA2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 xml:space="preserve">Recommandation n° 2 </w:t>
      </w:r>
      <w:r w:rsidRPr="00AB08EC">
        <w:rPr>
          <w:b/>
          <w:i/>
          <w:lang w:val="fr-FR"/>
        </w:rPr>
        <w:t>(Réf.</w:t>
      </w:r>
      <w:r w:rsidR="00120B0A" w:rsidRPr="00AB08EC">
        <w:rPr>
          <w:b/>
          <w:i/>
          <w:lang w:val="fr-FR"/>
        </w:rPr>
        <w:t xml:space="preserve"> </w:t>
      </w:r>
      <w:r w:rsidRPr="00AB08EC">
        <w:rPr>
          <w:b/>
          <w:i/>
          <w:lang w:val="fr-FR"/>
        </w:rPr>
        <w:t> : conclusion n° 2, constatations n</w:t>
      </w:r>
      <w:r w:rsidRPr="00AB08EC">
        <w:rPr>
          <w:b/>
          <w:i/>
          <w:vertAlign w:val="superscript"/>
          <w:lang w:val="fr-FR"/>
        </w:rPr>
        <w:t>os</w:t>
      </w:r>
      <w:r w:rsidRPr="00AB08EC">
        <w:rPr>
          <w:b/>
          <w:i/>
          <w:lang w:val="fr-FR"/>
        </w:rPr>
        <w:t> 1</w:t>
      </w:r>
      <w:r w:rsidR="001F0EAF" w:rsidRPr="00AB08EC">
        <w:rPr>
          <w:b/>
          <w:i/>
          <w:lang w:val="fr-FR"/>
        </w:rPr>
        <w:t xml:space="preserve"> à </w:t>
      </w:r>
      <w:r w:rsidRPr="00AB08EC">
        <w:rPr>
          <w:b/>
          <w:i/>
          <w:lang w:val="fr-FR"/>
        </w:rPr>
        <w:t>6)</w:t>
      </w:r>
      <w:r w:rsidRPr="00AB08EC">
        <w:rPr>
          <w:i/>
          <w:lang w:val="fr-FR"/>
        </w:rPr>
        <w:t>.</w:t>
      </w:r>
      <w:r w:rsidR="00576B83" w:rsidRPr="00AB08EC">
        <w:rPr>
          <w:i/>
          <w:lang w:val="fr-FR"/>
        </w:rPr>
        <w:t xml:space="preserve">  </w:t>
      </w:r>
      <w:r w:rsidR="00EA1F0C" w:rsidRPr="00AB08EC">
        <w:rPr>
          <w:lang w:val="fr-FR"/>
        </w:rPr>
        <w:t>Il est recommandé aux États membres et à leurs offices nationaux de propriété intellectuelle qui disposent d</w:t>
      </w:r>
      <w:r w:rsidR="00641467" w:rsidRPr="00AB08EC">
        <w:rPr>
          <w:lang w:val="fr-FR"/>
        </w:rPr>
        <w:t>’</w:t>
      </w:r>
      <w:r w:rsidR="00EA1F0C" w:rsidRPr="00AB08EC">
        <w:rPr>
          <w:lang w:val="fr-FR"/>
        </w:rPr>
        <w:t>un réseau de centres d</w:t>
      </w:r>
      <w:r w:rsidR="00641467" w:rsidRPr="00AB08EC">
        <w:rPr>
          <w:lang w:val="fr-FR"/>
        </w:rPr>
        <w:t>’</w:t>
      </w:r>
      <w:r w:rsidR="00EA1F0C" w:rsidRPr="00AB08EC">
        <w:rPr>
          <w:lang w:val="fr-FR"/>
        </w:rPr>
        <w:t>appui ou qui prévoient d</w:t>
      </w:r>
      <w:r w:rsidR="00641467" w:rsidRPr="00AB08EC">
        <w:rPr>
          <w:lang w:val="fr-FR"/>
        </w:rPr>
        <w:t>’</w:t>
      </w:r>
      <w:r w:rsidR="00EA1F0C" w:rsidRPr="00AB08EC">
        <w:rPr>
          <w:lang w:val="fr-FR"/>
        </w:rPr>
        <w:t xml:space="preserve">en créer </w:t>
      </w:r>
      <w:r w:rsidR="000A28C1" w:rsidRPr="00AB08EC">
        <w:rPr>
          <w:lang w:val="fr-FR"/>
        </w:rPr>
        <w:t xml:space="preserve">un </w:t>
      </w:r>
      <w:r w:rsidR="00EA1F0C" w:rsidRPr="00AB08EC">
        <w:rPr>
          <w:lang w:val="fr-FR"/>
        </w:rPr>
        <w:t>de fournir l</w:t>
      </w:r>
      <w:r w:rsidR="00641467" w:rsidRPr="00AB08EC">
        <w:rPr>
          <w:lang w:val="fr-FR"/>
        </w:rPr>
        <w:t>’</w:t>
      </w:r>
      <w:r w:rsidR="00EA1F0C" w:rsidRPr="00AB08EC">
        <w:rPr>
          <w:lang w:val="fr-FR"/>
        </w:rPr>
        <w:t>appui nécessaire pour assurer la viabilité à long terme</w:t>
      </w:r>
      <w:r w:rsidR="000A28C1" w:rsidRPr="00AB08EC">
        <w:rPr>
          <w:lang w:val="fr-FR"/>
        </w:rPr>
        <w:t xml:space="preserve"> de ce réseau</w:t>
      </w:r>
      <w:r w:rsidR="00EA1F0C" w:rsidRPr="00AB08EC">
        <w:rPr>
          <w:lang w:val="fr-FR"/>
        </w:rPr>
        <w:t>, notamment</w:t>
      </w:r>
      <w:r w:rsidR="000A28C1" w:rsidRPr="00AB08EC">
        <w:rPr>
          <w:lang w:val="fr-FR"/>
        </w:rPr>
        <w:t> :</w:t>
      </w:r>
      <w:r w:rsidR="00EA1F0C" w:rsidRPr="00AB08EC">
        <w:rPr>
          <w:lang w:val="fr-FR"/>
        </w:rPr>
        <w:t xml:space="preserve"> en veillant à ce que les institutions hôtes s</w:t>
      </w:r>
      <w:r w:rsidR="00641467" w:rsidRPr="00AB08EC">
        <w:rPr>
          <w:lang w:val="fr-FR"/>
        </w:rPr>
        <w:t>’</w:t>
      </w:r>
      <w:r w:rsidR="00EA1F0C" w:rsidRPr="00AB08EC">
        <w:rPr>
          <w:lang w:val="fr-FR"/>
        </w:rPr>
        <w:t>engagent à mettre à disposition les ressources humaines nécessaires aux centres d</w:t>
      </w:r>
      <w:r w:rsidR="00641467" w:rsidRPr="00AB08EC">
        <w:rPr>
          <w:lang w:val="fr-FR"/>
        </w:rPr>
        <w:t>’</w:t>
      </w:r>
      <w:r w:rsidR="00EA1F0C" w:rsidRPr="00AB08EC">
        <w:rPr>
          <w:lang w:val="fr-FR"/>
        </w:rPr>
        <w:t xml:space="preserve">appui;  en faisant connaître leurs activités;  en </w:t>
      </w:r>
      <w:r w:rsidR="00084A4C" w:rsidRPr="00AB08EC">
        <w:rPr>
          <w:lang w:val="fr-FR"/>
        </w:rPr>
        <w:t>intégrant le réseau de centres d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appui dans les stratégies et priorités nationales en matière de propriété intellectuelle;  et en encourageant une culture de la propriété intellectuelle et de l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innovation au sein des établissements d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enseignement et du secteur privé</w:t>
      </w:r>
      <w:r w:rsidR="00576B83" w:rsidRPr="00AB08EC">
        <w:rPr>
          <w:lang w:val="fr-FR"/>
        </w:rPr>
        <w:t>.</w:t>
      </w:r>
    </w:p>
    <w:p w:rsidR="007C74A8" w:rsidRPr="00AB08EC" w:rsidRDefault="00085DB5" w:rsidP="00AD230F">
      <w:pPr>
        <w:pStyle w:val="ONUMFS"/>
        <w:rPr>
          <w:lang w:val="fr-FR"/>
        </w:rPr>
      </w:pPr>
      <w:r w:rsidRPr="00AB08EC">
        <w:rPr>
          <w:b/>
          <w:lang w:val="fr-FR"/>
        </w:rPr>
        <w:t xml:space="preserve">Recommandation n° 3 </w:t>
      </w:r>
      <w:r w:rsidRPr="00AB08EC">
        <w:rPr>
          <w:b/>
          <w:i/>
          <w:lang w:val="fr-FR"/>
        </w:rPr>
        <w:t>(Réf.</w:t>
      </w:r>
      <w:r w:rsidR="00120B0A" w:rsidRPr="00AB08EC">
        <w:rPr>
          <w:b/>
          <w:i/>
          <w:lang w:val="fr-FR"/>
        </w:rPr>
        <w:t xml:space="preserve"> </w:t>
      </w:r>
      <w:r w:rsidRPr="00AB08EC">
        <w:rPr>
          <w:b/>
          <w:i/>
          <w:lang w:val="fr-FR"/>
        </w:rPr>
        <w:t> : conclusion n° 3, constatations n</w:t>
      </w:r>
      <w:r w:rsidRPr="00AB08EC">
        <w:rPr>
          <w:b/>
          <w:i/>
          <w:vertAlign w:val="superscript"/>
          <w:lang w:val="fr-FR"/>
        </w:rPr>
        <w:t>os</w:t>
      </w:r>
      <w:r w:rsidRPr="00AB08EC">
        <w:rPr>
          <w:b/>
          <w:i/>
          <w:lang w:val="fr-FR"/>
        </w:rPr>
        <w:t> 15</w:t>
      </w:r>
      <w:r w:rsidR="001F0EAF" w:rsidRPr="00AB08EC">
        <w:rPr>
          <w:b/>
          <w:i/>
          <w:lang w:val="fr-FR"/>
        </w:rPr>
        <w:t xml:space="preserve"> à </w:t>
      </w:r>
      <w:r w:rsidRPr="00AB08EC">
        <w:rPr>
          <w:b/>
          <w:i/>
          <w:lang w:val="fr-FR"/>
        </w:rPr>
        <w:t>25)</w:t>
      </w:r>
      <w:r w:rsidRPr="00AB08EC">
        <w:rPr>
          <w:i/>
          <w:lang w:val="fr-FR"/>
        </w:rPr>
        <w:t>.</w:t>
      </w:r>
      <w:r w:rsidR="00576B83" w:rsidRPr="00AB08EC">
        <w:rPr>
          <w:i/>
          <w:lang w:val="fr-FR"/>
        </w:rPr>
        <w:t xml:space="preserve">  </w:t>
      </w:r>
      <w:r w:rsidR="00084A4C" w:rsidRPr="00AB08EC">
        <w:rPr>
          <w:lang w:val="fr-FR"/>
        </w:rPr>
        <w:t>Il est recommandé que la Section de l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appui à l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innovation et à la technologie du Secrétariat de l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OMPI s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interroge sur la façon d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adapter ses activités pour contribuer à la viabilité à long terme des centres d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appui, par exemple</w:t>
      </w:r>
      <w:r w:rsidR="000A28C1" w:rsidRPr="00AB08EC">
        <w:rPr>
          <w:lang w:val="fr-FR"/>
        </w:rPr>
        <w:t> :</w:t>
      </w:r>
      <w:r w:rsidR="00084A4C" w:rsidRPr="00AB08EC">
        <w:rPr>
          <w:lang w:val="fr-FR"/>
        </w:rPr>
        <w:t xml:space="preserve"> en déterminant plus précisément la portée du projet (en ce qui concerne les pays à aider et la façon de les aider);  en évaluant la formation proposée sur place par rapport à l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 xml:space="preserve">enseignement </w:t>
      </w:r>
      <w:r w:rsidR="000A28C1" w:rsidRPr="00AB08EC">
        <w:rPr>
          <w:lang w:val="fr-FR"/>
        </w:rPr>
        <w:t xml:space="preserve">à distance </w:t>
      </w:r>
      <w:r w:rsidR="00084A4C" w:rsidRPr="00AB08EC">
        <w:rPr>
          <w:lang w:val="fr-FR"/>
        </w:rPr>
        <w:t>dispensé en ligne;  en renforçant l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efficacité et l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efficience des services d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appui à l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innovation offerts par les centres d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appui aux innovateurs locaux</w:t>
      </w:r>
      <w:r w:rsidR="000A28C1" w:rsidRPr="00AB08EC">
        <w:rPr>
          <w:lang w:val="fr-FR"/>
        </w:rPr>
        <w:t>,</w:t>
      </w:r>
      <w:r w:rsidR="00084A4C" w:rsidRPr="00AB08EC">
        <w:rPr>
          <w:lang w:val="fr-FR"/>
        </w:rPr>
        <w:t xml:space="preserve"> par l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élargissement de l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offre en formation au sein des centres d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appui en ce qui concerne d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 xml:space="preserve">autres </w:t>
      </w:r>
      <w:r w:rsidR="000A28C1" w:rsidRPr="00AB08EC">
        <w:rPr>
          <w:lang w:val="fr-FR"/>
        </w:rPr>
        <w:t>composantes</w:t>
      </w:r>
      <w:r w:rsidR="00084A4C" w:rsidRPr="00AB08EC">
        <w:rPr>
          <w:lang w:val="fr-FR"/>
        </w:rPr>
        <w:t xml:space="preserve"> du cycle de l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innovation;  en intégrant davantage la plate</w:t>
      </w:r>
      <w:r w:rsidR="0039724E" w:rsidRPr="00AB08EC">
        <w:rPr>
          <w:lang w:val="fr-FR"/>
        </w:rPr>
        <w:noBreakHyphen/>
      </w:r>
      <w:r w:rsidR="00084A4C" w:rsidRPr="00AB08EC">
        <w:rPr>
          <w:lang w:val="fr-FR"/>
        </w:rPr>
        <w:t>forme en ligne dans les réseaux de centres d</w:t>
      </w:r>
      <w:r w:rsidR="00641467" w:rsidRPr="00AB08EC">
        <w:rPr>
          <w:lang w:val="fr-FR"/>
        </w:rPr>
        <w:t>’</w:t>
      </w:r>
      <w:r w:rsidR="00084A4C" w:rsidRPr="00AB08EC">
        <w:rPr>
          <w:lang w:val="fr-FR"/>
        </w:rPr>
        <w:t>appui;  en consignant les exemples de “véritable réussite”</w:t>
      </w:r>
      <w:r w:rsidR="00304775" w:rsidRPr="00AB08EC">
        <w:rPr>
          <w:lang w:val="fr-FR"/>
        </w:rPr>
        <w:t xml:space="preserve"> dans les réseaux de centres d</w:t>
      </w:r>
      <w:r w:rsidR="00641467" w:rsidRPr="00AB08EC">
        <w:rPr>
          <w:lang w:val="fr-FR"/>
        </w:rPr>
        <w:t>’</w:t>
      </w:r>
      <w:r w:rsidR="00304775" w:rsidRPr="00AB08EC">
        <w:rPr>
          <w:lang w:val="fr-FR"/>
        </w:rPr>
        <w:t>appui;  et en examinant plus avant comment aider les réseaux de centres d</w:t>
      </w:r>
      <w:r w:rsidR="00641467" w:rsidRPr="00AB08EC">
        <w:rPr>
          <w:lang w:val="fr-FR"/>
        </w:rPr>
        <w:t>’</w:t>
      </w:r>
      <w:r w:rsidR="00304775" w:rsidRPr="00AB08EC">
        <w:rPr>
          <w:lang w:val="fr-FR"/>
        </w:rPr>
        <w:t>appui à relever les défis auxquels ils doivent faire face (comme indiqué dans la conclusion n° 3).</w:t>
      </w:r>
    </w:p>
    <w:p w:rsidR="00641467" w:rsidRPr="00AB08EC" w:rsidRDefault="00085DB5" w:rsidP="00AD230F">
      <w:pPr>
        <w:pStyle w:val="ONUMFS"/>
        <w:spacing w:after="0"/>
        <w:rPr>
          <w:lang w:val="fr-FR"/>
        </w:rPr>
      </w:pPr>
      <w:r w:rsidRPr="00AB08EC">
        <w:rPr>
          <w:b/>
          <w:lang w:val="fr-FR"/>
        </w:rPr>
        <w:t xml:space="preserve">Recommandation n° 4 </w:t>
      </w:r>
      <w:r w:rsidRPr="00AB08EC">
        <w:rPr>
          <w:b/>
          <w:i/>
          <w:lang w:val="fr-FR"/>
        </w:rPr>
        <w:t>(Réf.</w:t>
      </w:r>
      <w:r w:rsidR="00120B0A" w:rsidRPr="00AB08EC">
        <w:rPr>
          <w:b/>
          <w:i/>
          <w:lang w:val="fr-FR"/>
        </w:rPr>
        <w:t xml:space="preserve"> </w:t>
      </w:r>
      <w:r w:rsidRPr="00AB08EC">
        <w:rPr>
          <w:b/>
          <w:i/>
          <w:lang w:val="fr-FR"/>
        </w:rPr>
        <w:t> : conclusion n° 4, constatations n</w:t>
      </w:r>
      <w:r w:rsidRPr="00AB08EC">
        <w:rPr>
          <w:b/>
          <w:i/>
          <w:vertAlign w:val="superscript"/>
          <w:lang w:val="fr-FR"/>
        </w:rPr>
        <w:t>os</w:t>
      </w:r>
      <w:r w:rsidRPr="00AB08EC">
        <w:rPr>
          <w:b/>
          <w:i/>
          <w:lang w:val="fr-FR"/>
        </w:rPr>
        <w:t> 23</w:t>
      </w:r>
      <w:r w:rsidR="001F0EAF" w:rsidRPr="00AB08EC">
        <w:rPr>
          <w:b/>
          <w:i/>
          <w:lang w:val="fr-FR"/>
        </w:rPr>
        <w:t xml:space="preserve"> à </w:t>
      </w:r>
      <w:r w:rsidRPr="00AB08EC">
        <w:rPr>
          <w:b/>
          <w:i/>
          <w:lang w:val="fr-FR"/>
        </w:rPr>
        <w:t>28)</w:t>
      </w:r>
      <w:r w:rsidRPr="00AB08EC">
        <w:rPr>
          <w:i/>
          <w:lang w:val="fr-FR"/>
        </w:rPr>
        <w:t xml:space="preserve">.  </w:t>
      </w:r>
      <w:r w:rsidR="00304775" w:rsidRPr="00AB08EC">
        <w:rPr>
          <w:lang w:val="fr-FR"/>
        </w:rPr>
        <w:t>Il est recommandé que toutes les parties prenantes concernées par ce projet (Secrétariat de l</w:t>
      </w:r>
      <w:r w:rsidR="00641467" w:rsidRPr="00AB08EC">
        <w:rPr>
          <w:lang w:val="fr-FR"/>
        </w:rPr>
        <w:t>’</w:t>
      </w:r>
      <w:r w:rsidR="00304775" w:rsidRPr="00AB08EC">
        <w:rPr>
          <w:lang w:val="fr-FR"/>
        </w:rPr>
        <w:t>OMPI, États membres, offices nationaux de propriété intellectuelle et institutions hôtes) s</w:t>
      </w:r>
      <w:r w:rsidR="00641467" w:rsidRPr="00AB08EC">
        <w:rPr>
          <w:lang w:val="fr-FR"/>
        </w:rPr>
        <w:t>’</w:t>
      </w:r>
      <w:r w:rsidR="00304775" w:rsidRPr="00AB08EC">
        <w:rPr>
          <w:lang w:val="fr-FR"/>
        </w:rPr>
        <w:t>interrogent sur la façon d</w:t>
      </w:r>
      <w:r w:rsidR="00641467" w:rsidRPr="00AB08EC">
        <w:rPr>
          <w:lang w:val="fr-FR"/>
        </w:rPr>
        <w:t>’</w:t>
      </w:r>
      <w:r w:rsidR="00304775" w:rsidRPr="00AB08EC">
        <w:rPr>
          <w:lang w:val="fr-FR"/>
        </w:rPr>
        <w:t>intégrer davantage les centres d</w:t>
      </w:r>
      <w:r w:rsidR="00641467" w:rsidRPr="00AB08EC">
        <w:rPr>
          <w:lang w:val="fr-FR"/>
        </w:rPr>
        <w:t>’</w:t>
      </w:r>
      <w:r w:rsidR="00304775" w:rsidRPr="00AB08EC">
        <w:rPr>
          <w:lang w:val="fr-FR"/>
        </w:rPr>
        <w:t>appui dans des initiatives plus vastes dans le domaine de la technologie et de l</w:t>
      </w:r>
      <w:r w:rsidR="00641467" w:rsidRPr="00AB08EC">
        <w:rPr>
          <w:lang w:val="fr-FR"/>
        </w:rPr>
        <w:t>’</w:t>
      </w:r>
      <w:r w:rsidR="00304775" w:rsidRPr="00AB08EC">
        <w:rPr>
          <w:lang w:val="fr-FR"/>
        </w:rPr>
        <w:t>innovation</w:t>
      </w:r>
      <w:r w:rsidR="00576B83" w:rsidRPr="00AB08EC">
        <w:rPr>
          <w:lang w:val="fr-FR"/>
        </w:rPr>
        <w:t xml:space="preserve">, </w:t>
      </w:r>
      <w:r w:rsidR="00304775" w:rsidRPr="00AB08EC">
        <w:rPr>
          <w:lang w:val="fr-FR"/>
        </w:rPr>
        <w:t>e</w:t>
      </w:r>
      <w:r w:rsidR="000A28C1" w:rsidRPr="00AB08EC">
        <w:rPr>
          <w:lang w:val="fr-FR"/>
        </w:rPr>
        <w:t>t qu’elles utilisent pour ce faire</w:t>
      </w:r>
      <w:r w:rsidR="00304775" w:rsidRPr="00AB08EC">
        <w:rPr>
          <w:lang w:val="fr-FR"/>
        </w:rPr>
        <w:t xml:space="preserve"> comme point de départ les exemples cités dans la conclusion n° 4</w:t>
      </w:r>
      <w:r w:rsidR="00576B83" w:rsidRPr="00AB08EC">
        <w:rPr>
          <w:lang w:val="fr-FR"/>
        </w:rPr>
        <w:t>.</w:t>
      </w:r>
    </w:p>
    <w:p w:rsidR="007C74A8" w:rsidRPr="00AB08EC" w:rsidRDefault="007C74A8" w:rsidP="00AD230F">
      <w:pPr>
        <w:pStyle w:val="BodyText"/>
        <w:spacing w:after="0"/>
        <w:rPr>
          <w:lang w:val="fr-FR"/>
        </w:rPr>
      </w:pPr>
    </w:p>
    <w:p w:rsidR="007C74A8" w:rsidRPr="00AB08EC" w:rsidRDefault="007C74A8" w:rsidP="00AD230F">
      <w:pPr>
        <w:pStyle w:val="BodyText"/>
        <w:spacing w:after="0"/>
        <w:rPr>
          <w:lang w:val="fr-FR"/>
        </w:rPr>
      </w:pPr>
    </w:p>
    <w:p w:rsidR="007C74A8" w:rsidRPr="00AB08EC" w:rsidRDefault="007C74A8" w:rsidP="00AD230F">
      <w:pPr>
        <w:pStyle w:val="Endofdocument"/>
        <w:spacing w:line="240" w:lineRule="auto"/>
        <w:rPr>
          <w:lang w:val="fr-FR" w:bidi="en-US"/>
        </w:rPr>
      </w:pPr>
    </w:p>
    <w:p w:rsidR="007C74A8" w:rsidRPr="00AB08EC" w:rsidRDefault="006E6A54" w:rsidP="00AD230F">
      <w:pPr>
        <w:pStyle w:val="Endofdocument"/>
        <w:spacing w:line="240" w:lineRule="auto"/>
        <w:rPr>
          <w:lang w:val="fr-FR"/>
        </w:rPr>
      </w:pPr>
      <w:r w:rsidRPr="00AB08EC">
        <w:rPr>
          <w:lang w:val="fr-FR" w:bidi="en-US"/>
        </w:rPr>
        <w:t>[</w:t>
      </w:r>
      <w:r w:rsidR="00085DB5" w:rsidRPr="00AB08EC">
        <w:rPr>
          <w:lang w:val="fr-FR" w:bidi="en-US"/>
        </w:rPr>
        <w:t>Fin de l</w:t>
      </w:r>
      <w:r w:rsidR="00641467" w:rsidRPr="00AB08EC">
        <w:rPr>
          <w:lang w:val="fr-FR" w:bidi="en-US"/>
        </w:rPr>
        <w:t>’</w:t>
      </w:r>
      <w:r w:rsidR="00085DB5" w:rsidRPr="00AB08EC">
        <w:rPr>
          <w:lang w:val="fr-FR" w:bidi="en-US"/>
        </w:rPr>
        <w:t>annexe et du document</w:t>
      </w:r>
      <w:r w:rsidRPr="00AB08EC">
        <w:rPr>
          <w:lang w:val="fr-FR" w:bidi="en-US"/>
        </w:rPr>
        <w:t>]</w:t>
      </w: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7C74A8" w:rsidP="00AD230F">
      <w:pPr>
        <w:rPr>
          <w:lang w:val="fr-FR"/>
        </w:rPr>
      </w:pPr>
    </w:p>
    <w:p w:rsidR="007C74A8" w:rsidRPr="00AB08EC" w:rsidRDefault="007C74A8" w:rsidP="00AD230F">
      <w:pPr>
        <w:rPr>
          <w:lang w:val="fr-FR"/>
        </w:rPr>
      </w:pPr>
    </w:p>
    <w:p w:rsidR="006E6A54" w:rsidRPr="00AB08EC" w:rsidRDefault="006E6A54" w:rsidP="00AD230F">
      <w:pPr>
        <w:rPr>
          <w:lang w:val="fr-FR"/>
        </w:rPr>
      </w:pPr>
    </w:p>
    <w:sectPr w:rsidR="006E6A54" w:rsidRPr="00AB08EC" w:rsidSect="0039724E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079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9EF" w:rsidRDefault="005549EF">
      <w:r>
        <w:separator/>
      </w:r>
    </w:p>
  </w:endnote>
  <w:endnote w:type="continuationSeparator" w:id="0">
    <w:p w:rsidR="005549EF" w:rsidRDefault="005549EF" w:rsidP="003B38C1">
      <w:r>
        <w:separator/>
      </w:r>
    </w:p>
    <w:p w:rsidR="005549EF" w:rsidRPr="003B38C1" w:rsidRDefault="005549E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549EF" w:rsidRPr="003B38C1" w:rsidRDefault="005549E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24E" w:rsidRPr="0039724E" w:rsidRDefault="0039724E" w:rsidP="0039724E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296" w:rsidRDefault="00D002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C8" w:rsidRDefault="00BE54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9EF" w:rsidRDefault="005549EF">
      <w:r>
        <w:separator/>
      </w:r>
    </w:p>
  </w:footnote>
  <w:footnote w:type="continuationSeparator" w:id="0">
    <w:p w:rsidR="005549EF" w:rsidRDefault="005549EF" w:rsidP="008B60B2">
      <w:r>
        <w:separator/>
      </w:r>
    </w:p>
    <w:p w:rsidR="005549EF" w:rsidRPr="00ED77FB" w:rsidRDefault="005549E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549EF" w:rsidRPr="00ED77FB" w:rsidRDefault="005549E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C8" w:rsidRDefault="00BE54C8" w:rsidP="00477D6B">
    <w:pPr>
      <w:jc w:val="right"/>
    </w:pPr>
    <w:bookmarkStart w:id="3" w:name="Code2"/>
    <w:bookmarkEnd w:id="3"/>
    <w:r>
      <w:t>CDIP/13/3</w:t>
    </w:r>
  </w:p>
  <w:p w:rsidR="00BE54C8" w:rsidRDefault="00BE54C8" w:rsidP="00477D6B">
    <w:pPr>
      <w:jc w:val="right"/>
    </w:pPr>
    <w:r>
      <w:t xml:space="preserve"> </w:t>
    </w:r>
    <w:proofErr w:type="gramStart"/>
    <w:r>
      <w:t>page</w:t>
    </w:r>
    <w:proofErr w:type="gramEnd"/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40C43">
      <w:rPr>
        <w:rStyle w:val="PageNumber"/>
        <w:noProof/>
      </w:rPr>
      <w:t>2</w:t>
    </w:r>
    <w:r>
      <w:rPr>
        <w:rStyle w:val="PageNumber"/>
      </w:rPr>
      <w:fldChar w:fldCharType="end"/>
    </w:r>
  </w:p>
  <w:p w:rsidR="00BE54C8" w:rsidRDefault="00BE54C8" w:rsidP="00477D6B">
    <w:pPr>
      <w:jc w:val="right"/>
    </w:pPr>
    <w:bookmarkStart w:id="4" w:name="_Toc320474862"/>
    <w:bookmarkStart w:id="5" w:name="_Toc320700943"/>
    <w:bookmarkStart w:id="6" w:name="_Toc321120939"/>
    <w:bookmarkEnd w:id="4"/>
    <w:bookmarkEnd w:id="5"/>
    <w:bookmarkEnd w:id="6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C8" w:rsidRPr="00150FAF" w:rsidRDefault="00BE54C8" w:rsidP="00477D6B">
    <w:pPr>
      <w:jc w:val="right"/>
      <w:rPr>
        <w:lang w:val="fr-FR"/>
      </w:rPr>
    </w:pPr>
    <w:r w:rsidRPr="00150FAF">
      <w:rPr>
        <w:lang w:val="fr-FR"/>
      </w:rPr>
      <w:t>CDIP/1</w:t>
    </w:r>
    <w:r>
      <w:rPr>
        <w:lang w:val="fr-FR"/>
      </w:rPr>
      <w:t>4</w:t>
    </w:r>
    <w:r w:rsidRPr="00150FAF">
      <w:rPr>
        <w:lang w:val="fr-FR"/>
      </w:rPr>
      <w:t>/</w:t>
    </w:r>
    <w:r w:rsidR="00A81929">
      <w:rPr>
        <w:lang w:val="fr-FR"/>
      </w:rPr>
      <w:t>5</w:t>
    </w:r>
  </w:p>
  <w:p w:rsidR="00BE54C8" w:rsidRPr="00150FAF" w:rsidRDefault="00BE54C8" w:rsidP="00477D6B">
    <w:pPr>
      <w:jc w:val="right"/>
      <w:rPr>
        <w:lang w:val="fr-FR"/>
      </w:rPr>
    </w:pPr>
    <w:r w:rsidRPr="00150FAF">
      <w:rPr>
        <w:lang w:val="fr-FR"/>
      </w:rPr>
      <w:t>A</w:t>
    </w:r>
    <w:r w:rsidR="00D00296">
      <w:rPr>
        <w:lang w:val="fr-FR"/>
      </w:rPr>
      <w:t>nnex</w:t>
    </w:r>
    <w:r w:rsidR="00BE704C">
      <w:rPr>
        <w:lang w:val="fr-FR"/>
      </w:rPr>
      <w:t>e</w:t>
    </w:r>
    <w:r w:rsidRPr="00150FAF">
      <w:rPr>
        <w:lang w:val="fr-FR"/>
      </w:rPr>
      <w:t xml:space="preserve">, page </w:t>
    </w:r>
    <w:r>
      <w:rPr>
        <w:rStyle w:val="PageNumber"/>
      </w:rPr>
      <w:fldChar w:fldCharType="begin"/>
    </w:r>
    <w:r w:rsidRPr="00150FAF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5739FA">
      <w:rPr>
        <w:rStyle w:val="PageNumber"/>
        <w:noProof/>
        <w:lang w:val="fr-FR"/>
      </w:rPr>
      <w:t>5</w:t>
    </w:r>
    <w:r>
      <w:rPr>
        <w:rStyle w:val="PageNumber"/>
      </w:rPr>
      <w:fldChar w:fldCharType="end"/>
    </w:r>
  </w:p>
  <w:p w:rsidR="00BE54C8" w:rsidRPr="00150FAF" w:rsidRDefault="00BE54C8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4C8" w:rsidRDefault="00A81929" w:rsidP="00FB6E4B">
    <w:pPr>
      <w:pStyle w:val="Header"/>
      <w:jc w:val="right"/>
    </w:pPr>
    <w:r>
      <w:t>CDIP/14/5</w:t>
    </w:r>
  </w:p>
  <w:p w:rsidR="00BE54C8" w:rsidRDefault="00D00296" w:rsidP="0039724E">
    <w:pPr>
      <w:pStyle w:val="Header"/>
      <w:jc w:val="right"/>
    </w:pPr>
    <w:r>
      <w:t>ANNEX</w:t>
    </w:r>
    <w:r w:rsidR="00BE704C">
      <w:t>E</w:t>
    </w:r>
  </w:p>
  <w:p w:rsidR="0039724E" w:rsidRDefault="0039724E" w:rsidP="003972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06C13A13"/>
    <w:multiLevelType w:val="hybridMultilevel"/>
    <w:tmpl w:val="849249B8"/>
    <w:lvl w:ilvl="0" w:tplc="7902C56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CD29E3"/>
    <w:multiLevelType w:val="multilevel"/>
    <w:tmpl w:val="23A27C9C"/>
    <w:lvl w:ilvl="0">
      <w:start w:val="1"/>
      <w:numFmt w:val="lowerLetter"/>
      <w:lvlRestart w:val="0"/>
      <w:pStyle w:val="ONUME"/>
      <w:lvlText w:val="(%1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>
    <w:nsid w:val="128942B1"/>
    <w:multiLevelType w:val="hybridMultilevel"/>
    <w:tmpl w:val="9D3EC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ACC0C13"/>
    <w:multiLevelType w:val="hybridMultilevel"/>
    <w:tmpl w:val="D494D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26C4A"/>
    <w:multiLevelType w:val="hybridMultilevel"/>
    <w:tmpl w:val="5D223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DF001F"/>
    <w:multiLevelType w:val="hybridMultilevel"/>
    <w:tmpl w:val="BF4C662E"/>
    <w:lvl w:ilvl="0" w:tplc="100C0017">
      <w:start w:val="1"/>
      <w:numFmt w:val="lowerLetter"/>
      <w:lvlText w:val="%1)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3B1DFA"/>
    <w:multiLevelType w:val="hybridMultilevel"/>
    <w:tmpl w:val="1B701124"/>
    <w:lvl w:ilvl="0" w:tplc="FFFFFFFF">
      <w:start w:val="1"/>
      <w:numFmt w:val="decimal"/>
      <w:lvlRestart w:val="0"/>
      <w:pStyle w:val="Numbers"/>
      <w:lvlText w:val="%1)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3">
    <w:nsid w:val="569146CA"/>
    <w:multiLevelType w:val="hybridMultilevel"/>
    <w:tmpl w:val="0874A5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A3478"/>
    <w:multiLevelType w:val="hybridMultilevel"/>
    <w:tmpl w:val="5A746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7070AB"/>
    <w:multiLevelType w:val="hybridMultilevel"/>
    <w:tmpl w:val="BF4C662E"/>
    <w:lvl w:ilvl="0" w:tplc="100C0017">
      <w:start w:val="1"/>
      <w:numFmt w:val="lowerLetter"/>
      <w:lvlText w:val="%1)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12"/>
  </w:num>
  <w:num w:numId="10">
    <w:abstractNumId w:val="13"/>
  </w:num>
  <w:num w:numId="11">
    <w:abstractNumId w:val="8"/>
  </w:num>
  <w:num w:numId="12">
    <w:abstractNumId w:val="10"/>
  </w:num>
  <w:num w:numId="13">
    <w:abstractNumId w:val="15"/>
  </w:num>
  <w:num w:numId="14">
    <w:abstractNumId w:val="14"/>
  </w:num>
  <w:num w:numId="15">
    <w:abstractNumId w:val="9"/>
  </w:num>
  <w:num w:numId="16">
    <w:abstractNumId w:val="6"/>
  </w:num>
  <w:num w:numId="17">
    <w:abstractNumId w:val="12"/>
  </w:num>
  <w:num w:numId="18">
    <w:abstractNumId w:val="1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IP in General\Meetings"/>
    <w:docVar w:name="TextBaseURL" w:val="empty"/>
    <w:docVar w:name="UILng" w:val="en"/>
  </w:docVars>
  <w:rsids>
    <w:rsidRoot w:val="005A5D8A"/>
    <w:rsid w:val="00000C32"/>
    <w:rsid w:val="00011BFB"/>
    <w:rsid w:val="00013293"/>
    <w:rsid w:val="00013627"/>
    <w:rsid w:val="00013B29"/>
    <w:rsid w:val="0001562C"/>
    <w:rsid w:val="000202D0"/>
    <w:rsid w:val="00021F82"/>
    <w:rsid w:val="00022C9A"/>
    <w:rsid w:val="00023307"/>
    <w:rsid w:val="00026673"/>
    <w:rsid w:val="00026FA2"/>
    <w:rsid w:val="00027189"/>
    <w:rsid w:val="000308C7"/>
    <w:rsid w:val="00030EA8"/>
    <w:rsid w:val="00037D1D"/>
    <w:rsid w:val="00041820"/>
    <w:rsid w:val="00042C9B"/>
    <w:rsid w:val="00043CAA"/>
    <w:rsid w:val="00044925"/>
    <w:rsid w:val="00046893"/>
    <w:rsid w:val="000479B1"/>
    <w:rsid w:val="00047D96"/>
    <w:rsid w:val="00051999"/>
    <w:rsid w:val="0005217D"/>
    <w:rsid w:val="0005361A"/>
    <w:rsid w:val="00056450"/>
    <w:rsid w:val="00063D97"/>
    <w:rsid w:val="00065849"/>
    <w:rsid w:val="000722D7"/>
    <w:rsid w:val="00075432"/>
    <w:rsid w:val="0007652D"/>
    <w:rsid w:val="00077463"/>
    <w:rsid w:val="00080A2F"/>
    <w:rsid w:val="00083BB1"/>
    <w:rsid w:val="00084A4C"/>
    <w:rsid w:val="00085DB5"/>
    <w:rsid w:val="00092F69"/>
    <w:rsid w:val="000936FB"/>
    <w:rsid w:val="000968ED"/>
    <w:rsid w:val="00097361"/>
    <w:rsid w:val="000A00A9"/>
    <w:rsid w:val="000A13FC"/>
    <w:rsid w:val="000A1C40"/>
    <w:rsid w:val="000A28C1"/>
    <w:rsid w:val="000A3E2F"/>
    <w:rsid w:val="000A59AF"/>
    <w:rsid w:val="000A7ADD"/>
    <w:rsid w:val="000B045C"/>
    <w:rsid w:val="000B3F68"/>
    <w:rsid w:val="000B47C2"/>
    <w:rsid w:val="000C0FA4"/>
    <w:rsid w:val="000C31EF"/>
    <w:rsid w:val="000C5649"/>
    <w:rsid w:val="000C5936"/>
    <w:rsid w:val="000C5963"/>
    <w:rsid w:val="000D040F"/>
    <w:rsid w:val="000D230D"/>
    <w:rsid w:val="000D2AC1"/>
    <w:rsid w:val="000D5897"/>
    <w:rsid w:val="000D5A70"/>
    <w:rsid w:val="000E3450"/>
    <w:rsid w:val="000E58E8"/>
    <w:rsid w:val="000F159B"/>
    <w:rsid w:val="000F1A90"/>
    <w:rsid w:val="000F3349"/>
    <w:rsid w:val="000F4BD3"/>
    <w:rsid w:val="000F594C"/>
    <w:rsid w:val="000F5E56"/>
    <w:rsid w:val="00105172"/>
    <w:rsid w:val="001059FC"/>
    <w:rsid w:val="00112653"/>
    <w:rsid w:val="00113824"/>
    <w:rsid w:val="00113BB7"/>
    <w:rsid w:val="001145F7"/>
    <w:rsid w:val="00115024"/>
    <w:rsid w:val="00120B0A"/>
    <w:rsid w:val="00125612"/>
    <w:rsid w:val="001269EB"/>
    <w:rsid w:val="00127374"/>
    <w:rsid w:val="00130B53"/>
    <w:rsid w:val="001362EE"/>
    <w:rsid w:val="0013630A"/>
    <w:rsid w:val="001423A5"/>
    <w:rsid w:val="00142EFF"/>
    <w:rsid w:val="0014770B"/>
    <w:rsid w:val="00147E7B"/>
    <w:rsid w:val="00150FAF"/>
    <w:rsid w:val="001515F1"/>
    <w:rsid w:val="00151E8B"/>
    <w:rsid w:val="00157530"/>
    <w:rsid w:val="001621D7"/>
    <w:rsid w:val="00164C23"/>
    <w:rsid w:val="00167731"/>
    <w:rsid w:val="0017331F"/>
    <w:rsid w:val="00177E17"/>
    <w:rsid w:val="00181D9D"/>
    <w:rsid w:val="001821CA"/>
    <w:rsid w:val="001832A6"/>
    <w:rsid w:val="00183F08"/>
    <w:rsid w:val="001840F5"/>
    <w:rsid w:val="00185815"/>
    <w:rsid w:val="00186013"/>
    <w:rsid w:val="00190BBD"/>
    <w:rsid w:val="0019113C"/>
    <w:rsid w:val="001937E8"/>
    <w:rsid w:val="00195D57"/>
    <w:rsid w:val="00196C30"/>
    <w:rsid w:val="00197452"/>
    <w:rsid w:val="001975E5"/>
    <w:rsid w:val="001A1F86"/>
    <w:rsid w:val="001A316C"/>
    <w:rsid w:val="001B3C6B"/>
    <w:rsid w:val="001C5415"/>
    <w:rsid w:val="001C6672"/>
    <w:rsid w:val="001C7E86"/>
    <w:rsid w:val="001D1656"/>
    <w:rsid w:val="001D1CB9"/>
    <w:rsid w:val="001D4EB7"/>
    <w:rsid w:val="001D50BA"/>
    <w:rsid w:val="001D6CD2"/>
    <w:rsid w:val="001E01EB"/>
    <w:rsid w:val="001E1672"/>
    <w:rsid w:val="001E45A2"/>
    <w:rsid w:val="001E6A73"/>
    <w:rsid w:val="001F0EAF"/>
    <w:rsid w:val="001F1DFC"/>
    <w:rsid w:val="001F4C95"/>
    <w:rsid w:val="001F53E0"/>
    <w:rsid w:val="001F65EB"/>
    <w:rsid w:val="00211DA8"/>
    <w:rsid w:val="00211EB2"/>
    <w:rsid w:val="00212775"/>
    <w:rsid w:val="00213162"/>
    <w:rsid w:val="00217EB0"/>
    <w:rsid w:val="0022067D"/>
    <w:rsid w:val="00222610"/>
    <w:rsid w:val="00225E0F"/>
    <w:rsid w:val="00230439"/>
    <w:rsid w:val="00237C31"/>
    <w:rsid w:val="00237E65"/>
    <w:rsid w:val="00242427"/>
    <w:rsid w:val="002460AB"/>
    <w:rsid w:val="00254224"/>
    <w:rsid w:val="00256A19"/>
    <w:rsid w:val="0026327E"/>
    <w:rsid w:val="0026330C"/>
    <w:rsid w:val="002634C4"/>
    <w:rsid w:val="002649ED"/>
    <w:rsid w:val="0026522C"/>
    <w:rsid w:val="00265236"/>
    <w:rsid w:val="00265F27"/>
    <w:rsid w:val="002705AC"/>
    <w:rsid w:val="00270EAC"/>
    <w:rsid w:val="00272E3B"/>
    <w:rsid w:val="00273239"/>
    <w:rsid w:val="00275174"/>
    <w:rsid w:val="00276AF4"/>
    <w:rsid w:val="00281A68"/>
    <w:rsid w:val="00281D8C"/>
    <w:rsid w:val="00282D1E"/>
    <w:rsid w:val="0028339D"/>
    <w:rsid w:val="002861D3"/>
    <w:rsid w:val="00286DDA"/>
    <w:rsid w:val="00287196"/>
    <w:rsid w:val="00287CBE"/>
    <w:rsid w:val="002928D3"/>
    <w:rsid w:val="00292EA1"/>
    <w:rsid w:val="0029443A"/>
    <w:rsid w:val="002971A6"/>
    <w:rsid w:val="002A0B05"/>
    <w:rsid w:val="002A3934"/>
    <w:rsid w:val="002A3A3E"/>
    <w:rsid w:val="002A3DBC"/>
    <w:rsid w:val="002A601E"/>
    <w:rsid w:val="002B4B6A"/>
    <w:rsid w:val="002B5D17"/>
    <w:rsid w:val="002B660C"/>
    <w:rsid w:val="002C0080"/>
    <w:rsid w:val="002C119C"/>
    <w:rsid w:val="002C15EC"/>
    <w:rsid w:val="002C468E"/>
    <w:rsid w:val="002C4966"/>
    <w:rsid w:val="002D26BB"/>
    <w:rsid w:val="002D7C76"/>
    <w:rsid w:val="002E1285"/>
    <w:rsid w:val="002E1717"/>
    <w:rsid w:val="002E7F5D"/>
    <w:rsid w:val="002F1793"/>
    <w:rsid w:val="002F1FE6"/>
    <w:rsid w:val="002F4E68"/>
    <w:rsid w:val="00304775"/>
    <w:rsid w:val="00306442"/>
    <w:rsid w:val="00310D67"/>
    <w:rsid w:val="003115CA"/>
    <w:rsid w:val="00312F7F"/>
    <w:rsid w:val="0031611D"/>
    <w:rsid w:val="00321B50"/>
    <w:rsid w:val="00330761"/>
    <w:rsid w:val="00336F2F"/>
    <w:rsid w:val="003445A8"/>
    <w:rsid w:val="003515D1"/>
    <w:rsid w:val="00351644"/>
    <w:rsid w:val="003517B5"/>
    <w:rsid w:val="003528BE"/>
    <w:rsid w:val="00355011"/>
    <w:rsid w:val="00355307"/>
    <w:rsid w:val="00355655"/>
    <w:rsid w:val="00355C3A"/>
    <w:rsid w:val="00355D01"/>
    <w:rsid w:val="0035722E"/>
    <w:rsid w:val="00361450"/>
    <w:rsid w:val="003673CF"/>
    <w:rsid w:val="0037373C"/>
    <w:rsid w:val="003741DD"/>
    <w:rsid w:val="00375CDD"/>
    <w:rsid w:val="00382F51"/>
    <w:rsid w:val="003845C1"/>
    <w:rsid w:val="00386456"/>
    <w:rsid w:val="003923D5"/>
    <w:rsid w:val="00392AA3"/>
    <w:rsid w:val="00394845"/>
    <w:rsid w:val="00395F52"/>
    <w:rsid w:val="0039724E"/>
    <w:rsid w:val="003A1F6D"/>
    <w:rsid w:val="003A2273"/>
    <w:rsid w:val="003A2963"/>
    <w:rsid w:val="003A6F89"/>
    <w:rsid w:val="003B26A5"/>
    <w:rsid w:val="003B38C1"/>
    <w:rsid w:val="003B55D8"/>
    <w:rsid w:val="003B6522"/>
    <w:rsid w:val="003C0070"/>
    <w:rsid w:val="003D2F6E"/>
    <w:rsid w:val="003D3293"/>
    <w:rsid w:val="003D4403"/>
    <w:rsid w:val="003D565D"/>
    <w:rsid w:val="003D58D4"/>
    <w:rsid w:val="003D6A6E"/>
    <w:rsid w:val="003E1DF3"/>
    <w:rsid w:val="003E7603"/>
    <w:rsid w:val="003F0B02"/>
    <w:rsid w:val="003F16CA"/>
    <w:rsid w:val="003F22D7"/>
    <w:rsid w:val="003F79D9"/>
    <w:rsid w:val="004017F7"/>
    <w:rsid w:val="00402EB4"/>
    <w:rsid w:val="00404317"/>
    <w:rsid w:val="0040699A"/>
    <w:rsid w:val="004079FC"/>
    <w:rsid w:val="00413EB1"/>
    <w:rsid w:val="0041493E"/>
    <w:rsid w:val="00414AEA"/>
    <w:rsid w:val="00414EC7"/>
    <w:rsid w:val="00414F08"/>
    <w:rsid w:val="004155BB"/>
    <w:rsid w:val="00420B42"/>
    <w:rsid w:val="00422938"/>
    <w:rsid w:val="00423E3E"/>
    <w:rsid w:val="00424048"/>
    <w:rsid w:val="004241D0"/>
    <w:rsid w:val="00427AF4"/>
    <w:rsid w:val="00427D71"/>
    <w:rsid w:val="004308E8"/>
    <w:rsid w:val="0044031A"/>
    <w:rsid w:val="00442768"/>
    <w:rsid w:val="004452E5"/>
    <w:rsid w:val="00451A6C"/>
    <w:rsid w:val="004563C9"/>
    <w:rsid w:val="00460326"/>
    <w:rsid w:val="004647DA"/>
    <w:rsid w:val="00465820"/>
    <w:rsid w:val="00474062"/>
    <w:rsid w:val="00475589"/>
    <w:rsid w:val="00476727"/>
    <w:rsid w:val="00477616"/>
    <w:rsid w:val="00477D6B"/>
    <w:rsid w:val="004805CD"/>
    <w:rsid w:val="00481524"/>
    <w:rsid w:val="00481874"/>
    <w:rsid w:val="00481F19"/>
    <w:rsid w:val="00484592"/>
    <w:rsid w:val="0048617F"/>
    <w:rsid w:val="004877F1"/>
    <w:rsid w:val="004907DF"/>
    <w:rsid w:val="00494EEA"/>
    <w:rsid w:val="00495BDE"/>
    <w:rsid w:val="004A1DB4"/>
    <w:rsid w:val="004A5839"/>
    <w:rsid w:val="004A5B73"/>
    <w:rsid w:val="004B20A0"/>
    <w:rsid w:val="004B2B39"/>
    <w:rsid w:val="004B2B62"/>
    <w:rsid w:val="004B6183"/>
    <w:rsid w:val="004B6AB9"/>
    <w:rsid w:val="004B6F2D"/>
    <w:rsid w:val="004B7766"/>
    <w:rsid w:val="004C0CB4"/>
    <w:rsid w:val="004C525B"/>
    <w:rsid w:val="004D268F"/>
    <w:rsid w:val="004D3244"/>
    <w:rsid w:val="004E07D4"/>
    <w:rsid w:val="004E093E"/>
    <w:rsid w:val="004E1F8A"/>
    <w:rsid w:val="004E335F"/>
    <w:rsid w:val="004F669C"/>
    <w:rsid w:val="005019FF"/>
    <w:rsid w:val="0051119D"/>
    <w:rsid w:val="005128A9"/>
    <w:rsid w:val="00521C4F"/>
    <w:rsid w:val="00522827"/>
    <w:rsid w:val="00523930"/>
    <w:rsid w:val="0053057A"/>
    <w:rsid w:val="00533C75"/>
    <w:rsid w:val="00536F04"/>
    <w:rsid w:val="0054016A"/>
    <w:rsid w:val="00540384"/>
    <w:rsid w:val="0054059A"/>
    <w:rsid w:val="00540BD5"/>
    <w:rsid w:val="0054155B"/>
    <w:rsid w:val="00544DB2"/>
    <w:rsid w:val="00546788"/>
    <w:rsid w:val="005549EF"/>
    <w:rsid w:val="00555829"/>
    <w:rsid w:val="00560884"/>
    <w:rsid w:val="00560A29"/>
    <w:rsid w:val="005634D6"/>
    <w:rsid w:val="00564374"/>
    <w:rsid w:val="005739FA"/>
    <w:rsid w:val="00575DDE"/>
    <w:rsid w:val="00576B83"/>
    <w:rsid w:val="005803E1"/>
    <w:rsid w:val="00584F4C"/>
    <w:rsid w:val="005861A0"/>
    <w:rsid w:val="0059194A"/>
    <w:rsid w:val="00594C78"/>
    <w:rsid w:val="0059513A"/>
    <w:rsid w:val="005A5D8A"/>
    <w:rsid w:val="005B1F62"/>
    <w:rsid w:val="005B48E8"/>
    <w:rsid w:val="005B63B5"/>
    <w:rsid w:val="005C0E87"/>
    <w:rsid w:val="005C1597"/>
    <w:rsid w:val="005C1810"/>
    <w:rsid w:val="005C25E7"/>
    <w:rsid w:val="005C2702"/>
    <w:rsid w:val="005C45C8"/>
    <w:rsid w:val="005C58F1"/>
    <w:rsid w:val="005C6649"/>
    <w:rsid w:val="005C778E"/>
    <w:rsid w:val="005D46B7"/>
    <w:rsid w:val="005E0747"/>
    <w:rsid w:val="005E6D9D"/>
    <w:rsid w:val="005E6FD8"/>
    <w:rsid w:val="005F1C2B"/>
    <w:rsid w:val="005F23C8"/>
    <w:rsid w:val="005F3C6C"/>
    <w:rsid w:val="005F59A3"/>
    <w:rsid w:val="005F7A0D"/>
    <w:rsid w:val="0060566A"/>
    <w:rsid w:val="00605827"/>
    <w:rsid w:val="00606083"/>
    <w:rsid w:val="00606C05"/>
    <w:rsid w:val="00612945"/>
    <w:rsid w:val="006144BA"/>
    <w:rsid w:val="00615CAD"/>
    <w:rsid w:val="006178ED"/>
    <w:rsid w:val="00622747"/>
    <w:rsid w:val="006276D6"/>
    <w:rsid w:val="006334E4"/>
    <w:rsid w:val="006338DD"/>
    <w:rsid w:val="00641467"/>
    <w:rsid w:val="00642CDD"/>
    <w:rsid w:val="00646050"/>
    <w:rsid w:val="00647CD8"/>
    <w:rsid w:val="00651949"/>
    <w:rsid w:val="006548F3"/>
    <w:rsid w:val="006635E6"/>
    <w:rsid w:val="00664367"/>
    <w:rsid w:val="00665854"/>
    <w:rsid w:val="006704CC"/>
    <w:rsid w:val="006713CA"/>
    <w:rsid w:val="00676518"/>
    <w:rsid w:val="00676C5C"/>
    <w:rsid w:val="006817EF"/>
    <w:rsid w:val="00692329"/>
    <w:rsid w:val="00692D02"/>
    <w:rsid w:val="00693D40"/>
    <w:rsid w:val="00694596"/>
    <w:rsid w:val="0069491D"/>
    <w:rsid w:val="006A6007"/>
    <w:rsid w:val="006A7A28"/>
    <w:rsid w:val="006B4D6D"/>
    <w:rsid w:val="006B5941"/>
    <w:rsid w:val="006B6D28"/>
    <w:rsid w:val="006B7CC2"/>
    <w:rsid w:val="006C29C7"/>
    <w:rsid w:val="006D18C5"/>
    <w:rsid w:val="006D1965"/>
    <w:rsid w:val="006D2CB2"/>
    <w:rsid w:val="006D2D21"/>
    <w:rsid w:val="006D5E9E"/>
    <w:rsid w:val="006E6A54"/>
    <w:rsid w:val="006F136D"/>
    <w:rsid w:val="006F5A30"/>
    <w:rsid w:val="006F64A2"/>
    <w:rsid w:val="006F732B"/>
    <w:rsid w:val="007018A9"/>
    <w:rsid w:val="00703D4E"/>
    <w:rsid w:val="00712C30"/>
    <w:rsid w:val="007147EC"/>
    <w:rsid w:val="007149DD"/>
    <w:rsid w:val="00715AB1"/>
    <w:rsid w:val="00715B23"/>
    <w:rsid w:val="00715E75"/>
    <w:rsid w:val="00716F41"/>
    <w:rsid w:val="00720EAE"/>
    <w:rsid w:val="0072184B"/>
    <w:rsid w:val="00724C60"/>
    <w:rsid w:val="00724DDE"/>
    <w:rsid w:val="00730B83"/>
    <w:rsid w:val="0073191D"/>
    <w:rsid w:val="007332A8"/>
    <w:rsid w:val="00733963"/>
    <w:rsid w:val="00733EBA"/>
    <w:rsid w:val="00734836"/>
    <w:rsid w:val="007369DE"/>
    <w:rsid w:val="00736C6F"/>
    <w:rsid w:val="0074067C"/>
    <w:rsid w:val="007415B3"/>
    <w:rsid w:val="007448C4"/>
    <w:rsid w:val="00744ECA"/>
    <w:rsid w:val="00746945"/>
    <w:rsid w:val="00753A08"/>
    <w:rsid w:val="00753FF6"/>
    <w:rsid w:val="00755388"/>
    <w:rsid w:val="0075539F"/>
    <w:rsid w:val="0076107A"/>
    <w:rsid w:val="007636EA"/>
    <w:rsid w:val="0076714F"/>
    <w:rsid w:val="00773211"/>
    <w:rsid w:val="00777946"/>
    <w:rsid w:val="00780522"/>
    <w:rsid w:val="00780960"/>
    <w:rsid w:val="00782E2E"/>
    <w:rsid w:val="0078563E"/>
    <w:rsid w:val="00787611"/>
    <w:rsid w:val="00793B12"/>
    <w:rsid w:val="007956B7"/>
    <w:rsid w:val="007A0863"/>
    <w:rsid w:val="007A35B0"/>
    <w:rsid w:val="007A5C67"/>
    <w:rsid w:val="007A6AAA"/>
    <w:rsid w:val="007B036F"/>
    <w:rsid w:val="007B1A99"/>
    <w:rsid w:val="007B3440"/>
    <w:rsid w:val="007B51ED"/>
    <w:rsid w:val="007C74A8"/>
    <w:rsid w:val="007C7769"/>
    <w:rsid w:val="007D0640"/>
    <w:rsid w:val="007D1613"/>
    <w:rsid w:val="007D1D57"/>
    <w:rsid w:val="007D694D"/>
    <w:rsid w:val="007E06EF"/>
    <w:rsid w:val="007E4D70"/>
    <w:rsid w:val="007E7448"/>
    <w:rsid w:val="007E7617"/>
    <w:rsid w:val="007F26CA"/>
    <w:rsid w:val="007F5382"/>
    <w:rsid w:val="007F5A67"/>
    <w:rsid w:val="008016DB"/>
    <w:rsid w:val="008031D1"/>
    <w:rsid w:val="00805C1D"/>
    <w:rsid w:val="008111A4"/>
    <w:rsid w:val="00813196"/>
    <w:rsid w:val="00815139"/>
    <w:rsid w:val="00815393"/>
    <w:rsid w:val="00817DFE"/>
    <w:rsid w:val="00821724"/>
    <w:rsid w:val="00822608"/>
    <w:rsid w:val="00827374"/>
    <w:rsid w:val="00835224"/>
    <w:rsid w:val="00835CBF"/>
    <w:rsid w:val="00836A9E"/>
    <w:rsid w:val="00840A6F"/>
    <w:rsid w:val="008441FF"/>
    <w:rsid w:val="00844907"/>
    <w:rsid w:val="00850894"/>
    <w:rsid w:val="008510C9"/>
    <w:rsid w:val="00853D2B"/>
    <w:rsid w:val="00856A07"/>
    <w:rsid w:val="008618C7"/>
    <w:rsid w:val="00865336"/>
    <w:rsid w:val="00872DD3"/>
    <w:rsid w:val="008733A6"/>
    <w:rsid w:val="008733A9"/>
    <w:rsid w:val="008737B1"/>
    <w:rsid w:val="00873E88"/>
    <w:rsid w:val="008754BA"/>
    <w:rsid w:val="00880D78"/>
    <w:rsid w:val="00881F0C"/>
    <w:rsid w:val="008826DC"/>
    <w:rsid w:val="00891068"/>
    <w:rsid w:val="00894842"/>
    <w:rsid w:val="008970B8"/>
    <w:rsid w:val="008A027C"/>
    <w:rsid w:val="008A18A7"/>
    <w:rsid w:val="008A5337"/>
    <w:rsid w:val="008A55D9"/>
    <w:rsid w:val="008A64F3"/>
    <w:rsid w:val="008B0FB0"/>
    <w:rsid w:val="008B1D22"/>
    <w:rsid w:val="008B2CC1"/>
    <w:rsid w:val="008B4AAA"/>
    <w:rsid w:val="008B60B2"/>
    <w:rsid w:val="008B747F"/>
    <w:rsid w:val="008C21E1"/>
    <w:rsid w:val="008D0CE7"/>
    <w:rsid w:val="008D2C69"/>
    <w:rsid w:val="008D4CE6"/>
    <w:rsid w:val="008D63C3"/>
    <w:rsid w:val="008D6913"/>
    <w:rsid w:val="008E0376"/>
    <w:rsid w:val="008E3A39"/>
    <w:rsid w:val="008E43E6"/>
    <w:rsid w:val="008E5537"/>
    <w:rsid w:val="008E76BC"/>
    <w:rsid w:val="008F3BE3"/>
    <w:rsid w:val="008F5BC8"/>
    <w:rsid w:val="00900E52"/>
    <w:rsid w:val="00903F7D"/>
    <w:rsid w:val="0090696F"/>
    <w:rsid w:val="0090731E"/>
    <w:rsid w:val="00912B23"/>
    <w:rsid w:val="00914628"/>
    <w:rsid w:val="00915F20"/>
    <w:rsid w:val="00916EE2"/>
    <w:rsid w:val="00921025"/>
    <w:rsid w:val="00922DCC"/>
    <w:rsid w:val="00923EB4"/>
    <w:rsid w:val="00924554"/>
    <w:rsid w:val="00931449"/>
    <w:rsid w:val="00933046"/>
    <w:rsid w:val="00934642"/>
    <w:rsid w:val="00935EF4"/>
    <w:rsid w:val="00936215"/>
    <w:rsid w:val="00937DD9"/>
    <w:rsid w:val="0094221E"/>
    <w:rsid w:val="00944736"/>
    <w:rsid w:val="00945367"/>
    <w:rsid w:val="00946B23"/>
    <w:rsid w:val="00947A0F"/>
    <w:rsid w:val="00951DAE"/>
    <w:rsid w:val="00952E4B"/>
    <w:rsid w:val="00953C1B"/>
    <w:rsid w:val="0095420E"/>
    <w:rsid w:val="00955573"/>
    <w:rsid w:val="00964CD7"/>
    <w:rsid w:val="00965481"/>
    <w:rsid w:val="00966A22"/>
    <w:rsid w:val="0096722F"/>
    <w:rsid w:val="009678BD"/>
    <w:rsid w:val="00972EB2"/>
    <w:rsid w:val="00973863"/>
    <w:rsid w:val="009755F4"/>
    <w:rsid w:val="00976CB1"/>
    <w:rsid w:val="00980843"/>
    <w:rsid w:val="00985B13"/>
    <w:rsid w:val="00986FCA"/>
    <w:rsid w:val="00990F6C"/>
    <w:rsid w:val="00991AA8"/>
    <w:rsid w:val="00992F04"/>
    <w:rsid w:val="009941C4"/>
    <w:rsid w:val="00995171"/>
    <w:rsid w:val="009A104E"/>
    <w:rsid w:val="009A4AEA"/>
    <w:rsid w:val="009A5715"/>
    <w:rsid w:val="009B0D3A"/>
    <w:rsid w:val="009B44E1"/>
    <w:rsid w:val="009B5A21"/>
    <w:rsid w:val="009B5AE2"/>
    <w:rsid w:val="009C2468"/>
    <w:rsid w:val="009C32ED"/>
    <w:rsid w:val="009C4BD1"/>
    <w:rsid w:val="009C5D9A"/>
    <w:rsid w:val="009C61EA"/>
    <w:rsid w:val="009C71AB"/>
    <w:rsid w:val="009D011E"/>
    <w:rsid w:val="009D2F37"/>
    <w:rsid w:val="009D626F"/>
    <w:rsid w:val="009D6C1E"/>
    <w:rsid w:val="009E047B"/>
    <w:rsid w:val="009E162C"/>
    <w:rsid w:val="009E2791"/>
    <w:rsid w:val="009E3F6F"/>
    <w:rsid w:val="009E4C0E"/>
    <w:rsid w:val="009E6081"/>
    <w:rsid w:val="009F38D3"/>
    <w:rsid w:val="009F499F"/>
    <w:rsid w:val="00A11896"/>
    <w:rsid w:val="00A11952"/>
    <w:rsid w:val="00A1529C"/>
    <w:rsid w:val="00A21024"/>
    <w:rsid w:val="00A22008"/>
    <w:rsid w:val="00A23CBD"/>
    <w:rsid w:val="00A23E3D"/>
    <w:rsid w:val="00A30C30"/>
    <w:rsid w:val="00A312EF"/>
    <w:rsid w:val="00A31317"/>
    <w:rsid w:val="00A31822"/>
    <w:rsid w:val="00A42DAF"/>
    <w:rsid w:val="00A43AF5"/>
    <w:rsid w:val="00A45BD8"/>
    <w:rsid w:val="00A479BE"/>
    <w:rsid w:val="00A50770"/>
    <w:rsid w:val="00A523B7"/>
    <w:rsid w:val="00A52959"/>
    <w:rsid w:val="00A5452B"/>
    <w:rsid w:val="00A5474E"/>
    <w:rsid w:val="00A55746"/>
    <w:rsid w:val="00A557C2"/>
    <w:rsid w:val="00A61AFE"/>
    <w:rsid w:val="00A63425"/>
    <w:rsid w:val="00A64BCB"/>
    <w:rsid w:val="00A66EBB"/>
    <w:rsid w:val="00A67ED7"/>
    <w:rsid w:val="00A718B2"/>
    <w:rsid w:val="00A72437"/>
    <w:rsid w:val="00A72E79"/>
    <w:rsid w:val="00A81929"/>
    <w:rsid w:val="00A82B00"/>
    <w:rsid w:val="00A840D5"/>
    <w:rsid w:val="00A86735"/>
    <w:rsid w:val="00A869B7"/>
    <w:rsid w:val="00A904CB"/>
    <w:rsid w:val="00A93280"/>
    <w:rsid w:val="00A938D3"/>
    <w:rsid w:val="00A94543"/>
    <w:rsid w:val="00A94DD0"/>
    <w:rsid w:val="00A9735C"/>
    <w:rsid w:val="00AA1752"/>
    <w:rsid w:val="00AA24C0"/>
    <w:rsid w:val="00AB0812"/>
    <w:rsid w:val="00AB08EC"/>
    <w:rsid w:val="00AB41B4"/>
    <w:rsid w:val="00AB4925"/>
    <w:rsid w:val="00AB4F67"/>
    <w:rsid w:val="00AB6397"/>
    <w:rsid w:val="00AB6548"/>
    <w:rsid w:val="00AC0A33"/>
    <w:rsid w:val="00AC205C"/>
    <w:rsid w:val="00AC3DBB"/>
    <w:rsid w:val="00AD21FA"/>
    <w:rsid w:val="00AD230F"/>
    <w:rsid w:val="00AD28EC"/>
    <w:rsid w:val="00AD32E0"/>
    <w:rsid w:val="00AD43CA"/>
    <w:rsid w:val="00AD718E"/>
    <w:rsid w:val="00AE10A0"/>
    <w:rsid w:val="00AE126F"/>
    <w:rsid w:val="00AE2C0A"/>
    <w:rsid w:val="00AE3086"/>
    <w:rsid w:val="00AE3BDC"/>
    <w:rsid w:val="00AE4A36"/>
    <w:rsid w:val="00AE4C3D"/>
    <w:rsid w:val="00AE54AA"/>
    <w:rsid w:val="00AE7A0A"/>
    <w:rsid w:val="00AF0A6B"/>
    <w:rsid w:val="00AF2296"/>
    <w:rsid w:val="00AF6393"/>
    <w:rsid w:val="00AF713D"/>
    <w:rsid w:val="00B007C0"/>
    <w:rsid w:val="00B05A69"/>
    <w:rsid w:val="00B05C6B"/>
    <w:rsid w:val="00B07767"/>
    <w:rsid w:val="00B11B96"/>
    <w:rsid w:val="00B13A52"/>
    <w:rsid w:val="00B160F5"/>
    <w:rsid w:val="00B21269"/>
    <w:rsid w:val="00B37D4E"/>
    <w:rsid w:val="00B40A8C"/>
    <w:rsid w:val="00B41781"/>
    <w:rsid w:val="00B4228A"/>
    <w:rsid w:val="00B44F96"/>
    <w:rsid w:val="00B44FBC"/>
    <w:rsid w:val="00B479CF"/>
    <w:rsid w:val="00B52EFA"/>
    <w:rsid w:val="00B53C4D"/>
    <w:rsid w:val="00B5673F"/>
    <w:rsid w:val="00B63FC9"/>
    <w:rsid w:val="00B652BC"/>
    <w:rsid w:val="00B6761F"/>
    <w:rsid w:val="00B677A3"/>
    <w:rsid w:val="00B711DF"/>
    <w:rsid w:val="00B71A63"/>
    <w:rsid w:val="00B72291"/>
    <w:rsid w:val="00B7295E"/>
    <w:rsid w:val="00B75A61"/>
    <w:rsid w:val="00B76E5A"/>
    <w:rsid w:val="00B819A3"/>
    <w:rsid w:val="00B828D9"/>
    <w:rsid w:val="00B83433"/>
    <w:rsid w:val="00B866E4"/>
    <w:rsid w:val="00B86F0D"/>
    <w:rsid w:val="00B87FC8"/>
    <w:rsid w:val="00B91D62"/>
    <w:rsid w:val="00B950A5"/>
    <w:rsid w:val="00B956DA"/>
    <w:rsid w:val="00B969C3"/>
    <w:rsid w:val="00B9734B"/>
    <w:rsid w:val="00B97FD1"/>
    <w:rsid w:val="00BA2BB2"/>
    <w:rsid w:val="00BA7394"/>
    <w:rsid w:val="00BB02D7"/>
    <w:rsid w:val="00BB1059"/>
    <w:rsid w:val="00BB3FFE"/>
    <w:rsid w:val="00BB553D"/>
    <w:rsid w:val="00BB7651"/>
    <w:rsid w:val="00BC0FDF"/>
    <w:rsid w:val="00BC5309"/>
    <w:rsid w:val="00BC5914"/>
    <w:rsid w:val="00BC6121"/>
    <w:rsid w:val="00BC6E46"/>
    <w:rsid w:val="00BC7751"/>
    <w:rsid w:val="00BD390F"/>
    <w:rsid w:val="00BD3920"/>
    <w:rsid w:val="00BD62A7"/>
    <w:rsid w:val="00BE141D"/>
    <w:rsid w:val="00BE3D72"/>
    <w:rsid w:val="00BE54C8"/>
    <w:rsid w:val="00BE5BD6"/>
    <w:rsid w:val="00BE704C"/>
    <w:rsid w:val="00BF4E96"/>
    <w:rsid w:val="00BF6146"/>
    <w:rsid w:val="00C01E7C"/>
    <w:rsid w:val="00C04DC4"/>
    <w:rsid w:val="00C11BFE"/>
    <w:rsid w:val="00C17BD7"/>
    <w:rsid w:val="00C17E3F"/>
    <w:rsid w:val="00C211F6"/>
    <w:rsid w:val="00C221B6"/>
    <w:rsid w:val="00C224B6"/>
    <w:rsid w:val="00C23CD7"/>
    <w:rsid w:val="00C23CEF"/>
    <w:rsid w:val="00C247FC"/>
    <w:rsid w:val="00C25B7A"/>
    <w:rsid w:val="00C30CD0"/>
    <w:rsid w:val="00C3608E"/>
    <w:rsid w:val="00C41931"/>
    <w:rsid w:val="00C41ECC"/>
    <w:rsid w:val="00C42F04"/>
    <w:rsid w:val="00C44649"/>
    <w:rsid w:val="00C44C34"/>
    <w:rsid w:val="00C46BFB"/>
    <w:rsid w:val="00C50C17"/>
    <w:rsid w:val="00C5608F"/>
    <w:rsid w:val="00C60625"/>
    <w:rsid w:val="00C61800"/>
    <w:rsid w:val="00C62392"/>
    <w:rsid w:val="00C6604B"/>
    <w:rsid w:val="00C660DD"/>
    <w:rsid w:val="00C6628D"/>
    <w:rsid w:val="00C6745B"/>
    <w:rsid w:val="00C6757C"/>
    <w:rsid w:val="00C75CB7"/>
    <w:rsid w:val="00C761D2"/>
    <w:rsid w:val="00C777FF"/>
    <w:rsid w:val="00C81CD7"/>
    <w:rsid w:val="00C838B1"/>
    <w:rsid w:val="00C85D15"/>
    <w:rsid w:val="00C86A04"/>
    <w:rsid w:val="00C8715B"/>
    <w:rsid w:val="00C9158E"/>
    <w:rsid w:val="00C923AB"/>
    <w:rsid w:val="00C96D2C"/>
    <w:rsid w:val="00CA15DF"/>
    <w:rsid w:val="00CB1F95"/>
    <w:rsid w:val="00CB2CAE"/>
    <w:rsid w:val="00CB5CEC"/>
    <w:rsid w:val="00CB6F3B"/>
    <w:rsid w:val="00CC0CE4"/>
    <w:rsid w:val="00CC2CBD"/>
    <w:rsid w:val="00CC39FA"/>
    <w:rsid w:val="00CC5245"/>
    <w:rsid w:val="00CC64F1"/>
    <w:rsid w:val="00CC7A18"/>
    <w:rsid w:val="00CC7B88"/>
    <w:rsid w:val="00CD0D3C"/>
    <w:rsid w:val="00CD70C0"/>
    <w:rsid w:val="00CF0766"/>
    <w:rsid w:val="00CF1A22"/>
    <w:rsid w:val="00CF5833"/>
    <w:rsid w:val="00CF6C5D"/>
    <w:rsid w:val="00CF75E5"/>
    <w:rsid w:val="00D00296"/>
    <w:rsid w:val="00D03844"/>
    <w:rsid w:val="00D04254"/>
    <w:rsid w:val="00D0477B"/>
    <w:rsid w:val="00D059E8"/>
    <w:rsid w:val="00D10112"/>
    <w:rsid w:val="00D14AA2"/>
    <w:rsid w:val="00D15F7C"/>
    <w:rsid w:val="00D279BC"/>
    <w:rsid w:val="00D37A4C"/>
    <w:rsid w:val="00D42300"/>
    <w:rsid w:val="00D44AAA"/>
    <w:rsid w:val="00D44D1E"/>
    <w:rsid w:val="00D45252"/>
    <w:rsid w:val="00D464DE"/>
    <w:rsid w:val="00D4695F"/>
    <w:rsid w:val="00D46EC2"/>
    <w:rsid w:val="00D50941"/>
    <w:rsid w:val="00D52C4D"/>
    <w:rsid w:val="00D574CB"/>
    <w:rsid w:val="00D60018"/>
    <w:rsid w:val="00D700E8"/>
    <w:rsid w:val="00D704F3"/>
    <w:rsid w:val="00D71B4D"/>
    <w:rsid w:val="00D726E2"/>
    <w:rsid w:val="00D73014"/>
    <w:rsid w:val="00D773B6"/>
    <w:rsid w:val="00D848BD"/>
    <w:rsid w:val="00D85334"/>
    <w:rsid w:val="00D853F4"/>
    <w:rsid w:val="00D8548B"/>
    <w:rsid w:val="00D91C46"/>
    <w:rsid w:val="00D93D55"/>
    <w:rsid w:val="00D963DB"/>
    <w:rsid w:val="00DA0979"/>
    <w:rsid w:val="00DA10B4"/>
    <w:rsid w:val="00DA2B93"/>
    <w:rsid w:val="00DA63E6"/>
    <w:rsid w:val="00DA6AD5"/>
    <w:rsid w:val="00DA718E"/>
    <w:rsid w:val="00DB3E7B"/>
    <w:rsid w:val="00DB6564"/>
    <w:rsid w:val="00DB703F"/>
    <w:rsid w:val="00DC0EDC"/>
    <w:rsid w:val="00DC3CA7"/>
    <w:rsid w:val="00DC72EA"/>
    <w:rsid w:val="00DC7BCD"/>
    <w:rsid w:val="00DD3050"/>
    <w:rsid w:val="00DD498C"/>
    <w:rsid w:val="00DD5A5A"/>
    <w:rsid w:val="00DE43A6"/>
    <w:rsid w:val="00DE4A75"/>
    <w:rsid w:val="00DE63F0"/>
    <w:rsid w:val="00DE7999"/>
    <w:rsid w:val="00DF0B51"/>
    <w:rsid w:val="00DF3C5A"/>
    <w:rsid w:val="00DF715E"/>
    <w:rsid w:val="00E0187A"/>
    <w:rsid w:val="00E0777B"/>
    <w:rsid w:val="00E161CE"/>
    <w:rsid w:val="00E16EB1"/>
    <w:rsid w:val="00E207BD"/>
    <w:rsid w:val="00E24BA3"/>
    <w:rsid w:val="00E25817"/>
    <w:rsid w:val="00E26E89"/>
    <w:rsid w:val="00E3231A"/>
    <w:rsid w:val="00E335FE"/>
    <w:rsid w:val="00E36D73"/>
    <w:rsid w:val="00E3747A"/>
    <w:rsid w:val="00E3766D"/>
    <w:rsid w:val="00E40595"/>
    <w:rsid w:val="00E41935"/>
    <w:rsid w:val="00E43A96"/>
    <w:rsid w:val="00E44440"/>
    <w:rsid w:val="00E459A2"/>
    <w:rsid w:val="00E46032"/>
    <w:rsid w:val="00E512D5"/>
    <w:rsid w:val="00E57FA8"/>
    <w:rsid w:val="00E60E20"/>
    <w:rsid w:val="00E6170C"/>
    <w:rsid w:val="00E620DE"/>
    <w:rsid w:val="00E67320"/>
    <w:rsid w:val="00E6768F"/>
    <w:rsid w:val="00E70811"/>
    <w:rsid w:val="00E76047"/>
    <w:rsid w:val="00E76A02"/>
    <w:rsid w:val="00E76FA0"/>
    <w:rsid w:val="00E85269"/>
    <w:rsid w:val="00E85319"/>
    <w:rsid w:val="00E85E87"/>
    <w:rsid w:val="00E8658E"/>
    <w:rsid w:val="00E87737"/>
    <w:rsid w:val="00E971C2"/>
    <w:rsid w:val="00E976BB"/>
    <w:rsid w:val="00EA0F68"/>
    <w:rsid w:val="00EA1F0C"/>
    <w:rsid w:val="00EA2D85"/>
    <w:rsid w:val="00EA6752"/>
    <w:rsid w:val="00EB0676"/>
    <w:rsid w:val="00EB2730"/>
    <w:rsid w:val="00EC348B"/>
    <w:rsid w:val="00EC35F7"/>
    <w:rsid w:val="00EC4E49"/>
    <w:rsid w:val="00ED193D"/>
    <w:rsid w:val="00ED77FB"/>
    <w:rsid w:val="00ED7917"/>
    <w:rsid w:val="00EE1F78"/>
    <w:rsid w:val="00EE45FA"/>
    <w:rsid w:val="00EE476F"/>
    <w:rsid w:val="00EE4B47"/>
    <w:rsid w:val="00EE50F9"/>
    <w:rsid w:val="00EE6C47"/>
    <w:rsid w:val="00EE7B9A"/>
    <w:rsid w:val="00EF14EB"/>
    <w:rsid w:val="00EF493D"/>
    <w:rsid w:val="00F04305"/>
    <w:rsid w:val="00F1186F"/>
    <w:rsid w:val="00F1331D"/>
    <w:rsid w:val="00F1368C"/>
    <w:rsid w:val="00F15C94"/>
    <w:rsid w:val="00F1712E"/>
    <w:rsid w:val="00F22670"/>
    <w:rsid w:val="00F239D9"/>
    <w:rsid w:val="00F269B2"/>
    <w:rsid w:val="00F301F2"/>
    <w:rsid w:val="00F31266"/>
    <w:rsid w:val="00F31A7C"/>
    <w:rsid w:val="00F365D6"/>
    <w:rsid w:val="00F368C5"/>
    <w:rsid w:val="00F37614"/>
    <w:rsid w:val="00F40C43"/>
    <w:rsid w:val="00F44440"/>
    <w:rsid w:val="00F44784"/>
    <w:rsid w:val="00F45C30"/>
    <w:rsid w:val="00F4659E"/>
    <w:rsid w:val="00F52F67"/>
    <w:rsid w:val="00F569BE"/>
    <w:rsid w:val="00F61990"/>
    <w:rsid w:val="00F63983"/>
    <w:rsid w:val="00F66152"/>
    <w:rsid w:val="00F663E3"/>
    <w:rsid w:val="00F7236E"/>
    <w:rsid w:val="00F830BC"/>
    <w:rsid w:val="00F8318A"/>
    <w:rsid w:val="00F8797F"/>
    <w:rsid w:val="00F9079D"/>
    <w:rsid w:val="00F95442"/>
    <w:rsid w:val="00F9558D"/>
    <w:rsid w:val="00F96656"/>
    <w:rsid w:val="00FA607D"/>
    <w:rsid w:val="00FB2D97"/>
    <w:rsid w:val="00FB6E4B"/>
    <w:rsid w:val="00FC2FE6"/>
    <w:rsid w:val="00FC629B"/>
    <w:rsid w:val="00FD3DB2"/>
    <w:rsid w:val="00FD403A"/>
    <w:rsid w:val="00FD4A6A"/>
    <w:rsid w:val="00FD4F3B"/>
    <w:rsid w:val="00FD6783"/>
    <w:rsid w:val="00FE0CB4"/>
    <w:rsid w:val="00FE0D6D"/>
    <w:rsid w:val="00FE2C03"/>
    <w:rsid w:val="00FE46CA"/>
    <w:rsid w:val="00FF20DF"/>
    <w:rsid w:val="00FF2CA1"/>
    <w:rsid w:val="00FF58B3"/>
    <w:rsid w:val="00FF6A08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BodyText"/>
    <w:next w:val="Normal"/>
    <w:link w:val="Heading2Char"/>
    <w:qFormat/>
    <w:rsid w:val="0026522C"/>
    <w:pPr>
      <w:outlineLvl w:val="1"/>
    </w:pPr>
    <w:rPr>
      <w:rFonts w:cs="Times New Roman"/>
      <w:b/>
      <w:lang w:val="x-none"/>
    </w:rPr>
  </w:style>
  <w:style w:type="paragraph" w:styleId="Heading3">
    <w:name w:val="heading 3"/>
    <w:basedOn w:val="Normal"/>
    <w:next w:val="Normal"/>
    <w:qFormat/>
    <w:rsid w:val="00355011"/>
    <w:pPr>
      <w:keepNext/>
      <w:spacing w:before="240" w:after="60"/>
      <w:outlineLvl w:val="2"/>
    </w:pPr>
    <w:rPr>
      <w:b/>
      <w:bCs/>
      <w:i/>
      <w:szCs w:val="26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FB6E4B"/>
    <w:pPr>
      <w:spacing w:after="120" w:line="260" w:lineRule="atLeast"/>
      <w:ind w:left="1021"/>
      <w:outlineLvl w:val="4"/>
    </w:pPr>
    <w:rPr>
      <w:rFonts w:eastAsia="Times New Roman" w:cs="Times New Roman"/>
      <w:lang w:eastAsia="en-US"/>
    </w:rPr>
  </w:style>
  <w:style w:type="paragraph" w:styleId="Heading6">
    <w:name w:val="heading 6"/>
    <w:basedOn w:val="Normal"/>
    <w:next w:val="Normal"/>
    <w:qFormat/>
    <w:rsid w:val="00FB6E4B"/>
    <w:pPr>
      <w:spacing w:line="260" w:lineRule="atLeast"/>
      <w:ind w:left="1021"/>
      <w:outlineLvl w:val="5"/>
    </w:pPr>
    <w:rPr>
      <w:rFonts w:eastAsia="Times New Roman" w:cs="Times New Roman"/>
      <w:lang w:eastAsia="en-US"/>
    </w:rPr>
  </w:style>
  <w:style w:type="paragraph" w:styleId="Heading9">
    <w:name w:val="heading 9"/>
    <w:basedOn w:val="Normal"/>
    <w:next w:val="Normal"/>
    <w:qFormat/>
    <w:rsid w:val="00FB6E4B"/>
    <w:pPr>
      <w:spacing w:before="240" w:after="60" w:line="260" w:lineRule="atLeast"/>
      <w:ind w:left="1021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26522C"/>
    <w:rPr>
      <w:rFonts w:ascii="Arial" w:eastAsia="SimSun" w:hAnsi="Arial" w:cs="Arial"/>
      <w:b/>
      <w:sz w:val="22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character" w:customStyle="1" w:styleId="CommentTextChar">
    <w:name w:val="Comment Text Char"/>
    <w:link w:val="CommentText"/>
    <w:uiPriority w:val="99"/>
    <w:locked/>
    <w:rsid w:val="00FB6E4B"/>
    <w:rPr>
      <w:rFonts w:ascii="Arial" w:eastAsia="SimSun" w:hAnsi="Arial" w:cs="Arial"/>
      <w:sz w:val="18"/>
      <w:lang w:val="en-US" w:eastAsia="zh-CN" w:bidi="ar-SA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FB6E4B"/>
    <w:pPr>
      <w:spacing w:line="260" w:lineRule="atLeast"/>
      <w:ind w:left="6096" w:hanging="562"/>
    </w:pPr>
    <w:rPr>
      <w:rFonts w:eastAsia="Times New Roman" w:cs="Times New Roman"/>
      <w:i/>
      <w:lang w:eastAsia="en-US"/>
    </w:rPr>
  </w:style>
  <w:style w:type="paragraph" w:customStyle="1" w:styleId="Endofdocument">
    <w:name w:val="End of document"/>
    <w:basedOn w:val="Normal"/>
    <w:rsid w:val="00FB6E4B"/>
    <w:pPr>
      <w:spacing w:line="260" w:lineRule="atLeast"/>
      <w:ind w:left="5534"/>
    </w:pPr>
    <w:rPr>
      <w:rFonts w:eastAsia="Times New Roman" w:cs="Times New Roman"/>
      <w:lang w:eastAsia="en-US"/>
    </w:rPr>
  </w:style>
  <w:style w:type="character" w:styleId="FootnoteReference">
    <w:name w:val="footnote reference"/>
    <w:semiHidden/>
    <w:rsid w:val="00FB6E4B"/>
    <w:rPr>
      <w:rFonts w:cs="Times New Roman"/>
      <w:vertAlign w:val="superscript"/>
    </w:rPr>
  </w:style>
  <w:style w:type="paragraph" w:customStyle="1" w:styleId="preparedby">
    <w:name w:val="prepared by"/>
    <w:basedOn w:val="Normal"/>
    <w:next w:val="Normal"/>
    <w:rsid w:val="00FB6E4B"/>
    <w:pPr>
      <w:spacing w:before="120" w:after="480" w:line="260" w:lineRule="atLeast"/>
      <w:ind w:left="1021"/>
    </w:pPr>
    <w:rPr>
      <w:rFonts w:eastAsia="Times New Roman" w:cs="Times New Roman"/>
      <w:i/>
      <w:lang w:eastAsia="en-US"/>
    </w:rPr>
  </w:style>
  <w:style w:type="paragraph" w:styleId="Title">
    <w:name w:val="Title"/>
    <w:basedOn w:val="Normal"/>
    <w:qFormat/>
    <w:rsid w:val="00FB6E4B"/>
    <w:pPr>
      <w:spacing w:after="300" w:line="260" w:lineRule="atLeast"/>
      <w:ind w:left="1021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ocumenttitle">
    <w:name w:val="Document title"/>
    <w:basedOn w:val="Normal"/>
    <w:next w:val="preparedby"/>
    <w:rsid w:val="00FB6E4B"/>
    <w:pPr>
      <w:spacing w:before="840" w:line="336" w:lineRule="exact"/>
      <w:ind w:left="1021"/>
    </w:pPr>
    <w:rPr>
      <w:rFonts w:eastAsia="Times New Roman" w:cs="Times New Roman"/>
      <w:b/>
      <w:caps/>
      <w:sz w:val="24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FB6E4B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">
    <w:name w:val="Meeting title"/>
    <w:basedOn w:val="Normal"/>
    <w:next w:val="Sessiontitle"/>
    <w:rsid w:val="00FB6E4B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FB6E4B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FB6E4B"/>
    <w:pPr>
      <w:spacing w:before="0"/>
      <w:contextualSpacing w:val="0"/>
    </w:pPr>
  </w:style>
  <w:style w:type="paragraph" w:customStyle="1" w:styleId="Language">
    <w:name w:val="Language"/>
    <w:basedOn w:val="Normal"/>
    <w:next w:val="Normal"/>
    <w:rsid w:val="00FB6E4B"/>
    <w:pPr>
      <w:spacing w:line="340" w:lineRule="atLeast"/>
      <w:ind w:left="1021"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FB6E4B"/>
    <w:pPr>
      <w:spacing w:line="240" w:lineRule="atLeast"/>
      <w:ind w:left="1021" w:right="4933"/>
      <w:jc w:val="right"/>
    </w:pPr>
    <w:rPr>
      <w:rFonts w:eastAsia="Times New Roman" w:cs="Times New Roman"/>
      <w:b/>
      <w:w w:val="150"/>
      <w:lang w:val="fr-FR" w:eastAsia="en-US"/>
    </w:rPr>
  </w:style>
  <w:style w:type="character" w:customStyle="1" w:styleId="TESTwiposouslogoChar">
    <w:name w:val="TESTwiposouslogo Char"/>
    <w:link w:val="TESTwiposouslogo"/>
    <w:locked/>
    <w:rsid w:val="00FB6E4B"/>
    <w:rPr>
      <w:rFonts w:ascii="Arial" w:hAnsi="Arial"/>
      <w:b/>
      <w:w w:val="150"/>
      <w:sz w:val="22"/>
      <w:lang w:val="fr-FR" w:eastAsia="en-US" w:bidi="ar-SA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FB6E4B"/>
    <w:pPr>
      <w:spacing w:line="260" w:lineRule="atLeast"/>
      <w:ind w:left="4848"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FB6E4B"/>
  </w:style>
  <w:style w:type="paragraph" w:customStyle="1" w:styleId="MeetingCode">
    <w:name w:val="Meeting Code"/>
    <w:basedOn w:val="MeetinglanguageDate"/>
    <w:rsid w:val="00FB6E4B"/>
    <w:pPr>
      <w:spacing w:before="1800" w:after="0"/>
    </w:pPr>
  </w:style>
  <w:style w:type="character" w:customStyle="1" w:styleId="TESTorganisationChar">
    <w:name w:val="TESTorganisation Char"/>
    <w:basedOn w:val="TESTintellectualpropertyChar"/>
    <w:link w:val="TESTorganisation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FB6E4B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locked/>
    <w:rsid w:val="00FB6E4B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FB6E4B"/>
    <w:rPr>
      <w:rFonts w:ascii="Arial Black" w:hAnsi="Arial Black"/>
      <w:b/>
    </w:rPr>
  </w:style>
  <w:style w:type="character" w:customStyle="1" w:styleId="TESTIintellectualChar">
    <w:name w:val="TEST I intellectual Char"/>
    <w:link w:val="TESTIintellectual"/>
    <w:locked/>
    <w:rsid w:val="00FB6E4B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FB6E4B"/>
    <w:rPr>
      <w:b/>
    </w:rPr>
  </w:style>
  <w:style w:type="character" w:customStyle="1" w:styleId="TESTIorganisationChar">
    <w:name w:val="TEST I organisation Char"/>
    <w:link w:val="TESTIorganisation"/>
    <w:locked/>
    <w:rsid w:val="00FB6E4B"/>
    <w:rPr>
      <w:rFonts w:ascii="Arial" w:hAnsi="Arial"/>
      <w:b/>
      <w:caps/>
      <w:sz w:val="16"/>
      <w:lang w:val="en-US" w:eastAsia="en-US" w:bidi="ar-SA"/>
    </w:rPr>
  </w:style>
  <w:style w:type="paragraph" w:customStyle="1" w:styleId="Assembly">
    <w:name w:val="Assembly"/>
    <w:basedOn w:val="Meetingtitle"/>
    <w:next w:val="Sessiontitle"/>
    <w:rsid w:val="00FB6E4B"/>
    <w:pPr>
      <w:spacing w:before="480"/>
      <w:contextualSpacing/>
    </w:pPr>
  </w:style>
  <w:style w:type="paragraph" w:customStyle="1" w:styleId="Indent1">
    <w:name w:val="Indent 1"/>
    <w:basedOn w:val="Normal"/>
    <w:rsid w:val="00FB6E4B"/>
    <w:pPr>
      <w:spacing w:after="120" w:line="260" w:lineRule="atLeast"/>
      <w:ind w:left="2268" w:hanging="567"/>
    </w:pPr>
    <w:rPr>
      <w:rFonts w:eastAsia="Times New Roman" w:cs="Times New Roman"/>
      <w:lang w:eastAsia="en-US"/>
    </w:rPr>
  </w:style>
  <w:style w:type="paragraph" w:customStyle="1" w:styleId="Indent2">
    <w:name w:val="Indent 2"/>
    <w:basedOn w:val="Normal"/>
    <w:rsid w:val="00FB6E4B"/>
    <w:pPr>
      <w:spacing w:after="120" w:line="260" w:lineRule="atLeast"/>
      <w:ind w:left="2977" w:hanging="709"/>
    </w:pPr>
    <w:rPr>
      <w:rFonts w:eastAsia="Times New Roman" w:cs="Times New Roman"/>
      <w:lang w:eastAsia="en-US"/>
    </w:rPr>
  </w:style>
  <w:style w:type="character" w:styleId="HTMLDefinition">
    <w:name w:val="HTML Definition"/>
    <w:semiHidden/>
    <w:rsid w:val="00FB6E4B"/>
    <w:rPr>
      <w:rFonts w:cs="Times New Roman"/>
      <w:i/>
      <w:iCs/>
    </w:rPr>
  </w:style>
  <w:style w:type="character" w:styleId="Hyperlink">
    <w:name w:val="Hyperlink"/>
    <w:uiPriority w:val="99"/>
    <w:rsid w:val="00FB6E4B"/>
    <w:rPr>
      <w:rFonts w:cs="Times New Roman"/>
      <w:color w:val="0000FF"/>
      <w:u w:val="single"/>
    </w:rPr>
  </w:style>
  <w:style w:type="paragraph" w:styleId="ListNumber2">
    <w:name w:val="List Number 2"/>
    <w:basedOn w:val="Normal"/>
    <w:semiHidden/>
    <w:rsid w:val="00FB6E4B"/>
    <w:pPr>
      <w:numPr>
        <w:numId w:val="4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3">
    <w:name w:val="List Number 3"/>
    <w:basedOn w:val="Normal"/>
    <w:semiHidden/>
    <w:rsid w:val="00FB6E4B"/>
    <w:pPr>
      <w:numPr>
        <w:numId w:val="5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4">
    <w:name w:val="List Number 4"/>
    <w:basedOn w:val="Normal"/>
    <w:semiHidden/>
    <w:rsid w:val="00FB6E4B"/>
    <w:pPr>
      <w:numPr>
        <w:numId w:val="6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5">
    <w:name w:val="List Number 5"/>
    <w:basedOn w:val="Normal"/>
    <w:semiHidden/>
    <w:rsid w:val="00FB6E4B"/>
    <w:pPr>
      <w:numPr>
        <w:numId w:val="7"/>
      </w:numPr>
      <w:spacing w:line="260" w:lineRule="atLeast"/>
    </w:pPr>
    <w:rPr>
      <w:rFonts w:eastAsia="Times New Roman" w:cs="Times New Roman"/>
      <w:lang w:eastAsia="en-US"/>
    </w:rPr>
  </w:style>
  <w:style w:type="character" w:styleId="Strong">
    <w:name w:val="Strong"/>
    <w:qFormat/>
    <w:rsid w:val="00FB6E4B"/>
    <w:rPr>
      <w:rFonts w:cs="Times New Roman"/>
      <w:b/>
      <w:bCs/>
    </w:rPr>
  </w:style>
  <w:style w:type="paragraph" w:styleId="Subtitle">
    <w:name w:val="Subtitle"/>
    <w:basedOn w:val="Normal"/>
    <w:qFormat/>
    <w:rsid w:val="00FB6E4B"/>
    <w:pPr>
      <w:spacing w:after="60" w:line="260" w:lineRule="atLeast"/>
      <w:ind w:left="1021"/>
      <w:jc w:val="center"/>
      <w:outlineLvl w:val="1"/>
    </w:pPr>
    <w:rPr>
      <w:rFonts w:eastAsia="Times New Roman"/>
      <w:sz w:val="24"/>
      <w:szCs w:val="24"/>
      <w:lang w:eastAsia="en-US"/>
    </w:rPr>
  </w:style>
  <w:style w:type="paragraph" w:customStyle="1" w:styleId="paragraph">
    <w:name w:val="paragraph"/>
    <w:basedOn w:val="BodyText"/>
    <w:rsid w:val="00FB6E4B"/>
    <w:pPr>
      <w:spacing w:after="120" w:line="260" w:lineRule="atLeast"/>
      <w:ind w:left="1701" w:hanging="680"/>
    </w:pPr>
    <w:rPr>
      <w:rFonts w:eastAsia="Times New Roman" w:cs="Times New Roman"/>
      <w:lang w:eastAsia="en-US"/>
    </w:rPr>
  </w:style>
  <w:style w:type="paragraph" w:customStyle="1" w:styleId="TitleofDoc">
    <w:name w:val="Title of Doc"/>
    <w:basedOn w:val="Normal"/>
    <w:rsid w:val="00FB6E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Default">
    <w:name w:val="Default"/>
    <w:rsid w:val="00FB6E4B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en-US" w:eastAsia="ko-KR"/>
    </w:rPr>
  </w:style>
  <w:style w:type="paragraph" w:styleId="Date">
    <w:name w:val="Date"/>
    <w:basedOn w:val="Normal"/>
    <w:next w:val="Normal"/>
    <w:rsid w:val="00FB6E4B"/>
    <w:rPr>
      <w:rFonts w:ascii="Times New Roman" w:eastAsia="Times New Roman" w:hAnsi="Times New Roman" w:cs="Times New Roman"/>
      <w:sz w:val="24"/>
      <w:lang w:eastAsia="en-US"/>
    </w:rPr>
  </w:style>
  <w:style w:type="character" w:styleId="FollowedHyperlink">
    <w:name w:val="FollowedHyperlink"/>
    <w:rsid w:val="00FB6E4B"/>
    <w:rPr>
      <w:rFonts w:cs="Times New Roman"/>
      <w:color w:val="606420"/>
      <w:u w:val="single"/>
    </w:rPr>
  </w:style>
  <w:style w:type="paragraph" w:customStyle="1" w:styleId="Question">
    <w:name w:val="Question"/>
    <w:basedOn w:val="Normal"/>
    <w:rsid w:val="00FB6E4B"/>
    <w:pPr>
      <w:keepNext/>
      <w:keepLines/>
      <w:shd w:val="pct15" w:color="auto" w:fill="FFFFFF"/>
      <w:spacing w:before="360" w:after="180"/>
      <w:ind w:left="567" w:hanging="567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Example">
    <w:name w:val="Example"/>
    <w:basedOn w:val="Normal"/>
    <w:rsid w:val="00FB6E4B"/>
    <w:pPr>
      <w:spacing w:after="40" w:line="240" w:lineRule="atLeast"/>
      <w:ind w:left="539" w:right="612"/>
    </w:pPr>
    <w:rPr>
      <w:rFonts w:eastAsia="MS Mincho" w:cs="Times New Roman"/>
      <w:i/>
      <w:lang w:val="en-GB" w:eastAsia="de-DE"/>
    </w:rPr>
  </w:style>
  <w:style w:type="paragraph" w:styleId="TOC2">
    <w:name w:val="toc 2"/>
    <w:basedOn w:val="Normal"/>
    <w:next w:val="Normal"/>
    <w:autoRedefine/>
    <w:uiPriority w:val="39"/>
    <w:rsid w:val="00FB6E4B"/>
    <w:pPr>
      <w:spacing w:after="100" w:line="260" w:lineRule="atLeast"/>
      <w:ind w:left="200"/>
    </w:pPr>
    <w:rPr>
      <w:rFonts w:eastAsia="Times New Roman" w:cs="Times New Roman"/>
      <w:lang w:eastAsia="en-US"/>
    </w:rPr>
  </w:style>
  <w:style w:type="paragraph" w:styleId="TOC3">
    <w:name w:val="toc 3"/>
    <w:basedOn w:val="Normal"/>
    <w:next w:val="Normal"/>
    <w:autoRedefine/>
    <w:uiPriority w:val="39"/>
    <w:rsid w:val="0026327E"/>
    <w:pPr>
      <w:tabs>
        <w:tab w:val="right" w:leader="dot" w:pos="9628"/>
      </w:tabs>
      <w:spacing w:after="100" w:line="260" w:lineRule="atLeast"/>
      <w:ind w:left="220"/>
    </w:pPr>
    <w:rPr>
      <w:rFonts w:eastAsia="Times New Roman" w:cs="Times New Roman"/>
      <w:i/>
      <w:noProof/>
      <w:lang w:eastAsia="en-US"/>
    </w:rPr>
  </w:style>
  <w:style w:type="paragraph" w:styleId="ListParagraph">
    <w:name w:val="List Paragraph"/>
    <w:basedOn w:val="Normal"/>
    <w:uiPriority w:val="34"/>
    <w:qFormat/>
    <w:rsid w:val="00FB6E4B"/>
    <w:pPr>
      <w:spacing w:line="260" w:lineRule="atLeast"/>
      <w:ind w:left="720"/>
      <w:contextualSpacing/>
    </w:pPr>
    <w:rPr>
      <w:rFonts w:eastAsia="Times New Roman" w:cs="Times New Roman"/>
      <w:lang w:eastAsia="en-US"/>
    </w:rPr>
  </w:style>
  <w:style w:type="character" w:styleId="CommentReference">
    <w:name w:val="annotation reference"/>
    <w:uiPriority w:val="99"/>
    <w:rsid w:val="00FB6E4B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FB6E4B"/>
    <w:pPr>
      <w:ind w:left="1021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FB6E4B"/>
    <w:rPr>
      <w:rFonts w:ascii="Arial" w:eastAsia="SimSun" w:hAnsi="Arial" w:cs="Arial"/>
      <w:b/>
      <w:bCs/>
      <w:sz w:val="18"/>
      <w:lang w:val="en-US" w:eastAsia="zh-CN" w:bidi="ar-SA"/>
    </w:rPr>
  </w:style>
  <w:style w:type="paragraph" w:customStyle="1" w:styleId="PlaceAndDate">
    <w:name w:val="PlaceAndDate"/>
    <w:basedOn w:val="Session"/>
    <w:semiHidden/>
    <w:rsid w:val="00FB6E4B"/>
  </w:style>
  <w:style w:type="paragraph" w:customStyle="1" w:styleId="Session">
    <w:name w:val="Session"/>
    <w:basedOn w:val="Normal"/>
    <w:semiHidden/>
    <w:rsid w:val="00FB6E4B"/>
    <w:pPr>
      <w:spacing w:before="60" w:line="260" w:lineRule="atLeast"/>
      <w:ind w:left="1021"/>
      <w:jc w:val="center"/>
    </w:pPr>
    <w:rPr>
      <w:rFonts w:eastAsia="Times New Roman" w:cs="Times New Roman"/>
      <w:b/>
      <w:sz w:val="30"/>
      <w:lang w:eastAsia="en-US"/>
    </w:rPr>
  </w:style>
  <w:style w:type="character" w:styleId="PageNumber">
    <w:name w:val="page number"/>
    <w:basedOn w:val="DefaultParagraphFont"/>
    <w:rsid w:val="00097361"/>
  </w:style>
  <w:style w:type="character" w:customStyle="1" w:styleId="Endofdocument-AnnexChar">
    <w:name w:val="[End of document - Annex] Char"/>
    <w:link w:val="Endofdocument-Annex"/>
    <w:rsid w:val="004907DF"/>
    <w:rPr>
      <w:rFonts w:ascii="Arial" w:eastAsia="SimSun" w:hAnsi="Arial" w:cs="Arial"/>
      <w:sz w:val="22"/>
      <w:lang w:val="en-US" w:eastAsia="zh-CN" w:bidi="ar-SA"/>
    </w:rPr>
  </w:style>
  <w:style w:type="paragraph" w:styleId="TOC1">
    <w:name w:val="toc 1"/>
    <w:basedOn w:val="Normal"/>
    <w:next w:val="Normal"/>
    <w:autoRedefine/>
    <w:uiPriority w:val="39"/>
    <w:rsid w:val="00C6757C"/>
    <w:pPr>
      <w:tabs>
        <w:tab w:val="right" w:pos="9345"/>
      </w:tabs>
    </w:pPr>
  </w:style>
  <w:style w:type="paragraph" w:customStyle="1" w:styleId="Reporttext">
    <w:name w:val="Report text"/>
    <w:link w:val="ReporttextChar"/>
    <w:rsid w:val="00414EC7"/>
    <w:pPr>
      <w:spacing w:before="120"/>
      <w:ind w:firstLine="360"/>
    </w:pPr>
    <w:rPr>
      <w:sz w:val="22"/>
      <w:szCs w:val="22"/>
      <w:lang w:val="en-GB" w:eastAsia="en-GB"/>
    </w:rPr>
  </w:style>
  <w:style w:type="character" w:customStyle="1" w:styleId="ReporttextChar">
    <w:name w:val="Report text Char"/>
    <w:link w:val="Reporttext"/>
    <w:rsid w:val="00414EC7"/>
    <w:rPr>
      <w:sz w:val="22"/>
      <w:szCs w:val="22"/>
      <w:lang w:bidi="ar-SA"/>
    </w:rPr>
  </w:style>
  <w:style w:type="paragraph" w:customStyle="1" w:styleId="Numbers">
    <w:name w:val="Numbers"/>
    <w:basedOn w:val="Reporttext"/>
    <w:rsid w:val="00414EC7"/>
    <w:pPr>
      <w:numPr>
        <w:numId w:val="9"/>
      </w:numPr>
    </w:pPr>
  </w:style>
  <w:style w:type="paragraph" w:customStyle="1" w:styleId="CarCar">
    <w:name w:val="Car Car"/>
    <w:basedOn w:val="Normal"/>
    <w:rsid w:val="00F1186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uiPriority w:val="59"/>
    <w:rsid w:val="0035722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877F1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4877F1"/>
    <w:rPr>
      <w:rFonts w:ascii="Tahoma" w:eastAsia="SimSu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1F4C95"/>
    <w:rPr>
      <w:rFonts w:ascii="Arial" w:eastAsia="SimSun" w:hAnsi="Arial" w:cs="Arial"/>
      <w:sz w:val="22"/>
      <w:lang w:val="en-US"/>
    </w:rPr>
  </w:style>
  <w:style w:type="character" w:customStyle="1" w:styleId="apple-converted-space">
    <w:name w:val="apple-converted-space"/>
    <w:basedOn w:val="DefaultParagraphFont"/>
    <w:rsid w:val="00964CD7"/>
  </w:style>
  <w:style w:type="character" w:customStyle="1" w:styleId="HeaderChar">
    <w:name w:val="Header Char"/>
    <w:link w:val="Header"/>
    <w:uiPriority w:val="99"/>
    <w:rsid w:val="00242427"/>
    <w:rPr>
      <w:rFonts w:ascii="Arial" w:eastAsia="SimSun" w:hAnsi="Arial" w:cs="Arial"/>
      <w:sz w:val="22"/>
      <w:lang w:eastAsia="zh-CN"/>
    </w:rPr>
  </w:style>
  <w:style w:type="paragraph" w:customStyle="1" w:styleId="HEADINGNoTOC">
    <w:name w:val="HEADING No TOC"/>
    <w:qFormat/>
    <w:rsid w:val="00C6757C"/>
    <w:rPr>
      <w:rFonts w:ascii="Arial" w:eastAsia="SimSun" w:hAnsi="Arial" w:cs="Arial"/>
      <w:b/>
      <w:bCs/>
      <w:caps/>
      <w:kern w:val="32"/>
      <w:sz w:val="2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BodyText"/>
    <w:next w:val="Normal"/>
    <w:link w:val="Heading2Char"/>
    <w:qFormat/>
    <w:rsid w:val="0026522C"/>
    <w:pPr>
      <w:outlineLvl w:val="1"/>
    </w:pPr>
    <w:rPr>
      <w:rFonts w:cs="Times New Roman"/>
      <w:b/>
      <w:lang w:val="x-none"/>
    </w:rPr>
  </w:style>
  <w:style w:type="paragraph" w:styleId="Heading3">
    <w:name w:val="heading 3"/>
    <w:basedOn w:val="Normal"/>
    <w:next w:val="Normal"/>
    <w:qFormat/>
    <w:rsid w:val="00355011"/>
    <w:pPr>
      <w:keepNext/>
      <w:spacing w:before="240" w:after="60"/>
      <w:outlineLvl w:val="2"/>
    </w:pPr>
    <w:rPr>
      <w:b/>
      <w:bCs/>
      <w:i/>
      <w:szCs w:val="26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FB6E4B"/>
    <w:pPr>
      <w:spacing w:after="120" w:line="260" w:lineRule="atLeast"/>
      <w:ind w:left="1021"/>
      <w:outlineLvl w:val="4"/>
    </w:pPr>
    <w:rPr>
      <w:rFonts w:eastAsia="Times New Roman" w:cs="Times New Roman"/>
      <w:lang w:eastAsia="en-US"/>
    </w:rPr>
  </w:style>
  <w:style w:type="paragraph" w:styleId="Heading6">
    <w:name w:val="heading 6"/>
    <w:basedOn w:val="Normal"/>
    <w:next w:val="Normal"/>
    <w:qFormat/>
    <w:rsid w:val="00FB6E4B"/>
    <w:pPr>
      <w:spacing w:line="260" w:lineRule="atLeast"/>
      <w:ind w:left="1021"/>
      <w:outlineLvl w:val="5"/>
    </w:pPr>
    <w:rPr>
      <w:rFonts w:eastAsia="Times New Roman" w:cs="Times New Roman"/>
      <w:lang w:eastAsia="en-US"/>
    </w:rPr>
  </w:style>
  <w:style w:type="paragraph" w:styleId="Heading9">
    <w:name w:val="heading 9"/>
    <w:basedOn w:val="Normal"/>
    <w:next w:val="Normal"/>
    <w:qFormat/>
    <w:rsid w:val="00FB6E4B"/>
    <w:pPr>
      <w:spacing w:before="240" w:after="60" w:line="260" w:lineRule="atLeast"/>
      <w:ind w:left="1021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26522C"/>
    <w:rPr>
      <w:rFonts w:ascii="Arial" w:eastAsia="SimSun" w:hAnsi="Arial" w:cs="Arial"/>
      <w:b/>
      <w:sz w:val="22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character" w:customStyle="1" w:styleId="CommentTextChar">
    <w:name w:val="Comment Text Char"/>
    <w:link w:val="CommentText"/>
    <w:uiPriority w:val="99"/>
    <w:locked/>
    <w:rsid w:val="00FB6E4B"/>
    <w:rPr>
      <w:rFonts w:ascii="Arial" w:eastAsia="SimSun" w:hAnsi="Arial" w:cs="Arial"/>
      <w:sz w:val="18"/>
      <w:lang w:val="en-US" w:eastAsia="zh-CN" w:bidi="ar-SA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FB6E4B"/>
    <w:pPr>
      <w:spacing w:line="260" w:lineRule="atLeast"/>
      <w:ind w:left="6096" w:hanging="562"/>
    </w:pPr>
    <w:rPr>
      <w:rFonts w:eastAsia="Times New Roman" w:cs="Times New Roman"/>
      <w:i/>
      <w:lang w:eastAsia="en-US"/>
    </w:rPr>
  </w:style>
  <w:style w:type="paragraph" w:customStyle="1" w:styleId="Endofdocument">
    <w:name w:val="End of document"/>
    <w:basedOn w:val="Normal"/>
    <w:rsid w:val="00FB6E4B"/>
    <w:pPr>
      <w:spacing w:line="260" w:lineRule="atLeast"/>
      <w:ind w:left="5534"/>
    </w:pPr>
    <w:rPr>
      <w:rFonts w:eastAsia="Times New Roman" w:cs="Times New Roman"/>
      <w:lang w:eastAsia="en-US"/>
    </w:rPr>
  </w:style>
  <w:style w:type="character" w:styleId="FootnoteReference">
    <w:name w:val="footnote reference"/>
    <w:semiHidden/>
    <w:rsid w:val="00FB6E4B"/>
    <w:rPr>
      <w:rFonts w:cs="Times New Roman"/>
      <w:vertAlign w:val="superscript"/>
    </w:rPr>
  </w:style>
  <w:style w:type="paragraph" w:customStyle="1" w:styleId="preparedby">
    <w:name w:val="prepared by"/>
    <w:basedOn w:val="Normal"/>
    <w:next w:val="Normal"/>
    <w:rsid w:val="00FB6E4B"/>
    <w:pPr>
      <w:spacing w:before="120" w:after="480" w:line="260" w:lineRule="atLeast"/>
      <w:ind w:left="1021"/>
    </w:pPr>
    <w:rPr>
      <w:rFonts w:eastAsia="Times New Roman" w:cs="Times New Roman"/>
      <w:i/>
      <w:lang w:eastAsia="en-US"/>
    </w:rPr>
  </w:style>
  <w:style w:type="paragraph" w:styleId="Title">
    <w:name w:val="Title"/>
    <w:basedOn w:val="Normal"/>
    <w:qFormat/>
    <w:rsid w:val="00FB6E4B"/>
    <w:pPr>
      <w:spacing w:after="300" w:line="260" w:lineRule="atLeast"/>
      <w:ind w:left="1021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ocumenttitle">
    <w:name w:val="Document title"/>
    <w:basedOn w:val="Normal"/>
    <w:next w:val="preparedby"/>
    <w:rsid w:val="00FB6E4B"/>
    <w:pPr>
      <w:spacing w:before="840" w:line="336" w:lineRule="exact"/>
      <w:ind w:left="1021"/>
    </w:pPr>
    <w:rPr>
      <w:rFonts w:eastAsia="Times New Roman" w:cs="Times New Roman"/>
      <w:b/>
      <w:caps/>
      <w:sz w:val="24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FB6E4B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">
    <w:name w:val="Meeting title"/>
    <w:basedOn w:val="Normal"/>
    <w:next w:val="Sessiontitle"/>
    <w:rsid w:val="00FB6E4B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FB6E4B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FB6E4B"/>
    <w:pPr>
      <w:spacing w:before="0"/>
      <w:contextualSpacing w:val="0"/>
    </w:pPr>
  </w:style>
  <w:style w:type="paragraph" w:customStyle="1" w:styleId="Language">
    <w:name w:val="Language"/>
    <w:basedOn w:val="Normal"/>
    <w:next w:val="Normal"/>
    <w:rsid w:val="00FB6E4B"/>
    <w:pPr>
      <w:spacing w:line="340" w:lineRule="atLeast"/>
      <w:ind w:left="1021"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FB6E4B"/>
    <w:pPr>
      <w:spacing w:line="240" w:lineRule="atLeast"/>
      <w:ind w:left="1021" w:right="4933"/>
      <w:jc w:val="right"/>
    </w:pPr>
    <w:rPr>
      <w:rFonts w:eastAsia="Times New Roman" w:cs="Times New Roman"/>
      <w:b/>
      <w:w w:val="150"/>
      <w:lang w:val="fr-FR" w:eastAsia="en-US"/>
    </w:rPr>
  </w:style>
  <w:style w:type="character" w:customStyle="1" w:styleId="TESTwiposouslogoChar">
    <w:name w:val="TESTwiposouslogo Char"/>
    <w:link w:val="TESTwiposouslogo"/>
    <w:locked/>
    <w:rsid w:val="00FB6E4B"/>
    <w:rPr>
      <w:rFonts w:ascii="Arial" w:hAnsi="Arial"/>
      <w:b/>
      <w:w w:val="150"/>
      <w:sz w:val="22"/>
      <w:lang w:val="fr-FR" w:eastAsia="en-US" w:bidi="ar-SA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FB6E4B"/>
    <w:pPr>
      <w:spacing w:line="260" w:lineRule="atLeast"/>
      <w:ind w:left="4848"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FB6E4B"/>
  </w:style>
  <w:style w:type="paragraph" w:customStyle="1" w:styleId="MeetingCode">
    <w:name w:val="Meeting Code"/>
    <w:basedOn w:val="MeetinglanguageDate"/>
    <w:rsid w:val="00FB6E4B"/>
    <w:pPr>
      <w:spacing w:before="1800" w:after="0"/>
    </w:pPr>
  </w:style>
  <w:style w:type="character" w:customStyle="1" w:styleId="TESTorganisationChar">
    <w:name w:val="TESTorganisation Char"/>
    <w:basedOn w:val="TESTintellectualpropertyChar"/>
    <w:link w:val="TESTorganisation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FB6E4B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locked/>
    <w:rsid w:val="00FB6E4B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FB6E4B"/>
    <w:rPr>
      <w:rFonts w:ascii="Arial Black" w:hAnsi="Arial Black"/>
      <w:b/>
    </w:rPr>
  </w:style>
  <w:style w:type="character" w:customStyle="1" w:styleId="TESTIintellectualChar">
    <w:name w:val="TEST I intellectual Char"/>
    <w:link w:val="TESTIintellectual"/>
    <w:locked/>
    <w:rsid w:val="00FB6E4B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FB6E4B"/>
    <w:rPr>
      <w:b/>
    </w:rPr>
  </w:style>
  <w:style w:type="character" w:customStyle="1" w:styleId="TESTIorganisationChar">
    <w:name w:val="TEST I organisation Char"/>
    <w:link w:val="TESTIorganisation"/>
    <w:locked/>
    <w:rsid w:val="00FB6E4B"/>
    <w:rPr>
      <w:rFonts w:ascii="Arial" w:hAnsi="Arial"/>
      <w:b/>
      <w:caps/>
      <w:sz w:val="16"/>
      <w:lang w:val="en-US" w:eastAsia="en-US" w:bidi="ar-SA"/>
    </w:rPr>
  </w:style>
  <w:style w:type="paragraph" w:customStyle="1" w:styleId="Assembly">
    <w:name w:val="Assembly"/>
    <w:basedOn w:val="Meetingtitle"/>
    <w:next w:val="Sessiontitle"/>
    <w:rsid w:val="00FB6E4B"/>
    <w:pPr>
      <w:spacing w:before="480"/>
      <w:contextualSpacing/>
    </w:pPr>
  </w:style>
  <w:style w:type="paragraph" w:customStyle="1" w:styleId="Indent1">
    <w:name w:val="Indent 1"/>
    <w:basedOn w:val="Normal"/>
    <w:rsid w:val="00FB6E4B"/>
    <w:pPr>
      <w:spacing w:after="120" w:line="260" w:lineRule="atLeast"/>
      <w:ind w:left="2268" w:hanging="567"/>
    </w:pPr>
    <w:rPr>
      <w:rFonts w:eastAsia="Times New Roman" w:cs="Times New Roman"/>
      <w:lang w:eastAsia="en-US"/>
    </w:rPr>
  </w:style>
  <w:style w:type="paragraph" w:customStyle="1" w:styleId="Indent2">
    <w:name w:val="Indent 2"/>
    <w:basedOn w:val="Normal"/>
    <w:rsid w:val="00FB6E4B"/>
    <w:pPr>
      <w:spacing w:after="120" w:line="260" w:lineRule="atLeast"/>
      <w:ind w:left="2977" w:hanging="709"/>
    </w:pPr>
    <w:rPr>
      <w:rFonts w:eastAsia="Times New Roman" w:cs="Times New Roman"/>
      <w:lang w:eastAsia="en-US"/>
    </w:rPr>
  </w:style>
  <w:style w:type="character" w:styleId="HTMLDefinition">
    <w:name w:val="HTML Definition"/>
    <w:semiHidden/>
    <w:rsid w:val="00FB6E4B"/>
    <w:rPr>
      <w:rFonts w:cs="Times New Roman"/>
      <w:i/>
      <w:iCs/>
    </w:rPr>
  </w:style>
  <w:style w:type="character" w:styleId="Hyperlink">
    <w:name w:val="Hyperlink"/>
    <w:uiPriority w:val="99"/>
    <w:rsid w:val="00FB6E4B"/>
    <w:rPr>
      <w:rFonts w:cs="Times New Roman"/>
      <w:color w:val="0000FF"/>
      <w:u w:val="single"/>
    </w:rPr>
  </w:style>
  <w:style w:type="paragraph" w:styleId="ListNumber2">
    <w:name w:val="List Number 2"/>
    <w:basedOn w:val="Normal"/>
    <w:semiHidden/>
    <w:rsid w:val="00FB6E4B"/>
    <w:pPr>
      <w:numPr>
        <w:numId w:val="4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3">
    <w:name w:val="List Number 3"/>
    <w:basedOn w:val="Normal"/>
    <w:semiHidden/>
    <w:rsid w:val="00FB6E4B"/>
    <w:pPr>
      <w:numPr>
        <w:numId w:val="5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4">
    <w:name w:val="List Number 4"/>
    <w:basedOn w:val="Normal"/>
    <w:semiHidden/>
    <w:rsid w:val="00FB6E4B"/>
    <w:pPr>
      <w:numPr>
        <w:numId w:val="6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5">
    <w:name w:val="List Number 5"/>
    <w:basedOn w:val="Normal"/>
    <w:semiHidden/>
    <w:rsid w:val="00FB6E4B"/>
    <w:pPr>
      <w:numPr>
        <w:numId w:val="7"/>
      </w:numPr>
      <w:spacing w:line="260" w:lineRule="atLeast"/>
    </w:pPr>
    <w:rPr>
      <w:rFonts w:eastAsia="Times New Roman" w:cs="Times New Roman"/>
      <w:lang w:eastAsia="en-US"/>
    </w:rPr>
  </w:style>
  <w:style w:type="character" w:styleId="Strong">
    <w:name w:val="Strong"/>
    <w:qFormat/>
    <w:rsid w:val="00FB6E4B"/>
    <w:rPr>
      <w:rFonts w:cs="Times New Roman"/>
      <w:b/>
      <w:bCs/>
    </w:rPr>
  </w:style>
  <w:style w:type="paragraph" w:styleId="Subtitle">
    <w:name w:val="Subtitle"/>
    <w:basedOn w:val="Normal"/>
    <w:qFormat/>
    <w:rsid w:val="00FB6E4B"/>
    <w:pPr>
      <w:spacing w:after="60" w:line="260" w:lineRule="atLeast"/>
      <w:ind w:left="1021"/>
      <w:jc w:val="center"/>
      <w:outlineLvl w:val="1"/>
    </w:pPr>
    <w:rPr>
      <w:rFonts w:eastAsia="Times New Roman"/>
      <w:sz w:val="24"/>
      <w:szCs w:val="24"/>
      <w:lang w:eastAsia="en-US"/>
    </w:rPr>
  </w:style>
  <w:style w:type="paragraph" w:customStyle="1" w:styleId="paragraph">
    <w:name w:val="paragraph"/>
    <w:basedOn w:val="BodyText"/>
    <w:rsid w:val="00FB6E4B"/>
    <w:pPr>
      <w:spacing w:after="120" w:line="260" w:lineRule="atLeast"/>
      <w:ind w:left="1701" w:hanging="680"/>
    </w:pPr>
    <w:rPr>
      <w:rFonts w:eastAsia="Times New Roman" w:cs="Times New Roman"/>
      <w:lang w:eastAsia="en-US"/>
    </w:rPr>
  </w:style>
  <w:style w:type="paragraph" w:customStyle="1" w:styleId="TitleofDoc">
    <w:name w:val="Title of Doc"/>
    <w:basedOn w:val="Normal"/>
    <w:rsid w:val="00FB6E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Default">
    <w:name w:val="Default"/>
    <w:rsid w:val="00FB6E4B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en-US" w:eastAsia="ko-KR"/>
    </w:rPr>
  </w:style>
  <w:style w:type="paragraph" w:styleId="Date">
    <w:name w:val="Date"/>
    <w:basedOn w:val="Normal"/>
    <w:next w:val="Normal"/>
    <w:rsid w:val="00FB6E4B"/>
    <w:rPr>
      <w:rFonts w:ascii="Times New Roman" w:eastAsia="Times New Roman" w:hAnsi="Times New Roman" w:cs="Times New Roman"/>
      <w:sz w:val="24"/>
      <w:lang w:eastAsia="en-US"/>
    </w:rPr>
  </w:style>
  <w:style w:type="character" w:styleId="FollowedHyperlink">
    <w:name w:val="FollowedHyperlink"/>
    <w:rsid w:val="00FB6E4B"/>
    <w:rPr>
      <w:rFonts w:cs="Times New Roman"/>
      <w:color w:val="606420"/>
      <w:u w:val="single"/>
    </w:rPr>
  </w:style>
  <w:style w:type="paragraph" w:customStyle="1" w:styleId="Question">
    <w:name w:val="Question"/>
    <w:basedOn w:val="Normal"/>
    <w:rsid w:val="00FB6E4B"/>
    <w:pPr>
      <w:keepNext/>
      <w:keepLines/>
      <w:shd w:val="pct15" w:color="auto" w:fill="FFFFFF"/>
      <w:spacing w:before="360" w:after="180"/>
      <w:ind w:left="567" w:hanging="567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Example">
    <w:name w:val="Example"/>
    <w:basedOn w:val="Normal"/>
    <w:rsid w:val="00FB6E4B"/>
    <w:pPr>
      <w:spacing w:after="40" w:line="240" w:lineRule="atLeast"/>
      <w:ind w:left="539" w:right="612"/>
    </w:pPr>
    <w:rPr>
      <w:rFonts w:eastAsia="MS Mincho" w:cs="Times New Roman"/>
      <w:i/>
      <w:lang w:val="en-GB" w:eastAsia="de-DE"/>
    </w:rPr>
  </w:style>
  <w:style w:type="paragraph" w:styleId="TOC2">
    <w:name w:val="toc 2"/>
    <w:basedOn w:val="Normal"/>
    <w:next w:val="Normal"/>
    <w:autoRedefine/>
    <w:uiPriority w:val="39"/>
    <w:rsid w:val="00FB6E4B"/>
    <w:pPr>
      <w:spacing w:after="100" w:line="260" w:lineRule="atLeast"/>
      <w:ind w:left="200"/>
    </w:pPr>
    <w:rPr>
      <w:rFonts w:eastAsia="Times New Roman" w:cs="Times New Roman"/>
      <w:lang w:eastAsia="en-US"/>
    </w:rPr>
  </w:style>
  <w:style w:type="paragraph" w:styleId="TOC3">
    <w:name w:val="toc 3"/>
    <w:basedOn w:val="Normal"/>
    <w:next w:val="Normal"/>
    <w:autoRedefine/>
    <w:uiPriority w:val="39"/>
    <w:rsid w:val="0026327E"/>
    <w:pPr>
      <w:tabs>
        <w:tab w:val="right" w:leader="dot" w:pos="9628"/>
      </w:tabs>
      <w:spacing w:after="100" w:line="260" w:lineRule="atLeast"/>
      <w:ind w:left="220"/>
    </w:pPr>
    <w:rPr>
      <w:rFonts w:eastAsia="Times New Roman" w:cs="Times New Roman"/>
      <w:i/>
      <w:noProof/>
      <w:lang w:eastAsia="en-US"/>
    </w:rPr>
  </w:style>
  <w:style w:type="paragraph" w:styleId="ListParagraph">
    <w:name w:val="List Paragraph"/>
    <w:basedOn w:val="Normal"/>
    <w:uiPriority w:val="34"/>
    <w:qFormat/>
    <w:rsid w:val="00FB6E4B"/>
    <w:pPr>
      <w:spacing w:line="260" w:lineRule="atLeast"/>
      <w:ind w:left="720"/>
      <w:contextualSpacing/>
    </w:pPr>
    <w:rPr>
      <w:rFonts w:eastAsia="Times New Roman" w:cs="Times New Roman"/>
      <w:lang w:eastAsia="en-US"/>
    </w:rPr>
  </w:style>
  <w:style w:type="character" w:styleId="CommentReference">
    <w:name w:val="annotation reference"/>
    <w:uiPriority w:val="99"/>
    <w:rsid w:val="00FB6E4B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FB6E4B"/>
    <w:pPr>
      <w:ind w:left="1021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FB6E4B"/>
    <w:rPr>
      <w:rFonts w:ascii="Arial" w:eastAsia="SimSun" w:hAnsi="Arial" w:cs="Arial"/>
      <w:b/>
      <w:bCs/>
      <w:sz w:val="18"/>
      <w:lang w:val="en-US" w:eastAsia="zh-CN" w:bidi="ar-SA"/>
    </w:rPr>
  </w:style>
  <w:style w:type="paragraph" w:customStyle="1" w:styleId="PlaceAndDate">
    <w:name w:val="PlaceAndDate"/>
    <w:basedOn w:val="Session"/>
    <w:semiHidden/>
    <w:rsid w:val="00FB6E4B"/>
  </w:style>
  <w:style w:type="paragraph" w:customStyle="1" w:styleId="Session">
    <w:name w:val="Session"/>
    <w:basedOn w:val="Normal"/>
    <w:semiHidden/>
    <w:rsid w:val="00FB6E4B"/>
    <w:pPr>
      <w:spacing w:before="60" w:line="260" w:lineRule="atLeast"/>
      <w:ind w:left="1021"/>
      <w:jc w:val="center"/>
    </w:pPr>
    <w:rPr>
      <w:rFonts w:eastAsia="Times New Roman" w:cs="Times New Roman"/>
      <w:b/>
      <w:sz w:val="30"/>
      <w:lang w:eastAsia="en-US"/>
    </w:rPr>
  </w:style>
  <w:style w:type="character" w:styleId="PageNumber">
    <w:name w:val="page number"/>
    <w:basedOn w:val="DefaultParagraphFont"/>
    <w:rsid w:val="00097361"/>
  </w:style>
  <w:style w:type="character" w:customStyle="1" w:styleId="Endofdocument-AnnexChar">
    <w:name w:val="[End of document - Annex] Char"/>
    <w:link w:val="Endofdocument-Annex"/>
    <w:rsid w:val="004907DF"/>
    <w:rPr>
      <w:rFonts w:ascii="Arial" w:eastAsia="SimSun" w:hAnsi="Arial" w:cs="Arial"/>
      <w:sz w:val="22"/>
      <w:lang w:val="en-US" w:eastAsia="zh-CN" w:bidi="ar-SA"/>
    </w:rPr>
  </w:style>
  <w:style w:type="paragraph" w:styleId="TOC1">
    <w:name w:val="toc 1"/>
    <w:basedOn w:val="Normal"/>
    <w:next w:val="Normal"/>
    <w:autoRedefine/>
    <w:uiPriority w:val="39"/>
    <w:rsid w:val="00C6757C"/>
    <w:pPr>
      <w:tabs>
        <w:tab w:val="right" w:pos="9345"/>
      </w:tabs>
    </w:pPr>
  </w:style>
  <w:style w:type="paragraph" w:customStyle="1" w:styleId="Reporttext">
    <w:name w:val="Report text"/>
    <w:link w:val="ReporttextChar"/>
    <w:rsid w:val="00414EC7"/>
    <w:pPr>
      <w:spacing w:before="120"/>
      <w:ind w:firstLine="360"/>
    </w:pPr>
    <w:rPr>
      <w:sz w:val="22"/>
      <w:szCs w:val="22"/>
      <w:lang w:val="en-GB" w:eastAsia="en-GB"/>
    </w:rPr>
  </w:style>
  <w:style w:type="character" w:customStyle="1" w:styleId="ReporttextChar">
    <w:name w:val="Report text Char"/>
    <w:link w:val="Reporttext"/>
    <w:rsid w:val="00414EC7"/>
    <w:rPr>
      <w:sz w:val="22"/>
      <w:szCs w:val="22"/>
      <w:lang w:bidi="ar-SA"/>
    </w:rPr>
  </w:style>
  <w:style w:type="paragraph" w:customStyle="1" w:styleId="Numbers">
    <w:name w:val="Numbers"/>
    <w:basedOn w:val="Reporttext"/>
    <w:rsid w:val="00414EC7"/>
    <w:pPr>
      <w:numPr>
        <w:numId w:val="9"/>
      </w:numPr>
    </w:pPr>
  </w:style>
  <w:style w:type="paragraph" w:customStyle="1" w:styleId="CarCar">
    <w:name w:val="Car Car"/>
    <w:basedOn w:val="Normal"/>
    <w:rsid w:val="00F1186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uiPriority w:val="59"/>
    <w:rsid w:val="0035722E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877F1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4877F1"/>
    <w:rPr>
      <w:rFonts w:ascii="Tahoma" w:eastAsia="SimSu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1F4C95"/>
    <w:rPr>
      <w:rFonts w:ascii="Arial" w:eastAsia="SimSun" w:hAnsi="Arial" w:cs="Arial"/>
      <w:sz w:val="22"/>
      <w:lang w:val="en-US"/>
    </w:rPr>
  </w:style>
  <w:style w:type="character" w:customStyle="1" w:styleId="apple-converted-space">
    <w:name w:val="apple-converted-space"/>
    <w:basedOn w:val="DefaultParagraphFont"/>
    <w:rsid w:val="00964CD7"/>
  </w:style>
  <w:style w:type="character" w:customStyle="1" w:styleId="HeaderChar">
    <w:name w:val="Header Char"/>
    <w:link w:val="Header"/>
    <w:uiPriority w:val="99"/>
    <w:rsid w:val="00242427"/>
    <w:rPr>
      <w:rFonts w:ascii="Arial" w:eastAsia="SimSun" w:hAnsi="Arial" w:cs="Arial"/>
      <w:sz w:val="22"/>
      <w:lang w:eastAsia="zh-CN"/>
    </w:rPr>
  </w:style>
  <w:style w:type="paragraph" w:customStyle="1" w:styleId="HEADINGNoTOC">
    <w:name w:val="HEADING No TOC"/>
    <w:qFormat/>
    <w:rsid w:val="00C6757C"/>
    <w:rPr>
      <w:rFonts w:ascii="Arial" w:eastAsia="SimSun" w:hAnsi="Arial" w:cs="Arial"/>
      <w:b/>
      <w:bCs/>
      <w:caps/>
      <w:kern w:val="32"/>
      <w:sz w:val="2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2AA76-3906-4EF8-A582-161867A3CB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7D4E1B-94C6-4124-9067-73252ED4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3265</Words>
  <Characters>17437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- Specialized Databases’ Access and Support – Phase II</vt:lpstr>
    </vt:vector>
  </TitlesOfParts>
  <Company>WIPO</Company>
  <LinksUpToDate>false</LinksUpToDate>
  <CharactersWithSpaces>20661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- Specialized Databases’ Access and Support – Phase II</dc:title>
  <dc:creator>oneil</dc:creator>
  <cp:keywords>MP/mhf</cp:keywords>
  <cp:lastModifiedBy>BRACI Biljana</cp:lastModifiedBy>
  <cp:revision>3</cp:revision>
  <cp:lastPrinted>2014-09-17T13:50:00Z</cp:lastPrinted>
  <dcterms:created xsi:type="dcterms:W3CDTF">2014-09-18T08:36:00Z</dcterms:created>
  <dcterms:modified xsi:type="dcterms:W3CDTF">2014-09-18T08:38:00Z</dcterms:modified>
</cp:coreProperties>
</file>