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C79D1" w:rsidRPr="00382D92" w:rsidTr="00092256">
        <w:tc>
          <w:tcPr>
            <w:tcW w:w="4513" w:type="dxa"/>
            <w:tcBorders>
              <w:bottom w:val="single" w:sz="4" w:space="0" w:color="auto"/>
            </w:tcBorders>
            <w:tcMar>
              <w:bottom w:w="170" w:type="dxa"/>
            </w:tcMar>
          </w:tcPr>
          <w:p w:rsidR="007C79D1" w:rsidRPr="00382D92" w:rsidRDefault="007C79D1" w:rsidP="00092256">
            <w:pPr>
              <w:rPr>
                <w:lang w:val="fr-FR"/>
              </w:rPr>
            </w:pPr>
            <w:bookmarkStart w:id="0" w:name="_GoBack"/>
            <w:bookmarkEnd w:id="0"/>
          </w:p>
        </w:tc>
        <w:tc>
          <w:tcPr>
            <w:tcW w:w="4337" w:type="dxa"/>
            <w:tcBorders>
              <w:bottom w:val="single" w:sz="4" w:space="0" w:color="auto"/>
            </w:tcBorders>
            <w:tcMar>
              <w:left w:w="0" w:type="dxa"/>
              <w:right w:w="0" w:type="dxa"/>
            </w:tcMar>
          </w:tcPr>
          <w:p w:rsidR="007C79D1" w:rsidRPr="00382D92" w:rsidRDefault="00B878BB" w:rsidP="00092256">
            <w:pPr>
              <w:rPr>
                <w:lang w:val="fr-FR"/>
              </w:rPr>
            </w:pPr>
            <w:r>
              <w:rPr>
                <w:noProof/>
                <w:lang w:eastAsia="en-US"/>
              </w:rPr>
              <w:drawing>
                <wp:inline distT="0" distB="0" distL="0" distR="0">
                  <wp:extent cx="1858010" cy="1323975"/>
                  <wp:effectExtent l="0" t="0" r="8890" b="9525"/>
                  <wp:docPr id="1" name="Imag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WIPO-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C79D1" w:rsidRPr="00382D92" w:rsidRDefault="007C79D1" w:rsidP="00092256">
            <w:pPr>
              <w:jc w:val="right"/>
              <w:rPr>
                <w:lang w:val="fr-FR"/>
              </w:rPr>
            </w:pPr>
            <w:r w:rsidRPr="00382D92">
              <w:rPr>
                <w:b/>
                <w:sz w:val="40"/>
                <w:szCs w:val="40"/>
                <w:lang w:val="fr-FR"/>
              </w:rPr>
              <w:t>F</w:t>
            </w:r>
          </w:p>
        </w:tc>
      </w:tr>
      <w:tr w:rsidR="007C79D1" w:rsidRPr="00382D92" w:rsidTr="00092256">
        <w:tc>
          <w:tcPr>
            <w:tcW w:w="9356" w:type="dxa"/>
            <w:gridSpan w:val="3"/>
            <w:tcBorders>
              <w:top w:val="single" w:sz="4" w:space="0" w:color="auto"/>
            </w:tcBorders>
            <w:tcMar>
              <w:top w:w="170" w:type="dxa"/>
              <w:left w:w="0" w:type="dxa"/>
              <w:right w:w="0" w:type="dxa"/>
            </w:tcMar>
            <w:vAlign w:val="bottom"/>
          </w:tcPr>
          <w:p w:rsidR="007C79D1" w:rsidRPr="00382D92" w:rsidRDefault="007C79D1" w:rsidP="007C79D1">
            <w:pPr>
              <w:jc w:val="right"/>
              <w:rPr>
                <w:rFonts w:ascii="Arial Black" w:hAnsi="Arial Black"/>
                <w:caps/>
                <w:sz w:val="15"/>
                <w:lang w:val="fr-FR"/>
              </w:rPr>
            </w:pPr>
            <w:r w:rsidRPr="00382D92">
              <w:rPr>
                <w:rFonts w:ascii="Arial Black" w:hAnsi="Arial Black"/>
                <w:caps/>
                <w:sz w:val="15"/>
                <w:lang w:val="fr-FR"/>
              </w:rPr>
              <w:t>CDIP/13/</w:t>
            </w:r>
            <w:bookmarkStart w:id="1" w:name="Code"/>
            <w:bookmarkEnd w:id="1"/>
            <w:r w:rsidRPr="00382D92">
              <w:rPr>
                <w:rFonts w:ascii="Arial Black" w:hAnsi="Arial Black"/>
                <w:caps/>
                <w:sz w:val="15"/>
                <w:lang w:val="fr-FR"/>
              </w:rPr>
              <w:t>INF/</w:t>
            </w:r>
            <w:r>
              <w:rPr>
                <w:rFonts w:ascii="Arial Black" w:hAnsi="Arial Black"/>
                <w:caps/>
                <w:sz w:val="15"/>
                <w:lang w:val="fr-FR"/>
              </w:rPr>
              <w:t>4</w:t>
            </w:r>
            <w:r w:rsidRPr="00382D92">
              <w:rPr>
                <w:rFonts w:ascii="Arial Black" w:hAnsi="Arial Black"/>
                <w:caps/>
                <w:sz w:val="15"/>
                <w:lang w:val="fr-FR"/>
              </w:rPr>
              <w:t xml:space="preserve"> </w:t>
            </w:r>
          </w:p>
        </w:tc>
      </w:tr>
      <w:tr w:rsidR="007C79D1" w:rsidRPr="00382D92" w:rsidTr="00092256">
        <w:trPr>
          <w:trHeight w:hRule="exact" w:val="170"/>
        </w:trPr>
        <w:tc>
          <w:tcPr>
            <w:tcW w:w="9356" w:type="dxa"/>
            <w:gridSpan w:val="3"/>
            <w:noWrap/>
            <w:tcMar>
              <w:left w:w="0" w:type="dxa"/>
              <w:right w:w="0" w:type="dxa"/>
            </w:tcMar>
            <w:vAlign w:val="bottom"/>
          </w:tcPr>
          <w:p w:rsidR="007C79D1" w:rsidRPr="00382D92" w:rsidRDefault="007C79D1" w:rsidP="00092256">
            <w:pPr>
              <w:jc w:val="right"/>
              <w:rPr>
                <w:rFonts w:ascii="Arial Black" w:hAnsi="Arial Black"/>
                <w:caps/>
                <w:sz w:val="15"/>
                <w:lang w:val="fr-FR"/>
              </w:rPr>
            </w:pPr>
            <w:r w:rsidRPr="00382D92">
              <w:rPr>
                <w:rFonts w:ascii="Arial Black" w:hAnsi="Arial Black"/>
                <w:caps/>
                <w:sz w:val="15"/>
                <w:lang w:val="fr-FR"/>
              </w:rPr>
              <w:t xml:space="preserve">ORIGINAL : </w:t>
            </w:r>
            <w:bookmarkStart w:id="2" w:name="Original"/>
            <w:bookmarkEnd w:id="2"/>
            <w:r w:rsidRPr="00382D92">
              <w:rPr>
                <w:rFonts w:ascii="Arial Black" w:hAnsi="Arial Black"/>
                <w:caps/>
                <w:sz w:val="15"/>
                <w:lang w:val="fr-FR"/>
              </w:rPr>
              <w:t>anglais</w:t>
            </w:r>
          </w:p>
        </w:tc>
      </w:tr>
      <w:tr w:rsidR="007C79D1" w:rsidRPr="00382D92" w:rsidTr="00092256">
        <w:trPr>
          <w:trHeight w:hRule="exact" w:val="198"/>
        </w:trPr>
        <w:tc>
          <w:tcPr>
            <w:tcW w:w="9356" w:type="dxa"/>
            <w:gridSpan w:val="3"/>
            <w:tcMar>
              <w:left w:w="0" w:type="dxa"/>
              <w:right w:w="0" w:type="dxa"/>
            </w:tcMar>
            <w:vAlign w:val="bottom"/>
          </w:tcPr>
          <w:p w:rsidR="007C79D1" w:rsidRPr="00382D92" w:rsidRDefault="007C79D1" w:rsidP="007C79D1">
            <w:pPr>
              <w:jc w:val="right"/>
              <w:rPr>
                <w:rFonts w:ascii="Arial Black" w:hAnsi="Arial Black"/>
                <w:caps/>
                <w:sz w:val="15"/>
                <w:lang w:val="fr-FR"/>
              </w:rPr>
            </w:pPr>
            <w:r w:rsidRPr="00382D92">
              <w:rPr>
                <w:rFonts w:ascii="Arial Black" w:hAnsi="Arial Black"/>
                <w:caps/>
                <w:sz w:val="15"/>
                <w:lang w:val="fr-FR"/>
              </w:rPr>
              <w:t xml:space="preserve">DATE : </w:t>
            </w:r>
            <w:bookmarkStart w:id="3" w:name="Date"/>
            <w:bookmarkEnd w:id="3"/>
            <w:r>
              <w:rPr>
                <w:rFonts w:ascii="Arial Black" w:hAnsi="Arial Black"/>
                <w:caps/>
                <w:sz w:val="15"/>
                <w:lang w:val="fr-FR"/>
              </w:rPr>
              <w:t>26</w:t>
            </w:r>
            <w:r w:rsidRPr="00382D92">
              <w:rPr>
                <w:rFonts w:ascii="Arial Black" w:hAnsi="Arial Black"/>
                <w:caps/>
                <w:sz w:val="15"/>
                <w:lang w:val="fr-FR"/>
              </w:rPr>
              <w:t> f</w:t>
            </w:r>
            <w:r>
              <w:rPr>
                <w:rFonts w:ascii="Arial Black" w:hAnsi="Arial Black"/>
                <w:caps/>
                <w:sz w:val="15"/>
                <w:lang w:val="fr-FR"/>
              </w:rPr>
              <w:t>É</w:t>
            </w:r>
            <w:r w:rsidRPr="00382D92">
              <w:rPr>
                <w:rFonts w:ascii="Arial Black" w:hAnsi="Arial Black"/>
                <w:caps/>
                <w:sz w:val="15"/>
                <w:lang w:val="fr-FR"/>
              </w:rPr>
              <w:t>vrier 2014</w:t>
            </w:r>
          </w:p>
        </w:tc>
      </w:tr>
    </w:tbl>
    <w:p w:rsidR="007C79D1" w:rsidRPr="00382D92" w:rsidRDefault="007C79D1" w:rsidP="007C79D1">
      <w:pPr>
        <w:rPr>
          <w:lang w:val="fr-FR"/>
        </w:rPr>
      </w:pPr>
    </w:p>
    <w:p w:rsidR="007C79D1" w:rsidRPr="00382D92" w:rsidRDefault="007C79D1" w:rsidP="007C79D1">
      <w:pPr>
        <w:rPr>
          <w:lang w:val="fr-FR"/>
        </w:rPr>
      </w:pPr>
    </w:p>
    <w:p w:rsidR="007C79D1" w:rsidRPr="00382D92" w:rsidRDefault="007C79D1" w:rsidP="007C79D1">
      <w:pPr>
        <w:rPr>
          <w:lang w:val="fr-FR"/>
        </w:rPr>
      </w:pPr>
    </w:p>
    <w:p w:rsidR="007C79D1" w:rsidRPr="00382D92" w:rsidRDefault="007C79D1" w:rsidP="007C79D1">
      <w:pPr>
        <w:rPr>
          <w:lang w:val="fr-FR"/>
        </w:rPr>
      </w:pPr>
    </w:p>
    <w:p w:rsidR="007C79D1" w:rsidRPr="00382D92" w:rsidRDefault="007C79D1" w:rsidP="007C79D1">
      <w:pPr>
        <w:rPr>
          <w:lang w:val="fr-FR"/>
        </w:rPr>
      </w:pPr>
    </w:p>
    <w:p w:rsidR="007C79D1" w:rsidRPr="00382D92" w:rsidRDefault="007C79D1" w:rsidP="007C79D1">
      <w:pPr>
        <w:rPr>
          <w:b/>
          <w:sz w:val="28"/>
          <w:szCs w:val="28"/>
          <w:lang w:val="fr-FR"/>
        </w:rPr>
      </w:pPr>
      <w:r w:rsidRPr="00382D92">
        <w:rPr>
          <w:b/>
          <w:sz w:val="28"/>
          <w:szCs w:val="28"/>
          <w:lang w:val="fr-FR"/>
        </w:rPr>
        <w:t>Comité du développ</w:t>
      </w:r>
      <w:r>
        <w:rPr>
          <w:b/>
          <w:sz w:val="28"/>
          <w:szCs w:val="28"/>
          <w:lang w:val="fr-FR"/>
        </w:rPr>
        <w:t>e</w:t>
      </w:r>
      <w:r w:rsidRPr="00382D92">
        <w:rPr>
          <w:b/>
          <w:sz w:val="28"/>
          <w:szCs w:val="28"/>
          <w:lang w:val="fr-FR"/>
        </w:rPr>
        <w:t xml:space="preserve">ment </w:t>
      </w:r>
      <w:r>
        <w:rPr>
          <w:b/>
          <w:sz w:val="28"/>
          <w:szCs w:val="28"/>
          <w:lang w:val="fr-FR"/>
        </w:rPr>
        <w:t>et de la propriété intellectuelle (CDIP)</w:t>
      </w:r>
    </w:p>
    <w:p w:rsidR="007C79D1" w:rsidRPr="00382D92" w:rsidRDefault="007C79D1" w:rsidP="007C79D1">
      <w:pPr>
        <w:rPr>
          <w:lang w:val="fr-FR"/>
        </w:rPr>
      </w:pPr>
    </w:p>
    <w:p w:rsidR="007C79D1" w:rsidRPr="00382D92" w:rsidRDefault="007C79D1" w:rsidP="007C79D1">
      <w:pPr>
        <w:rPr>
          <w:lang w:val="fr-FR"/>
        </w:rPr>
      </w:pPr>
    </w:p>
    <w:p w:rsidR="007C79D1" w:rsidRPr="00382D92" w:rsidRDefault="007C79D1" w:rsidP="007C79D1">
      <w:pPr>
        <w:rPr>
          <w:b/>
          <w:sz w:val="24"/>
          <w:szCs w:val="24"/>
          <w:lang w:val="fr-FR"/>
        </w:rPr>
      </w:pPr>
      <w:r>
        <w:rPr>
          <w:b/>
          <w:sz w:val="24"/>
          <w:szCs w:val="24"/>
          <w:lang w:val="fr-FR"/>
        </w:rPr>
        <w:t>Treizième session</w:t>
      </w:r>
    </w:p>
    <w:p w:rsidR="007C79D1" w:rsidRPr="00382D92" w:rsidRDefault="007C79D1" w:rsidP="007C79D1">
      <w:pPr>
        <w:rPr>
          <w:b/>
          <w:sz w:val="24"/>
          <w:szCs w:val="24"/>
          <w:lang w:val="fr-FR"/>
        </w:rPr>
      </w:pPr>
      <w:r>
        <w:rPr>
          <w:b/>
          <w:sz w:val="24"/>
          <w:szCs w:val="24"/>
          <w:lang w:val="fr-FR"/>
        </w:rPr>
        <w:t>Genève, 19 – 23 mai 2014</w:t>
      </w:r>
    </w:p>
    <w:p w:rsidR="0008183D" w:rsidRPr="004F530C" w:rsidRDefault="0008183D" w:rsidP="009C5F8C">
      <w:pPr>
        <w:rPr>
          <w:lang w:val="fr-FR"/>
        </w:rPr>
      </w:pPr>
    </w:p>
    <w:p w:rsidR="0008183D" w:rsidRPr="004F530C" w:rsidRDefault="0008183D" w:rsidP="009C5F8C">
      <w:pPr>
        <w:rPr>
          <w:lang w:val="fr-FR"/>
        </w:rPr>
      </w:pPr>
    </w:p>
    <w:p w:rsidR="0008183D" w:rsidRPr="004F530C" w:rsidRDefault="0008183D" w:rsidP="009C5F8C">
      <w:pPr>
        <w:rPr>
          <w:lang w:val="fr-FR"/>
        </w:rPr>
      </w:pPr>
    </w:p>
    <w:p w:rsidR="0008183D" w:rsidRPr="004F530C" w:rsidRDefault="0008183D" w:rsidP="0062744F">
      <w:pPr>
        <w:rPr>
          <w:caps/>
          <w:sz w:val="24"/>
          <w:lang w:val="fr-FR"/>
        </w:rPr>
      </w:pPr>
      <w:r>
        <w:rPr>
          <w:caps/>
          <w:sz w:val="24"/>
          <w:lang w:val="fr-FR"/>
        </w:rPr>
        <w:t>résumé de l</w:t>
      </w:r>
      <w:r w:rsidR="007A7128">
        <w:rPr>
          <w:caps/>
          <w:sz w:val="24"/>
          <w:lang w:val="fr-FR"/>
        </w:rPr>
        <w:t>’</w:t>
      </w:r>
      <w:r>
        <w:rPr>
          <w:caps/>
          <w:sz w:val="24"/>
          <w:lang w:val="fr-FR"/>
        </w:rPr>
        <w:t>étude de pays sur l</w:t>
      </w:r>
      <w:r w:rsidR="007A7128">
        <w:rPr>
          <w:caps/>
          <w:sz w:val="24"/>
          <w:lang w:val="fr-FR"/>
        </w:rPr>
        <w:t>’</w:t>
      </w:r>
      <w:r>
        <w:rPr>
          <w:caps/>
          <w:sz w:val="24"/>
          <w:lang w:val="fr-FR"/>
        </w:rPr>
        <w:t xml:space="preserve">innovation, </w:t>
      </w:r>
      <w:smartTag w:uri="urn:schemas-microsoft-com:office:smarttags" w:element="PersonName">
        <w:smartTagPr>
          <w:attr w:name="ProductID" w:val="LA PROPRIÉTÉ INTELLECTUELLE ET"/>
        </w:smartTagPr>
        <w:r>
          <w:rPr>
            <w:caps/>
            <w:sz w:val="24"/>
            <w:lang w:val="fr-FR"/>
          </w:rPr>
          <w:t>la propriété intellectuelle et</w:t>
        </w:r>
      </w:smartTag>
      <w:r>
        <w:rPr>
          <w:caps/>
          <w:sz w:val="24"/>
          <w:lang w:val="fr-FR"/>
        </w:rPr>
        <w:t xml:space="preserve"> l</w:t>
      </w:r>
      <w:r w:rsidR="007A7128">
        <w:rPr>
          <w:caps/>
          <w:sz w:val="24"/>
          <w:lang w:val="fr-FR"/>
        </w:rPr>
        <w:t>’</w:t>
      </w:r>
      <w:r>
        <w:rPr>
          <w:caps/>
          <w:sz w:val="24"/>
          <w:lang w:val="fr-FR"/>
        </w:rPr>
        <w:t xml:space="preserve">économie informelle : fabricants de produits cosmétiques et </w:t>
      </w:r>
      <w:r w:rsidRPr="005E11FF">
        <w:rPr>
          <w:caps/>
          <w:sz w:val="24"/>
          <w:lang w:val="fr-FR"/>
        </w:rPr>
        <w:t>ménagers du secteur</w:t>
      </w:r>
      <w:r>
        <w:rPr>
          <w:caps/>
          <w:sz w:val="24"/>
          <w:lang w:val="fr-FR"/>
        </w:rPr>
        <w:t xml:space="preserve"> informel en afrique du sud</w:t>
      </w:r>
    </w:p>
    <w:p w:rsidR="0008183D" w:rsidRPr="004F530C" w:rsidRDefault="0008183D" w:rsidP="008B2CC1">
      <w:pPr>
        <w:rPr>
          <w:caps/>
          <w:sz w:val="24"/>
          <w:lang w:val="fr-FR"/>
        </w:rPr>
      </w:pPr>
    </w:p>
    <w:p w:rsidR="0008183D" w:rsidRPr="004F530C" w:rsidRDefault="0008183D" w:rsidP="0062744F">
      <w:pPr>
        <w:rPr>
          <w:rFonts w:eastAsia="Times New Roman"/>
          <w:i/>
          <w:color w:val="000000"/>
          <w:lang w:val="fr-FR"/>
        </w:rPr>
      </w:pPr>
      <w:bookmarkStart w:id="4" w:name="Prepared"/>
      <w:bookmarkEnd w:id="4"/>
      <w:r w:rsidRPr="004F530C">
        <w:rPr>
          <w:i/>
          <w:lang w:val="fr-FR"/>
        </w:rPr>
        <w:t xml:space="preserve">Document établi par </w:t>
      </w:r>
      <w:r>
        <w:rPr>
          <w:i/>
          <w:lang w:val="fr-FR"/>
        </w:rPr>
        <w:t>Mme </w:t>
      </w:r>
      <w:r w:rsidR="007A7128">
        <w:rPr>
          <w:rFonts w:eastAsia="Times New Roman"/>
          <w:i/>
          <w:color w:val="000000"/>
          <w:lang w:val="fr-FR"/>
        </w:rPr>
        <w:t>Erika </w:t>
      </w:r>
      <w:proofErr w:type="spellStart"/>
      <w:r w:rsidRPr="004F530C">
        <w:rPr>
          <w:rFonts w:eastAsia="Times New Roman"/>
          <w:i/>
          <w:color w:val="000000"/>
          <w:lang w:val="fr-FR"/>
        </w:rPr>
        <w:t>Kraemer</w:t>
      </w:r>
      <w:r w:rsidR="007A7128">
        <w:rPr>
          <w:rFonts w:eastAsia="Times New Roman"/>
          <w:i/>
          <w:color w:val="000000"/>
          <w:lang w:val="fr-FR"/>
        </w:rPr>
        <w:noBreakHyphen/>
      </w:r>
      <w:r w:rsidRPr="004F530C">
        <w:rPr>
          <w:rFonts w:eastAsia="Times New Roman"/>
          <w:i/>
          <w:color w:val="000000"/>
          <w:lang w:val="fr-FR"/>
        </w:rPr>
        <w:t>Mbula</w:t>
      </w:r>
      <w:proofErr w:type="spellEnd"/>
      <w:r w:rsidRPr="004F530C">
        <w:rPr>
          <w:rFonts w:eastAsia="Times New Roman"/>
          <w:i/>
          <w:color w:val="000000"/>
          <w:lang w:val="fr-FR"/>
        </w:rPr>
        <w:t>, maître de conférences et chargée de recherche</w:t>
      </w:r>
      <w:r>
        <w:rPr>
          <w:rFonts w:eastAsia="Times New Roman"/>
          <w:i/>
          <w:color w:val="000000"/>
          <w:lang w:val="fr-FR"/>
        </w:rPr>
        <w:t>, Institut de recherche économique en matière d</w:t>
      </w:r>
      <w:r w:rsidR="007A7128">
        <w:rPr>
          <w:rFonts w:eastAsia="Times New Roman"/>
          <w:i/>
          <w:color w:val="000000"/>
          <w:lang w:val="fr-FR"/>
        </w:rPr>
        <w:t>’</w:t>
      </w:r>
      <w:r>
        <w:rPr>
          <w:rFonts w:eastAsia="Times New Roman"/>
          <w:i/>
          <w:color w:val="000000"/>
          <w:lang w:val="fr-FR"/>
        </w:rPr>
        <w:t>innovation (</w:t>
      </w:r>
      <w:r w:rsidRPr="008D4187">
        <w:rPr>
          <w:rFonts w:eastAsia="Times New Roman"/>
          <w:color w:val="000000"/>
          <w:lang w:val="fr-FR"/>
        </w:rPr>
        <w:t xml:space="preserve">Institute for </w:t>
      </w:r>
      <w:proofErr w:type="spellStart"/>
      <w:r w:rsidRPr="008D4187">
        <w:rPr>
          <w:rFonts w:eastAsia="Times New Roman"/>
          <w:color w:val="000000"/>
          <w:lang w:val="fr-FR"/>
        </w:rPr>
        <w:t>Economic</w:t>
      </w:r>
      <w:proofErr w:type="spellEnd"/>
      <w:r w:rsidRPr="008D4187">
        <w:rPr>
          <w:rFonts w:eastAsia="Times New Roman"/>
          <w:color w:val="000000"/>
          <w:lang w:val="fr-FR"/>
        </w:rPr>
        <w:t xml:space="preserve"> </w:t>
      </w:r>
      <w:proofErr w:type="spellStart"/>
      <w:r w:rsidRPr="008D4187">
        <w:rPr>
          <w:rFonts w:eastAsia="Times New Roman"/>
          <w:color w:val="000000"/>
          <w:lang w:val="fr-FR"/>
        </w:rPr>
        <w:t>Research</w:t>
      </w:r>
      <w:proofErr w:type="spellEnd"/>
      <w:r w:rsidRPr="008D4187">
        <w:rPr>
          <w:rFonts w:eastAsia="Times New Roman"/>
          <w:color w:val="000000"/>
          <w:lang w:val="fr-FR"/>
        </w:rPr>
        <w:t xml:space="preserve"> on Innovation</w:t>
      </w:r>
      <w:r>
        <w:rPr>
          <w:rFonts w:eastAsia="Times New Roman"/>
          <w:i/>
          <w:color w:val="000000"/>
          <w:lang w:val="fr-FR"/>
        </w:rPr>
        <w:t>) (</w:t>
      </w:r>
      <w:r w:rsidRPr="004F530C">
        <w:rPr>
          <w:rFonts w:eastAsia="Times New Roman"/>
          <w:i/>
          <w:color w:val="000000"/>
          <w:lang w:val="fr-FR"/>
        </w:rPr>
        <w:t>IERI)</w:t>
      </w:r>
      <w:r>
        <w:rPr>
          <w:rFonts w:eastAsia="Times New Roman"/>
          <w:i/>
          <w:color w:val="000000"/>
          <w:lang w:val="fr-FR"/>
        </w:rPr>
        <w:t xml:space="preserve">, Université de technologie de </w:t>
      </w:r>
      <w:proofErr w:type="spellStart"/>
      <w:r>
        <w:rPr>
          <w:rFonts w:eastAsia="Times New Roman"/>
          <w:i/>
          <w:color w:val="000000"/>
          <w:lang w:val="fr-FR"/>
        </w:rPr>
        <w:t>Tshwane</w:t>
      </w:r>
      <w:proofErr w:type="spellEnd"/>
      <w:r>
        <w:rPr>
          <w:rFonts w:eastAsia="Times New Roman"/>
          <w:i/>
          <w:color w:val="000000"/>
          <w:lang w:val="fr-FR"/>
        </w:rPr>
        <w:t xml:space="preserve"> </w:t>
      </w:r>
      <w:r w:rsidR="007A7128">
        <w:rPr>
          <w:rFonts w:eastAsia="Times New Roman"/>
          <w:i/>
          <w:color w:val="000000"/>
          <w:lang w:val="fr-FR"/>
        </w:rPr>
        <w:t>(Afrique du Sud), et M. Vincent </w:t>
      </w:r>
      <w:r>
        <w:rPr>
          <w:rFonts w:eastAsia="Times New Roman"/>
          <w:i/>
          <w:color w:val="000000"/>
          <w:lang w:val="fr-FR"/>
        </w:rPr>
        <w:t xml:space="preserve">Tau, directeur de station technologique, Station </w:t>
      </w:r>
      <w:r w:rsidRPr="00F7615A">
        <w:rPr>
          <w:rFonts w:eastAsia="Times New Roman"/>
          <w:i/>
          <w:color w:val="000000"/>
          <w:lang w:val="fr-FR"/>
        </w:rPr>
        <w:t>technologique pour les produits</w:t>
      </w:r>
      <w:r>
        <w:rPr>
          <w:rFonts w:eastAsia="Times New Roman"/>
          <w:i/>
          <w:color w:val="000000"/>
          <w:lang w:val="fr-FR"/>
        </w:rPr>
        <w:t xml:space="preserve"> chimiques, Université de technologie de </w:t>
      </w:r>
      <w:proofErr w:type="spellStart"/>
      <w:r>
        <w:rPr>
          <w:rFonts w:eastAsia="Times New Roman"/>
          <w:i/>
          <w:color w:val="000000"/>
          <w:lang w:val="fr-FR"/>
        </w:rPr>
        <w:t>Tshwane</w:t>
      </w:r>
      <w:proofErr w:type="spellEnd"/>
      <w:r>
        <w:rPr>
          <w:rFonts w:eastAsia="Times New Roman"/>
          <w:i/>
          <w:color w:val="000000"/>
          <w:lang w:val="fr-FR"/>
        </w:rPr>
        <w:t xml:space="preserve"> (Afrique du Sud).</w:t>
      </w:r>
    </w:p>
    <w:p w:rsidR="0008183D" w:rsidRPr="004F530C" w:rsidRDefault="0008183D" w:rsidP="008B2CC1">
      <w:pPr>
        <w:rPr>
          <w:i/>
          <w:lang w:val="fr-FR"/>
        </w:rPr>
      </w:pPr>
    </w:p>
    <w:p w:rsidR="0008183D" w:rsidRPr="004F530C" w:rsidRDefault="0008183D">
      <w:pPr>
        <w:rPr>
          <w:lang w:val="fr-FR"/>
        </w:rPr>
      </w:pPr>
    </w:p>
    <w:p w:rsidR="0008183D" w:rsidRPr="004F530C" w:rsidRDefault="0008183D" w:rsidP="0062744F">
      <w:pPr>
        <w:tabs>
          <w:tab w:val="left" w:pos="567"/>
        </w:tabs>
        <w:autoSpaceDE w:val="0"/>
        <w:autoSpaceDN w:val="0"/>
        <w:adjustRightInd w:val="0"/>
        <w:rPr>
          <w:rFonts w:eastAsia="Times New Roman"/>
          <w:color w:val="000000"/>
          <w:sz w:val="24"/>
          <w:szCs w:val="24"/>
          <w:lang w:val="fr-FR"/>
        </w:rPr>
      </w:pPr>
    </w:p>
    <w:p w:rsidR="0008183D" w:rsidRPr="004F530C" w:rsidRDefault="0008183D" w:rsidP="0062744F">
      <w:pPr>
        <w:tabs>
          <w:tab w:val="left" w:pos="567"/>
        </w:tabs>
        <w:autoSpaceDE w:val="0"/>
        <w:autoSpaceDN w:val="0"/>
        <w:adjustRightInd w:val="0"/>
        <w:rPr>
          <w:rFonts w:eastAsia="Times New Roman"/>
          <w:color w:val="000000"/>
          <w:sz w:val="24"/>
          <w:szCs w:val="24"/>
          <w:lang w:val="fr-FR"/>
        </w:rPr>
      </w:pPr>
    </w:p>
    <w:p w:rsidR="0008183D" w:rsidRPr="004F530C" w:rsidRDefault="0008183D" w:rsidP="0062744F">
      <w:pPr>
        <w:tabs>
          <w:tab w:val="left" w:pos="567"/>
        </w:tabs>
        <w:autoSpaceDE w:val="0"/>
        <w:autoSpaceDN w:val="0"/>
        <w:adjustRightInd w:val="0"/>
        <w:rPr>
          <w:rFonts w:eastAsia="Times New Roman"/>
          <w:color w:val="000000"/>
          <w:sz w:val="24"/>
          <w:szCs w:val="24"/>
          <w:lang w:val="fr-FR"/>
        </w:rPr>
      </w:pPr>
    </w:p>
    <w:p w:rsidR="0008183D" w:rsidRPr="004F530C" w:rsidRDefault="0008183D" w:rsidP="0062744F">
      <w:pPr>
        <w:tabs>
          <w:tab w:val="left" w:pos="567"/>
        </w:tabs>
        <w:autoSpaceDE w:val="0"/>
        <w:autoSpaceDN w:val="0"/>
        <w:adjustRightInd w:val="0"/>
        <w:rPr>
          <w:rFonts w:eastAsia="Times New Roman"/>
          <w:color w:val="000000"/>
          <w:szCs w:val="22"/>
          <w:lang w:val="fr-FR"/>
        </w:rPr>
      </w:pPr>
      <w:r w:rsidRPr="004F530C">
        <w:rPr>
          <w:rFonts w:eastAsia="Times New Roman"/>
          <w:color w:val="000000"/>
          <w:sz w:val="24"/>
          <w:szCs w:val="24"/>
          <w:lang w:val="fr-FR"/>
        </w:rPr>
        <w:t>1.</w:t>
      </w:r>
      <w:r w:rsidRPr="004F530C">
        <w:rPr>
          <w:rFonts w:eastAsia="Times New Roman"/>
          <w:color w:val="000000"/>
          <w:sz w:val="24"/>
          <w:szCs w:val="24"/>
          <w:lang w:val="fr-FR"/>
        </w:rPr>
        <w:tab/>
      </w:r>
      <w:r w:rsidRPr="004F530C">
        <w:rPr>
          <w:rFonts w:eastAsia="Times New Roman"/>
          <w:color w:val="000000"/>
          <w:szCs w:val="22"/>
          <w:lang w:val="fr-FR"/>
        </w:rPr>
        <w:t>L</w:t>
      </w:r>
      <w:r w:rsidR="007A7128">
        <w:rPr>
          <w:rFonts w:eastAsia="Times New Roman"/>
          <w:color w:val="000000"/>
          <w:szCs w:val="22"/>
          <w:lang w:val="fr-FR"/>
        </w:rPr>
        <w:t>’</w:t>
      </w:r>
      <w:r w:rsidRPr="004F530C">
        <w:rPr>
          <w:rFonts w:eastAsia="Times New Roman"/>
          <w:color w:val="000000"/>
          <w:szCs w:val="22"/>
          <w:lang w:val="fr-FR"/>
        </w:rPr>
        <w:t>annexe du présent document contient un résumé de l</w:t>
      </w:r>
      <w:r w:rsidR="007A7128">
        <w:rPr>
          <w:rFonts w:eastAsia="Times New Roman"/>
          <w:color w:val="000000"/>
          <w:szCs w:val="22"/>
          <w:lang w:val="fr-FR"/>
        </w:rPr>
        <w:t>’</w:t>
      </w:r>
      <w:r>
        <w:rPr>
          <w:rFonts w:eastAsia="Times New Roman"/>
          <w:color w:val="000000"/>
          <w:szCs w:val="22"/>
          <w:lang w:val="fr-FR"/>
        </w:rPr>
        <w:t>Étude sur l</w:t>
      </w:r>
      <w:r w:rsidR="007A7128">
        <w:rPr>
          <w:rFonts w:eastAsia="Times New Roman"/>
          <w:color w:val="000000"/>
          <w:szCs w:val="22"/>
          <w:lang w:val="fr-FR"/>
        </w:rPr>
        <w:t>’</w:t>
      </w:r>
      <w:r>
        <w:rPr>
          <w:rFonts w:eastAsia="Times New Roman"/>
          <w:color w:val="000000"/>
          <w:szCs w:val="22"/>
          <w:lang w:val="fr-FR"/>
        </w:rPr>
        <w:t>innovation, la propriété intellectuelle et l</w:t>
      </w:r>
      <w:r w:rsidR="007A7128">
        <w:rPr>
          <w:rFonts w:eastAsia="Times New Roman"/>
          <w:color w:val="000000"/>
          <w:szCs w:val="22"/>
          <w:lang w:val="fr-FR"/>
        </w:rPr>
        <w:t>’</w:t>
      </w:r>
      <w:r>
        <w:rPr>
          <w:rFonts w:eastAsia="Times New Roman"/>
          <w:color w:val="000000"/>
          <w:szCs w:val="22"/>
          <w:lang w:val="fr-FR"/>
        </w:rPr>
        <w:t>économie informelle en Afrique du Sud, réalisée dans le cadre du Projet sur la propriété intellectuelle et l</w:t>
      </w:r>
      <w:r w:rsidR="007A7128">
        <w:rPr>
          <w:rFonts w:eastAsia="Times New Roman"/>
          <w:color w:val="000000"/>
          <w:szCs w:val="22"/>
          <w:lang w:val="fr-FR"/>
        </w:rPr>
        <w:t>’</w:t>
      </w:r>
      <w:r>
        <w:rPr>
          <w:rFonts w:eastAsia="Times New Roman"/>
          <w:color w:val="000000"/>
          <w:szCs w:val="22"/>
          <w:lang w:val="fr-FR"/>
        </w:rPr>
        <w:t>économie informelle (</w:t>
      </w:r>
      <w:r w:rsidRPr="004F530C">
        <w:rPr>
          <w:rFonts w:eastAsia="Times New Roman"/>
          <w:color w:val="000000"/>
          <w:lang w:val="fr-FR"/>
        </w:rPr>
        <w:t>CDIP/8/3</w:t>
      </w:r>
      <w:r>
        <w:rPr>
          <w:rFonts w:eastAsia="Times New Roman"/>
          <w:color w:val="000000"/>
          <w:szCs w:val="22"/>
          <w:lang w:val="fr-FR"/>
        </w:rPr>
        <w:t>), approuvé par le Comité du développement et de la propriété intellectuelle (CDIP) à sa huitième</w:t>
      </w:r>
      <w:r w:rsidR="00610EA7">
        <w:rPr>
          <w:rFonts w:eastAsia="Times New Roman"/>
          <w:color w:val="000000"/>
          <w:szCs w:val="22"/>
          <w:lang w:val="fr-FR"/>
        </w:rPr>
        <w:t> </w:t>
      </w:r>
      <w:r>
        <w:rPr>
          <w:rFonts w:eastAsia="Times New Roman"/>
          <w:color w:val="000000"/>
          <w:szCs w:val="22"/>
          <w:lang w:val="fr-FR"/>
        </w:rPr>
        <w:t>session, tenue en novembre 2011</w:t>
      </w:r>
      <w:r w:rsidRPr="004F530C">
        <w:rPr>
          <w:lang w:val="fr-FR"/>
        </w:rPr>
        <w:t>.</w:t>
      </w:r>
    </w:p>
    <w:p w:rsidR="0008183D" w:rsidRPr="004F530C" w:rsidRDefault="0008183D" w:rsidP="0062744F">
      <w:pPr>
        <w:autoSpaceDE w:val="0"/>
        <w:autoSpaceDN w:val="0"/>
        <w:adjustRightInd w:val="0"/>
        <w:rPr>
          <w:rFonts w:eastAsia="Times New Roman"/>
          <w:color w:val="000000"/>
          <w:lang w:val="fr-FR"/>
        </w:rPr>
      </w:pPr>
    </w:p>
    <w:p w:rsidR="0008183D" w:rsidRPr="00CB2341" w:rsidRDefault="0008183D" w:rsidP="0062744F">
      <w:pPr>
        <w:ind w:left="4550" w:hanging="14"/>
        <w:rPr>
          <w:i/>
          <w:lang w:val="fr-FR"/>
        </w:rPr>
      </w:pPr>
      <w:r w:rsidRPr="00CB2341">
        <w:rPr>
          <w:i/>
          <w:lang w:val="fr-FR"/>
        </w:rPr>
        <w:t>2.</w:t>
      </w:r>
      <w:r w:rsidRPr="00CB2341">
        <w:rPr>
          <w:i/>
          <w:lang w:val="fr-FR"/>
        </w:rPr>
        <w:tab/>
      </w:r>
      <w:r>
        <w:rPr>
          <w:i/>
          <w:lang w:val="fr-FR"/>
        </w:rPr>
        <w:t>Le CDIP est invité à prendre note des informations contenues dans l</w:t>
      </w:r>
      <w:r w:rsidR="007A7128">
        <w:rPr>
          <w:i/>
          <w:lang w:val="fr-FR"/>
        </w:rPr>
        <w:t>’</w:t>
      </w:r>
      <w:r>
        <w:rPr>
          <w:i/>
          <w:lang w:val="fr-FR"/>
        </w:rPr>
        <w:t>annexe du présent document.</w:t>
      </w:r>
    </w:p>
    <w:p w:rsidR="0008183D" w:rsidRPr="00CB2341" w:rsidRDefault="0008183D" w:rsidP="0062744F">
      <w:pPr>
        <w:rPr>
          <w:lang w:val="fr-FR"/>
        </w:rPr>
      </w:pPr>
    </w:p>
    <w:p w:rsidR="0008183D" w:rsidRPr="00CB2341" w:rsidRDefault="0008183D" w:rsidP="0062744F">
      <w:pPr>
        <w:rPr>
          <w:lang w:val="fr-FR"/>
        </w:rPr>
      </w:pPr>
    </w:p>
    <w:p w:rsidR="0008183D" w:rsidRPr="00CB2341" w:rsidRDefault="0008183D" w:rsidP="0062744F">
      <w:pPr>
        <w:rPr>
          <w:lang w:val="fr-FR"/>
        </w:rPr>
      </w:pPr>
    </w:p>
    <w:p w:rsidR="0008183D" w:rsidRPr="000659D4" w:rsidRDefault="0008183D" w:rsidP="0062744F">
      <w:pPr>
        <w:ind w:left="5103" w:hanging="567"/>
        <w:rPr>
          <w:i/>
          <w:lang w:val="fr-FR"/>
        </w:rPr>
      </w:pPr>
      <w:r w:rsidRPr="000659D4">
        <w:rPr>
          <w:lang w:val="fr-FR"/>
        </w:rPr>
        <w:t>[L</w:t>
      </w:r>
      <w:r w:rsidR="007A7128">
        <w:rPr>
          <w:lang w:val="fr-FR"/>
        </w:rPr>
        <w:t>’</w:t>
      </w:r>
      <w:r w:rsidRPr="000659D4">
        <w:rPr>
          <w:lang w:val="fr-FR"/>
        </w:rPr>
        <w:t>annexe suit]</w:t>
      </w:r>
    </w:p>
    <w:p w:rsidR="0008183D" w:rsidRPr="000659D4" w:rsidRDefault="0008183D" w:rsidP="0062744F">
      <w:pPr>
        <w:rPr>
          <w:lang w:val="fr-FR"/>
        </w:rPr>
        <w:sectPr w:rsidR="0008183D" w:rsidRPr="000659D4" w:rsidSect="007A7128">
          <w:headerReference w:type="default" r:id="rId15"/>
          <w:footerReference w:type="first" r:id="rId16"/>
          <w:endnotePr>
            <w:numFmt w:val="decimal"/>
          </w:endnotePr>
          <w:pgSz w:w="11907" w:h="16840" w:code="9"/>
          <w:pgMar w:top="567" w:right="1134" w:bottom="1418" w:left="1418" w:header="510" w:footer="1021" w:gutter="0"/>
          <w:cols w:space="720"/>
          <w:titlePg/>
          <w:docGrid w:linePitch="299"/>
        </w:sectPr>
      </w:pPr>
    </w:p>
    <w:p w:rsidR="0008183D" w:rsidRPr="000659D4" w:rsidRDefault="0008183D" w:rsidP="0062744F">
      <w:pPr>
        <w:pStyle w:val="Heading1"/>
        <w:rPr>
          <w:lang w:val="fr-FR" w:eastAsia="en-US"/>
        </w:rPr>
      </w:pPr>
      <w:bookmarkStart w:id="5" w:name="_Toc381087984"/>
      <w:r w:rsidRPr="000659D4">
        <w:rPr>
          <w:lang w:val="fr-FR" w:eastAsia="en-US"/>
        </w:rPr>
        <w:lastRenderedPageBreak/>
        <w:t>résumé</w:t>
      </w:r>
      <w:bookmarkEnd w:id="5"/>
    </w:p>
    <w:p w:rsidR="0008183D" w:rsidRPr="000659D4" w:rsidRDefault="0008183D" w:rsidP="0062744F">
      <w:pPr>
        <w:rPr>
          <w:b/>
          <w:szCs w:val="22"/>
          <w:lang w:val="fr-FR"/>
        </w:rPr>
      </w:pPr>
    </w:p>
    <w:p w:rsidR="0008183D" w:rsidRPr="00F7615A" w:rsidRDefault="0008183D" w:rsidP="0062744F">
      <w:pPr>
        <w:spacing w:after="120"/>
        <w:rPr>
          <w:color w:val="000000"/>
          <w:szCs w:val="22"/>
          <w:lang w:val="fr-FR"/>
        </w:rPr>
      </w:pPr>
      <w:r w:rsidRPr="000659D4">
        <w:rPr>
          <w:color w:val="000000"/>
          <w:szCs w:val="22"/>
          <w:lang w:val="fr-FR"/>
        </w:rPr>
        <w:t>Tandis que l</w:t>
      </w:r>
      <w:r w:rsidR="007A7128">
        <w:rPr>
          <w:color w:val="000000"/>
          <w:szCs w:val="22"/>
          <w:lang w:val="fr-FR"/>
        </w:rPr>
        <w:t>’</w:t>
      </w:r>
      <w:r w:rsidRPr="000659D4">
        <w:rPr>
          <w:color w:val="000000"/>
          <w:szCs w:val="22"/>
          <w:lang w:val="fr-FR"/>
        </w:rPr>
        <w:t xml:space="preserve">Afrique du Sud </w:t>
      </w:r>
      <w:r>
        <w:rPr>
          <w:color w:val="000000"/>
          <w:szCs w:val="22"/>
          <w:lang w:val="fr-FR"/>
        </w:rPr>
        <w:t>représente une part non négligeable</w:t>
      </w:r>
      <w:r w:rsidR="00291E23">
        <w:rPr>
          <w:color w:val="000000"/>
          <w:szCs w:val="22"/>
          <w:lang w:val="fr-FR"/>
        </w:rPr>
        <w:t xml:space="preserve"> du PIB</w:t>
      </w:r>
      <w:r>
        <w:rPr>
          <w:color w:val="000000"/>
          <w:szCs w:val="22"/>
          <w:lang w:val="fr-FR"/>
        </w:rPr>
        <w:t xml:space="preserve"> global de l</w:t>
      </w:r>
      <w:r w:rsidR="007A7128">
        <w:rPr>
          <w:color w:val="000000"/>
          <w:szCs w:val="22"/>
          <w:lang w:val="fr-FR"/>
        </w:rPr>
        <w:t>’</w:t>
      </w:r>
      <w:r>
        <w:rPr>
          <w:color w:val="000000"/>
          <w:szCs w:val="22"/>
          <w:lang w:val="fr-FR"/>
        </w:rPr>
        <w:t xml:space="preserve">Afrique, les progrès économiques </w:t>
      </w:r>
      <w:r w:rsidRPr="00F7615A">
        <w:rPr>
          <w:color w:val="000000"/>
          <w:szCs w:val="22"/>
          <w:lang w:val="fr-FR"/>
        </w:rPr>
        <w:t>du pays sont entravés par son incapacité de réduire les séquelles de l</w:t>
      </w:r>
      <w:r w:rsidR="007A7128">
        <w:rPr>
          <w:color w:val="000000"/>
          <w:szCs w:val="22"/>
          <w:lang w:val="fr-FR"/>
        </w:rPr>
        <w:t>’</w:t>
      </w:r>
      <w:r w:rsidRPr="00F7615A">
        <w:rPr>
          <w:color w:val="000000"/>
          <w:szCs w:val="22"/>
          <w:lang w:val="fr-FR"/>
        </w:rPr>
        <w:t>apartheid et de remédier aux inégalités persistantes.  La répartition des revenus en Afrique du Sud est à l</w:t>
      </w:r>
      <w:r w:rsidR="007A7128">
        <w:rPr>
          <w:color w:val="000000"/>
          <w:szCs w:val="22"/>
          <w:lang w:val="fr-FR"/>
        </w:rPr>
        <w:t>’</w:t>
      </w:r>
      <w:r w:rsidRPr="00F7615A">
        <w:rPr>
          <w:color w:val="000000"/>
          <w:szCs w:val="22"/>
          <w:lang w:val="fr-FR"/>
        </w:rPr>
        <w:t>heure actuelle l</w:t>
      </w:r>
      <w:r w:rsidR="007A7128">
        <w:rPr>
          <w:color w:val="000000"/>
          <w:szCs w:val="22"/>
          <w:lang w:val="fr-FR"/>
        </w:rPr>
        <w:t>’</w:t>
      </w:r>
      <w:r w:rsidRPr="00F7615A">
        <w:rPr>
          <w:color w:val="000000"/>
          <w:szCs w:val="22"/>
          <w:lang w:val="fr-FR"/>
        </w:rPr>
        <w:t>une des plus inégales au monde et les disparités entre les riches et les pauvres se sont aggravées au cours des dernières décennies.  Dans un environnement économique caractérisé par la persistance d</w:t>
      </w:r>
      <w:r w:rsidR="007A7128">
        <w:rPr>
          <w:color w:val="000000"/>
          <w:szCs w:val="22"/>
          <w:lang w:val="fr-FR"/>
        </w:rPr>
        <w:t>’</w:t>
      </w:r>
      <w:r w:rsidRPr="00F7615A">
        <w:rPr>
          <w:color w:val="000000"/>
          <w:szCs w:val="22"/>
          <w:lang w:val="fr-FR"/>
        </w:rPr>
        <w:t>un chômage élevé dans le secteur structuré, en particulier chez les jeunes, l</w:t>
      </w:r>
      <w:r w:rsidR="007A7128">
        <w:rPr>
          <w:color w:val="000000"/>
          <w:szCs w:val="22"/>
          <w:lang w:val="fr-FR"/>
        </w:rPr>
        <w:t>’</w:t>
      </w:r>
      <w:r w:rsidRPr="00F7615A">
        <w:rPr>
          <w:color w:val="000000"/>
          <w:szCs w:val="22"/>
          <w:lang w:val="fr-FR"/>
        </w:rPr>
        <w:t>économie informelle continue de fournir des possibilités de revenu à une partie importante de la population sud</w:t>
      </w:r>
      <w:r w:rsidR="007A7128">
        <w:rPr>
          <w:color w:val="000000"/>
          <w:szCs w:val="22"/>
          <w:lang w:val="fr-FR"/>
        </w:rPr>
        <w:noBreakHyphen/>
      </w:r>
      <w:r w:rsidRPr="00F7615A">
        <w:rPr>
          <w:color w:val="000000"/>
          <w:szCs w:val="22"/>
          <w:lang w:val="fr-FR"/>
        </w:rPr>
        <w:t xml:space="preserve">africaine.  La transformation à terme du pays passe par sa capacité de relier la croissance économique relativement plus rapide de la </w:t>
      </w:r>
      <w:r w:rsidR="007A7128">
        <w:rPr>
          <w:color w:val="000000"/>
          <w:szCs w:val="22"/>
          <w:lang w:val="fr-FR"/>
        </w:rPr>
        <w:t>“</w:t>
      </w:r>
      <w:r w:rsidRPr="00F7615A">
        <w:rPr>
          <w:color w:val="000000"/>
          <w:szCs w:val="22"/>
          <w:lang w:val="fr-FR"/>
        </w:rPr>
        <w:t>première</w:t>
      </w:r>
      <w:r w:rsidR="007A7128">
        <w:rPr>
          <w:color w:val="000000"/>
          <w:szCs w:val="22"/>
          <w:lang w:val="fr-FR"/>
        </w:rPr>
        <w:t>”</w:t>
      </w:r>
      <w:r w:rsidRPr="00F7615A">
        <w:rPr>
          <w:color w:val="000000"/>
          <w:szCs w:val="22"/>
          <w:lang w:val="fr-FR"/>
        </w:rPr>
        <w:t xml:space="preserve"> économie (l</w:t>
      </w:r>
      <w:r w:rsidR="007A7128">
        <w:rPr>
          <w:color w:val="000000"/>
          <w:szCs w:val="22"/>
          <w:lang w:val="fr-FR"/>
        </w:rPr>
        <w:t>’</w:t>
      </w:r>
      <w:r w:rsidRPr="00F7615A">
        <w:rPr>
          <w:color w:val="000000"/>
          <w:szCs w:val="22"/>
          <w:lang w:val="fr-FR"/>
        </w:rPr>
        <w:t xml:space="preserve">économie structurée) au développement de la </w:t>
      </w:r>
      <w:r w:rsidR="007A7128">
        <w:rPr>
          <w:color w:val="000000"/>
          <w:szCs w:val="22"/>
          <w:lang w:val="fr-FR"/>
        </w:rPr>
        <w:t>“</w:t>
      </w:r>
      <w:r w:rsidRPr="00F7615A">
        <w:rPr>
          <w:color w:val="000000"/>
          <w:szCs w:val="22"/>
          <w:lang w:val="fr-FR"/>
        </w:rPr>
        <w:t>deuxième</w:t>
      </w:r>
      <w:r w:rsidR="007A7128">
        <w:rPr>
          <w:color w:val="000000"/>
          <w:szCs w:val="22"/>
          <w:lang w:val="fr-FR"/>
        </w:rPr>
        <w:t>”</w:t>
      </w:r>
      <w:r w:rsidRPr="00F7615A">
        <w:rPr>
          <w:color w:val="000000"/>
          <w:szCs w:val="22"/>
          <w:lang w:val="fr-FR"/>
        </w:rPr>
        <w:t xml:space="preserve"> économie (pour l</w:t>
      </w:r>
      <w:r w:rsidR="007A7128">
        <w:rPr>
          <w:color w:val="000000"/>
          <w:szCs w:val="22"/>
          <w:lang w:val="fr-FR"/>
        </w:rPr>
        <w:t>’</w:t>
      </w:r>
      <w:r w:rsidRPr="00F7615A">
        <w:rPr>
          <w:color w:val="000000"/>
          <w:szCs w:val="22"/>
          <w:lang w:val="fr-FR"/>
        </w:rPr>
        <w:t>essentiel le secteur informel).</w:t>
      </w:r>
    </w:p>
    <w:p w:rsidR="0008183D" w:rsidRPr="00F7615A" w:rsidRDefault="0008183D" w:rsidP="0062744F">
      <w:pPr>
        <w:spacing w:after="120"/>
        <w:rPr>
          <w:color w:val="000000"/>
          <w:szCs w:val="22"/>
          <w:lang w:val="fr-FR"/>
        </w:rPr>
      </w:pPr>
      <w:r w:rsidRPr="00F7615A">
        <w:rPr>
          <w:color w:val="000000"/>
          <w:szCs w:val="22"/>
          <w:lang w:val="fr-FR"/>
        </w:rPr>
        <w:t>Le présent rapport porte principalement sur la fabrication des produits cosmétiques et ménagers dans le secteur informel, en vue d</w:t>
      </w:r>
      <w:r w:rsidR="007A7128">
        <w:rPr>
          <w:color w:val="000000"/>
          <w:szCs w:val="22"/>
          <w:lang w:val="fr-FR"/>
        </w:rPr>
        <w:t>’</w:t>
      </w:r>
      <w:r w:rsidRPr="00F7615A">
        <w:rPr>
          <w:color w:val="000000"/>
          <w:szCs w:val="22"/>
          <w:lang w:val="fr-FR"/>
        </w:rPr>
        <w:t>étudier les possibilités d</w:t>
      </w:r>
      <w:r w:rsidR="007A7128">
        <w:rPr>
          <w:color w:val="000000"/>
          <w:szCs w:val="22"/>
          <w:lang w:val="fr-FR"/>
        </w:rPr>
        <w:t>’</w:t>
      </w:r>
      <w:r w:rsidRPr="00F7615A">
        <w:rPr>
          <w:color w:val="000000"/>
          <w:szCs w:val="22"/>
          <w:lang w:val="fr-FR"/>
        </w:rPr>
        <w:t>activités innovantes dans l</w:t>
      </w:r>
      <w:r w:rsidR="007A7128">
        <w:rPr>
          <w:color w:val="000000"/>
          <w:szCs w:val="22"/>
          <w:lang w:val="fr-FR"/>
        </w:rPr>
        <w:t>’</w:t>
      </w:r>
      <w:r w:rsidRPr="00F7615A">
        <w:rPr>
          <w:color w:val="000000"/>
          <w:szCs w:val="22"/>
          <w:lang w:val="fr-FR"/>
        </w:rPr>
        <w:t>économie non structurée, ainsi que sur le rôle de la propriété intellectuelle dans ce contexte.  La gamme des produits manufacturés faisant l</w:t>
      </w:r>
      <w:r w:rsidR="007A7128">
        <w:rPr>
          <w:color w:val="000000"/>
          <w:szCs w:val="22"/>
          <w:lang w:val="fr-FR"/>
        </w:rPr>
        <w:t>’</w:t>
      </w:r>
      <w:r w:rsidRPr="00F7615A">
        <w:rPr>
          <w:color w:val="000000"/>
          <w:szCs w:val="22"/>
          <w:lang w:val="fr-FR"/>
        </w:rPr>
        <w:t xml:space="preserve">objet de la présente étude </w:t>
      </w:r>
      <w:r w:rsidR="00C4029D">
        <w:rPr>
          <w:color w:val="000000"/>
          <w:szCs w:val="22"/>
          <w:lang w:val="fr-FR"/>
        </w:rPr>
        <w:t>relève</w:t>
      </w:r>
      <w:r w:rsidRPr="00F7615A">
        <w:rPr>
          <w:color w:val="000000"/>
          <w:szCs w:val="22"/>
          <w:lang w:val="fr-FR"/>
        </w:rPr>
        <w:t xml:space="preserve"> du numéro de code 2424 de la Classification internationale type, par industrie, de toutes les branches d</w:t>
      </w:r>
      <w:r w:rsidR="007A7128">
        <w:rPr>
          <w:color w:val="000000"/>
          <w:szCs w:val="22"/>
          <w:lang w:val="fr-FR"/>
        </w:rPr>
        <w:t>’</w:t>
      </w:r>
      <w:r w:rsidRPr="00F7615A">
        <w:rPr>
          <w:color w:val="000000"/>
          <w:szCs w:val="22"/>
          <w:lang w:val="fr-FR"/>
        </w:rPr>
        <w:t xml:space="preserve">activité économique (CITI), </w:t>
      </w:r>
      <w:r w:rsidR="007A7128">
        <w:rPr>
          <w:color w:val="000000"/>
          <w:szCs w:val="22"/>
          <w:lang w:val="fr-FR"/>
        </w:rPr>
        <w:t>“</w:t>
      </w:r>
      <w:r w:rsidRPr="00F7615A">
        <w:rPr>
          <w:bCs/>
          <w:lang w:val="fr-FR"/>
        </w:rPr>
        <w:t>Fabrication de savons et détergents, de produits d</w:t>
      </w:r>
      <w:r w:rsidR="007A7128">
        <w:rPr>
          <w:bCs/>
          <w:lang w:val="fr-FR"/>
        </w:rPr>
        <w:t>’</w:t>
      </w:r>
      <w:r w:rsidRPr="00F7615A">
        <w:rPr>
          <w:bCs/>
          <w:lang w:val="fr-FR"/>
        </w:rPr>
        <w:t>entretien, de parfums et de produits pour la toilette</w:t>
      </w:r>
      <w:r w:rsidR="007A7128">
        <w:rPr>
          <w:color w:val="000000"/>
          <w:szCs w:val="22"/>
          <w:lang w:val="fr-FR"/>
        </w:rPr>
        <w:t>”</w:t>
      </w:r>
      <w:r w:rsidRPr="00F7615A">
        <w:rPr>
          <w:rStyle w:val="FootnoteReference"/>
          <w:rFonts w:cs="Arial"/>
          <w:color w:val="000000"/>
          <w:szCs w:val="22"/>
        </w:rPr>
        <w:footnoteReference w:id="2"/>
      </w:r>
      <w:r w:rsidRPr="00F7615A">
        <w:rPr>
          <w:color w:val="000000"/>
          <w:szCs w:val="22"/>
          <w:lang w:val="fr-FR"/>
        </w:rPr>
        <w:t>, et comprend des produits tels que cosmétiques, parfums, hydratants, produits de soins capillaires, détergents, produits de nettoyage et assimilés.</w:t>
      </w:r>
    </w:p>
    <w:p w:rsidR="0008183D" w:rsidRPr="00F7615A" w:rsidRDefault="0008183D" w:rsidP="0062744F">
      <w:pPr>
        <w:spacing w:after="120"/>
        <w:rPr>
          <w:color w:val="000000"/>
          <w:szCs w:val="22"/>
          <w:lang w:val="fr-FR"/>
        </w:rPr>
      </w:pPr>
      <w:r w:rsidRPr="00F7615A">
        <w:rPr>
          <w:color w:val="000000"/>
          <w:szCs w:val="22"/>
          <w:lang w:val="fr-FR"/>
        </w:rPr>
        <w:t>Le présent rapport reconnaît que l</w:t>
      </w:r>
      <w:r w:rsidR="007A7128">
        <w:rPr>
          <w:color w:val="000000"/>
          <w:szCs w:val="22"/>
          <w:lang w:val="fr-FR"/>
        </w:rPr>
        <w:t>’</w:t>
      </w:r>
      <w:r w:rsidRPr="00F7615A">
        <w:rPr>
          <w:color w:val="000000"/>
          <w:szCs w:val="22"/>
          <w:lang w:val="fr-FR"/>
        </w:rPr>
        <w:t>existence et la croissance continue de l</w:t>
      </w:r>
      <w:r w:rsidR="007A7128">
        <w:rPr>
          <w:color w:val="000000"/>
          <w:szCs w:val="22"/>
          <w:lang w:val="fr-FR"/>
        </w:rPr>
        <w:t>’</w:t>
      </w:r>
      <w:r w:rsidRPr="00F7615A">
        <w:rPr>
          <w:color w:val="000000"/>
          <w:szCs w:val="22"/>
          <w:lang w:val="fr-FR"/>
        </w:rPr>
        <w:t xml:space="preserve">économie informelle en Afrique du Sud </w:t>
      </w:r>
      <w:r w:rsidR="00C4029D">
        <w:rPr>
          <w:color w:val="000000"/>
          <w:szCs w:val="22"/>
          <w:lang w:val="fr-FR"/>
        </w:rPr>
        <w:t>doivent</w:t>
      </w:r>
      <w:r w:rsidRPr="00F7615A">
        <w:rPr>
          <w:color w:val="000000"/>
          <w:szCs w:val="22"/>
          <w:lang w:val="fr-FR"/>
        </w:rPr>
        <w:t xml:space="preserve"> être </w:t>
      </w:r>
      <w:r w:rsidR="00C4029D">
        <w:rPr>
          <w:color w:val="000000"/>
          <w:szCs w:val="22"/>
          <w:lang w:val="fr-FR"/>
        </w:rPr>
        <w:t>interprétées</w:t>
      </w:r>
      <w:r w:rsidRPr="00F7615A">
        <w:rPr>
          <w:color w:val="000000"/>
          <w:szCs w:val="22"/>
          <w:lang w:val="fr-FR"/>
        </w:rPr>
        <w:t xml:space="preserve"> dans le cadre de l</w:t>
      </w:r>
      <w:r w:rsidR="007A7128">
        <w:rPr>
          <w:color w:val="000000"/>
          <w:szCs w:val="22"/>
          <w:lang w:val="fr-FR"/>
        </w:rPr>
        <w:t>’</w:t>
      </w:r>
      <w:r w:rsidRPr="00F7615A">
        <w:rPr>
          <w:color w:val="000000"/>
          <w:szCs w:val="22"/>
          <w:lang w:val="fr-FR"/>
        </w:rPr>
        <w:t>histoire politique particulière à ce pays, qui a façonné les conditions conduisant à l</w:t>
      </w:r>
      <w:r w:rsidR="007A7128">
        <w:rPr>
          <w:color w:val="000000"/>
          <w:szCs w:val="22"/>
          <w:lang w:val="fr-FR"/>
        </w:rPr>
        <w:t>’</w:t>
      </w:r>
      <w:r w:rsidRPr="00F7615A">
        <w:rPr>
          <w:color w:val="000000"/>
          <w:szCs w:val="22"/>
          <w:lang w:val="fr-FR"/>
        </w:rPr>
        <w:t>économie informelle telle qu</w:t>
      </w:r>
      <w:r w:rsidR="007A7128">
        <w:rPr>
          <w:color w:val="000000"/>
          <w:szCs w:val="22"/>
          <w:lang w:val="fr-FR"/>
        </w:rPr>
        <w:t>’</w:t>
      </w:r>
      <w:r w:rsidRPr="00F7615A">
        <w:rPr>
          <w:color w:val="000000"/>
          <w:szCs w:val="22"/>
          <w:lang w:val="fr-FR"/>
        </w:rPr>
        <w:t>elle se présente aujourd</w:t>
      </w:r>
      <w:r w:rsidR="007A7128">
        <w:rPr>
          <w:color w:val="000000"/>
          <w:szCs w:val="22"/>
          <w:lang w:val="fr-FR"/>
        </w:rPr>
        <w:t>’</w:t>
      </w:r>
      <w:r w:rsidRPr="00F7615A">
        <w:rPr>
          <w:color w:val="000000"/>
          <w:szCs w:val="22"/>
          <w:lang w:val="fr-FR"/>
        </w:rPr>
        <w:t>hui.</w:t>
      </w:r>
    </w:p>
    <w:p w:rsidR="0008183D" w:rsidRPr="00F7615A" w:rsidRDefault="0008183D" w:rsidP="0062744F">
      <w:pPr>
        <w:jc w:val="both"/>
        <w:rPr>
          <w:b/>
          <w:szCs w:val="22"/>
          <w:lang w:val="fr-FR"/>
        </w:rPr>
      </w:pPr>
    </w:p>
    <w:p w:rsidR="0008183D" w:rsidRPr="00F7615A" w:rsidRDefault="0008183D" w:rsidP="0062744F">
      <w:pPr>
        <w:jc w:val="both"/>
        <w:rPr>
          <w:b/>
          <w:szCs w:val="22"/>
          <w:lang w:val="fr-FR"/>
        </w:rPr>
      </w:pPr>
    </w:p>
    <w:p w:rsidR="0008183D" w:rsidRPr="00F7615A" w:rsidRDefault="0008183D" w:rsidP="0062744F">
      <w:pPr>
        <w:jc w:val="both"/>
        <w:rPr>
          <w:b/>
          <w:szCs w:val="22"/>
          <w:lang w:val="fr-FR"/>
        </w:rPr>
      </w:pPr>
      <w:r w:rsidRPr="00F7615A">
        <w:rPr>
          <w:b/>
          <w:szCs w:val="22"/>
          <w:lang w:val="fr-FR"/>
        </w:rPr>
        <w:t>Méthodologie</w:t>
      </w:r>
    </w:p>
    <w:p w:rsidR="0008183D" w:rsidRPr="00F7615A" w:rsidRDefault="0008183D" w:rsidP="0062744F">
      <w:pPr>
        <w:spacing w:after="120"/>
        <w:rPr>
          <w:color w:val="000000"/>
          <w:szCs w:val="22"/>
          <w:lang w:val="fr-FR"/>
        </w:rPr>
      </w:pPr>
    </w:p>
    <w:p w:rsidR="0008183D" w:rsidRPr="00F7615A" w:rsidRDefault="0008183D" w:rsidP="0062744F">
      <w:pPr>
        <w:spacing w:after="120"/>
        <w:rPr>
          <w:color w:val="000000"/>
          <w:szCs w:val="22"/>
          <w:lang w:val="fr-FR"/>
        </w:rPr>
      </w:pPr>
      <w:r w:rsidRPr="00F7615A">
        <w:rPr>
          <w:color w:val="000000"/>
          <w:szCs w:val="22"/>
          <w:lang w:val="fr-FR"/>
        </w:rPr>
        <w:t>L</w:t>
      </w:r>
      <w:r w:rsidR="007A7128">
        <w:rPr>
          <w:color w:val="000000"/>
          <w:szCs w:val="22"/>
          <w:lang w:val="fr-FR"/>
        </w:rPr>
        <w:t>’</w:t>
      </w:r>
      <w:r w:rsidRPr="00F7615A">
        <w:rPr>
          <w:color w:val="000000"/>
          <w:szCs w:val="22"/>
          <w:lang w:val="fr-FR"/>
        </w:rPr>
        <w:t>étude adopte une approche systémique pour examiner les activités du secteur informel générées autour de la fabrication des produits cosmétiques et ménagers, et analyse sous tous leurs aspects ces activités dans le cadre du système économique, social et institutionnel plus large au sein duquel opèrent les fabricants du secteur informel.  En établissant la cartographie du système d</w:t>
      </w:r>
      <w:r w:rsidR="007A7128">
        <w:rPr>
          <w:color w:val="000000"/>
          <w:szCs w:val="22"/>
          <w:lang w:val="fr-FR"/>
        </w:rPr>
        <w:t>’</w:t>
      </w:r>
      <w:r w:rsidRPr="00F7615A">
        <w:rPr>
          <w:color w:val="000000"/>
          <w:szCs w:val="22"/>
          <w:lang w:val="fr-FR"/>
        </w:rPr>
        <w:t>innovation autour d</w:t>
      </w:r>
      <w:r w:rsidR="007A7128">
        <w:rPr>
          <w:color w:val="000000"/>
          <w:szCs w:val="22"/>
          <w:lang w:val="fr-FR"/>
        </w:rPr>
        <w:t>’</w:t>
      </w:r>
      <w:r w:rsidRPr="00F7615A">
        <w:rPr>
          <w:color w:val="000000"/>
          <w:szCs w:val="22"/>
          <w:lang w:val="fr-FR"/>
        </w:rPr>
        <w:t>eux, l</w:t>
      </w:r>
      <w:r w:rsidR="007A7128">
        <w:rPr>
          <w:color w:val="000000"/>
          <w:szCs w:val="22"/>
          <w:lang w:val="fr-FR"/>
        </w:rPr>
        <w:t>’</w:t>
      </w:r>
      <w:r w:rsidRPr="00F7615A">
        <w:rPr>
          <w:color w:val="000000"/>
          <w:szCs w:val="22"/>
          <w:lang w:val="fr-FR"/>
        </w:rPr>
        <w:t>étude recense les acteurs</w:t>
      </w:r>
      <w:r w:rsidR="007A7128">
        <w:rPr>
          <w:color w:val="000000"/>
          <w:szCs w:val="22"/>
          <w:lang w:val="fr-FR"/>
        </w:rPr>
        <w:noBreakHyphen/>
      </w:r>
      <w:r w:rsidRPr="00F7615A">
        <w:rPr>
          <w:color w:val="000000"/>
          <w:szCs w:val="22"/>
          <w:lang w:val="fr-FR"/>
        </w:rPr>
        <w:t>clés qui font partie de la chaîne de production des produits cosmétiques et ménagers (parmi lesquels les fournisseurs des secteurs structuré et informel, les fabricants du secteur informel, et les distributeurs ou les revendeurs), ainsi qu</w:t>
      </w:r>
      <w:r w:rsidR="007A7128">
        <w:rPr>
          <w:color w:val="000000"/>
          <w:szCs w:val="22"/>
          <w:lang w:val="fr-FR"/>
        </w:rPr>
        <w:t>’</w:t>
      </w:r>
      <w:r w:rsidRPr="00F7615A">
        <w:rPr>
          <w:color w:val="000000"/>
          <w:szCs w:val="22"/>
          <w:lang w:val="fr-FR"/>
        </w:rPr>
        <w:t>un ensemble d</w:t>
      </w:r>
      <w:r w:rsidR="007A7128">
        <w:rPr>
          <w:color w:val="000000"/>
          <w:szCs w:val="22"/>
          <w:lang w:val="fr-FR"/>
        </w:rPr>
        <w:t>’</w:t>
      </w:r>
      <w:r w:rsidRPr="00F7615A">
        <w:rPr>
          <w:color w:val="000000"/>
          <w:szCs w:val="22"/>
          <w:lang w:val="fr-FR"/>
        </w:rPr>
        <w:t>organismes de formation ou à vocation éducative, de bailleurs de fonds, d</w:t>
      </w:r>
      <w:r w:rsidR="007A7128">
        <w:rPr>
          <w:color w:val="000000"/>
          <w:szCs w:val="22"/>
          <w:lang w:val="fr-FR"/>
        </w:rPr>
        <w:t>’</w:t>
      </w:r>
      <w:r w:rsidRPr="00F7615A">
        <w:rPr>
          <w:color w:val="000000"/>
          <w:szCs w:val="22"/>
          <w:lang w:val="fr-FR"/>
        </w:rPr>
        <w:t>organismes publics ou de réglementation, d</w:t>
      </w:r>
      <w:r w:rsidR="007A7128">
        <w:rPr>
          <w:color w:val="000000"/>
          <w:szCs w:val="22"/>
          <w:lang w:val="fr-FR"/>
        </w:rPr>
        <w:t>’</w:t>
      </w:r>
      <w:r w:rsidRPr="00F7615A">
        <w:rPr>
          <w:color w:val="000000"/>
          <w:szCs w:val="22"/>
          <w:lang w:val="fr-FR"/>
        </w:rPr>
        <w:t>organismes de transfert de connaissances et de technologie et d</w:t>
      </w:r>
      <w:r w:rsidR="007A7128">
        <w:rPr>
          <w:color w:val="000000"/>
          <w:szCs w:val="22"/>
          <w:lang w:val="fr-FR"/>
        </w:rPr>
        <w:t>’</w:t>
      </w:r>
      <w:r w:rsidRPr="00F7615A">
        <w:rPr>
          <w:color w:val="000000"/>
          <w:szCs w:val="22"/>
          <w:lang w:val="fr-FR"/>
        </w:rPr>
        <w:t>organismes représentatifs de l</w:t>
      </w:r>
      <w:r w:rsidR="007A7128">
        <w:rPr>
          <w:color w:val="000000"/>
          <w:szCs w:val="22"/>
          <w:lang w:val="fr-FR"/>
        </w:rPr>
        <w:t>’</w:t>
      </w:r>
      <w:r w:rsidRPr="00F7615A">
        <w:rPr>
          <w:color w:val="000000"/>
          <w:szCs w:val="22"/>
          <w:lang w:val="fr-FR"/>
        </w:rPr>
        <w:t>industrie.  Des entretiens libres ont été effectués auprès de personnes clés de ces organismes.</w:t>
      </w:r>
    </w:p>
    <w:p w:rsidR="0008183D" w:rsidRPr="008D4187" w:rsidRDefault="0008183D" w:rsidP="0062744F">
      <w:pPr>
        <w:spacing w:after="120"/>
        <w:rPr>
          <w:color w:val="000000"/>
          <w:szCs w:val="22"/>
          <w:lang w:val="fr-FR"/>
        </w:rPr>
      </w:pPr>
      <w:r w:rsidRPr="00F7615A">
        <w:rPr>
          <w:color w:val="000000"/>
          <w:szCs w:val="22"/>
          <w:lang w:val="fr-FR"/>
        </w:rPr>
        <w:t>De surcroît, des entrevues structurées ont été menées, dans deux</w:t>
      </w:r>
      <w:r w:rsidR="00610EA7">
        <w:rPr>
          <w:color w:val="000000"/>
          <w:szCs w:val="22"/>
          <w:lang w:val="fr-FR"/>
        </w:rPr>
        <w:t> </w:t>
      </w:r>
      <w:r w:rsidRPr="00F7615A">
        <w:rPr>
          <w:color w:val="000000"/>
          <w:szCs w:val="22"/>
          <w:lang w:val="fr-FR"/>
        </w:rPr>
        <w:t>provinces sud</w:t>
      </w:r>
      <w:r w:rsidR="007A7128">
        <w:rPr>
          <w:color w:val="000000"/>
          <w:szCs w:val="22"/>
          <w:lang w:val="fr-FR"/>
        </w:rPr>
        <w:noBreakHyphen/>
        <w:t>africaines (le </w:t>
      </w:r>
      <w:r w:rsidRPr="00F7615A">
        <w:rPr>
          <w:color w:val="000000"/>
          <w:szCs w:val="22"/>
          <w:lang w:val="fr-FR"/>
        </w:rPr>
        <w:t>Gauteng et le Cap</w:t>
      </w:r>
      <w:r w:rsidR="007A7128">
        <w:rPr>
          <w:color w:val="000000"/>
          <w:szCs w:val="22"/>
          <w:lang w:val="fr-FR"/>
        </w:rPr>
        <w:noBreakHyphen/>
      </w:r>
      <w:r w:rsidRPr="00F7615A">
        <w:rPr>
          <w:color w:val="000000"/>
          <w:szCs w:val="22"/>
          <w:lang w:val="fr-FR"/>
        </w:rPr>
        <w:t>Oriental), auprès d</w:t>
      </w:r>
      <w:r w:rsidR="007A7128">
        <w:rPr>
          <w:color w:val="000000"/>
          <w:szCs w:val="22"/>
          <w:lang w:val="fr-FR"/>
        </w:rPr>
        <w:t>’</w:t>
      </w:r>
      <w:r w:rsidRPr="00F7615A">
        <w:rPr>
          <w:color w:val="000000"/>
          <w:szCs w:val="22"/>
          <w:lang w:val="fr-FR"/>
        </w:rPr>
        <w:t>un échantillon de 25 fabricants du secteur informel se consacrant à la production de produits cosmétiques et ménagers.  Le cadre analytique était commun aux trois</w:t>
      </w:r>
      <w:r w:rsidR="00610EA7">
        <w:rPr>
          <w:color w:val="000000"/>
          <w:szCs w:val="22"/>
          <w:lang w:val="fr-FR"/>
        </w:rPr>
        <w:t> </w:t>
      </w:r>
      <w:r w:rsidRPr="00F7615A">
        <w:rPr>
          <w:color w:val="000000"/>
          <w:szCs w:val="22"/>
          <w:lang w:val="fr-FR"/>
        </w:rPr>
        <w:t>études de cas réalisées au Ghana, au Kenya et en Afrique du Sud, comme convenu lors d</w:t>
      </w:r>
      <w:r w:rsidR="007A7128">
        <w:rPr>
          <w:color w:val="000000"/>
          <w:szCs w:val="22"/>
          <w:lang w:val="fr-FR"/>
        </w:rPr>
        <w:t>’</w:t>
      </w:r>
      <w:r w:rsidRPr="00F7615A">
        <w:rPr>
          <w:color w:val="000000"/>
          <w:szCs w:val="22"/>
          <w:lang w:val="fr-FR"/>
        </w:rPr>
        <w:t>un séminaire à Pretoria organisé, en novembre 2012, à l</w:t>
      </w:r>
      <w:r w:rsidR="007A7128">
        <w:rPr>
          <w:color w:val="000000"/>
          <w:szCs w:val="22"/>
          <w:lang w:val="fr-FR"/>
        </w:rPr>
        <w:t>’</w:t>
      </w:r>
      <w:r w:rsidRPr="00F7615A">
        <w:rPr>
          <w:rFonts w:eastAsia="Times New Roman"/>
          <w:color w:val="000000"/>
          <w:lang w:val="fr-FR"/>
        </w:rPr>
        <w:t>Institut de recherche économique en matière d</w:t>
      </w:r>
      <w:r w:rsidR="007A7128">
        <w:rPr>
          <w:rFonts w:eastAsia="Times New Roman"/>
          <w:color w:val="000000"/>
          <w:lang w:val="fr-FR"/>
        </w:rPr>
        <w:t>’</w:t>
      </w:r>
      <w:r w:rsidRPr="00F7615A">
        <w:rPr>
          <w:rFonts w:eastAsia="Times New Roman"/>
          <w:color w:val="000000"/>
          <w:lang w:val="fr-FR"/>
        </w:rPr>
        <w:t>innovation (</w:t>
      </w:r>
      <w:r w:rsidRPr="00F7615A">
        <w:rPr>
          <w:rFonts w:eastAsia="Times New Roman"/>
          <w:i/>
          <w:color w:val="000000"/>
          <w:lang w:val="fr-FR"/>
        </w:rPr>
        <w:t xml:space="preserve">Institute for </w:t>
      </w:r>
      <w:proofErr w:type="spellStart"/>
      <w:r w:rsidRPr="00F7615A">
        <w:rPr>
          <w:rFonts w:eastAsia="Times New Roman"/>
          <w:i/>
          <w:color w:val="000000"/>
          <w:lang w:val="fr-FR"/>
        </w:rPr>
        <w:t>Economic</w:t>
      </w:r>
      <w:proofErr w:type="spellEnd"/>
      <w:r w:rsidRPr="00F7615A">
        <w:rPr>
          <w:rFonts w:eastAsia="Times New Roman"/>
          <w:i/>
          <w:color w:val="000000"/>
          <w:lang w:val="fr-FR"/>
        </w:rPr>
        <w:t xml:space="preserve"> </w:t>
      </w:r>
      <w:proofErr w:type="spellStart"/>
      <w:r w:rsidRPr="00F7615A">
        <w:rPr>
          <w:rFonts w:eastAsia="Times New Roman"/>
          <w:i/>
          <w:color w:val="000000"/>
          <w:lang w:val="fr-FR"/>
        </w:rPr>
        <w:t>Research</w:t>
      </w:r>
      <w:proofErr w:type="spellEnd"/>
      <w:r w:rsidRPr="00F7615A">
        <w:rPr>
          <w:rFonts w:eastAsia="Times New Roman"/>
          <w:i/>
          <w:color w:val="000000"/>
          <w:lang w:val="fr-FR"/>
        </w:rPr>
        <w:t xml:space="preserve"> on Innovation</w:t>
      </w:r>
      <w:r w:rsidRPr="008D4187">
        <w:rPr>
          <w:rFonts w:eastAsia="Times New Roman"/>
          <w:color w:val="000000"/>
          <w:lang w:val="fr-FR"/>
        </w:rPr>
        <w:t>) (IERI)</w:t>
      </w:r>
      <w:r>
        <w:rPr>
          <w:rFonts w:eastAsia="Times New Roman"/>
          <w:color w:val="000000"/>
          <w:lang w:val="fr-FR"/>
        </w:rPr>
        <w:t xml:space="preserve"> et </w:t>
      </w:r>
      <w:r>
        <w:rPr>
          <w:rFonts w:eastAsia="Times New Roman"/>
          <w:color w:val="000000"/>
          <w:lang w:val="fr-FR"/>
        </w:rPr>
        <w:lastRenderedPageBreak/>
        <w:t>dont les conclusions ont été résumées dans l</w:t>
      </w:r>
      <w:r w:rsidR="007A7128">
        <w:rPr>
          <w:rFonts w:eastAsia="Times New Roman"/>
          <w:color w:val="000000"/>
          <w:lang w:val="fr-FR"/>
        </w:rPr>
        <w:t>’</w:t>
      </w:r>
      <w:r>
        <w:rPr>
          <w:rFonts w:eastAsia="Times New Roman"/>
          <w:color w:val="000000"/>
          <w:lang w:val="fr-FR"/>
        </w:rPr>
        <w:t xml:space="preserve">Étude théorique établie en collaboration avec M. de </w:t>
      </w:r>
      <w:proofErr w:type="spellStart"/>
      <w:r>
        <w:rPr>
          <w:rFonts w:eastAsia="Times New Roman"/>
          <w:color w:val="000000"/>
          <w:lang w:val="fr-FR"/>
        </w:rPr>
        <w:t>Beer</w:t>
      </w:r>
      <w:proofErr w:type="spellEnd"/>
      <w:r>
        <w:rPr>
          <w:rFonts w:eastAsia="Times New Roman"/>
          <w:color w:val="000000"/>
          <w:lang w:val="fr-FR"/>
        </w:rPr>
        <w:t xml:space="preserve"> et coll. </w:t>
      </w:r>
      <w:r w:rsidRPr="004F44AC">
        <w:rPr>
          <w:color w:val="000000"/>
          <w:szCs w:val="22"/>
          <w:lang w:val="fr-FR"/>
        </w:rPr>
        <w:t xml:space="preserve">(de </w:t>
      </w:r>
      <w:proofErr w:type="spellStart"/>
      <w:r w:rsidRPr="004F44AC">
        <w:rPr>
          <w:color w:val="000000"/>
          <w:szCs w:val="22"/>
          <w:lang w:val="fr-FR"/>
        </w:rPr>
        <w:t>Beer</w:t>
      </w:r>
      <w:proofErr w:type="spellEnd"/>
      <w:r w:rsidRPr="004F44AC">
        <w:rPr>
          <w:color w:val="000000"/>
          <w:szCs w:val="22"/>
          <w:lang w:val="fr-FR"/>
        </w:rPr>
        <w:t xml:space="preserve"> et coll., 2013)</w:t>
      </w:r>
      <w:r>
        <w:rPr>
          <w:rStyle w:val="FootnoteReference"/>
          <w:rFonts w:cs="Arial"/>
          <w:color w:val="000000"/>
          <w:szCs w:val="22"/>
        </w:rPr>
        <w:footnoteReference w:id="3"/>
      </w:r>
      <w:r w:rsidRPr="004F44AC">
        <w:rPr>
          <w:color w:val="000000"/>
          <w:szCs w:val="22"/>
          <w:lang w:val="fr-FR"/>
        </w:rPr>
        <w:t>.</w:t>
      </w:r>
    </w:p>
    <w:p w:rsidR="0008183D" w:rsidRPr="004F44AC" w:rsidRDefault="0008183D" w:rsidP="0062744F">
      <w:pPr>
        <w:jc w:val="both"/>
        <w:rPr>
          <w:b/>
          <w:szCs w:val="22"/>
          <w:lang w:val="fr-FR"/>
        </w:rPr>
      </w:pPr>
    </w:p>
    <w:p w:rsidR="0008183D" w:rsidRPr="004F44AC" w:rsidRDefault="0008183D" w:rsidP="0062744F">
      <w:pPr>
        <w:jc w:val="both"/>
        <w:rPr>
          <w:b/>
          <w:szCs w:val="22"/>
          <w:lang w:val="fr-FR"/>
        </w:rPr>
      </w:pPr>
    </w:p>
    <w:p w:rsidR="0008183D" w:rsidRPr="004F44AC" w:rsidRDefault="0008183D" w:rsidP="0062744F">
      <w:pPr>
        <w:jc w:val="both"/>
        <w:rPr>
          <w:b/>
          <w:szCs w:val="22"/>
          <w:lang w:val="fr-FR"/>
        </w:rPr>
      </w:pPr>
      <w:r w:rsidRPr="004F44AC">
        <w:rPr>
          <w:b/>
          <w:szCs w:val="22"/>
          <w:lang w:val="fr-FR"/>
        </w:rPr>
        <w:t xml:space="preserve">Principales </w:t>
      </w:r>
      <w:r w:rsidRPr="00AE626D">
        <w:rPr>
          <w:b/>
          <w:szCs w:val="22"/>
          <w:lang w:val="fr-FR"/>
        </w:rPr>
        <w:t>constatations</w:t>
      </w:r>
    </w:p>
    <w:p w:rsidR="0008183D" w:rsidRPr="004F44AC" w:rsidRDefault="0008183D" w:rsidP="0062744F">
      <w:pPr>
        <w:jc w:val="both"/>
        <w:rPr>
          <w:b/>
          <w:szCs w:val="22"/>
          <w:lang w:val="fr-FR"/>
        </w:rPr>
      </w:pPr>
    </w:p>
    <w:p w:rsidR="00291E23" w:rsidRDefault="0008183D" w:rsidP="0062744F">
      <w:pPr>
        <w:spacing w:after="120"/>
        <w:rPr>
          <w:color w:val="000000"/>
          <w:szCs w:val="22"/>
          <w:lang w:val="fr-FR"/>
        </w:rPr>
      </w:pPr>
      <w:r w:rsidRPr="004F44AC">
        <w:rPr>
          <w:color w:val="000000"/>
          <w:szCs w:val="22"/>
          <w:lang w:val="fr-FR"/>
        </w:rPr>
        <w:t xml:space="preserve">Les résultats de cette étude </w:t>
      </w:r>
      <w:r>
        <w:rPr>
          <w:color w:val="000000"/>
          <w:szCs w:val="22"/>
          <w:lang w:val="fr-FR"/>
        </w:rPr>
        <w:t>révèlent que les activités formelles et informelles, souvent indissociables, s</w:t>
      </w:r>
      <w:r w:rsidR="007A7128">
        <w:rPr>
          <w:color w:val="000000"/>
          <w:szCs w:val="22"/>
          <w:lang w:val="fr-FR"/>
        </w:rPr>
        <w:t>’</w:t>
      </w:r>
      <w:r>
        <w:rPr>
          <w:color w:val="000000"/>
          <w:szCs w:val="22"/>
          <w:lang w:val="fr-FR"/>
        </w:rPr>
        <w:t xml:space="preserve">inscrivent dans le même tissu </w:t>
      </w:r>
      <w:r w:rsidR="00291E23">
        <w:rPr>
          <w:color w:val="000000"/>
          <w:szCs w:val="22"/>
          <w:lang w:val="fr-FR"/>
        </w:rPr>
        <w:t>socioéconomique</w:t>
      </w:r>
      <w:r>
        <w:rPr>
          <w:color w:val="000000"/>
          <w:szCs w:val="22"/>
          <w:lang w:val="fr-FR"/>
        </w:rPr>
        <w:t>, au sein duquel des acteurs exerçant des activités formelles à différents degrés interagissent, se concurrencent et s</w:t>
      </w:r>
      <w:r w:rsidR="007A7128">
        <w:rPr>
          <w:color w:val="000000"/>
          <w:szCs w:val="22"/>
          <w:lang w:val="fr-FR"/>
        </w:rPr>
        <w:t>’</w:t>
      </w:r>
      <w:r>
        <w:rPr>
          <w:color w:val="000000"/>
          <w:szCs w:val="22"/>
          <w:lang w:val="fr-FR"/>
        </w:rPr>
        <w:t>échangent connaissances, compétences, produits et services</w:t>
      </w:r>
      <w:r w:rsidRPr="001D06F3">
        <w:rPr>
          <w:color w:val="000000"/>
          <w:szCs w:val="22"/>
          <w:lang w:val="fr-FR"/>
        </w:rPr>
        <w:t>.</w:t>
      </w:r>
    </w:p>
    <w:p w:rsidR="0008183D" w:rsidRPr="00940492" w:rsidRDefault="0008183D" w:rsidP="0062744F">
      <w:pPr>
        <w:spacing w:after="120"/>
        <w:rPr>
          <w:color w:val="000000"/>
          <w:szCs w:val="22"/>
          <w:lang w:val="fr-FR"/>
        </w:rPr>
      </w:pPr>
      <w:r w:rsidRPr="007D1B46">
        <w:rPr>
          <w:i/>
          <w:color w:val="000000"/>
          <w:szCs w:val="22"/>
          <w:lang w:val="fr-FR"/>
        </w:rPr>
        <w:t>Profil du secteur</w:t>
      </w:r>
      <w:r>
        <w:rPr>
          <w:i/>
          <w:color w:val="000000"/>
          <w:szCs w:val="22"/>
          <w:lang w:val="fr-FR"/>
        </w:rPr>
        <w:t> </w:t>
      </w:r>
      <w:r w:rsidRPr="007A7128">
        <w:rPr>
          <w:i/>
          <w:color w:val="000000"/>
          <w:lang w:val="fr-FR"/>
        </w:rPr>
        <w:t>:</w:t>
      </w:r>
      <w:r w:rsidRPr="007D1B46">
        <w:rPr>
          <w:color w:val="000000"/>
          <w:szCs w:val="22"/>
          <w:lang w:val="fr-FR"/>
        </w:rPr>
        <w:t xml:space="preserve"> le secteur sud</w:t>
      </w:r>
      <w:r w:rsidR="007A7128">
        <w:rPr>
          <w:color w:val="000000"/>
          <w:szCs w:val="22"/>
          <w:lang w:val="fr-FR"/>
        </w:rPr>
        <w:noBreakHyphen/>
      </w:r>
      <w:r w:rsidRPr="007D1B46">
        <w:rPr>
          <w:color w:val="000000"/>
          <w:szCs w:val="22"/>
          <w:lang w:val="fr-FR"/>
        </w:rPr>
        <w:t>africain des produits cosmétiques</w:t>
      </w:r>
      <w:r>
        <w:rPr>
          <w:color w:val="000000"/>
          <w:szCs w:val="22"/>
          <w:lang w:val="fr-FR"/>
        </w:rPr>
        <w:t xml:space="preserve"> et ménagers est </w:t>
      </w:r>
      <w:r w:rsidRPr="001D06F3">
        <w:rPr>
          <w:szCs w:val="22"/>
          <w:lang w:val="fr-FR"/>
        </w:rPr>
        <w:t xml:space="preserve">dominé par quelques grandes entreprises du </w:t>
      </w:r>
      <w:r>
        <w:rPr>
          <w:color w:val="000000"/>
          <w:szCs w:val="22"/>
          <w:lang w:val="fr-FR"/>
        </w:rPr>
        <w:t>secteur formel (aussi bien des multinationales étrangères que des grandes entreprises nationales).  Cependant, celui</w:t>
      </w:r>
      <w:r w:rsidR="007A7128">
        <w:rPr>
          <w:color w:val="000000"/>
          <w:szCs w:val="22"/>
          <w:lang w:val="fr-FR"/>
        </w:rPr>
        <w:noBreakHyphen/>
      </w:r>
      <w:r>
        <w:rPr>
          <w:color w:val="000000"/>
          <w:szCs w:val="22"/>
          <w:lang w:val="fr-FR"/>
        </w:rPr>
        <w:t xml:space="preserve">ci permet également à de nombreuses </w:t>
      </w:r>
      <w:proofErr w:type="spellStart"/>
      <w:r w:rsidR="00C4029D">
        <w:rPr>
          <w:color w:val="000000"/>
          <w:szCs w:val="22"/>
          <w:lang w:val="fr-FR"/>
        </w:rPr>
        <w:t>microentreprises</w:t>
      </w:r>
      <w:proofErr w:type="spellEnd"/>
      <w:r w:rsidRPr="007D1B46">
        <w:rPr>
          <w:color w:val="000000"/>
          <w:szCs w:val="22"/>
          <w:lang w:val="fr-FR"/>
        </w:rPr>
        <w:t>, dont les activités sont axées sur la production de lotions, parfums, cosmétiques, savons, détergents, etc., d</w:t>
      </w:r>
      <w:r w:rsidR="007A7128">
        <w:rPr>
          <w:color w:val="000000"/>
          <w:szCs w:val="22"/>
          <w:lang w:val="fr-FR"/>
        </w:rPr>
        <w:t>’</w:t>
      </w:r>
      <w:r w:rsidRPr="007D1B46">
        <w:rPr>
          <w:color w:val="000000"/>
          <w:szCs w:val="22"/>
          <w:lang w:val="fr-FR"/>
        </w:rPr>
        <w:t>opérer de manière informelle en visant des créneaux de marché bien précis – notamment</w:t>
      </w:r>
      <w:r>
        <w:rPr>
          <w:color w:val="000000"/>
          <w:szCs w:val="22"/>
          <w:lang w:val="fr-FR"/>
        </w:rPr>
        <w:t xml:space="preserve"> les consommateurs à faible revenu </w:t>
      </w:r>
      <w:r w:rsidRPr="00940492">
        <w:rPr>
          <w:color w:val="000000"/>
          <w:szCs w:val="22"/>
          <w:lang w:val="fr-FR"/>
        </w:rPr>
        <w:t>à la recherche de produits</w:t>
      </w:r>
      <w:r>
        <w:rPr>
          <w:color w:val="000000"/>
          <w:szCs w:val="22"/>
          <w:lang w:val="fr-FR"/>
        </w:rPr>
        <w:t xml:space="preserve"> à moindre coût et de </w:t>
      </w:r>
      <w:r w:rsidRPr="002F24BB">
        <w:rPr>
          <w:color w:val="000000"/>
          <w:szCs w:val="22"/>
          <w:lang w:val="fr-FR"/>
        </w:rPr>
        <w:t>petite taille</w:t>
      </w:r>
      <w:r>
        <w:rPr>
          <w:color w:val="000000"/>
          <w:szCs w:val="22"/>
          <w:lang w:val="fr-FR"/>
        </w:rPr>
        <w:t>.  La grande fragmentation de la demande, l</w:t>
      </w:r>
      <w:r w:rsidR="007A7128">
        <w:rPr>
          <w:color w:val="000000"/>
          <w:szCs w:val="22"/>
          <w:lang w:val="fr-FR"/>
        </w:rPr>
        <w:t>’</w:t>
      </w:r>
      <w:r>
        <w:rPr>
          <w:color w:val="000000"/>
          <w:szCs w:val="22"/>
          <w:lang w:val="fr-FR"/>
        </w:rPr>
        <w:t>urbanisation rapide et le ralentissement actuel de l</w:t>
      </w:r>
      <w:r w:rsidR="007A7128">
        <w:rPr>
          <w:color w:val="000000"/>
          <w:szCs w:val="22"/>
          <w:lang w:val="fr-FR"/>
        </w:rPr>
        <w:t>’</w:t>
      </w:r>
      <w:r>
        <w:rPr>
          <w:color w:val="000000"/>
          <w:szCs w:val="22"/>
          <w:lang w:val="fr-FR"/>
        </w:rPr>
        <w:t>activité économique ont entraîné un accroissement de la demande de produits cosmétiques et ménagers à bas prix</w:t>
      </w:r>
      <w:r w:rsidRPr="00940492">
        <w:rPr>
          <w:color w:val="000000"/>
          <w:szCs w:val="22"/>
          <w:lang w:val="fr-FR"/>
        </w:rPr>
        <w:t xml:space="preserve"> </w:t>
      </w:r>
      <w:r>
        <w:rPr>
          <w:color w:val="000000"/>
          <w:szCs w:val="22"/>
          <w:lang w:val="fr-FR"/>
        </w:rPr>
        <w:t xml:space="preserve">en Afrique du Sud, créant des débouchés pour les </w:t>
      </w:r>
      <w:proofErr w:type="spellStart"/>
      <w:r w:rsidR="00C4029D">
        <w:rPr>
          <w:color w:val="000000"/>
          <w:szCs w:val="22"/>
          <w:lang w:val="fr-FR"/>
        </w:rPr>
        <w:t>microentreprises</w:t>
      </w:r>
      <w:proofErr w:type="spellEnd"/>
      <w:r>
        <w:rPr>
          <w:color w:val="000000"/>
          <w:szCs w:val="22"/>
          <w:lang w:val="fr-FR"/>
        </w:rPr>
        <w:t xml:space="preserve"> du secteur informel</w:t>
      </w:r>
      <w:r w:rsidRPr="00773CBB">
        <w:rPr>
          <w:color w:val="000000"/>
          <w:szCs w:val="22"/>
          <w:lang w:val="fr-FR"/>
        </w:rPr>
        <w:t>.</w:t>
      </w:r>
    </w:p>
    <w:p w:rsidR="0008183D" w:rsidRPr="002F24BB" w:rsidRDefault="0008183D" w:rsidP="0062744F">
      <w:pPr>
        <w:spacing w:after="120"/>
        <w:rPr>
          <w:color w:val="000000"/>
          <w:szCs w:val="22"/>
          <w:lang w:val="fr-FR"/>
        </w:rPr>
      </w:pPr>
      <w:r w:rsidRPr="007D1B46">
        <w:rPr>
          <w:i/>
          <w:color w:val="000000"/>
          <w:szCs w:val="22"/>
          <w:lang w:val="fr-FR"/>
        </w:rPr>
        <w:t xml:space="preserve">La chaîne de </w:t>
      </w:r>
      <w:r w:rsidRPr="002F24BB">
        <w:rPr>
          <w:i/>
          <w:color w:val="000000"/>
          <w:szCs w:val="22"/>
          <w:lang w:val="fr-FR"/>
        </w:rPr>
        <w:t>valeur de production</w:t>
      </w:r>
      <w:r>
        <w:rPr>
          <w:i/>
          <w:color w:val="000000"/>
          <w:szCs w:val="22"/>
          <w:lang w:val="fr-FR"/>
        </w:rPr>
        <w:t> </w:t>
      </w:r>
      <w:r w:rsidRPr="007A7128">
        <w:rPr>
          <w:i/>
          <w:color w:val="000000"/>
          <w:lang w:val="fr-FR"/>
        </w:rPr>
        <w:t>:</w:t>
      </w:r>
      <w:r w:rsidRPr="007D1B46">
        <w:rPr>
          <w:color w:val="000000"/>
          <w:szCs w:val="22"/>
          <w:lang w:val="fr-FR"/>
        </w:rPr>
        <w:t xml:space="preserve"> </w:t>
      </w:r>
      <w:r w:rsidRPr="002F24BB">
        <w:rPr>
          <w:color w:val="000000"/>
          <w:szCs w:val="22"/>
          <w:lang w:val="fr-FR"/>
        </w:rPr>
        <w:t>les fabricants</w:t>
      </w:r>
      <w:r>
        <w:rPr>
          <w:color w:val="000000"/>
          <w:szCs w:val="22"/>
          <w:lang w:val="fr-FR"/>
        </w:rPr>
        <w:t xml:space="preserve"> de produits cosmétiques et ménagers du secteur informel opèrent dans le cadre d</w:t>
      </w:r>
      <w:r w:rsidR="007A7128">
        <w:rPr>
          <w:color w:val="000000"/>
          <w:szCs w:val="22"/>
          <w:lang w:val="fr-FR"/>
        </w:rPr>
        <w:t>’</w:t>
      </w:r>
      <w:r>
        <w:rPr>
          <w:color w:val="000000"/>
          <w:szCs w:val="22"/>
          <w:lang w:val="fr-FR"/>
        </w:rPr>
        <w:t>une chaîne de production où ils se mettent en rapport avec des fournisseurs de matières premières et d</w:t>
      </w:r>
      <w:r w:rsidR="007A7128">
        <w:rPr>
          <w:color w:val="000000"/>
          <w:szCs w:val="22"/>
          <w:lang w:val="fr-FR"/>
        </w:rPr>
        <w:t>’</w:t>
      </w:r>
      <w:r>
        <w:rPr>
          <w:color w:val="000000"/>
          <w:szCs w:val="22"/>
          <w:lang w:val="fr-FR"/>
        </w:rPr>
        <w:t>emballages (par exemple de cires, d</w:t>
      </w:r>
      <w:r w:rsidR="007A7128">
        <w:rPr>
          <w:color w:val="000000"/>
          <w:szCs w:val="22"/>
          <w:lang w:val="fr-FR"/>
        </w:rPr>
        <w:t>’</w:t>
      </w:r>
      <w:r>
        <w:rPr>
          <w:color w:val="000000"/>
          <w:szCs w:val="22"/>
          <w:lang w:val="fr-FR"/>
        </w:rPr>
        <w:t>alcools, d</w:t>
      </w:r>
      <w:r w:rsidR="007A7128">
        <w:rPr>
          <w:color w:val="000000"/>
          <w:szCs w:val="22"/>
          <w:lang w:val="fr-FR"/>
        </w:rPr>
        <w:t>’</w:t>
      </w:r>
      <w:r>
        <w:rPr>
          <w:color w:val="000000"/>
          <w:szCs w:val="22"/>
          <w:lang w:val="fr-FR"/>
        </w:rPr>
        <w:t xml:space="preserve">huiles et extraits naturels, de glycérine, etc.) des secteurs </w:t>
      </w:r>
      <w:r w:rsidR="00C4029D">
        <w:rPr>
          <w:color w:val="000000"/>
          <w:szCs w:val="22"/>
          <w:lang w:val="fr-FR"/>
        </w:rPr>
        <w:t>structuré</w:t>
      </w:r>
      <w:r>
        <w:rPr>
          <w:color w:val="000000"/>
          <w:szCs w:val="22"/>
          <w:lang w:val="fr-FR"/>
        </w:rPr>
        <w:t xml:space="preserve"> comme informel, ainsi qu</w:t>
      </w:r>
      <w:r w:rsidR="007A7128">
        <w:rPr>
          <w:color w:val="000000"/>
          <w:szCs w:val="22"/>
          <w:lang w:val="fr-FR"/>
        </w:rPr>
        <w:t>’</w:t>
      </w:r>
      <w:r>
        <w:rPr>
          <w:color w:val="000000"/>
          <w:szCs w:val="22"/>
          <w:lang w:val="fr-FR"/>
        </w:rPr>
        <w:t xml:space="preserve">avec des circuits de distribution et de vente au détail officiels et parallèles.  </w:t>
      </w:r>
      <w:r w:rsidRPr="002F24BB">
        <w:rPr>
          <w:color w:val="000000"/>
          <w:szCs w:val="22"/>
          <w:lang w:val="fr-FR"/>
        </w:rPr>
        <w:t>Le présent rapport souligne qu</w:t>
      </w:r>
      <w:r w:rsidR="007A7128">
        <w:rPr>
          <w:color w:val="000000"/>
          <w:szCs w:val="22"/>
          <w:lang w:val="fr-FR"/>
        </w:rPr>
        <w:t>’</w:t>
      </w:r>
      <w:r w:rsidRPr="002F24BB">
        <w:rPr>
          <w:color w:val="000000"/>
          <w:szCs w:val="22"/>
          <w:lang w:val="fr-FR"/>
        </w:rPr>
        <w:t xml:space="preserve">il importe de comprendre cette chaîne de valeur </w:t>
      </w:r>
      <w:r>
        <w:rPr>
          <w:color w:val="000000"/>
          <w:szCs w:val="22"/>
          <w:lang w:val="fr-FR"/>
        </w:rPr>
        <w:t>pour étudier les mécanismes d</w:t>
      </w:r>
      <w:r w:rsidR="007A7128">
        <w:rPr>
          <w:color w:val="000000"/>
          <w:szCs w:val="22"/>
          <w:lang w:val="fr-FR"/>
        </w:rPr>
        <w:t>’</w:t>
      </w:r>
      <w:r>
        <w:rPr>
          <w:color w:val="000000"/>
          <w:szCs w:val="22"/>
          <w:lang w:val="fr-FR"/>
        </w:rPr>
        <w:t>appropriation et de diffusion des connaissances dans l</w:t>
      </w:r>
      <w:r w:rsidR="007A7128">
        <w:rPr>
          <w:color w:val="000000"/>
          <w:szCs w:val="22"/>
          <w:lang w:val="fr-FR"/>
        </w:rPr>
        <w:t>’</w:t>
      </w:r>
      <w:r>
        <w:rPr>
          <w:color w:val="000000"/>
          <w:szCs w:val="22"/>
          <w:lang w:val="fr-FR"/>
        </w:rPr>
        <w:t>économie informelle</w:t>
      </w:r>
      <w:r w:rsidRPr="00E263FC">
        <w:rPr>
          <w:color w:val="000000"/>
          <w:szCs w:val="22"/>
          <w:lang w:val="fr-FR"/>
        </w:rPr>
        <w:t>.</w:t>
      </w:r>
    </w:p>
    <w:p w:rsidR="0008183D" w:rsidRPr="00E263FC" w:rsidRDefault="0008183D" w:rsidP="0062744F">
      <w:pPr>
        <w:spacing w:after="120"/>
        <w:rPr>
          <w:color w:val="000000"/>
          <w:szCs w:val="22"/>
          <w:lang w:val="fr-FR"/>
        </w:rPr>
      </w:pPr>
      <w:r w:rsidRPr="00E263FC">
        <w:rPr>
          <w:i/>
          <w:color w:val="000000"/>
          <w:szCs w:val="22"/>
          <w:lang w:val="fr-FR"/>
        </w:rPr>
        <w:t>Innovation </w:t>
      </w:r>
      <w:r w:rsidRPr="007A7128">
        <w:rPr>
          <w:i/>
          <w:color w:val="000000"/>
          <w:lang w:val="fr-FR"/>
        </w:rPr>
        <w:t>:</w:t>
      </w:r>
      <w:r w:rsidRPr="00E263FC">
        <w:rPr>
          <w:color w:val="000000"/>
          <w:szCs w:val="22"/>
          <w:lang w:val="fr-FR"/>
        </w:rPr>
        <w:t xml:space="preserve"> les résultats de </w:t>
      </w:r>
      <w:r w:rsidRPr="00F7615A">
        <w:rPr>
          <w:color w:val="000000"/>
          <w:szCs w:val="22"/>
          <w:lang w:val="fr-FR"/>
        </w:rPr>
        <w:t>l</w:t>
      </w:r>
      <w:r w:rsidR="007A7128">
        <w:rPr>
          <w:color w:val="000000"/>
          <w:szCs w:val="22"/>
          <w:lang w:val="fr-FR"/>
        </w:rPr>
        <w:t>’</w:t>
      </w:r>
      <w:r w:rsidRPr="00F7615A">
        <w:rPr>
          <w:color w:val="000000"/>
          <w:szCs w:val="22"/>
          <w:lang w:val="fr-FR"/>
        </w:rPr>
        <w:t>étude indiquent que les fabricants du secteur informel procèdent très souvent à des innovations progressives au niveau des produits en y apportant des améliorations non négligeables sur le plan de la composition et de l</w:t>
      </w:r>
      <w:r w:rsidR="007A7128">
        <w:rPr>
          <w:color w:val="000000"/>
          <w:szCs w:val="22"/>
          <w:lang w:val="fr-FR"/>
        </w:rPr>
        <w:t>’</w:t>
      </w:r>
      <w:r w:rsidRPr="00F7615A">
        <w:rPr>
          <w:color w:val="000000"/>
          <w:szCs w:val="22"/>
          <w:lang w:val="fr-FR"/>
        </w:rPr>
        <w:t xml:space="preserve">emballage.  Ces innovations ont été considérées comme un moyen important de différencier les produits et de toucher une clientèle plus large (par exemple en utilisant des motifs tribaux sur les emballages pour attirer des clients bien précis, en ajoutant aux produits cosmétiques des propriétés curatives issues de remèdes naturels éprouvés, en remplaçant des ingrédients pour répondre à la demande de produits plus </w:t>
      </w:r>
      <w:r w:rsidR="007A7128">
        <w:rPr>
          <w:color w:val="000000"/>
          <w:szCs w:val="22"/>
          <w:lang w:val="fr-FR"/>
        </w:rPr>
        <w:t>“</w:t>
      </w:r>
      <w:r w:rsidRPr="00F7615A">
        <w:rPr>
          <w:color w:val="000000"/>
          <w:szCs w:val="22"/>
          <w:lang w:val="fr-FR"/>
        </w:rPr>
        <w:t>naturels</w:t>
      </w:r>
      <w:r w:rsidR="007A7128">
        <w:rPr>
          <w:color w:val="000000"/>
          <w:szCs w:val="22"/>
          <w:lang w:val="fr-FR"/>
        </w:rPr>
        <w:t>”</w:t>
      </w:r>
      <w:r w:rsidRPr="00F7615A">
        <w:rPr>
          <w:color w:val="000000"/>
          <w:szCs w:val="22"/>
          <w:lang w:val="fr-FR"/>
        </w:rPr>
        <w:t>, etc.).  Bien que de manière moins courante, il existe également des éléments attestant de procédés de fabrication peu à peu innovants, telles l</w:t>
      </w:r>
      <w:r w:rsidR="007A7128">
        <w:rPr>
          <w:color w:val="000000"/>
          <w:szCs w:val="22"/>
          <w:lang w:val="fr-FR"/>
        </w:rPr>
        <w:t>’</w:t>
      </w:r>
      <w:r w:rsidRPr="00F7615A">
        <w:rPr>
          <w:color w:val="000000"/>
          <w:szCs w:val="22"/>
          <w:lang w:val="fr-FR"/>
        </w:rPr>
        <w:t>introduction de mécanismes de contrôle de la qualité dans les processus de fabrication et l</w:t>
      </w:r>
      <w:r w:rsidR="007A7128">
        <w:rPr>
          <w:color w:val="000000"/>
          <w:szCs w:val="22"/>
          <w:lang w:val="fr-FR"/>
        </w:rPr>
        <w:t>’</w:t>
      </w:r>
      <w:r w:rsidRPr="00F7615A">
        <w:rPr>
          <w:color w:val="000000"/>
          <w:szCs w:val="22"/>
          <w:lang w:val="fr-FR"/>
        </w:rPr>
        <w:t>acquisition de matériel moderne (par exemple mixeurs, machines à border, etc.), qui permettent dans certains cas des changements essentiels au</w:t>
      </w:r>
      <w:r>
        <w:rPr>
          <w:color w:val="000000"/>
          <w:szCs w:val="22"/>
          <w:lang w:val="fr-FR"/>
        </w:rPr>
        <w:t xml:space="preserve"> niveau du modèle opérationnel – permettant, par exemple, de fabriquer en série au lieu de recourir aux ventes à l</w:t>
      </w:r>
      <w:r w:rsidR="007A7128">
        <w:rPr>
          <w:color w:val="000000"/>
          <w:szCs w:val="22"/>
          <w:lang w:val="fr-FR"/>
        </w:rPr>
        <w:t>’</w:t>
      </w:r>
      <w:r>
        <w:rPr>
          <w:color w:val="000000"/>
          <w:szCs w:val="22"/>
          <w:lang w:val="fr-FR"/>
        </w:rPr>
        <w:t>unité à des particuliers</w:t>
      </w:r>
      <w:r w:rsidRPr="00E263FC">
        <w:rPr>
          <w:color w:val="000000"/>
          <w:szCs w:val="22"/>
          <w:lang w:val="fr-FR"/>
        </w:rPr>
        <w:t>.</w:t>
      </w:r>
    </w:p>
    <w:p w:rsidR="00291E23" w:rsidRDefault="0008183D" w:rsidP="0062744F">
      <w:pPr>
        <w:spacing w:after="120"/>
        <w:rPr>
          <w:color w:val="000000"/>
          <w:szCs w:val="22"/>
          <w:lang w:val="fr-FR"/>
        </w:rPr>
      </w:pPr>
      <w:r w:rsidRPr="00A0528D">
        <w:rPr>
          <w:i/>
          <w:color w:val="000000"/>
          <w:szCs w:val="22"/>
          <w:lang w:val="fr-FR"/>
        </w:rPr>
        <w:t>Sources de connaissances </w:t>
      </w:r>
      <w:r w:rsidRPr="007A7128">
        <w:rPr>
          <w:i/>
          <w:color w:val="000000"/>
          <w:lang w:val="fr-FR"/>
        </w:rPr>
        <w:t>:</w:t>
      </w:r>
      <w:r w:rsidRPr="00A0528D">
        <w:rPr>
          <w:color w:val="000000"/>
          <w:szCs w:val="22"/>
          <w:lang w:val="fr-FR"/>
        </w:rPr>
        <w:t xml:space="preserve"> le niveau d</w:t>
      </w:r>
      <w:r w:rsidR="007A7128">
        <w:rPr>
          <w:color w:val="000000"/>
          <w:szCs w:val="22"/>
          <w:lang w:val="fr-FR"/>
        </w:rPr>
        <w:t>’</w:t>
      </w:r>
      <w:r w:rsidRPr="00A0528D">
        <w:rPr>
          <w:color w:val="000000"/>
          <w:szCs w:val="22"/>
          <w:lang w:val="fr-FR"/>
        </w:rPr>
        <w:t>instruction des</w:t>
      </w:r>
      <w:r>
        <w:rPr>
          <w:color w:val="000000"/>
          <w:szCs w:val="22"/>
          <w:lang w:val="fr-FR"/>
        </w:rPr>
        <w:t xml:space="preserve"> fabricants du secteur informel dans l</w:t>
      </w:r>
      <w:r w:rsidR="007A7128">
        <w:rPr>
          <w:color w:val="000000"/>
          <w:szCs w:val="22"/>
          <w:lang w:val="fr-FR"/>
        </w:rPr>
        <w:t>’</w:t>
      </w:r>
      <w:r>
        <w:rPr>
          <w:color w:val="000000"/>
          <w:szCs w:val="22"/>
          <w:lang w:val="fr-FR"/>
        </w:rPr>
        <w:t>échantillon est très élevé, puisqu</w:t>
      </w:r>
      <w:r w:rsidR="007A7128">
        <w:rPr>
          <w:color w:val="000000"/>
          <w:szCs w:val="22"/>
          <w:lang w:val="fr-FR"/>
        </w:rPr>
        <w:t>’</w:t>
      </w:r>
      <w:r>
        <w:rPr>
          <w:color w:val="000000"/>
          <w:szCs w:val="22"/>
          <w:lang w:val="fr-FR"/>
        </w:rPr>
        <w:t>un tiers des personnes interrogées ont suivi des programmes d</w:t>
      </w:r>
      <w:r w:rsidR="007A7128">
        <w:rPr>
          <w:color w:val="000000"/>
          <w:szCs w:val="22"/>
          <w:lang w:val="fr-FR"/>
        </w:rPr>
        <w:t>’</w:t>
      </w:r>
      <w:r>
        <w:rPr>
          <w:color w:val="000000"/>
          <w:szCs w:val="22"/>
          <w:lang w:val="fr-FR"/>
        </w:rPr>
        <w:t>enseignement de troisième degré.  Toutefois, le manque d</w:t>
      </w:r>
      <w:r w:rsidR="007A7128">
        <w:rPr>
          <w:color w:val="000000"/>
          <w:szCs w:val="22"/>
          <w:lang w:val="fr-FR"/>
        </w:rPr>
        <w:t>’</w:t>
      </w:r>
      <w:r>
        <w:rPr>
          <w:color w:val="000000"/>
          <w:szCs w:val="22"/>
          <w:lang w:val="fr-FR"/>
        </w:rPr>
        <w:t>instruction et de connaissances a été désigné comme représentant un obstacle sérieux à l</w:t>
      </w:r>
      <w:r w:rsidR="007A7128">
        <w:rPr>
          <w:color w:val="000000"/>
          <w:szCs w:val="22"/>
          <w:lang w:val="fr-FR"/>
        </w:rPr>
        <w:t>’</w:t>
      </w:r>
      <w:r>
        <w:rPr>
          <w:color w:val="000000"/>
          <w:szCs w:val="22"/>
          <w:lang w:val="fr-FR"/>
        </w:rPr>
        <w:t>innovation.  Les fabricants du secteur informel acquièrent des connaissances de sources</w:t>
      </w:r>
      <w:r w:rsidRPr="00B43D21">
        <w:rPr>
          <w:color w:val="000000"/>
          <w:szCs w:val="22"/>
          <w:lang w:val="fr-FR"/>
        </w:rPr>
        <w:t xml:space="preserve"> </w:t>
      </w:r>
      <w:r>
        <w:rPr>
          <w:color w:val="000000"/>
          <w:szCs w:val="22"/>
          <w:lang w:val="fr-FR"/>
        </w:rPr>
        <w:t>multiples.  Les fournisseurs et les organismes de transfert de technologie sont des sources essentielles de connaissances nécessaires à l</w:t>
      </w:r>
      <w:r w:rsidR="007A7128">
        <w:rPr>
          <w:color w:val="000000"/>
          <w:szCs w:val="22"/>
          <w:lang w:val="fr-FR"/>
        </w:rPr>
        <w:t>’</w:t>
      </w:r>
      <w:r>
        <w:rPr>
          <w:color w:val="000000"/>
          <w:szCs w:val="22"/>
          <w:lang w:val="fr-FR"/>
        </w:rPr>
        <w:t>innovation.  Cependant, les sources informelles de connaissances, comme apprendre par la pratique ou l</w:t>
      </w:r>
      <w:r w:rsidR="007A7128">
        <w:rPr>
          <w:color w:val="000000"/>
          <w:szCs w:val="22"/>
          <w:lang w:val="fr-FR"/>
        </w:rPr>
        <w:t>’</w:t>
      </w:r>
      <w:r>
        <w:rPr>
          <w:color w:val="000000"/>
          <w:szCs w:val="22"/>
          <w:lang w:val="fr-FR"/>
        </w:rPr>
        <w:t>expérimentation, s</w:t>
      </w:r>
      <w:r w:rsidR="007A7128">
        <w:rPr>
          <w:color w:val="000000"/>
          <w:szCs w:val="22"/>
          <w:lang w:val="fr-FR"/>
        </w:rPr>
        <w:t>’</w:t>
      </w:r>
      <w:proofErr w:type="spellStart"/>
      <w:r>
        <w:rPr>
          <w:color w:val="000000"/>
          <w:szCs w:val="22"/>
          <w:lang w:val="fr-FR"/>
        </w:rPr>
        <w:t>autoformer</w:t>
      </w:r>
      <w:proofErr w:type="spellEnd"/>
      <w:r>
        <w:rPr>
          <w:color w:val="000000"/>
          <w:szCs w:val="22"/>
          <w:lang w:val="fr-FR"/>
        </w:rPr>
        <w:t xml:space="preserve"> et apprendre les uns des autres </w:t>
      </w:r>
      <w:r>
        <w:rPr>
          <w:color w:val="000000"/>
          <w:szCs w:val="22"/>
          <w:lang w:val="fr-FR"/>
        </w:rPr>
        <w:lastRenderedPageBreak/>
        <w:t>entre petits fabricants, s</w:t>
      </w:r>
      <w:r w:rsidR="007A7128">
        <w:rPr>
          <w:color w:val="000000"/>
          <w:szCs w:val="22"/>
          <w:lang w:val="fr-FR"/>
        </w:rPr>
        <w:t>’</w:t>
      </w:r>
      <w:r>
        <w:rPr>
          <w:color w:val="000000"/>
          <w:szCs w:val="22"/>
          <w:lang w:val="fr-FR"/>
        </w:rPr>
        <w:t>avèrent tout aussi pertinentes.  Qui plus est, la formation non structurée, l</w:t>
      </w:r>
      <w:r w:rsidR="007A7128">
        <w:rPr>
          <w:color w:val="000000"/>
          <w:szCs w:val="22"/>
          <w:lang w:val="fr-FR"/>
        </w:rPr>
        <w:t>’</w:t>
      </w:r>
      <w:r>
        <w:rPr>
          <w:color w:val="000000"/>
          <w:szCs w:val="22"/>
          <w:lang w:val="fr-FR"/>
        </w:rPr>
        <w:t>apprentissage et la transmission des connaissances à d</w:t>
      </w:r>
      <w:r w:rsidR="007A7128">
        <w:rPr>
          <w:color w:val="000000"/>
          <w:szCs w:val="22"/>
          <w:lang w:val="fr-FR"/>
        </w:rPr>
        <w:t>’</w:t>
      </w:r>
      <w:r>
        <w:rPr>
          <w:color w:val="000000"/>
          <w:szCs w:val="22"/>
          <w:lang w:val="fr-FR"/>
        </w:rPr>
        <w:t>autres au sein de la communauté participent souvent d</w:t>
      </w:r>
      <w:r w:rsidR="007A7128">
        <w:rPr>
          <w:color w:val="000000"/>
          <w:szCs w:val="22"/>
          <w:lang w:val="fr-FR"/>
        </w:rPr>
        <w:t>’</w:t>
      </w:r>
      <w:r>
        <w:rPr>
          <w:color w:val="000000"/>
          <w:szCs w:val="22"/>
          <w:lang w:val="fr-FR"/>
        </w:rPr>
        <w:t>un sentiment de responsabilité et de devoir envers les communautés dans lesquelles opèrent les fabricants du secteur informel</w:t>
      </w:r>
      <w:r w:rsidRPr="00B43D21">
        <w:rPr>
          <w:color w:val="000000"/>
          <w:szCs w:val="22"/>
          <w:lang w:val="fr-FR"/>
        </w:rPr>
        <w:t>.</w:t>
      </w:r>
    </w:p>
    <w:p w:rsidR="0008183D" w:rsidRPr="005D739B" w:rsidRDefault="0008183D" w:rsidP="0062744F">
      <w:pPr>
        <w:spacing w:after="120"/>
        <w:rPr>
          <w:color w:val="000000"/>
          <w:szCs w:val="22"/>
          <w:lang w:val="fr-FR"/>
        </w:rPr>
      </w:pPr>
      <w:r w:rsidRPr="005D739B">
        <w:rPr>
          <w:i/>
          <w:color w:val="000000"/>
          <w:szCs w:val="22"/>
          <w:lang w:val="fr-FR"/>
        </w:rPr>
        <w:t>Le système d</w:t>
      </w:r>
      <w:r w:rsidR="007A7128">
        <w:rPr>
          <w:i/>
          <w:color w:val="000000"/>
          <w:szCs w:val="22"/>
          <w:lang w:val="fr-FR"/>
        </w:rPr>
        <w:t>’</w:t>
      </w:r>
      <w:r w:rsidRPr="005D739B">
        <w:rPr>
          <w:i/>
          <w:color w:val="000000"/>
          <w:szCs w:val="22"/>
          <w:lang w:val="fr-FR"/>
        </w:rPr>
        <w:t>innovation </w:t>
      </w:r>
      <w:r w:rsidRPr="007A7128">
        <w:rPr>
          <w:i/>
          <w:color w:val="000000"/>
          <w:lang w:val="fr-FR"/>
        </w:rPr>
        <w:t>:</w:t>
      </w:r>
      <w:r w:rsidRPr="005D739B">
        <w:rPr>
          <w:i/>
          <w:color w:val="000000"/>
          <w:szCs w:val="22"/>
          <w:lang w:val="fr-FR"/>
        </w:rPr>
        <w:t xml:space="preserve"> </w:t>
      </w:r>
      <w:r w:rsidRPr="005D739B">
        <w:rPr>
          <w:color w:val="000000"/>
          <w:szCs w:val="22"/>
          <w:lang w:val="fr-FR"/>
        </w:rPr>
        <w:t xml:space="preserve">les activités innovantes menées par les fabricants du secteur </w:t>
      </w:r>
      <w:r>
        <w:rPr>
          <w:color w:val="000000"/>
          <w:szCs w:val="22"/>
          <w:lang w:val="fr-FR"/>
        </w:rPr>
        <w:t>informel intéressent directement un ensemble d</w:t>
      </w:r>
      <w:r w:rsidR="007A7128">
        <w:rPr>
          <w:color w:val="000000"/>
          <w:szCs w:val="22"/>
          <w:lang w:val="fr-FR"/>
        </w:rPr>
        <w:t>’</w:t>
      </w:r>
      <w:r>
        <w:rPr>
          <w:color w:val="000000"/>
          <w:szCs w:val="22"/>
          <w:lang w:val="fr-FR"/>
        </w:rPr>
        <w:t>acteurs autour d</w:t>
      </w:r>
      <w:r w:rsidR="007A7128">
        <w:rPr>
          <w:color w:val="000000"/>
          <w:szCs w:val="22"/>
          <w:lang w:val="fr-FR"/>
        </w:rPr>
        <w:t>’</w:t>
      </w:r>
      <w:r>
        <w:rPr>
          <w:color w:val="000000"/>
          <w:szCs w:val="22"/>
          <w:lang w:val="fr-FR"/>
        </w:rPr>
        <w:t xml:space="preserve">eux et sont influencées par ces mêmes acteurs.  </w:t>
      </w:r>
      <w:r w:rsidRPr="005D739B">
        <w:rPr>
          <w:color w:val="000000"/>
          <w:szCs w:val="22"/>
          <w:lang w:val="fr-FR"/>
        </w:rPr>
        <w:t>En d</w:t>
      </w:r>
      <w:r w:rsidR="007A7128">
        <w:rPr>
          <w:color w:val="000000"/>
          <w:szCs w:val="22"/>
          <w:lang w:val="fr-FR"/>
        </w:rPr>
        <w:t>’</w:t>
      </w:r>
      <w:r w:rsidRPr="005D739B">
        <w:rPr>
          <w:color w:val="000000"/>
          <w:szCs w:val="22"/>
          <w:lang w:val="fr-FR"/>
        </w:rPr>
        <w:t>autres termes, l</w:t>
      </w:r>
      <w:r w:rsidR="007A7128">
        <w:rPr>
          <w:color w:val="000000"/>
          <w:szCs w:val="22"/>
          <w:lang w:val="fr-FR"/>
        </w:rPr>
        <w:t>’</w:t>
      </w:r>
      <w:r w:rsidRPr="005D739B">
        <w:rPr>
          <w:color w:val="000000"/>
          <w:szCs w:val="22"/>
          <w:lang w:val="fr-FR"/>
        </w:rPr>
        <w:t xml:space="preserve">innovation est de nature systémique;  il est par conséquent </w:t>
      </w:r>
      <w:r>
        <w:rPr>
          <w:color w:val="000000"/>
          <w:szCs w:val="22"/>
          <w:lang w:val="fr-FR"/>
        </w:rPr>
        <w:t>indispensable de comprendre l</w:t>
      </w:r>
      <w:r w:rsidR="007A7128">
        <w:rPr>
          <w:color w:val="000000"/>
          <w:szCs w:val="22"/>
          <w:lang w:val="fr-FR"/>
        </w:rPr>
        <w:t>’</w:t>
      </w:r>
      <w:r>
        <w:rPr>
          <w:color w:val="000000"/>
          <w:szCs w:val="22"/>
          <w:lang w:val="fr-FR"/>
        </w:rPr>
        <w:t xml:space="preserve">économie politique et </w:t>
      </w:r>
      <w:r w:rsidR="00291E23">
        <w:rPr>
          <w:color w:val="000000"/>
          <w:szCs w:val="22"/>
          <w:lang w:val="fr-FR"/>
        </w:rPr>
        <w:t>socioéconomique</w:t>
      </w:r>
      <w:r>
        <w:rPr>
          <w:color w:val="000000"/>
          <w:szCs w:val="22"/>
          <w:lang w:val="fr-FR"/>
        </w:rPr>
        <w:t xml:space="preserve"> dans le cadre de laquelle se déroulent les actions innovantes et productives.  Le système qui entoure les fabricants du secteur informel façonne le profil des compétences et des aptitudes disponibles, ainsi que le degré de diffusion et d</w:t>
      </w:r>
      <w:r w:rsidR="007A7128">
        <w:rPr>
          <w:color w:val="000000"/>
          <w:szCs w:val="22"/>
          <w:lang w:val="fr-FR"/>
        </w:rPr>
        <w:t>’</w:t>
      </w:r>
      <w:r>
        <w:rPr>
          <w:color w:val="000000"/>
          <w:szCs w:val="22"/>
          <w:lang w:val="fr-FR"/>
        </w:rPr>
        <w:t xml:space="preserve">utilisation des innovations.  </w:t>
      </w:r>
      <w:r w:rsidRPr="005D739B">
        <w:rPr>
          <w:color w:val="000000"/>
          <w:szCs w:val="22"/>
          <w:lang w:val="fr-FR"/>
        </w:rPr>
        <w:t>Le présent rapport recense quelques</w:t>
      </w:r>
      <w:r w:rsidR="007A7128">
        <w:rPr>
          <w:color w:val="000000"/>
          <w:szCs w:val="22"/>
          <w:lang w:val="fr-FR"/>
        </w:rPr>
        <w:noBreakHyphen/>
      </w:r>
      <w:r w:rsidRPr="005D739B">
        <w:rPr>
          <w:color w:val="000000"/>
          <w:szCs w:val="22"/>
          <w:lang w:val="fr-FR"/>
        </w:rPr>
        <w:t xml:space="preserve">uns des </w:t>
      </w:r>
      <w:r>
        <w:rPr>
          <w:color w:val="000000"/>
          <w:szCs w:val="22"/>
          <w:lang w:val="fr-FR"/>
        </w:rPr>
        <w:t xml:space="preserve">principaux </w:t>
      </w:r>
      <w:r w:rsidRPr="005D739B">
        <w:rPr>
          <w:color w:val="000000"/>
          <w:szCs w:val="22"/>
          <w:lang w:val="fr-FR"/>
        </w:rPr>
        <w:t>acteurs</w:t>
      </w:r>
      <w:r>
        <w:rPr>
          <w:color w:val="000000"/>
          <w:szCs w:val="22"/>
          <w:lang w:val="fr-FR"/>
        </w:rPr>
        <w:t>, au nombre desquels les organismes à vocation éducative et de formation, les organismes de financement et de soutien, les organismes publics, les organismes de transfert de technologie et les organismes représentatifs de l</w:t>
      </w:r>
      <w:r w:rsidR="007A7128">
        <w:rPr>
          <w:color w:val="000000"/>
          <w:szCs w:val="22"/>
          <w:lang w:val="fr-FR"/>
        </w:rPr>
        <w:t>’</w:t>
      </w:r>
      <w:r>
        <w:rPr>
          <w:color w:val="000000"/>
          <w:szCs w:val="22"/>
          <w:lang w:val="fr-FR"/>
        </w:rPr>
        <w:t xml:space="preserve">industrie – </w:t>
      </w:r>
      <w:r w:rsidR="0072367D">
        <w:rPr>
          <w:color w:val="000000"/>
          <w:szCs w:val="22"/>
          <w:lang w:val="fr-FR"/>
        </w:rPr>
        <w:t>à savoir</w:t>
      </w:r>
      <w:r>
        <w:rPr>
          <w:color w:val="000000"/>
          <w:szCs w:val="22"/>
          <w:lang w:val="fr-FR"/>
        </w:rPr>
        <w:t xml:space="preserve"> les organismes officiels liés aux institutions officielles (réglementation e</w:t>
      </w:r>
      <w:r w:rsidR="00E11EC8">
        <w:rPr>
          <w:color w:val="000000"/>
          <w:szCs w:val="22"/>
          <w:lang w:val="fr-FR"/>
        </w:rPr>
        <w:t>t législation officielles).  Il </w:t>
      </w:r>
      <w:r>
        <w:rPr>
          <w:color w:val="000000"/>
          <w:szCs w:val="22"/>
          <w:lang w:val="fr-FR"/>
        </w:rPr>
        <w:t xml:space="preserve">convient en outre de porter une attention particulière à la communauté au sens large, laquelle joue un grand rôle aussi bien comme source de demande que pour ce qui est de la création des </w:t>
      </w:r>
      <w:r w:rsidR="00E11EC8">
        <w:rPr>
          <w:color w:val="000000"/>
          <w:szCs w:val="22"/>
          <w:lang w:val="fr-FR"/>
        </w:rPr>
        <w:t>“</w:t>
      </w:r>
      <w:r>
        <w:rPr>
          <w:color w:val="000000"/>
          <w:szCs w:val="22"/>
          <w:lang w:val="fr-FR"/>
        </w:rPr>
        <w:t>institutions non structurées</w:t>
      </w:r>
      <w:r w:rsidR="00E11EC8">
        <w:rPr>
          <w:color w:val="000000"/>
          <w:szCs w:val="22"/>
          <w:lang w:val="fr-FR"/>
        </w:rPr>
        <w:t>”</w:t>
      </w:r>
      <w:r>
        <w:rPr>
          <w:color w:val="000000"/>
          <w:szCs w:val="22"/>
          <w:lang w:val="fr-FR"/>
        </w:rPr>
        <w:t xml:space="preserve"> qui guident bon nombre des décisions prises par les entrepreneurs du secteur informel.  Les résultats de l</w:t>
      </w:r>
      <w:r w:rsidR="007A7128">
        <w:rPr>
          <w:color w:val="000000"/>
          <w:szCs w:val="22"/>
          <w:lang w:val="fr-FR"/>
        </w:rPr>
        <w:t>’</w:t>
      </w:r>
      <w:r>
        <w:rPr>
          <w:color w:val="000000"/>
          <w:szCs w:val="22"/>
          <w:lang w:val="fr-FR"/>
        </w:rPr>
        <w:t xml:space="preserve">étude révèlent que les fabricants du secteur informel qui peuvent se mettre en rapport avec le </w:t>
      </w:r>
      <w:r w:rsidRPr="00F7615A">
        <w:rPr>
          <w:color w:val="000000"/>
          <w:szCs w:val="22"/>
          <w:lang w:val="fr-FR"/>
        </w:rPr>
        <w:t>système plus large de l</w:t>
      </w:r>
      <w:r w:rsidR="007A7128">
        <w:rPr>
          <w:color w:val="000000"/>
          <w:szCs w:val="22"/>
          <w:lang w:val="fr-FR"/>
        </w:rPr>
        <w:t>’</w:t>
      </w:r>
      <w:r w:rsidRPr="00F7615A">
        <w:rPr>
          <w:color w:val="000000"/>
          <w:szCs w:val="22"/>
          <w:lang w:val="fr-FR"/>
        </w:rPr>
        <w:t>innovation ont de meilleures</w:t>
      </w:r>
      <w:r>
        <w:rPr>
          <w:color w:val="000000"/>
          <w:szCs w:val="22"/>
          <w:lang w:val="fr-FR"/>
        </w:rPr>
        <w:t xml:space="preserve"> chances de réussir dans leurs activités</w:t>
      </w:r>
      <w:r w:rsidRPr="00D73285">
        <w:rPr>
          <w:color w:val="000000"/>
          <w:szCs w:val="22"/>
          <w:lang w:val="fr-FR"/>
        </w:rPr>
        <w:t>.</w:t>
      </w:r>
    </w:p>
    <w:p w:rsidR="0008183D" w:rsidRPr="00F7615A" w:rsidRDefault="0008183D" w:rsidP="0062744F">
      <w:pPr>
        <w:spacing w:after="120"/>
        <w:rPr>
          <w:color w:val="000000"/>
          <w:szCs w:val="22"/>
          <w:lang w:val="fr-FR"/>
        </w:rPr>
      </w:pPr>
      <w:r w:rsidRPr="00D73285">
        <w:rPr>
          <w:i/>
          <w:color w:val="000000"/>
          <w:szCs w:val="22"/>
          <w:lang w:val="fr-FR"/>
        </w:rPr>
        <w:t>Mécanismes d</w:t>
      </w:r>
      <w:r w:rsidR="007A7128">
        <w:rPr>
          <w:i/>
          <w:color w:val="000000"/>
          <w:szCs w:val="22"/>
          <w:lang w:val="fr-FR"/>
        </w:rPr>
        <w:t>’</w:t>
      </w:r>
      <w:r w:rsidRPr="00D73285">
        <w:rPr>
          <w:i/>
          <w:color w:val="000000"/>
          <w:szCs w:val="22"/>
          <w:lang w:val="fr-FR"/>
        </w:rPr>
        <w:t>appropriation des connaissances </w:t>
      </w:r>
      <w:r w:rsidRPr="007A7128">
        <w:rPr>
          <w:i/>
          <w:color w:val="000000"/>
          <w:lang w:val="fr-FR"/>
        </w:rPr>
        <w:t>:</w:t>
      </w:r>
      <w:r w:rsidRPr="00D73285">
        <w:rPr>
          <w:color w:val="000000"/>
          <w:szCs w:val="22"/>
          <w:lang w:val="fr-FR"/>
        </w:rPr>
        <w:t xml:space="preserve"> les préoccupations</w:t>
      </w:r>
      <w:r>
        <w:rPr>
          <w:color w:val="000000"/>
          <w:szCs w:val="22"/>
          <w:lang w:val="fr-FR"/>
        </w:rPr>
        <w:t xml:space="preserve"> liées à l</w:t>
      </w:r>
      <w:r w:rsidR="007A7128">
        <w:rPr>
          <w:color w:val="000000"/>
          <w:szCs w:val="22"/>
          <w:lang w:val="fr-FR"/>
        </w:rPr>
        <w:t>’</w:t>
      </w:r>
      <w:r>
        <w:rPr>
          <w:color w:val="000000"/>
          <w:szCs w:val="22"/>
          <w:lang w:val="fr-FR"/>
        </w:rPr>
        <w:t>appropriation des connaissances par les fabricants du secteur informel répondent souvent à leur impression de forte concurrence, notamment dans leur zone géographique d</w:t>
      </w:r>
      <w:r w:rsidR="007A7128">
        <w:rPr>
          <w:color w:val="000000"/>
          <w:szCs w:val="22"/>
          <w:lang w:val="fr-FR"/>
        </w:rPr>
        <w:t>’</w:t>
      </w:r>
      <w:r>
        <w:rPr>
          <w:color w:val="000000"/>
          <w:szCs w:val="22"/>
          <w:lang w:val="fr-FR"/>
        </w:rPr>
        <w:t>activités.  La plupart des personnes interrogées protègent leurs idées d</w:t>
      </w:r>
      <w:r w:rsidR="007A7128">
        <w:rPr>
          <w:color w:val="000000"/>
          <w:szCs w:val="22"/>
          <w:lang w:val="fr-FR"/>
        </w:rPr>
        <w:t>’</w:t>
      </w:r>
      <w:r>
        <w:rPr>
          <w:color w:val="000000"/>
          <w:szCs w:val="22"/>
          <w:lang w:val="fr-FR"/>
        </w:rPr>
        <w:t>une manière ou d</w:t>
      </w:r>
      <w:r w:rsidR="007A7128">
        <w:rPr>
          <w:color w:val="000000"/>
          <w:szCs w:val="22"/>
          <w:lang w:val="fr-FR"/>
        </w:rPr>
        <w:t>’</w:t>
      </w:r>
      <w:r>
        <w:rPr>
          <w:color w:val="000000"/>
          <w:szCs w:val="22"/>
          <w:lang w:val="fr-FR"/>
        </w:rPr>
        <w:t>une autre.  Le partage sélectif des informations, le secret, la répartition des tâches et la gestion des relations clients sont quelques</w:t>
      </w:r>
      <w:r w:rsidR="007A7128">
        <w:rPr>
          <w:color w:val="000000"/>
          <w:szCs w:val="22"/>
          <w:lang w:val="fr-FR"/>
        </w:rPr>
        <w:noBreakHyphen/>
      </w:r>
      <w:r>
        <w:rPr>
          <w:color w:val="000000"/>
          <w:szCs w:val="22"/>
          <w:lang w:val="fr-FR"/>
        </w:rPr>
        <w:t>uns des mécanismes les plus communément utilisés, tandis que le recours aux mécanismes d</w:t>
      </w:r>
      <w:r w:rsidR="007A7128">
        <w:rPr>
          <w:color w:val="000000"/>
          <w:szCs w:val="22"/>
          <w:lang w:val="fr-FR"/>
        </w:rPr>
        <w:t>’</w:t>
      </w:r>
      <w:r>
        <w:rPr>
          <w:color w:val="000000"/>
          <w:szCs w:val="22"/>
          <w:lang w:val="fr-FR"/>
        </w:rPr>
        <w:t>appropriation des connaissances comme les brevets ou les marques est faible.  Il est intéressant de signaler que les fabricants de produits cosmétiques et ménagers du secteur informel apprécient les avantages d</w:t>
      </w:r>
      <w:r w:rsidR="007A7128">
        <w:rPr>
          <w:color w:val="000000"/>
          <w:szCs w:val="22"/>
          <w:lang w:val="fr-FR"/>
        </w:rPr>
        <w:t>’</w:t>
      </w:r>
      <w:r>
        <w:rPr>
          <w:color w:val="000000"/>
          <w:szCs w:val="22"/>
          <w:lang w:val="fr-FR"/>
        </w:rPr>
        <w:t>un transfert ouvert des idées, bien qu</w:t>
      </w:r>
      <w:r w:rsidR="007A7128">
        <w:rPr>
          <w:color w:val="000000"/>
          <w:szCs w:val="22"/>
          <w:lang w:val="fr-FR"/>
        </w:rPr>
        <w:t>’</w:t>
      </w:r>
      <w:r>
        <w:rPr>
          <w:color w:val="000000"/>
          <w:szCs w:val="22"/>
          <w:lang w:val="fr-FR"/>
        </w:rPr>
        <w:t>ils ne soient, souvent, pas au courant des mécanismes d</w:t>
      </w:r>
      <w:r w:rsidR="007A7128">
        <w:rPr>
          <w:color w:val="000000"/>
          <w:szCs w:val="22"/>
          <w:lang w:val="fr-FR"/>
        </w:rPr>
        <w:t>’</w:t>
      </w:r>
      <w:r>
        <w:rPr>
          <w:color w:val="000000"/>
          <w:szCs w:val="22"/>
          <w:lang w:val="fr-FR"/>
        </w:rPr>
        <w:t>appropriation des connaissances qui conviennent à leurs besoins.  D</w:t>
      </w:r>
      <w:r w:rsidR="007A7128">
        <w:rPr>
          <w:color w:val="000000"/>
          <w:szCs w:val="22"/>
          <w:lang w:val="fr-FR"/>
        </w:rPr>
        <w:t>’</w:t>
      </w:r>
      <w:r>
        <w:rPr>
          <w:color w:val="000000"/>
          <w:szCs w:val="22"/>
          <w:lang w:val="fr-FR"/>
        </w:rPr>
        <w:t>autres expériences (</w:t>
      </w:r>
      <w:proofErr w:type="spellStart"/>
      <w:r w:rsidRPr="00271D2D">
        <w:rPr>
          <w:color w:val="000000"/>
          <w:szCs w:val="22"/>
          <w:lang w:val="fr-FR"/>
        </w:rPr>
        <w:t>Essegbey</w:t>
      </w:r>
      <w:proofErr w:type="spellEnd"/>
      <w:r w:rsidRPr="00271D2D">
        <w:rPr>
          <w:color w:val="000000"/>
          <w:szCs w:val="22"/>
          <w:lang w:val="fr-FR"/>
        </w:rPr>
        <w:t xml:space="preserve"> et coll., 2013;  Bull et coll., 2013) donnent à penser que </w:t>
      </w:r>
      <w:r>
        <w:rPr>
          <w:color w:val="000000"/>
          <w:szCs w:val="22"/>
          <w:lang w:val="fr-FR"/>
        </w:rPr>
        <w:t xml:space="preserve">les </w:t>
      </w:r>
      <w:r w:rsidRPr="00F7615A">
        <w:rPr>
          <w:color w:val="000000"/>
          <w:szCs w:val="22"/>
          <w:lang w:val="fr-FR"/>
        </w:rPr>
        <w:t>intermédiaires ou les courtiers de connaissances, tels que les associations sectorielles semi</w:t>
      </w:r>
      <w:r w:rsidR="007A7128">
        <w:rPr>
          <w:color w:val="000000"/>
          <w:szCs w:val="22"/>
          <w:lang w:val="fr-FR"/>
        </w:rPr>
        <w:noBreakHyphen/>
      </w:r>
      <w:r w:rsidRPr="00F7615A">
        <w:rPr>
          <w:color w:val="000000"/>
          <w:szCs w:val="22"/>
          <w:lang w:val="fr-FR"/>
        </w:rPr>
        <w:t>officielles, pourraient en grande partie contribuer à ces réserves.</w:t>
      </w:r>
    </w:p>
    <w:p w:rsidR="0008183D" w:rsidRPr="000E2285" w:rsidRDefault="0008183D" w:rsidP="00BC035B">
      <w:pPr>
        <w:rPr>
          <w:color w:val="000000"/>
          <w:szCs w:val="22"/>
          <w:lang w:val="fr-FR"/>
        </w:rPr>
      </w:pPr>
      <w:r w:rsidRPr="00F7615A">
        <w:rPr>
          <w:i/>
          <w:color w:val="000000"/>
          <w:szCs w:val="22"/>
          <w:lang w:val="fr-FR"/>
        </w:rPr>
        <w:t>Incidences stratégiques </w:t>
      </w:r>
      <w:r w:rsidRPr="007A7128">
        <w:rPr>
          <w:i/>
          <w:color w:val="000000"/>
          <w:lang w:val="fr-FR"/>
        </w:rPr>
        <w:t>:</w:t>
      </w:r>
      <w:r w:rsidRPr="00F7615A">
        <w:rPr>
          <w:color w:val="000000"/>
          <w:szCs w:val="22"/>
          <w:lang w:val="fr-FR"/>
        </w:rPr>
        <w:t xml:space="preserve"> selon la conception stratégique générale sud</w:t>
      </w:r>
      <w:r w:rsidR="007A7128">
        <w:rPr>
          <w:color w:val="000000"/>
          <w:szCs w:val="22"/>
          <w:lang w:val="fr-FR"/>
        </w:rPr>
        <w:noBreakHyphen/>
      </w:r>
      <w:r w:rsidRPr="00F7615A">
        <w:rPr>
          <w:color w:val="000000"/>
          <w:szCs w:val="22"/>
          <w:lang w:val="fr-FR"/>
        </w:rPr>
        <w:t>africaine, les activités économiques informelles sont perçues comme contribuant de manière déterminante à la création d</w:t>
      </w:r>
      <w:r w:rsidR="007A7128">
        <w:rPr>
          <w:color w:val="000000"/>
          <w:szCs w:val="22"/>
          <w:lang w:val="fr-FR"/>
        </w:rPr>
        <w:t>’</w:t>
      </w:r>
      <w:r w:rsidRPr="00F7615A">
        <w:rPr>
          <w:color w:val="000000"/>
          <w:szCs w:val="22"/>
          <w:lang w:val="fr-FR"/>
        </w:rPr>
        <w:t>emplois, à la réduction de la pauvreté et au développement participatif.  Cette perception se révèle à travers toutes les politiques présidant à la croissance économique et au développement au niveau tant national que provincial.  Des efforts se déploient pour promouvoir l</w:t>
      </w:r>
      <w:r w:rsidR="007A7128">
        <w:rPr>
          <w:color w:val="000000"/>
          <w:szCs w:val="22"/>
          <w:lang w:val="fr-FR"/>
        </w:rPr>
        <w:t>’</w:t>
      </w:r>
      <w:r w:rsidRPr="00F7615A">
        <w:rPr>
          <w:color w:val="000000"/>
          <w:szCs w:val="22"/>
          <w:lang w:val="fr-FR"/>
        </w:rPr>
        <w:t xml:space="preserve">emploi en facilitant la création de </w:t>
      </w:r>
      <w:r w:rsidR="007A7128">
        <w:rPr>
          <w:color w:val="000000"/>
          <w:szCs w:val="22"/>
          <w:lang w:val="fr-FR"/>
        </w:rPr>
        <w:t>“</w:t>
      </w:r>
      <w:r w:rsidRPr="00F7615A">
        <w:rPr>
          <w:color w:val="000000"/>
          <w:szCs w:val="22"/>
          <w:lang w:val="fr-FR"/>
        </w:rPr>
        <w:t>start</w:t>
      </w:r>
      <w:r w:rsidR="007A7128">
        <w:rPr>
          <w:color w:val="000000"/>
          <w:szCs w:val="22"/>
          <w:lang w:val="fr-FR"/>
        </w:rPr>
        <w:noBreakHyphen/>
      </w:r>
      <w:r w:rsidRPr="00F7615A">
        <w:rPr>
          <w:color w:val="000000"/>
          <w:szCs w:val="22"/>
          <w:lang w:val="fr-FR"/>
        </w:rPr>
        <w:t>up</w:t>
      </w:r>
      <w:r w:rsidR="007A7128">
        <w:rPr>
          <w:color w:val="000000"/>
          <w:szCs w:val="22"/>
          <w:lang w:val="fr-FR"/>
        </w:rPr>
        <w:t>”</w:t>
      </w:r>
      <w:r w:rsidRPr="00F7615A">
        <w:rPr>
          <w:color w:val="000000"/>
          <w:szCs w:val="22"/>
          <w:lang w:val="fr-FR"/>
        </w:rPr>
        <w:t xml:space="preserve"> et en fournissant plusieurs types d</w:t>
      </w:r>
      <w:r w:rsidR="007A7128">
        <w:rPr>
          <w:color w:val="000000"/>
          <w:szCs w:val="22"/>
          <w:lang w:val="fr-FR"/>
        </w:rPr>
        <w:t>’</w:t>
      </w:r>
      <w:r w:rsidRPr="00F7615A">
        <w:rPr>
          <w:color w:val="000000"/>
          <w:szCs w:val="22"/>
          <w:lang w:val="fr-FR"/>
        </w:rPr>
        <w:t xml:space="preserve">appui aux </w:t>
      </w:r>
      <w:proofErr w:type="spellStart"/>
      <w:r w:rsidR="00C4029D">
        <w:rPr>
          <w:color w:val="000000"/>
          <w:szCs w:val="22"/>
          <w:lang w:val="fr-FR"/>
        </w:rPr>
        <w:t>microentreprises</w:t>
      </w:r>
      <w:proofErr w:type="spellEnd"/>
      <w:r w:rsidRPr="00F7615A">
        <w:rPr>
          <w:color w:val="000000"/>
          <w:szCs w:val="22"/>
          <w:lang w:val="fr-FR"/>
        </w:rPr>
        <w:t xml:space="preserve"> – tels que soutien financier, formation et transfert de technologie.  Si certaines de ces initiatives ont des incidences sur les entrepreneurs du secteur informel, des carences persistent en ce qui concerne la création de programmes qui ciblent expressément les besoins des innovateurs de l</w:t>
      </w:r>
      <w:r w:rsidR="007A7128">
        <w:rPr>
          <w:color w:val="000000"/>
          <w:szCs w:val="22"/>
          <w:lang w:val="fr-FR"/>
        </w:rPr>
        <w:t>’</w:t>
      </w:r>
      <w:r w:rsidRPr="00F7615A">
        <w:rPr>
          <w:color w:val="000000"/>
          <w:szCs w:val="22"/>
          <w:lang w:val="fr-FR"/>
        </w:rPr>
        <w:t>économie informelle, ou qui relient les innovations générées dans le cadre de cette dernière au système plus large de l</w:t>
      </w:r>
      <w:r w:rsidR="007A7128">
        <w:rPr>
          <w:color w:val="000000"/>
          <w:szCs w:val="22"/>
          <w:lang w:val="fr-FR"/>
        </w:rPr>
        <w:t>’</w:t>
      </w:r>
      <w:r w:rsidRPr="00F7615A">
        <w:rPr>
          <w:color w:val="000000"/>
          <w:szCs w:val="22"/>
          <w:lang w:val="fr-FR"/>
        </w:rPr>
        <w:t xml:space="preserve">innovation.  Le présent rapport fait valoir que toutes les capacités créatives locales doivent être déployées pour remédier aux inégalités et éviter les risques </w:t>
      </w:r>
      <w:r w:rsidR="00291E23">
        <w:rPr>
          <w:color w:val="000000"/>
          <w:szCs w:val="22"/>
          <w:lang w:val="fr-FR"/>
        </w:rPr>
        <w:t>socioéconomique</w:t>
      </w:r>
      <w:r w:rsidRPr="00F7615A">
        <w:rPr>
          <w:color w:val="000000"/>
          <w:szCs w:val="22"/>
          <w:lang w:val="fr-FR"/>
        </w:rPr>
        <w:t>s liés au chômage endémique.  Les approches non sélectives de la politique d</w:t>
      </w:r>
      <w:r w:rsidR="007A7128">
        <w:rPr>
          <w:color w:val="000000"/>
          <w:szCs w:val="22"/>
          <w:lang w:val="fr-FR"/>
        </w:rPr>
        <w:t>’</w:t>
      </w:r>
      <w:r w:rsidRPr="00F7615A">
        <w:rPr>
          <w:color w:val="000000"/>
          <w:szCs w:val="22"/>
          <w:lang w:val="fr-FR"/>
        </w:rPr>
        <w:t>innovation et de la propriété intellectuelle doivent</w:t>
      </w:r>
      <w:r>
        <w:rPr>
          <w:color w:val="000000"/>
          <w:szCs w:val="22"/>
          <w:lang w:val="fr-FR"/>
        </w:rPr>
        <w:t xml:space="preserve"> établir des liens explicites avec les innovations générées dans le cadre de l</w:t>
      </w:r>
      <w:r w:rsidR="007A7128">
        <w:rPr>
          <w:color w:val="000000"/>
          <w:szCs w:val="22"/>
          <w:lang w:val="fr-FR"/>
        </w:rPr>
        <w:t>’</w:t>
      </w:r>
      <w:r>
        <w:rPr>
          <w:color w:val="000000"/>
          <w:szCs w:val="22"/>
          <w:lang w:val="fr-FR"/>
        </w:rPr>
        <w:t>économie informelle</w:t>
      </w:r>
      <w:r w:rsidRPr="00F7615A">
        <w:rPr>
          <w:color w:val="000000"/>
          <w:szCs w:val="22"/>
          <w:lang w:val="fr-FR"/>
        </w:rPr>
        <w:t>.</w:t>
      </w:r>
    </w:p>
    <w:p w:rsidR="0008183D" w:rsidRPr="00F7615A" w:rsidRDefault="0008183D" w:rsidP="0062744F">
      <w:pPr>
        <w:rPr>
          <w:lang w:val="fr-FR"/>
        </w:rPr>
      </w:pPr>
    </w:p>
    <w:p w:rsidR="0008183D" w:rsidRPr="00F7615A" w:rsidRDefault="0008183D">
      <w:pPr>
        <w:rPr>
          <w:lang w:val="fr-FR"/>
        </w:rPr>
      </w:pPr>
    </w:p>
    <w:p w:rsidR="0008183D" w:rsidRPr="00F7615A" w:rsidRDefault="0008183D">
      <w:pPr>
        <w:rPr>
          <w:lang w:val="fr-FR"/>
        </w:rPr>
      </w:pPr>
    </w:p>
    <w:p w:rsidR="0008183D" w:rsidRPr="004F530C" w:rsidRDefault="0008183D" w:rsidP="00BC035B">
      <w:pPr>
        <w:pStyle w:val="Endofdocument-Annex"/>
        <w:rPr>
          <w:lang w:val="fr-FR"/>
        </w:rPr>
      </w:pPr>
      <w:r w:rsidRPr="004F530C">
        <w:rPr>
          <w:lang w:val="fr-FR"/>
        </w:rPr>
        <w:t>[</w:t>
      </w:r>
      <w:r>
        <w:rPr>
          <w:szCs w:val="22"/>
          <w:lang w:val="fr-FR"/>
        </w:rPr>
        <w:t>Fin de l</w:t>
      </w:r>
      <w:r w:rsidR="007A7128">
        <w:rPr>
          <w:szCs w:val="22"/>
          <w:lang w:val="fr-FR"/>
        </w:rPr>
        <w:t>’</w:t>
      </w:r>
      <w:r>
        <w:rPr>
          <w:szCs w:val="22"/>
          <w:lang w:val="fr-FR"/>
        </w:rPr>
        <w:t xml:space="preserve">annexe et du </w:t>
      </w:r>
      <w:r w:rsidRPr="00382D92">
        <w:rPr>
          <w:szCs w:val="22"/>
          <w:lang w:val="fr-FR"/>
        </w:rPr>
        <w:t>document</w:t>
      </w:r>
      <w:r w:rsidRPr="004F530C">
        <w:rPr>
          <w:lang w:val="fr-FR"/>
        </w:rPr>
        <w:t>]</w:t>
      </w:r>
    </w:p>
    <w:sectPr w:rsidR="0008183D" w:rsidRPr="004F530C" w:rsidSect="007A7128">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3D" w:rsidRDefault="0008183D">
      <w:r>
        <w:separator/>
      </w:r>
    </w:p>
  </w:endnote>
  <w:endnote w:type="continuationSeparator" w:id="0">
    <w:p w:rsidR="0008183D" w:rsidRDefault="0008183D" w:rsidP="003B38C1">
      <w:r>
        <w:separator/>
      </w:r>
    </w:p>
    <w:p w:rsidR="0008183D" w:rsidRPr="003B38C1" w:rsidRDefault="0008183D" w:rsidP="003B38C1">
      <w:pPr>
        <w:spacing w:after="60"/>
        <w:rPr>
          <w:sz w:val="17"/>
        </w:rPr>
      </w:pPr>
      <w:r>
        <w:rPr>
          <w:sz w:val="17"/>
        </w:rPr>
        <w:t>[Endnote continued from previous page]</w:t>
      </w:r>
    </w:p>
  </w:endnote>
  <w:endnote w:type="continuationNotice" w:id="1">
    <w:p w:rsidR="0008183D" w:rsidRPr="003B38C1" w:rsidRDefault="000818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28" w:rsidRPr="007A7128" w:rsidRDefault="007A7128" w:rsidP="007A7128">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83D" w:rsidRDefault="00081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3D" w:rsidRDefault="0008183D">
      <w:r>
        <w:separator/>
      </w:r>
    </w:p>
  </w:footnote>
  <w:footnote w:type="continuationSeparator" w:id="0">
    <w:p w:rsidR="0008183D" w:rsidRDefault="0008183D" w:rsidP="008B60B2">
      <w:r>
        <w:separator/>
      </w:r>
    </w:p>
    <w:p w:rsidR="0008183D" w:rsidRPr="00ED77FB" w:rsidRDefault="0008183D" w:rsidP="008B60B2">
      <w:pPr>
        <w:spacing w:after="60"/>
        <w:rPr>
          <w:sz w:val="17"/>
          <w:szCs w:val="17"/>
        </w:rPr>
      </w:pPr>
      <w:r w:rsidRPr="00ED77FB">
        <w:rPr>
          <w:sz w:val="17"/>
          <w:szCs w:val="17"/>
        </w:rPr>
        <w:t>[Footnote continued from previous page]</w:t>
      </w:r>
    </w:p>
  </w:footnote>
  <w:footnote w:type="continuationNotice" w:id="1">
    <w:p w:rsidR="0008183D" w:rsidRPr="00ED77FB" w:rsidRDefault="0008183D" w:rsidP="008B60B2">
      <w:pPr>
        <w:spacing w:before="60"/>
        <w:jc w:val="right"/>
        <w:rPr>
          <w:sz w:val="17"/>
          <w:szCs w:val="17"/>
        </w:rPr>
      </w:pPr>
      <w:r w:rsidRPr="00ED77FB">
        <w:rPr>
          <w:sz w:val="17"/>
          <w:szCs w:val="17"/>
        </w:rPr>
        <w:t>[Footnote continued on next page]</w:t>
      </w:r>
    </w:p>
  </w:footnote>
  <w:footnote w:id="2">
    <w:p w:rsidR="0008183D" w:rsidRDefault="0008183D" w:rsidP="0062744F">
      <w:pPr>
        <w:pStyle w:val="FootnoteText"/>
      </w:pPr>
      <w:r>
        <w:rPr>
          <w:rStyle w:val="FootnoteReference"/>
          <w:rFonts w:cs="Arial"/>
        </w:rPr>
        <w:footnoteRef/>
      </w:r>
      <w:r w:rsidRPr="003E7625">
        <w:rPr>
          <w:lang w:val="fr-FR"/>
        </w:rPr>
        <w:t xml:space="preserve"> </w:t>
      </w:r>
      <w:r w:rsidR="00C4029D">
        <w:rPr>
          <w:lang w:val="fr-FR"/>
        </w:rPr>
        <w:tab/>
      </w:r>
      <w:r w:rsidRPr="003E7625">
        <w:rPr>
          <w:lang w:val="fr-FR"/>
        </w:rPr>
        <w:t xml:space="preserve">Division de statistique de l’ONU, </w:t>
      </w:r>
      <w:r>
        <w:rPr>
          <w:lang w:val="fr-FR"/>
        </w:rPr>
        <w:t>note explicative disponible à l’adresse suivante </w:t>
      </w:r>
      <w:r w:rsidRPr="003E7625">
        <w:rPr>
          <w:lang w:val="fr-FR"/>
        </w:rPr>
        <w:t xml:space="preserve">: </w:t>
      </w:r>
      <w:hyperlink r:id="rId1" w:history="1">
        <w:r w:rsidRPr="00C4029D">
          <w:rPr>
            <w:rStyle w:val="Hyperlink"/>
            <w:rFonts w:cs="Arial"/>
            <w:color w:val="auto"/>
            <w:u w:val="none"/>
            <w:lang w:val="fr-FR"/>
          </w:rPr>
          <w:t>https://unstats.un.org/unsd/cr/registry/regcs.asp?Cl=17&amp;Co=2424&amp;Lg=1</w:t>
        </w:r>
      </w:hyperlink>
      <w:r w:rsidRPr="00C4029D">
        <w:rPr>
          <w:lang w:val="fr-FR"/>
        </w:rPr>
        <w:t xml:space="preserve"> </w:t>
      </w:r>
    </w:p>
  </w:footnote>
  <w:footnote w:id="3">
    <w:p w:rsidR="0008183D" w:rsidRDefault="0008183D" w:rsidP="0062744F">
      <w:pPr>
        <w:pStyle w:val="FootnoteText"/>
      </w:pPr>
      <w:r>
        <w:rPr>
          <w:rStyle w:val="FootnoteReference"/>
          <w:rFonts w:cs="Arial"/>
        </w:rPr>
        <w:footnoteRef/>
      </w:r>
      <w:r w:rsidRPr="008D4187">
        <w:rPr>
          <w:lang w:val="fr-FR"/>
        </w:rPr>
        <w:t xml:space="preserve"> </w:t>
      </w:r>
      <w:r w:rsidR="00E11EC8">
        <w:rPr>
          <w:lang w:val="fr-FR"/>
        </w:rPr>
        <w:tab/>
      </w:r>
      <w:r w:rsidRPr="008D4187">
        <w:rPr>
          <w:lang w:val="fr-FR"/>
        </w:rPr>
        <w:t xml:space="preserve">Étude théorique disponible à l’adresse suivante : </w:t>
      </w:r>
      <w:hyperlink r:id="rId2" w:history="1">
        <w:r w:rsidRPr="00C4029D">
          <w:rPr>
            <w:rStyle w:val="Hyperlink"/>
            <w:rFonts w:cs="Arial"/>
            <w:color w:val="auto"/>
            <w:u w:val="none"/>
            <w:lang w:val="fr-FR"/>
          </w:rPr>
          <w:t>http://www.wipo.int/meetings/en/doc_details.jsp?doc_id=232525</w:t>
        </w:r>
      </w:hyperlink>
      <w:r w:rsidRPr="008D4187">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83D" w:rsidRDefault="0008183D" w:rsidP="009219F8">
    <w:pPr>
      <w:jc w:val="right"/>
    </w:pPr>
    <w:r>
      <w:t>CDIP/13/INF/4</w:t>
    </w:r>
  </w:p>
  <w:p w:rsidR="0008183D" w:rsidRDefault="0008183D" w:rsidP="009219F8">
    <w:pPr>
      <w:jc w:val="right"/>
    </w:pPr>
    <w:r>
      <w:t xml:space="preserve">ANNEX, page </w:t>
    </w:r>
    <w:r w:rsidR="00291E23">
      <w:fldChar w:fldCharType="begin"/>
    </w:r>
    <w:r w:rsidR="00291E23">
      <w:instrText xml:space="preserve"> PAGE   \* MERGEFORMAT </w:instrText>
    </w:r>
    <w:r w:rsidR="00291E23">
      <w:fldChar w:fldCharType="separate"/>
    </w:r>
    <w:r w:rsidR="007A7128" w:rsidRPr="007A7128">
      <w:rPr>
        <w:bCs/>
        <w:noProof/>
      </w:rPr>
      <w:t>2</w:t>
    </w:r>
    <w:r w:rsidR="00291E23">
      <w:rPr>
        <w:bCs/>
        <w:noProof/>
      </w:rPr>
      <w:fldChar w:fldCharType="end"/>
    </w:r>
  </w:p>
  <w:p w:rsidR="0008183D" w:rsidRDefault="0008183D" w:rsidP="009219F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83D" w:rsidRDefault="0008183D" w:rsidP="00477D6B">
    <w:pPr>
      <w:jc w:val="right"/>
    </w:pPr>
    <w:bookmarkStart w:id="6" w:name="Code2"/>
    <w:bookmarkEnd w:id="6"/>
    <w:r>
      <w:t>CDIP/13/INF/4</w:t>
    </w:r>
  </w:p>
  <w:p w:rsidR="0008183D" w:rsidRDefault="0008183D" w:rsidP="00477D6B">
    <w:pPr>
      <w:jc w:val="right"/>
    </w:pPr>
    <w:proofErr w:type="spellStart"/>
    <w:r>
      <w:t>Annexe</w:t>
    </w:r>
    <w:proofErr w:type="spellEnd"/>
    <w:r>
      <w:t xml:space="preserve">, page </w:t>
    </w:r>
    <w:r w:rsidR="00291E23">
      <w:fldChar w:fldCharType="begin"/>
    </w:r>
    <w:r w:rsidR="00291E23">
      <w:instrText xml:space="preserve"> PAGE  \* MERGEFORMAT </w:instrText>
    </w:r>
    <w:r w:rsidR="00291E23">
      <w:fldChar w:fldCharType="separate"/>
    </w:r>
    <w:r w:rsidR="008B1B18">
      <w:rPr>
        <w:noProof/>
      </w:rPr>
      <w:t>3</w:t>
    </w:r>
    <w:r w:rsidR="00291E23">
      <w:rPr>
        <w:noProof/>
      </w:rPr>
      <w:fldChar w:fldCharType="end"/>
    </w:r>
  </w:p>
  <w:p w:rsidR="0008183D" w:rsidRDefault="0008183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83D" w:rsidRDefault="0008183D" w:rsidP="00BC035B">
    <w:pPr>
      <w:pStyle w:val="Header"/>
      <w:jc w:val="right"/>
    </w:pPr>
    <w:r>
      <w:t>CDIP/13/INF/4</w:t>
    </w:r>
  </w:p>
  <w:p w:rsidR="0008183D" w:rsidRDefault="0008183D" w:rsidP="00BC035B">
    <w:pPr>
      <w:pStyle w:val="Header"/>
      <w:jc w:val="right"/>
    </w:pPr>
    <w:r>
      <w:t>ANNEXE</w:t>
    </w:r>
  </w:p>
  <w:p w:rsidR="0008183D" w:rsidRDefault="00081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4"/>
  </w:num>
  <w:num w:numId="11">
    <w:abstractNumId w:val="0"/>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44F"/>
    <w:rsid w:val="00043CAA"/>
    <w:rsid w:val="00061C48"/>
    <w:rsid w:val="000659D4"/>
    <w:rsid w:val="00071E06"/>
    <w:rsid w:val="00075432"/>
    <w:rsid w:val="0008183D"/>
    <w:rsid w:val="00082E49"/>
    <w:rsid w:val="000968ED"/>
    <w:rsid w:val="000B1C2E"/>
    <w:rsid w:val="000C4F83"/>
    <w:rsid w:val="000E0F5A"/>
    <w:rsid w:val="000E2285"/>
    <w:rsid w:val="000F5E56"/>
    <w:rsid w:val="00103547"/>
    <w:rsid w:val="001362EE"/>
    <w:rsid w:val="001832A6"/>
    <w:rsid w:val="001D06F3"/>
    <w:rsid w:val="002634C4"/>
    <w:rsid w:val="00271D2D"/>
    <w:rsid w:val="00291E23"/>
    <w:rsid w:val="002928D3"/>
    <w:rsid w:val="002F1FE6"/>
    <w:rsid w:val="002F24BB"/>
    <w:rsid w:val="002F4E68"/>
    <w:rsid w:val="00301D43"/>
    <w:rsid w:val="00305AAA"/>
    <w:rsid w:val="00312F7F"/>
    <w:rsid w:val="00336582"/>
    <w:rsid w:val="00356F0E"/>
    <w:rsid w:val="00361450"/>
    <w:rsid w:val="003673CF"/>
    <w:rsid w:val="0037750E"/>
    <w:rsid w:val="00382D92"/>
    <w:rsid w:val="003845C1"/>
    <w:rsid w:val="00397F51"/>
    <w:rsid w:val="003A6F89"/>
    <w:rsid w:val="003B38C1"/>
    <w:rsid w:val="003E7625"/>
    <w:rsid w:val="003F1D44"/>
    <w:rsid w:val="0041652D"/>
    <w:rsid w:val="00423E3E"/>
    <w:rsid w:val="00427AF4"/>
    <w:rsid w:val="00430D9D"/>
    <w:rsid w:val="004647DA"/>
    <w:rsid w:val="00474062"/>
    <w:rsid w:val="00477D6B"/>
    <w:rsid w:val="004E7EB8"/>
    <w:rsid w:val="004F44AC"/>
    <w:rsid w:val="004F52CD"/>
    <w:rsid w:val="004F530C"/>
    <w:rsid w:val="005019FF"/>
    <w:rsid w:val="0053057A"/>
    <w:rsid w:val="00560A29"/>
    <w:rsid w:val="005C259E"/>
    <w:rsid w:val="005C42D9"/>
    <w:rsid w:val="005C6649"/>
    <w:rsid w:val="005D739B"/>
    <w:rsid w:val="005E11FF"/>
    <w:rsid w:val="00605827"/>
    <w:rsid w:val="00610EA7"/>
    <w:rsid w:val="0062744F"/>
    <w:rsid w:val="00642B31"/>
    <w:rsid w:val="00646050"/>
    <w:rsid w:val="006713CA"/>
    <w:rsid w:val="00676C5C"/>
    <w:rsid w:val="0072367D"/>
    <w:rsid w:val="00734228"/>
    <w:rsid w:val="00755459"/>
    <w:rsid w:val="00773CBB"/>
    <w:rsid w:val="007A7128"/>
    <w:rsid w:val="007C79D1"/>
    <w:rsid w:val="007D1613"/>
    <w:rsid w:val="007D1B46"/>
    <w:rsid w:val="00862515"/>
    <w:rsid w:val="008B1B18"/>
    <w:rsid w:val="008B2CC1"/>
    <w:rsid w:val="008B60B2"/>
    <w:rsid w:val="008C7C7E"/>
    <w:rsid w:val="008D4187"/>
    <w:rsid w:val="008E5C4D"/>
    <w:rsid w:val="0090731E"/>
    <w:rsid w:val="00916EE2"/>
    <w:rsid w:val="00920E72"/>
    <w:rsid w:val="009219F8"/>
    <w:rsid w:val="00940492"/>
    <w:rsid w:val="00964D6F"/>
    <w:rsid w:val="00966A22"/>
    <w:rsid w:val="0096722F"/>
    <w:rsid w:val="00980843"/>
    <w:rsid w:val="009A3E62"/>
    <w:rsid w:val="009C5F8C"/>
    <w:rsid w:val="009E2791"/>
    <w:rsid w:val="009E3F6F"/>
    <w:rsid w:val="009F499F"/>
    <w:rsid w:val="00A0528D"/>
    <w:rsid w:val="00A22747"/>
    <w:rsid w:val="00A42DAF"/>
    <w:rsid w:val="00A45BD8"/>
    <w:rsid w:val="00A504D7"/>
    <w:rsid w:val="00A869B7"/>
    <w:rsid w:val="00A94BC3"/>
    <w:rsid w:val="00AC205C"/>
    <w:rsid w:val="00AD0DD9"/>
    <w:rsid w:val="00AE626D"/>
    <w:rsid w:val="00AF0A6B"/>
    <w:rsid w:val="00AF1214"/>
    <w:rsid w:val="00B05A69"/>
    <w:rsid w:val="00B43D21"/>
    <w:rsid w:val="00B878BB"/>
    <w:rsid w:val="00B9734B"/>
    <w:rsid w:val="00BC035B"/>
    <w:rsid w:val="00BD339A"/>
    <w:rsid w:val="00BF028B"/>
    <w:rsid w:val="00C11BFE"/>
    <w:rsid w:val="00C4029D"/>
    <w:rsid w:val="00C523F6"/>
    <w:rsid w:val="00C9144C"/>
    <w:rsid w:val="00CB2341"/>
    <w:rsid w:val="00D45252"/>
    <w:rsid w:val="00D547DB"/>
    <w:rsid w:val="00D71B4D"/>
    <w:rsid w:val="00D73285"/>
    <w:rsid w:val="00D93D55"/>
    <w:rsid w:val="00DB6180"/>
    <w:rsid w:val="00DC7F73"/>
    <w:rsid w:val="00DF0D1C"/>
    <w:rsid w:val="00E11EC8"/>
    <w:rsid w:val="00E263FC"/>
    <w:rsid w:val="00E335FE"/>
    <w:rsid w:val="00E46112"/>
    <w:rsid w:val="00E53960"/>
    <w:rsid w:val="00EA44FF"/>
    <w:rsid w:val="00EB2060"/>
    <w:rsid w:val="00EC4E49"/>
    <w:rsid w:val="00ED77FB"/>
    <w:rsid w:val="00EE45FA"/>
    <w:rsid w:val="00F35F79"/>
    <w:rsid w:val="00F6525E"/>
    <w:rsid w:val="00F66152"/>
    <w:rsid w:val="00F76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semiHidden="0" w:unhideWhenUsed="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ir"/>
    <w:qFormat/>
    <w:rsid w:val="00676C5C"/>
    <w:rPr>
      <w:rFonts w:ascii="Arial" w:eastAsia="SimSun" w:hAnsi="Arial" w:cs="Arial"/>
      <w:szCs w:val="20"/>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744F"/>
    <w:rPr>
      <w:rFonts w:ascii="Arial" w:eastAsia="SimSun" w:hAnsi="Arial" w:cs="Arial"/>
      <w:b/>
      <w:bCs/>
      <w:caps/>
      <w:kern w:val="32"/>
      <w:sz w:val="32"/>
      <w:szCs w:val="32"/>
      <w:lang w:eastAsia="zh-CN"/>
    </w:rPr>
  </w:style>
  <w:style w:type="character" w:customStyle="1" w:styleId="Heading2Char">
    <w:name w:val="Heading 2 Char"/>
    <w:basedOn w:val="DefaultParagraphFont"/>
    <w:link w:val="Heading2"/>
    <w:uiPriority w:val="99"/>
    <w:semiHidden/>
    <w:locked/>
    <w:rsid w:val="00642B31"/>
    <w:rPr>
      <w:rFonts w:ascii="Cambria" w:hAnsi="Cambria" w:cs="Times New Roman"/>
      <w:b/>
      <w:bCs/>
      <w:i/>
      <w:iCs/>
      <w:sz w:val="28"/>
      <w:szCs w:val="28"/>
      <w:lang w:val="en-US" w:eastAsia="zh-CN"/>
    </w:rPr>
  </w:style>
  <w:style w:type="character" w:customStyle="1" w:styleId="Heading3Char">
    <w:name w:val="Heading 3 Char"/>
    <w:basedOn w:val="DefaultParagraphFont"/>
    <w:link w:val="Heading3"/>
    <w:uiPriority w:val="99"/>
    <w:semiHidden/>
    <w:locked/>
    <w:rsid w:val="00642B31"/>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sid w:val="00642B31"/>
    <w:rPr>
      <w:rFonts w:ascii="Calibri" w:hAnsi="Calibri" w:cs="Times New Roman"/>
      <w:b/>
      <w:bCs/>
      <w:sz w:val="28"/>
      <w:szCs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642B31"/>
    <w:rPr>
      <w:rFonts w:ascii="Arial" w:eastAsia="SimSun" w:hAnsi="Arial" w:cs="Arial"/>
      <w:sz w:val="20"/>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642B31"/>
    <w:rPr>
      <w:rFonts w:ascii="Arial" w:eastAsia="SimSun" w:hAnsi="Arial" w:cs="Arial"/>
      <w:sz w:val="20"/>
      <w:szCs w:val="20"/>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642B31"/>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642B31"/>
    <w:rPr>
      <w:rFonts w:ascii="Arial" w:eastAsia="SimSun" w:hAnsi="Arial" w:cs="Arial"/>
      <w:sz w:val="20"/>
      <w:szCs w:val="20"/>
      <w:lang w:val="en-US" w:eastAsia="zh-CN"/>
    </w:rPr>
  </w:style>
  <w:style w:type="paragraph" w:styleId="BalloonText">
    <w:name w:val="Balloon Text"/>
    <w:basedOn w:val="Normal"/>
    <w:link w:val="BalloonTextChar"/>
    <w:uiPriority w:val="99"/>
    <w:rsid w:val="00E46112"/>
    <w:rPr>
      <w:rFonts w:ascii="Tahoma" w:hAnsi="Tahoma" w:cs="Tahoma"/>
      <w:sz w:val="16"/>
      <w:szCs w:val="16"/>
    </w:rPr>
  </w:style>
  <w:style w:type="character" w:customStyle="1" w:styleId="BalloonTextChar">
    <w:name w:val="Balloon Text Char"/>
    <w:basedOn w:val="DefaultParagraphFont"/>
    <w:link w:val="BalloonText"/>
    <w:uiPriority w:val="99"/>
    <w:locked/>
    <w:rsid w:val="00E46112"/>
    <w:rPr>
      <w:rFonts w:ascii="Tahoma" w:eastAsia="SimSun" w:hAnsi="Tahoma" w:cs="Tahoma"/>
      <w:sz w:val="16"/>
      <w:szCs w:val="16"/>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62744F"/>
    <w:rPr>
      <w:rFonts w:ascii="Arial" w:eastAsia="SimSun" w:hAnsi="Arial" w:cs="Arial"/>
      <w:sz w:val="18"/>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642B31"/>
    <w:rPr>
      <w:rFonts w:ascii="Arial" w:eastAsia="SimSun" w:hAnsi="Arial" w:cs="Arial"/>
      <w:sz w:val="20"/>
      <w:szCs w:val="20"/>
      <w:lang w:val="en-US" w:eastAsia="zh-CN"/>
    </w:rPr>
  </w:style>
  <w:style w:type="paragraph" w:styleId="ListNumber">
    <w:name w:val="List Number"/>
    <w:basedOn w:val="Normal"/>
    <w:uiPriority w:val="99"/>
    <w:semiHidden/>
    <w:rsid w:val="00676C5C"/>
    <w:pPr>
      <w:numPr>
        <w:numId w:val="12"/>
      </w:numPr>
    </w:pPr>
  </w:style>
  <w:style w:type="paragraph" w:customStyle="1" w:styleId="ONUME">
    <w:name w:val="ONUM E"/>
    <w:basedOn w:val="BodyText"/>
    <w:uiPriority w:val="99"/>
    <w:rsid w:val="00676C5C"/>
    <w:pPr>
      <w:numPr>
        <w:numId w:val="13"/>
      </w:numPr>
    </w:pPr>
  </w:style>
  <w:style w:type="paragraph" w:customStyle="1" w:styleId="ONUMFS">
    <w:name w:val="ONUM FS"/>
    <w:basedOn w:val="BodyText"/>
    <w:uiPriority w:val="99"/>
    <w:rsid w:val="00676C5C"/>
    <w:pPr>
      <w:numPr>
        <w:numId w:val="14"/>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642B31"/>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642B31"/>
    <w:rPr>
      <w:rFonts w:ascii="Arial" w:eastAsia="SimSun" w:hAnsi="Arial" w:cs="Arial"/>
      <w:sz w:val="20"/>
      <w:szCs w:val="20"/>
      <w:lang w:val="en-US" w:eastAsia="zh-CN"/>
    </w:rPr>
  </w:style>
  <w:style w:type="character" w:styleId="Hyperlink">
    <w:name w:val="Hyperlink"/>
    <w:basedOn w:val="DefaultParagraphFont"/>
    <w:uiPriority w:val="99"/>
    <w:rsid w:val="0062744F"/>
    <w:rPr>
      <w:rFonts w:cs="Times New Roman"/>
      <w:color w:val="0000FF"/>
      <w:u w:val="single"/>
    </w:rPr>
  </w:style>
  <w:style w:type="character" w:styleId="FootnoteReference">
    <w:name w:val="footnote reference"/>
    <w:basedOn w:val="DefaultParagraphFont"/>
    <w:uiPriority w:val="99"/>
    <w:rsid w:val="0062744F"/>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semiHidden="0" w:unhideWhenUsed="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ir"/>
    <w:qFormat/>
    <w:rsid w:val="00676C5C"/>
    <w:rPr>
      <w:rFonts w:ascii="Arial" w:eastAsia="SimSun" w:hAnsi="Arial" w:cs="Arial"/>
      <w:szCs w:val="20"/>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744F"/>
    <w:rPr>
      <w:rFonts w:ascii="Arial" w:eastAsia="SimSun" w:hAnsi="Arial" w:cs="Arial"/>
      <w:b/>
      <w:bCs/>
      <w:caps/>
      <w:kern w:val="32"/>
      <w:sz w:val="32"/>
      <w:szCs w:val="32"/>
      <w:lang w:eastAsia="zh-CN"/>
    </w:rPr>
  </w:style>
  <w:style w:type="character" w:customStyle="1" w:styleId="Heading2Char">
    <w:name w:val="Heading 2 Char"/>
    <w:basedOn w:val="DefaultParagraphFont"/>
    <w:link w:val="Heading2"/>
    <w:uiPriority w:val="99"/>
    <w:semiHidden/>
    <w:locked/>
    <w:rsid w:val="00642B31"/>
    <w:rPr>
      <w:rFonts w:ascii="Cambria" w:hAnsi="Cambria" w:cs="Times New Roman"/>
      <w:b/>
      <w:bCs/>
      <w:i/>
      <w:iCs/>
      <w:sz w:val="28"/>
      <w:szCs w:val="28"/>
      <w:lang w:val="en-US" w:eastAsia="zh-CN"/>
    </w:rPr>
  </w:style>
  <w:style w:type="character" w:customStyle="1" w:styleId="Heading3Char">
    <w:name w:val="Heading 3 Char"/>
    <w:basedOn w:val="DefaultParagraphFont"/>
    <w:link w:val="Heading3"/>
    <w:uiPriority w:val="99"/>
    <w:semiHidden/>
    <w:locked/>
    <w:rsid w:val="00642B31"/>
    <w:rPr>
      <w:rFonts w:ascii="Cambria" w:hAnsi="Cambria" w:cs="Times New Roman"/>
      <w:b/>
      <w:bCs/>
      <w:sz w:val="26"/>
      <w:szCs w:val="26"/>
      <w:lang w:val="en-US" w:eastAsia="zh-CN"/>
    </w:rPr>
  </w:style>
  <w:style w:type="character" w:customStyle="1" w:styleId="Heading4Char">
    <w:name w:val="Heading 4 Char"/>
    <w:basedOn w:val="DefaultParagraphFont"/>
    <w:link w:val="Heading4"/>
    <w:uiPriority w:val="99"/>
    <w:semiHidden/>
    <w:locked/>
    <w:rsid w:val="00642B31"/>
    <w:rPr>
      <w:rFonts w:ascii="Calibri" w:hAnsi="Calibri" w:cs="Times New Roman"/>
      <w:b/>
      <w:bCs/>
      <w:sz w:val="28"/>
      <w:szCs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642B31"/>
    <w:rPr>
      <w:rFonts w:ascii="Arial" w:eastAsia="SimSun" w:hAnsi="Arial" w:cs="Arial"/>
      <w:sz w:val="20"/>
      <w:szCs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642B31"/>
    <w:rPr>
      <w:rFonts w:ascii="Arial" w:eastAsia="SimSun" w:hAnsi="Arial" w:cs="Arial"/>
      <w:sz w:val="20"/>
      <w:szCs w:val="20"/>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642B31"/>
    <w:rPr>
      <w:rFonts w:ascii="Arial" w:eastAsia="SimSun" w:hAnsi="Arial" w:cs="Arial"/>
      <w:sz w:val="20"/>
      <w:szCs w:val="20"/>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642B31"/>
    <w:rPr>
      <w:rFonts w:ascii="Arial" w:eastAsia="SimSun" w:hAnsi="Arial" w:cs="Arial"/>
      <w:sz w:val="20"/>
      <w:szCs w:val="20"/>
      <w:lang w:val="en-US" w:eastAsia="zh-CN"/>
    </w:rPr>
  </w:style>
  <w:style w:type="paragraph" w:styleId="BalloonText">
    <w:name w:val="Balloon Text"/>
    <w:basedOn w:val="Normal"/>
    <w:link w:val="BalloonTextChar"/>
    <w:uiPriority w:val="99"/>
    <w:rsid w:val="00E46112"/>
    <w:rPr>
      <w:rFonts w:ascii="Tahoma" w:hAnsi="Tahoma" w:cs="Tahoma"/>
      <w:sz w:val="16"/>
      <w:szCs w:val="16"/>
    </w:rPr>
  </w:style>
  <w:style w:type="character" w:customStyle="1" w:styleId="BalloonTextChar">
    <w:name w:val="Balloon Text Char"/>
    <w:basedOn w:val="DefaultParagraphFont"/>
    <w:link w:val="BalloonText"/>
    <w:uiPriority w:val="99"/>
    <w:locked/>
    <w:rsid w:val="00E46112"/>
    <w:rPr>
      <w:rFonts w:ascii="Tahoma" w:eastAsia="SimSun" w:hAnsi="Tahoma" w:cs="Tahoma"/>
      <w:sz w:val="16"/>
      <w:szCs w:val="16"/>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62744F"/>
    <w:rPr>
      <w:rFonts w:ascii="Arial" w:eastAsia="SimSun" w:hAnsi="Arial" w:cs="Arial"/>
      <w:sz w:val="18"/>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642B31"/>
    <w:rPr>
      <w:rFonts w:ascii="Arial" w:eastAsia="SimSun" w:hAnsi="Arial" w:cs="Arial"/>
      <w:sz w:val="20"/>
      <w:szCs w:val="20"/>
      <w:lang w:val="en-US" w:eastAsia="zh-CN"/>
    </w:rPr>
  </w:style>
  <w:style w:type="paragraph" w:styleId="ListNumber">
    <w:name w:val="List Number"/>
    <w:basedOn w:val="Normal"/>
    <w:uiPriority w:val="99"/>
    <w:semiHidden/>
    <w:rsid w:val="00676C5C"/>
    <w:pPr>
      <w:numPr>
        <w:numId w:val="12"/>
      </w:numPr>
    </w:pPr>
  </w:style>
  <w:style w:type="paragraph" w:customStyle="1" w:styleId="ONUME">
    <w:name w:val="ONUM E"/>
    <w:basedOn w:val="BodyText"/>
    <w:uiPriority w:val="99"/>
    <w:rsid w:val="00676C5C"/>
    <w:pPr>
      <w:numPr>
        <w:numId w:val="13"/>
      </w:numPr>
    </w:pPr>
  </w:style>
  <w:style w:type="paragraph" w:customStyle="1" w:styleId="ONUMFS">
    <w:name w:val="ONUM FS"/>
    <w:basedOn w:val="BodyText"/>
    <w:uiPriority w:val="99"/>
    <w:rsid w:val="00676C5C"/>
    <w:pPr>
      <w:numPr>
        <w:numId w:val="14"/>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642B31"/>
    <w:rPr>
      <w:rFonts w:ascii="Arial" w:eastAsia="SimSun" w:hAnsi="Arial" w:cs="Arial"/>
      <w:sz w:val="20"/>
      <w:szCs w:val="20"/>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642B31"/>
    <w:rPr>
      <w:rFonts w:ascii="Arial" w:eastAsia="SimSun" w:hAnsi="Arial" w:cs="Arial"/>
      <w:sz w:val="20"/>
      <w:szCs w:val="20"/>
      <w:lang w:val="en-US" w:eastAsia="zh-CN"/>
    </w:rPr>
  </w:style>
  <w:style w:type="character" w:styleId="Hyperlink">
    <w:name w:val="Hyperlink"/>
    <w:basedOn w:val="DefaultParagraphFont"/>
    <w:uiPriority w:val="99"/>
    <w:rsid w:val="0062744F"/>
    <w:rPr>
      <w:rFonts w:cs="Times New Roman"/>
      <w:color w:val="0000FF"/>
      <w:u w:val="single"/>
    </w:rPr>
  </w:style>
  <w:style w:type="character" w:styleId="FootnoteReference">
    <w:name w:val="footnote reference"/>
    <w:basedOn w:val="DefaultParagraphFont"/>
    <w:uiPriority w:val="99"/>
    <w:rsid w:val="0062744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232525" TargetMode="External"/><Relationship Id="rId1" Type="http://schemas.openxmlformats.org/officeDocument/2006/relationships/hyperlink" Target="https://unstats.un.org/unsd/cr/registry/regcs.asp?Cl=17&amp;Co=2424&amp;L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F401-3FF3-423B-A881-5254F4B711DB}">
  <ds:schemaRefs>
    <ds:schemaRef ds:uri="http://schemas.openxmlformats.org/officeDocument/2006/bibliography"/>
  </ds:schemaRefs>
</ds:datastoreItem>
</file>

<file path=customXml/itemProps2.xml><?xml version="1.0" encoding="utf-8"?>
<ds:datastoreItem xmlns:ds="http://schemas.openxmlformats.org/officeDocument/2006/customXml" ds:itemID="{490469B2-DF5E-4F4E-8280-4D913FD1B937}">
  <ds:schemaRefs>
    <ds:schemaRef ds:uri="http://schemas.openxmlformats.org/officeDocument/2006/bibliography"/>
  </ds:schemaRefs>
</ds:datastoreItem>
</file>

<file path=customXml/itemProps3.xml><?xml version="1.0" encoding="utf-8"?>
<ds:datastoreItem xmlns:ds="http://schemas.openxmlformats.org/officeDocument/2006/customXml" ds:itemID="{CD3A2F5A-EBAD-4843-BCCB-3E14340A00B0}">
  <ds:schemaRefs>
    <ds:schemaRef ds:uri="http://schemas.openxmlformats.org/officeDocument/2006/bibliography"/>
  </ds:schemaRefs>
</ds:datastoreItem>
</file>

<file path=customXml/itemProps4.xml><?xml version="1.0" encoding="utf-8"?>
<ds:datastoreItem xmlns:ds="http://schemas.openxmlformats.org/officeDocument/2006/customXml" ds:itemID="{FA82AC4C-8078-4972-9132-D5ED5D10E586}">
  <ds:schemaRefs>
    <ds:schemaRef ds:uri="http://schemas.openxmlformats.org/officeDocument/2006/bibliography"/>
  </ds:schemaRefs>
</ds:datastoreItem>
</file>

<file path=customXml/itemProps5.xml><?xml version="1.0" encoding="utf-8"?>
<ds:datastoreItem xmlns:ds="http://schemas.openxmlformats.org/officeDocument/2006/customXml" ds:itemID="{90DECB97-FACB-4EAE-BF4F-C0CD64D9617B}">
  <ds:schemaRefs>
    <ds:schemaRef ds:uri="http://schemas.openxmlformats.org/officeDocument/2006/bibliography"/>
  </ds:schemaRefs>
</ds:datastoreItem>
</file>

<file path=customXml/itemProps6.xml><?xml version="1.0" encoding="utf-8"?>
<ds:datastoreItem xmlns:ds="http://schemas.openxmlformats.org/officeDocument/2006/customXml" ds:itemID="{82359743-FD35-49DA-86B0-8557B257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1908</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CDIP/13/</vt:lpstr>
    </vt:vector>
  </TitlesOfParts>
  <Company>WIPO</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dc:title>
  <dc:creator>BRACI Biljana</dc:creator>
  <cp:keywords>VB/mhf</cp:keywords>
  <cp:lastModifiedBy>BRACI Biljana</cp:lastModifiedBy>
  <cp:revision>3</cp:revision>
  <cp:lastPrinted>2014-03-11T09:18:00Z</cp:lastPrinted>
  <dcterms:created xsi:type="dcterms:W3CDTF">2014-03-13T13:52:00Z</dcterms:created>
  <dcterms:modified xsi:type="dcterms:W3CDTF">2014-03-13T13:52:00Z</dcterms:modified>
</cp:coreProperties>
</file>