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Layout w:type="fixed"/>
        <w:tblLook w:val="01E0" w:firstRow="1" w:lastRow="1" w:firstColumn="1" w:lastColumn="1" w:noHBand="0" w:noVBand="0"/>
      </w:tblPr>
      <w:tblGrid>
        <w:gridCol w:w="4517"/>
        <w:gridCol w:w="4839"/>
      </w:tblGrid>
      <w:tr w:rsidR="008B2CC1" w:rsidRPr="00682A46" w:rsidTr="00A179E6">
        <w:trPr>
          <w:trHeight w:hRule="exact" w:val="680"/>
        </w:trPr>
        <w:tc>
          <w:tcPr>
            <w:tcW w:w="4513" w:type="dxa"/>
            <w:gridSpan w:val="2"/>
            <w:tcMar>
              <w:left w:w="0" w:type="dxa"/>
              <w:right w:w="0" w:type="dxa"/>
            </w:tcMar>
          </w:tcPr>
          <w:p w:rsidR="008B2CC1" w:rsidRPr="00682A46" w:rsidRDefault="00150ACA" w:rsidP="00150ACA">
            <w:pPr>
              <w:jc w:val="right"/>
              <w:rPr>
                <w:b/>
                <w:sz w:val="40"/>
                <w:szCs w:val="40"/>
                <w:lang w:val="es-ES"/>
              </w:rPr>
            </w:pPr>
            <w:bookmarkStart w:id="0" w:name="_GoBack"/>
            <w:bookmarkEnd w:id="0"/>
            <w:r>
              <w:rPr>
                <w:b/>
                <w:sz w:val="40"/>
                <w:szCs w:val="40"/>
                <w:lang w:val="es-ES"/>
              </w:rPr>
              <w:t>S</w:t>
            </w:r>
          </w:p>
        </w:tc>
      </w:tr>
      <w:tr w:rsidR="002634C4" w:rsidRPr="00682A46" w:rsidTr="00026990">
        <w:tc>
          <w:tcPr>
            <w:tcW w:w="4513" w:type="dxa"/>
            <w:tcBorders>
              <w:bottom w:val="single" w:sz="4" w:space="0" w:color="auto"/>
            </w:tcBorders>
            <w:tcMar>
              <w:bottom w:w="170" w:type="dxa"/>
            </w:tcMar>
          </w:tcPr>
          <w:p w:rsidR="002634C4" w:rsidRPr="00682A46" w:rsidRDefault="002634C4" w:rsidP="00A179E6">
            <w:pPr>
              <w:rPr>
                <w:lang w:val="es-ES"/>
              </w:rPr>
            </w:pPr>
          </w:p>
        </w:tc>
        <w:tc>
          <w:tcPr>
            <w:tcW w:w="4834" w:type="dxa"/>
            <w:tcBorders>
              <w:bottom w:val="single" w:sz="4" w:space="0" w:color="auto"/>
            </w:tcBorders>
            <w:tcMar>
              <w:left w:w="0" w:type="dxa"/>
              <w:right w:w="0" w:type="dxa"/>
            </w:tcMar>
          </w:tcPr>
          <w:p w:rsidR="002634C4" w:rsidRPr="00682A46" w:rsidRDefault="00150ACA" w:rsidP="00A179E6">
            <w:pPr>
              <w:rPr>
                <w:lang w:val="es-ES"/>
              </w:rPr>
            </w:pPr>
            <w:r>
              <w:rPr>
                <w:noProof/>
                <w:lang w:eastAsia="en-US"/>
              </w:rPr>
              <w:drawing>
                <wp:inline distT="0" distB="0" distL="0" distR="0" wp14:anchorId="60E309C6" wp14:editId="00FAE526">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r>
      <w:tr w:rsidR="000A46A9" w:rsidRPr="00682A46" w:rsidTr="00026990">
        <w:trPr>
          <w:trHeight w:hRule="exact" w:val="397"/>
        </w:trPr>
        <w:tc>
          <w:tcPr>
            <w:tcW w:w="4513" w:type="dxa"/>
            <w:gridSpan w:val="2"/>
            <w:tcBorders>
              <w:top w:val="single" w:sz="4" w:space="0" w:color="auto"/>
            </w:tcBorders>
            <w:tcMar>
              <w:top w:w="28" w:type="dxa"/>
              <w:left w:w="0" w:type="dxa"/>
              <w:bottom w:w="28" w:type="dxa"/>
              <w:right w:w="0" w:type="dxa"/>
            </w:tcMar>
            <w:vAlign w:val="center"/>
          </w:tcPr>
          <w:p w:rsidR="000A46A9" w:rsidRPr="00682A46" w:rsidRDefault="00682A46" w:rsidP="00A179E6">
            <w:pPr>
              <w:rPr>
                <w:b/>
                <w:caps/>
                <w:sz w:val="24"/>
                <w:lang w:val="es-ES"/>
              </w:rPr>
            </w:pPr>
            <w:r>
              <w:rPr>
                <w:b/>
                <w:caps/>
                <w:sz w:val="24"/>
                <w:lang w:val="es-ES"/>
              </w:rPr>
              <w:t>conferencia internacional</w:t>
            </w:r>
          </w:p>
        </w:tc>
      </w:tr>
      <w:tr w:rsidR="008B2CC1" w:rsidRPr="00682A46" w:rsidTr="00026990">
        <w:trPr>
          <w:trHeight w:hRule="exact" w:val="340"/>
        </w:trPr>
        <w:tc>
          <w:tcPr>
            <w:tcW w:w="4513" w:type="dxa"/>
            <w:gridSpan w:val="2"/>
            <w:tcBorders>
              <w:top w:val="single" w:sz="4" w:space="0" w:color="auto"/>
            </w:tcBorders>
            <w:tcMar>
              <w:top w:w="170" w:type="dxa"/>
              <w:left w:w="0" w:type="dxa"/>
              <w:right w:w="0" w:type="dxa"/>
            </w:tcMar>
            <w:vAlign w:val="bottom"/>
          </w:tcPr>
          <w:p w:rsidR="008B2CC1" w:rsidRPr="00682A46" w:rsidRDefault="00F72018" w:rsidP="00803B4C">
            <w:pPr>
              <w:jc w:val="right"/>
              <w:rPr>
                <w:rFonts w:ascii="Arial Black" w:hAnsi="Arial Black"/>
                <w:caps/>
                <w:sz w:val="15"/>
                <w:lang w:val="es-ES"/>
              </w:rPr>
            </w:pPr>
            <w:r w:rsidRPr="00682A46">
              <w:rPr>
                <w:rFonts w:ascii="Arial Black" w:hAnsi="Arial Black"/>
                <w:caps/>
                <w:sz w:val="15"/>
                <w:lang w:val="es-ES"/>
              </w:rPr>
              <w:t>WIPO/GDCM/GE/16</w:t>
            </w:r>
            <w:bookmarkStart w:id="1" w:name="Code"/>
            <w:bookmarkEnd w:id="1"/>
            <w:r w:rsidR="004F0075" w:rsidRPr="00682A46">
              <w:rPr>
                <w:rFonts w:ascii="Arial Black" w:hAnsi="Arial Black"/>
                <w:caps/>
                <w:sz w:val="15"/>
                <w:lang w:val="es-ES"/>
              </w:rPr>
              <w:t>/</w:t>
            </w:r>
            <w:r w:rsidR="002F73AD" w:rsidRPr="00682A46">
              <w:rPr>
                <w:rFonts w:ascii="Arial Black" w:hAnsi="Arial Black"/>
                <w:caps/>
                <w:sz w:val="15"/>
                <w:lang w:val="es-ES"/>
              </w:rPr>
              <w:t>INF/</w:t>
            </w:r>
            <w:r w:rsidR="00803B4C" w:rsidRPr="00682A46">
              <w:rPr>
                <w:rFonts w:ascii="Arial Black" w:hAnsi="Arial Black"/>
                <w:caps/>
                <w:sz w:val="15"/>
                <w:lang w:val="es-ES"/>
              </w:rPr>
              <w:t>2</w:t>
            </w:r>
          </w:p>
        </w:tc>
      </w:tr>
      <w:tr w:rsidR="008B2CC1" w:rsidRPr="00682A46" w:rsidTr="00026990">
        <w:trPr>
          <w:trHeight w:hRule="exact" w:val="170"/>
        </w:trPr>
        <w:tc>
          <w:tcPr>
            <w:tcW w:w="4513" w:type="dxa"/>
            <w:gridSpan w:val="2"/>
            <w:noWrap/>
            <w:tcMar>
              <w:left w:w="0" w:type="dxa"/>
              <w:right w:w="0" w:type="dxa"/>
            </w:tcMar>
            <w:vAlign w:val="bottom"/>
          </w:tcPr>
          <w:p w:rsidR="008B2CC1" w:rsidRPr="00682A46" w:rsidRDefault="008B2CC1" w:rsidP="00682A46">
            <w:pPr>
              <w:jc w:val="right"/>
              <w:rPr>
                <w:rFonts w:ascii="Arial Black" w:hAnsi="Arial Black"/>
                <w:caps/>
                <w:sz w:val="15"/>
                <w:lang w:val="es-ES"/>
              </w:rPr>
            </w:pPr>
            <w:r w:rsidRPr="00682A46">
              <w:rPr>
                <w:rFonts w:ascii="Arial Black" w:hAnsi="Arial Black"/>
                <w:caps/>
                <w:sz w:val="15"/>
                <w:lang w:val="es-ES"/>
              </w:rPr>
              <w:t>ORIGINAL:</w:t>
            </w:r>
            <w:bookmarkStart w:id="2" w:name="Original"/>
            <w:bookmarkEnd w:id="2"/>
            <w:r w:rsidR="00682A46">
              <w:rPr>
                <w:rFonts w:ascii="Arial Black" w:hAnsi="Arial Black"/>
                <w:caps/>
                <w:sz w:val="15"/>
                <w:lang w:val="es-ES"/>
              </w:rPr>
              <w:t>inglés</w:t>
            </w:r>
          </w:p>
        </w:tc>
      </w:tr>
      <w:tr w:rsidR="008B2CC1" w:rsidRPr="00682A46" w:rsidTr="00026990">
        <w:trPr>
          <w:trHeight w:hRule="exact" w:val="198"/>
        </w:trPr>
        <w:tc>
          <w:tcPr>
            <w:tcW w:w="4513" w:type="dxa"/>
            <w:gridSpan w:val="2"/>
            <w:tcMar>
              <w:left w:w="0" w:type="dxa"/>
              <w:right w:w="0" w:type="dxa"/>
            </w:tcMar>
            <w:vAlign w:val="bottom"/>
          </w:tcPr>
          <w:p w:rsidR="008B2CC1" w:rsidRPr="00682A46" w:rsidRDefault="00682A46" w:rsidP="00B11943">
            <w:pPr>
              <w:jc w:val="right"/>
              <w:rPr>
                <w:rFonts w:ascii="Arial Black" w:hAnsi="Arial Black"/>
                <w:caps/>
                <w:sz w:val="15"/>
                <w:lang w:val="es-ES"/>
              </w:rPr>
            </w:pPr>
            <w:r>
              <w:rPr>
                <w:rFonts w:ascii="Arial Black" w:hAnsi="Arial Black"/>
                <w:caps/>
                <w:sz w:val="15"/>
                <w:lang w:val="es-ES"/>
              </w:rPr>
              <w:t>fecha</w:t>
            </w:r>
            <w:r w:rsidR="008B2CC1" w:rsidRPr="00682A46">
              <w:rPr>
                <w:rFonts w:ascii="Arial Black" w:hAnsi="Arial Black"/>
                <w:caps/>
                <w:sz w:val="15"/>
                <w:lang w:val="es-ES"/>
              </w:rPr>
              <w:t>:</w:t>
            </w:r>
            <w:bookmarkStart w:id="3" w:name="Date"/>
            <w:bookmarkEnd w:id="3"/>
            <w:r w:rsidR="00C47F8E" w:rsidRPr="00682A46">
              <w:rPr>
                <w:rFonts w:ascii="Arial Black" w:hAnsi="Arial Black"/>
                <w:caps/>
                <w:sz w:val="15"/>
                <w:lang w:val="es-ES"/>
              </w:rPr>
              <w:t xml:space="preserve">  </w:t>
            </w:r>
            <w:r w:rsidR="00EC4A93">
              <w:rPr>
                <w:rFonts w:ascii="Arial Black" w:hAnsi="Arial Black"/>
                <w:caps/>
                <w:sz w:val="15"/>
                <w:lang w:val="es-ES"/>
              </w:rPr>
              <w:t>1 de a</w:t>
            </w:r>
            <w:r w:rsidR="00B11943">
              <w:rPr>
                <w:rFonts w:ascii="Arial Black" w:hAnsi="Arial Black"/>
                <w:caps/>
                <w:sz w:val="15"/>
                <w:lang w:val="es-ES"/>
              </w:rPr>
              <w:t>b</w:t>
            </w:r>
            <w:r w:rsidR="00EC4A93">
              <w:rPr>
                <w:rFonts w:ascii="Arial Black" w:hAnsi="Arial Black"/>
                <w:caps/>
                <w:sz w:val="15"/>
                <w:lang w:val="es-ES"/>
              </w:rPr>
              <w:t>r</w:t>
            </w:r>
            <w:r w:rsidR="00B11943">
              <w:rPr>
                <w:rFonts w:ascii="Arial Black" w:hAnsi="Arial Black"/>
                <w:caps/>
                <w:sz w:val="15"/>
                <w:lang w:val="es-ES"/>
              </w:rPr>
              <w:t>il</w:t>
            </w:r>
            <w:r>
              <w:rPr>
                <w:rFonts w:ascii="Arial Black" w:hAnsi="Arial Black"/>
                <w:caps/>
                <w:sz w:val="15"/>
                <w:lang w:val="es-ES"/>
              </w:rPr>
              <w:t xml:space="preserve"> de</w:t>
            </w:r>
            <w:r w:rsidR="000A2C9B" w:rsidRPr="00682A46">
              <w:rPr>
                <w:rFonts w:ascii="Arial Black" w:hAnsi="Arial Black"/>
                <w:caps/>
                <w:sz w:val="15"/>
                <w:lang w:val="es-ES"/>
              </w:rPr>
              <w:t xml:space="preserve"> </w:t>
            </w:r>
            <w:r w:rsidR="002F73AD" w:rsidRPr="00682A46">
              <w:rPr>
                <w:rFonts w:ascii="Arial Black" w:hAnsi="Arial Black"/>
                <w:caps/>
                <w:sz w:val="15"/>
                <w:lang w:val="es-ES"/>
              </w:rPr>
              <w:t>2016</w:t>
            </w:r>
          </w:p>
        </w:tc>
      </w:tr>
    </w:tbl>
    <w:p w:rsidR="008B2CC1" w:rsidRPr="00682A46" w:rsidRDefault="008B2CC1" w:rsidP="001D7119">
      <w:pPr>
        <w:rPr>
          <w:lang w:val="es-ES"/>
        </w:rPr>
      </w:pPr>
    </w:p>
    <w:p w:rsidR="008B2CC1" w:rsidRPr="00682A46" w:rsidRDefault="008B2CC1" w:rsidP="001D7119">
      <w:pPr>
        <w:rPr>
          <w:lang w:val="es-ES"/>
        </w:rPr>
      </w:pPr>
    </w:p>
    <w:p w:rsidR="008B2CC1" w:rsidRPr="00682A46" w:rsidRDefault="008B2CC1" w:rsidP="001D7119">
      <w:pPr>
        <w:rPr>
          <w:lang w:val="es-ES"/>
        </w:rPr>
      </w:pPr>
    </w:p>
    <w:p w:rsidR="008B2CC1" w:rsidRPr="00682A46" w:rsidRDefault="008B2CC1" w:rsidP="001D7119">
      <w:pPr>
        <w:rPr>
          <w:lang w:val="es-ES"/>
        </w:rPr>
      </w:pPr>
    </w:p>
    <w:p w:rsidR="008B2CC1" w:rsidRPr="00682A46" w:rsidRDefault="00682A46" w:rsidP="008B2CC1">
      <w:pPr>
        <w:rPr>
          <w:b/>
          <w:sz w:val="28"/>
          <w:szCs w:val="28"/>
          <w:lang w:val="es-ES"/>
        </w:rPr>
      </w:pPr>
      <w:r w:rsidRPr="00682A46">
        <w:rPr>
          <w:b/>
          <w:sz w:val="28"/>
          <w:szCs w:val="28"/>
          <w:lang w:val="es-ES"/>
        </w:rPr>
        <w:t>El mercado mundial de contenidos digitales</w:t>
      </w:r>
    </w:p>
    <w:p w:rsidR="003845C1" w:rsidRPr="00682A46" w:rsidRDefault="003845C1" w:rsidP="003845C1">
      <w:pPr>
        <w:rPr>
          <w:lang w:val="es-ES"/>
        </w:rPr>
      </w:pPr>
    </w:p>
    <w:p w:rsidR="003845C1" w:rsidRPr="00682A46" w:rsidRDefault="003845C1" w:rsidP="003845C1">
      <w:pPr>
        <w:rPr>
          <w:lang w:val="es-ES"/>
        </w:rPr>
      </w:pPr>
    </w:p>
    <w:p w:rsidR="008B2CC1" w:rsidRPr="00682A46" w:rsidRDefault="00074269" w:rsidP="004F4D9B">
      <w:pPr>
        <w:rPr>
          <w:lang w:val="es-ES"/>
        </w:rPr>
      </w:pPr>
      <w:r>
        <w:rPr>
          <w:sz w:val="24"/>
          <w:szCs w:val="24"/>
          <w:lang w:val="es-ES"/>
        </w:rPr>
        <w:t>o</w:t>
      </w:r>
      <w:r w:rsidR="00216C3D" w:rsidRPr="00682A46">
        <w:rPr>
          <w:sz w:val="24"/>
          <w:szCs w:val="24"/>
          <w:lang w:val="es-ES"/>
        </w:rPr>
        <w:t>rganiz</w:t>
      </w:r>
      <w:r w:rsidR="00682A46">
        <w:rPr>
          <w:sz w:val="24"/>
          <w:szCs w:val="24"/>
          <w:lang w:val="es-ES"/>
        </w:rPr>
        <w:t>ada por la Organización Mundial de la Propiedad Intelectual</w:t>
      </w:r>
      <w:r w:rsidR="00216C3D" w:rsidRPr="00682A46">
        <w:rPr>
          <w:lang w:val="es-ES"/>
        </w:rPr>
        <w:t xml:space="preserve"> (</w:t>
      </w:r>
      <w:r w:rsidR="00682A46">
        <w:rPr>
          <w:lang w:val="es-ES"/>
        </w:rPr>
        <w:t>OMPI</w:t>
      </w:r>
      <w:r w:rsidR="00216C3D" w:rsidRPr="00682A46">
        <w:rPr>
          <w:lang w:val="es-ES"/>
        </w:rPr>
        <w:t>)</w:t>
      </w:r>
    </w:p>
    <w:p w:rsidR="008B2CC1" w:rsidRPr="00682A46" w:rsidRDefault="008B2CC1" w:rsidP="004F4D9B">
      <w:pPr>
        <w:rPr>
          <w:lang w:val="es-ES"/>
        </w:rPr>
      </w:pPr>
    </w:p>
    <w:p w:rsidR="008B2CC1" w:rsidRPr="00682A46" w:rsidRDefault="00682A46" w:rsidP="008B2CC1">
      <w:pPr>
        <w:rPr>
          <w:b/>
          <w:sz w:val="24"/>
          <w:szCs w:val="24"/>
          <w:lang w:val="es-ES"/>
        </w:rPr>
      </w:pPr>
      <w:r>
        <w:rPr>
          <w:b/>
          <w:sz w:val="24"/>
          <w:szCs w:val="24"/>
          <w:lang w:val="es-ES"/>
        </w:rPr>
        <w:t>Ginebra</w:t>
      </w:r>
      <w:r w:rsidR="00216C3D" w:rsidRPr="00682A46">
        <w:rPr>
          <w:b/>
          <w:sz w:val="24"/>
          <w:szCs w:val="24"/>
          <w:lang w:val="es-ES"/>
        </w:rPr>
        <w:t xml:space="preserve">, </w:t>
      </w:r>
      <w:r>
        <w:rPr>
          <w:b/>
          <w:sz w:val="24"/>
          <w:szCs w:val="24"/>
          <w:lang w:val="es-ES"/>
        </w:rPr>
        <w:t>20 a 22 de abril de</w:t>
      </w:r>
      <w:r w:rsidR="00216C3D" w:rsidRPr="00682A46">
        <w:rPr>
          <w:b/>
          <w:sz w:val="24"/>
          <w:szCs w:val="24"/>
          <w:lang w:val="es-ES"/>
        </w:rPr>
        <w:t xml:space="preserve"> 2016</w:t>
      </w:r>
    </w:p>
    <w:p w:rsidR="008B2CC1" w:rsidRPr="00682A46" w:rsidRDefault="008B2CC1" w:rsidP="001D7119">
      <w:pPr>
        <w:rPr>
          <w:lang w:val="es-ES"/>
        </w:rPr>
      </w:pPr>
    </w:p>
    <w:p w:rsidR="001D7119" w:rsidRPr="00682A46" w:rsidRDefault="001D7119" w:rsidP="001D7119">
      <w:pPr>
        <w:rPr>
          <w:lang w:val="es-ES"/>
        </w:rPr>
      </w:pPr>
    </w:p>
    <w:p w:rsidR="008B2CC1" w:rsidRPr="00682A46" w:rsidRDefault="008B2CC1" w:rsidP="001D7119">
      <w:pPr>
        <w:rPr>
          <w:lang w:val="es-ES"/>
        </w:rPr>
      </w:pPr>
    </w:p>
    <w:p w:rsidR="008B2CC1" w:rsidRPr="00682A46" w:rsidRDefault="00CC2700" w:rsidP="008B2CC1">
      <w:pPr>
        <w:rPr>
          <w:caps/>
          <w:sz w:val="24"/>
          <w:lang w:val="es-ES"/>
        </w:rPr>
      </w:pPr>
      <w:bookmarkStart w:id="4" w:name="TitleOfDoc"/>
      <w:bookmarkEnd w:id="4"/>
      <w:r>
        <w:rPr>
          <w:caps/>
          <w:sz w:val="24"/>
          <w:lang w:val="es-ES"/>
        </w:rPr>
        <w:t xml:space="preserve">DOCUMENTO INFORMATIVO PARA LOS </w:t>
      </w:r>
      <w:r w:rsidRPr="00C70DB8">
        <w:rPr>
          <w:caps/>
          <w:sz w:val="24"/>
          <w:lang w:val="es-ES"/>
        </w:rPr>
        <w:t>DELEGADOS</w:t>
      </w:r>
    </w:p>
    <w:p w:rsidR="008B2CC1" w:rsidRPr="00682A46" w:rsidRDefault="008B2CC1" w:rsidP="008B2CC1">
      <w:pPr>
        <w:rPr>
          <w:lang w:val="es-ES"/>
        </w:rPr>
      </w:pPr>
    </w:p>
    <w:p w:rsidR="000C7343" w:rsidRPr="00B11943" w:rsidRDefault="00B11943">
      <w:pPr>
        <w:rPr>
          <w:i/>
          <w:lang w:val="es-ES"/>
        </w:rPr>
      </w:pPr>
      <w:bookmarkStart w:id="5" w:name="Prepared"/>
      <w:bookmarkEnd w:id="5"/>
      <w:r>
        <w:rPr>
          <w:i/>
          <w:lang w:val="es-ES"/>
        </w:rPr>
        <w:t>preparado por la Oficina Internacional de la OMPI</w:t>
      </w:r>
    </w:p>
    <w:p w:rsidR="007B63B3" w:rsidRPr="00682A46" w:rsidRDefault="007B63B3">
      <w:pPr>
        <w:rPr>
          <w:lang w:val="es-ES"/>
        </w:rPr>
      </w:pPr>
    </w:p>
    <w:p w:rsidR="007B63B3" w:rsidRPr="00682A46" w:rsidRDefault="007B63B3">
      <w:pPr>
        <w:rPr>
          <w:lang w:val="es-ES"/>
        </w:rPr>
      </w:pPr>
    </w:p>
    <w:p w:rsidR="007B63B3" w:rsidRPr="00682A46" w:rsidRDefault="007B63B3">
      <w:pPr>
        <w:rPr>
          <w:lang w:val="es-ES"/>
        </w:rPr>
      </w:pPr>
    </w:p>
    <w:p w:rsidR="002F73AD" w:rsidRPr="00682A46" w:rsidRDefault="002F73AD" w:rsidP="00150ACA">
      <w:pPr>
        <w:pStyle w:val="Heading1"/>
        <w:keepNext w:val="0"/>
        <w:spacing w:after="0"/>
        <w:rPr>
          <w:lang w:val="es-ES"/>
        </w:rPr>
      </w:pPr>
      <w:r w:rsidRPr="00682A46">
        <w:rPr>
          <w:lang w:val="es-ES"/>
        </w:rPr>
        <w:br w:type="page"/>
      </w:r>
      <w:r w:rsidRPr="00682A46">
        <w:rPr>
          <w:lang w:val="es-ES"/>
        </w:rPr>
        <w:lastRenderedPageBreak/>
        <w:t>Introduc</w:t>
      </w:r>
      <w:r w:rsidR="00CC2700">
        <w:rPr>
          <w:lang w:val="es-ES"/>
        </w:rPr>
        <w:t>ción</w:t>
      </w:r>
    </w:p>
    <w:p w:rsidR="002F73AD" w:rsidRPr="00682A46" w:rsidRDefault="002F73AD" w:rsidP="002F73AD">
      <w:pPr>
        <w:outlineLvl w:val="0"/>
        <w:rPr>
          <w:szCs w:val="22"/>
          <w:lang w:val="es-ES"/>
        </w:rPr>
      </w:pPr>
    </w:p>
    <w:p w:rsidR="002F73AD" w:rsidRDefault="002B55AE" w:rsidP="002F73AD">
      <w:pPr>
        <w:outlineLvl w:val="0"/>
        <w:rPr>
          <w:szCs w:val="22"/>
          <w:lang w:val="es-ES"/>
        </w:rPr>
      </w:pPr>
      <w:r>
        <w:rPr>
          <w:szCs w:val="22"/>
          <w:lang w:val="es-ES"/>
        </w:rPr>
        <w:t>El m</w:t>
      </w:r>
      <w:r w:rsidR="00074269">
        <w:rPr>
          <w:szCs w:val="22"/>
          <w:lang w:val="es-ES"/>
        </w:rPr>
        <w:t>undo</w:t>
      </w:r>
      <w:r>
        <w:rPr>
          <w:szCs w:val="22"/>
          <w:lang w:val="es-ES"/>
        </w:rPr>
        <w:t xml:space="preserve"> digital está </w:t>
      </w:r>
      <w:r w:rsidR="00074269">
        <w:rPr>
          <w:szCs w:val="22"/>
          <w:lang w:val="es-ES"/>
        </w:rPr>
        <w:t>dejando atrás rápidamente</w:t>
      </w:r>
      <w:r>
        <w:rPr>
          <w:szCs w:val="22"/>
          <w:lang w:val="es-ES"/>
        </w:rPr>
        <w:t xml:space="preserve"> la manera en que se vienen </w:t>
      </w:r>
      <w:r w:rsidR="00074269">
        <w:rPr>
          <w:szCs w:val="22"/>
          <w:lang w:val="es-ES"/>
        </w:rPr>
        <w:t>las</w:t>
      </w:r>
      <w:r>
        <w:rPr>
          <w:szCs w:val="22"/>
          <w:lang w:val="es-ES"/>
        </w:rPr>
        <w:t xml:space="preserve"> cosas desde hace mucho.  En los últimos años se ha implantado lo que </w:t>
      </w:r>
      <w:r w:rsidR="00074269">
        <w:rPr>
          <w:szCs w:val="22"/>
          <w:lang w:val="es-ES"/>
        </w:rPr>
        <w:t>se ha venido a llamar “economía colaborativa</w:t>
      </w:r>
      <w:r>
        <w:rPr>
          <w:szCs w:val="22"/>
          <w:lang w:val="es-ES"/>
        </w:rPr>
        <w:t>”;  Ejemplo de ello es “Uber”, que ofrece servicios de taxi menos caros y más flex</w:t>
      </w:r>
      <w:r w:rsidR="00514D15">
        <w:rPr>
          <w:szCs w:val="22"/>
          <w:lang w:val="es-ES"/>
        </w:rPr>
        <w:t>i</w:t>
      </w:r>
      <w:r>
        <w:rPr>
          <w:szCs w:val="22"/>
          <w:lang w:val="es-ES"/>
        </w:rPr>
        <w:t>bles, “AirBNB”, que es su equivalente para el alojamiento, y “Vizeat”, último en unir</w:t>
      </w:r>
      <w:r w:rsidR="005F4AF2">
        <w:rPr>
          <w:szCs w:val="22"/>
          <w:lang w:val="es-ES"/>
        </w:rPr>
        <w:t>se a la lista y que podría calificarse de “restaurante a domicilio”.</w:t>
      </w:r>
    </w:p>
    <w:p w:rsidR="005F4AF2" w:rsidRPr="00682A46" w:rsidRDefault="005F4AF2" w:rsidP="002F73AD">
      <w:pPr>
        <w:outlineLvl w:val="0"/>
        <w:rPr>
          <w:szCs w:val="22"/>
          <w:lang w:val="es-ES"/>
        </w:rPr>
      </w:pPr>
    </w:p>
    <w:p w:rsidR="002F73AD" w:rsidRPr="00682A46" w:rsidRDefault="008012C7" w:rsidP="002F73AD">
      <w:pPr>
        <w:outlineLvl w:val="0"/>
        <w:rPr>
          <w:szCs w:val="22"/>
          <w:lang w:val="es-ES"/>
        </w:rPr>
      </w:pPr>
      <w:r w:rsidRPr="008012C7">
        <w:rPr>
          <w:szCs w:val="22"/>
          <w:lang w:val="es-ES"/>
        </w:rPr>
        <w:t>El acceso a la economía de contenidos creativos, y la forma de operar en esa economía, han experimentado un cambio radical en los últimos diez años</w:t>
      </w:r>
      <w:r w:rsidR="002F73AD" w:rsidRPr="00682A46">
        <w:rPr>
          <w:szCs w:val="22"/>
          <w:lang w:val="es-ES"/>
        </w:rPr>
        <w:t xml:space="preserve">.  </w:t>
      </w:r>
      <w:r w:rsidRPr="008012C7">
        <w:rPr>
          <w:szCs w:val="22"/>
          <w:lang w:val="es-ES"/>
        </w:rPr>
        <w:t xml:space="preserve">Las tensiones que suscitan el hecho de disponer de un mayor acceso y el de lograr que la cadena de valor económico perdure, constituyen la esencia </w:t>
      </w:r>
      <w:r>
        <w:rPr>
          <w:szCs w:val="22"/>
          <w:lang w:val="es-ES"/>
        </w:rPr>
        <w:t>de la Conferencia de la OMPI</w:t>
      </w:r>
      <w:r w:rsidR="002F73AD" w:rsidRPr="00682A46">
        <w:rPr>
          <w:szCs w:val="22"/>
          <w:lang w:val="es-ES"/>
        </w:rPr>
        <w:t xml:space="preserve">:  </w:t>
      </w:r>
      <w:r w:rsidR="00053E4E" w:rsidRPr="00682A46">
        <w:rPr>
          <w:szCs w:val="22"/>
          <w:lang w:val="es-ES"/>
        </w:rPr>
        <w:t>“</w:t>
      </w:r>
      <w:r>
        <w:rPr>
          <w:szCs w:val="22"/>
          <w:lang w:val="es-ES"/>
        </w:rPr>
        <w:t xml:space="preserve">El mercado </w:t>
      </w:r>
      <w:r w:rsidR="00074269">
        <w:rPr>
          <w:szCs w:val="22"/>
          <w:lang w:val="es-ES"/>
        </w:rPr>
        <w:t xml:space="preserve">mundial de contenidos </w:t>
      </w:r>
      <w:r>
        <w:rPr>
          <w:szCs w:val="22"/>
          <w:lang w:val="es-ES"/>
        </w:rPr>
        <w:t>digital</w:t>
      </w:r>
      <w:r w:rsidR="00074269">
        <w:rPr>
          <w:szCs w:val="22"/>
          <w:lang w:val="es-ES"/>
        </w:rPr>
        <w:t>es”</w:t>
      </w:r>
      <w:r w:rsidR="002F73AD" w:rsidRPr="00682A46">
        <w:rPr>
          <w:szCs w:val="22"/>
          <w:lang w:val="es-ES"/>
        </w:rPr>
        <w:t>.</w:t>
      </w:r>
    </w:p>
    <w:p w:rsidR="002F73AD" w:rsidRPr="00682A46" w:rsidRDefault="002F73AD" w:rsidP="002F73AD">
      <w:pPr>
        <w:outlineLvl w:val="0"/>
        <w:rPr>
          <w:szCs w:val="22"/>
          <w:lang w:val="es-ES"/>
        </w:rPr>
      </w:pPr>
    </w:p>
    <w:p w:rsidR="002F73AD" w:rsidRPr="00682A46" w:rsidRDefault="008012C7" w:rsidP="002F73AD">
      <w:pPr>
        <w:outlineLvl w:val="0"/>
        <w:rPr>
          <w:szCs w:val="22"/>
          <w:lang w:val="es-ES"/>
        </w:rPr>
      </w:pPr>
      <w:r>
        <w:rPr>
          <w:szCs w:val="22"/>
          <w:lang w:val="es-ES"/>
        </w:rPr>
        <w:t>En la conferencia</w:t>
      </w:r>
      <w:r w:rsidR="00074269">
        <w:rPr>
          <w:szCs w:val="22"/>
          <w:lang w:val="es-ES"/>
        </w:rPr>
        <w:t xml:space="preserve"> </w:t>
      </w:r>
      <w:r>
        <w:rPr>
          <w:szCs w:val="22"/>
          <w:lang w:val="es-ES"/>
        </w:rPr>
        <w:t>se empezará por poner de relieve las mejores prácticas y la problemática de cada sector:  la música, el cine, la radiodifusión y la edición.  En las dos últimas sesiones se abordarán la infraestructura digital, la gestión colectiva y las consecuencias para el mercado y los encargados de formular políticas.</w:t>
      </w:r>
      <w:r w:rsidR="002F73AD" w:rsidRPr="00682A46">
        <w:rPr>
          <w:szCs w:val="22"/>
          <w:lang w:val="es-ES"/>
        </w:rPr>
        <w:t xml:space="preserve">  </w:t>
      </w:r>
    </w:p>
    <w:p w:rsidR="002F73AD" w:rsidRPr="00682A46" w:rsidRDefault="002F73AD" w:rsidP="002F73AD">
      <w:pPr>
        <w:outlineLvl w:val="0"/>
        <w:rPr>
          <w:szCs w:val="22"/>
          <w:u w:val="single"/>
          <w:lang w:val="es-ES"/>
        </w:rPr>
      </w:pPr>
    </w:p>
    <w:p w:rsidR="002F73AD" w:rsidRPr="00682A46" w:rsidRDefault="008012C7" w:rsidP="00150ACA">
      <w:pPr>
        <w:pStyle w:val="Heading2"/>
        <w:keepNext w:val="0"/>
        <w:numPr>
          <w:ilvl w:val="0"/>
          <w:numId w:val="7"/>
        </w:numPr>
        <w:spacing w:after="0"/>
        <w:ind w:left="0" w:firstLine="0"/>
        <w:rPr>
          <w:b/>
          <w:lang w:val="es-ES"/>
        </w:rPr>
      </w:pPr>
      <w:r>
        <w:rPr>
          <w:b/>
          <w:lang w:val="es-ES"/>
        </w:rPr>
        <w:t>música</w:t>
      </w:r>
    </w:p>
    <w:p w:rsidR="002F73AD" w:rsidRPr="00682A46" w:rsidRDefault="008012C7" w:rsidP="00150ACA">
      <w:pPr>
        <w:pStyle w:val="Heading3"/>
        <w:keepNext w:val="0"/>
        <w:rPr>
          <w:lang w:val="es-ES"/>
        </w:rPr>
      </w:pPr>
      <w:r>
        <w:rPr>
          <w:lang w:val="es-ES"/>
        </w:rPr>
        <w:t>Panorama general</w:t>
      </w:r>
    </w:p>
    <w:p w:rsidR="002F73AD" w:rsidRPr="00682A46" w:rsidRDefault="002F73AD" w:rsidP="002F73AD">
      <w:pPr>
        <w:outlineLvl w:val="0"/>
        <w:rPr>
          <w:szCs w:val="22"/>
          <w:lang w:val="es-ES"/>
        </w:rPr>
      </w:pPr>
    </w:p>
    <w:p w:rsidR="002F73AD" w:rsidRPr="00682A46" w:rsidRDefault="00AB7CE1" w:rsidP="00AB7CE1">
      <w:pPr>
        <w:outlineLvl w:val="0"/>
        <w:rPr>
          <w:szCs w:val="22"/>
          <w:lang w:val="es-ES"/>
        </w:rPr>
      </w:pPr>
      <w:r w:rsidRPr="00AB7CE1">
        <w:rPr>
          <w:szCs w:val="22"/>
          <w:lang w:val="es-ES"/>
        </w:rPr>
        <w:t>La industria de la música está en plena transformación, ya que todavía se está adaptando a la era digital.</w:t>
      </w:r>
      <w:r>
        <w:rPr>
          <w:szCs w:val="22"/>
          <w:lang w:val="es-ES"/>
        </w:rPr>
        <w:t xml:space="preserve">  </w:t>
      </w:r>
      <w:r w:rsidRPr="00AB7CE1">
        <w:rPr>
          <w:szCs w:val="22"/>
          <w:lang w:val="es-ES"/>
        </w:rPr>
        <w:t xml:space="preserve">Por más que el mercado digital </w:t>
      </w:r>
      <w:r w:rsidR="00C958B9">
        <w:rPr>
          <w:szCs w:val="22"/>
          <w:lang w:val="es-ES"/>
        </w:rPr>
        <w:t>cada vez esté más avanzado técnicamente,</w:t>
      </w:r>
      <w:r w:rsidRPr="00AB7CE1">
        <w:rPr>
          <w:szCs w:val="22"/>
          <w:lang w:val="es-ES"/>
        </w:rPr>
        <w:t xml:space="preserve"> el aumento en las ventas digitales no compensa aún el descenso que se registra en el volumen de ventas de formatos físicos.</w:t>
      </w:r>
      <w:r w:rsidR="002F73AD" w:rsidRPr="00682A46">
        <w:rPr>
          <w:szCs w:val="22"/>
          <w:lang w:val="es-ES"/>
        </w:rPr>
        <w:t xml:space="preserve"> </w:t>
      </w:r>
    </w:p>
    <w:p w:rsidR="002F73AD" w:rsidRPr="00682A46" w:rsidRDefault="002F73AD" w:rsidP="002F73AD">
      <w:pPr>
        <w:outlineLvl w:val="0"/>
        <w:rPr>
          <w:szCs w:val="22"/>
          <w:lang w:val="es-ES"/>
        </w:rPr>
      </w:pPr>
    </w:p>
    <w:p w:rsidR="002F73AD" w:rsidRPr="00682A46" w:rsidRDefault="00A42EFF" w:rsidP="00150ACA">
      <w:pPr>
        <w:pStyle w:val="Heading3"/>
        <w:keepNext w:val="0"/>
        <w:rPr>
          <w:lang w:val="es-ES"/>
        </w:rPr>
      </w:pPr>
      <w:r>
        <w:rPr>
          <w:lang w:val="es-ES"/>
        </w:rPr>
        <w:t>Tamaño y crecimiento del mercado</w:t>
      </w:r>
      <w:r w:rsidR="002F73AD" w:rsidRPr="00682A46">
        <w:rPr>
          <w:lang w:val="es-ES"/>
        </w:rPr>
        <w:t xml:space="preserve"> </w:t>
      </w:r>
    </w:p>
    <w:p w:rsidR="002F73AD" w:rsidRPr="00682A46" w:rsidRDefault="002F73AD" w:rsidP="002F73AD">
      <w:pPr>
        <w:outlineLvl w:val="0"/>
        <w:rPr>
          <w:szCs w:val="22"/>
          <w:lang w:val="es-ES"/>
        </w:rPr>
      </w:pPr>
    </w:p>
    <w:p w:rsidR="002F73AD" w:rsidRPr="00682A46" w:rsidRDefault="00A42EFF" w:rsidP="002F73AD">
      <w:pPr>
        <w:outlineLvl w:val="0"/>
        <w:rPr>
          <w:szCs w:val="22"/>
          <w:lang w:val="es-ES"/>
        </w:rPr>
      </w:pPr>
      <w:r>
        <w:rPr>
          <w:szCs w:val="22"/>
          <w:lang w:val="es-ES"/>
        </w:rPr>
        <w:t>La industria fonográfica se cifra en 15.000 millones de dólares EE.UU</w:t>
      </w:r>
      <w:r w:rsidR="00074269">
        <w:rPr>
          <w:szCs w:val="22"/>
          <w:lang w:val="es-ES"/>
        </w:rPr>
        <w:t>.</w:t>
      </w:r>
      <w:r w:rsidR="00EC4A93">
        <w:rPr>
          <w:rStyle w:val="FootnoteReference"/>
          <w:szCs w:val="22"/>
          <w:lang w:val="es-ES"/>
        </w:rPr>
        <w:footnoteReference w:id="2"/>
      </w:r>
      <w:r w:rsidR="00074269">
        <w:rPr>
          <w:szCs w:val="22"/>
          <w:lang w:val="es-ES"/>
        </w:rPr>
        <w:t xml:space="preserve">  En 2014 se acusó</w:t>
      </w:r>
      <w:r>
        <w:rPr>
          <w:szCs w:val="22"/>
          <w:lang w:val="es-ES"/>
        </w:rPr>
        <w:t xml:space="preserve"> un descenso del 3,9%</w:t>
      </w:r>
      <w:r w:rsidR="00074269">
        <w:rPr>
          <w:szCs w:val="22"/>
          <w:lang w:val="es-ES"/>
        </w:rPr>
        <w:t xml:space="preserve"> </w:t>
      </w:r>
      <w:r>
        <w:rPr>
          <w:szCs w:val="22"/>
          <w:lang w:val="es-ES"/>
        </w:rPr>
        <w:t xml:space="preserve">en los ingresos </w:t>
      </w:r>
      <w:r w:rsidR="00C958B9">
        <w:rPr>
          <w:szCs w:val="22"/>
          <w:lang w:val="es-ES"/>
        </w:rPr>
        <w:t xml:space="preserve">con </w:t>
      </w:r>
      <w:r>
        <w:rPr>
          <w:szCs w:val="22"/>
          <w:lang w:val="es-ES"/>
        </w:rPr>
        <w:t xml:space="preserve">respecto </w:t>
      </w:r>
      <w:r w:rsidR="00C958B9">
        <w:rPr>
          <w:szCs w:val="22"/>
          <w:lang w:val="es-ES"/>
        </w:rPr>
        <w:t xml:space="preserve">a </w:t>
      </w:r>
      <w:r>
        <w:rPr>
          <w:szCs w:val="22"/>
          <w:lang w:val="es-ES"/>
        </w:rPr>
        <w:t xml:space="preserve">2013.  Los ingresos procedentes de fuentes digitales ascendieron a 6.800 millones de dólares EE.UU. y ya equivalen a los que se obtienen con fuentes físicas.  Los servicios de </w:t>
      </w:r>
      <w:r w:rsidR="002D2F2C">
        <w:rPr>
          <w:szCs w:val="22"/>
          <w:lang w:val="es-ES"/>
        </w:rPr>
        <w:t xml:space="preserve">suscripción </w:t>
      </w:r>
      <w:r>
        <w:rPr>
          <w:szCs w:val="22"/>
          <w:lang w:val="es-ES"/>
        </w:rPr>
        <w:t xml:space="preserve">y de </w:t>
      </w:r>
      <w:r w:rsidR="002D2F2C">
        <w:rPr>
          <w:szCs w:val="22"/>
          <w:lang w:val="es-ES"/>
        </w:rPr>
        <w:t xml:space="preserve">transmisión continua de secuencias por Internet </w:t>
      </w:r>
      <w:r>
        <w:rPr>
          <w:szCs w:val="22"/>
          <w:lang w:val="es-ES"/>
        </w:rPr>
        <w:t>prosiguen su rápida exp</w:t>
      </w:r>
      <w:r w:rsidR="008F7400">
        <w:rPr>
          <w:szCs w:val="22"/>
          <w:lang w:val="es-ES"/>
        </w:rPr>
        <w:t>a</w:t>
      </w:r>
      <w:r>
        <w:rPr>
          <w:szCs w:val="22"/>
          <w:lang w:val="es-ES"/>
        </w:rPr>
        <w:t>nsión</w:t>
      </w:r>
      <w:r w:rsidR="008F7400">
        <w:rPr>
          <w:szCs w:val="22"/>
          <w:lang w:val="es-ES"/>
        </w:rPr>
        <w:t xml:space="preserve">, con un índice </w:t>
      </w:r>
      <w:r w:rsidR="00514D15">
        <w:rPr>
          <w:szCs w:val="22"/>
          <w:lang w:val="es-ES"/>
        </w:rPr>
        <w:t>de crecimiento del 51% en 2013, 1.000 millones de dólares EE.UU:</w:t>
      </w:r>
      <w:r w:rsidR="007B54D9" w:rsidRPr="00682A46">
        <w:rPr>
          <w:rStyle w:val="FootnoteReference"/>
          <w:szCs w:val="22"/>
          <w:lang w:val="es-ES"/>
        </w:rPr>
        <w:footnoteReference w:id="3"/>
      </w:r>
      <w:r w:rsidR="002D2F2C">
        <w:rPr>
          <w:szCs w:val="22"/>
          <w:lang w:val="es-ES"/>
        </w:rPr>
        <w:t>.</w:t>
      </w:r>
    </w:p>
    <w:p w:rsidR="002F73AD" w:rsidRPr="00682A46" w:rsidRDefault="002F73AD" w:rsidP="002F73AD">
      <w:pPr>
        <w:outlineLvl w:val="0"/>
        <w:rPr>
          <w:szCs w:val="22"/>
          <w:lang w:val="es-ES"/>
        </w:rPr>
      </w:pPr>
    </w:p>
    <w:p w:rsidR="002F73AD" w:rsidRPr="00682A46" w:rsidRDefault="006B47A8" w:rsidP="00150ACA">
      <w:pPr>
        <w:pStyle w:val="Heading3"/>
        <w:keepNext w:val="0"/>
        <w:rPr>
          <w:lang w:val="es-ES"/>
        </w:rPr>
      </w:pPr>
      <w:r>
        <w:rPr>
          <w:lang w:val="es-ES"/>
        </w:rPr>
        <w:t>Tecnología</w:t>
      </w:r>
      <w:r w:rsidR="00514D15">
        <w:rPr>
          <w:lang w:val="es-ES"/>
        </w:rPr>
        <w:t xml:space="preserve"> d</w:t>
      </w:r>
      <w:r w:rsidR="002F73AD" w:rsidRPr="00682A46">
        <w:rPr>
          <w:lang w:val="es-ES"/>
        </w:rPr>
        <w:t>igital</w:t>
      </w:r>
    </w:p>
    <w:p w:rsidR="002F73AD" w:rsidRPr="00682A46" w:rsidRDefault="002F73AD" w:rsidP="002F73AD">
      <w:pPr>
        <w:outlineLvl w:val="0"/>
        <w:rPr>
          <w:szCs w:val="22"/>
          <w:lang w:val="es-ES"/>
        </w:rPr>
      </w:pPr>
    </w:p>
    <w:p w:rsidR="002F73AD" w:rsidRPr="00682A46" w:rsidRDefault="00514D15" w:rsidP="002F73AD">
      <w:pPr>
        <w:outlineLvl w:val="0"/>
        <w:rPr>
          <w:szCs w:val="22"/>
          <w:lang w:val="es-ES"/>
        </w:rPr>
      </w:pPr>
      <w:r>
        <w:rPr>
          <w:szCs w:val="22"/>
          <w:lang w:val="es-ES"/>
        </w:rPr>
        <w:t xml:space="preserve">La industria de la música fue la primera en sufrir las consecuencias de la llegada de Internet.  El comercio en línea (comercio-e) ofreció </w:t>
      </w:r>
      <w:r w:rsidR="00230A66">
        <w:rPr>
          <w:szCs w:val="22"/>
          <w:lang w:val="es-ES"/>
        </w:rPr>
        <w:t xml:space="preserve">oportunidades para minoristas pues los consumidores empezaron a comprar sus CD por Internet.  Eso cambió en el decenio de 1990, con la introducción de los ficheros digitales de música.  Gran parte de la distribución de entonces de ficheros digitales de música se llevó a cabo al margen de las vías autorizadas.  La creación de </w:t>
      </w:r>
      <w:r w:rsidR="00230A66">
        <w:rPr>
          <w:szCs w:val="22"/>
          <w:lang w:val="es-ES"/>
        </w:rPr>
        <w:lastRenderedPageBreak/>
        <w:t>valor</w:t>
      </w:r>
      <w:r w:rsidR="006D7B6C">
        <w:rPr>
          <w:szCs w:val="22"/>
          <w:lang w:val="es-ES"/>
        </w:rPr>
        <w:t xml:space="preserve"> está pasando a manos de nuevos competidores, como </w:t>
      </w:r>
      <w:r w:rsidR="002D2F2C">
        <w:rPr>
          <w:szCs w:val="22"/>
          <w:lang w:val="es-ES"/>
        </w:rPr>
        <w:t xml:space="preserve">los </w:t>
      </w:r>
      <w:r w:rsidR="006D7B6C">
        <w:rPr>
          <w:szCs w:val="22"/>
          <w:lang w:val="es-ES"/>
        </w:rPr>
        <w:t xml:space="preserve">fabricantes de reproductores de música y </w:t>
      </w:r>
      <w:r w:rsidR="00C958B9">
        <w:rPr>
          <w:szCs w:val="22"/>
          <w:lang w:val="es-ES"/>
        </w:rPr>
        <w:t xml:space="preserve">las </w:t>
      </w:r>
      <w:r w:rsidR="006D7B6C">
        <w:rPr>
          <w:szCs w:val="22"/>
          <w:lang w:val="es-ES"/>
        </w:rPr>
        <w:t>plataformas de venta en línea.</w:t>
      </w:r>
    </w:p>
    <w:p w:rsidR="002F73AD" w:rsidRPr="00682A46" w:rsidRDefault="002F73AD" w:rsidP="002F73AD">
      <w:pPr>
        <w:outlineLvl w:val="0"/>
        <w:rPr>
          <w:szCs w:val="22"/>
          <w:lang w:val="es-ES"/>
        </w:rPr>
      </w:pPr>
    </w:p>
    <w:p w:rsidR="002F73AD" w:rsidRPr="00682A46" w:rsidRDefault="0011637E" w:rsidP="002F73AD">
      <w:pPr>
        <w:outlineLvl w:val="0"/>
        <w:rPr>
          <w:szCs w:val="22"/>
          <w:lang w:val="es-ES"/>
        </w:rPr>
      </w:pPr>
      <w:r>
        <w:rPr>
          <w:szCs w:val="22"/>
          <w:lang w:val="es-ES"/>
        </w:rPr>
        <w:t>La música d</w:t>
      </w:r>
      <w:r w:rsidR="002F73AD" w:rsidRPr="00682A46">
        <w:rPr>
          <w:szCs w:val="22"/>
          <w:lang w:val="es-ES"/>
        </w:rPr>
        <w:t>igital</w:t>
      </w:r>
      <w:r>
        <w:rPr>
          <w:szCs w:val="22"/>
          <w:lang w:val="es-ES"/>
        </w:rPr>
        <w:t xml:space="preserve"> disminuye el costo </w:t>
      </w:r>
      <w:r w:rsidR="00C958B9">
        <w:rPr>
          <w:szCs w:val="22"/>
          <w:lang w:val="es-ES"/>
        </w:rPr>
        <w:t>de</w:t>
      </w:r>
      <w:r>
        <w:rPr>
          <w:szCs w:val="22"/>
          <w:lang w:val="es-ES"/>
        </w:rPr>
        <w:t xml:space="preserve"> creación, distribución y almacenamiento de copias de música y ello se traduce en una disminución </w:t>
      </w:r>
      <w:r w:rsidR="00002245">
        <w:rPr>
          <w:szCs w:val="22"/>
          <w:lang w:val="es-ES"/>
        </w:rPr>
        <w:t>de puntos de venta al por menor y de ventas de CD en conjunto.</w:t>
      </w:r>
      <w:r w:rsidR="002F73AD" w:rsidRPr="00682A46">
        <w:rPr>
          <w:szCs w:val="22"/>
          <w:lang w:val="es-ES"/>
        </w:rPr>
        <w:t xml:space="preserve">  </w:t>
      </w:r>
    </w:p>
    <w:p w:rsidR="002F73AD" w:rsidRPr="00682A46" w:rsidRDefault="002F73AD" w:rsidP="002F73AD">
      <w:pPr>
        <w:outlineLvl w:val="0"/>
        <w:rPr>
          <w:szCs w:val="22"/>
          <w:lang w:val="es-ES"/>
        </w:rPr>
      </w:pPr>
    </w:p>
    <w:p w:rsidR="002F73AD" w:rsidRPr="00682A46" w:rsidRDefault="00514D15" w:rsidP="002F73AD">
      <w:pPr>
        <w:outlineLvl w:val="0"/>
        <w:rPr>
          <w:szCs w:val="22"/>
          <w:lang w:val="es-ES"/>
        </w:rPr>
      </w:pPr>
      <w:r>
        <w:rPr>
          <w:szCs w:val="22"/>
          <w:lang w:val="es-ES"/>
        </w:rPr>
        <w:t>El mercado digital</w:t>
      </w:r>
      <w:r w:rsidR="00002245">
        <w:rPr>
          <w:szCs w:val="22"/>
          <w:lang w:val="es-ES"/>
        </w:rPr>
        <w:t xml:space="preserve"> todavía ha de alcanzar un punto de equilibrio.  </w:t>
      </w:r>
      <w:r w:rsidR="00BA17BE">
        <w:rPr>
          <w:szCs w:val="22"/>
          <w:lang w:val="es-ES"/>
        </w:rPr>
        <w:t xml:space="preserve">Un método de venta que se ha hecho popular es la venta de ficheros digitales que luego pasan a ser propiedad del consumidor.  En los servicios de suscripción, lo más común es que el consumidor pague una tasa por el acceso pero </w:t>
      </w:r>
      <w:r w:rsidR="002D2F2C">
        <w:rPr>
          <w:szCs w:val="22"/>
          <w:lang w:val="es-ES"/>
        </w:rPr>
        <w:t xml:space="preserve">no </w:t>
      </w:r>
      <w:r w:rsidR="00BA17BE">
        <w:rPr>
          <w:szCs w:val="22"/>
          <w:lang w:val="es-ES"/>
        </w:rPr>
        <w:t xml:space="preserve">sea propietario del contenido.  Uno de los servicios en línea de </w:t>
      </w:r>
      <w:r w:rsidR="002D2F2C">
        <w:rPr>
          <w:szCs w:val="22"/>
          <w:lang w:val="es-ES"/>
        </w:rPr>
        <w:t xml:space="preserve">transmisión continua de secuencias por Internet </w:t>
      </w:r>
      <w:r w:rsidR="00BA17BE">
        <w:rPr>
          <w:szCs w:val="22"/>
          <w:lang w:val="es-ES"/>
        </w:rPr>
        <w:t xml:space="preserve">más conocidos es Spotify, </w:t>
      </w:r>
      <w:r w:rsidR="00395A0B">
        <w:rPr>
          <w:szCs w:val="22"/>
          <w:lang w:val="es-ES"/>
        </w:rPr>
        <w:t>principalmente</w:t>
      </w:r>
      <w:r w:rsidR="00BA17BE">
        <w:rPr>
          <w:szCs w:val="22"/>
          <w:lang w:val="es-ES"/>
        </w:rPr>
        <w:t xml:space="preserve"> disponible en Europa occidental y en </w:t>
      </w:r>
      <w:r w:rsidR="00395A0B">
        <w:rPr>
          <w:szCs w:val="22"/>
          <w:lang w:val="es-ES"/>
        </w:rPr>
        <w:t>América.</w:t>
      </w:r>
      <w:r w:rsidR="00986157">
        <w:rPr>
          <w:szCs w:val="22"/>
          <w:lang w:val="es-ES"/>
        </w:rPr>
        <w:t xml:space="preserve">  No faltan los litigios entre artistas y vendedores digitales pues los artistas se quejan de que la remuneración que reciben no es proporcional al valor de su música.</w:t>
      </w:r>
    </w:p>
    <w:p w:rsidR="002F73AD" w:rsidRPr="00682A46" w:rsidRDefault="002F73AD" w:rsidP="002F73AD">
      <w:pPr>
        <w:outlineLvl w:val="0"/>
        <w:rPr>
          <w:szCs w:val="22"/>
          <w:lang w:val="es-ES"/>
        </w:rPr>
      </w:pPr>
    </w:p>
    <w:p w:rsidR="002F73AD" w:rsidRPr="00682A46" w:rsidRDefault="00F6018B" w:rsidP="00150ACA">
      <w:pPr>
        <w:outlineLvl w:val="0"/>
        <w:rPr>
          <w:szCs w:val="22"/>
          <w:lang w:val="es-ES"/>
        </w:rPr>
      </w:pPr>
      <w:r>
        <w:rPr>
          <w:szCs w:val="22"/>
          <w:lang w:val="es-ES"/>
        </w:rPr>
        <w:t xml:space="preserve">Con ese cambio en la forma de sacar beneficio, los conciertos en directo están pasando a ser una importante fuente de ingresos.  </w:t>
      </w:r>
      <w:r w:rsidR="00576551">
        <w:rPr>
          <w:szCs w:val="22"/>
          <w:lang w:val="es-ES"/>
        </w:rPr>
        <w:t xml:space="preserve">Las casas discográficas sacan ediciones especiales de </w:t>
      </w:r>
      <w:r w:rsidR="00757CA6">
        <w:rPr>
          <w:szCs w:val="22"/>
          <w:lang w:val="es-ES"/>
        </w:rPr>
        <w:t>álbumes</w:t>
      </w:r>
      <w:r w:rsidR="00576551">
        <w:rPr>
          <w:szCs w:val="22"/>
          <w:lang w:val="es-ES"/>
        </w:rPr>
        <w:t xml:space="preserve"> y venden productos promocionales para contrarrestar la disminución de ingresos</w:t>
      </w:r>
      <w:r w:rsidR="002F73AD" w:rsidRPr="00682A46">
        <w:rPr>
          <w:szCs w:val="22"/>
          <w:lang w:val="es-ES"/>
        </w:rPr>
        <w:t xml:space="preserve">. </w:t>
      </w:r>
    </w:p>
    <w:p w:rsidR="002F73AD" w:rsidRPr="00682A46" w:rsidRDefault="002F73AD" w:rsidP="002F73AD">
      <w:pPr>
        <w:outlineLvl w:val="0"/>
        <w:rPr>
          <w:szCs w:val="22"/>
          <w:lang w:val="es-ES"/>
        </w:rPr>
      </w:pPr>
    </w:p>
    <w:p w:rsidR="002F73AD" w:rsidRPr="00682A46" w:rsidRDefault="00E5509D" w:rsidP="002F73AD">
      <w:pPr>
        <w:outlineLvl w:val="0"/>
        <w:rPr>
          <w:szCs w:val="22"/>
          <w:lang w:val="es-ES"/>
        </w:rPr>
      </w:pPr>
      <w:r>
        <w:rPr>
          <w:szCs w:val="22"/>
          <w:lang w:val="es-ES"/>
        </w:rPr>
        <w:t xml:space="preserve">La era digital ha cambiado la carrera de los artistas, muchos de los cuales se </w:t>
      </w:r>
      <w:r w:rsidR="00C400FD">
        <w:rPr>
          <w:szCs w:val="22"/>
          <w:lang w:val="es-ES"/>
        </w:rPr>
        <w:t xml:space="preserve">buscan los </w:t>
      </w:r>
      <w:r>
        <w:rPr>
          <w:szCs w:val="22"/>
          <w:lang w:val="es-ES"/>
        </w:rPr>
        <w:t>fans por su cuenta, al vender su música por Internet.</w:t>
      </w:r>
      <w:r w:rsidR="002F73AD" w:rsidRPr="00682A46">
        <w:rPr>
          <w:szCs w:val="22"/>
          <w:lang w:val="es-ES"/>
        </w:rPr>
        <w:t xml:space="preserve">  </w:t>
      </w:r>
      <w:r w:rsidR="00C400FD">
        <w:rPr>
          <w:szCs w:val="22"/>
          <w:lang w:val="es-ES"/>
        </w:rPr>
        <w:t xml:space="preserve">No obstante, por lo general, la finalidad de </w:t>
      </w:r>
      <w:r w:rsidR="00C958B9">
        <w:rPr>
          <w:szCs w:val="22"/>
          <w:lang w:val="es-ES"/>
        </w:rPr>
        <w:t xml:space="preserve">la </w:t>
      </w:r>
      <w:r w:rsidR="00C400FD">
        <w:rPr>
          <w:szCs w:val="22"/>
          <w:lang w:val="es-ES"/>
        </w:rPr>
        <w:t>trayectoria artística sigue siendo firmar con una casa discográfica</w:t>
      </w:r>
      <w:r w:rsidR="002F73AD" w:rsidRPr="00682A46">
        <w:rPr>
          <w:szCs w:val="22"/>
          <w:lang w:val="es-ES"/>
        </w:rPr>
        <w:t xml:space="preserve">. </w:t>
      </w:r>
    </w:p>
    <w:p w:rsidR="002F73AD" w:rsidRPr="00682A46" w:rsidRDefault="002F73AD" w:rsidP="002F73AD">
      <w:pPr>
        <w:outlineLvl w:val="0"/>
        <w:rPr>
          <w:szCs w:val="22"/>
          <w:lang w:val="es-ES"/>
        </w:rPr>
      </w:pPr>
    </w:p>
    <w:p w:rsidR="002F73AD" w:rsidRPr="00682A46" w:rsidRDefault="009B1C6F" w:rsidP="00150ACA">
      <w:pPr>
        <w:pStyle w:val="Heading3"/>
        <w:keepNext w:val="0"/>
        <w:rPr>
          <w:lang w:val="es-ES"/>
        </w:rPr>
      </w:pPr>
      <w:r>
        <w:rPr>
          <w:lang w:val="es-ES"/>
        </w:rPr>
        <w:t>Nuevas prácticas</w:t>
      </w:r>
    </w:p>
    <w:p w:rsidR="002F73AD" w:rsidRPr="00682A46" w:rsidRDefault="002F73AD" w:rsidP="002F73AD">
      <w:pPr>
        <w:outlineLvl w:val="0"/>
        <w:rPr>
          <w:szCs w:val="22"/>
          <w:lang w:val="es-ES"/>
        </w:rPr>
      </w:pPr>
    </w:p>
    <w:p w:rsidR="002F73AD" w:rsidRPr="00682A46" w:rsidRDefault="009B1C6F" w:rsidP="002F73AD">
      <w:pPr>
        <w:outlineLvl w:val="0"/>
        <w:rPr>
          <w:szCs w:val="22"/>
          <w:lang w:val="es-ES"/>
        </w:rPr>
      </w:pPr>
      <w:r>
        <w:rPr>
          <w:szCs w:val="22"/>
          <w:lang w:val="es-ES"/>
        </w:rPr>
        <w:t>E</w:t>
      </w:r>
      <w:r w:rsidR="002F73AD" w:rsidRPr="00682A46">
        <w:rPr>
          <w:szCs w:val="22"/>
          <w:lang w:val="es-ES"/>
        </w:rPr>
        <w:t xml:space="preserve">n 2015, www.InyaRwanda.com, </w:t>
      </w:r>
      <w:r>
        <w:rPr>
          <w:szCs w:val="22"/>
          <w:lang w:val="es-ES"/>
        </w:rPr>
        <w:t xml:space="preserve">un sitio </w:t>
      </w:r>
      <w:r w:rsidR="00C958B9">
        <w:rPr>
          <w:szCs w:val="22"/>
          <w:lang w:val="es-ES"/>
        </w:rPr>
        <w:t>web de Rwanda</w:t>
      </w:r>
      <w:r>
        <w:rPr>
          <w:szCs w:val="22"/>
          <w:lang w:val="es-ES"/>
        </w:rPr>
        <w:t xml:space="preserve"> dedicado a la cultura, lanzó un servicio para artistas independientes con el nombre “Afriframe”.  Ese servicio</w:t>
      </w:r>
      <w:r w:rsidR="00BD5572">
        <w:rPr>
          <w:szCs w:val="22"/>
          <w:lang w:val="es-ES"/>
        </w:rPr>
        <w:t xml:space="preserve"> permite que los artistas que todavía no son conocidos distribuyan su material en línea y </w:t>
      </w:r>
      <w:r w:rsidR="00EA01CA">
        <w:rPr>
          <w:szCs w:val="22"/>
          <w:lang w:val="es-ES"/>
        </w:rPr>
        <w:t>retribución económica</w:t>
      </w:r>
      <w:r w:rsidR="00BD5572">
        <w:rPr>
          <w:szCs w:val="22"/>
          <w:lang w:val="es-ES"/>
        </w:rPr>
        <w:t xml:space="preserve">.  Afriframe firma un contrato con el artista y distribuye su material a otras plataformas en línea como iTunes, Spotify y Shazam. </w:t>
      </w:r>
      <w:r w:rsidR="00540DBC">
        <w:rPr>
          <w:szCs w:val="22"/>
          <w:lang w:val="es-ES"/>
        </w:rPr>
        <w:t xml:space="preserve"> Las iniciativas como esta hacen posible que los artistas independientes puedan vender en todo el mundo.</w:t>
      </w:r>
      <w:r w:rsidR="002F73AD" w:rsidRPr="00682A46">
        <w:rPr>
          <w:szCs w:val="22"/>
          <w:lang w:val="es-ES"/>
        </w:rPr>
        <w:t xml:space="preserve">  </w:t>
      </w:r>
    </w:p>
    <w:p w:rsidR="002F73AD" w:rsidRPr="00682A46" w:rsidRDefault="002F73AD" w:rsidP="002F73AD">
      <w:pPr>
        <w:outlineLvl w:val="0"/>
        <w:rPr>
          <w:szCs w:val="22"/>
          <w:lang w:val="es-ES"/>
        </w:rPr>
      </w:pPr>
    </w:p>
    <w:p w:rsidR="002F73AD" w:rsidRPr="00682A46" w:rsidRDefault="002E1105" w:rsidP="00150ACA">
      <w:pPr>
        <w:pStyle w:val="Heading2"/>
        <w:keepNext w:val="0"/>
        <w:numPr>
          <w:ilvl w:val="0"/>
          <w:numId w:val="7"/>
        </w:numPr>
        <w:ind w:left="0" w:firstLine="0"/>
        <w:rPr>
          <w:b/>
          <w:lang w:val="es-ES"/>
        </w:rPr>
      </w:pPr>
      <w:r>
        <w:rPr>
          <w:b/>
          <w:lang w:val="es-ES"/>
        </w:rPr>
        <w:t>cine</w:t>
      </w:r>
    </w:p>
    <w:p w:rsidR="002F73AD" w:rsidRPr="00682A46" w:rsidRDefault="002E1105" w:rsidP="00150ACA">
      <w:pPr>
        <w:pStyle w:val="Heading3"/>
        <w:keepNext w:val="0"/>
        <w:rPr>
          <w:lang w:val="es-ES"/>
        </w:rPr>
      </w:pPr>
      <w:r>
        <w:rPr>
          <w:lang w:val="es-ES"/>
        </w:rPr>
        <w:t>Panorama general</w:t>
      </w:r>
    </w:p>
    <w:p w:rsidR="002F73AD" w:rsidRPr="00682A46" w:rsidRDefault="002F73AD" w:rsidP="002F73AD">
      <w:pPr>
        <w:outlineLvl w:val="0"/>
        <w:rPr>
          <w:szCs w:val="22"/>
          <w:lang w:val="es-ES"/>
        </w:rPr>
      </w:pPr>
    </w:p>
    <w:p w:rsidR="002F73AD" w:rsidRPr="00682A46" w:rsidRDefault="002E1105" w:rsidP="002F73AD">
      <w:pPr>
        <w:outlineLvl w:val="0"/>
        <w:rPr>
          <w:szCs w:val="22"/>
          <w:lang w:val="es-ES"/>
        </w:rPr>
      </w:pPr>
      <w:r>
        <w:rPr>
          <w:szCs w:val="22"/>
          <w:lang w:val="es-ES"/>
        </w:rPr>
        <w:t xml:space="preserve">La industria cinematográfica mundial </w:t>
      </w:r>
      <w:r w:rsidR="002F73AD" w:rsidRPr="00682A46">
        <w:rPr>
          <w:szCs w:val="22"/>
          <w:lang w:val="es-ES"/>
        </w:rPr>
        <w:t>e</w:t>
      </w:r>
      <w:r>
        <w:rPr>
          <w:szCs w:val="22"/>
          <w:lang w:val="es-ES"/>
        </w:rPr>
        <w:t xml:space="preserve">stá en plena transformación por cuanto hay mercados en los que se está registrando una expansión en las ventas, mientras que en otros está aumentando muy rápidamente el contenido digital.  </w:t>
      </w:r>
      <w:r w:rsidRPr="002E1105">
        <w:rPr>
          <w:szCs w:val="22"/>
          <w:lang w:val="es-ES"/>
        </w:rPr>
        <w:t xml:space="preserve">Se está produciendo, a su vez, un desplazamiento en la cadena de valor puesto que lo digital reduce costos, afecta las estrategias </w:t>
      </w:r>
      <w:r w:rsidR="00EA01CA">
        <w:rPr>
          <w:szCs w:val="22"/>
          <w:lang w:val="es-ES"/>
        </w:rPr>
        <w:t>comerciales</w:t>
      </w:r>
      <w:r w:rsidRPr="002E1105">
        <w:rPr>
          <w:szCs w:val="22"/>
          <w:lang w:val="es-ES"/>
        </w:rPr>
        <w:t xml:space="preserve"> tradicionales y abre puertas a operadores más pequeños.</w:t>
      </w:r>
      <w:r w:rsidR="002F73AD" w:rsidRPr="00682A46">
        <w:rPr>
          <w:szCs w:val="22"/>
          <w:lang w:val="es-ES"/>
        </w:rPr>
        <w:t xml:space="preserve"> </w:t>
      </w:r>
    </w:p>
    <w:p w:rsidR="002F73AD" w:rsidRPr="00682A46" w:rsidRDefault="002F73AD" w:rsidP="002F73AD">
      <w:pPr>
        <w:outlineLvl w:val="0"/>
        <w:rPr>
          <w:szCs w:val="22"/>
          <w:lang w:val="es-ES"/>
        </w:rPr>
      </w:pPr>
    </w:p>
    <w:p w:rsidR="002F73AD" w:rsidRPr="00682A46" w:rsidRDefault="002E1105" w:rsidP="00150ACA">
      <w:pPr>
        <w:pStyle w:val="Heading3"/>
        <w:keepNext w:val="0"/>
        <w:rPr>
          <w:lang w:val="es-ES"/>
        </w:rPr>
      </w:pPr>
      <w:r>
        <w:rPr>
          <w:lang w:val="es-ES"/>
        </w:rPr>
        <w:t>Tamaño y crecimiento del mercado</w:t>
      </w:r>
    </w:p>
    <w:p w:rsidR="002F73AD" w:rsidRPr="00682A46" w:rsidRDefault="002F73AD" w:rsidP="002F73AD">
      <w:pPr>
        <w:outlineLvl w:val="0"/>
        <w:rPr>
          <w:szCs w:val="22"/>
          <w:lang w:val="es-ES"/>
        </w:rPr>
      </w:pPr>
    </w:p>
    <w:p w:rsidR="002F73AD" w:rsidRPr="00682A46" w:rsidRDefault="002E1105" w:rsidP="002F73AD">
      <w:pPr>
        <w:outlineLvl w:val="0"/>
        <w:rPr>
          <w:szCs w:val="22"/>
          <w:lang w:val="es-ES"/>
        </w:rPr>
      </w:pPr>
      <w:r>
        <w:rPr>
          <w:szCs w:val="22"/>
          <w:lang w:val="es-ES"/>
        </w:rPr>
        <w:t xml:space="preserve">En 2014, </w:t>
      </w:r>
      <w:r w:rsidR="00940B05">
        <w:rPr>
          <w:szCs w:val="22"/>
          <w:lang w:val="es-ES"/>
        </w:rPr>
        <w:t>la recaudación en taquilla en los cines ascendió a 36.400 millones de dólares EE.UU.</w:t>
      </w:r>
      <w:r w:rsidR="007B54D9" w:rsidRPr="00682A46">
        <w:rPr>
          <w:rStyle w:val="FootnoteReference"/>
          <w:szCs w:val="22"/>
          <w:lang w:val="es-ES"/>
        </w:rPr>
        <w:footnoteReference w:id="4"/>
      </w:r>
      <w:r w:rsidR="00940B05">
        <w:rPr>
          <w:szCs w:val="22"/>
          <w:lang w:val="es-ES"/>
        </w:rPr>
        <w:t xml:space="preserve">.  Los cinco productores principales de películas son la India, los Estados Unidos de </w:t>
      </w:r>
      <w:r w:rsidR="00940B05">
        <w:rPr>
          <w:szCs w:val="22"/>
          <w:lang w:val="es-ES"/>
        </w:rPr>
        <w:lastRenderedPageBreak/>
        <w:t>América, China, el Japón y el Reino Unido</w:t>
      </w:r>
      <w:r w:rsidR="007B54D9" w:rsidRPr="00682A46">
        <w:rPr>
          <w:rStyle w:val="FootnoteReference"/>
          <w:szCs w:val="22"/>
          <w:lang w:val="es-ES"/>
        </w:rPr>
        <w:footnoteReference w:id="5"/>
      </w:r>
      <w:r w:rsidR="002F73AD" w:rsidRPr="00682A46">
        <w:rPr>
          <w:szCs w:val="22"/>
          <w:lang w:val="es-ES"/>
        </w:rPr>
        <w:t xml:space="preserve">, </w:t>
      </w:r>
      <w:r w:rsidR="00940B05">
        <w:rPr>
          <w:szCs w:val="22"/>
          <w:lang w:val="es-ES"/>
        </w:rPr>
        <w:t>lista a la que cabe añadir a</w:t>
      </w:r>
      <w:r w:rsidR="002F73AD" w:rsidRPr="00682A46">
        <w:rPr>
          <w:szCs w:val="22"/>
          <w:lang w:val="es-ES"/>
        </w:rPr>
        <w:t xml:space="preserve"> Nigeria</w:t>
      </w:r>
      <w:r w:rsidR="00940B05">
        <w:rPr>
          <w:szCs w:val="22"/>
          <w:lang w:val="es-ES"/>
        </w:rPr>
        <w:t>, por su elevada participación en producciones informales</w:t>
      </w:r>
      <w:r w:rsidR="002F73AD" w:rsidRPr="00682A46">
        <w:rPr>
          <w:szCs w:val="22"/>
          <w:lang w:val="es-ES"/>
        </w:rPr>
        <w:t xml:space="preserve">.  </w:t>
      </w:r>
    </w:p>
    <w:p w:rsidR="002F73AD" w:rsidRPr="00682A46" w:rsidRDefault="002F73AD" w:rsidP="002F73AD">
      <w:pPr>
        <w:outlineLvl w:val="0"/>
        <w:rPr>
          <w:szCs w:val="22"/>
          <w:lang w:val="es-ES"/>
        </w:rPr>
      </w:pPr>
    </w:p>
    <w:p w:rsidR="002F73AD" w:rsidRPr="00682A46" w:rsidRDefault="00096A25" w:rsidP="002F73AD">
      <w:pPr>
        <w:outlineLvl w:val="0"/>
        <w:rPr>
          <w:szCs w:val="22"/>
          <w:lang w:val="es-ES"/>
        </w:rPr>
      </w:pPr>
      <w:r>
        <w:rPr>
          <w:szCs w:val="22"/>
          <w:lang w:val="es-ES"/>
        </w:rPr>
        <w:t xml:space="preserve">En los últimos 10 años se ha registrado un crecimiento lento </w:t>
      </w:r>
      <w:r w:rsidR="00EA01CA">
        <w:rPr>
          <w:szCs w:val="22"/>
          <w:lang w:val="es-ES"/>
        </w:rPr>
        <w:t>de</w:t>
      </w:r>
      <w:r>
        <w:rPr>
          <w:szCs w:val="22"/>
          <w:lang w:val="es-ES"/>
        </w:rPr>
        <w:t xml:space="preserve"> los ingresos en taquilla.  En 2014 se registró un crecimiento de solo el 1%</w:t>
      </w:r>
      <w:r w:rsidR="007B54D9" w:rsidRPr="00682A46">
        <w:rPr>
          <w:rStyle w:val="FootnoteReference"/>
          <w:szCs w:val="22"/>
          <w:lang w:val="es-ES"/>
        </w:rPr>
        <w:footnoteReference w:id="6"/>
      </w:r>
      <w:r w:rsidR="002F73AD" w:rsidRPr="00682A46">
        <w:rPr>
          <w:szCs w:val="22"/>
          <w:lang w:val="es-ES"/>
        </w:rPr>
        <w:t xml:space="preserve">, </w:t>
      </w:r>
      <w:r>
        <w:rPr>
          <w:szCs w:val="22"/>
          <w:lang w:val="es-ES"/>
        </w:rPr>
        <w:t>tras varios años de crecimiento</w:t>
      </w:r>
      <w:r w:rsidR="00C92AA1">
        <w:rPr>
          <w:szCs w:val="22"/>
          <w:lang w:val="es-ES"/>
        </w:rPr>
        <w:t xml:space="preserve"> irregular</w:t>
      </w:r>
      <w:r w:rsidR="00611F39" w:rsidRPr="00682A46">
        <w:rPr>
          <w:rStyle w:val="FootnoteReference"/>
          <w:szCs w:val="22"/>
          <w:lang w:val="es-ES"/>
        </w:rPr>
        <w:footnoteReference w:id="7"/>
      </w:r>
      <w:r w:rsidR="002F73AD" w:rsidRPr="00682A46">
        <w:rPr>
          <w:szCs w:val="22"/>
          <w:lang w:val="es-ES"/>
        </w:rPr>
        <w:t xml:space="preserve">.  </w:t>
      </w:r>
      <w:r>
        <w:rPr>
          <w:szCs w:val="22"/>
          <w:lang w:val="es-ES"/>
        </w:rPr>
        <w:t>Mientras que la venta de entradas está disminuyendo o se ha quedado estancada en América del Norte y Europa, en la región de Asia-el Pacífico, en particular, en China se ha registrado un fuerte crecimiento;  el mercado chino aumentó en un 34 % en 2014 y se cifra en 4.</w:t>
      </w:r>
      <w:r w:rsidR="002F73AD" w:rsidRPr="00682A46">
        <w:rPr>
          <w:szCs w:val="22"/>
          <w:lang w:val="es-ES"/>
        </w:rPr>
        <w:t>8</w:t>
      </w:r>
      <w:r>
        <w:rPr>
          <w:szCs w:val="22"/>
          <w:lang w:val="es-ES"/>
        </w:rPr>
        <w:t>00 millones de dólares EE.UU</w:t>
      </w:r>
      <w:r w:rsidR="00611F39" w:rsidRPr="00682A46">
        <w:rPr>
          <w:rStyle w:val="FootnoteReference"/>
          <w:szCs w:val="22"/>
          <w:lang w:val="es-ES"/>
        </w:rPr>
        <w:footnoteReference w:id="8"/>
      </w:r>
      <w:r w:rsidR="002F73AD" w:rsidRPr="00682A46">
        <w:rPr>
          <w:szCs w:val="22"/>
          <w:lang w:val="es-ES"/>
        </w:rPr>
        <w:t xml:space="preserve">. </w:t>
      </w:r>
    </w:p>
    <w:p w:rsidR="002F73AD" w:rsidRPr="00682A46" w:rsidRDefault="002F73AD" w:rsidP="002F73AD">
      <w:pPr>
        <w:outlineLvl w:val="0"/>
        <w:rPr>
          <w:szCs w:val="22"/>
          <w:lang w:val="es-ES"/>
        </w:rPr>
      </w:pPr>
    </w:p>
    <w:p w:rsidR="002F73AD" w:rsidRPr="00682A46" w:rsidRDefault="00610DB5" w:rsidP="002F73AD">
      <w:pPr>
        <w:outlineLvl w:val="0"/>
        <w:rPr>
          <w:szCs w:val="22"/>
          <w:lang w:val="es-ES"/>
        </w:rPr>
      </w:pPr>
      <w:r>
        <w:rPr>
          <w:szCs w:val="22"/>
          <w:lang w:val="es-ES"/>
        </w:rPr>
        <w:t>Están aumenta</w:t>
      </w:r>
      <w:r w:rsidR="00381CBF">
        <w:rPr>
          <w:szCs w:val="22"/>
          <w:lang w:val="es-ES"/>
        </w:rPr>
        <w:t>n</w:t>
      </w:r>
      <w:r>
        <w:rPr>
          <w:szCs w:val="22"/>
          <w:lang w:val="es-ES"/>
        </w:rPr>
        <w:t>do las ventas de películas digitales procedentes de fuentes de Internet.  En los Estados Unidos de América, está desarrollándose rápidamente el sector del entretenimiento doméstico y las ventas electrónicas de estrenos aumentó en un</w:t>
      </w:r>
      <w:r w:rsidR="002F73AD" w:rsidRPr="00682A46">
        <w:rPr>
          <w:szCs w:val="22"/>
          <w:lang w:val="es-ES"/>
        </w:rPr>
        <w:t xml:space="preserve"> 60% </w:t>
      </w:r>
      <w:r w:rsidR="00611F39" w:rsidRPr="00682A46">
        <w:rPr>
          <w:rStyle w:val="FootnoteReference"/>
          <w:szCs w:val="22"/>
          <w:lang w:val="es-ES"/>
        </w:rPr>
        <w:footnoteReference w:id="9"/>
      </w:r>
      <w:r>
        <w:rPr>
          <w:szCs w:val="22"/>
          <w:lang w:val="es-ES"/>
        </w:rPr>
        <w:t>e</w:t>
      </w:r>
      <w:r w:rsidR="002F73AD" w:rsidRPr="00682A46">
        <w:rPr>
          <w:szCs w:val="22"/>
          <w:lang w:val="es-ES"/>
        </w:rPr>
        <w:t xml:space="preserve">n 2014;  </w:t>
      </w:r>
      <w:r>
        <w:rPr>
          <w:szCs w:val="22"/>
          <w:lang w:val="es-ES"/>
        </w:rPr>
        <w:t xml:space="preserve">ese aumento se ha visto acompañado de un descenso en las ventas de DVD y otros discos.  En el Reino Unido, las ventas digitales de películas se cifraron en 490 </w:t>
      </w:r>
      <w:r w:rsidR="00CC7D67">
        <w:rPr>
          <w:szCs w:val="22"/>
          <w:lang w:val="es-ES"/>
        </w:rPr>
        <w:t xml:space="preserve">millones de </w:t>
      </w:r>
      <w:r>
        <w:rPr>
          <w:szCs w:val="22"/>
          <w:lang w:val="es-ES"/>
        </w:rPr>
        <w:t>dólares EE.UU.</w:t>
      </w:r>
      <w:r w:rsidR="00CC7D67">
        <w:rPr>
          <w:szCs w:val="22"/>
          <w:lang w:val="es-ES"/>
        </w:rPr>
        <w:t xml:space="preserve"> (</w:t>
      </w:r>
      <w:r w:rsidR="002F73AD" w:rsidRPr="00682A46">
        <w:rPr>
          <w:szCs w:val="22"/>
          <w:lang w:val="es-ES"/>
        </w:rPr>
        <w:t>323</w:t>
      </w:r>
      <w:r w:rsidR="00CC7D67">
        <w:rPr>
          <w:szCs w:val="22"/>
          <w:lang w:val="es-ES"/>
        </w:rPr>
        <w:t xml:space="preserve"> millones de libras esterlinas</w:t>
      </w:r>
      <w:r w:rsidR="002F73AD" w:rsidRPr="00682A46">
        <w:rPr>
          <w:szCs w:val="22"/>
          <w:lang w:val="es-ES"/>
        </w:rPr>
        <w:t xml:space="preserve">) </w:t>
      </w:r>
      <w:r>
        <w:rPr>
          <w:szCs w:val="22"/>
          <w:lang w:val="es-ES"/>
        </w:rPr>
        <w:t>millones de dólares EE.UU.</w:t>
      </w:r>
      <w:r w:rsidRPr="00682A46">
        <w:rPr>
          <w:szCs w:val="22"/>
          <w:lang w:val="es-ES"/>
        </w:rPr>
        <w:t xml:space="preserve"> </w:t>
      </w:r>
      <w:r>
        <w:rPr>
          <w:szCs w:val="22"/>
          <w:lang w:val="es-ES"/>
        </w:rPr>
        <w:t xml:space="preserve">en 2013, lo que representa un aumento del 400% desde </w:t>
      </w:r>
      <w:r w:rsidR="002F73AD" w:rsidRPr="00682A46">
        <w:rPr>
          <w:szCs w:val="22"/>
          <w:lang w:val="es-ES"/>
        </w:rPr>
        <w:t>2002</w:t>
      </w:r>
      <w:r w:rsidR="00611F39" w:rsidRPr="00682A46">
        <w:rPr>
          <w:rStyle w:val="FootnoteReference"/>
          <w:szCs w:val="22"/>
          <w:lang w:val="es-ES"/>
        </w:rPr>
        <w:footnoteReference w:id="10"/>
      </w:r>
      <w:r w:rsidR="002F73AD" w:rsidRPr="00682A46">
        <w:rPr>
          <w:szCs w:val="22"/>
          <w:lang w:val="es-ES"/>
        </w:rPr>
        <w:t xml:space="preserve">.  </w:t>
      </w:r>
    </w:p>
    <w:p w:rsidR="002F73AD" w:rsidRPr="00682A46" w:rsidRDefault="002F73AD" w:rsidP="002F73AD">
      <w:pPr>
        <w:outlineLvl w:val="0"/>
        <w:rPr>
          <w:szCs w:val="22"/>
          <w:lang w:val="es-ES"/>
        </w:rPr>
      </w:pPr>
    </w:p>
    <w:p w:rsidR="002F73AD" w:rsidRPr="00682A46" w:rsidRDefault="006B47A8" w:rsidP="00150ACA">
      <w:pPr>
        <w:pStyle w:val="Heading3"/>
        <w:keepNext w:val="0"/>
        <w:rPr>
          <w:lang w:val="es-ES"/>
        </w:rPr>
      </w:pPr>
      <w:r>
        <w:rPr>
          <w:lang w:val="es-ES"/>
        </w:rPr>
        <w:t>Tecnología</w:t>
      </w:r>
      <w:r w:rsidR="00FB2285">
        <w:rPr>
          <w:lang w:val="es-ES"/>
        </w:rPr>
        <w:t xml:space="preserve"> dig</w:t>
      </w:r>
      <w:r w:rsidR="002F73AD" w:rsidRPr="00682A46">
        <w:rPr>
          <w:lang w:val="es-ES"/>
        </w:rPr>
        <w:t>ital</w:t>
      </w:r>
    </w:p>
    <w:p w:rsidR="002F73AD" w:rsidRPr="00682A46" w:rsidRDefault="002F73AD" w:rsidP="002F73AD">
      <w:pPr>
        <w:outlineLvl w:val="0"/>
        <w:rPr>
          <w:szCs w:val="22"/>
          <w:lang w:val="es-ES"/>
        </w:rPr>
      </w:pPr>
    </w:p>
    <w:p w:rsidR="002F73AD" w:rsidRPr="00682A46" w:rsidRDefault="006B47A8" w:rsidP="002F73AD">
      <w:pPr>
        <w:outlineLvl w:val="0"/>
        <w:rPr>
          <w:szCs w:val="22"/>
          <w:lang w:val="es-ES"/>
        </w:rPr>
      </w:pPr>
      <w:r>
        <w:rPr>
          <w:szCs w:val="22"/>
          <w:lang w:val="es-ES"/>
        </w:rPr>
        <w:t>La tecnología digital incide en la cadena de valor de varias formas.  En la fase de producción, la tecnología digital disminuye los costos de producción y amplía las posibilidades de efecto</w:t>
      </w:r>
      <w:r w:rsidR="004010F0">
        <w:rPr>
          <w:szCs w:val="22"/>
          <w:lang w:val="es-ES"/>
        </w:rPr>
        <w:t>s</w:t>
      </w:r>
      <w:r>
        <w:rPr>
          <w:szCs w:val="22"/>
          <w:lang w:val="es-ES"/>
        </w:rPr>
        <w:t xml:space="preserve"> visual</w:t>
      </w:r>
      <w:r w:rsidR="004010F0">
        <w:rPr>
          <w:szCs w:val="22"/>
          <w:lang w:val="es-ES"/>
        </w:rPr>
        <w:t>es</w:t>
      </w:r>
      <w:r>
        <w:rPr>
          <w:szCs w:val="22"/>
          <w:lang w:val="es-ES"/>
        </w:rPr>
        <w:t xml:space="preserve">.  También disminuye los costos de distribución.  No obstante, en donde mayor impacto ha tenido esa tecnología es en </w:t>
      </w:r>
      <w:r w:rsidR="007B472C">
        <w:rPr>
          <w:szCs w:val="22"/>
          <w:lang w:val="es-ES"/>
        </w:rPr>
        <w:t>la estrategia tradicional de venta del mismo producto en diferentes plataformas (“windowing”)</w:t>
      </w:r>
      <w:r w:rsidR="00ED663D" w:rsidRPr="00682A46">
        <w:rPr>
          <w:rStyle w:val="FootnoteReference"/>
          <w:szCs w:val="22"/>
          <w:lang w:val="es-ES"/>
        </w:rPr>
        <w:footnoteReference w:id="11"/>
      </w:r>
      <w:r w:rsidR="002F73AD" w:rsidRPr="00682A46">
        <w:rPr>
          <w:szCs w:val="22"/>
          <w:lang w:val="es-ES"/>
        </w:rPr>
        <w:t xml:space="preserve">.  </w:t>
      </w:r>
      <w:r w:rsidR="00E81480">
        <w:rPr>
          <w:szCs w:val="22"/>
          <w:lang w:val="es-ES"/>
        </w:rPr>
        <w:t xml:space="preserve">Las limitaciones físicas que imponen las bobinas de las películas y los DVD han dejado de suponer un problema pues las posibilidades que ofrece la </w:t>
      </w:r>
      <w:r w:rsidR="004010F0">
        <w:rPr>
          <w:szCs w:val="22"/>
          <w:lang w:val="es-ES"/>
        </w:rPr>
        <w:t xml:space="preserve">transmisión continua de secuencias por Internet </w:t>
      </w:r>
      <w:r w:rsidR="00E81480">
        <w:rPr>
          <w:szCs w:val="22"/>
          <w:lang w:val="es-ES"/>
        </w:rPr>
        <w:t xml:space="preserve">han cambiado las expectativas del público y está reduciéndose el lapso de tiempo entre </w:t>
      </w:r>
      <w:r w:rsidR="004010F0">
        <w:rPr>
          <w:szCs w:val="22"/>
          <w:lang w:val="es-ES"/>
        </w:rPr>
        <w:t>el lanzamiento</w:t>
      </w:r>
      <w:r w:rsidR="00E81480">
        <w:rPr>
          <w:szCs w:val="22"/>
          <w:lang w:val="es-ES"/>
        </w:rPr>
        <w:t xml:space="preserve"> de la película en </w:t>
      </w:r>
      <w:r w:rsidR="00631B90">
        <w:rPr>
          <w:szCs w:val="22"/>
          <w:lang w:val="es-ES"/>
        </w:rPr>
        <w:t>unas y otras plataformas.  Eso supone mayores dificultades para que la industria se beneficie de los estrenos cinematográficos y los ingresos hoy se obtienen con la venta en línea.</w:t>
      </w:r>
      <w:r w:rsidR="002F73AD" w:rsidRPr="00682A46">
        <w:rPr>
          <w:szCs w:val="22"/>
          <w:lang w:val="es-ES"/>
        </w:rPr>
        <w:t xml:space="preserve">  </w:t>
      </w:r>
    </w:p>
    <w:p w:rsidR="002F73AD" w:rsidRPr="00682A46" w:rsidRDefault="00036A9A" w:rsidP="002F73AD">
      <w:pPr>
        <w:outlineLvl w:val="0"/>
        <w:rPr>
          <w:szCs w:val="22"/>
          <w:lang w:val="es-ES"/>
        </w:rPr>
      </w:pPr>
      <w:r>
        <w:rPr>
          <w:szCs w:val="22"/>
          <w:lang w:val="es-ES"/>
        </w:rPr>
        <w:t>La adopción de la tecnología digital ha abierto nuevas posibilidades para los operadores más pequeños de la industria.  El sistema de vídeo a la carta (</w:t>
      </w:r>
      <w:r w:rsidR="00596741">
        <w:rPr>
          <w:szCs w:val="22"/>
          <w:lang w:val="es-ES"/>
        </w:rPr>
        <w:t>que se conoce por su sigla en inglés, “</w:t>
      </w:r>
      <w:r>
        <w:rPr>
          <w:szCs w:val="22"/>
          <w:lang w:val="es-ES"/>
        </w:rPr>
        <w:t>VOD</w:t>
      </w:r>
      <w:r w:rsidR="00596741">
        <w:rPr>
          <w:szCs w:val="22"/>
          <w:lang w:val="es-ES"/>
        </w:rPr>
        <w:t>”</w:t>
      </w:r>
      <w:r>
        <w:rPr>
          <w:szCs w:val="22"/>
          <w:lang w:val="es-ES"/>
        </w:rPr>
        <w:t xml:space="preserve">), que significa un servicio en línea o interactivo que permite que el consumidor escoja la película que desea y la vea a la hora que él mismo escoja, es un ejemplo excelente del cambio que puede suponer la tecnología digital.  </w:t>
      </w:r>
      <w:r w:rsidR="00DD545A">
        <w:rPr>
          <w:szCs w:val="22"/>
          <w:lang w:val="es-ES"/>
        </w:rPr>
        <w:t>Los realizadores cinematográficos independientes pueden ahorrarse las etapas intermedias de licencia y distribución y vender directamente al p</w:t>
      </w:r>
      <w:r w:rsidR="00BA707C">
        <w:rPr>
          <w:szCs w:val="22"/>
          <w:lang w:val="es-ES"/>
        </w:rPr>
        <w:t>úblico.</w:t>
      </w:r>
      <w:r w:rsidR="002F73AD" w:rsidRPr="00682A46">
        <w:rPr>
          <w:szCs w:val="22"/>
          <w:lang w:val="es-ES"/>
        </w:rPr>
        <w:t xml:space="preserve">  </w:t>
      </w:r>
      <w:r w:rsidR="00BA707C">
        <w:rPr>
          <w:szCs w:val="22"/>
          <w:lang w:val="es-ES"/>
        </w:rPr>
        <w:t xml:space="preserve">En ese sentido, están ganando popularidad las </w:t>
      </w:r>
      <w:r w:rsidR="00BA707C" w:rsidRPr="00BA707C">
        <w:rPr>
          <w:szCs w:val="22"/>
          <w:lang w:val="es-ES"/>
        </w:rPr>
        <w:t xml:space="preserve">plataformas de </w:t>
      </w:r>
      <w:r w:rsidR="00596741">
        <w:rPr>
          <w:szCs w:val="22"/>
          <w:lang w:val="es-ES"/>
        </w:rPr>
        <w:t>transmisión continua de secuencias por Internet</w:t>
      </w:r>
      <w:r w:rsidR="00BA707C">
        <w:rPr>
          <w:szCs w:val="22"/>
          <w:lang w:val="es-ES"/>
        </w:rPr>
        <w:t>, a las que el público paga una cuota mensual a cambio de acceso a contenido.</w:t>
      </w:r>
    </w:p>
    <w:p w:rsidR="002F73AD" w:rsidRPr="00682A46" w:rsidRDefault="002F73AD" w:rsidP="002F73AD">
      <w:pPr>
        <w:outlineLvl w:val="0"/>
        <w:rPr>
          <w:szCs w:val="22"/>
          <w:lang w:val="es-ES"/>
        </w:rPr>
      </w:pPr>
    </w:p>
    <w:p w:rsidR="002F73AD" w:rsidRPr="00682A46" w:rsidRDefault="00BA707C" w:rsidP="00150ACA">
      <w:pPr>
        <w:pStyle w:val="Heading3"/>
        <w:keepNext w:val="0"/>
        <w:rPr>
          <w:lang w:val="es-ES"/>
        </w:rPr>
      </w:pPr>
      <w:r>
        <w:rPr>
          <w:lang w:val="es-ES"/>
        </w:rPr>
        <w:t>Nuevas prácticas</w:t>
      </w:r>
    </w:p>
    <w:p w:rsidR="002F73AD" w:rsidRPr="00682A46" w:rsidRDefault="002F73AD" w:rsidP="002F73AD">
      <w:pPr>
        <w:outlineLvl w:val="0"/>
        <w:rPr>
          <w:szCs w:val="22"/>
          <w:lang w:val="es-ES"/>
        </w:rPr>
      </w:pPr>
    </w:p>
    <w:p w:rsidR="002F73AD" w:rsidRPr="00682A46" w:rsidRDefault="00BA707C" w:rsidP="002F73AD">
      <w:pPr>
        <w:outlineLvl w:val="0"/>
        <w:rPr>
          <w:szCs w:val="22"/>
          <w:lang w:val="es-ES"/>
        </w:rPr>
      </w:pPr>
      <w:r>
        <w:rPr>
          <w:szCs w:val="22"/>
          <w:lang w:val="es-ES"/>
        </w:rPr>
        <w:t>En mayo de 2015 inició sus actividades la empresa brasileña</w:t>
      </w:r>
      <w:r w:rsidR="002F73AD" w:rsidRPr="00682A46">
        <w:rPr>
          <w:szCs w:val="22"/>
          <w:lang w:val="es-ES"/>
        </w:rPr>
        <w:t xml:space="preserve"> </w:t>
      </w:r>
      <w:r w:rsidR="002F73AD" w:rsidRPr="00BA707C">
        <w:rPr>
          <w:i/>
          <w:szCs w:val="22"/>
          <w:lang w:val="es-ES"/>
        </w:rPr>
        <w:t>Setima</w:t>
      </w:r>
      <w:r>
        <w:rPr>
          <w:szCs w:val="22"/>
          <w:lang w:val="es-ES"/>
        </w:rPr>
        <w:t xml:space="preserve">, plataforma de VOD de películas brasileñas independientes cuya finalidad es permitir que los realizadores de películas </w:t>
      </w:r>
      <w:r>
        <w:rPr>
          <w:szCs w:val="22"/>
          <w:lang w:val="es-ES"/>
        </w:rPr>
        <w:lastRenderedPageBreak/>
        <w:t xml:space="preserve">de ese género puedan almacenar administrar, promover y mostrar sus películas, acercándolos al público.  Los beneficios que se obtengan con la plataforma se emplearán para hacer otras películas.  Los proyectos como </w:t>
      </w:r>
      <w:r>
        <w:rPr>
          <w:i/>
          <w:szCs w:val="22"/>
          <w:lang w:val="es-ES"/>
        </w:rPr>
        <w:t xml:space="preserve">Setima </w:t>
      </w:r>
      <w:r>
        <w:rPr>
          <w:szCs w:val="22"/>
          <w:lang w:val="es-ES"/>
        </w:rPr>
        <w:t xml:space="preserve"> ponen de relieve cómo promueve la tecnología digital el patrimonio cultural y apoya a los realizadores cinematográficos</w:t>
      </w:r>
      <w:r w:rsidR="00785086">
        <w:rPr>
          <w:szCs w:val="22"/>
          <w:lang w:val="es-ES"/>
        </w:rPr>
        <w:t xml:space="preserve"> menos conocidos</w:t>
      </w:r>
      <w:r>
        <w:rPr>
          <w:szCs w:val="22"/>
          <w:lang w:val="es-ES"/>
        </w:rPr>
        <w:t>.</w:t>
      </w:r>
    </w:p>
    <w:p w:rsidR="002F73AD" w:rsidRPr="00682A46" w:rsidRDefault="002F73AD" w:rsidP="002F73AD">
      <w:pPr>
        <w:outlineLvl w:val="0"/>
        <w:rPr>
          <w:szCs w:val="22"/>
          <w:lang w:val="es-ES"/>
        </w:rPr>
      </w:pPr>
    </w:p>
    <w:p w:rsidR="002F73AD" w:rsidRPr="00682A46" w:rsidRDefault="00843C1A" w:rsidP="00150ACA">
      <w:pPr>
        <w:pStyle w:val="Heading2"/>
        <w:keepNext w:val="0"/>
        <w:numPr>
          <w:ilvl w:val="0"/>
          <w:numId w:val="7"/>
        </w:numPr>
        <w:ind w:left="0" w:firstLine="0"/>
        <w:rPr>
          <w:b/>
          <w:lang w:val="es-ES"/>
        </w:rPr>
      </w:pPr>
      <w:r>
        <w:rPr>
          <w:b/>
          <w:lang w:val="es-ES"/>
        </w:rPr>
        <w:t>radiodifusi</w:t>
      </w:r>
      <w:r w:rsidR="00620296">
        <w:rPr>
          <w:b/>
          <w:lang w:val="es-ES"/>
        </w:rPr>
        <w:t>Ó</w:t>
      </w:r>
      <w:r>
        <w:rPr>
          <w:b/>
          <w:lang w:val="es-ES"/>
        </w:rPr>
        <w:t>n</w:t>
      </w:r>
    </w:p>
    <w:p w:rsidR="002F73AD" w:rsidRPr="00682A46" w:rsidRDefault="00620296" w:rsidP="00150ACA">
      <w:pPr>
        <w:pStyle w:val="Heading3"/>
        <w:keepNext w:val="0"/>
        <w:rPr>
          <w:lang w:val="es-ES"/>
        </w:rPr>
      </w:pPr>
      <w:r>
        <w:rPr>
          <w:lang w:val="es-ES"/>
        </w:rPr>
        <w:t>Panorama general</w:t>
      </w:r>
    </w:p>
    <w:p w:rsidR="002F73AD" w:rsidRPr="00682A46" w:rsidRDefault="002F73AD" w:rsidP="002F73AD">
      <w:pPr>
        <w:outlineLvl w:val="0"/>
        <w:rPr>
          <w:szCs w:val="22"/>
          <w:lang w:val="es-ES"/>
        </w:rPr>
      </w:pPr>
    </w:p>
    <w:p w:rsidR="002F73AD" w:rsidRPr="00682A46" w:rsidRDefault="00620296" w:rsidP="002F73AD">
      <w:pPr>
        <w:outlineLvl w:val="0"/>
        <w:rPr>
          <w:szCs w:val="22"/>
          <w:lang w:val="es-ES"/>
        </w:rPr>
      </w:pPr>
      <w:r>
        <w:rPr>
          <w:szCs w:val="22"/>
          <w:lang w:val="es-ES"/>
        </w:rPr>
        <w:t>En relación con la transmisión por televisión, las perspectivas no son claras pues los servicios analógicos están en declive al tiempo que se desarrollan los servicios digitales y por Internet</w:t>
      </w:r>
      <w:r w:rsidR="002F73AD" w:rsidRPr="00682A46">
        <w:rPr>
          <w:szCs w:val="22"/>
          <w:lang w:val="es-ES"/>
        </w:rPr>
        <w:t xml:space="preserve">.  </w:t>
      </w:r>
      <w:r>
        <w:rPr>
          <w:szCs w:val="22"/>
          <w:lang w:val="es-ES"/>
        </w:rPr>
        <w:t>Eso acentúa la competencia para hacerse con ingresos publicitarios y público para la radiodifusión comercial.  El crecimiento es leve en los países desarroll</w:t>
      </w:r>
      <w:r w:rsidR="00596741">
        <w:rPr>
          <w:szCs w:val="22"/>
          <w:lang w:val="es-ES"/>
        </w:rPr>
        <w:t>ados</w:t>
      </w:r>
      <w:r>
        <w:rPr>
          <w:szCs w:val="22"/>
          <w:lang w:val="es-ES"/>
        </w:rPr>
        <w:t xml:space="preserve"> y más acusado en los países en desarrollo.  En lo que se refiere a la radio, se observan tendencias similares.</w:t>
      </w:r>
    </w:p>
    <w:p w:rsidR="002F73AD" w:rsidRPr="00682A46" w:rsidRDefault="002F73AD" w:rsidP="002F73AD">
      <w:pPr>
        <w:rPr>
          <w:szCs w:val="22"/>
          <w:lang w:val="es-ES"/>
        </w:rPr>
      </w:pPr>
    </w:p>
    <w:p w:rsidR="002F73AD" w:rsidRPr="00682A46" w:rsidRDefault="00307067" w:rsidP="00150ACA">
      <w:pPr>
        <w:pStyle w:val="Heading3"/>
        <w:keepNext w:val="0"/>
        <w:rPr>
          <w:lang w:val="es-ES"/>
        </w:rPr>
      </w:pPr>
      <w:r>
        <w:rPr>
          <w:lang w:val="es-ES"/>
        </w:rPr>
        <w:t>Tamaño y crecimiento del mercado</w:t>
      </w:r>
    </w:p>
    <w:p w:rsidR="002F73AD" w:rsidRPr="00682A46" w:rsidRDefault="002F73AD" w:rsidP="002F73AD">
      <w:pPr>
        <w:outlineLvl w:val="0"/>
        <w:rPr>
          <w:szCs w:val="22"/>
          <w:lang w:val="es-ES"/>
        </w:rPr>
      </w:pPr>
    </w:p>
    <w:p w:rsidR="002F73AD" w:rsidRPr="00682A46" w:rsidRDefault="00C86566" w:rsidP="002F73AD">
      <w:pPr>
        <w:outlineLvl w:val="0"/>
        <w:rPr>
          <w:szCs w:val="22"/>
          <w:lang w:val="es-ES"/>
        </w:rPr>
      </w:pPr>
      <w:r>
        <w:rPr>
          <w:szCs w:val="22"/>
          <w:lang w:val="es-ES"/>
        </w:rPr>
        <w:t>Los ingresos mundiales generados por la televisión de pago</w:t>
      </w:r>
      <w:r w:rsidR="00B11AC3" w:rsidRPr="00682A46">
        <w:rPr>
          <w:szCs w:val="22"/>
          <w:lang w:val="es-ES"/>
        </w:rPr>
        <w:t xml:space="preserve"> (</w:t>
      </w:r>
      <w:r>
        <w:rPr>
          <w:szCs w:val="22"/>
          <w:lang w:val="es-ES"/>
        </w:rPr>
        <w:t>que incluye servicios por satélite y cable) ascendieron a 183.000 millones de dólares E</w:t>
      </w:r>
      <w:r w:rsidR="00596741">
        <w:rPr>
          <w:szCs w:val="22"/>
          <w:lang w:val="es-ES"/>
        </w:rPr>
        <w:t>E</w:t>
      </w:r>
      <w:r>
        <w:rPr>
          <w:szCs w:val="22"/>
          <w:lang w:val="es-ES"/>
        </w:rPr>
        <w:t xml:space="preserve">.UU. en 2012 </w:t>
      </w:r>
      <w:r w:rsidR="00BD6ED1">
        <w:rPr>
          <w:szCs w:val="22"/>
          <w:lang w:val="es-ES"/>
        </w:rPr>
        <w:t>y el número de suscriptores aumentó en un 32% con respecto a 2008.  El crecimiento procede de los países en desarrollo, en los que el 34% de los hogares utiliza la televisión de pago</w:t>
      </w:r>
      <w:r w:rsidR="00447374" w:rsidRPr="00682A46">
        <w:rPr>
          <w:rStyle w:val="FootnoteReference"/>
          <w:szCs w:val="22"/>
          <w:lang w:val="es-ES"/>
        </w:rPr>
        <w:footnoteReference w:id="12"/>
      </w:r>
      <w:r w:rsidR="002F73AD" w:rsidRPr="00682A46">
        <w:rPr>
          <w:szCs w:val="22"/>
          <w:lang w:val="es-ES"/>
        </w:rPr>
        <w:t xml:space="preserve">.  </w:t>
      </w:r>
      <w:r w:rsidR="008923EF">
        <w:rPr>
          <w:szCs w:val="22"/>
          <w:lang w:val="es-ES"/>
        </w:rPr>
        <w:t>Aun cuando los ingresos de suscripción a la televisión aumentan en la actualidad en un 3,5% por año, los recortes que realizan los gobiernos se traducen en un crecimiento del financiamiento de la radiodifusión pública de menos del 1% anual.</w:t>
      </w:r>
      <w:r w:rsidR="00447374" w:rsidRPr="00682A46">
        <w:rPr>
          <w:rStyle w:val="FootnoteReference"/>
          <w:szCs w:val="22"/>
          <w:lang w:val="es-ES"/>
        </w:rPr>
        <w:footnoteReference w:id="13"/>
      </w:r>
      <w:r w:rsidR="002F73AD" w:rsidRPr="00682A46">
        <w:rPr>
          <w:szCs w:val="22"/>
          <w:lang w:val="es-ES"/>
        </w:rPr>
        <w:t>.</w:t>
      </w:r>
    </w:p>
    <w:p w:rsidR="002F73AD" w:rsidRPr="00682A46" w:rsidRDefault="002F73AD" w:rsidP="002F73AD">
      <w:pPr>
        <w:outlineLvl w:val="0"/>
        <w:rPr>
          <w:szCs w:val="22"/>
          <w:lang w:val="es-ES"/>
        </w:rPr>
      </w:pPr>
    </w:p>
    <w:p w:rsidR="002F73AD" w:rsidRPr="00682A46" w:rsidRDefault="008923EF" w:rsidP="002F73AD">
      <w:pPr>
        <w:outlineLvl w:val="0"/>
        <w:rPr>
          <w:szCs w:val="22"/>
          <w:lang w:val="es-ES"/>
        </w:rPr>
      </w:pPr>
      <w:r>
        <w:rPr>
          <w:szCs w:val="22"/>
          <w:lang w:val="es-ES"/>
        </w:rPr>
        <w:t>La mayoría de los hogares cuentan con un televisor:  el 79% de los hogares de los países desarrollados, y el 72% de los hog</w:t>
      </w:r>
      <w:r w:rsidR="00A1281E">
        <w:rPr>
          <w:szCs w:val="22"/>
          <w:lang w:val="es-ES"/>
        </w:rPr>
        <w:t>a</w:t>
      </w:r>
      <w:r>
        <w:rPr>
          <w:szCs w:val="22"/>
          <w:lang w:val="es-ES"/>
        </w:rPr>
        <w:t>res de los países en desarrollo.</w:t>
      </w:r>
      <w:r w:rsidR="00A1281E">
        <w:rPr>
          <w:szCs w:val="22"/>
          <w:lang w:val="es-ES"/>
        </w:rPr>
        <w:t xml:space="preserve">  En África s</w:t>
      </w:r>
      <w:r w:rsidR="00F66ADD">
        <w:rPr>
          <w:szCs w:val="22"/>
          <w:lang w:val="es-ES"/>
        </w:rPr>
        <w:t>e</w:t>
      </w:r>
      <w:r w:rsidR="00A1281E">
        <w:rPr>
          <w:szCs w:val="22"/>
          <w:lang w:val="es-ES"/>
        </w:rPr>
        <w:t xml:space="preserve"> registra el mayor índice de crecimiento en </w:t>
      </w:r>
      <w:r w:rsidR="00596741">
        <w:rPr>
          <w:szCs w:val="22"/>
          <w:lang w:val="es-ES"/>
        </w:rPr>
        <w:t xml:space="preserve">cuanto a </w:t>
      </w:r>
      <w:r w:rsidR="00F66ADD">
        <w:rPr>
          <w:szCs w:val="22"/>
          <w:lang w:val="es-ES"/>
        </w:rPr>
        <w:t>hogares que tienen televisor, a saber, un crecimiento del 18% entre 2008 y 2012</w:t>
      </w:r>
      <w:r w:rsidR="00447374" w:rsidRPr="00682A46">
        <w:rPr>
          <w:rStyle w:val="FootnoteReference"/>
          <w:szCs w:val="22"/>
          <w:lang w:val="es-ES"/>
        </w:rPr>
        <w:footnoteReference w:id="14"/>
      </w:r>
      <w:r w:rsidR="00F66ADD">
        <w:rPr>
          <w:szCs w:val="22"/>
          <w:lang w:val="es-ES"/>
        </w:rPr>
        <w:t>.  Los ingresos mundiales por publicidad en la televisión se estiman en 7.000 millones de dólares EE.UU. en  2016</w:t>
      </w:r>
      <w:r w:rsidR="00447374" w:rsidRPr="00682A46">
        <w:rPr>
          <w:rStyle w:val="FootnoteReference"/>
          <w:szCs w:val="22"/>
          <w:lang w:val="es-ES"/>
        </w:rPr>
        <w:footnoteReference w:id="15"/>
      </w:r>
      <w:r w:rsidR="00F66ADD">
        <w:rPr>
          <w:szCs w:val="22"/>
          <w:lang w:val="es-ES"/>
        </w:rPr>
        <w:t>.  A su vez, la publicidad en la televisión en línea</w:t>
      </w:r>
      <w:r w:rsidR="00447374" w:rsidRPr="00682A46">
        <w:rPr>
          <w:rStyle w:val="FootnoteReference"/>
          <w:szCs w:val="22"/>
          <w:lang w:val="es-ES"/>
        </w:rPr>
        <w:footnoteReference w:id="16"/>
      </w:r>
      <w:r w:rsidR="002F73AD" w:rsidRPr="00682A46">
        <w:rPr>
          <w:szCs w:val="22"/>
          <w:lang w:val="es-ES"/>
        </w:rPr>
        <w:t xml:space="preserve"> </w:t>
      </w:r>
      <w:r w:rsidR="00F66ADD">
        <w:rPr>
          <w:szCs w:val="22"/>
          <w:lang w:val="es-ES"/>
        </w:rPr>
        <w:t xml:space="preserve">está aumentando </w:t>
      </w:r>
      <w:r w:rsidR="00596741">
        <w:rPr>
          <w:szCs w:val="22"/>
          <w:lang w:val="es-ES"/>
        </w:rPr>
        <w:t>u</w:t>
      </w:r>
      <w:r w:rsidR="00F66ADD">
        <w:rPr>
          <w:szCs w:val="22"/>
          <w:lang w:val="es-ES"/>
        </w:rPr>
        <w:t xml:space="preserve">n </w:t>
      </w:r>
      <w:r w:rsidR="002F73AD" w:rsidRPr="00682A46">
        <w:rPr>
          <w:szCs w:val="22"/>
          <w:lang w:val="es-ES"/>
        </w:rPr>
        <w:t>20%</w:t>
      </w:r>
      <w:r w:rsidR="00F66ADD">
        <w:rPr>
          <w:szCs w:val="22"/>
          <w:lang w:val="es-ES"/>
        </w:rPr>
        <w:t xml:space="preserve"> por año</w:t>
      </w:r>
      <w:r w:rsidR="00447374" w:rsidRPr="00682A46">
        <w:rPr>
          <w:rStyle w:val="FootnoteReference"/>
          <w:szCs w:val="22"/>
          <w:lang w:val="es-ES"/>
        </w:rPr>
        <w:footnoteReference w:id="17"/>
      </w:r>
      <w:r w:rsidR="002F73AD" w:rsidRPr="00682A46">
        <w:rPr>
          <w:szCs w:val="22"/>
          <w:lang w:val="es-ES"/>
        </w:rPr>
        <w:t xml:space="preserve">.  </w:t>
      </w:r>
      <w:r w:rsidR="00596741">
        <w:rPr>
          <w:szCs w:val="22"/>
          <w:lang w:val="es-ES"/>
        </w:rPr>
        <w:t>Cabe</w:t>
      </w:r>
      <w:r w:rsidR="00F66ADD">
        <w:rPr>
          <w:szCs w:val="22"/>
          <w:lang w:val="es-ES"/>
        </w:rPr>
        <w:t xml:space="preserve"> atribuir al Brasil, la India y China el 23% del </w:t>
      </w:r>
      <w:r w:rsidR="00596741">
        <w:rPr>
          <w:szCs w:val="22"/>
          <w:lang w:val="es-ES"/>
        </w:rPr>
        <w:t xml:space="preserve">aumento </w:t>
      </w:r>
      <w:r w:rsidR="00F66ADD">
        <w:rPr>
          <w:szCs w:val="22"/>
          <w:lang w:val="es-ES"/>
        </w:rPr>
        <w:t>de los ingresos por publicidad en la televisión en los próximos cinco años</w:t>
      </w:r>
      <w:r w:rsidR="00447374" w:rsidRPr="00682A46">
        <w:rPr>
          <w:rStyle w:val="FootnoteReference"/>
          <w:szCs w:val="22"/>
          <w:lang w:val="es-ES"/>
        </w:rPr>
        <w:footnoteReference w:id="18"/>
      </w:r>
      <w:r w:rsidR="002F73AD" w:rsidRPr="00682A46">
        <w:rPr>
          <w:szCs w:val="22"/>
          <w:lang w:val="es-ES"/>
        </w:rPr>
        <w:t>.</w:t>
      </w:r>
    </w:p>
    <w:p w:rsidR="002F73AD" w:rsidRPr="00682A46" w:rsidRDefault="002F73AD" w:rsidP="002F73AD">
      <w:pPr>
        <w:outlineLvl w:val="0"/>
        <w:rPr>
          <w:szCs w:val="22"/>
          <w:u w:val="single"/>
          <w:lang w:val="es-ES"/>
        </w:rPr>
      </w:pPr>
    </w:p>
    <w:p w:rsidR="002F73AD" w:rsidRPr="00682A46" w:rsidRDefault="00F66ADD" w:rsidP="00150ACA">
      <w:pPr>
        <w:pStyle w:val="Heading3"/>
        <w:keepNext w:val="0"/>
        <w:rPr>
          <w:lang w:val="es-ES"/>
        </w:rPr>
      </w:pPr>
      <w:r>
        <w:rPr>
          <w:lang w:val="es-ES"/>
        </w:rPr>
        <w:t>Tecnología d</w:t>
      </w:r>
      <w:r w:rsidR="002F73AD" w:rsidRPr="00682A46">
        <w:rPr>
          <w:lang w:val="es-ES"/>
        </w:rPr>
        <w:t>igital</w:t>
      </w:r>
    </w:p>
    <w:p w:rsidR="002F73AD" w:rsidRPr="00682A46" w:rsidRDefault="002F73AD" w:rsidP="002F73AD">
      <w:pPr>
        <w:outlineLvl w:val="0"/>
        <w:rPr>
          <w:szCs w:val="22"/>
          <w:lang w:val="es-ES"/>
        </w:rPr>
      </w:pPr>
    </w:p>
    <w:p w:rsidR="002F73AD" w:rsidRPr="00682A46" w:rsidRDefault="0078073C" w:rsidP="002F73AD">
      <w:pPr>
        <w:outlineLvl w:val="0"/>
        <w:rPr>
          <w:szCs w:val="22"/>
          <w:lang w:val="es-ES"/>
        </w:rPr>
      </w:pPr>
      <w:r>
        <w:rPr>
          <w:szCs w:val="22"/>
          <w:lang w:val="es-ES"/>
        </w:rPr>
        <w:t xml:space="preserve">Las nuevas tecnologías, incluida la grabación de vídeo digital, la </w:t>
      </w:r>
      <w:r w:rsidR="00596741">
        <w:rPr>
          <w:szCs w:val="22"/>
          <w:lang w:val="es-ES"/>
        </w:rPr>
        <w:t>transmisión continua de secuencias por Internet y</w:t>
      </w:r>
      <w:r w:rsidR="00656BC3">
        <w:rPr>
          <w:szCs w:val="22"/>
          <w:lang w:val="es-ES"/>
        </w:rPr>
        <w:t xml:space="preserve"> </w:t>
      </w:r>
      <w:r w:rsidR="00E547E6">
        <w:rPr>
          <w:szCs w:val="22"/>
          <w:lang w:val="es-ES"/>
        </w:rPr>
        <w:t>los repro</w:t>
      </w:r>
      <w:r w:rsidR="00656BC3">
        <w:rPr>
          <w:szCs w:val="22"/>
          <w:lang w:val="es-ES"/>
        </w:rPr>
        <w:t>d</w:t>
      </w:r>
      <w:r w:rsidR="00E547E6">
        <w:rPr>
          <w:szCs w:val="22"/>
          <w:lang w:val="es-ES"/>
        </w:rPr>
        <w:t>uctores de música digitales están transformando la radiodifusi</w:t>
      </w:r>
      <w:r w:rsidR="00656BC3">
        <w:rPr>
          <w:szCs w:val="22"/>
          <w:lang w:val="es-ES"/>
        </w:rPr>
        <w:t xml:space="preserve">ón.  La </w:t>
      </w:r>
      <w:r w:rsidR="00E547E6">
        <w:rPr>
          <w:szCs w:val="22"/>
          <w:lang w:val="es-ES"/>
        </w:rPr>
        <w:t xml:space="preserve">transmisión por Internet disminuye la dependencia del cable y el satélite en el sector.  </w:t>
      </w:r>
      <w:r w:rsidR="00656BC3">
        <w:rPr>
          <w:szCs w:val="22"/>
          <w:lang w:val="es-ES"/>
        </w:rPr>
        <w:t>El aumento de posibilidades para la transmisión genera una mayor competencia para llegar al público pues van llegando nuevos operadores al mercado y los espectadores ya no tienen que adaptarse tanto a horarios fijos de emisión.</w:t>
      </w:r>
    </w:p>
    <w:p w:rsidR="002F73AD" w:rsidRPr="00682A46" w:rsidRDefault="002F73AD" w:rsidP="002F73AD">
      <w:pPr>
        <w:outlineLvl w:val="0"/>
        <w:rPr>
          <w:szCs w:val="22"/>
          <w:lang w:val="es-ES"/>
        </w:rPr>
      </w:pPr>
    </w:p>
    <w:p w:rsidR="002F73AD" w:rsidRPr="00682A46" w:rsidRDefault="00CC78C9" w:rsidP="002F73AD">
      <w:pPr>
        <w:outlineLvl w:val="0"/>
        <w:rPr>
          <w:szCs w:val="22"/>
          <w:lang w:val="es-ES"/>
        </w:rPr>
      </w:pPr>
      <w:r>
        <w:rPr>
          <w:szCs w:val="22"/>
          <w:lang w:val="es-ES"/>
        </w:rPr>
        <w:t xml:space="preserve">Ahora bien, no se interrumpe la cadena de valor fundamental del sector de radiodifusión, por cuanto la producción, la programación y la distribución siguen siendo actividades clave;  y la publicidad y los abonos son importantes fuentes de ingresos para los </w:t>
      </w:r>
      <w:r w:rsidRPr="00CC78C9">
        <w:rPr>
          <w:szCs w:val="22"/>
          <w:lang w:val="es-ES"/>
        </w:rPr>
        <w:t>organismos comerciales de radiodifusión</w:t>
      </w:r>
      <w:r w:rsidR="002F73AD" w:rsidRPr="00682A46">
        <w:rPr>
          <w:szCs w:val="22"/>
          <w:lang w:val="es-ES"/>
        </w:rPr>
        <w:t>.</w:t>
      </w:r>
    </w:p>
    <w:p w:rsidR="002F73AD" w:rsidRPr="00682A46" w:rsidRDefault="002F73AD" w:rsidP="002F73AD">
      <w:pPr>
        <w:outlineLvl w:val="0"/>
        <w:rPr>
          <w:szCs w:val="22"/>
          <w:lang w:val="es-ES"/>
        </w:rPr>
      </w:pPr>
    </w:p>
    <w:p w:rsidR="002F73AD" w:rsidRPr="00682A46" w:rsidRDefault="002F73AD" w:rsidP="00150ACA">
      <w:pPr>
        <w:pStyle w:val="Heading3"/>
        <w:keepNext w:val="0"/>
        <w:rPr>
          <w:lang w:val="es-ES"/>
        </w:rPr>
      </w:pPr>
      <w:r w:rsidRPr="00682A46">
        <w:rPr>
          <w:lang w:val="es-ES"/>
        </w:rPr>
        <w:t>Radio</w:t>
      </w:r>
    </w:p>
    <w:p w:rsidR="002F73AD" w:rsidRPr="00682A46" w:rsidRDefault="002F73AD" w:rsidP="002F73AD">
      <w:pPr>
        <w:outlineLvl w:val="0"/>
        <w:rPr>
          <w:szCs w:val="22"/>
          <w:lang w:val="es-ES"/>
        </w:rPr>
      </w:pPr>
    </w:p>
    <w:p w:rsidR="002F73AD" w:rsidRPr="00682A46" w:rsidRDefault="00CC78C9" w:rsidP="002F73AD">
      <w:pPr>
        <w:outlineLvl w:val="0"/>
        <w:rPr>
          <w:szCs w:val="22"/>
          <w:lang w:val="es-ES"/>
        </w:rPr>
      </w:pPr>
      <w:r>
        <w:rPr>
          <w:szCs w:val="22"/>
          <w:lang w:val="es-ES"/>
        </w:rPr>
        <w:t>Como en el caso de la televisión</w:t>
      </w:r>
      <w:r w:rsidR="002F73AD" w:rsidRPr="00682A46">
        <w:rPr>
          <w:szCs w:val="22"/>
          <w:lang w:val="es-ES"/>
        </w:rPr>
        <w:t xml:space="preserve">, </w:t>
      </w:r>
      <w:r>
        <w:rPr>
          <w:szCs w:val="22"/>
          <w:lang w:val="es-ES"/>
        </w:rPr>
        <w:t xml:space="preserve">el mercado </w:t>
      </w:r>
      <w:r w:rsidR="007B2725">
        <w:rPr>
          <w:szCs w:val="22"/>
          <w:lang w:val="es-ES"/>
        </w:rPr>
        <w:t xml:space="preserve">de la transmisión por </w:t>
      </w:r>
      <w:r w:rsidR="00A0425E">
        <w:rPr>
          <w:szCs w:val="22"/>
          <w:lang w:val="es-ES"/>
        </w:rPr>
        <w:t xml:space="preserve">radio </w:t>
      </w:r>
      <w:r w:rsidR="007B2725">
        <w:rPr>
          <w:szCs w:val="22"/>
          <w:lang w:val="es-ES"/>
        </w:rPr>
        <w:t>está transformando la publicidad y fomenta</w:t>
      </w:r>
      <w:r w:rsidR="00A0425E">
        <w:rPr>
          <w:szCs w:val="22"/>
          <w:lang w:val="es-ES"/>
        </w:rPr>
        <w:t>n</w:t>
      </w:r>
      <w:r w:rsidR="007B2725">
        <w:rPr>
          <w:szCs w:val="22"/>
          <w:lang w:val="es-ES"/>
        </w:rPr>
        <w:t xml:space="preserve">do nuevos formatos como las estaciones de radio Premium, estaciones radiofónicas en línea y podcasts.  </w:t>
      </w:r>
      <w:r w:rsidR="00EE6A13">
        <w:rPr>
          <w:szCs w:val="22"/>
          <w:lang w:val="es-ES"/>
        </w:rPr>
        <w:t>Hoy está en declive el posicionamiento de la radio en el mercado.</w:t>
      </w:r>
      <w:r w:rsidR="002F73AD" w:rsidRPr="00682A46">
        <w:rPr>
          <w:szCs w:val="22"/>
          <w:lang w:val="es-ES"/>
        </w:rPr>
        <w:t xml:space="preserve"> </w:t>
      </w:r>
    </w:p>
    <w:p w:rsidR="002F73AD" w:rsidRPr="00682A46" w:rsidRDefault="002F73AD" w:rsidP="002F73AD">
      <w:pPr>
        <w:outlineLvl w:val="0"/>
        <w:rPr>
          <w:szCs w:val="22"/>
          <w:lang w:val="es-ES"/>
        </w:rPr>
      </w:pPr>
    </w:p>
    <w:p w:rsidR="002F73AD" w:rsidRPr="00682A46" w:rsidRDefault="00FA0205" w:rsidP="00150ACA">
      <w:pPr>
        <w:pStyle w:val="Heading3"/>
        <w:keepNext w:val="0"/>
        <w:rPr>
          <w:lang w:val="es-ES"/>
        </w:rPr>
      </w:pPr>
      <w:r>
        <w:rPr>
          <w:lang w:val="es-ES"/>
        </w:rPr>
        <w:t>Nuevas prácticas</w:t>
      </w:r>
    </w:p>
    <w:p w:rsidR="002F73AD" w:rsidRPr="00682A46" w:rsidRDefault="002F73AD" w:rsidP="002F73AD">
      <w:pPr>
        <w:rPr>
          <w:szCs w:val="22"/>
          <w:lang w:val="es-ES"/>
        </w:rPr>
      </w:pPr>
    </w:p>
    <w:p w:rsidR="002F73AD" w:rsidRPr="00682A46" w:rsidRDefault="00FA0205" w:rsidP="002F73AD">
      <w:pPr>
        <w:rPr>
          <w:i/>
          <w:szCs w:val="22"/>
          <w:lang w:val="es-ES"/>
        </w:rPr>
      </w:pPr>
      <w:r>
        <w:rPr>
          <w:szCs w:val="22"/>
          <w:lang w:val="es-ES"/>
        </w:rPr>
        <w:t>La compañía estadounidense Netflix es un claro ejemplo de la transformación de los métodos de transmisión. Todo empezó con una empresa de alquiler de DVD por correo electrónico cuya interfaz en línea, Netflix empezó a dedicarse a la transmisión continua de secuencias por Internet.</w:t>
      </w:r>
      <w:r w:rsidR="002F73AD" w:rsidRPr="00682A46">
        <w:rPr>
          <w:szCs w:val="22"/>
          <w:lang w:val="es-ES"/>
        </w:rPr>
        <w:t xml:space="preserve">  </w:t>
      </w:r>
      <w:r>
        <w:rPr>
          <w:szCs w:val="22"/>
          <w:lang w:val="es-ES"/>
        </w:rPr>
        <w:t>E</w:t>
      </w:r>
      <w:r w:rsidR="002F73AD" w:rsidRPr="00682A46">
        <w:rPr>
          <w:szCs w:val="22"/>
          <w:lang w:val="es-ES"/>
        </w:rPr>
        <w:t xml:space="preserve">n 2013, </w:t>
      </w:r>
      <w:r>
        <w:rPr>
          <w:szCs w:val="22"/>
          <w:lang w:val="es-ES"/>
        </w:rPr>
        <w:t>la compañía empezó a prestar servicios de transmisión continua de secuencias por Internet de contenido original</w:t>
      </w:r>
      <w:r w:rsidR="00665530">
        <w:rPr>
          <w:szCs w:val="22"/>
          <w:lang w:val="es-ES"/>
        </w:rPr>
        <w:t>, siendo la principal distribuidora y no la secundaria, de series como</w:t>
      </w:r>
      <w:r w:rsidR="002F73AD" w:rsidRPr="00682A46">
        <w:rPr>
          <w:szCs w:val="22"/>
          <w:lang w:val="es-ES"/>
        </w:rPr>
        <w:t xml:space="preserve"> </w:t>
      </w:r>
      <w:r w:rsidR="002F73AD" w:rsidRPr="00682A46">
        <w:rPr>
          <w:i/>
          <w:szCs w:val="22"/>
          <w:lang w:val="es-ES"/>
        </w:rPr>
        <w:t xml:space="preserve">House of Cards. </w:t>
      </w:r>
    </w:p>
    <w:p w:rsidR="002F73AD" w:rsidRPr="00682A46" w:rsidRDefault="002F73AD" w:rsidP="002F73AD">
      <w:pPr>
        <w:rPr>
          <w:szCs w:val="22"/>
          <w:lang w:val="es-ES"/>
        </w:rPr>
      </w:pPr>
    </w:p>
    <w:p w:rsidR="002F73AD" w:rsidRPr="00682A46" w:rsidRDefault="00A0425E" w:rsidP="00150ACA">
      <w:pPr>
        <w:pStyle w:val="Heading2"/>
        <w:keepNext w:val="0"/>
        <w:numPr>
          <w:ilvl w:val="0"/>
          <w:numId w:val="7"/>
        </w:numPr>
        <w:ind w:left="0" w:firstLine="0"/>
        <w:rPr>
          <w:b/>
          <w:lang w:val="es-ES"/>
        </w:rPr>
      </w:pPr>
      <w:r>
        <w:rPr>
          <w:b/>
          <w:lang w:val="es-ES"/>
        </w:rPr>
        <w:t>edición</w:t>
      </w:r>
    </w:p>
    <w:p w:rsidR="002F73AD" w:rsidRPr="00682A46" w:rsidRDefault="007B03AA" w:rsidP="00150ACA">
      <w:pPr>
        <w:pStyle w:val="Heading3"/>
        <w:keepNext w:val="0"/>
        <w:rPr>
          <w:lang w:val="es-ES"/>
        </w:rPr>
      </w:pPr>
      <w:r>
        <w:rPr>
          <w:lang w:val="es-ES"/>
        </w:rPr>
        <w:t>Panorama general</w:t>
      </w:r>
    </w:p>
    <w:p w:rsidR="002F73AD" w:rsidRPr="00682A46" w:rsidRDefault="002F73AD" w:rsidP="002F73AD">
      <w:pPr>
        <w:rPr>
          <w:szCs w:val="22"/>
          <w:lang w:val="es-ES"/>
        </w:rPr>
      </w:pPr>
    </w:p>
    <w:p w:rsidR="002F73AD" w:rsidRPr="00682A46" w:rsidRDefault="007B03AA" w:rsidP="002F73AD">
      <w:pPr>
        <w:rPr>
          <w:szCs w:val="22"/>
          <w:lang w:val="es-ES"/>
        </w:rPr>
      </w:pPr>
      <w:r>
        <w:rPr>
          <w:szCs w:val="22"/>
          <w:lang w:val="es-ES"/>
        </w:rPr>
        <w:t>El sector editorial ha cambiado mucho desde la llegada del comercio electrónico y la publicación electrónica, que han transformado la cadena de valor.  Las nuevas tecnologías y la evolución del entorno en el que se realizan las ventas apuntan a que el mercado sigue evolucionando.  Las revistas son hoy también objeto de cambios similares</w:t>
      </w:r>
      <w:r w:rsidR="002F73AD" w:rsidRPr="00682A46">
        <w:rPr>
          <w:szCs w:val="22"/>
          <w:lang w:val="es-ES"/>
        </w:rPr>
        <w:t>.</w:t>
      </w:r>
    </w:p>
    <w:p w:rsidR="002F73AD" w:rsidRPr="00682A46" w:rsidRDefault="002F73AD" w:rsidP="002F73AD">
      <w:pPr>
        <w:rPr>
          <w:szCs w:val="22"/>
          <w:lang w:val="es-ES"/>
        </w:rPr>
      </w:pPr>
    </w:p>
    <w:p w:rsidR="002F73AD" w:rsidRPr="00682A46" w:rsidRDefault="00F8614D" w:rsidP="00150ACA">
      <w:pPr>
        <w:pStyle w:val="Heading3"/>
        <w:keepNext w:val="0"/>
        <w:rPr>
          <w:lang w:val="es-ES"/>
        </w:rPr>
      </w:pPr>
      <w:r>
        <w:rPr>
          <w:lang w:val="es-ES"/>
        </w:rPr>
        <w:t>Tamaño y crecimiento del mercado</w:t>
      </w:r>
    </w:p>
    <w:p w:rsidR="002F73AD" w:rsidRPr="00682A46" w:rsidRDefault="002F73AD" w:rsidP="002F73AD">
      <w:pPr>
        <w:rPr>
          <w:szCs w:val="22"/>
          <w:lang w:val="es-ES"/>
        </w:rPr>
      </w:pPr>
    </w:p>
    <w:p w:rsidR="002F73AD" w:rsidRPr="00682A46" w:rsidRDefault="00F8614D" w:rsidP="002F73AD">
      <w:pPr>
        <w:rPr>
          <w:szCs w:val="22"/>
          <w:lang w:val="es-ES"/>
        </w:rPr>
      </w:pPr>
      <w:r>
        <w:rPr>
          <w:szCs w:val="22"/>
          <w:lang w:val="es-ES"/>
        </w:rPr>
        <w:t>El mercado tiene un valor de 114.000 millones de euros</w:t>
      </w:r>
      <w:r w:rsidR="00447374" w:rsidRPr="00682A46">
        <w:rPr>
          <w:rStyle w:val="FootnoteReference"/>
          <w:szCs w:val="22"/>
          <w:lang w:val="es-ES"/>
        </w:rPr>
        <w:footnoteReference w:id="19"/>
      </w:r>
      <w:r w:rsidR="002F73AD" w:rsidRPr="00682A46">
        <w:rPr>
          <w:szCs w:val="22"/>
          <w:lang w:val="es-ES"/>
        </w:rPr>
        <w:t xml:space="preserve">.  </w:t>
      </w:r>
      <w:r>
        <w:rPr>
          <w:szCs w:val="22"/>
          <w:lang w:val="es-ES"/>
        </w:rPr>
        <w:t>Los libros representan el</w:t>
      </w:r>
      <w:r w:rsidR="002F73AD" w:rsidRPr="00682A46">
        <w:rPr>
          <w:szCs w:val="22"/>
          <w:lang w:val="es-ES"/>
        </w:rPr>
        <w:t xml:space="preserve"> 15%</w:t>
      </w:r>
      <w:r w:rsidR="00447374" w:rsidRPr="00682A46">
        <w:rPr>
          <w:rStyle w:val="FootnoteReference"/>
          <w:szCs w:val="22"/>
          <w:lang w:val="es-ES"/>
        </w:rPr>
        <w:footnoteReference w:id="20"/>
      </w:r>
      <w:r w:rsidR="002F73AD" w:rsidRPr="00682A46">
        <w:rPr>
          <w:szCs w:val="22"/>
          <w:lang w:val="es-ES"/>
        </w:rPr>
        <w:t xml:space="preserve"> </w:t>
      </w:r>
      <w:r>
        <w:rPr>
          <w:szCs w:val="22"/>
          <w:lang w:val="es-ES"/>
        </w:rPr>
        <w:t xml:space="preserve">del gasto total de los consumidores en </w:t>
      </w:r>
      <w:r w:rsidR="00C92AA1">
        <w:rPr>
          <w:szCs w:val="22"/>
          <w:lang w:val="es-ES"/>
        </w:rPr>
        <w:t>medios de comunicación social y entretenimiento</w:t>
      </w:r>
      <w:r w:rsidR="002F73AD" w:rsidRPr="00682A46">
        <w:rPr>
          <w:szCs w:val="22"/>
          <w:lang w:val="es-ES"/>
        </w:rPr>
        <w:t xml:space="preserve">.  </w:t>
      </w:r>
      <w:r w:rsidR="00C92AA1">
        <w:rPr>
          <w:szCs w:val="22"/>
          <w:lang w:val="es-ES"/>
        </w:rPr>
        <w:t>Están aumentando las ventas de libros electrónicos y el mercado mundial de lectores</w:t>
      </w:r>
      <w:r w:rsidR="00757CA6">
        <w:rPr>
          <w:szCs w:val="22"/>
          <w:lang w:val="es-ES"/>
        </w:rPr>
        <w:t xml:space="preserve"> de </w:t>
      </w:r>
      <w:r w:rsidR="00C92AA1">
        <w:rPr>
          <w:szCs w:val="22"/>
          <w:lang w:val="es-ES"/>
        </w:rPr>
        <w:t>esos libros se ha multiplicado prácticamente por veinte</w:t>
      </w:r>
      <w:r w:rsidR="007C73AF" w:rsidRPr="00682A46">
        <w:rPr>
          <w:rStyle w:val="FootnoteReference"/>
          <w:szCs w:val="22"/>
          <w:lang w:val="es-ES"/>
        </w:rPr>
        <w:footnoteReference w:id="21"/>
      </w:r>
      <w:r w:rsidR="007C73AF" w:rsidRPr="00682A46">
        <w:rPr>
          <w:szCs w:val="22"/>
          <w:lang w:val="es-ES"/>
        </w:rPr>
        <w:t xml:space="preserve"> </w:t>
      </w:r>
      <w:r w:rsidR="00C92AA1">
        <w:rPr>
          <w:szCs w:val="22"/>
          <w:lang w:val="es-ES"/>
        </w:rPr>
        <w:t>desde</w:t>
      </w:r>
      <w:r w:rsidR="007C73AF" w:rsidRPr="00682A46">
        <w:rPr>
          <w:szCs w:val="22"/>
          <w:lang w:val="es-ES"/>
        </w:rPr>
        <w:t xml:space="preserve"> 2008.</w:t>
      </w:r>
    </w:p>
    <w:p w:rsidR="002F73AD" w:rsidRPr="00682A46" w:rsidRDefault="002F73AD" w:rsidP="002F73AD">
      <w:pPr>
        <w:rPr>
          <w:szCs w:val="22"/>
          <w:lang w:val="es-ES"/>
        </w:rPr>
      </w:pPr>
    </w:p>
    <w:p w:rsidR="002F73AD" w:rsidRPr="00682A46" w:rsidRDefault="00C92AA1" w:rsidP="002F73AD">
      <w:pPr>
        <w:rPr>
          <w:szCs w:val="22"/>
          <w:lang w:val="es-ES"/>
        </w:rPr>
      </w:pPr>
      <w:r>
        <w:rPr>
          <w:szCs w:val="22"/>
          <w:lang w:val="es-ES"/>
        </w:rPr>
        <w:lastRenderedPageBreak/>
        <w:t>El mercado tiene un crecimiento irregular</w:t>
      </w:r>
      <w:r w:rsidR="002F73AD" w:rsidRPr="00682A46">
        <w:rPr>
          <w:szCs w:val="22"/>
          <w:lang w:val="es-ES"/>
        </w:rPr>
        <w:t xml:space="preserve">.  </w:t>
      </w:r>
      <w:r>
        <w:rPr>
          <w:szCs w:val="22"/>
          <w:lang w:val="es-ES"/>
        </w:rPr>
        <w:t xml:space="preserve">Por un lado está aumentando el porcentaje de libros electrónicos pero las ventas generales de libros </w:t>
      </w:r>
      <w:r w:rsidR="00757CA6">
        <w:rPr>
          <w:szCs w:val="22"/>
          <w:lang w:val="es-ES"/>
        </w:rPr>
        <w:t>están</w:t>
      </w:r>
      <w:r>
        <w:rPr>
          <w:szCs w:val="22"/>
          <w:lang w:val="es-ES"/>
        </w:rPr>
        <w:t xml:space="preserve"> disminuyendo o se ha quedado estancada en los países desarrollados, mientras que en los países en desarrollo se registra un crecimiento moderado de las ventas.  En términos globales cabe observar que en los últimos cinco años el crecimiento de los ingresos del mercado ha sido del 0%.</w:t>
      </w:r>
      <w:r w:rsidR="002F73AD" w:rsidRPr="00682A46">
        <w:rPr>
          <w:szCs w:val="22"/>
          <w:lang w:val="es-ES"/>
        </w:rPr>
        <w:t xml:space="preserve"> </w:t>
      </w:r>
    </w:p>
    <w:p w:rsidR="002F73AD" w:rsidRPr="00682A46" w:rsidRDefault="002F73AD" w:rsidP="002F73AD">
      <w:pPr>
        <w:rPr>
          <w:szCs w:val="22"/>
          <w:lang w:val="es-ES"/>
        </w:rPr>
      </w:pPr>
    </w:p>
    <w:p w:rsidR="002F73AD" w:rsidRPr="00682A46" w:rsidRDefault="00EC4A93" w:rsidP="00150ACA">
      <w:pPr>
        <w:pStyle w:val="Heading3"/>
        <w:keepNext w:val="0"/>
        <w:rPr>
          <w:lang w:val="es-ES"/>
        </w:rPr>
      </w:pPr>
      <w:r>
        <w:rPr>
          <w:lang w:val="es-ES"/>
        </w:rPr>
        <w:t>Tecnología d</w:t>
      </w:r>
      <w:r w:rsidR="002F73AD" w:rsidRPr="00682A46">
        <w:rPr>
          <w:lang w:val="es-ES"/>
        </w:rPr>
        <w:t>igital</w:t>
      </w:r>
    </w:p>
    <w:p w:rsidR="002F73AD" w:rsidRPr="00682A46" w:rsidRDefault="002F73AD" w:rsidP="002F73AD">
      <w:pPr>
        <w:rPr>
          <w:szCs w:val="22"/>
          <w:lang w:val="es-ES"/>
        </w:rPr>
      </w:pPr>
    </w:p>
    <w:p w:rsidR="002F73AD" w:rsidRPr="00682A46" w:rsidRDefault="007A3425" w:rsidP="002F73AD">
      <w:pPr>
        <w:rPr>
          <w:szCs w:val="22"/>
          <w:lang w:val="es-ES"/>
        </w:rPr>
      </w:pPr>
      <w:r>
        <w:rPr>
          <w:szCs w:val="22"/>
          <w:lang w:val="es-ES"/>
        </w:rPr>
        <w:t>En lo que se refiere a la edición de libros, la mayor incidencia de la tecnología digital ha sido la introducción del comercio electrónico en espacios en línea de venta de libros como</w:t>
      </w:r>
      <w:r w:rsidR="002F73AD" w:rsidRPr="00682A46">
        <w:rPr>
          <w:szCs w:val="22"/>
          <w:lang w:val="es-ES"/>
        </w:rPr>
        <w:t xml:space="preserve"> www.Amazon.com.  </w:t>
      </w:r>
      <w:r>
        <w:rPr>
          <w:szCs w:val="22"/>
          <w:lang w:val="es-ES"/>
        </w:rPr>
        <w:t>La competencia derivada del comercio electrónico ha debilitado la viabilidad de las librerías y disminuido el precio de los libros en cerca del 40% en el mercado estadounidense</w:t>
      </w:r>
      <w:r w:rsidR="002F73AD" w:rsidRPr="00682A46">
        <w:rPr>
          <w:szCs w:val="22"/>
          <w:lang w:val="es-ES"/>
        </w:rPr>
        <w:t xml:space="preserve">.  </w:t>
      </w:r>
    </w:p>
    <w:p w:rsidR="002F73AD" w:rsidRPr="00682A46" w:rsidRDefault="002F73AD" w:rsidP="002F73AD">
      <w:pPr>
        <w:rPr>
          <w:szCs w:val="22"/>
          <w:lang w:val="es-ES"/>
        </w:rPr>
      </w:pPr>
    </w:p>
    <w:p w:rsidR="002F73AD" w:rsidRPr="00682A46" w:rsidRDefault="00EC3D63" w:rsidP="002F73AD">
      <w:pPr>
        <w:rPr>
          <w:szCs w:val="22"/>
          <w:lang w:val="es-ES"/>
        </w:rPr>
      </w:pPr>
      <w:r>
        <w:rPr>
          <w:szCs w:val="22"/>
          <w:lang w:val="es-ES"/>
        </w:rPr>
        <w:t>Los libros electrónicos generan nuevas salidas pues los edito</w:t>
      </w:r>
      <w:r w:rsidR="00C608A5">
        <w:rPr>
          <w:szCs w:val="22"/>
          <w:lang w:val="es-ES"/>
        </w:rPr>
        <w:t>r</w:t>
      </w:r>
      <w:r>
        <w:rPr>
          <w:szCs w:val="22"/>
          <w:lang w:val="es-ES"/>
        </w:rPr>
        <w:t xml:space="preserve">es </w:t>
      </w:r>
      <w:r w:rsidR="00757CA6">
        <w:rPr>
          <w:szCs w:val="22"/>
          <w:lang w:val="es-ES"/>
        </w:rPr>
        <w:t>tienen</w:t>
      </w:r>
      <w:r>
        <w:rPr>
          <w:szCs w:val="22"/>
          <w:lang w:val="es-ES"/>
        </w:rPr>
        <w:t xml:space="preserve"> la posibilidad de vender versiones electrónicas. Esos libros reducen el costo por unidad y hacen que sea factible desde el punto de vista financiero vender libros por capítulo.  A ellos vienen a añadirse nuevas estrategias de precios,</w:t>
      </w:r>
      <w:r w:rsidR="00A0425E">
        <w:rPr>
          <w:szCs w:val="22"/>
          <w:lang w:val="es-ES"/>
        </w:rPr>
        <w:t xml:space="preserve"> por ejemplo,</w:t>
      </w:r>
      <w:r>
        <w:rPr>
          <w:szCs w:val="22"/>
          <w:lang w:val="es-ES"/>
        </w:rPr>
        <w:t xml:space="preserve"> los servicios de </w:t>
      </w:r>
      <w:r w:rsidR="00C608A5">
        <w:rPr>
          <w:szCs w:val="22"/>
          <w:lang w:val="es-ES"/>
        </w:rPr>
        <w:t>suscripción</w:t>
      </w:r>
      <w:r>
        <w:rPr>
          <w:szCs w:val="22"/>
          <w:lang w:val="es-ES"/>
        </w:rPr>
        <w:t xml:space="preserve"> como </w:t>
      </w:r>
      <w:r w:rsidRPr="00EC3D63">
        <w:rPr>
          <w:szCs w:val="22"/>
          <w:lang w:val="es-ES"/>
        </w:rPr>
        <w:t>Izneo</w:t>
      </w:r>
      <w:r>
        <w:rPr>
          <w:szCs w:val="22"/>
          <w:lang w:val="es-ES"/>
        </w:rPr>
        <w:t xml:space="preserve"> en Francia y Tolino en Alemania</w:t>
      </w:r>
      <w:r w:rsidR="00C608A5">
        <w:rPr>
          <w:szCs w:val="22"/>
          <w:lang w:val="es-ES"/>
        </w:rPr>
        <w:t>, que han cambiado el concepto de propiedad.</w:t>
      </w:r>
    </w:p>
    <w:p w:rsidR="002F73AD" w:rsidRPr="00682A46" w:rsidRDefault="002F73AD" w:rsidP="002F73AD">
      <w:pPr>
        <w:rPr>
          <w:szCs w:val="22"/>
          <w:lang w:val="es-ES"/>
        </w:rPr>
      </w:pPr>
    </w:p>
    <w:p w:rsidR="002F73AD" w:rsidRPr="00682A46" w:rsidRDefault="006F3415" w:rsidP="002F73AD">
      <w:pPr>
        <w:rPr>
          <w:szCs w:val="22"/>
          <w:lang w:val="es-ES"/>
        </w:rPr>
      </w:pPr>
      <w:r>
        <w:rPr>
          <w:szCs w:val="22"/>
          <w:lang w:val="es-ES"/>
        </w:rPr>
        <w:t>La impresión por encargo, es decir, el hecho de imprimir ejemplares de un libro por encargo, puede disminuir el despilfarro que suponen los libros impresos que se quedan sin vender.</w:t>
      </w:r>
    </w:p>
    <w:p w:rsidR="002F73AD" w:rsidRPr="00682A46" w:rsidRDefault="002F73AD" w:rsidP="002F73AD">
      <w:pPr>
        <w:rPr>
          <w:szCs w:val="22"/>
          <w:lang w:val="es-ES"/>
        </w:rPr>
      </w:pPr>
    </w:p>
    <w:p w:rsidR="002F73AD" w:rsidRPr="00682A46" w:rsidRDefault="006F3415" w:rsidP="002F73AD">
      <w:pPr>
        <w:rPr>
          <w:szCs w:val="22"/>
          <w:lang w:val="es-ES"/>
        </w:rPr>
      </w:pPr>
      <w:r>
        <w:rPr>
          <w:szCs w:val="22"/>
          <w:lang w:val="es-ES"/>
        </w:rPr>
        <w:t>Los libros electrónicos y la impresión por encargo han contribuido también a aumentar la autoedición y los autores hoy venden directamente sus obras a los lectores</w:t>
      </w:r>
      <w:r w:rsidR="002F73AD" w:rsidRPr="00682A46">
        <w:rPr>
          <w:szCs w:val="22"/>
          <w:lang w:val="es-ES"/>
        </w:rPr>
        <w:t>.</w:t>
      </w:r>
    </w:p>
    <w:p w:rsidR="002F73AD" w:rsidRPr="00682A46" w:rsidRDefault="002F73AD" w:rsidP="002F73AD">
      <w:pPr>
        <w:rPr>
          <w:szCs w:val="22"/>
          <w:lang w:val="es-ES"/>
        </w:rPr>
      </w:pPr>
    </w:p>
    <w:p w:rsidR="002F73AD" w:rsidRPr="00682A46" w:rsidRDefault="006F3415" w:rsidP="002F73AD">
      <w:pPr>
        <w:rPr>
          <w:szCs w:val="22"/>
          <w:lang w:val="es-ES"/>
        </w:rPr>
      </w:pPr>
      <w:r>
        <w:rPr>
          <w:szCs w:val="22"/>
          <w:lang w:val="es-ES"/>
        </w:rPr>
        <w:t>A diferencia de otros ámbitos de las industrias creativas, el de la edición tradicional de ejemplares en papel</w:t>
      </w:r>
      <w:r w:rsidR="00644040">
        <w:rPr>
          <w:szCs w:val="22"/>
          <w:lang w:val="es-ES"/>
        </w:rPr>
        <w:t xml:space="preserve"> no ha cedido.  Dado que el crecimiento del mercado de lectores de libros electrónicos está enlenteciéndose y teniendo en cuenta las preferencias de los consumidores, cabe deducir que </w:t>
      </w:r>
      <w:r w:rsidR="00A0425E">
        <w:rPr>
          <w:szCs w:val="22"/>
          <w:lang w:val="es-ES"/>
        </w:rPr>
        <w:t>los libros impresos</w:t>
      </w:r>
      <w:r w:rsidR="00644040">
        <w:rPr>
          <w:szCs w:val="22"/>
          <w:lang w:val="es-ES"/>
        </w:rPr>
        <w:t xml:space="preserve"> seguirá</w:t>
      </w:r>
      <w:r w:rsidR="00A0425E">
        <w:rPr>
          <w:szCs w:val="22"/>
          <w:lang w:val="es-ES"/>
        </w:rPr>
        <w:t>n</w:t>
      </w:r>
      <w:r w:rsidR="00644040">
        <w:rPr>
          <w:szCs w:val="22"/>
          <w:lang w:val="es-ES"/>
        </w:rPr>
        <w:t xml:space="preserve"> siendo una actividad viable.</w:t>
      </w:r>
      <w:r w:rsidR="002F73AD" w:rsidRPr="00682A46">
        <w:rPr>
          <w:szCs w:val="22"/>
          <w:lang w:val="es-ES"/>
        </w:rPr>
        <w:t xml:space="preserve">  </w:t>
      </w:r>
    </w:p>
    <w:p w:rsidR="002F73AD" w:rsidRPr="00682A46" w:rsidRDefault="002F73AD" w:rsidP="002F73AD">
      <w:pPr>
        <w:rPr>
          <w:szCs w:val="22"/>
          <w:lang w:val="es-ES"/>
        </w:rPr>
      </w:pPr>
    </w:p>
    <w:p w:rsidR="002F73AD" w:rsidRPr="00682A46" w:rsidRDefault="00644040" w:rsidP="00150ACA">
      <w:pPr>
        <w:pStyle w:val="Heading3"/>
        <w:keepNext w:val="0"/>
        <w:rPr>
          <w:lang w:val="es-ES"/>
        </w:rPr>
      </w:pPr>
      <w:r>
        <w:rPr>
          <w:lang w:val="es-ES"/>
        </w:rPr>
        <w:t>Nuevas prácticas</w:t>
      </w:r>
    </w:p>
    <w:p w:rsidR="002F73AD" w:rsidRPr="00682A46" w:rsidRDefault="002F73AD" w:rsidP="002F73AD">
      <w:pPr>
        <w:rPr>
          <w:szCs w:val="22"/>
          <w:lang w:val="es-ES"/>
        </w:rPr>
      </w:pPr>
    </w:p>
    <w:p w:rsidR="002F73AD" w:rsidRPr="00682A46" w:rsidRDefault="00F22750" w:rsidP="002F73AD">
      <w:pPr>
        <w:rPr>
          <w:szCs w:val="22"/>
          <w:lang w:val="es-ES"/>
        </w:rPr>
      </w:pPr>
      <w:r>
        <w:rPr>
          <w:szCs w:val="22"/>
          <w:lang w:val="es-ES"/>
        </w:rPr>
        <w:t xml:space="preserve">El sitio web chino </w:t>
      </w:r>
      <w:hyperlink r:id="rId10" w:history="1">
        <w:r w:rsidRPr="00D92FBC">
          <w:rPr>
            <w:rStyle w:val="Hyperlink"/>
            <w:szCs w:val="22"/>
            <w:lang w:val="es-ES"/>
          </w:rPr>
          <w:t>www.Qidian.com</w:t>
        </w:r>
      </w:hyperlink>
      <w:r>
        <w:rPr>
          <w:szCs w:val="22"/>
          <w:lang w:val="es-ES"/>
        </w:rPr>
        <w:t xml:space="preserve"> publica obras tanto de autores aficionados </w:t>
      </w:r>
      <w:r w:rsidR="00757CA6">
        <w:rPr>
          <w:szCs w:val="22"/>
          <w:lang w:val="es-ES"/>
        </w:rPr>
        <w:t>como</w:t>
      </w:r>
      <w:r>
        <w:rPr>
          <w:szCs w:val="22"/>
          <w:lang w:val="es-ES"/>
        </w:rPr>
        <w:t xml:space="preserve"> profesionales y tiene más de un millón de obras.  Al principio, los relatos se ofrecen gratuitamente y si llegan a tener éxito, pasan a ser contenido de pago.  Los lectores pueden pagar a plazos, a medida que van leyendo los relatos.  El sitio web se fundó en 2002 y con él hay autores que se han hecho millonarios.</w:t>
      </w:r>
    </w:p>
    <w:p w:rsidR="00EF1D84" w:rsidRPr="00682A46" w:rsidRDefault="00EF1D84" w:rsidP="002F73AD">
      <w:pPr>
        <w:rPr>
          <w:szCs w:val="22"/>
          <w:lang w:val="es-ES"/>
        </w:rPr>
      </w:pPr>
    </w:p>
    <w:p w:rsidR="00EF1D84" w:rsidRPr="00682A46" w:rsidRDefault="00EF1D84" w:rsidP="002F73AD">
      <w:pPr>
        <w:rPr>
          <w:szCs w:val="22"/>
          <w:lang w:val="es-ES"/>
        </w:rPr>
      </w:pPr>
    </w:p>
    <w:p w:rsidR="00E242B0" w:rsidRPr="00682A46" w:rsidRDefault="00E242B0" w:rsidP="002F73AD">
      <w:pPr>
        <w:rPr>
          <w:szCs w:val="22"/>
          <w:lang w:val="es-ES"/>
        </w:rPr>
      </w:pPr>
    </w:p>
    <w:p w:rsidR="007B63B3" w:rsidRPr="00682A46" w:rsidRDefault="002F73AD" w:rsidP="00EF1D84">
      <w:pPr>
        <w:ind w:left="5529"/>
        <w:rPr>
          <w:lang w:val="es-ES"/>
        </w:rPr>
      </w:pPr>
      <w:r w:rsidRPr="00682A46">
        <w:rPr>
          <w:szCs w:val="22"/>
          <w:lang w:val="es-ES"/>
        </w:rPr>
        <w:t>[</w:t>
      </w:r>
      <w:r w:rsidR="00F22750">
        <w:rPr>
          <w:szCs w:val="22"/>
          <w:lang w:val="es-ES"/>
        </w:rPr>
        <w:t>Fin del</w:t>
      </w:r>
      <w:r w:rsidRPr="00682A46">
        <w:rPr>
          <w:szCs w:val="22"/>
          <w:lang w:val="es-ES"/>
        </w:rPr>
        <w:t xml:space="preserve"> document</w:t>
      </w:r>
      <w:r w:rsidR="00F22750">
        <w:rPr>
          <w:szCs w:val="22"/>
          <w:lang w:val="es-ES"/>
        </w:rPr>
        <w:t>o</w:t>
      </w:r>
      <w:r w:rsidRPr="00682A46">
        <w:rPr>
          <w:szCs w:val="22"/>
          <w:lang w:val="es-ES"/>
        </w:rPr>
        <w:t>]</w:t>
      </w:r>
    </w:p>
    <w:sectPr w:rsidR="007B63B3" w:rsidRPr="00682A46" w:rsidSect="002F73AD">
      <w:headerReference w:type="defaul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4FC" w:rsidRDefault="00BE54FC">
      <w:r>
        <w:separator/>
      </w:r>
    </w:p>
  </w:endnote>
  <w:endnote w:type="continuationSeparator" w:id="0">
    <w:p w:rsidR="00BE54FC" w:rsidRDefault="00BE54FC" w:rsidP="000C7343">
      <w:r>
        <w:separator/>
      </w:r>
    </w:p>
    <w:p w:rsidR="00BE54FC" w:rsidRPr="000C7343" w:rsidRDefault="00BE54FC" w:rsidP="000C7343">
      <w:r>
        <w:rPr>
          <w:sz w:val="17"/>
        </w:rPr>
        <w:t>[Endnote continued from previous page]</w:t>
      </w:r>
    </w:p>
  </w:endnote>
  <w:endnote w:type="continuationNotice" w:id="1">
    <w:p w:rsidR="00BE54FC" w:rsidRPr="000C7343" w:rsidRDefault="00BE54FC" w:rsidP="000C7343">
      <w:pPr>
        <w:spacing w:before="60"/>
        <w:jc w:val="right"/>
        <w:rPr>
          <w:sz w:val="17"/>
          <w:szCs w:val="17"/>
        </w:rPr>
      </w:pPr>
      <w:r w:rsidRPr="000C7343">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4FC" w:rsidRDefault="00BE54FC">
      <w:r>
        <w:separator/>
      </w:r>
    </w:p>
  </w:footnote>
  <w:footnote w:type="continuationSeparator" w:id="0">
    <w:p w:rsidR="00BE54FC" w:rsidRDefault="00BE54FC" w:rsidP="000C7343">
      <w:r>
        <w:separator/>
      </w:r>
    </w:p>
    <w:p w:rsidR="00BE54FC" w:rsidRPr="000C7343" w:rsidRDefault="00BE54FC" w:rsidP="000C7343">
      <w:pPr>
        <w:spacing w:after="60"/>
        <w:rPr>
          <w:sz w:val="17"/>
          <w:szCs w:val="17"/>
        </w:rPr>
      </w:pPr>
      <w:r w:rsidRPr="00ED77FB">
        <w:rPr>
          <w:sz w:val="17"/>
          <w:szCs w:val="17"/>
        </w:rPr>
        <w:t>[Footnot</w:t>
      </w:r>
      <w:r>
        <w:rPr>
          <w:sz w:val="17"/>
          <w:szCs w:val="17"/>
        </w:rPr>
        <w:t>e continued from previous page]</w:t>
      </w:r>
    </w:p>
  </w:footnote>
  <w:footnote w:type="continuationNotice" w:id="1">
    <w:p w:rsidR="00BE54FC" w:rsidRPr="000C7343" w:rsidRDefault="00BE54FC" w:rsidP="000C7343">
      <w:pPr>
        <w:spacing w:before="60"/>
        <w:jc w:val="right"/>
        <w:rPr>
          <w:sz w:val="17"/>
          <w:szCs w:val="17"/>
        </w:rPr>
      </w:pPr>
      <w:r w:rsidRPr="000C7343">
        <w:rPr>
          <w:sz w:val="17"/>
          <w:szCs w:val="17"/>
        </w:rPr>
        <w:t>[Footnote continued on next page]</w:t>
      </w:r>
    </w:p>
  </w:footnote>
  <w:footnote w:id="2">
    <w:p w:rsidR="00EC4A93" w:rsidRPr="00195104" w:rsidRDefault="00EC4A93">
      <w:pPr>
        <w:pStyle w:val="FootnoteText"/>
        <w:rPr>
          <w:szCs w:val="18"/>
          <w:lang w:val="es-ES"/>
        </w:rPr>
      </w:pPr>
      <w:r w:rsidRPr="00195104">
        <w:rPr>
          <w:rStyle w:val="FootnoteReference"/>
          <w:szCs w:val="18"/>
        </w:rPr>
        <w:footnoteRef/>
      </w:r>
      <w:r w:rsidRPr="00195104">
        <w:rPr>
          <w:szCs w:val="18"/>
          <w:lang w:val="es-ES"/>
        </w:rPr>
        <w:t xml:space="preserve"> Por “industria fonográfica” se entiende la industria que se dedica a la grabación y venta de música.  En una definición más amplia de dicha industria quedarían incluidas otras muchas actividades relacionadas con la música como los conciertos y espectáculos en directo y la venta de productos promocionales.</w:t>
      </w:r>
    </w:p>
  </w:footnote>
  <w:footnote w:id="3">
    <w:p w:rsidR="007B54D9" w:rsidRPr="00195104" w:rsidRDefault="00E73983" w:rsidP="00E73983">
      <w:pPr>
        <w:rPr>
          <w:szCs w:val="18"/>
          <w:lang w:val="es-ES"/>
        </w:rPr>
      </w:pPr>
      <w:r w:rsidRPr="00E73983">
        <w:rPr>
          <w:rStyle w:val="FootnoteReference"/>
          <w:sz w:val="18"/>
          <w:szCs w:val="18"/>
          <w:lang w:val="es-ES"/>
        </w:rPr>
        <w:footnoteRef/>
      </w:r>
      <w:r w:rsidRPr="00E73983">
        <w:rPr>
          <w:sz w:val="18"/>
          <w:szCs w:val="18"/>
          <w:lang w:val="es-ES"/>
        </w:rPr>
        <w:t xml:space="preserve"> Todas las cifras están basadas en datos de 2013 de la Federación Internacional de la Industria Fonográfica (IFPI):  “Digital Music Report” (</w:t>
      </w:r>
      <w:hyperlink r:id="rId1" w:history="1">
        <w:r w:rsidRPr="00E73983">
          <w:rPr>
            <w:rStyle w:val="Hyperlink"/>
            <w:sz w:val="18"/>
            <w:szCs w:val="18"/>
            <w:lang w:val="es-ES"/>
          </w:rPr>
          <w:t>http://www.ifpi.org/global-statistics.php</w:t>
        </w:r>
      </w:hyperlink>
      <w:r w:rsidRPr="00E73983">
        <w:rPr>
          <w:sz w:val="18"/>
          <w:szCs w:val="18"/>
          <w:lang w:val="es-ES"/>
        </w:rPr>
        <w:t>)</w:t>
      </w:r>
    </w:p>
  </w:footnote>
  <w:footnote w:id="4">
    <w:p w:rsidR="007B54D9" w:rsidRPr="00195104" w:rsidRDefault="007B54D9">
      <w:pPr>
        <w:pStyle w:val="FootnoteText"/>
        <w:rPr>
          <w:szCs w:val="18"/>
          <w:lang w:val="es-ES"/>
        </w:rPr>
      </w:pPr>
      <w:r w:rsidRPr="00195104">
        <w:rPr>
          <w:rStyle w:val="FootnoteReference"/>
          <w:i/>
          <w:szCs w:val="18"/>
          <w:lang w:val="es-ES"/>
        </w:rPr>
        <w:footnoteRef/>
      </w:r>
      <w:r w:rsidR="00E73983">
        <w:rPr>
          <w:szCs w:val="18"/>
          <w:lang w:val="es-ES"/>
        </w:rPr>
        <w:t xml:space="preserve"> </w:t>
      </w:r>
      <w:r w:rsidR="00EA01CA" w:rsidRPr="00195104">
        <w:rPr>
          <w:szCs w:val="18"/>
          <w:lang w:val="es-ES"/>
        </w:rPr>
        <w:t>Estadísticas d</w:t>
      </w:r>
      <w:r w:rsidR="00940B05" w:rsidRPr="00195104">
        <w:rPr>
          <w:szCs w:val="18"/>
          <w:lang w:val="es-ES"/>
        </w:rPr>
        <w:t>e</w:t>
      </w:r>
      <w:r w:rsidR="00EA01CA" w:rsidRPr="00195104">
        <w:rPr>
          <w:szCs w:val="18"/>
          <w:lang w:val="es-ES"/>
        </w:rPr>
        <w:t>l</w:t>
      </w:r>
      <w:r w:rsidR="00940B05" w:rsidRPr="00195104">
        <w:rPr>
          <w:szCs w:val="18"/>
          <w:lang w:val="es-ES"/>
        </w:rPr>
        <w:t xml:space="preserve"> mercado cinematográfico 2014 de la</w:t>
      </w:r>
      <w:r w:rsidRPr="00195104">
        <w:rPr>
          <w:i/>
          <w:szCs w:val="18"/>
          <w:lang w:val="es-ES"/>
        </w:rPr>
        <w:t xml:space="preserve"> Motion Picture Association of America</w:t>
      </w:r>
      <w:r w:rsidRPr="00195104">
        <w:rPr>
          <w:szCs w:val="18"/>
          <w:lang w:val="es-ES"/>
        </w:rPr>
        <w:t xml:space="preserve"> (MPAA) </w:t>
      </w:r>
    </w:p>
  </w:footnote>
  <w:footnote w:id="5">
    <w:p w:rsidR="007B54D9" w:rsidRPr="00195104" w:rsidRDefault="007B54D9">
      <w:pPr>
        <w:pStyle w:val="FootnoteText"/>
        <w:rPr>
          <w:szCs w:val="18"/>
        </w:rPr>
      </w:pPr>
      <w:r w:rsidRPr="00195104">
        <w:rPr>
          <w:rStyle w:val="FootnoteReference"/>
          <w:szCs w:val="18"/>
          <w:lang w:val="es-ES"/>
        </w:rPr>
        <w:footnoteRef/>
      </w:r>
      <w:r w:rsidRPr="00195104">
        <w:rPr>
          <w:szCs w:val="18"/>
        </w:rPr>
        <w:t xml:space="preserve"> </w:t>
      </w:r>
      <w:r w:rsidR="00940B05" w:rsidRPr="00195104">
        <w:rPr>
          <w:szCs w:val="18"/>
        </w:rPr>
        <w:t xml:space="preserve">Instituto de Estadística de la </w:t>
      </w:r>
      <w:r w:rsidRPr="00195104">
        <w:rPr>
          <w:szCs w:val="18"/>
        </w:rPr>
        <w:t>UNESCO (2013)</w:t>
      </w:r>
      <w:r w:rsidR="00940B05" w:rsidRPr="00195104">
        <w:rPr>
          <w:szCs w:val="18"/>
        </w:rPr>
        <w:t xml:space="preserve">:  </w:t>
      </w:r>
      <w:r w:rsidRPr="00195104">
        <w:rPr>
          <w:szCs w:val="18"/>
        </w:rPr>
        <w:t xml:space="preserve"> </w:t>
      </w:r>
      <w:r w:rsidR="00940B05" w:rsidRPr="00195104">
        <w:rPr>
          <w:szCs w:val="18"/>
        </w:rPr>
        <w:t>“</w:t>
      </w:r>
      <w:r w:rsidR="00EA01CA" w:rsidRPr="00195104">
        <w:rPr>
          <w:szCs w:val="18"/>
        </w:rPr>
        <w:t>Emerging Markets and the Digitiz</w:t>
      </w:r>
      <w:r w:rsidRPr="00195104">
        <w:rPr>
          <w:szCs w:val="18"/>
        </w:rPr>
        <w:t>ation of the Film Industry</w:t>
      </w:r>
      <w:r w:rsidR="00940B05" w:rsidRPr="00195104">
        <w:rPr>
          <w:szCs w:val="18"/>
        </w:rPr>
        <w:t>”</w:t>
      </w:r>
      <w:r w:rsidRPr="00195104">
        <w:rPr>
          <w:szCs w:val="18"/>
        </w:rPr>
        <w:t>.</w:t>
      </w:r>
    </w:p>
  </w:footnote>
  <w:footnote w:id="6">
    <w:p w:rsidR="007B54D9" w:rsidRPr="00195104" w:rsidRDefault="007B54D9">
      <w:pPr>
        <w:pStyle w:val="FootnoteText"/>
        <w:rPr>
          <w:szCs w:val="18"/>
          <w:lang w:val="es-ES"/>
        </w:rPr>
      </w:pPr>
      <w:r w:rsidRPr="00195104">
        <w:rPr>
          <w:rStyle w:val="FootnoteReference"/>
          <w:szCs w:val="18"/>
        </w:rPr>
        <w:footnoteRef/>
      </w:r>
      <w:r w:rsidRPr="00195104">
        <w:rPr>
          <w:szCs w:val="18"/>
          <w:lang w:val="es-ES"/>
        </w:rPr>
        <w:t xml:space="preserve"> </w:t>
      </w:r>
      <w:r w:rsidR="0031137B" w:rsidRPr="00195104">
        <w:rPr>
          <w:szCs w:val="18"/>
          <w:lang w:val="es-ES"/>
        </w:rPr>
        <w:t>Estadísticas del</w:t>
      </w:r>
      <w:r w:rsidR="00940B05" w:rsidRPr="00195104">
        <w:rPr>
          <w:szCs w:val="18"/>
          <w:lang w:val="es-ES"/>
        </w:rPr>
        <w:t xml:space="preserve"> mercado cinematográfico 2014 de la</w:t>
      </w:r>
      <w:r w:rsidR="00940B05" w:rsidRPr="00195104">
        <w:rPr>
          <w:i/>
          <w:szCs w:val="18"/>
          <w:lang w:val="es-ES"/>
        </w:rPr>
        <w:t xml:space="preserve"> Motion Picture Association of America</w:t>
      </w:r>
      <w:r w:rsidR="00940B05" w:rsidRPr="00195104">
        <w:rPr>
          <w:szCs w:val="18"/>
          <w:lang w:val="es-ES"/>
        </w:rPr>
        <w:t xml:space="preserve"> (MPAA)</w:t>
      </w:r>
      <w:r w:rsidRPr="00195104">
        <w:rPr>
          <w:szCs w:val="18"/>
          <w:lang w:val="es-ES"/>
        </w:rPr>
        <w:t>.</w:t>
      </w:r>
    </w:p>
  </w:footnote>
  <w:footnote w:id="7">
    <w:p w:rsidR="00611F39" w:rsidRPr="00195104" w:rsidRDefault="00611F39">
      <w:pPr>
        <w:pStyle w:val="FootnoteText"/>
        <w:rPr>
          <w:szCs w:val="18"/>
          <w:lang w:val="es-ES"/>
        </w:rPr>
      </w:pPr>
      <w:r w:rsidRPr="00195104">
        <w:rPr>
          <w:rStyle w:val="FootnoteReference"/>
          <w:szCs w:val="18"/>
          <w:lang w:val="es-ES"/>
        </w:rPr>
        <w:footnoteRef/>
      </w:r>
      <w:r w:rsidR="0031137B" w:rsidRPr="00195104">
        <w:rPr>
          <w:szCs w:val="18"/>
          <w:lang w:val="es-ES"/>
        </w:rPr>
        <w:t xml:space="preserve"> En comparación con aumentos del 4 % en 2013, del 6 % en 2012, una </w:t>
      </w:r>
      <w:r w:rsidR="00CC7D67" w:rsidRPr="00195104">
        <w:rPr>
          <w:szCs w:val="18"/>
          <w:lang w:val="es-ES"/>
        </w:rPr>
        <w:t>disminución</w:t>
      </w:r>
      <w:r w:rsidR="0031137B" w:rsidRPr="00195104">
        <w:rPr>
          <w:szCs w:val="18"/>
          <w:lang w:val="es-ES"/>
        </w:rPr>
        <w:t xml:space="preserve"> del 4% en 2011 y un aumento del 6% de 2006 a 2011 (MPAA)</w:t>
      </w:r>
    </w:p>
  </w:footnote>
  <w:footnote w:id="8">
    <w:p w:rsidR="00611F39" w:rsidRPr="00195104" w:rsidRDefault="00611F39">
      <w:pPr>
        <w:pStyle w:val="FootnoteText"/>
        <w:rPr>
          <w:szCs w:val="18"/>
          <w:lang w:val="es-ES"/>
        </w:rPr>
      </w:pPr>
      <w:r w:rsidRPr="00195104">
        <w:rPr>
          <w:rStyle w:val="FootnoteReference"/>
          <w:szCs w:val="18"/>
          <w:lang w:val="es-ES"/>
        </w:rPr>
        <w:footnoteRef/>
      </w:r>
      <w:r w:rsidRPr="00195104">
        <w:rPr>
          <w:szCs w:val="18"/>
          <w:lang w:val="es-ES"/>
        </w:rPr>
        <w:t xml:space="preserve"> </w:t>
      </w:r>
      <w:r w:rsidR="0031137B" w:rsidRPr="00195104">
        <w:rPr>
          <w:szCs w:val="18"/>
          <w:lang w:val="es-ES"/>
        </w:rPr>
        <w:t>Estadísticas del mercado cinematográfico 2014 de la</w:t>
      </w:r>
      <w:r w:rsidR="0031137B" w:rsidRPr="00195104">
        <w:rPr>
          <w:i/>
          <w:szCs w:val="18"/>
          <w:lang w:val="es-ES"/>
        </w:rPr>
        <w:t xml:space="preserve"> </w:t>
      </w:r>
      <w:r w:rsidR="0031137B" w:rsidRPr="00195104">
        <w:rPr>
          <w:szCs w:val="18"/>
          <w:lang w:val="es-ES"/>
        </w:rPr>
        <w:t>MPAA</w:t>
      </w:r>
    </w:p>
  </w:footnote>
  <w:footnote w:id="9">
    <w:p w:rsidR="00611F39" w:rsidRPr="00195104" w:rsidRDefault="00611F39">
      <w:pPr>
        <w:pStyle w:val="FootnoteText"/>
        <w:rPr>
          <w:szCs w:val="18"/>
        </w:rPr>
      </w:pPr>
      <w:r w:rsidRPr="00195104">
        <w:rPr>
          <w:rStyle w:val="FootnoteReference"/>
          <w:szCs w:val="18"/>
          <w:lang w:val="es-ES"/>
        </w:rPr>
        <w:footnoteRef/>
      </w:r>
      <w:r w:rsidRPr="00195104">
        <w:rPr>
          <w:szCs w:val="18"/>
        </w:rPr>
        <w:t xml:space="preserve"> </w:t>
      </w:r>
      <w:r w:rsidR="000C659F" w:rsidRPr="00195104">
        <w:rPr>
          <w:i/>
          <w:szCs w:val="18"/>
        </w:rPr>
        <w:t>The Digital Entertainment Group</w:t>
      </w:r>
      <w:r w:rsidRPr="00195104">
        <w:rPr>
          <w:szCs w:val="18"/>
        </w:rPr>
        <w:t xml:space="preserve">, </w:t>
      </w:r>
      <w:r w:rsidR="000C659F" w:rsidRPr="00195104">
        <w:rPr>
          <w:szCs w:val="18"/>
        </w:rPr>
        <w:t>“</w:t>
      </w:r>
      <w:r w:rsidRPr="00195104">
        <w:rPr>
          <w:szCs w:val="18"/>
        </w:rPr>
        <w:t>Year-end 2014 Home Entertainment Report</w:t>
      </w:r>
      <w:r w:rsidR="000C659F" w:rsidRPr="00195104">
        <w:rPr>
          <w:szCs w:val="18"/>
        </w:rPr>
        <w:t>”</w:t>
      </w:r>
    </w:p>
  </w:footnote>
  <w:footnote w:id="10">
    <w:p w:rsidR="00611F39" w:rsidRPr="00195104" w:rsidRDefault="00611F39">
      <w:pPr>
        <w:pStyle w:val="FootnoteText"/>
        <w:rPr>
          <w:szCs w:val="18"/>
        </w:rPr>
      </w:pPr>
      <w:r w:rsidRPr="00195104">
        <w:rPr>
          <w:rStyle w:val="FootnoteReference"/>
          <w:szCs w:val="18"/>
          <w:lang w:val="es-ES"/>
        </w:rPr>
        <w:footnoteRef/>
      </w:r>
      <w:r w:rsidRPr="00195104">
        <w:rPr>
          <w:szCs w:val="18"/>
        </w:rPr>
        <w:t xml:space="preserve"> </w:t>
      </w:r>
      <w:r w:rsidRPr="00195104">
        <w:rPr>
          <w:i/>
          <w:szCs w:val="18"/>
        </w:rPr>
        <w:t>British Film Institute</w:t>
      </w:r>
      <w:r w:rsidR="00EC4A93" w:rsidRPr="00195104">
        <w:rPr>
          <w:szCs w:val="18"/>
        </w:rPr>
        <w:t>, “</w:t>
      </w:r>
      <w:r w:rsidRPr="00195104">
        <w:rPr>
          <w:szCs w:val="18"/>
        </w:rPr>
        <w:t>2014 Statistical Yearbook.</w:t>
      </w:r>
      <w:r w:rsidR="00EC4A93" w:rsidRPr="00195104">
        <w:rPr>
          <w:szCs w:val="18"/>
        </w:rPr>
        <w:t>”</w:t>
      </w:r>
    </w:p>
  </w:footnote>
  <w:footnote w:id="11">
    <w:p w:rsidR="00ED663D" w:rsidRPr="00195104" w:rsidRDefault="00ED663D">
      <w:pPr>
        <w:pStyle w:val="FootnoteText"/>
        <w:rPr>
          <w:szCs w:val="18"/>
          <w:lang w:val="es-ES"/>
        </w:rPr>
      </w:pPr>
      <w:r w:rsidRPr="00195104">
        <w:rPr>
          <w:rStyle w:val="FootnoteReference"/>
          <w:szCs w:val="18"/>
          <w:lang w:val="es-ES"/>
        </w:rPr>
        <w:footnoteRef/>
      </w:r>
      <w:r w:rsidR="000C659F" w:rsidRPr="00195104">
        <w:rPr>
          <w:szCs w:val="18"/>
          <w:lang w:val="es-ES"/>
        </w:rPr>
        <w:t xml:space="preserve"> Por “windowing” se entiende  el hecho de que una película se publique de forma “escalonada” para extraer el mayor número de ingre</w:t>
      </w:r>
      <w:r w:rsidR="00CC7D67" w:rsidRPr="00195104">
        <w:rPr>
          <w:szCs w:val="18"/>
          <w:lang w:val="es-ES"/>
        </w:rPr>
        <w:t>s</w:t>
      </w:r>
      <w:r w:rsidR="000C659F" w:rsidRPr="00195104">
        <w:rPr>
          <w:szCs w:val="18"/>
          <w:lang w:val="es-ES"/>
        </w:rPr>
        <w:t xml:space="preserve">os, por ejemplo, primero en el cine, después en video y luego en </w:t>
      </w:r>
      <w:r w:rsidR="00CC7D67" w:rsidRPr="00195104">
        <w:rPr>
          <w:szCs w:val="18"/>
          <w:lang w:val="es-ES"/>
        </w:rPr>
        <w:t>televisión</w:t>
      </w:r>
      <w:r w:rsidR="000C659F" w:rsidRPr="00195104">
        <w:rPr>
          <w:szCs w:val="18"/>
          <w:lang w:val="es-ES"/>
        </w:rPr>
        <w:t>.</w:t>
      </w:r>
    </w:p>
  </w:footnote>
  <w:footnote w:id="12">
    <w:p w:rsidR="00447374" w:rsidRPr="00195104" w:rsidRDefault="00447374">
      <w:pPr>
        <w:pStyle w:val="FootnoteText"/>
        <w:rPr>
          <w:szCs w:val="18"/>
          <w:lang w:val="es-ES"/>
        </w:rPr>
      </w:pPr>
      <w:r w:rsidRPr="00195104">
        <w:rPr>
          <w:rStyle w:val="FootnoteReference"/>
          <w:szCs w:val="18"/>
        </w:rPr>
        <w:footnoteRef/>
      </w:r>
      <w:r w:rsidR="00BD6ED1" w:rsidRPr="00195104">
        <w:rPr>
          <w:szCs w:val="18"/>
          <w:lang w:val="es-ES"/>
        </w:rPr>
        <w:t xml:space="preserve"> Estadísticas de la Unión Internacional de Telecomunicaciones</w:t>
      </w:r>
      <w:r w:rsidRPr="00195104">
        <w:rPr>
          <w:szCs w:val="18"/>
          <w:lang w:val="es-ES"/>
        </w:rPr>
        <w:t xml:space="preserve"> (</w:t>
      </w:r>
      <w:r w:rsidR="00BD6ED1" w:rsidRPr="00195104">
        <w:rPr>
          <w:szCs w:val="18"/>
          <w:lang w:val="es-ES"/>
        </w:rPr>
        <w:t>UIT) (2013) “Medición de la sociedad de la información”;  el resumen ejecutivo de  dicho informe  en español puede consultarse en http://www.itu.int/en/ITU-D/Statistics/Documents/publications/mis2013/MIS2013-exec-sum_S.pdf</w:t>
      </w:r>
    </w:p>
  </w:footnote>
  <w:footnote w:id="13">
    <w:p w:rsidR="00447374" w:rsidRPr="00195104" w:rsidRDefault="00447374">
      <w:pPr>
        <w:pStyle w:val="FootnoteText"/>
        <w:rPr>
          <w:szCs w:val="18"/>
          <w:lang w:val="es-ES"/>
        </w:rPr>
      </w:pPr>
      <w:r w:rsidRPr="00195104">
        <w:rPr>
          <w:rStyle w:val="FootnoteReference"/>
          <w:szCs w:val="18"/>
          <w:lang w:val="es-ES"/>
        </w:rPr>
        <w:footnoteRef/>
      </w:r>
      <w:r w:rsidRPr="00195104">
        <w:rPr>
          <w:szCs w:val="18"/>
          <w:lang w:val="es-ES"/>
        </w:rPr>
        <w:t xml:space="preserve"> </w:t>
      </w:r>
      <w:r w:rsidR="00BD6ED1" w:rsidRPr="00195104">
        <w:rPr>
          <w:szCs w:val="18"/>
          <w:lang w:val="es-ES"/>
        </w:rPr>
        <w:t xml:space="preserve">Estimaciones publicadas </w:t>
      </w:r>
      <w:r w:rsidR="007B03AA" w:rsidRPr="00195104">
        <w:rPr>
          <w:szCs w:val="18"/>
          <w:lang w:val="es-ES"/>
        </w:rPr>
        <w:t xml:space="preserve">por PWC en 2015: </w:t>
      </w:r>
      <w:r w:rsidRPr="00195104">
        <w:rPr>
          <w:szCs w:val="18"/>
          <w:lang w:val="es-ES"/>
        </w:rPr>
        <w:t xml:space="preserve"> “TV Subscriptions and lic</w:t>
      </w:r>
      <w:r w:rsidR="007B03AA" w:rsidRPr="00195104">
        <w:rPr>
          <w:szCs w:val="18"/>
          <w:lang w:val="es-ES"/>
        </w:rPr>
        <w:t>ense fees Insights at a Glance”, que puede</w:t>
      </w:r>
      <w:r w:rsidR="00681D31" w:rsidRPr="00195104">
        <w:rPr>
          <w:szCs w:val="18"/>
          <w:lang w:val="es-ES"/>
        </w:rPr>
        <w:t>n</w:t>
      </w:r>
      <w:r w:rsidR="007B03AA" w:rsidRPr="00195104">
        <w:rPr>
          <w:szCs w:val="18"/>
          <w:lang w:val="es-ES"/>
        </w:rPr>
        <w:t xml:space="preserve"> consultarse en</w:t>
      </w:r>
      <w:r w:rsidRPr="00195104">
        <w:rPr>
          <w:szCs w:val="18"/>
          <w:lang w:val="es-ES"/>
        </w:rPr>
        <w:t xml:space="preserve"> http://www.pwc.com/gx/en/global-entertainment-media-outlook/assets/2015/tv-subscriptions-and-licence-fees-key-insights-6-tv-public-licence-fee.pdf</w:t>
      </w:r>
    </w:p>
  </w:footnote>
  <w:footnote w:id="14">
    <w:p w:rsidR="00447374" w:rsidRPr="00195104" w:rsidRDefault="00447374">
      <w:pPr>
        <w:pStyle w:val="FootnoteText"/>
        <w:rPr>
          <w:szCs w:val="18"/>
          <w:lang w:val="es-ES"/>
        </w:rPr>
      </w:pPr>
      <w:r w:rsidRPr="00195104">
        <w:rPr>
          <w:rStyle w:val="FootnoteReference"/>
          <w:szCs w:val="18"/>
          <w:lang w:val="es-ES"/>
        </w:rPr>
        <w:footnoteRef/>
      </w:r>
      <w:r w:rsidRPr="00195104">
        <w:rPr>
          <w:szCs w:val="18"/>
          <w:lang w:val="es-ES"/>
        </w:rPr>
        <w:t xml:space="preserve"> </w:t>
      </w:r>
      <w:r w:rsidR="007B03AA" w:rsidRPr="00195104">
        <w:rPr>
          <w:szCs w:val="18"/>
          <w:lang w:val="es-ES"/>
        </w:rPr>
        <w:t>UIT, ibid</w:t>
      </w:r>
      <w:r w:rsidRPr="00195104">
        <w:rPr>
          <w:szCs w:val="18"/>
          <w:lang w:val="es-ES"/>
        </w:rPr>
        <w:t>.</w:t>
      </w:r>
    </w:p>
  </w:footnote>
  <w:footnote w:id="15">
    <w:p w:rsidR="00447374" w:rsidRPr="00195104" w:rsidRDefault="00447374">
      <w:pPr>
        <w:pStyle w:val="FootnoteText"/>
        <w:rPr>
          <w:szCs w:val="18"/>
          <w:lang w:val="es-ES"/>
        </w:rPr>
      </w:pPr>
      <w:r w:rsidRPr="00195104">
        <w:rPr>
          <w:rStyle w:val="FootnoteReference"/>
          <w:szCs w:val="18"/>
          <w:lang w:val="es-ES"/>
        </w:rPr>
        <w:footnoteRef/>
      </w:r>
      <w:r w:rsidRPr="00195104">
        <w:rPr>
          <w:szCs w:val="18"/>
          <w:lang w:val="es-ES"/>
        </w:rPr>
        <w:t xml:space="preserve"> </w:t>
      </w:r>
      <w:r w:rsidR="00681D31" w:rsidRPr="00195104">
        <w:rPr>
          <w:szCs w:val="18"/>
          <w:lang w:val="es-ES"/>
        </w:rPr>
        <w:t xml:space="preserve">Estimaciones publicadas por </w:t>
      </w:r>
      <w:r w:rsidRPr="00195104">
        <w:rPr>
          <w:szCs w:val="18"/>
          <w:lang w:val="es-ES"/>
        </w:rPr>
        <w:t xml:space="preserve">PWC </w:t>
      </w:r>
      <w:r w:rsidR="00681D31" w:rsidRPr="00195104">
        <w:rPr>
          <w:szCs w:val="18"/>
          <w:lang w:val="es-ES"/>
        </w:rPr>
        <w:t>en</w:t>
      </w:r>
      <w:r w:rsidRPr="00195104">
        <w:rPr>
          <w:szCs w:val="18"/>
          <w:lang w:val="es-ES"/>
        </w:rPr>
        <w:t xml:space="preserve"> </w:t>
      </w:r>
      <w:r w:rsidR="00681D31" w:rsidRPr="00195104">
        <w:rPr>
          <w:szCs w:val="18"/>
          <w:lang w:val="es-ES"/>
        </w:rPr>
        <w:t>http://es.statista.com/</w:t>
      </w:r>
      <w:r w:rsidRPr="00195104">
        <w:rPr>
          <w:szCs w:val="18"/>
          <w:lang w:val="es-ES"/>
        </w:rPr>
        <w:t xml:space="preserve">, </w:t>
      </w:r>
      <w:r w:rsidR="00681D31" w:rsidRPr="00195104">
        <w:rPr>
          <w:szCs w:val="18"/>
          <w:lang w:val="es-ES"/>
        </w:rPr>
        <w:t xml:space="preserve">ingresos mundiales por publicidad en la </w:t>
      </w:r>
      <w:r w:rsidR="00A0425E" w:rsidRPr="00195104">
        <w:rPr>
          <w:szCs w:val="18"/>
          <w:lang w:val="es-ES"/>
        </w:rPr>
        <w:t>televisión</w:t>
      </w:r>
      <w:r w:rsidR="00681D31" w:rsidRPr="00195104">
        <w:rPr>
          <w:szCs w:val="18"/>
          <w:lang w:val="es-ES"/>
        </w:rPr>
        <w:t xml:space="preserve"> de</w:t>
      </w:r>
      <w:r w:rsidRPr="00195104">
        <w:rPr>
          <w:szCs w:val="18"/>
          <w:lang w:val="es-ES"/>
        </w:rPr>
        <w:t xml:space="preserve"> 2012 </w:t>
      </w:r>
      <w:r w:rsidR="00681D31" w:rsidRPr="00195104">
        <w:rPr>
          <w:szCs w:val="18"/>
          <w:lang w:val="es-ES"/>
        </w:rPr>
        <w:t xml:space="preserve">a </w:t>
      </w:r>
      <w:r w:rsidRPr="00195104">
        <w:rPr>
          <w:szCs w:val="18"/>
          <w:lang w:val="es-ES"/>
        </w:rPr>
        <w:t xml:space="preserve">2017, </w:t>
      </w:r>
      <w:r w:rsidR="00681D31" w:rsidRPr="00195104">
        <w:rPr>
          <w:szCs w:val="18"/>
          <w:lang w:val="es-ES"/>
        </w:rPr>
        <w:t xml:space="preserve">por fuente (en miles de millones de dólares EE.UU:);  referencia documentada el 12 de octubre de </w:t>
      </w:r>
      <w:r w:rsidRPr="00195104">
        <w:rPr>
          <w:szCs w:val="18"/>
          <w:lang w:val="es-ES"/>
        </w:rPr>
        <w:t xml:space="preserve">2015 </w:t>
      </w:r>
      <w:r w:rsidR="00681D31" w:rsidRPr="00195104">
        <w:rPr>
          <w:szCs w:val="18"/>
          <w:lang w:val="es-ES"/>
        </w:rPr>
        <w:t xml:space="preserve">en </w:t>
      </w:r>
      <w:r w:rsidRPr="00195104">
        <w:rPr>
          <w:szCs w:val="18"/>
          <w:lang w:val="es-ES"/>
        </w:rPr>
        <w:t>http://www.statista.com/statistics/260123/global-tv-advertising-revenue-by-source/</w:t>
      </w:r>
    </w:p>
  </w:footnote>
  <w:footnote w:id="16">
    <w:p w:rsidR="00447374" w:rsidRPr="00195104" w:rsidRDefault="00447374">
      <w:pPr>
        <w:pStyle w:val="FootnoteText"/>
        <w:rPr>
          <w:szCs w:val="18"/>
          <w:lang w:val="es-ES"/>
        </w:rPr>
      </w:pPr>
      <w:r w:rsidRPr="00195104">
        <w:rPr>
          <w:rStyle w:val="FootnoteReference"/>
          <w:szCs w:val="18"/>
          <w:lang w:val="es-ES"/>
        </w:rPr>
        <w:footnoteRef/>
      </w:r>
      <w:r w:rsidR="00681D31" w:rsidRPr="00195104">
        <w:rPr>
          <w:szCs w:val="18"/>
          <w:lang w:val="es-ES"/>
        </w:rPr>
        <w:t xml:space="preserve"> Al tiempo que está disminuyendo el porcentaje de ingresos </w:t>
      </w:r>
      <w:r w:rsidR="00A0425E" w:rsidRPr="00195104">
        <w:rPr>
          <w:szCs w:val="18"/>
          <w:lang w:val="es-ES"/>
        </w:rPr>
        <w:t>por publicidad en la televisión</w:t>
      </w:r>
      <w:r w:rsidR="00681D31" w:rsidRPr="00195104">
        <w:rPr>
          <w:szCs w:val="18"/>
          <w:lang w:val="es-ES"/>
        </w:rPr>
        <w:t xml:space="preserve"> en el mundo, </w:t>
      </w:r>
      <w:r w:rsidR="00A0425E" w:rsidRPr="00195104">
        <w:rPr>
          <w:szCs w:val="18"/>
          <w:lang w:val="es-ES"/>
        </w:rPr>
        <w:t xml:space="preserve">se </w:t>
      </w:r>
      <w:r w:rsidR="00681D31" w:rsidRPr="00195104">
        <w:rPr>
          <w:szCs w:val="18"/>
          <w:lang w:val="es-ES"/>
        </w:rPr>
        <w:t>sigue experimentando un modesto crecimiento de menos del 5%en los países desarrollados y un crecimiento mayor en los países en desarrollo.</w:t>
      </w:r>
      <w:r w:rsidRPr="00195104">
        <w:rPr>
          <w:szCs w:val="18"/>
          <w:lang w:val="es-ES"/>
        </w:rPr>
        <w:t xml:space="preserve">  </w:t>
      </w:r>
    </w:p>
  </w:footnote>
  <w:footnote w:id="17">
    <w:p w:rsidR="00447374" w:rsidRPr="00195104" w:rsidRDefault="00447374">
      <w:pPr>
        <w:pStyle w:val="FootnoteText"/>
        <w:rPr>
          <w:szCs w:val="18"/>
          <w:lang w:val="es-ES"/>
        </w:rPr>
      </w:pPr>
      <w:r w:rsidRPr="00195104">
        <w:rPr>
          <w:rStyle w:val="FootnoteReference"/>
          <w:szCs w:val="18"/>
          <w:lang w:val="es-ES"/>
        </w:rPr>
        <w:footnoteRef/>
      </w:r>
      <w:r w:rsidRPr="00195104">
        <w:rPr>
          <w:szCs w:val="18"/>
          <w:lang w:val="es-ES"/>
        </w:rPr>
        <w:t xml:space="preserve"> </w:t>
      </w:r>
      <w:r w:rsidR="00681D31" w:rsidRPr="00195104">
        <w:rPr>
          <w:szCs w:val="18"/>
          <w:lang w:val="es-ES"/>
        </w:rPr>
        <w:t>Estimaciones de PWC de 215,</w:t>
      </w:r>
      <w:r w:rsidRPr="00195104">
        <w:rPr>
          <w:szCs w:val="18"/>
          <w:lang w:val="es-ES"/>
        </w:rPr>
        <w:t xml:space="preserve"> </w:t>
      </w:r>
      <w:r w:rsidR="00681D31" w:rsidRPr="00195104">
        <w:rPr>
          <w:szCs w:val="18"/>
          <w:lang w:val="es-ES"/>
        </w:rPr>
        <w:t>“</w:t>
      </w:r>
      <w:r w:rsidRPr="00195104">
        <w:rPr>
          <w:szCs w:val="18"/>
          <w:lang w:val="es-ES"/>
        </w:rPr>
        <w:t>Advert</w:t>
      </w:r>
      <w:r w:rsidR="00681D31" w:rsidRPr="00195104">
        <w:rPr>
          <w:szCs w:val="18"/>
          <w:lang w:val="es-ES"/>
        </w:rPr>
        <w:t>ising Key Insights at a Glance”, que pueden consultarse en:</w:t>
      </w:r>
      <w:r w:rsidRPr="00195104">
        <w:rPr>
          <w:szCs w:val="18"/>
          <w:lang w:val="es-ES"/>
        </w:rPr>
        <w:t xml:space="preserve"> https://www.pwc.com/gx/en/global-entertainment-media-outlook/assets/2015/tv-advertising-key-insights-1-global-tv-advertising.pdf</w:t>
      </w:r>
    </w:p>
  </w:footnote>
  <w:footnote w:id="18">
    <w:p w:rsidR="00447374" w:rsidRPr="00195104" w:rsidRDefault="00447374">
      <w:pPr>
        <w:pStyle w:val="FootnoteText"/>
        <w:rPr>
          <w:szCs w:val="18"/>
          <w:lang w:val="es-ES"/>
        </w:rPr>
      </w:pPr>
      <w:r w:rsidRPr="00195104">
        <w:rPr>
          <w:rStyle w:val="FootnoteReference"/>
          <w:szCs w:val="18"/>
          <w:lang w:val="es-ES"/>
        </w:rPr>
        <w:footnoteRef/>
      </w:r>
      <w:r w:rsidRPr="00195104">
        <w:rPr>
          <w:szCs w:val="18"/>
          <w:lang w:val="es-ES"/>
        </w:rPr>
        <w:t xml:space="preserve"> </w:t>
      </w:r>
      <w:r w:rsidR="00681D31" w:rsidRPr="00195104">
        <w:rPr>
          <w:szCs w:val="18"/>
          <w:lang w:val="es-ES"/>
        </w:rPr>
        <w:t xml:space="preserve">Estimaciones de PWC de 215, “Advertising Key Insights at a Glance”, que pueden consultarse en:  </w:t>
      </w:r>
      <w:r w:rsidRPr="00195104">
        <w:rPr>
          <w:szCs w:val="18"/>
          <w:lang w:val="es-ES"/>
        </w:rPr>
        <w:t>http://www.pwc.com/gx/en/global-entertainment-media-outlook/assets/2015/tv-advertising-key-insights-6-brazil-china-and-india.pdf</w:t>
      </w:r>
    </w:p>
  </w:footnote>
  <w:footnote w:id="19">
    <w:p w:rsidR="00447374" w:rsidRPr="00195104" w:rsidRDefault="00447374">
      <w:pPr>
        <w:pStyle w:val="FootnoteText"/>
        <w:rPr>
          <w:szCs w:val="18"/>
        </w:rPr>
      </w:pPr>
      <w:r w:rsidRPr="00195104">
        <w:rPr>
          <w:rStyle w:val="FootnoteReference"/>
          <w:szCs w:val="18"/>
        </w:rPr>
        <w:footnoteRef/>
      </w:r>
      <w:r w:rsidRPr="00195104">
        <w:rPr>
          <w:szCs w:val="18"/>
        </w:rPr>
        <w:t xml:space="preserve"> </w:t>
      </w:r>
      <w:r w:rsidR="00C92AA1" w:rsidRPr="00195104">
        <w:rPr>
          <w:szCs w:val="18"/>
        </w:rPr>
        <w:t>Wischenbart, R. (2013), “</w:t>
      </w:r>
      <w:r w:rsidRPr="00195104">
        <w:rPr>
          <w:szCs w:val="18"/>
        </w:rPr>
        <w:t>IPA Global Publishing Statistics</w:t>
      </w:r>
      <w:r w:rsidR="00C92AA1" w:rsidRPr="00195104">
        <w:rPr>
          <w:szCs w:val="18"/>
        </w:rPr>
        <w:t>”,</w:t>
      </w:r>
      <w:r w:rsidRPr="00195104">
        <w:rPr>
          <w:szCs w:val="18"/>
        </w:rPr>
        <w:t xml:space="preserve"> </w:t>
      </w:r>
      <w:r w:rsidRPr="00195104">
        <w:rPr>
          <w:i/>
          <w:szCs w:val="18"/>
        </w:rPr>
        <w:t>World</w:t>
      </w:r>
      <w:r w:rsidRPr="00195104">
        <w:rPr>
          <w:szCs w:val="18"/>
        </w:rPr>
        <w:t>, 114(12,189), 7-046.</w:t>
      </w:r>
    </w:p>
  </w:footnote>
  <w:footnote w:id="20">
    <w:p w:rsidR="00447374" w:rsidRPr="00195104" w:rsidRDefault="00447374">
      <w:pPr>
        <w:pStyle w:val="FootnoteText"/>
        <w:rPr>
          <w:szCs w:val="18"/>
          <w:lang w:val="es-ES"/>
        </w:rPr>
      </w:pPr>
      <w:r w:rsidRPr="00195104">
        <w:rPr>
          <w:rStyle w:val="FootnoteReference"/>
          <w:szCs w:val="18"/>
        </w:rPr>
        <w:footnoteRef/>
      </w:r>
      <w:r w:rsidRPr="00195104">
        <w:rPr>
          <w:szCs w:val="18"/>
          <w:lang w:val="es-ES"/>
        </w:rPr>
        <w:t xml:space="preserve"> Wischenbart, ibid.</w:t>
      </w:r>
    </w:p>
  </w:footnote>
  <w:footnote w:id="21">
    <w:p w:rsidR="007C73AF" w:rsidRPr="00195104" w:rsidRDefault="007C73AF">
      <w:pPr>
        <w:pStyle w:val="FootnoteText"/>
        <w:rPr>
          <w:szCs w:val="18"/>
        </w:rPr>
      </w:pPr>
      <w:r w:rsidRPr="00195104">
        <w:rPr>
          <w:rStyle w:val="FootnoteReference"/>
          <w:szCs w:val="18"/>
        </w:rPr>
        <w:footnoteRef/>
      </w:r>
      <w:r w:rsidR="00A0425E" w:rsidRPr="00195104">
        <w:rPr>
          <w:szCs w:val="18"/>
          <w:lang w:val="es-ES"/>
        </w:rPr>
        <w:t xml:space="preserve"> Simon, J. P.,</w:t>
      </w:r>
      <w:r w:rsidR="00C92AA1" w:rsidRPr="00195104">
        <w:rPr>
          <w:szCs w:val="18"/>
          <w:lang w:val="es-ES"/>
        </w:rPr>
        <w:t xml:space="preserve"> y </w:t>
      </w:r>
      <w:r w:rsidRPr="00195104">
        <w:rPr>
          <w:szCs w:val="18"/>
          <w:lang w:val="es-ES"/>
        </w:rPr>
        <w:t xml:space="preserve">G. De Prato. </w:t>
      </w:r>
      <w:r w:rsidRPr="00195104">
        <w:rPr>
          <w:szCs w:val="18"/>
        </w:rPr>
        <w:t>"Statistical, ecosystems and competitiveness analysis of the media and content industries."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D9B" w:rsidRPr="00150ACA" w:rsidRDefault="002F73AD" w:rsidP="00477D6B">
    <w:pPr>
      <w:jc w:val="right"/>
      <w:rPr>
        <w:lang w:val="es-ES"/>
      </w:rPr>
    </w:pPr>
    <w:bookmarkStart w:id="6" w:name="Code2"/>
    <w:bookmarkEnd w:id="6"/>
    <w:r w:rsidRPr="00150ACA">
      <w:rPr>
        <w:lang w:val="es-ES"/>
      </w:rPr>
      <w:t>WIPO/GDCM/GE/16/INF/</w:t>
    </w:r>
    <w:r w:rsidR="00803B4C" w:rsidRPr="00150ACA">
      <w:rPr>
        <w:lang w:val="es-ES"/>
      </w:rPr>
      <w:t>2</w:t>
    </w:r>
  </w:p>
  <w:p w:rsidR="004F4D9B" w:rsidRPr="00150ACA" w:rsidRDefault="004F4D9B" w:rsidP="00477D6B">
    <w:pPr>
      <w:jc w:val="right"/>
      <w:rPr>
        <w:lang w:val="es-ES"/>
      </w:rPr>
    </w:pPr>
    <w:r w:rsidRPr="00150ACA">
      <w:rPr>
        <w:lang w:val="es-ES"/>
      </w:rPr>
      <w:t>p</w:t>
    </w:r>
    <w:r w:rsidR="00150ACA" w:rsidRPr="00150ACA">
      <w:rPr>
        <w:lang w:val="es-ES"/>
      </w:rPr>
      <w:t>á</w:t>
    </w:r>
    <w:r w:rsidRPr="00150ACA">
      <w:rPr>
        <w:lang w:val="es-ES"/>
      </w:rPr>
      <w:t>g</w:t>
    </w:r>
    <w:r w:rsidR="00150ACA" w:rsidRPr="00150ACA">
      <w:rPr>
        <w:lang w:val="es-ES"/>
      </w:rPr>
      <w:t>ina</w:t>
    </w:r>
    <w:r w:rsidRPr="00150ACA">
      <w:rPr>
        <w:lang w:val="es-ES"/>
      </w:rPr>
      <w:t xml:space="preserve"> </w:t>
    </w:r>
    <w:r>
      <w:fldChar w:fldCharType="begin"/>
    </w:r>
    <w:r w:rsidRPr="00150ACA">
      <w:rPr>
        <w:lang w:val="es-ES"/>
      </w:rPr>
      <w:instrText xml:space="preserve"> PAGE  \* MERGEFORMAT </w:instrText>
    </w:r>
    <w:r>
      <w:fldChar w:fldCharType="separate"/>
    </w:r>
    <w:r w:rsidR="00192498">
      <w:rPr>
        <w:noProof/>
        <w:lang w:val="es-ES"/>
      </w:rPr>
      <w:t>7</w:t>
    </w:r>
    <w:r>
      <w:fldChar w:fldCharType="end"/>
    </w:r>
  </w:p>
  <w:p w:rsidR="004F4D9B" w:rsidRPr="00150ACA" w:rsidRDefault="004F4D9B" w:rsidP="00477D6B">
    <w:pP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1B0683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FBC264C"/>
    <w:multiLevelType w:val="hybridMultilevel"/>
    <w:tmpl w:val="988CC216"/>
    <w:lvl w:ilvl="0" w:tplc="F670C2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3AD"/>
    <w:rsid w:val="00002245"/>
    <w:rsid w:val="00026990"/>
    <w:rsid w:val="00036A9A"/>
    <w:rsid w:val="00053E4E"/>
    <w:rsid w:val="00061778"/>
    <w:rsid w:val="00074269"/>
    <w:rsid w:val="00096A25"/>
    <w:rsid w:val="000A2C9B"/>
    <w:rsid w:val="000A46A9"/>
    <w:rsid w:val="000B299E"/>
    <w:rsid w:val="000C659F"/>
    <w:rsid w:val="000C7343"/>
    <w:rsid w:val="000E0A95"/>
    <w:rsid w:val="000E7585"/>
    <w:rsid w:val="000F5E56"/>
    <w:rsid w:val="0011637E"/>
    <w:rsid w:val="001362EE"/>
    <w:rsid w:val="00150ACA"/>
    <w:rsid w:val="00172573"/>
    <w:rsid w:val="001832A6"/>
    <w:rsid w:val="00192498"/>
    <w:rsid w:val="0019469C"/>
    <w:rsid w:val="00195104"/>
    <w:rsid w:val="001B3C6A"/>
    <w:rsid w:val="001D7119"/>
    <w:rsid w:val="001F6AAF"/>
    <w:rsid w:val="00205EA6"/>
    <w:rsid w:val="00216C3D"/>
    <w:rsid w:val="00230A66"/>
    <w:rsid w:val="00230C20"/>
    <w:rsid w:val="002456E6"/>
    <w:rsid w:val="002634C4"/>
    <w:rsid w:val="0028381B"/>
    <w:rsid w:val="00286C21"/>
    <w:rsid w:val="002A04A8"/>
    <w:rsid w:val="002B55AE"/>
    <w:rsid w:val="002D2F2C"/>
    <w:rsid w:val="002E1105"/>
    <w:rsid w:val="002F4E68"/>
    <w:rsid w:val="002F73AD"/>
    <w:rsid w:val="002F7C75"/>
    <w:rsid w:val="00307067"/>
    <w:rsid w:val="0031137B"/>
    <w:rsid w:val="003707CB"/>
    <w:rsid w:val="00381CBF"/>
    <w:rsid w:val="00384452"/>
    <w:rsid w:val="003845C1"/>
    <w:rsid w:val="00385E79"/>
    <w:rsid w:val="00395A0B"/>
    <w:rsid w:val="003A4769"/>
    <w:rsid w:val="003E6A7E"/>
    <w:rsid w:val="003F1476"/>
    <w:rsid w:val="004010F0"/>
    <w:rsid w:val="00405950"/>
    <w:rsid w:val="00423E3E"/>
    <w:rsid w:val="00427AF4"/>
    <w:rsid w:val="00447374"/>
    <w:rsid w:val="004647DA"/>
    <w:rsid w:val="00477D6B"/>
    <w:rsid w:val="004F0075"/>
    <w:rsid w:val="004F4D9B"/>
    <w:rsid w:val="0051479E"/>
    <w:rsid w:val="00514D15"/>
    <w:rsid w:val="00540DBC"/>
    <w:rsid w:val="005620FA"/>
    <w:rsid w:val="00573BD3"/>
    <w:rsid w:val="00576551"/>
    <w:rsid w:val="005842B8"/>
    <w:rsid w:val="005914B5"/>
    <w:rsid w:val="00596122"/>
    <w:rsid w:val="00596741"/>
    <w:rsid w:val="005A53F4"/>
    <w:rsid w:val="005D5793"/>
    <w:rsid w:val="005F4AF2"/>
    <w:rsid w:val="005F652F"/>
    <w:rsid w:val="005F7D22"/>
    <w:rsid w:val="00605827"/>
    <w:rsid w:val="00610DB5"/>
    <w:rsid w:val="00611F39"/>
    <w:rsid w:val="00620296"/>
    <w:rsid w:val="00631B90"/>
    <w:rsid w:val="006364DA"/>
    <w:rsid w:val="00644040"/>
    <w:rsid w:val="00656BC3"/>
    <w:rsid w:val="00665530"/>
    <w:rsid w:val="00681D31"/>
    <w:rsid w:val="00682A46"/>
    <w:rsid w:val="006934E7"/>
    <w:rsid w:val="006B47A8"/>
    <w:rsid w:val="006B64BE"/>
    <w:rsid w:val="006D7B6C"/>
    <w:rsid w:val="006F3415"/>
    <w:rsid w:val="00711489"/>
    <w:rsid w:val="00715A6B"/>
    <w:rsid w:val="00743653"/>
    <w:rsid w:val="00757CA6"/>
    <w:rsid w:val="0078073C"/>
    <w:rsid w:val="00785086"/>
    <w:rsid w:val="007A3425"/>
    <w:rsid w:val="007A7BEF"/>
    <w:rsid w:val="007B03AA"/>
    <w:rsid w:val="007B2725"/>
    <w:rsid w:val="007B472C"/>
    <w:rsid w:val="007B54D9"/>
    <w:rsid w:val="007B63B3"/>
    <w:rsid w:val="007C73AF"/>
    <w:rsid w:val="007F2316"/>
    <w:rsid w:val="008012C7"/>
    <w:rsid w:val="00803B4C"/>
    <w:rsid w:val="0081368F"/>
    <w:rsid w:val="00843C1A"/>
    <w:rsid w:val="008923EF"/>
    <w:rsid w:val="0089487E"/>
    <w:rsid w:val="008A3809"/>
    <w:rsid w:val="008B2CC1"/>
    <w:rsid w:val="008F7400"/>
    <w:rsid w:val="0090731E"/>
    <w:rsid w:val="009104B1"/>
    <w:rsid w:val="009317B5"/>
    <w:rsid w:val="00940B05"/>
    <w:rsid w:val="00966A22"/>
    <w:rsid w:val="009711F1"/>
    <w:rsid w:val="009719CE"/>
    <w:rsid w:val="00986157"/>
    <w:rsid w:val="00987349"/>
    <w:rsid w:val="009B1C6F"/>
    <w:rsid w:val="009C40F8"/>
    <w:rsid w:val="00A0425E"/>
    <w:rsid w:val="00A05097"/>
    <w:rsid w:val="00A125F9"/>
    <w:rsid w:val="00A1281E"/>
    <w:rsid w:val="00A179E6"/>
    <w:rsid w:val="00A42EFF"/>
    <w:rsid w:val="00A4403B"/>
    <w:rsid w:val="00A55ABA"/>
    <w:rsid w:val="00A94F2C"/>
    <w:rsid w:val="00AB7CE1"/>
    <w:rsid w:val="00B11943"/>
    <w:rsid w:val="00B11AC3"/>
    <w:rsid w:val="00B5045D"/>
    <w:rsid w:val="00BA17BE"/>
    <w:rsid w:val="00BA707C"/>
    <w:rsid w:val="00BD5572"/>
    <w:rsid w:val="00BD6ED1"/>
    <w:rsid w:val="00BE54FC"/>
    <w:rsid w:val="00C071DF"/>
    <w:rsid w:val="00C17225"/>
    <w:rsid w:val="00C400FD"/>
    <w:rsid w:val="00C47F8E"/>
    <w:rsid w:val="00C608A5"/>
    <w:rsid w:val="00C70DB8"/>
    <w:rsid w:val="00C715CC"/>
    <w:rsid w:val="00C86566"/>
    <w:rsid w:val="00C8724A"/>
    <w:rsid w:val="00C92AA1"/>
    <w:rsid w:val="00C958B9"/>
    <w:rsid w:val="00CC2700"/>
    <w:rsid w:val="00CC78C9"/>
    <w:rsid w:val="00CC7D67"/>
    <w:rsid w:val="00CD6692"/>
    <w:rsid w:val="00CE00C0"/>
    <w:rsid w:val="00D70D78"/>
    <w:rsid w:val="00D71B4D"/>
    <w:rsid w:val="00D93D55"/>
    <w:rsid w:val="00DD545A"/>
    <w:rsid w:val="00DE6DF2"/>
    <w:rsid w:val="00DF7C9C"/>
    <w:rsid w:val="00E17984"/>
    <w:rsid w:val="00E242B0"/>
    <w:rsid w:val="00E30BAE"/>
    <w:rsid w:val="00E547E6"/>
    <w:rsid w:val="00E5509D"/>
    <w:rsid w:val="00E73983"/>
    <w:rsid w:val="00E81480"/>
    <w:rsid w:val="00E91F42"/>
    <w:rsid w:val="00EA01CA"/>
    <w:rsid w:val="00EC3D63"/>
    <w:rsid w:val="00EC4A93"/>
    <w:rsid w:val="00ED663D"/>
    <w:rsid w:val="00EE6A13"/>
    <w:rsid w:val="00EF1D84"/>
    <w:rsid w:val="00EF2C66"/>
    <w:rsid w:val="00F06445"/>
    <w:rsid w:val="00F06C81"/>
    <w:rsid w:val="00F128FE"/>
    <w:rsid w:val="00F17EFC"/>
    <w:rsid w:val="00F20661"/>
    <w:rsid w:val="00F22750"/>
    <w:rsid w:val="00F379E5"/>
    <w:rsid w:val="00F6018B"/>
    <w:rsid w:val="00F66152"/>
    <w:rsid w:val="00F66ADD"/>
    <w:rsid w:val="00F72018"/>
    <w:rsid w:val="00F8614D"/>
    <w:rsid w:val="00FA0205"/>
    <w:rsid w:val="00FB2285"/>
    <w:rsid w:val="00FD19F0"/>
    <w:rsid w:val="00FD5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7225"/>
    <w:rPr>
      <w:rFonts w:ascii="Arial" w:eastAsia="SimSun" w:hAnsi="Arial" w:cs="Arial"/>
      <w:sz w:val="22"/>
      <w:lang w:eastAsia="zh-CN"/>
    </w:rPr>
  </w:style>
  <w:style w:type="paragraph" w:styleId="Heading1">
    <w:name w:val="heading 1"/>
    <w:basedOn w:val="Normal"/>
    <w:next w:val="Normal"/>
    <w:qFormat/>
    <w:rsid w:val="00C17225"/>
    <w:pPr>
      <w:keepNext/>
      <w:spacing w:before="240" w:after="60"/>
      <w:outlineLvl w:val="0"/>
    </w:pPr>
    <w:rPr>
      <w:b/>
      <w:bCs/>
      <w:caps/>
      <w:kern w:val="32"/>
      <w:szCs w:val="32"/>
    </w:rPr>
  </w:style>
  <w:style w:type="paragraph" w:styleId="Heading2">
    <w:name w:val="heading 2"/>
    <w:basedOn w:val="Normal"/>
    <w:next w:val="Normal"/>
    <w:qFormat/>
    <w:rsid w:val="00C17225"/>
    <w:pPr>
      <w:keepNext/>
      <w:spacing w:before="240" w:after="60"/>
      <w:outlineLvl w:val="1"/>
    </w:pPr>
    <w:rPr>
      <w:bCs/>
      <w:iCs/>
      <w:caps/>
      <w:szCs w:val="28"/>
    </w:rPr>
  </w:style>
  <w:style w:type="paragraph" w:styleId="Heading3">
    <w:name w:val="heading 3"/>
    <w:basedOn w:val="Normal"/>
    <w:next w:val="Normal"/>
    <w:qFormat/>
    <w:rsid w:val="00C17225"/>
    <w:pPr>
      <w:keepNext/>
      <w:spacing w:before="240" w:after="60"/>
      <w:outlineLvl w:val="2"/>
    </w:pPr>
    <w:rPr>
      <w:bCs/>
      <w:szCs w:val="26"/>
      <w:u w:val="single"/>
    </w:rPr>
  </w:style>
  <w:style w:type="paragraph" w:styleId="Heading4">
    <w:name w:val="heading 4"/>
    <w:basedOn w:val="Normal"/>
    <w:next w:val="Normal"/>
    <w:qFormat/>
    <w:rsid w:val="00C17225"/>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17225"/>
    <w:pPr>
      <w:spacing w:after="220"/>
    </w:pPr>
  </w:style>
  <w:style w:type="paragraph" w:styleId="Caption">
    <w:name w:val="caption"/>
    <w:basedOn w:val="Normal"/>
    <w:next w:val="Normal"/>
    <w:qFormat/>
    <w:rsid w:val="00C17225"/>
    <w:rPr>
      <w:b/>
      <w:bCs/>
      <w:sz w:val="18"/>
    </w:rPr>
  </w:style>
  <w:style w:type="paragraph" w:styleId="CommentText">
    <w:name w:val="annotation text"/>
    <w:basedOn w:val="Normal"/>
    <w:link w:val="CommentTextChar"/>
    <w:semiHidden/>
    <w:rsid w:val="00C17225"/>
    <w:rPr>
      <w:sz w:val="18"/>
    </w:rPr>
  </w:style>
  <w:style w:type="paragraph" w:styleId="EndnoteText">
    <w:name w:val="endnote text"/>
    <w:basedOn w:val="Normal"/>
    <w:semiHidden/>
    <w:rsid w:val="00C17225"/>
    <w:rPr>
      <w:sz w:val="18"/>
    </w:rPr>
  </w:style>
  <w:style w:type="paragraph" w:styleId="Footer">
    <w:name w:val="footer"/>
    <w:basedOn w:val="Normal"/>
    <w:semiHidden/>
    <w:rsid w:val="00C17225"/>
    <w:pPr>
      <w:tabs>
        <w:tab w:val="center" w:pos="4320"/>
        <w:tab w:val="right" w:pos="8640"/>
      </w:tabs>
    </w:pPr>
  </w:style>
  <w:style w:type="paragraph" w:styleId="FootnoteText">
    <w:name w:val="footnote text"/>
    <w:basedOn w:val="Normal"/>
    <w:semiHidden/>
    <w:rsid w:val="00C17225"/>
    <w:rPr>
      <w:sz w:val="18"/>
    </w:rPr>
  </w:style>
  <w:style w:type="paragraph" w:customStyle="1" w:styleId="Endofdocument-Annex">
    <w:name w:val="[End of document - Annex]"/>
    <w:basedOn w:val="Normal"/>
    <w:rsid w:val="00715A6B"/>
    <w:pPr>
      <w:ind w:left="5534"/>
    </w:pPr>
  </w:style>
  <w:style w:type="paragraph" w:styleId="Header">
    <w:name w:val="header"/>
    <w:basedOn w:val="Normal"/>
    <w:semiHidden/>
    <w:rsid w:val="00C17225"/>
    <w:pPr>
      <w:tabs>
        <w:tab w:val="center" w:pos="4536"/>
        <w:tab w:val="right" w:pos="9072"/>
      </w:tabs>
    </w:pPr>
  </w:style>
  <w:style w:type="paragraph" w:styleId="ListNumber">
    <w:name w:val="List Number"/>
    <w:basedOn w:val="Normal"/>
    <w:semiHidden/>
    <w:rsid w:val="00C17225"/>
    <w:pPr>
      <w:numPr>
        <w:numId w:val="4"/>
      </w:numPr>
    </w:pPr>
  </w:style>
  <w:style w:type="paragraph" w:customStyle="1" w:styleId="ONUME">
    <w:name w:val="ONUM E"/>
    <w:basedOn w:val="BodyText"/>
    <w:rsid w:val="00C17225"/>
    <w:pPr>
      <w:numPr>
        <w:numId w:val="5"/>
      </w:numPr>
    </w:pPr>
  </w:style>
  <w:style w:type="paragraph" w:customStyle="1" w:styleId="ONUMFS">
    <w:name w:val="ONUM FS"/>
    <w:basedOn w:val="BodyText"/>
    <w:rsid w:val="00C17225"/>
    <w:pPr>
      <w:numPr>
        <w:numId w:val="6"/>
      </w:numPr>
    </w:pPr>
  </w:style>
  <w:style w:type="paragraph" w:styleId="Salutation">
    <w:name w:val="Salutation"/>
    <w:basedOn w:val="Normal"/>
    <w:next w:val="Normal"/>
    <w:semiHidden/>
    <w:rsid w:val="00C17225"/>
  </w:style>
  <w:style w:type="paragraph" w:styleId="Signature">
    <w:name w:val="Signature"/>
    <w:basedOn w:val="Normal"/>
    <w:semiHidden/>
    <w:rsid w:val="00C17225"/>
    <w:pPr>
      <w:ind w:left="5250"/>
    </w:pPr>
  </w:style>
  <w:style w:type="paragraph" w:styleId="BalloonText">
    <w:name w:val="Balloon Text"/>
    <w:basedOn w:val="Normal"/>
    <w:link w:val="BalloonTextChar"/>
    <w:rsid w:val="005A53F4"/>
    <w:rPr>
      <w:rFonts w:ascii="Tahoma" w:hAnsi="Tahoma" w:cs="Tahoma"/>
      <w:sz w:val="16"/>
      <w:szCs w:val="16"/>
    </w:rPr>
  </w:style>
  <w:style w:type="character" w:customStyle="1" w:styleId="BalloonTextChar">
    <w:name w:val="Balloon Text Char"/>
    <w:link w:val="BalloonText"/>
    <w:rsid w:val="005A53F4"/>
    <w:rPr>
      <w:rFonts w:ascii="Tahoma" w:eastAsia="SimSun" w:hAnsi="Tahoma" w:cs="Tahoma"/>
      <w:sz w:val="16"/>
      <w:szCs w:val="16"/>
      <w:lang w:eastAsia="zh-CN"/>
    </w:rPr>
  </w:style>
  <w:style w:type="character" w:styleId="Hyperlink">
    <w:name w:val="Hyperlink"/>
    <w:uiPriority w:val="99"/>
    <w:unhideWhenUsed/>
    <w:rsid w:val="002F73AD"/>
    <w:rPr>
      <w:color w:val="0000FF"/>
      <w:u w:val="single"/>
    </w:rPr>
  </w:style>
  <w:style w:type="character" w:styleId="FootnoteReference">
    <w:name w:val="footnote reference"/>
    <w:basedOn w:val="DefaultParagraphFont"/>
    <w:rsid w:val="00385E79"/>
    <w:rPr>
      <w:vertAlign w:val="superscript"/>
    </w:rPr>
  </w:style>
  <w:style w:type="character" w:styleId="CommentReference">
    <w:name w:val="annotation reference"/>
    <w:basedOn w:val="DefaultParagraphFont"/>
    <w:rsid w:val="009317B5"/>
    <w:rPr>
      <w:sz w:val="16"/>
      <w:szCs w:val="16"/>
    </w:rPr>
  </w:style>
  <w:style w:type="paragraph" w:styleId="CommentSubject">
    <w:name w:val="annotation subject"/>
    <w:basedOn w:val="CommentText"/>
    <w:next w:val="CommentText"/>
    <w:link w:val="CommentSubjectChar"/>
    <w:rsid w:val="009317B5"/>
    <w:rPr>
      <w:b/>
      <w:bCs/>
      <w:sz w:val="20"/>
    </w:rPr>
  </w:style>
  <w:style w:type="character" w:customStyle="1" w:styleId="CommentTextChar">
    <w:name w:val="Comment Text Char"/>
    <w:basedOn w:val="DefaultParagraphFont"/>
    <w:link w:val="CommentText"/>
    <w:semiHidden/>
    <w:rsid w:val="009317B5"/>
    <w:rPr>
      <w:rFonts w:ascii="Arial" w:eastAsia="SimSun" w:hAnsi="Arial" w:cs="Arial"/>
      <w:sz w:val="18"/>
      <w:lang w:eastAsia="zh-CN"/>
    </w:rPr>
  </w:style>
  <w:style w:type="character" w:customStyle="1" w:styleId="CommentSubjectChar">
    <w:name w:val="Comment Subject Char"/>
    <w:basedOn w:val="CommentTextChar"/>
    <w:link w:val="CommentSubject"/>
    <w:rsid w:val="009317B5"/>
    <w:rPr>
      <w:rFonts w:ascii="Arial" w:eastAsia="SimSun" w:hAnsi="Arial" w:cs="Arial"/>
      <w:b/>
      <w:bCs/>
      <w:sz w:val="18"/>
      <w:lang w:eastAsia="zh-CN"/>
    </w:rPr>
  </w:style>
  <w:style w:type="character" w:styleId="EndnoteReference">
    <w:name w:val="endnote reference"/>
    <w:basedOn w:val="DefaultParagraphFont"/>
    <w:rsid w:val="00EC4A9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7225"/>
    <w:rPr>
      <w:rFonts w:ascii="Arial" w:eastAsia="SimSun" w:hAnsi="Arial" w:cs="Arial"/>
      <w:sz w:val="22"/>
      <w:lang w:eastAsia="zh-CN"/>
    </w:rPr>
  </w:style>
  <w:style w:type="paragraph" w:styleId="Heading1">
    <w:name w:val="heading 1"/>
    <w:basedOn w:val="Normal"/>
    <w:next w:val="Normal"/>
    <w:qFormat/>
    <w:rsid w:val="00C17225"/>
    <w:pPr>
      <w:keepNext/>
      <w:spacing w:before="240" w:after="60"/>
      <w:outlineLvl w:val="0"/>
    </w:pPr>
    <w:rPr>
      <w:b/>
      <w:bCs/>
      <w:caps/>
      <w:kern w:val="32"/>
      <w:szCs w:val="32"/>
    </w:rPr>
  </w:style>
  <w:style w:type="paragraph" w:styleId="Heading2">
    <w:name w:val="heading 2"/>
    <w:basedOn w:val="Normal"/>
    <w:next w:val="Normal"/>
    <w:qFormat/>
    <w:rsid w:val="00C17225"/>
    <w:pPr>
      <w:keepNext/>
      <w:spacing w:before="240" w:after="60"/>
      <w:outlineLvl w:val="1"/>
    </w:pPr>
    <w:rPr>
      <w:bCs/>
      <w:iCs/>
      <w:caps/>
      <w:szCs w:val="28"/>
    </w:rPr>
  </w:style>
  <w:style w:type="paragraph" w:styleId="Heading3">
    <w:name w:val="heading 3"/>
    <w:basedOn w:val="Normal"/>
    <w:next w:val="Normal"/>
    <w:qFormat/>
    <w:rsid w:val="00C17225"/>
    <w:pPr>
      <w:keepNext/>
      <w:spacing w:before="240" w:after="60"/>
      <w:outlineLvl w:val="2"/>
    </w:pPr>
    <w:rPr>
      <w:bCs/>
      <w:szCs w:val="26"/>
      <w:u w:val="single"/>
    </w:rPr>
  </w:style>
  <w:style w:type="paragraph" w:styleId="Heading4">
    <w:name w:val="heading 4"/>
    <w:basedOn w:val="Normal"/>
    <w:next w:val="Normal"/>
    <w:qFormat/>
    <w:rsid w:val="00C17225"/>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17225"/>
    <w:pPr>
      <w:spacing w:after="220"/>
    </w:pPr>
  </w:style>
  <w:style w:type="paragraph" w:styleId="Caption">
    <w:name w:val="caption"/>
    <w:basedOn w:val="Normal"/>
    <w:next w:val="Normal"/>
    <w:qFormat/>
    <w:rsid w:val="00C17225"/>
    <w:rPr>
      <w:b/>
      <w:bCs/>
      <w:sz w:val="18"/>
    </w:rPr>
  </w:style>
  <w:style w:type="paragraph" w:styleId="CommentText">
    <w:name w:val="annotation text"/>
    <w:basedOn w:val="Normal"/>
    <w:link w:val="CommentTextChar"/>
    <w:semiHidden/>
    <w:rsid w:val="00C17225"/>
    <w:rPr>
      <w:sz w:val="18"/>
    </w:rPr>
  </w:style>
  <w:style w:type="paragraph" w:styleId="EndnoteText">
    <w:name w:val="endnote text"/>
    <w:basedOn w:val="Normal"/>
    <w:semiHidden/>
    <w:rsid w:val="00C17225"/>
    <w:rPr>
      <w:sz w:val="18"/>
    </w:rPr>
  </w:style>
  <w:style w:type="paragraph" w:styleId="Footer">
    <w:name w:val="footer"/>
    <w:basedOn w:val="Normal"/>
    <w:semiHidden/>
    <w:rsid w:val="00C17225"/>
    <w:pPr>
      <w:tabs>
        <w:tab w:val="center" w:pos="4320"/>
        <w:tab w:val="right" w:pos="8640"/>
      </w:tabs>
    </w:pPr>
  </w:style>
  <w:style w:type="paragraph" w:styleId="FootnoteText">
    <w:name w:val="footnote text"/>
    <w:basedOn w:val="Normal"/>
    <w:semiHidden/>
    <w:rsid w:val="00C17225"/>
    <w:rPr>
      <w:sz w:val="18"/>
    </w:rPr>
  </w:style>
  <w:style w:type="paragraph" w:customStyle="1" w:styleId="Endofdocument-Annex">
    <w:name w:val="[End of document - Annex]"/>
    <w:basedOn w:val="Normal"/>
    <w:rsid w:val="00715A6B"/>
    <w:pPr>
      <w:ind w:left="5534"/>
    </w:pPr>
  </w:style>
  <w:style w:type="paragraph" w:styleId="Header">
    <w:name w:val="header"/>
    <w:basedOn w:val="Normal"/>
    <w:semiHidden/>
    <w:rsid w:val="00C17225"/>
    <w:pPr>
      <w:tabs>
        <w:tab w:val="center" w:pos="4536"/>
        <w:tab w:val="right" w:pos="9072"/>
      </w:tabs>
    </w:pPr>
  </w:style>
  <w:style w:type="paragraph" w:styleId="ListNumber">
    <w:name w:val="List Number"/>
    <w:basedOn w:val="Normal"/>
    <w:semiHidden/>
    <w:rsid w:val="00C17225"/>
    <w:pPr>
      <w:numPr>
        <w:numId w:val="4"/>
      </w:numPr>
    </w:pPr>
  </w:style>
  <w:style w:type="paragraph" w:customStyle="1" w:styleId="ONUME">
    <w:name w:val="ONUM E"/>
    <w:basedOn w:val="BodyText"/>
    <w:rsid w:val="00C17225"/>
    <w:pPr>
      <w:numPr>
        <w:numId w:val="5"/>
      </w:numPr>
    </w:pPr>
  </w:style>
  <w:style w:type="paragraph" w:customStyle="1" w:styleId="ONUMFS">
    <w:name w:val="ONUM FS"/>
    <w:basedOn w:val="BodyText"/>
    <w:rsid w:val="00C17225"/>
    <w:pPr>
      <w:numPr>
        <w:numId w:val="6"/>
      </w:numPr>
    </w:pPr>
  </w:style>
  <w:style w:type="paragraph" w:styleId="Salutation">
    <w:name w:val="Salutation"/>
    <w:basedOn w:val="Normal"/>
    <w:next w:val="Normal"/>
    <w:semiHidden/>
    <w:rsid w:val="00C17225"/>
  </w:style>
  <w:style w:type="paragraph" w:styleId="Signature">
    <w:name w:val="Signature"/>
    <w:basedOn w:val="Normal"/>
    <w:semiHidden/>
    <w:rsid w:val="00C17225"/>
    <w:pPr>
      <w:ind w:left="5250"/>
    </w:pPr>
  </w:style>
  <w:style w:type="paragraph" w:styleId="BalloonText">
    <w:name w:val="Balloon Text"/>
    <w:basedOn w:val="Normal"/>
    <w:link w:val="BalloonTextChar"/>
    <w:rsid w:val="005A53F4"/>
    <w:rPr>
      <w:rFonts w:ascii="Tahoma" w:hAnsi="Tahoma" w:cs="Tahoma"/>
      <w:sz w:val="16"/>
      <w:szCs w:val="16"/>
    </w:rPr>
  </w:style>
  <w:style w:type="character" w:customStyle="1" w:styleId="BalloonTextChar">
    <w:name w:val="Balloon Text Char"/>
    <w:link w:val="BalloonText"/>
    <w:rsid w:val="005A53F4"/>
    <w:rPr>
      <w:rFonts w:ascii="Tahoma" w:eastAsia="SimSun" w:hAnsi="Tahoma" w:cs="Tahoma"/>
      <w:sz w:val="16"/>
      <w:szCs w:val="16"/>
      <w:lang w:eastAsia="zh-CN"/>
    </w:rPr>
  </w:style>
  <w:style w:type="character" w:styleId="Hyperlink">
    <w:name w:val="Hyperlink"/>
    <w:uiPriority w:val="99"/>
    <w:unhideWhenUsed/>
    <w:rsid w:val="002F73AD"/>
    <w:rPr>
      <w:color w:val="0000FF"/>
      <w:u w:val="single"/>
    </w:rPr>
  </w:style>
  <w:style w:type="character" w:styleId="FootnoteReference">
    <w:name w:val="footnote reference"/>
    <w:basedOn w:val="DefaultParagraphFont"/>
    <w:rsid w:val="00385E79"/>
    <w:rPr>
      <w:vertAlign w:val="superscript"/>
    </w:rPr>
  </w:style>
  <w:style w:type="character" w:styleId="CommentReference">
    <w:name w:val="annotation reference"/>
    <w:basedOn w:val="DefaultParagraphFont"/>
    <w:rsid w:val="009317B5"/>
    <w:rPr>
      <w:sz w:val="16"/>
      <w:szCs w:val="16"/>
    </w:rPr>
  </w:style>
  <w:style w:type="paragraph" w:styleId="CommentSubject">
    <w:name w:val="annotation subject"/>
    <w:basedOn w:val="CommentText"/>
    <w:next w:val="CommentText"/>
    <w:link w:val="CommentSubjectChar"/>
    <w:rsid w:val="009317B5"/>
    <w:rPr>
      <w:b/>
      <w:bCs/>
      <w:sz w:val="20"/>
    </w:rPr>
  </w:style>
  <w:style w:type="character" w:customStyle="1" w:styleId="CommentTextChar">
    <w:name w:val="Comment Text Char"/>
    <w:basedOn w:val="DefaultParagraphFont"/>
    <w:link w:val="CommentText"/>
    <w:semiHidden/>
    <w:rsid w:val="009317B5"/>
    <w:rPr>
      <w:rFonts w:ascii="Arial" w:eastAsia="SimSun" w:hAnsi="Arial" w:cs="Arial"/>
      <w:sz w:val="18"/>
      <w:lang w:eastAsia="zh-CN"/>
    </w:rPr>
  </w:style>
  <w:style w:type="character" w:customStyle="1" w:styleId="CommentSubjectChar">
    <w:name w:val="Comment Subject Char"/>
    <w:basedOn w:val="CommentTextChar"/>
    <w:link w:val="CommentSubject"/>
    <w:rsid w:val="009317B5"/>
    <w:rPr>
      <w:rFonts w:ascii="Arial" w:eastAsia="SimSun" w:hAnsi="Arial" w:cs="Arial"/>
      <w:b/>
      <w:bCs/>
      <w:sz w:val="18"/>
      <w:lang w:eastAsia="zh-CN"/>
    </w:rPr>
  </w:style>
  <w:style w:type="character" w:styleId="EndnoteReference">
    <w:name w:val="endnote reference"/>
    <w:basedOn w:val="DefaultParagraphFont"/>
    <w:rsid w:val="00EC4A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36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Qidian.com"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ifpi.org/global-statistics.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WIPO%20GDCM%20GE%2016%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6FE06-CD13-4C76-A488-AB9EDE3A0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GDCM GE 16 (E)</Template>
  <TotalTime>3</TotalTime>
  <Pages>7</Pages>
  <Words>2503</Words>
  <Characters>13154</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WIPO/GDCM/GE/16/</vt:lpstr>
    </vt:vector>
  </TitlesOfParts>
  <Company>WIPO</Company>
  <LinksUpToDate>false</LinksUpToDate>
  <CharactersWithSpaces>15626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WIPO/GDCM/GE/16/</dc:title>
  <dc:creator>MARIN-CUDRAZ DAVI Nicoletta</dc:creator>
  <cp:lastModifiedBy>WICKREMASINGHE Nayana</cp:lastModifiedBy>
  <cp:revision>3</cp:revision>
  <cp:lastPrinted>2016-03-08T08:17:00Z</cp:lastPrinted>
  <dcterms:created xsi:type="dcterms:W3CDTF">2016-04-01T13:40:00Z</dcterms:created>
  <dcterms:modified xsi:type="dcterms:W3CDTF">2016-04-01T14:49:00Z</dcterms:modified>
</cp:coreProperties>
</file>