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364C5" w14:textId="77777777" w:rsidR="00B03DCB" w:rsidRPr="00DD6BE4" w:rsidRDefault="00B03DCB" w:rsidP="00B03DCB">
      <w:pPr>
        <w:widowControl w:val="0"/>
        <w:jc w:val="right"/>
        <w:rPr>
          <w:b/>
          <w:sz w:val="2"/>
          <w:szCs w:val="40"/>
          <w:lang w:val="es-ES_tradnl"/>
        </w:rPr>
      </w:pPr>
      <w:r w:rsidRPr="00DD6BE4">
        <w:rPr>
          <w:b/>
          <w:sz w:val="40"/>
          <w:szCs w:val="40"/>
          <w:lang w:val="es-ES_tradnl"/>
        </w:rPr>
        <w:t>S</w:t>
      </w:r>
    </w:p>
    <w:p w14:paraId="4A6DA53E" w14:textId="4A6D2956" w:rsidR="00B03DCB" w:rsidRPr="00DD6BE4" w:rsidRDefault="00B03DCB" w:rsidP="00B03DCB">
      <w:pPr>
        <w:spacing w:line="360" w:lineRule="auto"/>
        <w:ind w:left="4592"/>
        <w:rPr>
          <w:rFonts w:ascii="Arial Black" w:hAnsi="Arial Black"/>
          <w:caps/>
          <w:sz w:val="15"/>
          <w:lang w:val="es-ES_tradnl"/>
        </w:rPr>
      </w:pPr>
      <w:r w:rsidRPr="00DD6BE4">
        <w:rPr>
          <w:noProof/>
          <w:lang w:eastAsia="en-US"/>
        </w:rPr>
        <w:drawing>
          <wp:inline distT="0" distB="0" distL="0" distR="0" wp14:anchorId="2E593282" wp14:editId="40BA6979">
            <wp:extent cx="1860550" cy="1329055"/>
            <wp:effectExtent l="0" t="0" r="0" b="0"/>
            <wp:docPr id="2" name="Picture 2" descr="Las líneas curvas ascendentes del logotipo de la Organización Mundial de la Propiedad Intelectual evocan el progreso humano impulsado por la innovación y la creatividad." title="Logotipo de la OMPI, Organización Mundial de la Propiedad Intelectual"/>
            <wp:cNvGraphicFramePr/>
            <a:graphic xmlns:a="http://schemas.openxmlformats.org/drawingml/2006/main">
              <a:graphicData uri="http://schemas.openxmlformats.org/drawingml/2006/picture">
                <pic:pic xmlns:pic="http://schemas.openxmlformats.org/drawingml/2006/picture">
                  <pic:nvPicPr>
                    <pic:cNvPr id="1" name="Picture 1" descr="Las líneas curvas ascendentes del logotipo de la Organización Mundial de la Propiedad Intelectual evocan el progreso humano impulsado por la innovación y la creatividad." title="Logotipo de la OMPI, Organización Mundial de la Propiedad Intelectual"/>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6B6926E5" w14:textId="3509E8FD" w:rsidR="00B03DCB" w:rsidRPr="00DD6BE4" w:rsidRDefault="00B03DCB" w:rsidP="00B03DCB">
      <w:pPr>
        <w:pBdr>
          <w:top w:val="single" w:sz="4" w:space="10" w:color="auto"/>
        </w:pBdr>
        <w:spacing w:before="120"/>
        <w:jc w:val="right"/>
        <w:rPr>
          <w:rFonts w:ascii="Arial Black" w:hAnsi="Arial Black"/>
          <w:b/>
          <w:caps/>
          <w:sz w:val="15"/>
          <w:lang w:val="es-ES_tradnl"/>
        </w:rPr>
      </w:pPr>
      <w:r w:rsidRPr="00DD6BE4">
        <w:rPr>
          <w:rFonts w:ascii="Arial Black" w:hAnsi="Arial Black"/>
          <w:b/>
          <w:caps/>
          <w:sz w:val="15"/>
          <w:lang w:val="es-ES_tradnl"/>
        </w:rPr>
        <w:t>CDIP/25/</w:t>
      </w:r>
      <w:bookmarkStart w:id="0" w:name="Code"/>
      <w:bookmarkEnd w:id="0"/>
      <w:r w:rsidRPr="00DD6BE4">
        <w:rPr>
          <w:rFonts w:ascii="Arial Black" w:hAnsi="Arial Black"/>
          <w:b/>
          <w:caps/>
          <w:sz w:val="15"/>
          <w:lang w:val="es-ES_tradnl"/>
        </w:rPr>
        <w:t>9 REV.</w:t>
      </w:r>
    </w:p>
    <w:p w14:paraId="3C060432" w14:textId="77777777" w:rsidR="00B03DCB" w:rsidRPr="00DD6BE4" w:rsidRDefault="00B03DCB" w:rsidP="00B03DCB">
      <w:pPr>
        <w:jc w:val="right"/>
        <w:rPr>
          <w:rFonts w:ascii="Arial Black" w:hAnsi="Arial Black"/>
          <w:b/>
          <w:caps/>
          <w:sz w:val="15"/>
          <w:lang w:val="es-ES_tradnl"/>
        </w:rPr>
      </w:pPr>
      <w:r w:rsidRPr="00DD6BE4">
        <w:rPr>
          <w:rFonts w:ascii="Arial Black" w:hAnsi="Arial Black"/>
          <w:b/>
          <w:caps/>
          <w:sz w:val="15"/>
          <w:lang w:val="es-ES_tradnl"/>
        </w:rPr>
        <w:t>ORIGINAL:</w:t>
      </w:r>
      <w:bookmarkStart w:id="1" w:name="Original"/>
      <w:bookmarkEnd w:id="1"/>
      <w:r w:rsidRPr="00DD6BE4">
        <w:rPr>
          <w:rFonts w:ascii="Arial Black" w:hAnsi="Arial Black"/>
          <w:b/>
          <w:caps/>
          <w:sz w:val="15"/>
          <w:lang w:val="es-ES_tradnl"/>
        </w:rPr>
        <w:t xml:space="preserve"> INGLÉS</w:t>
      </w:r>
    </w:p>
    <w:p w14:paraId="4DDBC64F" w14:textId="4DBBC418" w:rsidR="00B03DCB" w:rsidRPr="00DD6BE4" w:rsidRDefault="00B03DCB" w:rsidP="00B03DCB">
      <w:pPr>
        <w:spacing w:line="1680" w:lineRule="auto"/>
        <w:jc w:val="right"/>
        <w:rPr>
          <w:rFonts w:ascii="Arial Black" w:hAnsi="Arial Black"/>
          <w:b/>
          <w:caps/>
          <w:sz w:val="15"/>
          <w:lang w:val="es-ES_tradnl"/>
        </w:rPr>
      </w:pPr>
      <w:r w:rsidRPr="00DD6BE4">
        <w:rPr>
          <w:rFonts w:ascii="Arial Black" w:hAnsi="Arial Black"/>
          <w:b/>
          <w:caps/>
          <w:sz w:val="15"/>
          <w:lang w:val="es-ES_tradnl"/>
        </w:rPr>
        <w:t>FECHA:</w:t>
      </w:r>
      <w:bookmarkStart w:id="2" w:name="Date"/>
      <w:bookmarkEnd w:id="2"/>
      <w:r w:rsidRPr="00DD6BE4">
        <w:rPr>
          <w:rFonts w:ascii="Arial Black" w:hAnsi="Arial Black"/>
          <w:b/>
          <w:caps/>
          <w:sz w:val="15"/>
          <w:lang w:val="es-ES_tradnl"/>
        </w:rPr>
        <w:t xml:space="preserve"> 3 DE MAYO DE 202</w:t>
      </w:r>
      <w:r w:rsidR="00AB4F4D">
        <w:rPr>
          <w:rFonts w:ascii="Arial Black" w:hAnsi="Arial Black"/>
          <w:b/>
          <w:caps/>
          <w:sz w:val="15"/>
          <w:lang w:val="es-ES_tradnl"/>
        </w:rPr>
        <w:t>2</w:t>
      </w:r>
    </w:p>
    <w:p w14:paraId="739FC9F0" w14:textId="1A2C86C0" w:rsidR="006C2497" w:rsidRPr="00DD6BE4" w:rsidRDefault="006C2497" w:rsidP="006C2497">
      <w:pPr>
        <w:spacing w:before="1000" w:after="600"/>
        <w:outlineLvl w:val="0"/>
        <w:rPr>
          <w:b/>
          <w:sz w:val="28"/>
          <w:szCs w:val="28"/>
          <w:lang w:val="es-ES_tradnl"/>
        </w:rPr>
      </w:pPr>
      <w:r w:rsidRPr="00DD6BE4">
        <w:rPr>
          <w:b/>
          <w:sz w:val="28"/>
          <w:szCs w:val="28"/>
          <w:lang w:val="es-ES_tradnl"/>
        </w:rPr>
        <w:t>Com</w:t>
      </w:r>
      <w:r w:rsidR="009E55C2" w:rsidRPr="00DD6BE4">
        <w:rPr>
          <w:b/>
          <w:sz w:val="28"/>
          <w:szCs w:val="28"/>
          <w:lang w:val="es-ES_tradnl"/>
        </w:rPr>
        <w:t>ité de Desarrollo y Propiedad Intelectual (CDIP)</w:t>
      </w:r>
    </w:p>
    <w:p w14:paraId="5412E1F0" w14:textId="1D0B5BBF" w:rsidR="006C2497" w:rsidRPr="00DD6BE4" w:rsidRDefault="009F550C" w:rsidP="006C2497">
      <w:pPr>
        <w:outlineLvl w:val="0"/>
        <w:rPr>
          <w:b/>
          <w:sz w:val="24"/>
          <w:szCs w:val="24"/>
          <w:lang w:val="es-ES_tradnl"/>
        </w:rPr>
      </w:pPr>
      <w:r w:rsidRPr="00DD6BE4">
        <w:rPr>
          <w:b/>
          <w:sz w:val="24"/>
          <w:szCs w:val="24"/>
          <w:lang w:val="es-ES_tradnl"/>
        </w:rPr>
        <w:t>Vigesimo</w:t>
      </w:r>
      <w:r w:rsidR="005E6891" w:rsidRPr="00DD6BE4">
        <w:rPr>
          <w:b/>
          <w:sz w:val="24"/>
          <w:szCs w:val="24"/>
          <w:lang w:val="es-ES_tradnl"/>
        </w:rPr>
        <w:t>ctava</w:t>
      </w:r>
      <w:r w:rsidRPr="00DD6BE4">
        <w:rPr>
          <w:b/>
          <w:sz w:val="24"/>
          <w:szCs w:val="24"/>
          <w:lang w:val="es-ES_tradnl"/>
        </w:rPr>
        <w:t xml:space="preserve"> sesión</w:t>
      </w:r>
    </w:p>
    <w:p w14:paraId="7372A7CD" w14:textId="7FFFF907" w:rsidR="006C2497" w:rsidRPr="00DD6BE4" w:rsidRDefault="0032220D" w:rsidP="006C2497">
      <w:pPr>
        <w:spacing w:after="720"/>
        <w:outlineLvl w:val="0"/>
        <w:rPr>
          <w:b/>
          <w:sz w:val="24"/>
          <w:szCs w:val="24"/>
          <w:lang w:val="es-ES_tradnl"/>
        </w:rPr>
      </w:pPr>
      <w:r w:rsidRPr="00DD6BE4">
        <w:rPr>
          <w:b/>
          <w:sz w:val="24"/>
          <w:szCs w:val="24"/>
          <w:lang w:val="es-ES_tradnl"/>
        </w:rPr>
        <w:t>G</w:t>
      </w:r>
      <w:r w:rsidR="009F550C" w:rsidRPr="00DD6BE4">
        <w:rPr>
          <w:b/>
          <w:sz w:val="24"/>
          <w:szCs w:val="24"/>
          <w:lang w:val="es-ES_tradnl"/>
        </w:rPr>
        <w:t xml:space="preserve">inebra, 16 a 20 de mayo de </w:t>
      </w:r>
      <w:r w:rsidRPr="00DD6BE4">
        <w:rPr>
          <w:b/>
          <w:sz w:val="24"/>
          <w:szCs w:val="24"/>
          <w:lang w:val="es-ES_tradnl"/>
        </w:rPr>
        <w:t>2022</w:t>
      </w:r>
    </w:p>
    <w:p w14:paraId="109C47BB" w14:textId="788E1A8F" w:rsidR="006C2497" w:rsidRPr="00DD6BE4" w:rsidRDefault="009F550C" w:rsidP="009C553B">
      <w:pPr>
        <w:pStyle w:val="Heading1"/>
        <w:rPr>
          <w:i/>
          <w:caps w:val="0"/>
          <w:sz w:val="24"/>
          <w:szCs w:val="24"/>
          <w:lang w:val="es-ES_tradnl"/>
        </w:rPr>
      </w:pPr>
      <w:bookmarkStart w:id="3" w:name="TitleOfDoc"/>
      <w:bookmarkStart w:id="4" w:name="Prepared"/>
      <w:bookmarkEnd w:id="3"/>
      <w:bookmarkEnd w:id="4"/>
      <w:r w:rsidRPr="00DD6BE4">
        <w:rPr>
          <w:sz w:val="24"/>
          <w:szCs w:val="24"/>
          <w:lang w:val="es-ES_tradnl"/>
        </w:rPr>
        <w:t xml:space="preserve">DOCUMENTO REVISADO </w:t>
      </w:r>
      <w:r w:rsidR="002D29EE" w:rsidRPr="00DD6BE4">
        <w:rPr>
          <w:sz w:val="24"/>
          <w:szCs w:val="24"/>
          <w:lang w:val="es-ES_tradnl"/>
        </w:rPr>
        <w:t xml:space="preserve">sobre </w:t>
      </w:r>
      <w:r w:rsidRPr="00DD6BE4">
        <w:rPr>
          <w:sz w:val="24"/>
          <w:szCs w:val="24"/>
          <w:lang w:val="es-ES_tradnl"/>
        </w:rPr>
        <w:t>EL ANÁLISIS Y LA LISTA DE ACTIVIDADES SUGERIDAS SOBRE LA PI Y EL DESARROLLO EN EL ENTORNO DIGITAL</w:t>
      </w:r>
    </w:p>
    <w:p w14:paraId="567885E8" w14:textId="77777777" w:rsidR="00FC792B" w:rsidRPr="00DD6BE4" w:rsidRDefault="00FC792B" w:rsidP="00FC792B">
      <w:pPr>
        <w:rPr>
          <w:lang w:val="es-ES_tradnl"/>
        </w:rPr>
      </w:pPr>
    </w:p>
    <w:p w14:paraId="68B5FF3A" w14:textId="460E8D61" w:rsidR="009C553B" w:rsidRPr="00DD6BE4" w:rsidRDefault="002D29EE" w:rsidP="00A75030">
      <w:pPr>
        <w:spacing w:after="720"/>
        <w:rPr>
          <w:i/>
          <w:lang w:val="es-ES_tradnl"/>
        </w:rPr>
      </w:pPr>
      <w:r w:rsidRPr="00DD6BE4">
        <w:rPr>
          <w:i/>
          <w:lang w:val="es-ES_tradnl"/>
        </w:rPr>
        <w:t>p</w:t>
      </w:r>
      <w:r w:rsidR="00FC792B" w:rsidRPr="00DD6BE4">
        <w:rPr>
          <w:i/>
          <w:lang w:val="es-ES_tradnl"/>
        </w:rPr>
        <w:t>repar</w:t>
      </w:r>
      <w:r w:rsidRPr="00DD6BE4">
        <w:rPr>
          <w:i/>
          <w:lang w:val="es-ES_tradnl"/>
        </w:rPr>
        <w:t>ado por la Secretaría</w:t>
      </w:r>
    </w:p>
    <w:p w14:paraId="7E7B1DB4" w14:textId="234CB81B" w:rsidR="00621E0C" w:rsidRPr="00DD6BE4" w:rsidRDefault="002D29EE" w:rsidP="00A75030">
      <w:pPr>
        <w:pStyle w:val="ListParagraph"/>
        <w:numPr>
          <w:ilvl w:val="0"/>
          <w:numId w:val="4"/>
        </w:numPr>
        <w:tabs>
          <w:tab w:val="left" w:pos="540"/>
        </w:tabs>
        <w:spacing w:after="240"/>
        <w:ind w:left="0" w:firstLine="0"/>
        <w:contextualSpacing w:val="0"/>
        <w:rPr>
          <w:bCs/>
          <w:lang w:val="es-ES_tradnl"/>
        </w:rPr>
      </w:pPr>
      <w:r w:rsidRPr="00DD6BE4">
        <w:rPr>
          <w:lang w:val="es-ES_tradnl"/>
        </w:rPr>
        <w:t xml:space="preserve">En su vigesimotercera sesión, celebrada del 20 al 24 de mayo de 2019, el Comité de Desarrollo y Propiedad Intelectual (CDIP), al examinar la propuesta presentada por la Federación de Rusia sobre “La PI y el desarrollo en el entorno digital” (documento </w:t>
      </w:r>
      <w:hyperlink r:id="rId9" w:history="1">
        <w:r w:rsidRPr="00DD6BE4">
          <w:rPr>
            <w:lang w:val="es-ES_tradnl"/>
          </w:rPr>
          <w:t>CDIP/23/16</w:t>
        </w:r>
      </w:hyperlink>
      <w:r w:rsidRPr="00DD6BE4">
        <w:rPr>
          <w:lang w:val="es-ES_tradnl"/>
        </w:rPr>
        <w:t>), pidió a la Secretaría que:</w:t>
      </w:r>
    </w:p>
    <w:p w14:paraId="542F7ACD" w14:textId="584830D7" w:rsidR="00C12A20" w:rsidRPr="00DD6BE4" w:rsidRDefault="00460035" w:rsidP="00C12A20">
      <w:pPr>
        <w:pStyle w:val="ListParagraph"/>
        <w:spacing w:after="240"/>
        <w:ind w:left="562" w:right="72"/>
        <w:rPr>
          <w:i/>
          <w:lang w:val="es-ES_tradnl"/>
        </w:rPr>
      </w:pPr>
      <w:r w:rsidRPr="00DD6BE4">
        <w:rPr>
          <w:i/>
          <w:lang w:val="es-ES_tradnl"/>
        </w:rPr>
        <w:t>“</w:t>
      </w:r>
      <w:r w:rsidR="00C12A20" w:rsidRPr="00DD6BE4">
        <w:rPr>
          <w:i/>
          <w:lang w:val="es-ES_tradnl"/>
        </w:rPr>
        <w:t>a)</w:t>
      </w:r>
      <w:r w:rsidR="00C12A20" w:rsidRPr="00DD6BE4">
        <w:rPr>
          <w:i/>
          <w:lang w:val="es-ES_tradnl"/>
        </w:rPr>
        <w:tab/>
      </w:r>
      <w:r w:rsidR="009B4255" w:rsidRPr="00DD6BE4">
        <w:rPr>
          <w:i/>
          <w:lang w:val="es-ES_tradnl"/>
        </w:rPr>
        <w:t>realice un análisis, en el contexto de la digitalización de las OPI, para determinar las necesidades que tienen los países en desarrollo y los PMA en materia de infraestructura, en particular en lo que respecta a sensibilización, mejora de las capacidades de las Oficinas o instituciones de PI y su utilización de las tecnologías digitales para automatizar y optimizar los procesos de registro y administración de la PI</w:t>
      </w:r>
      <w:r w:rsidR="00C12A20" w:rsidRPr="00DD6BE4">
        <w:rPr>
          <w:i/>
          <w:lang w:val="es-ES_tradnl"/>
        </w:rPr>
        <w:t xml:space="preserve">; </w:t>
      </w:r>
    </w:p>
    <w:p w14:paraId="3C86E06A" w14:textId="77777777" w:rsidR="00C12A20" w:rsidRPr="00DD6BE4" w:rsidRDefault="00C12A20" w:rsidP="00C12A20">
      <w:pPr>
        <w:pStyle w:val="ListParagraph"/>
        <w:spacing w:after="240"/>
        <w:ind w:left="562" w:right="72"/>
        <w:rPr>
          <w:i/>
          <w:lang w:val="es-ES_tradnl"/>
        </w:rPr>
      </w:pPr>
    </w:p>
    <w:p w14:paraId="1D5C2976" w14:textId="61C38B46" w:rsidR="00C12A20" w:rsidRPr="00DD6BE4" w:rsidRDefault="00C12A20" w:rsidP="00C12A20">
      <w:pPr>
        <w:pStyle w:val="ListParagraph"/>
        <w:spacing w:after="240"/>
        <w:ind w:left="562" w:right="72"/>
        <w:rPr>
          <w:i/>
          <w:lang w:val="es-ES_tradnl"/>
        </w:rPr>
      </w:pPr>
      <w:r w:rsidRPr="00DD6BE4">
        <w:rPr>
          <w:i/>
          <w:lang w:val="es-ES_tradnl"/>
        </w:rPr>
        <w:t>b)</w:t>
      </w:r>
      <w:r w:rsidRPr="00DD6BE4">
        <w:rPr>
          <w:i/>
          <w:lang w:val="es-ES_tradnl"/>
        </w:rPr>
        <w:tab/>
      </w:r>
      <w:r w:rsidR="009B4255" w:rsidRPr="00DD6BE4">
        <w:rPr>
          <w:i/>
          <w:lang w:val="es-ES_tradnl"/>
        </w:rPr>
        <w:t>a partir del resultado de ese análisis, facilite una lista, para que el CDIP la examine, de actividades sugeridas con el fin de permitir la aplicación de las recomendaciones de la Agenda de la OMPI para el Desarrollo correspondientes a las categorías A y C, con el objetivo específico de colmar la brecha digital (recomendación 24), mejorar la capacidad de las instituciones nacionales de PI mediante el desarrollo de la infraestructura (recomendación 10) y determinar los aspectos de las TIC relacionados con la PI que favorecen el crecimiento y el desarrollo (recomendación 27).</w:t>
      </w:r>
    </w:p>
    <w:p w14:paraId="73AF5D5E" w14:textId="77777777" w:rsidR="00C12A20" w:rsidRPr="00DD6BE4" w:rsidRDefault="00C12A20" w:rsidP="00C12A20">
      <w:pPr>
        <w:pStyle w:val="ListParagraph"/>
        <w:spacing w:after="240"/>
        <w:ind w:left="562" w:right="72"/>
        <w:rPr>
          <w:i/>
          <w:lang w:val="es-ES_tradnl"/>
        </w:rPr>
      </w:pPr>
    </w:p>
    <w:p w14:paraId="299DE69F" w14:textId="1A449C89" w:rsidR="00C12A20" w:rsidRPr="00DD6BE4" w:rsidRDefault="00C12A20" w:rsidP="00C12A20">
      <w:pPr>
        <w:pStyle w:val="ListParagraph"/>
        <w:spacing w:after="240"/>
        <w:ind w:left="562" w:right="72"/>
        <w:rPr>
          <w:i/>
          <w:lang w:val="es-ES_tradnl"/>
        </w:rPr>
      </w:pPr>
      <w:r w:rsidRPr="00DD6BE4">
        <w:rPr>
          <w:i/>
          <w:lang w:val="es-ES_tradnl"/>
        </w:rPr>
        <w:lastRenderedPageBreak/>
        <w:t xml:space="preserve">10.3 </w:t>
      </w:r>
      <w:r w:rsidR="008F40DB" w:rsidRPr="00DD6BE4">
        <w:rPr>
          <w:i/>
          <w:lang w:val="es-ES_tradnl"/>
        </w:rPr>
        <w:t>En su 25.ª sesión, el Comité examinará el resultado del análisis y la lista de actividades sugeridas con miras a determinar posibles proyectos futuros del CDIP centrados en necesidades concretas. Los Estados miembros interesados en participar en esos proyectos y actividades podrán informar a la Secretaría del CDIP de la OMPI y/o presentar sus propuestas al Comité. Si se necesitaran más tiempo o recursos financieros para llevar a cabo las actividades indicadas en los apartados 10.2.a) y 10.2.b), la Secretaría debería informar al Comité en su 24.ª sesión.”</w:t>
      </w:r>
    </w:p>
    <w:p w14:paraId="29A524D3" w14:textId="77777777" w:rsidR="00C12A20" w:rsidRPr="00DD6BE4" w:rsidRDefault="00C12A20" w:rsidP="00A75030">
      <w:pPr>
        <w:pStyle w:val="ListParagraph"/>
        <w:spacing w:after="240"/>
        <w:ind w:left="562" w:right="72"/>
        <w:rPr>
          <w:bCs/>
          <w:lang w:val="es-ES_tradnl"/>
        </w:rPr>
      </w:pPr>
    </w:p>
    <w:p w14:paraId="4FCDE32D" w14:textId="68F55C51" w:rsidR="00FB3BB6" w:rsidRPr="00DD6BE4" w:rsidRDefault="0091490F" w:rsidP="00497A1B">
      <w:pPr>
        <w:pStyle w:val="ListParagraph"/>
        <w:numPr>
          <w:ilvl w:val="0"/>
          <w:numId w:val="4"/>
        </w:numPr>
        <w:tabs>
          <w:tab w:val="left" w:pos="540"/>
        </w:tabs>
        <w:spacing w:after="240"/>
        <w:ind w:left="0" w:firstLine="0"/>
        <w:rPr>
          <w:szCs w:val="22"/>
          <w:lang w:val="es-ES_tradnl"/>
        </w:rPr>
      </w:pPr>
      <w:r w:rsidRPr="00DD6BE4">
        <w:rPr>
          <w:szCs w:val="22"/>
          <w:lang w:val="es-ES_tradnl"/>
        </w:rPr>
        <w:t xml:space="preserve">El documento </w:t>
      </w:r>
      <w:r w:rsidR="00494463" w:rsidRPr="00DD6BE4">
        <w:rPr>
          <w:szCs w:val="22"/>
          <w:lang w:val="es-ES_tradnl"/>
        </w:rPr>
        <w:t xml:space="preserve">CDIP/25/9, </w:t>
      </w:r>
      <w:r w:rsidRPr="00DD6BE4">
        <w:rPr>
          <w:szCs w:val="22"/>
          <w:lang w:val="es-ES_tradnl"/>
        </w:rPr>
        <w:t xml:space="preserve">titulado “Análisis y lista de actividades sugeridas sobre la PI y el desarrollo en el entorno digital”, </w:t>
      </w:r>
      <w:r w:rsidR="00322792" w:rsidRPr="00DD6BE4">
        <w:rPr>
          <w:szCs w:val="22"/>
          <w:lang w:val="es-ES_tradnl"/>
        </w:rPr>
        <w:t xml:space="preserve">se presentó </w:t>
      </w:r>
      <w:r w:rsidR="009E0D67" w:rsidRPr="00DD6BE4">
        <w:rPr>
          <w:szCs w:val="22"/>
          <w:lang w:val="es-ES_tradnl"/>
        </w:rPr>
        <w:t>para ser examinado</w:t>
      </w:r>
      <w:r w:rsidR="00322792" w:rsidRPr="00DD6BE4">
        <w:rPr>
          <w:szCs w:val="22"/>
          <w:lang w:val="es-ES_tradnl"/>
        </w:rPr>
        <w:t xml:space="preserve"> en la </w:t>
      </w:r>
      <w:r w:rsidR="00C65191" w:rsidRPr="00DD6BE4">
        <w:rPr>
          <w:szCs w:val="22"/>
          <w:lang w:val="es-ES_tradnl"/>
        </w:rPr>
        <w:t>25.ª</w:t>
      </w:r>
      <w:r w:rsidR="00322792" w:rsidRPr="00DD6BE4">
        <w:rPr>
          <w:szCs w:val="22"/>
          <w:lang w:val="es-ES_tradnl"/>
        </w:rPr>
        <w:t xml:space="preserve"> sesión del Comité.</w:t>
      </w:r>
      <w:r w:rsidRPr="00DD6BE4">
        <w:rPr>
          <w:szCs w:val="22"/>
          <w:lang w:val="es-ES_tradnl"/>
        </w:rPr>
        <w:t xml:space="preserve"> </w:t>
      </w:r>
      <w:r w:rsidR="00322792" w:rsidRPr="00DD6BE4">
        <w:rPr>
          <w:szCs w:val="22"/>
          <w:lang w:val="es-ES_tradnl"/>
        </w:rPr>
        <w:t xml:space="preserve">A petición de los Estados miembros, se ha pospuesto </w:t>
      </w:r>
      <w:r w:rsidR="00C04500" w:rsidRPr="00DD6BE4">
        <w:rPr>
          <w:szCs w:val="22"/>
          <w:lang w:val="es-ES_tradnl"/>
        </w:rPr>
        <w:t xml:space="preserve">el debate </w:t>
      </w:r>
      <w:r w:rsidR="008B109F" w:rsidRPr="00DD6BE4">
        <w:rPr>
          <w:szCs w:val="22"/>
          <w:lang w:val="es-ES_tradnl"/>
        </w:rPr>
        <w:t>sobre</w:t>
      </w:r>
      <w:r w:rsidR="00322792" w:rsidRPr="00DD6BE4">
        <w:rPr>
          <w:szCs w:val="22"/>
          <w:lang w:val="es-ES_tradnl"/>
        </w:rPr>
        <w:t xml:space="preserve"> ese documento</w:t>
      </w:r>
      <w:r w:rsidR="008B109F" w:rsidRPr="00DD6BE4">
        <w:rPr>
          <w:szCs w:val="22"/>
          <w:lang w:val="es-ES_tradnl"/>
        </w:rPr>
        <w:t>.</w:t>
      </w:r>
    </w:p>
    <w:p w14:paraId="3FC6192D" w14:textId="77777777" w:rsidR="00FB3BB6" w:rsidRPr="00DD6BE4" w:rsidRDefault="00FB3BB6" w:rsidP="001602BC">
      <w:pPr>
        <w:pStyle w:val="ListParagraph"/>
        <w:tabs>
          <w:tab w:val="left" w:pos="540"/>
        </w:tabs>
        <w:spacing w:after="240"/>
        <w:ind w:left="0"/>
        <w:rPr>
          <w:szCs w:val="22"/>
          <w:lang w:val="es-ES_tradnl"/>
        </w:rPr>
      </w:pPr>
    </w:p>
    <w:p w14:paraId="19C18A8F" w14:textId="58FE9856" w:rsidR="00497A1B" w:rsidRPr="00DD6BE4" w:rsidRDefault="00C65191" w:rsidP="00497A1B">
      <w:pPr>
        <w:pStyle w:val="ListParagraph"/>
        <w:numPr>
          <w:ilvl w:val="0"/>
          <w:numId w:val="4"/>
        </w:numPr>
        <w:tabs>
          <w:tab w:val="left" w:pos="540"/>
        </w:tabs>
        <w:spacing w:after="240"/>
        <w:ind w:left="0" w:firstLine="0"/>
        <w:rPr>
          <w:szCs w:val="22"/>
          <w:lang w:val="es-ES_tradnl"/>
        </w:rPr>
      </w:pPr>
      <w:r w:rsidRPr="00DD6BE4">
        <w:rPr>
          <w:lang w:val="es-ES_tradnl"/>
        </w:rPr>
        <w:t xml:space="preserve">En su 27.ª sesión, al examinar su labor futura, el Comité </w:t>
      </w:r>
      <w:r w:rsidR="00FB3BB6" w:rsidRPr="00DD6BE4">
        <w:rPr>
          <w:lang w:val="es-ES_tradnl"/>
        </w:rPr>
        <w:t>a</w:t>
      </w:r>
      <w:r w:rsidRPr="00DD6BE4">
        <w:rPr>
          <w:lang w:val="es-ES_tradnl"/>
        </w:rPr>
        <w:t>cordó</w:t>
      </w:r>
      <w:r w:rsidR="007C18BE" w:rsidRPr="00DD6BE4">
        <w:rPr>
          <w:rStyle w:val="FootnoteReference"/>
          <w:lang w:val="es-ES_tradnl"/>
        </w:rPr>
        <w:footnoteReference w:id="2"/>
      </w:r>
      <w:r w:rsidR="00FB3BB6" w:rsidRPr="00DD6BE4">
        <w:rPr>
          <w:lang w:val="es-ES_tradnl"/>
        </w:rPr>
        <w:t xml:space="preserve"> </w:t>
      </w:r>
      <w:r w:rsidRPr="00DD6BE4">
        <w:rPr>
          <w:lang w:val="es-ES_tradnl"/>
        </w:rPr>
        <w:t>que</w:t>
      </w:r>
      <w:r w:rsidR="00E14417" w:rsidRPr="00DD6BE4">
        <w:rPr>
          <w:lang w:val="es-ES_tradnl"/>
        </w:rPr>
        <w:t>,</w:t>
      </w:r>
      <w:r w:rsidRPr="00DD6BE4">
        <w:rPr>
          <w:lang w:val="es-ES_tradnl"/>
        </w:rPr>
        <w:t xml:space="preserve"> si </w:t>
      </w:r>
      <w:r w:rsidR="009F0225" w:rsidRPr="00DD6BE4">
        <w:rPr>
          <w:lang w:val="es-ES_tradnl"/>
        </w:rPr>
        <w:t xml:space="preserve">los Estados miembros </w:t>
      </w:r>
      <w:r w:rsidR="00E14417" w:rsidRPr="00DD6BE4">
        <w:rPr>
          <w:lang w:val="es-ES_tradnl"/>
        </w:rPr>
        <w:t>lo deseaban</w:t>
      </w:r>
      <w:r w:rsidR="009F0225" w:rsidRPr="00DD6BE4">
        <w:rPr>
          <w:lang w:val="es-ES_tradnl"/>
        </w:rPr>
        <w:t xml:space="preserve">, la Secretaría revisaría el documento </w:t>
      </w:r>
      <w:r w:rsidR="008220F9" w:rsidRPr="00DD6BE4">
        <w:rPr>
          <w:szCs w:val="22"/>
          <w:lang w:val="es-ES_tradnl"/>
        </w:rPr>
        <w:t>CDIP/25/9</w:t>
      </w:r>
      <w:r w:rsidR="00C12A20" w:rsidRPr="00DD6BE4">
        <w:rPr>
          <w:szCs w:val="22"/>
          <w:lang w:val="es-ES_tradnl"/>
        </w:rPr>
        <w:t>.</w:t>
      </w:r>
    </w:p>
    <w:p w14:paraId="1CB38289" w14:textId="77777777" w:rsidR="00497A1B" w:rsidRPr="00DD6BE4" w:rsidRDefault="00497A1B" w:rsidP="00497A1B">
      <w:pPr>
        <w:pStyle w:val="ListParagraph"/>
        <w:tabs>
          <w:tab w:val="left" w:pos="540"/>
        </w:tabs>
        <w:spacing w:after="240"/>
        <w:ind w:left="0"/>
        <w:rPr>
          <w:lang w:val="es-ES_tradnl"/>
        </w:rPr>
      </w:pPr>
    </w:p>
    <w:p w14:paraId="6142AB31" w14:textId="2DA268EE" w:rsidR="006F3CBA" w:rsidRPr="00DD6BE4" w:rsidRDefault="009F0225" w:rsidP="002637B0">
      <w:pPr>
        <w:pStyle w:val="ListParagraph"/>
        <w:numPr>
          <w:ilvl w:val="0"/>
          <w:numId w:val="4"/>
        </w:numPr>
        <w:tabs>
          <w:tab w:val="left" w:pos="540"/>
        </w:tabs>
        <w:spacing w:after="480"/>
        <w:ind w:left="0" w:firstLine="0"/>
        <w:contextualSpacing w:val="0"/>
        <w:rPr>
          <w:lang w:val="es-ES_tradnl"/>
        </w:rPr>
      </w:pPr>
      <w:r w:rsidRPr="00DD6BE4">
        <w:rPr>
          <w:lang w:val="es-ES_tradnl"/>
        </w:rPr>
        <w:t>El documento</w:t>
      </w:r>
      <w:r w:rsidR="00AF6A05" w:rsidRPr="00DD6BE4">
        <w:rPr>
          <w:lang w:val="es-ES_tradnl"/>
        </w:rPr>
        <w:t xml:space="preserve"> </w:t>
      </w:r>
      <w:r w:rsidR="00AF6A05" w:rsidRPr="00DD6BE4">
        <w:rPr>
          <w:szCs w:val="22"/>
          <w:lang w:val="es-ES_tradnl"/>
        </w:rPr>
        <w:t xml:space="preserve">CDIP/25/9 </w:t>
      </w:r>
      <w:r w:rsidR="00B51928" w:rsidRPr="00DD6BE4">
        <w:rPr>
          <w:szCs w:val="22"/>
          <w:lang w:val="es-ES_tradnl"/>
        </w:rPr>
        <w:t>REV</w:t>
      </w:r>
      <w:r w:rsidR="00AF6A05" w:rsidRPr="00DD6BE4">
        <w:rPr>
          <w:szCs w:val="22"/>
          <w:lang w:val="es-ES_tradnl"/>
        </w:rPr>
        <w:t xml:space="preserve">. </w:t>
      </w:r>
      <w:r w:rsidR="00AF6A05" w:rsidRPr="00DD6BE4">
        <w:rPr>
          <w:lang w:val="es-ES_tradnl"/>
        </w:rPr>
        <w:t>cont</w:t>
      </w:r>
      <w:r w:rsidRPr="00DD6BE4">
        <w:rPr>
          <w:lang w:val="es-ES_tradnl"/>
        </w:rPr>
        <w:t xml:space="preserve">iene el “Documento revisado sobre el análisis y la lista de actividades sugeridas sobre la PI y el desarrollo en el entorno digital”, </w:t>
      </w:r>
      <w:r w:rsidR="00494463" w:rsidRPr="00DD6BE4">
        <w:rPr>
          <w:lang w:val="es-ES_tradnl"/>
        </w:rPr>
        <w:t>pedido por</w:t>
      </w:r>
      <w:r w:rsidRPr="00DD6BE4">
        <w:rPr>
          <w:lang w:val="es-ES_tradnl"/>
        </w:rPr>
        <w:t xml:space="preserve"> los Estados miembros</w:t>
      </w:r>
      <w:r w:rsidR="007C4DF5" w:rsidRPr="00DD6BE4">
        <w:rPr>
          <w:lang w:val="es-ES_tradnl"/>
        </w:rPr>
        <w:t>.</w:t>
      </w:r>
    </w:p>
    <w:p w14:paraId="55532C30" w14:textId="5CF55A13" w:rsidR="00F86C31" w:rsidRPr="00DD6BE4" w:rsidRDefault="00C2199F" w:rsidP="00F86C31">
      <w:pPr>
        <w:pStyle w:val="Heading2"/>
        <w:spacing w:after="240"/>
        <w:contextualSpacing/>
        <w:rPr>
          <w:rFonts w:eastAsia="Times New Roman"/>
          <w:bCs w:val="0"/>
          <w:lang w:val="es-ES_tradnl"/>
        </w:rPr>
      </w:pPr>
      <w:r w:rsidRPr="00DD6BE4">
        <w:rPr>
          <w:rFonts w:eastAsia="Times New Roman"/>
          <w:bCs w:val="0"/>
          <w:lang w:val="es-ES_tradnl"/>
        </w:rPr>
        <w:t xml:space="preserve">SENSIBILIZACIÓN, INTERCAMBIO DE INFORMACIÓN Y </w:t>
      </w:r>
      <w:r w:rsidR="008052E0" w:rsidRPr="00DD6BE4">
        <w:rPr>
          <w:rFonts w:eastAsia="Times New Roman"/>
          <w:bCs w:val="0"/>
          <w:lang w:val="es-ES_tradnl"/>
        </w:rPr>
        <w:t xml:space="preserve">FOMENTO DE </w:t>
      </w:r>
      <w:r w:rsidRPr="00DD6BE4">
        <w:rPr>
          <w:rFonts w:eastAsia="Times New Roman"/>
          <w:bCs w:val="0"/>
          <w:lang w:val="es-ES_tradnl"/>
        </w:rPr>
        <w:t xml:space="preserve">LA COLABORACIÓN EN EL CONTEXTO DE LA DIGITALIZACIÓN DE LAS </w:t>
      </w:r>
      <w:r w:rsidR="00ED2EE1" w:rsidRPr="00DD6BE4">
        <w:rPr>
          <w:rFonts w:eastAsia="Times New Roman"/>
          <w:bCs w:val="0"/>
          <w:lang w:val="es-ES_tradnl"/>
        </w:rPr>
        <w:t>o</w:t>
      </w:r>
      <w:r w:rsidR="00D16334" w:rsidRPr="00DD6BE4">
        <w:rPr>
          <w:rFonts w:eastAsia="Times New Roman"/>
          <w:bCs w:val="0"/>
          <w:lang w:val="es-ES_tradnl"/>
        </w:rPr>
        <w:t>PI</w:t>
      </w:r>
    </w:p>
    <w:p w14:paraId="2AB29BB5" w14:textId="2F54DB63" w:rsidR="00400E82" w:rsidRPr="00DD6BE4" w:rsidRDefault="00FB5032" w:rsidP="00400E82">
      <w:pPr>
        <w:pStyle w:val="Heading3"/>
        <w:keepLines/>
        <w:rPr>
          <w:szCs w:val="22"/>
          <w:lang w:val="es-ES_tradnl"/>
        </w:rPr>
      </w:pPr>
      <w:r w:rsidRPr="00DD6BE4">
        <w:rPr>
          <w:szCs w:val="22"/>
          <w:lang w:val="es-ES_tradnl"/>
        </w:rPr>
        <w:t>INFRAESTRUCTURA TÉCNICA</w:t>
      </w:r>
    </w:p>
    <w:p w14:paraId="7459A444" w14:textId="77777777" w:rsidR="00400E82" w:rsidRPr="00DD6BE4" w:rsidRDefault="00400E82" w:rsidP="00400E82">
      <w:pPr>
        <w:rPr>
          <w:lang w:val="es-ES_tradnl"/>
        </w:rPr>
      </w:pPr>
    </w:p>
    <w:p w14:paraId="4330C0CC" w14:textId="612A2BD3" w:rsidR="00C3352A" w:rsidRPr="00DD6BE4" w:rsidRDefault="00E0728E" w:rsidP="00B86634">
      <w:pPr>
        <w:pStyle w:val="ListParagraph"/>
        <w:numPr>
          <w:ilvl w:val="0"/>
          <w:numId w:val="4"/>
        </w:numPr>
        <w:tabs>
          <w:tab w:val="left" w:pos="540"/>
        </w:tabs>
        <w:spacing w:after="240"/>
        <w:ind w:left="0" w:firstLine="0"/>
        <w:rPr>
          <w:lang w:val="es-ES_tradnl"/>
        </w:rPr>
      </w:pPr>
      <w:r w:rsidRPr="00DD6BE4">
        <w:rPr>
          <w:lang w:val="es-ES_tradnl"/>
        </w:rPr>
        <w:t>Las</w:t>
      </w:r>
      <w:r w:rsidR="00C044FD" w:rsidRPr="00DD6BE4">
        <w:rPr>
          <w:lang w:val="es-ES_tradnl"/>
        </w:rPr>
        <w:t xml:space="preserve"> tecnologías de la información y las comunicaciones (TIC) </w:t>
      </w:r>
      <w:r w:rsidR="0096180B" w:rsidRPr="00DD6BE4">
        <w:rPr>
          <w:lang w:val="es-ES_tradnl"/>
        </w:rPr>
        <w:t>brindan</w:t>
      </w:r>
      <w:r w:rsidR="00C044FD" w:rsidRPr="00DD6BE4">
        <w:rPr>
          <w:lang w:val="es-ES_tradnl"/>
        </w:rPr>
        <w:t xml:space="preserve"> una </w:t>
      </w:r>
      <w:r w:rsidR="00080030" w:rsidRPr="00DD6BE4">
        <w:rPr>
          <w:lang w:val="es-ES_tradnl"/>
        </w:rPr>
        <w:t>significativa</w:t>
      </w:r>
      <w:r w:rsidR="00C044FD" w:rsidRPr="00DD6BE4">
        <w:rPr>
          <w:lang w:val="es-ES_tradnl"/>
        </w:rPr>
        <w:t xml:space="preserve"> oportunidad para la transformación de las </w:t>
      </w:r>
      <w:r w:rsidR="004A0ECB" w:rsidRPr="00DD6BE4">
        <w:rPr>
          <w:lang w:val="es-ES_tradnl"/>
        </w:rPr>
        <w:t>oficinas</w:t>
      </w:r>
      <w:r w:rsidR="00C044FD" w:rsidRPr="00DD6BE4">
        <w:rPr>
          <w:lang w:val="es-ES_tradnl"/>
        </w:rPr>
        <w:t xml:space="preserve"> de PI (OPI). La digitalización</w:t>
      </w:r>
      <w:r w:rsidR="00080030" w:rsidRPr="00DD6BE4">
        <w:rPr>
          <w:lang w:val="es-ES_tradnl"/>
        </w:rPr>
        <w:t xml:space="preserve">, </w:t>
      </w:r>
      <w:r w:rsidR="00C044FD" w:rsidRPr="00DD6BE4">
        <w:rPr>
          <w:lang w:val="es-ES_tradnl"/>
        </w:rPr>
        <w:t xml:space="preserve">el desarrollo y </w:t>
      </w:r>
      <w:r w:rsidR="00080030" w:rsidRPr="00DD6BE4">
        <w:rPr>
          <w:lang w:val="es-ES_tradnl"/>
        </w:rPr>
        <w:t xml:space="preserve">la </w:t>
      </w:r>
      <w:r w:rsidR="00C044FD" w:rsidRPr="00DD6BE4">
        <w:rPr>
          <w:lang w:val="es-ES_tradnl"/>
        </w:rPr>
        <w:t xml:space="preserve">adaptación de las tecnologías son </w:t>
      </w:r>
      <w:r w:rsidR="00080030" w:rsidRPr="00DD6BE4">
        <w:rPr>
          <w:lang w:val="es-ES_tradnl"/>
        </w:rPr>
        <w:t>algu</w:t>
      </w:r>
      <w:r w:rsidR="00C044FD" w:rsidRPr="00DD6BE4">
        <w:rPr>
          <w:lang w:val="es-ES_tradnl"/>
        </w:rPr>
        <w:t>na</w:t>
      </w:r>
      <w:r w:rsidR="00080030" w:rsidRPr="00DD6BE4">
        <w:rPr>
          <w:lang w:val="es-ES_tradnl"/>
        </w:rPr>
        <w:t>s</w:t>
      </w:r>
      <w:r w:rsidR="00C044FD" w:rsidRPr="00DD6BE4">
        <w:rPr>
          <w:lang w:val="es-ES_tradnl"/>
        </w:rPr>
        <w:t xml:space="preserve"> de las claves para </w:t>
      </w:r>
      <w:r w:rsidR="00436EC4" w:rsidRPr="00DD6BE4">
        <w:rPr>
          <w:lang w:val="es-ES_tradnl"/>
        </w:rPr>
        <w:t xml:space="preserve">mejorar </w:t>
      </w:r>
      <w:r w:rsidR="0096180B" w:rsidRPr="00DD6BE4">
        <w:rPr>
          <w:lang w:val="es-ES_tradnl"/>
        </w:rPr>
        <w:t>el</w:t>
      </w:r>
      <w:r w:rsidR="00436EC4" w:rsidRPr="00DD6BE4">
        <w:rPr>
          <w:lang w:val="es-ES_tradnl"/>
        </w:rPr>
        <w:t xml:space="preserve"> acces</w:t>
      </w:r>
      <w:r w:rsidR="0096180B" w:rsidRPr="00DD6BE4">
        <w:rPr>
          <w:lang w:val="es-ES_tradnl"/>
        </w:rPr>
        <w:t>o</w:t>
      </w:r>
      <w:r w:rsidR="00436EC4" w:rsidRPr="00DD6BE4">
        <w:rPr>
          <w:lang w:val="es-ES_tradnl"/>
        </w:rPr>
        <w:t xml:space="preserve">, </w:t>
      </w:r>
      <w:r w:rsidR="0096180B" w:rsidRPr="00DD6BE4">
        <w:rPr>
          <w:lang w:val="es-ES_tradnl"/>
        </w:rPr>
        <w:t xml:space="preserve">la </w:t>
      </w:r>
      <w:r w:rsidR="00436EC4" w:rsidRPr="00DD6BE4">
        <w:rPr>
          <w:lang w:val="es-ES_tradnl"/>
        </w:rPr>
        <w:t xml:space="preserve">rapidez y </w:t>
      </w:r>
      <w:r w:rsidR="0096180B" w:rsidRPr="00DD6BE4">
        <w:rPr>
          <w:lang w:val="es-ES_tradnl"/>
        </w:rPr>
        <w:t xml:space="preserve">la </w:t>
      </w:r>
      <w:r w:rsidR="00436EC4" w:rsidRPr="00DD6BE4">
        <w:rPr>
          <w:lang w:val="es-ES_tradnl"/>
        </w:rPr>
        <w:t>eficiencia de</w:t>
      </w:r>
      <w:r w:rsidR="00C044FD" w:rsidRPr="00DD6BE4">
        <w:rPr>
          <w:lang w:val="es-ES_tradnl"/>
        </w:rPr>
        <w:t xml:space="preserve"> los procesos. Esta transformación es importante para </w:t>
      </w:r>
      <w:r w:rsidR="009A18E1" w:rsidRPr="00DD6BE4">
        <w:rPr>
          <w:lang w:val="es-ES_tradnl"/>
        </w:rPr>
        <w:t xml:space="preserve">facilitar el acceso </w:t>
      </w:r>
      <w:r w:rsidR="005225D5" w:rsidRPr="00DD6BE4">
        <w:rPr>
          <w:lang w:val="es-ES_tradnl"/>
        </w:rPr>
        <w:t xml:space="preserve">de los innovadores y creadores de todo el mundo al </w:t>
      </w:r>
      <w:r w:rsidR="00C044FD" w:rsidRPr="00DD6BE4">
        <w:rPr>
          <w:lang w:val="es-ES_tradnl"/>
        </w:rPr>
        <w:t>sistema de la PI</w:t>
      </w:r>
      <w:r w:rsidR="009A18E1" w:rsidRPr="00DD6BE4">
        <w:rPr>
          <w:lang w:val="es-ES_tradnl"/>
        </w:rPr>
        <w:t>,</w:t>
      </w:r>
      <w:r w:rsidR="001300A8" w:rsidRPr="00DD6BE4">
        <w:rPr>
          <w:lang w:val="es-ES_tradnl"/>
        </w:rPr>
        <w:t xml:space="preserve"> </w:t>
      </w:r>
      <w:r w:rsidR="005225D5" w:rsidRPr="00DD6BE4">
        <w:rPr>
          <w:lang w:val="es-ES_tradnl"/>
        </w:rPr>
        <w:t>ponerse al día</w:t>
      </w:r>
      <w:r w:rsidR="008721F8" w:rsidRPr="00DD6BE4">
        <w:rPr>
          <w:lang w:val="es-ES_tradnl"/>
        </w:rPr>
        <w:t xml:space="preserve"> con</w:t>
      </w:r>
      <w:r w:rsidR="009A18E1" w:rsidRPr="00DD6BE4">
        <w:rPr>
          <w:lang w:val="es-ES_tradnl"/>
        </w:rPr>
        <w:t xml:space="preserve"> la</w:t>
      </w:r>
      <w:r w:rsidRPr="00DD6BE4">
        <w:rPr>
          <w:lang w:val="es-ES_tradnl"/>
        </w:rPr>
        <w:t xml:space="preserve"> </w:t>
      </w:r>
      <w:r w:rsidR="001300A8" w:rsidRPr="00DD6BE4">
        <w:rPr>
          <w:lang w:val="es-ES_tradnl"/>
        </w:rPr>
        <w:t xml:space="preserve">transformación de los modelos de </w:t>
      </w:r>
      <w:r w:rsidR="00100E11" w:rsidRPr="00DD6BE4">
        <w:rPr>
          <w:lang w:val="es-ES_tradnl"/>
        </w:rPr>
        <w:t>trabajo</w:t>
      </w:r>
      <w:r w:rsidR="001300A8" w:rsidRPr="00DD6BE4">
        <w:rPr>
          <w:lang w:val="es-ES_tradnl"/>
        </w:rPr>
        <w:t xml:space="preserve"> en la nueva era digital, </w:t>
      </w:r>
      <w:r w:rsidR="000B436B" w:rsidRPr="00DD6BE4">
        <w:rPr>
          <w:lang w:val="es-ES_tradnl"/>
        </w:rPr>
        <w:t xml:space="preserve">la aceleración </w:t>
      </w:r>
      <w:r w:rsidR="0049617B" w:rsidRPr="00DD6BE4">
        <w:rPr>
          <w:lang w:val="es-ES_tradnl"/>
        </w:rPr>
        <w:t>de la</w:t>
      </w:r>
      <w:r w:rsidR="001300A8" w:rsidRPr="00DD6BE4">
        <w:rPr>
          <w:lang w:val="es-ES_tradnl"/>
        </w:rPr>
        <w:t xml:space="preserve"> velocidad y </w:t>
      </w:r>
      <w:r w:rsidR="005C1104" w:rsidRPr="00DD6BE4">
        <w:rPr>
          <w:lang w:val="es-ES_tradnl"/>
        </w:rPr>
        <w:t xml:space="preserve">el </w:t>
      </w:r>
      <w:r w:rsidR="001300A8" w:rsidRPr="00DD6BE4">
        <w:rPr>
          <w:lang w:val="es-ES_tradnl"/>
        </w:rPr>
        <w:t>volumen de innovación y creación</w:t>
      </w:r>
      <w:r w:rsidR="005C1104" w:rsidRPr="00DD6BE4">
        <w:rPr>
          <w:lang w:val="es-ES_tradnl"/>
        </w:rPr>
        <w:t>,</w:t>
      </w:r>
      <w:r w:rsidR="001300A8" w:rsidRPr="00DD6BE4">
        <w:rPr>
          <w:lang w:val="es-ES_tradnl"/>
        </w:rPr>
        <w:t xml:space="preserve"> y </w:t>
      </w:r>
      <w:r w:rsidR="0049617B" w:rsidRPr="00DD6BE4">
        <w:rPr>
          <w:lang w:val="es-ES_tradnl"/>
        </w:rPr>
        <w:t>servir de puente</w:t>
      </w:r>
      <w:r w:rsidR="001300A8" w:rsidRPr="00DD6BE4">
        <w:rPr>
          <w:lang w:val="es-ES_tradnl"/>
        </w:rPr>
        <w:t xml:space="preserve"> </w:t>
      </w:r>
      <w:r w:rsidR="005C1104" w:rsidRPr="00DD6BE4">
        <w:rPr>
          <w:lang w:val="es-ES_tradnl"/>
        </w:rPr>
        <w:t>para</w:t>
      </w:r>
      <w:r w:rsidR="0049617B" w:rsidRPr="00DD6BE4">
        <w:rPr>
          <w:lang w:val="es-ES_tradnl"/>
        </w:rPr>
        <w:t xml:space="preserve"> que</w:t>
      </w:r>
      <w:r w:rsidR="001300A8" w:rsidRPr="00DD6BE4">
        <w:rPr>
          <w:lang w:val="es-ES_tradnl"/>
        </w:rPr>
        <w:t xml:space="preserve"> las OPI colmen la brecha </w:t>
      </w:r>
      <w:r w:rsidR="0049617B" w:rsidRPr="00DD6BE4">
        <w:rPr>
          <w:lang w:val="es-ES_tradnl"/>
        </w:rPr>
        <w:t>tecnológica</w:t>
      </w:r>
      <w:r w:rsidR="001D4750" w:rsidRPr="00DD6BE4">
        <w:rPr>
          <w:lang w:val="es-ES_tradnl"/>
        </w:rPr>
        <w:t>.</w:t>
      </w:r>
    </w:p>
    <w:p w14:paraId="47F8BC51" w14:textId="77777777" w:rsidR="001D4750" w:rsidRPr="00DD6BE4" w:rsidRDefault="001D4750" w:rsidP="001D4750">
      <w:pPr>
        <w:pStyle w:val="ListParagraph"/>
        <w:tabs>
          <w:tab w:val="left" w:pos="540"/>
        </w:tabs>
        <w:spacing w:after="240"/>
        <w:ind w:left="0"/>
        <w:rPr>
          <w:lang w:val="es-ES_tradnl"/>
        </w:rPr>
      </w:pPr>
    </w:p>
    <w:p w14:paraId="11DB3B19" w14:textId="340313E4" w:rsidR="001D4750" w:rsidRPr="00DD6BE4" w:rsidRDefault="00490677" w:rsidP="00B86634">
      <w:pPr>
        <w:pStyle w:val="ListParagraph"/>
        <w:numPr>
          <w:ilvl w:val="0"/>
          <w:numId w:val="4"/>
        </w:numPr>
        <w:tabs>
          <w:tab w:val="left" w:pos="540"/>
        </w:tabs>
        <w:spacing w:after="240"/>
        <w:ind w:left="0" w:firstLine="0"/>
        <w:rPr>
          <w:lang w:val="es-ES_tradnl"/>
        </w:rPr>
      </w:pPr>
      <w:r w:rsidRPr="00DD6BE4">
        <w:rPr>
          <w:lang w:val="es-ES_tradnl"/>
        </w:rPr>
        <w:t xml:space="preserve">Las soluciones </w:t>
      </w:r>
      <w:r w:rsidR="005A1C9F" w:rsidRPr="00DD6BE4">
        <w:rPr>
          <w:lang w:val="es-ES_tradnl"/>
        </w:rPr>
        <w:t xml:space="preserve">de </w:t>
      </w:r>
      <w:r w:rsidRPr="00DD6BE4">
        <w:rPr>
          <w:lang w:val="es-ES_tradnl"/>
        </w:rPr>
        <w:t xml:space="preserve">TIC </w:t>
      </w:r>
      <w:r w:rsidR="00FB1D06" w:rsidRPr="00DD6BE4">
        <w:rPr>
          <w:lang w:val="es-ES_tradnl"/>
        </w:rPr>
        <w:t xml:space="preserve">disponibles </w:t>
      </w:r>
      <w:r w:rsidRPr="00DD6BE4">
        <w:rPr>
          <w:lang w:val="es-ES_tradnl"/>
        </w:rPr>
        <w:t xml:space="preserve">para las OPI son una combinación de </w:t>
      </w:r>
      <w:r w:rsidR="009D4948" w:rsidRPr="00DD6BE4">
        <w:rPr>
          <w:lang w:val="es-ES_tradnl"/>
        </w:rPr>
        <w:t xml:space="preserve">avances desarrollados en el ámbito interno o por subcontratación y </w:t>
      </w:r>
      <w:r w:rsidR="006A0F11" w:rsidRPr="00DD6BE4">
        <w:rPr>
          <w:lang w:val="es-ES_tradnl"/>
        </w:rPr>
        <w:t xml:space="preserve">adaptaciones </w:t>
      </w:r>
      <w:r w:rsidRPr="00DD6BE4">
        <w:rPr>
          <w:lang w:val="es-ES_tradnl"/>
        </w:rPr>
        <w:t>de soluciones pre</w:t>
      </w:r>
      <w:r w:rsidR="009D4948" w:rsidRPr="00DD6BE4">
        <w:rPr>
          <w:lang w:val="es-ES_tradnl"/>
        </w:rPr>
        <w:t>existentes</w:t>
      </w:r>
      <w:r w:rsidRPr="00DD6BE4">
        <w:rPr>
          <w:lang w:val="es-ES_tradnl"/>
        </w:rPr>
        <w:t>. Si bien algunas OPI</w:t>
      </w:r>
      <w:r w:rsidR="00FE2460" w:rsidRPr="00DD6BE4">
        <w:rPr>
          <w:lang w:val="es-ES_tradnl"/>
        </w:rPr>
        <w:t xml:space="preserve"> </w:t>
      </w:r>
      <w:r w:rsidR="009D4948" w:rsidRPr="00DD6BE4">
        <w:rPr>
          <w:lang w:val="es-ES_tradnl"/>
        </w:rPr>
        <w:t>están adquiriendo</w:t>
      </w:r>
      <w:r w:rsidR="006A0F11" w:rsidRPr="00DD6BE4">
        <w:rPr>
          <w:lang w:val="es-ES_tradnl"/>
        </w:rPr>
        <w:t xml:space="preserve"> una gran</w:t>
      </w:r>
      <w:r w:rsidR="00FE2460" w:rsidRPr="00DD6BE4">
        <w:rPr>
          <w:lang w:val="es-ES_tradnl"/>
        </w:rPr>
        <w:t xml:space="preserve"> experiencia </w:t>
      </w:r>
      <w:r w:rsidR="009D4948" w:rsidRPr="00DD6BE4">
        <w:rPr>
          <w:lang w:val="es-ES_tradnl"/>
        </w:rPr>
        <w:t>en el ámbito interno</w:t>
      </w:r>
      <w:r w:rsidR="00FE2460" w:rsidRPr="00DD6BE4">
        <w:rPr>
          <w:lang w:val="es-ES_tradnl"/>
        </w:rPr>
        <w:t xml:space="preserve">, otras dependen de contratistas. Tanto las soluciones internas como </w:t>
      </w:r>
      <w:r w:rsidR="008F30A3" w:rsidRPr="00DD6BE4">
        <w:rPr>
          <w:lang w:val="es-ES_tradnl"/>
        </w:rPr>
        <w:t xml:space="preserve">las </w:t>
      </w:r>
      <w:r w:rsidR="00FE2460" w:rsidRPr="00DD6BE4">
        <w:rPr>
          <w:lang w:val="es-ES_tradnl"/>
        </w:rPr>
        <w:t>compradas ofrecen diferentes ventajas e inconvenientes.</w:t>
      </w:r>
      <w:r w:rsidR="00BB163B" w:rsidRPr="00DD6BE4">
        <w:rPr>
          <w:lang w:val="es-ES_tradnl"/>
        </w:rPr>
        <w:t xml:space="preserve"> </w:t>
      </w:r>
      <w:r w:rsidR="00FB1D06" w:rsidRPr="00DD6BE4">
        <w:rPr>
          <w:lang w:val="es-ES_tradnl"/>
        </w:rPr>
        <w:t>Es esencial ayudar a</w:t>
      </w:r>
      <w:r w:rsidR="00D65122" w:rsidRPr="00DD6BE4">
        <w:rPr>
          <w:lang w:val="es-ES_tradnl"/>
        </w:rPr>
        <w:t xml:space="preserve"> </w:t>
      </w:r>
      <w:r w:rsidR="001C7416" w:rsidRPr="00DD6BE4">
        <w:rPr>
          <w:lang w:val="es-ES_tradnl"/>
        </w:rPr>
        <w:t>los Estados miembros</w:t>
      </w:r>
      <w:r w:rsidR="00D65122" w:rsidRPr="00DD6BE4">
        <w:rPr>
          <w:lang w:val="es-ES_tradnl"/>
        </w:rPr>
        <w:t xml:space="preserve"> a establecer </w:t>
      </w:r>
      <w:r w:rsidR="006A0F11" w:rsidRPr="00DD6BE4">
        <w:rPr>
          <w:lang w:val="es-ES_tradnl"/>
        </w:rPr>
        <w:t xml:space="preserve">los </w:t>
      </w:r>
      <w:r w:rsidR="00D65122" w:rsidRPr="00DD6BE4">
        <w:rPr>
          <w:lang w:val="es-ES_tradnl"/>
        </w:rPr>
        <w:t xml:space="preserve">marcos para </w:t>
      </w:r>
      <w:r w:rsidR="009F6203" w:rsidRPr="00DD6BE4">
        <w:rPr>
          <w:lang w:val="es-ES_tradnl"/>
        </w:rPr>
        <w:t>la</w:t>
      </w:r>
      <w:r w:rsidR="00D65122" w:rsidRPr="00DD6BE4">
        <w:rPr>
          <w:lang w:val="es-ES_tradnl"/>
        </w:rPr>
        <w:t xml:space="preserve"> toma de decisiones</w:t>
      </w:r>
      <w:r w:rsidR="009F6203" w:rsidRPr="00DD6BE4">
        <w:rPr>
          <w:lang w:val="es-ES_tradnl"/>
        </w:rPr>
        <w:t xml:space="preserve"> en relación con sus OPI</w:t>
      </w:r>
      <w:r w:rsidR="00D65122" w:rsidRPr="00DD6BE4">
        <w:rPr>
          <w:lang w:val="es-ES_tradnl"/>
        </w:rPr>
        <w:t xml:space="preserve">, a escoger el mejor enfoque y sopesar las distintas opciones </w:t>
      </w:r>
      <w:r w:rsidR="00BB163B" w:rsidRPr="00DD6BE4">
        <w:rPr>
          <w:lang w:val="es-ES_tradnl"/>
        </w:rPr>
        <w:t>para</w:t>
      </w:r>
      <w:r w:rsidR="00D65122" w:rsidRPr="00DD6BE4">
        <w:rPr>
          <w:lang w:val="es-ES_tradnl"/>
        </w:rPr>
        <w:t xml:space="preserve"> contribuir al desarrollo de soluciones </w:t>
      </w:r>
      <w:r w:rsidR="009F6203" w:rsidRPr="00DD6BE4">
        <w:rPr>
          <w:lang w:val="es-ES_tradnl"/>
        </w:rPr>
        <w:t xml:space="preserve">costoeficaces </w:t>
      </w:r>
      <w:r w:rsidR="00D65122" w:rsidRPr="00DD6BE4">
        <w:rPr>
          <w:lang w:val="es-ES_tradnl"/>
        </w:rPr>
        <w:t xml:space="preserve">y </w:t>
      </w:r>
      <w:r w:rsidR="00BB163B" w:rsidRPr="00DD6BE4">
        <w:rPr>
          <w:lang w:val="es-ES_tradnl"/>
        </w:rPr>
        <w:t>con perspectiva de futuro</w:t>
      </w:r>
      <w:r w:rsidR="001D4750" w:rsidRPr="00DD6BE4">
        <w:rPr>
          <w:lang w:val="es-ES_tradnl"/>
        </w:rPr>
        <w:t>.</w:t>
      </w:r>
    </w:p>
    <w:p w14:paraId="069BB2DC" w14:textId="77777777" w:rsidR="001D4750" w:rsidRPr="00DD6BE4" w:rsidRDefault="001D4750" w:rsidP="001D4750">
      <w:pPr>
        <w:pStyle w:val="ListParagraph"/>
        <w:tabs>
          <w:tab w:val="left" w:pos="540"/>
        </w:tabs>
        <w:spacing w:after="240"/>
        <w:ind w:left="0"/>
        <w:rPr>
          <w:lang w:val="es-ES_tradnl"/>
        </w:rPr>
      </w:pPr>
    </w:p>
    <w:p w14:paraId="71C83B56" w14:textId="70E8B77D" w:rsidR="00497A1B" w:rsidRPr="00DD6BE4" w:rsidRDefault="001C7416" w:rsidP="008846B2">
      <w:pPr>
        <w:pStyle w:val="ListParagraph"/>
        <w:numPr>
          <w:ilvl w:val="0"/>
          <w:numId w:val="4"/>
        </w:numPr>
        <w:tabs>
          <w:tab w:val="left" w:pos="540"/>
        </w:tabs>
        <w:spacing w:after="240"/>
        <w:ind w:left="0" w:firstLine="0"/>
        <w:rPr>
          <w:lang w:val="es-ES_tradnl"/>
        </w:rPr>
      </w:pPr>
      <w:r w:rsidRPr="00DD6BE4">
        <w:rPr>
          <w:lang w:val="es-ES_tradnl"/>
        </w:rPr>
        <w:t>Como los proce</w:t>
      </w:r>
      <w:r w:rsidR="00463BF7" w:rsidRPr="00DD6BE4">
        <w:rPr>
          <w:lang w:val="es-ES_tradnl"/>
        </w:rPr>
        <w:t>so</w:t>
      </w:r>
      <w:r w:rsidR="001F3F82" w:rsidRPr="00DD6BE4">
        <w:rPr>
          <w:lang w:val="es-ES_tradnl"/>
        </w:rPr>
        <w:t>s</w:t>
      </w:r>
      <w:r w:rsidRPr="00DD6BE4">
        <w:rPr>
          <w:lang w:val="es-ES_tradnl"/>
        </w:rPr>
        <w:t xml:space="preserve"> de las OPI son</w:t>
      </w:r>
      <w:r w:rsidR="001F3F82" w:rsidRPr="00DD6BE4">
        <w:rPr>
          <w:lang w:val="es-ES_tradnl"/>
        </w:rPr>
        <w:t>, por lo</w:t>
      </w:r>
      <w:r w:rsidR="008846B2" w:rsidRPr="00DD6BE4">
        <w:rPr>
          <w:lang w:val="es-ES_tradnl"/>
        </w:rPr>
        <w:t xml:space="preserve"> general</w:t>
      </w:r>
      <w:r w:rsidR="001F3F82" w:rsidRPr="00DD6BE4">
        <w:rPr>
          <w:lang w:val="es-ES_tradnl"/>
        </w:rPr>
        <w:t>,</w:t>
      </w:r>
      <w:r w:rsidRPr="00DD6BE4">
        <w:rPr>
          <w:lang w:val="es-ES_tradnl"/>
        </w:rPr>
        <w:t xml:space="preserve"> similares</w:t>
      </w:r>
      <w:r w:rsidR="00B92170" w:rsidRPr="00DD6BE4">
        <w:rPr>
          <w:lang w:val="es-ES_tradnl"/>
        </w:rPr>
        <w:t xml:space="preserve"> </w:t>
      </w:r>
      <w:r w:rsidRPr="00DD6BE4">
        <w:rPr>
          <w:lang w:val="es-ES_tradnl"/>
        </w:rPr>
        <w:t xml:space="preserve">a pesar de las diferencias nacionales, </w:t>
      </w:r>
      <w:r w:rsidR="00B92170" w:rsidRPr="00DD6BE4">
        <w:rPr>
          <w:lang w:val="es-ES_tradnl"/>
        </w:rPr>
        <w:t xml:space="preserve">las OPI suelen trabajar </w:t>
      </w:r>
      <w:r w:rsidR="00580538" w:rsidRPr="00DD6BE4">
        <w:rPr>
          <w:lang w:val="es-ES_tradnl"/>
        </w:rPr>
        <w:t xml:space="preserve">en el desarrollo de </w:t>
      </w:r>
      <w:r w:rsidR="00B92170" w:rsidRPr="00DD6BE4">
        <w:rPr>
          <w:lang w:val="es-ES_tradnl"/>
        </w:rPr>
        <w:t xml:space="preserve">soluciones </w:t>
      </w:r>
      <w:r w:rsidR="005A1C9F" w:rsidRPr="00DD6BE4">
        <w:rPr>
          <w:lang w:val="es-ES_tradnl"/>
        </w:rPr>
        <w:t xml:space="preserve">de </w:t>
      </w:r>
      <w:r w:rsidR="00B92170" w:rsidRPr="00DD6BE4">
        <w:rPr>
          <w:lang w:val="es-ES_tradnl"/>
        </w:rPr>
        <w:t xml:space="preserve">TIC semejantes, lo que </w:t>
      </w:r>
      <w:r w:rsidR="000C58D4" w:rsidRPr="00DD6BE4">
        <w:rPr>
          <w:lang w:val="es-ES_tradnl"/>
        </w:rPr>
        <w:t>conlleva una</w:t>
      </w:r>
      <w:r w:rsidR="00B92170" w:rsidRPr="00DD6BE4">
        <w:rPr>
          <w:lang w:val="es-ES_tradnl"/>
        </w:rPr>
        <w:t xml:space="preserve"> </w:t>
      </w:r>
      <w:r w:rsidR="001F3F82" w:rsidRPr="00DD6BE4">
        <w:rPr>
          <w:lang w:val="es-ES_tradnl"/>
        </w:rPr>
        <w:t xml:space="preserve">gran </w:t>
      </w:r>
      <w:r w:rsidR="00B92170" w:rsidRPr="00DD6BE4">
        <w:rPr>
          <w:lang w:val="es-ES_tradnl"/>
        </w:rPr>
        <w:t xml:space="preserve">cantidad de </w:t>
      </w:r>
      <w:r w:rsidR="008846B2" w:rsidRPr="00DD6BE4">
        <w:rPr>
          <w:lang w:val="es-ES_tradnl"/>
        </w:rPr>
        <w:t xml:space="preserve">duplicación </w:t>
      </w:r>
      <w:r w:rsidR="00463BF7" w:rsidRPr="00DD6BE4">
        <w:rPr>
          <w:lang w:val="es-ES_tradnl"/>
        </w:rPr>
        <w:t xml:space="preserve">potencial </w:t>
      </w:r>
      <w:r w:rsidR="008846B2" w:rsidRPr="00DD6BE4">
        <w:rPr>
          <w:lang w:val="es-ES_tradnl"/>
        </w:rPr>
        <w:t xml:space="preserve">de </w:t>
      </w:r>
      <w:r w:rsidR="000C58D4" w:rsidRPr="00DD6BE4">
        <w:rPr>
          <w:lang w:val="es-ES_tradnl"/>
        </w:rPr>
        <w:t>tareas</w:t>
      </w:r>
      <w:r w:rsidR="00B92170" w:rsidRPr="00DD6BE4">
        <w:rPr>
          <w:lang w:val="es-ES_tradnl"/>
        </w:rPr>
        <w:t xml:space="preserve">. </w:t>
      </w:r>
      <w:r w:rsidR="000C58D4" w:rsidRPr="00DD6BE4">
        <w:rPr>
          <w:lang w:val="es-ES_tradnl"/>
        </w:rPr>
        <w:t>Aunque</w:t>
      </w:r>
      <w:r w:rsidR="00B92170" w:rsidRPr="00DD6BE4">
        <w:rPr>
          <w:lang w:val="es-ES_tradnl"/>
        </w:rPr>
        <w:t xml:space="preserve"> puede ser beneficioso que haya un cierto grado de duplicación para </w:t>
      </w:r>
      <w:r w:rsidR="000C58D4" w:rsidRPr="00DD6BE4">
        <w:rPr>
          <w:lang w:val="es-ES_tradnl"/>
        </w:rPr>
        <w:t>mejorar los servicios ofrecidos</w:t>
      </w:r>
      <w:r w:rsidR="00B92170" w:rsidRPr="00DD6BE4">
        <w:rPr>
          <w:lang w:val="es-ES_tradnl"/>
        </w:rPr>
        <w:t xml:space="preserve">, </w:t>
      </w:r>
      <w:r w:rsidR="00BA46EF" w:rsidRPr="00DD6BE4">
        <w:rPr>
          <w:lang w:val="es-ES_tradnl"/>
        </w:rPr>
        <w:t>también p</w:t>
      </w:r>
      <w:r w:rsidR="00E82D06" w:rsidRPr="00DD6BE4">
        <w:rPr>
          <w:lang w:val="es-ES_tradnl"/>
        </w:rPr>
        <w:t>odría</w:t>
      </w:r>
      <w:r w:rsidR="00BA46EF" w:rsidRPr="00DD6BE4">
        <w:rPr>
          <w:lang w:val="es-ES_tradnl"/>
        </w:rPr>
        <w:t xml:space="preserve"> ser </w:t>
      </w:r>
      <w:r w:rsidR="00463BF7" w:rsidRPr="00DD6BE4">
        <w:rPr>
          <w:lang w:val="es-ES_tradnl"/>
        </w:rPr>
        <w:t>muy</w:t>
      </w:r>
      <w:r w:rsidR="00BA46EF" w:rsidRPr="00DD6BE4">
        <w:rPr>
          <w:lang w:val="es-ES_tradnl"/>
        </w:rPr>
        <w:t xml:space="preserve"> provechoso </w:t>
      </w:r>
      <w:r w:rsidR="00ED6AE4" w:rsidRPr="00DD6BE4">
        <w:rPr>
          <w:lang w:val="es-ES_tradnl"/>
        </w:rPr>
        <w:t>que</w:t>
      </w:r>
      <w:r w:rsidR="00BA46EF" w:rsidRPr="00DD6BE4">
        <w:rPr>
          <w:lang w:val="es-ES_tradnl"/>
        </w:rPr>
        <w:t xml:space="preserve"> todas las OPI pro</w:t>
      </w:r>
      <w:r w:rsidR="00ED6AE4" w:rsidRPr="00DD6BE4">
        <w:rPr>
          <w:lang w:val="es-ES_tradnl"/>
        </w:rPr>
        <w:t>muevan</w:t>
      </w:r>
      <w:r w:rsidR="00BA46EF" w:rsidRPr="00DD6BE4">
        <w:rPr>
          <w:lang w:val="es-ES_tradnl"/>
        </w:rPr>
        <w:t xml:space="preserve"> </w:t>
      </w:r>
      <w:r w:rsidR="000C58D4" w:rsidRPr="00DD6BE4">
        <w:rPr>
          <w:lang w:val="es-ES_tradnl"/>
        </w:rPr>
        <w:t xml:space="preserve">el intercambio de información para </w:t>
      </w:r>
      <w:r w:rsidR="002E5685" w:rsidRPr="00DD6BE4">
        <w:rPr>
          <w:lang w:val="es-ES_tradnl"/>
        </w:rPr>
        <w:t xml:space="preserve">aprovechar </w:t>
      </w:r>
      <w:r w:rsidR="00ED6AE4" w:rsidRPr="00DD6BE4">
        <w:rPr>
          <w:lang w:val="es-ES_tradnl"/>
        </w:rPr>
        <w:t>la</w:t>
      </w:r>
      <w:r w:rsidR="00E82D06" w:rsidRPr="00DD6BE4">
        <w:rPr>
          <w:lang w:val="es-ES_tradnl"/>
        </w:rPr>
        <w:t xml:space="preserve"> experiencia</w:t>
      </w:r>
      <w:r w:rsidR="000C58D4" w:rsidRPr="00DD6BE4">
        <w:rPr>
          <w:lang w:val="es-ES_tradnl"/>
        </w:rPr>
        <w:t xml:space="preserve"> de los demás y optimizar las soluciones</w:t>
      </w:r>
      <w:r w:rsidR="002E5685" w:rsidRPr="00DD6BE4">
        <w:rPr>
          <w:lang w:val="es-ES_tradnl"/>
        </w:rPr>
        <w:t xml:space="preserve">. </w:t>
      </w:r>
      <w:r w:rsidR="00580538" w:rsidRPr="00DD6BE4">
        <w:rPr>
          <w:lang w:val="es-ES_tradnl"/>
        </w:rPr>
        <w:t>Además,</w:t>
      </w:r>
      <w:r w:rsidR="002E5685" w:rsidRPr="00DD6BE4">
        <w:rPr>
          <w:lang w:val="es-ES_tradnl"/>
        </w:rPr>
        <w:t xml:space="preserve"> </w:t>
      </w:r>
      <w:r w:rsidR="00ED6AE4" w:rsidRPr="00DD6BE4">
        <w:rPr>
          <w:lang w:val="es-ES_tradnl"/>
        </w:rPr>
        <w:t>hay</w:t>
      </w:r>
      <w:r w:rsidR="002E5685" w:rsidRPr="00DD6BE4">
        <w:rPr>
          <w:lang w:val="es-ES_tradnl"/>
        </w:rPr>
        <w:t xml:space="preserve"> casos en los que, si se evitan las duplicaciones y se </w:t>
      </w:r>
      <w:r w:rsidR="00ED6AE4" w:rsidRPr="00DD6BE4">
        <w:rPr>
          <w:lang w:val="es-ES_tradnl"/>
        </w:rPr>
        <w:t>fomenta</w:t>
      </w:r>
      <w:r w:rsidR="002E5685" w:rsidRPr="00DD6BE4">
        <w:rPr>
          <w:lang w:val="es-ES_tradnl"/>
        </w:rPr>
        <w:t xml:space="preserve"> la colaboración, se podría</w:t>
      </w:r>
      <w:r w:rsidR="008052E0" w:rsidRPr="00DD6BE4">
        <w:rPr>
          <w:lang w:val="es-ES_tradnl"/>
        </w:rPr>
        <w:t xml:space="preserve"> disponer de </w:t>
      </w:r>
      <w:r w:rsidR="001F3F82" w:rsidRPr="00DD6BE4">
        <w:rPr>
          <w:lang w:val="es-ES_tradnl"/>
        </w:rPr>
        <w:t xml:space="preserve">más </w:t>
      </w:r>
      <w:r w:rsidR="002E5685" w:rsidRPr="00DD6BE4">
        <w:rPr>
          <w:lang w:val="es-ES_tradnl"/>
        </w:rPr>
        <w:t xml:space="preserve">recursos para incrementar la </w:t>
      </w:r>
      <w:r w:rsidR="00BA46EF" w:rsidRPr="00DD6BE4">
        <w:rPr>
          <w:lang w:val="es-ES_tradnl"/>
        </w:rPr>
        <w:t>rapidez</w:t>
      </w:r>
      <w:r w:rsidR="002E5685" w:rsidRPr="00DD6BE4">
        <w:rPr>
          <w:lang w:val="es-ES_tradnl"/>
        </w:rPr>
        <w:t xml:space="preserve"> y diversidad de las transformaciones de</w:t>
      </w:r>
      <w:r w:rsidR="00BA46EF" w:rsidRPr="00DD6BE4">
        <w:rPr>
          <w:lang w:val="es-ES_tradnl"/>
        </w:rPr>
        <w:t xml:space="preserve"> los</w:t>
      </w:r>
      <w:r w:rsidR="002E5685" w:rsidRPr="00DD6BE4">
        <w:rPr>
          <w:lang w:val="es-ES_tradnl"/>
        </w:rPr>
        <w:t xml:space="preserve"> proce</w:t>
      </w:r>
      <w:r w:rsidR="00463BF7" w:rsidRPr="00DD6BE4">
        <w:rPr>
          <w:lang w:val="es-ES_tradnl"/>
        </w:rPr>
        <w:t>sos</w:t>
      </w:r>
      <w:r w:rsidR="002E5685" w:rsidRPr="00DD6BE4">
        <w:rPr>
          <w:lang w:val="es-ES_tradnl"/>
        </w:rPr>
        <w:t xml:space="preserve">. </w:t>
      </w:r>
      <w:r w:rsidR="00BA46EF" w:rsidRPr="00DD6BE4">
        <w:rPr>
          <w:lang w:val="es-ES_tradnl"/>
        </w:rPr>
        <w:t xml:space="preserve">Aunque </w:t>
      </w:r>
      <w:r w:rsidR="00580538" w:rsidRPr="00DD6BE4">
        <w:rPr>
          <w:lang w:val="es-ES_tradnl"/>
        </w:rPr>
        <w:t xml:space="preserve">es posible que </w:t>
      </w:r>
      <w:r w:rsidR="00BA46EF" w:rsidRPr="00DD6BE4">
        <w:rPr>
          <w:lang w:val="es-ES_tradnl"/>
        </w:rPr>
        <w:t xml:space="preserve">algunas OPI </w:t>
      </w:r>
      <w:r w:rsidR="00580538" w:rsidRPr="00DD6BE4">
        <w:rPr>
          <w:lang w:val="es-ES_tradnl"/>
        </w:rPr>
        <w:t xml:space="preserve">estén </w:t>
      </w:r>
      <w:r w:rsidR="00BA46EF" w:rsidRPr="00DD6BE4">
        <w:rPr>
          <w:lang w:val="es-ES_tradnl"/>
        </w:rPr>
        <w:t xml:space="preserve">desarrollando soluciones </w:t>
      </w:r>
      <w:r w:rsidR="005A1C9F" w:rsidRPr="00DD6BE4">
        <w:rPr>
          <w:lang w:val="es-ES_tradnl"/>
        </w:rPr>
        <w:t xml:space="preserve">de </w:t>
      </w:r>
      <w:r w:rsidR="00BA46EF" w:rsidRPr="00DD6BE4">
        <w:rPr>
          <w:lang w:val="es-ES_tradnl"/>
        </w:rPr>
        <w:t xml:space="preserve">TIC más avanzadas, </w:t>
      </w:r>
      <w:r w:rsidR="00B76861" w:rsidRPr="00DD6BE4">
        <w:rPr>
          <w:lang w:val="es-ES_tradnl"/>
        </w:rPr>
        <w:t>quizá</w:t>
      </w:r>
      <w:r w:rsidR="00545D23" w:rsidRPr="00DD6BE4">
        <w:rPr>
          <w:lang w:val="es-ES_tradnl"/>
        </w:rPr>
        <w:t xml:space="preserve"> tengan versiones antiguas que </w:t>
      </w:r>
      <w:r w:rsidR="00B76861" w:rsidRPr="00DD6BE4">
        <w:rPr>
          <w:lang w:val="es-ES_tradnl"/>
        </w:rPr>
        <w:t>quieren</w:t>
      </w:r>
      <w:r w:rsidR="00545D23" w:rsidRPr="00DD6BE4">
        <w:rPr>
          <w:lang w:val="es-ES_tradnl"/>
        </w:rPr>
        <w:t xml:space="preserve"> compartir con otras </w:t>
      </w:r>
      <w:r w:rsidR="00580538" w:rsidRPr="00DD6BE4">
        <w:rPr>
          <w:lang w:val="es-ES_tradnl"/>
        </w:rPr>
        <w:t>oficinas</w:t>
      </w:r>
      <w:r w:rsidR="00F86C31" w:rsidRPr="00DD6BE4">
        <w:rPr>
          <w:lang w:val="es-ES_tradnl"/>
        </w:rPr>
        <w:t>.</w:t>
      </w:r>
    </w:p>
    <w:p w14:paraId="2C42091A" w14:textId="77777777" w:rsidR="00497A1B" w:rsidRPr="00DD6BE4" w:rsidRDefault="00497A1B" w:rsidP="00580538">
      <w:pPr>
        <w:rPr>
          <w:lang w:val="es-ES_tradnl"/>
        </w:rPr>
      </w:pPr>
    </w:p>
    <w:p w14:paraId="01E4C5D1" w14:textId="5F5C3A46" w:rsidR="00497A1B" w:rsidRPr="00DD6BE4" w:rsidRDefault="00D21B2E" w:rsidP="00497A1B">
      <w:pPr>
        <w:pStyle w:val="ListParagraph"/>
        <w:numPr>
          <w:ilvl w:val="0"/>
          <w:numId w:val="4"/>
        </w:numPr>
        <w:tabs>
          <w:tab w:val="left" w:pos="540"/>
        </w:tabs>
        <w:spacing w:after="240"/>
        <w:ind w:left="0" w:firstLine="0"/>
        <w:rPr>
          <w:lang w:val="es-ES_tradnl"/>
        </w:rPr>
      </w:pPr>
      <w:r w:rsidRPr="00DD6BE4">
        <w:rPr>
          <w:lang w:val="es-ES_tradnl"/>
        </w:rPr>
        <w:t>Bajo todos estos avances y adaptaciones de TIC hay conjunto</w:t>
      </w:r>
      <w:r w:rsidR="009125AC" w:rsidRPr="00DD6BE4">
        <w:rPr>
          <w:lang w:val="es-ES_tradnl"/>
        </w:rPr>
        <w:t>s</w:t>
      </w:r>
      <w:r w:rsidRPr="00DD6BE4">
        <w:rPr>
          <w:lang w:val="es-ES_tradnl"/>
        </w:rPr>
        <w:t xml:space="preserve"> de datos </w:t>
      </w:r>
      <w:r w:rsidR="00707119" w:rsidRPr="00DD6BE4">
        <w:rPr>
          <w:lang w:val="es-ES_tradnl"/>
        </w:rPr>
        <w:t>e</w:t>
      </w:r>
      <w:r w:rsidRPr="00DD6BE4">
        <w:rPr>
          <w:lang w:val="es-ES_tradnl"/>
        </w:rPr>
        <w:t xml:space="preserve"> información sobre registros y solicitudes de PI gestionados, tramitados y recogidos por las OPI. </w:t>
      </w:r>
      <w:r w:rsidR="00707119" w:rsidRPr="00DD6BE4">
        <w:rPr>
          <w:lang w:val="es-ES_tradnl"/>
        </w:rPr>
        <w:t xml:space="preserve">Aunque son valiosos </w:t>
      </w:r>
      <w:r w:rsidR="00287E2D" w:rsidRPr="00DD6BE4">
        <w:rPr>
          <w:lang w:val="es-ES_tradnl"/>
        </w:rPr>
        <w:t>por</w:t>
      </w:r>
      <w:r w:rsidR="00707119" w:rsidRPr="00DD6BE4">
        <w:rPr>
          <w:lang w:val="es-ES_tradnl"/>
        </w:rPr>
        <w:t xml:space="preserve"> sí mismos, </w:t>
      </w:r>
      <w:r w:rsidR="00664884" w:rsidRPr="00DD6BE4">
        <w:rPr>
          <w:lang w:val="es-ES_tradnl"/>
        </w:rPr>
        <w:t xml:space="preserve">todo </w:t>
      </w:r>
      <w:r w:rsidR="00707119" w:rsidRPr="00DD6BE4">
        <w:rPr>
          <w:lang w:val="es-ES_tradnl"/>
        </w:rPr>
        <w:t>el potencial de promover mejores sistemas de PI y crecimiento económico</w:t>
      </w:r>
      <w:r w:rsidR="00664884" w:rsidRPr="00DD6BE4">
        <w:rPr>
          <w:lang w:val="es-ES_tradnl"/>
        </w:rPr>
        <w:t xml:space="preserve"> </w:t>
      </w:r>
      <w:r w:rsidR="003C3AFD" w:rsidRPr="00DD6BE4">
        <w:rPr>
          <w:lang w:val="es-ES_tradnl"/>
        </w:rPr>
        <w:t>se revela</w:t>
      </w:r>
      <w:r w:rsidR="00070D88" w:rsidRPr="00DD6BE4">
        <w:rPr>
          <w:lang w:val="es-ES_tradnl"/>
        </w:rPr>
        <w:t xml:space="preserve"> cuando </w:t>
      </w:r>
      <w:r w:rsidR="009125AC" w:rsidRPr="00DD6BE4">
        <w:rPr>
          <w:lang w:val="es-ES_tradnl"/>
        </w:rPr>
        <w:t xml:space="preserve">las OPI completan, normalizan y comparten </w:t>
      </w:r>
      <w:r w:rsidR="00070D88" w:rsidRPr="00DD6BE4">
        <w:rPr>
          <w:lang w:val="es-ES_tradnl"/>
        </w:rPr>
        <w:t>estos conjuntos de datos</w:t>
      </w:r>
      <w:r w:rsidR="00497A1B" w:rsidRPr="00DD6BE4">
        <w:rPr>
          <w:lang w:val="es-ES_tradnl"/>
        </w:rPr>
        <w:t>.</w:t>
      </w:r>
    </w:p>
    <w:p w14:paraId="2DC87155" w14:textId="77777777" w:rsidR="00497A1B" w:rsidRPr="00DD6BE4" w:rsidRDefault="00497A1B" w:rsidP="00881514">
      <w:pPr>
        <w:pStyle w:val="ListParagraph"/>
        <w:ind w:left="0"/>
        <w:rPr>
          <w:lang w:val="es-ES_tradnl"/>
        </w:rPr>
      </w:pPr>
    </w:p>
    <w:p w14:paraId="33323C31" w14:textId="2D365608" w:rsidR="00497A1B" w:rsidRPr="00DD6BE4" w:rsidRDefault="001425CF" w:rsidP="00497A1B">
      <w:pPr>
        <w:pStyle w:val="ListParagraph"/>
        <w:numPr>
          <w:ilvl w:val="0"/>
          <w:numId w:val="4"/>
        </w:numPr>
        <w:tabs>
          <w:tab w:val="left" w:pos="540"/>
        </w:tabs>
        <w:spacing w:after="240"/>
        <w:ind w:left="0" w:firstLine="0"/>
        <w:rPr>
          <w:lang w:val="es-ES_tradnl"/>
        </w:rPr>
      </w:pPr>
      <w:r w:rsidRPr="00DD6BE4">
        <w:rPr>
          <w:lang w:val="es-ES_tradnl"/>
        </w:rPr>
        <w:t>Paralelamente, se está</w:t>
      </w:r>
      <w:r w:rsidR="003D723B" w:rsidRPr="00DD6BE4">
        <w:rPr>
          <w:lang w:val="es-ES_tradnl"/>
        </w:rPr>
        <w:t>n</w:t>
      </w:r>
      <w:r w:rsidRPr="00DD6BE4">
        <w:rPr>
          <w:lang w:val="es-ES_tradnl"/>
        </w:rPr>
        <w:t xml:space="preserve"> desarrollando herramientas </w:t>
      </w:r>
      <w:r w:rsidR="00AD3F85" w:rsidRPr="00DD6BE4">
        <w:rPr>
          <w:lang w:val="es-ES_tradnl"/>
        </w:rPr>
        <w:t xml:space="preserve">de </w:t>
      </w:r>
      <w:r w:rsidR="00E1194B" w:rsidRPr="00DD6BE4">
        <w:rPr>
          <w:lang w:val="es-ES_tradnl"/>
        </w:rPr>
        <w:t>TIC en el sector privado que pueden a</w:t>
      </w:r>
      <w:r w:rsidR="003D723B" w:rsidRPr="00DD6BE4">
        <w:rPr>
          <w:lang w:val="es-ES_tradnl"/>
        </w:rPr>
        <w:t>yuda</w:t>
      </w:r>
      <w:r w:rsidR="00E1194B" w:rsidRPr="00DD6BE4">
        <w:rPr>
          <w:lang w:val="es-ES_tradnl"/>
        </w:rPr>
        <w:t xml:space="preserve">r a los innovadores y creadores </w:t>
      </w:r>
      <w:r w:rsidR="00B33D92" w:rsidRPr="00DD6BE4">
        <w:rPr>
          <w:lang w:val="es-ES_tradnl"/>
        </w:rPr>
        <w:t>durante</w:t>
      </w:r>
      <w:r w:rsidR="003D723B" w:rsidRPr="00DD6BE4">
        <w:rPr>
          <w:lang w:val="es-ES_tradnl"/>
        </w:rPr>
        <w:t xml:space="preserve"> las etapas </w:t>
      </w:r>
      <w:r w:rsidR="000F5F34" w:rsidRPr="00DD6BE4">
        <w:rPr>
          <w:lang w:val="es-ES_tradnl"/>
        </w:rPr>
        <w:t>posteriores</w:t>
      </w:r>
      <w:r w:rsidR="003D723B" w:rsidRPr="00DD6BE4">
        <w:rPr>
          <w:lang w:val="es-ES_tradnl"/>
        </w:rPr>
        <w:t xml:space="preserve"> </w:t>
      </w:r>
      <w:r w:rsidR="00B33D92" w:rsidRPr="00DD6BE4">
        <w:rPr>
          <w:lang w:val="es-ES_tradnl"/>
        </w:rPr>
        <w:t xml:space="preserve">en </w:t>
      </w:r>
      <w:r w:rsidR="003D723B" w:rsidRPr="00DD6BE4">
        <w:rPr>
          <w:lang w:val="es-ES_tradnl"/>
        </w:rPr>
        <w:t>el ciclo de sus derechos de PI.</w:t>
      </w:r>
      <w:r w:rsidR="005D61E0" w:rsidRPr="00DD6BE4">
        <w:rPr>
          <w:lang w:val="es-ES_tradnl"/>
        </w:rPr>
        <w:t xml:space="preserve"> </w:t>
      </w:r>
      <w:r w:rsidR="00881514" w:rsidRPr="00DD6BE4">
        <w:rPr>
          <w:lang w:val="es-ES_tradnl"/>
        </w:rPr>
        <w:t>Cada vez más, es necesario que</w:t>
      </w:r>
      <w:r w:rsidR="001224BA" w:rsidRPr="00DD6BE4">
        <w:rPr>
          <w:lang w:val="es-ES_tradnl"/>
        </w:rPr>
        <w:t xml:space="preserve"> las OPI estén al corriente del desarrollo de nuevas tecnologías, de su potencial de ofrecer soluciones innovadoras y, cuando corresponda, faciliten el acceso a los conjuntos de datos para</w:t>
      </w:r>
      <w:r w:rsidR="000F5F34" w:rsidRPr="00DD6BE4">
        <w:rPr>
          <w:lang w:val="es-ES_tradnl"/>
        </w:rPr>
        <w:t xml:space="preserve"> permitir una interrelación más fluida entre los proce</w:t>
      </w:r>
      <w:r w:rsidR="00664884" w:rsidRPr="00DD6BE4">
        <w:rPr>
          <w:lang w:val="es-ES_tradnl"/>
        </w:rPr>
        <w:t>sos</w:t>
      </w:r>
      <w:r w:rsidR="000F5F34" w:rsidRPr="00DD6BE4">
        <w:rPr>
          <w:lang w:val="es-ES_tradnl"/>
        </w:rPr>
        <w:t xml:space="preserve"> de las OPI y </w:t>
      </w:r>
      <w:r w:rsidR="00881514" w:rsidRPr="00DD6BE4">
        <w:rPr>
          <w:lang w:val="es-ES_tradnl"/>
        </w:rPr>
        <w:t xml:space="preserve">las </w:t>
      </w:r>
      <w:r w:rsidR="000F5F34" w:rsidRPr="00DD6BE4">
        <w:rPr>
          <w:lang w:val="es-ES_tradnl"/>
        </w:rPr>
        <w:t>herramientas</w:t>
      </w:r>
      <w:r w:rsidR="001224BA" w:rsidRPr="00DD6BE4">
        <w:rPr>
          <w:lang w:val="es-ES_tradnl"/>
        </w:rPr>
        <w:t xml:space="preserve"> </w:t>
      </w:r>
      <w:r w:rsidR="00881514" w:rsidRPr="00DD6BE4">
        <w:rPr>
          <w:lang w:val="es-ES_tradnl"/>
        </w:rPr>
        <w:t xml:space="preserve">que vayan surgiendo </w:t>
      </w:r>
      <w:r w:rsidR="00B33D92" w:rsidRPr="00DD6BE4">
        <w:rPr>
          <w:lang w:val="es-ES_tradnl"/>
        </w:rPr>
        <w:t xml:space="preserve">para la gestión de la PI. </w:t>
      </w:r>
      <w:r w:rsidR="00480225" w:rsidRPr="00DD6BE4">
        <w:rPr>
          <w:lang w:val="es-ES_tradnl"/>
        </w:rPr>
        <w:t>Existe una creciente necesidad de que l</w:t>
      </w:r>
      <w:r w:rsidR="00B33D92" w:rsidRPr="00DD6BE4">
        <w:rPr>
          <w:lang w:val="es-ES_tradnl"/>
        </w:rPr>
        <w:t xml:space="preserve">as OPI </w:t>
      </w:r>
      <w:r w:rsidR="00480225" w:rsidRPr="00DD6BE4">
        <w:rPr>
          <w:lang w:val="es-ES_tradnl"/>
        </w:rPr>
        <w:t xml:space="preserve">examinen </w:t>
      </w:r>
      <w:r w:rsidR="003B57B8" w:rsidRPr="00DD6BE4">
        <w:rPr>
          <w:lang w:val="es-ES_tradnl"/>
        </w:rPr>
        <w:t>el campo</w:t>
      </w:r>
      <w:r w:rsidR="00480225" w:rsidRPr="00DD6BE4">
        <w:rPr>
          <w:lang w:val="es-ES_tradnl"/>
        </w:rPr>
        <w:t xml:space="preserve"> de las nuevas tecnologías y valor</w:t>
      </w:r>
      <w:r w:rsidR="005A1153" w:rsidRPr="00DD6BE4">
        <w:rPr>
          <w:lang w:val="es-ES_tradnl"/>
        </w:rPr>
        <w:t>en</w:t>
      </w:r>
      <w:r w:rsidR="00480225" w:rsidRPr="00DD6BE4">
        <w:rPr>
          <w:lang w:val="es-ES_tradnl"/>
        </w:rPr>
        <w:t xml:space="preserve"> sus posibles usos, así como </w:t>
      </w:r>
      <w:r w:rsidR="005A1153" w:rsidRPr="00DD6BE4">
        <w:rPr>
          <w:lang w:val="es-ES_tradnl"/>
        </w:rPr>
        <w:t>los inconvenientes</w:t>
      </w:r>
      <w:r w:rsidR="00480225" w:rsidRPr="00DD6BE4">
        <w:rPr>
          <w:lang w:val="es-ES_tradnl"/>
        </w:rPr>
        <w:t xml:space="preserve"> que pued</w:t>
      </w:r>
      <w:r w:rsidR="008A48F3" w:rsidRPr="00DD6BE4">
        <w:rPr>
          <w:lang w:val="es-ES_tradnl"/>
        </w:rPr>
        <w:t>a</w:t>
      </w:r>
      <w:r w:rsidR="00480225" w:rsidRPr="00DD6BE4">
        <w:rPr>
          <w:lang w:val="es-ES_tradnl"/>
        </w:rPr>
        <w:t>n causar en el sistema de la</w:t>
      </w:r>
      <w:r w:rsidR="00DB3865" w:rsidRPr="00DD6BE4">
        <w:rPr>
          <w:lang w:val="es-ES_tradnl"/>
        </w:rPr>
        <w:t> </w:t>
      </w:r>
      <w:r w:rsidR="00480225" w:rsidRPr="00DD6BE4">
        <w:rPr>
          <w:lang w:val="es-ES_tradnl"/>
        </w:rPr>
        <w:t>PI.</w:t>
      </w:r>
      <w:r w:rsidR="008A48F3" w:rsidRPr="00DD6BE4">
        <w:rPr>
          <w:lang w:val="es-ES_tradnl"/>
        </w:rPr>
        <w:t xml:space="preserve"> Debe</w:t>
      </w:r>
      <w:r w:rsidR="00EC6E0B" w:rsidRPr="00DD6BE4">
        <w:rPr>
          <w:lang w:val="es-ES_tradnl"/>
        </w:rPr>
        <w:t>n</w:t>
      </w:r>
      <w:r w:rsidR="008A48F3" w:rsidRPr="00DD6BE4">
        <w:rPr>
          <w:lang w:val="es-ES_tradnl"/>
        </w:rPr>
        <w:t xml:space="preserve"> estar al tanto de las soluciones y enfoques desarrollados por el sector privado para asegurarse de que s</w:t>
      </w:r>
      <w:r w:rsidR="00EC6E0B" w:rsidRPr="00DD6BE4">
        <w:rPr>
          <w:lang w:val="es-ES_tradnl"/>
        </w:rPr>
        <w:t xml:space="preserve">e destinen los </w:t>
      </w:r>
      <w:r w:rsidR="008A48F3" w:rsidRPr="00DD6BE4">
        <w:rPr>
          <w:lang w:val="es-ES_tradnl"/>
        </w:rPr>
        <w:t xml:space="preserve">recursos </w:t>
      </w:r>
      <w:r w:rsidR="00EC6E0B" w:rsidRPr="00DD6BE4">
        <w:rPr>
          <w:lang w:val="es-ES_tradnl"/>
        </w:rPr>
        <w:t>necesarios a</w:t>
      </w:r>
      <w:r w:rsidR="008A48F3" w:rsidRPr="00DD6BE4">
        <w:rPr>
          <w:lang w:val="es-ES_tradnl"/>
        </w:rPr>
        <w:t xml:space="preserve"> l</w:t>
      </w:r>
      <w:r w:rsidR="003B57B8" w:rsidRPr="00DD6BE4">
        <w:rPr>
          <w:lang w:val="es-ES_tradnl"/>
        </w:rPr>
        <w:t>os ámbitos</w:t>
      </w:r>
      <w:r w:rsidR="008A48F3" w:rsidRPr="00DD6BE4">
        <w:rPr>
          <w:lang w:val="es-ES_tradnl"/>
        </w:rPr>
        <w:t xml:space="preserve"> </w:t>
      </w:r>
      <w:r w:rsidR="00E0755C" w:rsidRPr="00DD6BE4">
        <w:rPr>
          <w:lang w:val="es-ES_tradnl"/>
        </w:rPr>
        <w:t>adecuad</w:t>
      </w:r>
      <w:r w:rsidR="003B57B8" w:rsidRPr="00DD6BE4">
        <w:rPr>
          <w:lang w:val="es-ES_tradnl"/>
        </w:rPr>
        <w:t>o</w:t>
      </w:r>
      <w:r w:rsidR="00E0755C" w:rsidRPr="00DD6BE4">
        <w:rPr>
          <w:lang w:val="es-ES_tradnl"/>
        </w:rPr>
        <w:t>s</w:t>
      </w:r>
      <w:r w:rsidR="008A48F3" w:rsidRPr="00DD6BE4">
        <w:rPr>
          <w:lang w:val="es-ES_tradnl"/>
        </w:rPr>
        <w:t>.</w:t>
      </w:r>
    </w:p>
    <w:p w14:paraId="2E47A8E8" w14:textId="77777777" w:rsidR="00497A1B" w:rsidRPr="00DD6BE4" w:rsidRDefault="00497A1B" w:rsidP="00497A1B">
      <w:pPr>
        <w:pStyle w:val="ListParagraph"/>
        <w:rPr>
          <w:lang w:val="es-ES_tradnl"/>
        </w:rPr>
      </w:pPr>
    </w:p>
    <w:p w14:paraId="6704043E" w14:textId="508B3131" w:rsidR="00497A1B" w:rsidRPr="00DD6BE4" w:rsidRDefault="00514D49" w:rsidP="00497A1B">
      <w:pPr>
        <w:pStyle w:val="ListParagraph"/>
        <w:numPr>
          <w:ilvl w:val="0"/>
          <w:numId w:val="4"/>
        </w:numPr>
        <w:tabs>
          <w:tab w:val="left" w:pos="540"/>
        </w:tabs>
        <w:spacing w:after="240"/>
        <w:ind w:left="0" w:firstLine="0"/>
        <w:rPr>
          <w:lang w:val="es-ES_tradnl"/>
        </w:rPr>
      </w:pPr>
      <w:r w:rsidRPr="00DD6BE4">
        <w:rPr>
          <w:lang w:val="es-ES_tradnl"/>
        </w:rPr>
        <w:t>A fin de</w:t>
      </w:r>
      <w:r w:rsidR="00E0755C" w:rsidRPr="00DD6BE4">
        <w:rPr>
          <w:lang w:val="es-ES_tradnl"/>
        </w:rPr>
        <w:t xml:space="preserve"> crear soluciones prácticas y accesibles para los usuarios, las OPI deben</w:t>
      </w:r>
      <w:r w:rsidR="009A42A5" w:rsidRPr="00DD6BE4">
        <w:rPr>
          <w:lang w:val="es-ES_tradnl"/>
        </w:rPr>
        <w:t xml:space="preserve"> </w:t>
      </w:r>
      <w:r w:rsidR="00E0755C" w:rsidRPr="00DD6BE4">
        <w:rPr>
          <w:lang w:val="es-ES_tradnl"/>
        </w:rPr>
        <w:t>co</w:t>
      </w:r>
      <w:r w:rsidR="009A42A5" w:rsidRPr="00DD6BE4">
        <w:rPr>
          <w:lang w:val="es-ES_tradnl"/>
        </w:rPr>
        <w:t>mprender también</w:t>
      </w:r>
      <w:r w:rsidR="00E0755C" w:rsidRPr="00DD6BE4">
        <w:rPr>
          <w:lang w:val="es-ES_tradnl"/>
        </w:rPr>
        <w:t xml:space="preserve"> el modo en que la digitalización está cambiando la innovación, la</w:t>
      </w:r>
      <w:r w:rsidR="00CD58CC" w:rsidRPr="00DD6BE4">
        <w:rPr>
          <w:lang w:val="es-ES_tradnl"/>
        </w:rPr>
        <w:t xml:space="preserve"> creación y los modelos de </w:t>
      </w:r>
      <w:r w:rsidR="00100E11" w:rsidRPr="00DD6BE4">
        <w:rPr>
          <w:lang w:val="es-ES_tradnl"/>
        </w:rPr>
        <w:t>trabajo</w:t>
      </w:r>
      <w:r w:rsidR="00CD58CC" w:rsidRPr="00DD6BE4">
        <w:rPr>
          <w:lang w:val="es-ES_tradnl"/>
        </w:rPr>
        <w:t xml:space="preserve">, </w:t>
      </w:r>
      <w:r w:rsidR="003D2FFC" w:rsidRPr="00DD6BE4">
        <w:rPr>
          <w:lang w:val="es-ES_tradnl"/>
        </w:rPr>
        <w:t>así como</w:t>
      </w:r>
      <w:r w:rsidR="00CD58CC" w:rsidRPr="00DD6BE4">
        <w:rPr>
          <w:lang w:val="es-ES_tradnl"/>
        </w:rPr>
        <w:t xml:space="preserve"> los desafíos a los que se enfrentan los emprendedores y las empresas. Paralelamente, promover y </w:t>
      </w:r>
      <w:r w:rsidR="00315DB9" w:rsidRPr="00DD6BE4">
        <w:rPr>
          <w:lang w:val="es-ES_tradnl"/>
        </w:rPr>
        <w:t>transmitir</w:t>
      </w:r>
      <w:r w:rsidR="008878BC" w:rsidRPr="00DD6BE4">
        <w:rPr>
          <w:lang w:val="es-ES_tradnl"/>
        </w:rPr>
        <w:t xml:space="preserve"> </w:t>
      </w:r>
      <w:r w:rsidR="008E48AB" w:rsidRPr="00DD6BE4">
        <w:rPr>
          <w:lang w:val="es-ES_tradnl"/>
        </w:rPr>
        <w:t>la labor</w:t>
      </w:r>
      <w:r w:rsidR="003D2FFC" w:rsidRPr="00DD6BE4">
        <w:rPr>
          <w:lang w:val="es-ES_tradnl"/>
        </w:rPr>
        <w:t xml:space="preserve"> que realizan las OPI al mayor número posible de partes interesadas </w:t>
      </w:r>
      <w:r w:rsidR="00DB3865" w:rsidRPr="00DD6BE4">
        <w:rPr>
          <w:lang w:val="es-ES_tradnl"/>
        </w:rPr>
        <w:t>será esencial, al igual que</w:t>
      </w:r>
      <w:r w:rsidR="003D2FFC" w:rsidRPr="00DD6BE4">
        <w:rPr>
          <w:lang w:val="es-ES_tradnl"/>
        </w:rPr>
        <w:t xml:space="preserve"> </w:t>
      </w:r>
      <w:r w:rsidR="00DB3865" w:rsidRPr="00DD6BE4">
        <w:rPr>
          <w:lang w:val="es-ES_tradnl"/>
        </w:rPr>
        <w:t xml:space="preserve">facilitar el acceso a </w:t>
      </w:r>
      <w:r w:rsidR="003D2FFC" w:rsidRPr="00DD6BE4">
        <w:rPr>
          <w:lang w:val="es-ES_tradnl"/>
        </w:rPr>
        <w:t xml:space="preserve">la PI para </w:t>
      </w:r>
      <w:r w:rsidR="008878BC" w:rsidRPr="00DD6BE4">
        <w:rPr>
          <w:lang w:val="es-ES_tradnl"/>
        </w:rPr>
        <w:t xml:space="preserve">impulsar el crecimiento económico a fin de </w:t>
      </w:r>
      <w:r w:rsidR="00315DB9" w:rsidRPr="00DD6BE4">
        <w:rPr>
          <w:lang w:val="es-ES_tradnl"/>
        </w:rPr>
        <w:t xml:space="preserve">lograr la </w:t>
      </w:r>
      <w:r w:rsidR="00DB3865" w:rsidRPr="00DD6BE4">
        <w:rPr>
          <w:lang w:val="es-ES_tradnl"/>
        </w:rPr>
        <w:t>adop</w:t>
      </w:r>
      <w:r w:rsidR="00315DB9" w:rsidRPr="00DD6BE4">
        <w:rPr>
          <w:lang w:val="es-ES_tradnl"/>
        </w:rPr>
        <w:t xml:space="preserve">ción y </w:t>
      </w:r>
      <w:r w:rsidR="00980A83" w:rsidRPr="00DD6BE4">
        <w:rPr>
          <w:lang w:val="es-ES_tradnl"/>
        </w:rPr>
        <w:t>utilización</w:t>
      </w:r>
      <w:r w:rsidR="00315DB9" w:rsidRPr="00DD6BE4">
        <w:rPr>
          <w:lang w:val="es-ES_tradnl"/>
        </w:rPr>
        <w:t xml:space="preserve"> necesari</w:t>
      </w:r>
      <w:r w:rsidR="00980A83" w:rsidRPr="00DD6BE4">
        <w:rPr>
          <w:lang w:val="es-ES_tradnl"/>
        </w:rPr>
        <w:t>a</w:t>
      </w:r>
      <w:r w:rsidR="00315DB9" w:rsidRPr="00DD6BE4">
        <w:rPr>
          <w:lang w:val="es-ES_tradnl"/>
        </w:rPr>
        <w:t>s de los pro</w:t>
      </w:r>
      <w:r w:rsidR="001F3F82" w:rsidRPr="00DD6BE4">
        <w:rPr>
          <w:lang w:val="es-ES_tradnl"/>
        </w:rPr>
        <w:t>ce</w:t>
      </w:r>
      <w:r w:rsidR="00980A83" w:rsidRPr="00DD6BE4">
        <w:rPr>
          <w:lang w:val="es-ES_tradnl"/>
        </w:rPr>
        <w:t>s</w:t>
      </w:r>
      <w:r w:rsidR="001F3F82" w:rsidRPr="00DD6BE4">
        <w:rPr>
          <w:lang w:val="es-ES_tradnl"/>
        </w:rPr>
        <w:t>o</w:t>
      </w:r>
      <w:r w:rsidR="00315DB9" w:rsidRPr="00DD6BE4">
        <w:rPr>
          <w:lang w:val="es-ES_tradnl"/>
        </w:rPr>
        <w:t>s y servicios transformadores de las OPI.</w:t>
      </w:r>
    </w:p>
    <w:p w14:paraId="23FE8891" w14:textId="77777777" w:rsidR="00497A1B" w:rsidRPr="00DD6BE4" w:rsidRDefault="00497A1B" w:rsidP="00DB3865">
      <w:pPr>
        <w:pStyle w:val="ListParagraph"/>
        <w:ind w:left="0"/>
        <w:rPr>
          <w:lang w:val="es-ES_tradnl"/>
        </w:rPr>
      </w:pPr>
    </w:p>
    <w:p w14:paraId="0FF77C9C" w14:textId="5C0D3670" w:rsidR="00497A1B" w:rsidRPr="00DD6BE4" w:rsidRDefault="00517F21" w:rsidP="00497A1B">
      <w:pPr>
        <w:pStyle w:val="ListParagraph"/>
        <w:numPr>
          <w:ilvl w:val="0"/>
          <w:numId w:val="4"/>
        </w:numPr>
        <w:tabs>
          <w:tab w:val="left" w:pos="540"/>
        </w:tabs>
        <w:spacing w:after="240"/>
        <w:ind w:left="0" w:firstLine="0"/>
        <w:rPr>
          <w:lang w:val="es-ES_tradnl"/>
        </w:rPr>
      </w:pPr>
      <w:r w:rsidRPr="00DD6BE4">
        <w:rPr>
          <w:lang w:val="es-ES_tradnl"/>
        </w:rPr>
        <w:t>La sensibilización, el intercambio de información y el fomento de la colaboración solo pueden lograrse mediante un diálogo abierto y conectando con un amplio y diverso número de partes interesadas, incluidas las OPI</w:t>
      </w:r>
      <w:r w:rsidR="00497A1B" w:rsidRPr="00DD6BE4">
        <w:rPr>
          <w:lang w:val="es-ES_tradnl"/>
        </w:rPr>
        <w:t>.</w:t>
      </w:r>
    </w:p>
    <w:p w14:paraId="64E6B817" w14:textId="77777777" w:rsidR="00497A1B" w:rsidRPr="00DD6BE4" w:rsidRDefault="00497A1B" w:rsidP="00DB3865">
      <w:pPr>
        <w:pStyle w:val="ListParagraph"/>
        <w:ind w:left="0"/>
        <w:rPr>
          <w:lang w:val="es-ES_tradnl"/>
        </w:rPr>
      </w:pPr>
    </w:p>
    <w:p w14:paraId="2D10C9D2" w14:textId="0688A6B3" w:rsidR="00497A1B" w:rsidRPr="00DD6BE4" w:rsidRDefault="008052E0" w:rsidP="00497A1B">
      <w:pPr>
        <w:pStyle w:val="ListParagraph"/>
        <w:numPr>
          <w:ilvl w:val="0"/>
          <w:numId w:val="4"/>
        </w:numPr>
        <w:tabs>
          <w:tab w:val="left" w:pos="540"/>
        </w:tabs>
        <w:spacing w:after="240"/>
        <w:ind w:left="0" w:firstLine="0"/>
        <w:rPr>
          <w:lang w:val="es-ES_tradnl"/>
        </w:rPr>
      </w:pPr>
      <w:r w:rsidRPr="00DD6BE4">
        <w:rPr>
          <w:lang w:val="es-ES_tradnl"/>
        </w:rPr>
        <w:t xml:space="preserve">El Diálogo de la OMPI sobre </w:t>
      </w:r>
      <w:r w:rsidR="00590263" w:rsidRPr="00DD6BE4">
        <w:rPr>
          <w:lang w:val="es-ES_tradnl"/>
        </w:rPr>
        <w:t xml:space="preserve">la </w:t>
      </w:r>
      <w:r w:rsidRPr="00DD6BE4">
        <w:rPr>
          <w:lang w:val="es-ES_tradnl"/>
        </w:rPr>
        <w:t xml:space="preserve">PI y las tecnologías de vanguardia ha demostrado </w:t>
      </w:r>
      <w:r w:rsidR="009A42A5" w:rsidRPr="00DD6BE4">
        <w:rPr>
          <w:lang w:val="es-ES_tradnl"/>
        </w:rPr>
        <w:t xml:space="preserve">ser un </w:t>
      </w:r>
      <w:r w:rsidR="00980A83" w:rsidRPr="00DD6BE4">
        <w:rPr>
          <w:lang w:val="es-ES_tradnl"/>
        </w:rPr>
        <w:t>cauce</w:t>
      </w:r>
      <w:r w:rsidR="009A42A5" w:rsidRPr="00DD6BE4">
        <w:rPr>
          <w:lang w:val="es-ES_tradnl"/>
        </w:rPr>
        <w:t xml:space="preserve"> global fundamental</w:t>
      </w:r>
      <w:r w:rsidR="00590263" w:rsidRPr="00DD6BE4">
        <w:rPr>
          <w:lang w:val="es-ES_tradnl"/>
        </w:rPr>
        <w:t xml:space="preserve"> de gran aceptación </w:t>
      </w:r>
      <w:r w:rsidR="006C5D67" w:rsidRPr="00DD6BE4">
        <w:rPr>
          <w:lang w:val="es-ES_tradnl"/>
        </w:rPr>
        <w:t>que proporciona</w:t>
      </w:r>
      <w:r w:rsidR="00590263" w:rsidRPr="00DD6BE4">
        <w:rPr>
          <w:lang w:val="es-ES_tradnl"/>
        </w:rPr>
        <w:t xml:space="preserve"> un foro abierto e inclusivo en </w:t>
      </w:r>
      <w:r w:rsidR="00822EAB" w:rsidRPr="00DD6BE4">
        <w:rPr>
          <w:lang w:val="es-ES_tradnl"/>
        </w:rPr>
        <w:t xml:space="preserve">el que </w:t>
      </w:r>
      <w:r w:rsidR="00590263" w:rsidRPr="00DD6BE4">
        <w:rPr>
          <w:lang w:val="es-ES_tradnl"/>
        </w:rPr>
        <w:t xml:space="preserve">participar y promover </w:t>
      </w:r>
      <w:r w:rsidR="006C5D67" w:rsidRPr="00DD6BE4">
        <w:rPr>
          <w:lang w:val="es-ES_tradnl"/>
        </w:rPr>
        <w:t xml:space="preserve">conversaciones y el fomento del conocimiento </w:t>
      </w:r>
      <w:r w:rsidR="00A63DE1" w:rsidRPr="00DD6BE4">
        <w:rPr>
          <w:lang w:val="es-ES_tradnl"/>
        </w:rPr>
        <w:t>con</w:t>
      </w:r>
      <w:r w:rsidR="006C5D67" w:rsidRPr="00DD6BE4">
        <w:rPr>
          <w:lang w:val="es-ES_tradnl"/>
        </w:rPr>
        <w:t xml:space="preserve"> el mayor número posible de partes interesadas sobre </w:t>
      </w:r>
      <w:r w:rsidR="00980A83" w:rsidRPr="00DD6BE4">
        <w:rPr>
          <w:lang w:val="es-ES_tradnl"/>
        </w:rPr>
        <w:t>la repercusión</w:t>
      </w:r>
      <w:r w:rsidR="006C5D67" w:rsidRPr="00DD6BE4">
        <w:rPr>
          <w:lang w:val="es-ES_tradnl"/>
        </w:rPr>
        <w:t xml:space="preserve"> de las tecnologías de vanguardia en la PI</w:t>
      </w:r>
      <w:r w:rsidR="002E6A73" w:rsidRPr="00DD6BE4">
        <w:rPr>
          <w:lang w:val="es-ES_tradnl"/>
        </w:rPr>
        <w:t>.</w:t>
      </w:r>
    </w:p>
    <w:p w14:paraId="0BB2979D" w14:textId="77777777" w:rsidR="00497A1B" w:rsidRPr="00DD6BE4" w:rsidRDefault="00497A1B" w:rsidP="00DB3865">
      <w:pPr>
        <w:pStyle w:val="ListParagraph"/>
        <w:ind w:left="0"/>
        <w:rPr>
          <w:lang w:val="es-ES_tradnl"/>
        </w:rPr>
      </w:pPr>
    </w:p>
    <w:p w14:paraId="1CA4B479" w14:textId="6DCBCDC4" w:rsidR="00497A1B" w:rsidRPr="00DD6BE4" w:rsidRDefault="00822EAB" w:rsidP="002637B0">
      <w:pPr>
        <w:pStyle w:val="ListParagraph"/>
        <w:numPr>
          <w:ilvl w:val="0"/>
          <w:numId w:val="4"/>
        </w:numPr>
        <w:tabs>
          <w:tab w:val="left" w:pos="540"/>
        </w:tabs>
        <w:spacing w:after="480"/>
        <w:ind w:left="0" w:firstLine="0"/>
        <w:contextualSpacing w:val="0"/>
        <w:rPr>
          <w:lang w:val="es-ES_tradnl"/>
        </w:rPr>
      </w:pPr>
      <w:r w:rsidRPr="00DD6BE4">
        <w:rPr>
          <w:lang w:val="es-ES_tradnl"/>
        </w:rPr>
        <w:t>La sesión más reciente</w:t>
      </w:r>
      <w:r w:rsidR="00E746F0" w:rsidRPr="00DD6BE4">
        <w:rPr>
          <w:lang w:val="es-ES_tradnl"/>
        </w:rPr>
        <w:t>, la</w:t>
      </w:r>
      <w:r w:rsidRPr="00DD6BE4">
        <w:rPr>
          <w:lang w:val="es-ES_tradnl"/>
        </w:rPr>
        <w:t xml:space="preserve"> </w:t>
      </w:r>
      <w:r w:rsidR="00E746F0" w:rsidRPr="00DD6BE4">
        <w:rPr>
          <w:lang w:val="es-ES_tradnl"/>
        </w:rPr>
        <w:t xml:space="preserve">quinta, </w:t>
      </w:r>
      <w:r w:rsidRPr="00DD6BE4">
        <w:rPr>
          <w:lang w:val="es-ES_tradnl"/>
        </w:rPr>
        <w:t xml:space="preserve">del Diálogo de la </w:t>
      </w:r>
      <w:r w:rsidR="00E746F0" w:rsidRPr="00DD6BE4">
        <w:rPr>
          <w:lang w:val="es-ES_tradnl"/>
        </w:rPr>
        <w:t>OMPI,</w:t>
      </w:r>
      <w:r w:rsidR="00AD3772" w:rsidRPr="00DD6BE4">
        <w:rPr>
          <w:lang w:val="es-ES_tradnl"/>
        </w:rPr>
        <w:t xml:space="preserve"> titulada</w:t>
      </w:r>
      <w:r w:rsidR="005D61E0" w:rsidRPr="00DD6BE4">
        <w:rPr>
          <w:lang w:val="es-ES_tradnl"/>
        </w:rPr>
        <w:t xml:space="preserve"> </w:t>
      </w:r>
      <w:r w:rsidR="00AD3772" w:rsidRPr="00DD6BE4">
        <w:rPr>
          <w:lang w:val="es-ES_tradnl"/>
        </w:rPr>
        <w:t>“Las tecnologías de vanguardia y la administración de la PI: un aprendizaje mutuo"</w:t>
      </w:r>
      <w:r w:rsidR="00E746F0" w:rsidRPr="00DD6BE4">
        <w:rPr>
          <w:lang w:val="es-ES_tradnl"/>
        </w:rPr>
        <w:t>,</w:t>
      </w:r>
      <w:r w:rsidR="00AD3772" w:rsidRPr="00DD6BE4">
        <w:rPr>
          <w:lang w:val="es-ES_tradnl"/>
        </w:rPr>
        <w:t xml:space="preserve"> </w:t>
      </w:r>
      <w:r w:rsidR="00C353AB" w:rsidRPr="00DD6BE4">
        <w:rPr>
          <w:lang w:val="es-ES_tradnl"/>
        </w:rPr>
        <w:t>tuvo lugar los días 5 y 6 de abril de 2022</w:t>
      </w:r>
      <w:r w:rsidR="00AD3772" w:rsidRPr="00DD6BE4">
        <w:rPr>
          <w:lang w:val="es-ES_tradnl"/>
        </w:rPr>
        <w:t xml:space="preserve">. </w:t>
      </w:r>
      <w:r w:rsidR="00C353AB" w:rsidRPr="00DD6BE4">
        <w:rPr>
          <w:lang w:val="es-ES_tradnl"/>
        </w:rPr>
        <w:t>En ella se analizó en profundidad el creciente uso de las</w:t>
      </w:r>
      <w:r w:rsidR="005A1C9F" w:rsidRPr="00DD6BE4">
        <w:rPr>
          <w:lang w:val="es-ES_tradnl"/>
        </w:rPr>
        <w:t xml:space="preserve"> </w:t>
      </w:r>
      <w:r w:rsidR="00C353AB" w:rsidRPr="00DD6BE4">
        <w:rPr>
          <w:lang w:val="es-ES_tradnl"/>
        </w:rPr>
        <w:t>TIC en las OPI.</w:t>
      </w:r>
      <w:r w:rsidR="000B436B" w:rsidRPr="00DD6BE4">
        <w:rPr>
          <w:lang w:val="es-ES_tradnl"/>
        </w:rPr>
        <w:t xml:space="preserve"> </w:t>
      </w:r>
      <w:r w:rsidR="00E746F0" w:rsidRPr="00DD6BE4">
        <w:rPr>
          <w:lang w:val="es-ES_tradnl"/>
        </w:rPr>
        <w:t>Se inscribieron en la sesión</w:t>
      </w:r>
      <w:r w:rsidR="00AD3772" w:rsidRPr="00DD6BE4">
        <w:rPr>
          <w:lang w:val="es-ES_tradnl"/>
        </w:rPr>
        <w:t xml:space="preserve"> un</w:t>
      </w:r>
      <w:r w:rsidR="00E746F0" w:rsidRPr="00DD6BE4">
        <w:rPr>
          <w:lang w:val="es-ES_tradnl"/>
        </w:rPr>
        <w:t>a</w:t>
      </w:r>
      <w:r w:rsidR="00AD3772" w:rsidRPr="00DD6BE4">
        <w:rPr>
          <w:lang w:val="es-ES_tradnl"/>
        </w:rPr>
        <w:t>s 1</w:t>
      </w:r>
      <w:r w:rsidR="00E746F0" w:rsidRPr="00DD6BE4">
        <w:rPr>
          <w:lang w:val="es-ES_tradnl"/>
        </w:rPr>
        <w:t>.</w:t>
      </w:r>
      <w:r w:rsidR="00AD3772" w:rsidRPr="00DD6BE4">
        <w:rPr>
          <w:lang w:val="es-ES_tradnl"/>
        </w:rPr>
        <w:t xml:space="preserve">000 </w:t>
      </w:r>
      <w:r w:rsidR="00E746F0" w:rsidRPr="00DD6BE4">
        <w:rPr>
          <w:lang w:val="es-ES_tradnl"/>
        </w:rPr>
        <w:t xml:space="preserve">personas </w:t>
      </w:r>
      <w:r w:rsidR="004A075C" w:rsidRPr="00DD6BE4">
        <w:rPr>
          <w:lang w:val="es-ES_tradnl"/>
        </w:rPr>
        <w:t>de</w:t>
      </w:r>
      <w:r w:rsidR="00E746F0" w:rsidRPr="00DD6BE4">
        <w:rPr>
          <w:lang w:val="es-ES_tradnl"/>
        </w:rPr>
        <w:t>sde</w:t>
      </w:r>
      <w:r w:rsidR="005D167C" w:rsidRPr="00DD6BE4">
        <w:rPr>
          <w:lang w:val="es-ES_tradnl"/>
        </w:rPr>
        <w:t xml:space="preserve"> 117 países y </w:t>
      </w:r>
      <w:r w:rsidR="00AD3772" w:rsidRPr="00DD6BE4">
        <w:rPr>
          <w:lang w:val="es-ES_tradnl"/>
        </w:rPr>
        <w:t>hubo</w:t>
      </w:r>
      <w:r w:rsidR="00F861BE" w:rsidRPr="00DD6BE4">
        <w:rPr>
          <w:lang w:val="es-ES_tradnl"/>
        </w:rPr>
        <w:t xml:space="preserve"> reuniones </w:t>
      </w:r>
      <w:r w:rsidR="005D167C" w:rsidRPr="00DD6BE4">
        <w:rPr>
          <w:lang w:val="es-ES_tradnl"/>
        </w:rPr>
        <w:t xml:space="preserve">de intercambio de información con las OPI y el sector privado. </w:t>
      </w:r>
      <w:r w:rsidR="004A075C" w:rsidRPr="00DD6BE4">
        <w:rPr>
          <w:lang w:val="es-ES_tradnl"/>
        </w:rPr>
        <w:t xml:space="preserve">Uno de los temas que </w:t>
      </w:r>
      <w:r w:rsidR="00A10B3B" w:rsidRPr="00DD6BE4">
        <w:rPr>
          <w:lang w:val="es-ES_tradnl"/>
        </w:rPr>
        <w:t xml:space="preserve">surgió </w:t>
      </w:r>
      <w:r w:rsidR="004A075C" w:rsidRPr="00DD6BE4">
        <w:rPr>
          <w:lang w:val="es-ES_tradnl"/>
        </w:rPr>
        <w:t>de la ses</w:t>
      </w:r>
      <w:r w:rsidR="00F861BE" w:rsidRPr="00DD6BE4">
        <w:rPr>
          <w:lang w:val="es-ES_tradnl"/>
        </w:rPr>
        <w:t>ión fue la llamada de muchos</w:t>
      </w:r>
      <w:r w:rsidR="004C176D" w:rsidRPr="00DD6BE4">
        <w:rPr>
          <w:lang w:val="es-ES_tradnl"/>
        </w:rPr>
        <w:t xml:space="preserve"> asistentes</w:t>
      </w:r>
      <w:r w:rsidR="00F861BE" w:rsidRPr="00DD6BE4">
        <w:rPr>
          <w:lang w:val="es-ES_tradnl"/>
        </w:rPr>
        <w:t xml:space="preserve">, tanto de las OPI como de las demás partes interesadas, de promover un mayor intercambio de información y diálogo sobre la </w:t>
      </w:r>
      <w:r w:rsidR="00274CB9" w:rsidRPr="00DD6BE4">
        <w:rPr>
          <w:lang w:val="es-ES_tradnl"/>
        </w:rPr>
        <w:t xml:space="preserve">creciente </w:t>
      </w:r>
      <w:r w:rsidR="00F861BE" w:rsidRPr="00DD6BE4">
        <w:rPr>
          <w:lang w:val="es-ES_tradnl"/>
        </w:rPr>
        <w:t>colaboración</w:t>
      </w:r>
      <w:r w:rsidR="004A075C" w:rsidRPr="00DD6BE4">
        <w:rPr>
          <w:lang w:val="es-ES_tradnl"/>
        </w:rPr>
        <w:t xml:space="preserve"> </w:t>
      </w:r>
      <w:r w:rsidR="00274CB9" w:rsidRPr="00DD6BE4">
        <w:rPr>
          <w:lang w:val="es-ES_tradnl"/>
        </w:rPr>
        <w:t xml:space="preserve">en este </w:t>
      </w:r>
      <w:r w:rsidR="000617C2" w:rsidRPr="00DD6BE4">
        <w:rPr>
          <w:lang w:val="es-ES_tradnl"/>
        </w:rPr>
        <w:t>aspecto</w:t>
      </w:r>
      <w:r w:rsidR="00274CB9" w:rsidRPr="00DD6BE4">
        <w:rPr>
          <w:lang w:val="es-ES_tradnl"/>
        </w:rPr>
        <w:t xml:space="preserve">, </w:t>
      </w:r>
      <w:r w:rsidR="004C176D" w:rsidRPr="00DD6BE4">
        <w:rPr>
          <w:lang w:val="es-ES_tradnl"/>
        </w:rPr>
        <w:t>dado</w:t>
      </w:r>
      <w:r w:rsidR="00274CB9" w:rsidRPr="00DD6BE4">
        <w:rPr>
          <w:lang w:val="es-ES_tradnl"/>
        </w:rPr>
        <w:t xml:space="preserve"> que el desarrollo y la adopción de las TIC son muy importantes en la nueva era digital y tendrán un</w:t>
      </w:r>
      <w:r w:rsidR="00D71359" w:rsidRPr="00DD6BE4">
        <w:rPr>
          <w:lang w:val="es-ES_tradnl"/>
        </w:rPr>
        <w:t>a repercusión</w:t>
      </w:r>
      <w:r w:rsidR="00274CB9" w:rsidRPr="00DD6BE4">
        <w:rPr>
          <w:lang w:val="es-ES_tradnl"/>
        </w:rPr>
        <w:t xml:space="preserve"> práctic</w:t>
      </w:r>
      <w:r w:rsidR="00D71359" w:rsidRPr="00DD6BE4">
        <w:rPr>
          <w:lang w:val="es-ES_tradnl"/>
        </w:rPr>
        <w:t>a</w:t>
      </w:r>
      <w:r w:rsidR="00274CB9" w:rsidRPr="00DD6BE4">
        <w:rPr>
          <w:lang w:val="es-ES_tradnl"/>
        </w:rPr>
        <w:t xml:space="preserve"> real en las partes interesadas</w:t>
      </w:r>
      <w:r w:rsidR="002C2AE4" w:rsidRPr="00DD6BE4">
        <w:rPr>
          <w:lang w:val="es-ES_tradnl"/>
        </w:rPr>
        <w:t xml:space="preserve"> de la OMPI</w:t>
      </w:r>
      <w:r w:rsidR="00274CB9" w:rsidRPr="00DD6BE4">
        <w:rPr>
          <w:lang w:val="es-ES_tradnl"/>
        </w:rPr>
        <w:t>, los innovadores y creadores.</w:t>
      </w:r>
    </w:p>
    <w:p w14:paraId="75AC5740" w14:textId="05AB031A" w:rsidR="00497A1B" w:rsidRPr="00DD6BE4" w:rsidRDefault="00503260" w:rsidP="00503260">
      <w:pPr>
        <w:pStyle w:val="Heading2"/>
        <w:numPr>
          <w:ilvl w:val="0"/>
          <w:numId w:val="0"/>
        </w:numPr>
        <w:ind w:left="142" w:hanging="142"/>
        <w:rPr>
          <w:rFonts w:ascii="Times New Roman" w:eastAsia="Times New Roman" w:hAnsi="Times New Roman" w:cs="Times New Roman"/>
          <w:b/>
          <w:sz w:val="24"/>
          <w:szCs w:val="24"/>
          <w:lang w:val="es-ES_tradnl" w:eastAsia="en-US"/>
        </w:rPr>
      </w:pPr>
      <w:r w:rsidRPr="00DD6BE4">
        <w:rPr>
          <w:rFonts w:eastAsia="Times New Roman"/>
          <w:lang w:val="es-ES_tradnl"/>
        </w:rPr>
        <w:t xml:space="preserve">II. </w:t>
      </w:r>
      <w:r w:rsidR="00ED2EE1" w:rsidRPr="00DD6BE4">
        <w:rPr>
          <w:rFonts w:eastAsia="Times New Roman"/>
          <w:lang w:val="es-ES_tradnl"/>
        </w:rPr>
        <w:t xml:space="preserve">ANÁLISIS DE LOS DIFERENTES PROGRAMAS Y HERRAMIENTAS DE ASISTENCIA TÉCNICA / </w:t>
      </w:r>
      <w:r w:rsidR="006A16B7" w:rsidRPr="00DD6BE4">
        <w:rPr>
          <w:rFonts w:eastAsia="Times New Roman"/>
          <w:lang w:val="es-ES_tradnl"/>
        </w:rPr>
        <w:t>programas informáticos desarrollados y ofrecidos por la secretaría de la ompi</w:t>
      </w:r>
    </w:p>
    <w:p w14:paraId="1988792C" w14:textId="77777777" w:rsidR="00DD7399" w:rsidRPr="00DD6BE4" w:rsidRDefault="00DD7399" w:rsidP="00A74CBA">
      <w:pPr>
        <w:keepNext/>
        <w:keepLines/>
        <w:rPr>
          <w:lang w:val="es-ES_tradnl"/>
        </w:rPr>
      </w:pPr>
    </w:p>
    <w:p w14:paraId="3E77E3FF" w14:textId="6EAEB051" w:rsidR="000D5AA5" w:rsidRPr="00DD6BE4" w:rsidRDefault="008A4187" w:rsidP="000D5AA5">
      <w:pPr>
        <w:pStyle w:val="Heading4"/>
        <w:keepLines/>
        <w:numPr>
          <w:ilvl w:val="0"/>
          <w:numId w:val="24"/>
        </w:numPr>
        <w:rPr>
          <w:lang w:val="es-ES_tradnl"/>
        </w:rPr>
      </w:pPr>
      <w:r w:rsidRPr="00DD6BE4">
        <w:rPr>
          <w:lang w:val="es-ES_tradnl"/>
        </w:rPr>
        <w:t>Administración de las OPI</w:t>
      </w:r>
    </w:p>
    <w:p w14:paraId="64512E6E" w14:textId="77777777" w:rsidR="00DD7399" w:rsidRPr="00DD6BE4" w:rsidRDefault="00DD7399" w:rsidP="00A74CBA">
      <w:pPr>
        <w:keepNext/>
        <w:keepLines/>
        <w:rPr>
          <w:lang w:val="es-ES_tradnl"/>
        </w:rPr>
      </w:pPr>
    </w:p>
    <w:p w14:paraId="196F3038" w14:textId="4D107B8B" w:rsidR="00A74CBA" w:rsidRPr="00DD6BE4" w:rsidRDefault="006A16B7" w:rsidP="00B86634">
      <w:pPr>
        <w:pStyle w:val="ListParagraph"/>
        <w:numPr>
          <w:ilvl w:val="0"/>
          <w:numId w:val="4"/>
        </w:numPr>
        <w:tabs>
          <w:tab w:val="left" w:pos="540"/>
        </w:tabs>
        <w:spacing w:after="240"/>
        <w:ind w:left="0" w:firstLine="0"/>
        <w:rPr>
          <w:lang w:val="es-ES_tradnl"/>
        </w:rPr>
      </w:pPr>
      <w:r w:rsidRPr="00DD6BE4">
        <w:rPr>
          <w:lang w:val="es-ES_tradnl"/>
        </w:rPr>
        <w:t xml:space="preserve">La mayoría de los países se benefician actualmente de las modernas tecnologías de la comunicación, como Internet y los teléfonos móviles. Sin embargo, no todos los países en desarrollo y PMA tienen la oportunidad de utilizar los sistemas e instrumentos más avanzados de TIC para administrar sus OPI. La falta de datos digitales de alta calidad sobre los derechos nacionales de PI sigue siendo el primer obstáculo por superar, ya que la disponibilidad de datos de PI en formato digital a nivel internacional no reporta todos los beneficios ni cubre todos los intereses de las partes interesadas locales en los sectores ligados a la innovación y la creación. </w:t>
      </w:r>
    </w:p>
    <w:p w14:paraId="59998A4A" w14:textId="77777777" w:rsidR="00A74CBA" w:rsidRPr="00DD6BE4" w:rsidRDefault="00A74CBA" w:rsidP="00A74CBA">
      <w:pPr>
        <w:pStyle w:val="ListParagraph"/>
        <w:tabs>
          <w:tab w:val="left" w:pos="360"/>
        </w:tabs>
        <w:ind w:left="0"/>
        <w:rPr>
          <w:lang w:val="es-ES_tradnl"/>
        </w:rPr>
      </w:pPr>
    </w:p>
    <w:p w14:paraId="725B30B1" w14:textId="2B1958F1" w:rsidR="00DD7399" w:rsidRPr="00DD6BE4" w:rsidRDefault="00FD3BB8" w:rsidP="00B86634">
      <w:pPr>
        <w:pStyle w:val="ListParagraph"/>
        <w:numPr>
          <w:ilvl w:val="0"/>
          <w:numId w:val="4"/>
        </w:numPr>
        <w:tabs>
          <w:tab w:val="left" w:pos="540"/>
        </w:tabs>
        <w:spacing w:after="240"/>
        <w:ind w:left="0" w:firstLine="0"/>
        <w:rPr>
          <w:lang w:val="es-ES_tradnl"/>
        </w:rPr>
      </w:pPr>
      <w:r w:rsidRPr="00DD6BE4">
        <w:rPr>
          <w:lang w:val="es-ES_tradnl"/>
        </w:rPr>
        <w:t>Las OPI comparten un conjunto de procesos operativos y automatizan los flujos de trabajo relacionados con esas actividades mediante la introducción de la gestión digital de documentos, que consiste en una serie de procedimientos diseñados para recibir las solicitudes de PI en formato digital, gestionar los flujos de trabajo y los casos en un entorno digital, por ejemplo en relación con la búsqueda y examen, y finalmente publicar y difundir datos digitales en materia de PI para ponerlos a disposición del público. Todos esos procedimientos requieren el apoyo de sistemas de TIC que se encarguen de procesar los datos digitales sobre PI de acuerdo con un formato y una estructura normalizados, razón por la cual los Estados miembros se han esforzado por establecer y actualizar una serie de normas técnicas relativas a la digitalización en el marco de la OMPI</w:t>
      </w:r>
      <w:r w:rsidR="00B1175E" w:rsidRPr="00DD6BE4">
        <w:rPr>
          <w:lang w:val="es-ES_tradnl"/>
        </w:rPr>
        <w:t>. La asistencia en este ámbito se ha prestado a través del Comité de Normas Técnicas de la OMPI</w:t>
      </w:r>
      <w:r w:rsidR="00DD7399" w:rsidRPr="00DD6BE4">
        <w:rPr>
          <w:lang w:val="es-ES_tradnl"/>
        </w:rPr>
        <w:t>.</w:t>
      </w:r>
    </w:p>
    <w:p w14:paraId="3762A30C" w14:textId="73FDEA5F" w:rsidR="000D5AA5" w:rsidRPr="00DD6BE4" w:rsidRDefault="00B1175E" w:rsidP="000D5AA5">
      <w:pPr>
        <w:pStyle w:val="Heading4"/>
        <w:keepLines/>
        <w:numPr>
          <w:ilvl w:val="0"/>
          <w:numId w:val="24"/>
        </w:numPr>
        <w:rPr>
          <w:lang w:val="es-ES_tradnl"/>
        </w:rPr>
      </w:pPr>
      <w:r w:rsidRPr="00DD6BE4">
        <w:rPr>
          <w:lang w:val="es-ES_tradnl"/>
        </w:rPr>
        <w:t>Digitalización de los datos sobre PI y creación de datos normalizados desde el punto de vista técnico a partir de los archivos de PI</w:t>
      </w:r>
    </w:p>
    <w:p w14:paraId="3AC942DE" w14:textId="77777777" w:rsidR="000D5AA5" w:rsidRPr="00DD6BE4" w:rsidRDefault="000D5AA5" w:rsidP="000D5AA5">
      <w:pPr>
        <w:keepNext/>
        <w:keepLines/>
        <w:rPr>
          <w:lang w:val="es-ES_tradnl"/>
        </w:rPr>
      </w:pPr>
    </w:p>
    <w:p w14:paraId="3F35498B" w14:textId="77777777" w:rsidR="00DD7399" w:rsidRPr="00DD6BE4" w:rsidRDefault="00DD7399" w:rsidP="00A74CBA">
      <w:pPr>
        <w:keepNext/>
        <w:keepLines/>
        <w:rPr>
          <w:lang w:val="es-ES_tradnl"/>
        </w:rPr>
      </w:pPr>
    </w:p>
    <w:p w14:paraId="7A53320F" w14:textId="6BAB481F" w:rsidR="00DD7399" w:rsidRPr="00DD6BE4" w:rsidRDefault="00745363" w:rsidP="00B86634">
      <w:pPr>
        <w:pStyle w:val="ListParagraph"/>
        <w:numPr>
          <w:ilvl w:val="0"/>
          <w:numId w:val="4"/>
        </w:numPr>
        <w:tabs>
          <w:tab w:val="left" w:pos="540"/>
        </w:tabs>
        <w:spacing w:after="240"/>
        <w:ind w:left="0" w:firstLine="0"/>
        <w:rPr>
          <w:lang w:val="es-ES_tradnl"/>
        </w:rPr>
      </w:pPr>
      <w:r w:rsidRPr="00DD6BE4">
        <w:rPr>
          <w:lang w:val="es-ES_tradnl"/>
        </w:rPr>
        <w:t xml:space="preserve">Las normas técnicas de la OMPI establecen un marco común para los datos, la información y la documentación en materia de PI, con el fin de que las OPI y otras partes interesadas de todo el mundo puedan trabajar de forma más eficiente, armoniosa y oportuna. Garantizan la interoperabilidad de los datos de PI y contribuyen a </w:t>
      </w:r>
      <w:r w:rsidR="00B81A1F" w:rsidRPr="00DD6BE4">
        <w:rPr>
          <w:lang w:val="es-ES_tradnl"/>
        </w:rPr>
        <w:t>la</w:t>
      </w:r>
      <w:r w:rsidRPr="00DD6BE4">
        <w:rPr>
          <w:lang w:val="es-ES_tradnl"/>
        </w:rPr>
        <w:t xml:space="preserve"> difusión </w:t>
      </w:r>
      <w:r w:rsidR="00B81A1F" w:rsidRPr="00DD6BE4">
        <w:rPr>
          <w:lang w:val="es-ES_tradnl"/>
        </w:rPr>
        <w:t>y el</w:t>
      </w:r>
      <w:r w:rsidR="006D55FD" w:rsidRPr="00DD6BE4">
        <w:rPr>
          <w:lang w:val="es-ES_tradnl"/>
        </w:rPr>
        <w:t xml:space="preserve"> intercambio </w:t>
      </w:r>
      <w:r w:rsidRPr="00DD6BE4">
        <w:rPr>
          <w:lang w:val="es-ES_tradnl"/>
        </w:rPr>
        <w:t>más eficiente</w:t>
      </w:r>
      <w:r w:rsidR="006D55FD" w:rsidRPr="00DD6BE4">
        <w:rPr>
          <w:lang w:val="es-ES_tradnl"/>
        </w:rPr>
        <w:t>s</w:t>
      </w:r>
      <w:r w:rsidRPr="00DD6BE4">
        <w:rPr>
          <w:lang w:val="es-ES_tradnl"/>
        </w:rPr>
        <w:t xml:space="preserve"> de la información relativa a la PI. En otras palabras, las normas técnicas de la OMPI ayudan a los usuarios de los sistemas de PI a obtener un mejor acceso y hacer un uso más eficaz de los datos y la información de PI en el entorno digital</w:t>
      </w:r>
      <w:r w:rsidR="00DD7399" w:rsidRPr="00DD6BE4">
        <w:rPr>
          <w:lang w:val="es-ES_tradnl"/>
        </w:rPr>
        <w:t>.</w:t>
      </w:r>
    </w:p>
    <w:p w14:paraId="64B45E1C" w14:textId="77777777" w:rsidR="00A74CBA" w:rsidRPr="00DD6BE4" w:rsidRDefault="00A74CBA" w:rsidP="00A74CBA">
      <w:pPr>
        <w:pStyle w:val="ListParagraph"/>
        <w:tabs>
          <w:tab w:val="left" w:pos="360"/>
        </w:tabs>
        <w:ind w:left="0"/>
        <w:rPr>
          <w:lang w:val="es-ES_tradnl"/>
        </w:rPr>
      </w:pPr>
    </w:p>
    <w:p w14:paraId="768B5154" w14:textId="099AF88C" w:rsidR="00A74CBA" w:rsidRPr="00DD6BE4" w:rsidRDefault="006D55FD" w:rsidP="00EC72F7">
      <w:pPr>
        <w:pStyle w:val="ListParagraph"/>
        <w:numPr>
          <w:ilvl w:val="0"/>
          <w:numId w:val="4"/>
        </w:numPr>
        <w:tabs>
          <w:tab w:val="left" w:pos="540"/>
        </w:tabs>
        <w:spacing w:after="240"/>
        <w:ind w:left="0" w:firstLine="0"/>
        <w:rPr>
          <w:lang w:val="es-ES_tradnl"/>
        </w:rPr>
      </w:pPr>
      <w:r w:rsidRPr="00DD6BE4">
        <w:rPr>
          <w:lang w:val="es-ES_tradnl"/>
        </w:rPr>
        <w:t>Todas las normas técnicas de la OMPI se elaboran a partir del debate entre expertos de las OPI y de los distintos sectores relacionados con la PI, y sobre la base de las mejores prácticas existentes en la comunidad de la PI. Hay alrededor de 1</w:t>
      </w:r>
      <w:r w:rsidR="006362D8" w:rsidRPr="00DD6BE4">
        <w:rPr>
          <w:lang w:val="es-ES_tradnl"/>
        </w:rPr>
        <w:t>4</w:t>
      </w:r>
      <w:r w:rsidRPr="00DD6BE4">
        <w:rPr>
          <w:lang w:val="es-ES_tradnl"/>
        </w:rPr>
        <w:t xml:space="preserve"> equipos técnicos activos bajo la dirección del Comité de Normas Técnicas de la OMPI (CWS), y la participación en el CWS y en los equipos técnicos proporciona un conocimiento más profundo de las normas técnicas de la OMPI, así como la oportunidad de aprender acerca de la forma en que se aplican estas normas en las diferentes </w:t>
      </w:r>
      <w:r w:rsidR="006362D8" w:rsidRPr="00DD6BE4">
        <w:rPr>
          <w:lang w:val="es-ES_tradnl"/>
        </w:rPr>
        <w:t>O</w:t>
      </w:r>
      <w:r w:rsidRPr="00DD6BE4">
        <w:rPr>
          <w:lang w:val="es-ES_tradnl"/>
        </w:rPr>
        <w:t xml:space="preserve">PI, </w:t>
      </w:r>
      <w:r w:rsidR="006362D8" w:rsidRPr="00DD6BE4">
        <w:rPr>
          <w:lang w:val="es-ES_tradnl"/>
        </w:rPr>
        <w:t xml:space="preserve">partes interesadas y usuarios, </w:t>
      </w:r>
      <w:r w:rsidRPr="00DD6BE4">
        <w:rPr>
          <w:lang w:val="es-ES_tradnl"/>
        </w:rPr>
        <w:t>y de plasmar en ell</w:t>
      </w:r>
      <w:r w:rsidR="006362D8" w:rsidRPr="00DD6BE4">
        <w:rPr>
          <w:lang w:val="es-ES_tradnl"/>
        </w:rPr>
        <w:t>a</w:t>
      </w:r>
      <w:r w:rsidRPr="00DD6BE4">
        <w:rPr>
          <w:lang w:val="es-ES_tradnl"/>
        </w:rPr>
        <w:t xml:space="preserve">s las situaciones </w:t>
      </w:r>
      <w:r w:rsidR="000F389A" w:rsidRPr="00DD6BE4">
        <w:rPr>
          <w:lang w:val="es-ES_tradnl"/>
        </w:rPr>
        <w:t xml:space="preserve">o necesidades </w:t>
      </w:r>
      <w:r w:rsidRPr="00DD6BE4">
        <w:rPr>
          <w:lang w:val="es-ES_tradnl"/>
        </w:rPr>
        <w:t xml:space="preserve">que se dan en las </w:t>
      </w:r>
      <w:r w:rsidR="000F389A" w:rsidRPr="00DD6BE4">
        <w:rPr>
          <w:lang w:val="es-ES_tradnl"/>
        </w:rPr>
        <w:t>OPI</w:t>
      </w:r>
      <w:r w:rsidRPr="00DD6BE4">
        <w:rPr>
          <w:lang w:val="es-ES_tradnl"/>
        </w:rPr>
        <w:t xml:space="preserve">. A fin de colmar las lagunas de conocimientos de los países en materia de normas técnicas en el entorno digital, durante los dos </w:t>
      </w:r>
      <w:r w:rsidR="000F389A" w:rsidRPr="00DD6BE4">
        <w:rPr>
          <w:lang w:val="es-ES_tradnl"/>
        </w:rPr>
        <w:t xml:space="preserve">últimos </w:t>
      </w:r>
      <w:r w:rsidRPr="00DD6BE4">
        <w:rPr>
          <w:lang w:val="es-ES_tradnl"/>
        </w:rPr>
        <w:t>bienios se siguió financiando la participación de varios delegados de países en desarrollo y PMA en las reuniones del CWS. Tomando en consideración la evaluación actual de las tecnologías emergentes, el CWS creó recientemente el Equipo Técnico sobre la cadena de bloques</w:t>
      </w:r>
      <w:r w:rsidR="001631F7" w:rsidRPr="00DD6BE4">
        <w:rPr>
          <w:lang w:val="es-ES_tradnl"/>
        </w:rPr>
        <w:t>, el Equipo Técnico de 3D</w:t>
      </w:r>
      <w:r w:rsidRPr="00DD6BE4">
        <w:rPr>
          <w:lang w:val="es-ES_tradnl"/>
        </w:rPr>
        <w:t xml:space="preserve"> y el Equipo Técnico de la transformación digital. Todos estos equipos técnicos están abiertos a la participación de todos los Estados miembros. </w:t>
      </w:r>
      <w:r w:rsidR="001631F7" w:rsidRPr="00DD6BE4">
        <w:rPr>
          <w:lang w:val="es-ES_tradnl"/>
        </w:rPr>
        <w:t xml:space="preserve">En colaboración con las OPI y </w:t>
      </w:r>
      <w:r w:rsidR="00EC72F7" w:rsidRPr="00DD6BE4">
        <w:rPr>
          <w:lang w:val="es-ES_tradnl"/>
        </w:rPr>
        <w:t>demás</w:t>
      </w:r>
      <w:r w:rsidR="001631F7" w:rsidRPr="00DD6BE4">
        <w:rPr>
          <w:lang w:val="es-ES_tradnl"/>
        </w:rPr>
        <w:t xml:space="preserve"> partes </w:t>
      </w:r>
      <w:r w:rsidR="00EC72F7" w:rsidRPr="00DD6BE4">
        <w:rPr>
          <w:lang w:val="es-ES_tradnl"/>
        </w:rPr>
        <w:t>interesadas en</w:t>
      </w:r>
      <w:r w:rsidR="001631F7" w:rsidRPr="00DD6BE4">
        <w:rPr>
          <w:lang w:val="es-ES_tradnl"/>
        </w:rPr>
        <w:t xml:space="preserve"> el ecosistema de la PI, la </w:t>
      </w:r>
      <w:r w:rsidR="00EC72F7" w:rsidRPr="00DD6BE4">
        <w:rPr>
          <w:lang w:val="es-ES_tradnl"/>
        </w:rPr>
        <w:t>Oficina Internacional prepar</w:t>
      </w:r>
      <w:r w:rsidR="003E206D" w:rsidRPr="00DD6BE4">
        <w:rPr>
          <w:lang w:val="es-ES_tradnl"/>
        </w:rPr>
        <w:t>ó</w:t>
      </w:r>
      <w:r w:rsidR="00EC72F7" w:rsidRPr="00DD6BE4">
        <w:rPr>
          <w:lang w:val="es-ES_tradnl"/>
        </w:rPr>
        <w:t xml:space="preserve"> y publicó el Libro Blanco relativo a la</w:t>
      </w:r>
      <w:r w:rsidR="003E206D" w:rsidRPr="00DD6BE4">
        <w:rPr>
          <w:lang w:val="es-ES_tradnl"/>
        </w:rPr>
        <w:t xml:space="preserve">s tecnologías de </w:t>
      </w:r>
      <w:r w:rsidR="00EC72F7" w:rsidRPr="00DD6BE4">
        <w:rPr>
          <w:lang w:val="es-ES_tradnl"/>
        </w:rPr>
        <w:t xml:space="preserve">cadena de bloques </w:t>
      </w:r>
      <w:r w:rsidR="003E206D" w:rsidRPr="00DD6BE4">
        <w:rPr>
          <w:lang w:val="es-ES_tradnl"/>
        </w:rPr>
        <w:t xml:space="preserve">y </w:t>
      </w:r>
      <w:r w:rsidR="00C13603" w:rsidRPr="00DD6BE4">
        <w:rPr>
          <w:lang w:val="es-ES_tradnl"/>
        </w:rPr>
        <w:t xml:space="preserve">los </w:t>
      </w:r>
      <w:r w:rsidR="00EC72F7" w:rsidRPr="00DD6BE4">
        <w:rPr>
          <w:lang w:val="es-ES_tradnl"/>
        </w:rPr>
        <w:t>ecosistema</w:t>
      </w:r>
      <w:r w:rsidR="003E206D" w:rsidRPr="00DD6BE4">
        <w:rPr>
          <w:lang w:val="es-ES_tradnl"/>
        </w:rPr>
        <w:t>s</w:t>
      </w:r>
      <w:r w:rsidR="00EC72F7" w:rsidRPr="00DD6BE4">
        <w:rPr>
          <w:lang w:val="es-ES_tradnl"/>
        </w:rPr>
        <w:t xml:space="preserve"> de PI</w:t>
      </w:r>
      <w:r w:rsidR="003E206D" w:rsidRPr="00DD6BE4">
        <w:rPr>
          <w:lang w:val="es-ES_tradnl"/>
        </w:rPr>
        <w:t>, disponible en el sitio web de la OMPI en</w:t>
      </w:r>
      <w:r w:rsidR="00E200E7" w:rsidRPr="00DD6BE4">
        <w:rPr>
          <w:lang w:val="es-ES_tradnl"/>
        </w:rPr>
        <w:t>:</w:t>
      </w:r>
      <w:r w:rsidR="005D61E0" w:rsidRPr="00DD6BE4">
        <w:rPr>
          <w:lang w:val="es-ES_tradnl"/>
        </w:rPr>
        <w:t xml:space="preserve"> </w:t>
      </w:r>
      <w:hyperlink r:id="rId10" w:history="1">
        <w:r w:rsidR="003E206D" w:rsidRPr="00DD6BE4">
          <w:rPr>
            <w:rStyle w:val="Hyperlink"/>
            <w:lang w:val="es-ES_tradnl"/>
          </w:rPr>
          <w:t>http://www.wipo.int/cws/es/blockchain-and-ip.html</w:t>
        </w:r>
      </w:hyperlink>
      <w:r w:rsidR="00E200E7" w:rsidRPr="00DD6BE4">
        <w:rPr>
          <w:lang w:val="es-ES_tradnl"/>
        </w:rPr>
        <w:t>.</w:t>
      </w:r>
    </w:p>
    <w:p w14:paraId="59BBF8B4" w14:textId="77777777" w:rsidR="00A74CBA" w:rsidRPr="00DD6BE4" w:rsidRDefault="00A74CBA" w:rsidP="00A74CBA">
      <w:pPr>
        <w:pStyle w:val="ListParagraph"/>
        <w:rPr>
          <w:lang w:val="es-ES_tradnl"/>
        </w:rPr>
      </w:pPr>
    </w:p>
    <w:p w14:paraId="5F7C0A81" w14:textId="2C4863C1" w:rsidR="0001413B" w:rsidRPr="00DD6BE4" w:rsidRDefault="00EE56FD" w:rsidP="0001413B">
      <w:pPr>
        <w:pStyle w:val="ListParagraph"/>
        <w:numPr>
          <w:ilvl w:val="0"/>
          <w:numId w:val="4"/>
        </w:numPr>
        <w:tabs>
          <w:tab w:val="left" w:pos="540"/>
        </w:tabs>
        <w:spacing w:after="240"/>
        <w:ind w:left="0" w:firstLine="0"/>
        <w:rPr>
          <w:lang w:val="es-ES_tradnl"/>
        </w:rPr>
      </w:pPr>
      <w:r w:rsidRPr="00DD6BE4">
        <w:rPr>
          <w:lang w:val="es-ES_tradnl"/>
        </w:rPr>
        <w:t xml:space="preserve">Las normas técnicas de la OMPI se encuentran publicadas en el sitio web de la Organización como parte del Manual de la OMPI, a fin de que cualquier interesado pueda utilizarlas libremente para mejorar sus prácticas operativas y su gestión de los datos siguiendo las mejores prácticas inspiradas en ellas. Con objeto de subsanar la falta de comprensión de la función que cumplen las normas técnicas de la OMPI, la Secretaría de la Organización mejoró las páginas web específicas </w:t>
      </w:r>
      <w:r w:rsidR="00231BC8" w:rsidRPr="00DD6BE4">
        <w:rPr>
          <w:lang w:val="es-ES_tradnl"/>
        </w:rPr>
        <w:t>(</w:t>
      </w:r>
      <w:hyperlink r:id="rId11" w:history="1">
        <w:r w:rsidR="00E12159" w:rsidRPr="00DD6BE4">
          <w:rPr>
            <w:rStyle w:val="Hyperlink"/>
            <w:lang w:val="es-ES_tradnl"/>
          </w:rPr>
          <w:t>www.wipo.int/cws/es/</w:t>
        </w:r>
      </w:hyperlink>
      <w:r w:rsidR="00231BC8" w:rsidRPr="00DD6BE4">
        <w:rPr>
          <w:lang w:val="es-ES_tradnl"/>
        </w:rPr>
        <w:t xml:space="preserve"> </w:t>
      </w:r>
      <w:r w:rsidR="00E12159" w:rsidRPr="00DD6BE4">
        <w:rPr>
          <w:lang w:val="es-ES_tradnl"/>
        </w:rPr>
        <w:t>y</w:t>
      </w:r>
      <w:r w:rsidR="00231BC8" w:rsidRPr="00DD6BE4">
        <w:rPr>
          <w:lang w:val="es-ES_tradnl"/>
        </w:rPr>
        <w:t xml:space="preserve"> </w:t>
      </w:r>
      <w:hyperlink r:id="rId12" w:history="1">
        <w:r w:rsidR="00E12159" w:rsidRPr="00DD6BE4">
          <w:rPr>
            <w:rStyle w:val="Hyperlink"/>
            <w:lang w:val="es-ES_tradnl"/>
          </w:rPr>
          <w:t>www.wipo.int/standards/es/</w:t>
        </w:r>
      </w:hyperlink>
      <w:r w:rsidR="00231BC8" w:rsidRPr="00DD6BE4">
        <w:rPr>
          <w:lang w:val="es-ES_tradnl"/>
        </w:rPr>
        <w:t xml:space="preserve">) </w:t>
      </w:r>
      <w:r w:rsidR="00A63DE1" w:rsidRPr="00DD6BE4">
        <w:rPr>
          <w:lang w:val="es-ES_tradnl"/>
        </w:rPr>
        <w:t xml:space="preserve">en 2021-22 </w:t>
      </w:r>
      <w:r w:rsidR="00E12159" w:rsidRPr="00DD6BE4">
        <w:rPr>
          <w:lang w:val="es-ES_tradnl"/>
        </w:rPr>
        <w:t xml:space="preserve">y ofreció recursos actualizados, </w:t>
      </w:r>
      <w:r w:rsidR="00D6710F" w:rsidRPr="00DD6BE4">
        <w:rPr>
          <w:lang w:val="es-ES_tradnl"/>
        </w:rPr>
        <w:t>como</w:t>
      </w:r>
      <w:r w:rsidR="00E12159" w:rsidRPr="00DD6BE4">
        <w:rPr>
          <w:lang w:val="es-ES_tradnl"/>
        </w:rPr>
        <w:t xml:space="preserve"> material de formación. </w:t>
      </w:r>
    </w:p>
    <w:p w14:paraId="3CD2AE26" w14:textId="77777777" w:rsidR="0001413B" w:rsidRPr="00DD6BE4" w:rsidRDefault="0001413B" w:rsidP="0001413B">
      <w:pPr>
        <w:pStyle w:val="ListParagraph"/>
        <w:tabs>
          <w:tab w:val="left" w:pos="540"/>
        </w:tabs>
        <w:spacing w:after="240"/>
        <w:ind w:left="0"/>
        <w:rPr>
          <w:lang w:val="es-ES_tradnl"/>
        </w:rPr>
      </w:pPr>
    </w:p>
    <w:p w14:paraId="5536EE62" w14:textId="151B16F5" w:rsidR="0001413B" w:rsidRPr="00DD6BE4" w:rsidRDefault="009E1A64" w:rsidP="0001413B">
      <w:pPr>
        <w:pStyle w:val="ListParagraph"/>
        <w:numPr>
          <w:ilvl w:val="0"/>
          <w:numId w:val="4"/>
        </w:numPr>
        <w:tabs>
          <w:tab w:val="left" w:pos="540"/>
        </w:tabs>
        <w:spacing w:after="240"/>
        <w:ind w:left="0" w:firstLine="0"/>
        <w:rPr>
          <w:lang w:val="es-ES_tradnl"/>
        </w:rPr>
      </w:pPr>
      <w:r w:rsidRPr="00DD6BE4">
        <w:rPr>
          <w:lang w:val="es-ES_tradnl"/>
        </w:rPr>
        <w:t xml:space="preserve">La asistencia para la aplicación de las normas técnicas de la OMPI se brinda mediante la distribución y el suministro gratuitos de los instrumentos y servicios de la OMPI, que funcionan de conformidad con las normas pertinentes de la Organización. Se trata, por ejemplo, del conjunto de programas informáticos del Sistema de Automatización para las </w:t>
      </w:r>
      <w:r w:rsidR="004A0ECB" w:rsidRPr="00DD6BE4">
        <w:rPr>
          <w:lang w:val="es-ES_tradnl"/>
        </w:rPr>
        <w:t>oficinas</w:t>
      </w:r>
      <w:r w:rsidRPr="00DD6BE4">
        <w:rPr>
          <w:lang w:val="es-ES_tradnl"/>
        </w:rPr>
        <w:t xml:space="preserve"> de PI (IPAS) de la OMPI (véase más adelante), que incorpora las normas técnicas de la OMPI en la estructura y el formato de los datos sobre PI; y </w:t>
      </w:r>
      <w:r w:rsidR="009610F1" w:rsidRPr="00DD6BE4">
        <w:rPr>
          <w:lang w:val="es-ES_tradnl"/>
        </w:rPr>
        <w:t>la herramienta</w:t>
      </w:r>
      <w:r w:rsidRPr="00DD6BE4">
        <w:rPr>
          <w:lang w:val="es-ES_tradnl"/>
        </w:rPr>
        <w:t xml:space="preserve"> informática WIPO Sequence</w:t>
      </w:r>
      <w:r w:rsidR="009610F1" w:rsidRPr="00DD6BE4">
        <w:rPr>
          <w:lang w:val="es-ES_tradnl"/>
        </w:rPr>
        <w:t xml:space="preserve"> Suite</w:t>
      </w:r>
      <w:r w:rsidRPr="00DD6BE4">
        <w:rPr>
          <w:i/>
          <w:iCs/>
          <w:lang w:val="es-ES_tradnl"/>
        </w:rPr>
        <w:t>,</w:t>
      </w:r>
      <w:r w:rsidR="007671EB" w:rsidRPr="00DD6BE4">
        <w:rPr>
          <w:i/>
          <w:iCs/>
          <w:lang w:val="es-ES_tradnl"/>
        </w:rPr>
        <w:t xml:space="preserve"> </w:t>
      </w:r>
      <w:r w:rsidR="007671EB" w:rsidRPr="00DD6BE4">
        <w:rPr>
          <w:lang w:val="es-ES_tradnl"/>
        </w:rPr>
        <w:t>desarrollad</w:t>
      </w:r>
      <w:r w:rsidR="009610F1" w:rsidRPr="00DD6BE4">
        <w:rPr>
          <w:lang w:val="es-ES_tradnl"/>
        </w:rPr>
        <w:t>a</w:t>
      </w:r>
      <w:r w:rsidR="007671EB" w:rsidRPr="00DD6BE4">
        <w:rPr>
          <w:lang w:val="es-ES_tradnl"/>
        </w:rPr>
        <w:t xml:space="preserve"> en estrecha colaboración con las OPI, </w:t>
      </w:r>
      <w:r w:rsidRPr="00DD6BE4">
        <w:rPr>
          <w:lang w:val="es-ES_tradnl"/>
        </w:rPr>
        <w:t xml:space="preserve">que permite digitalizar los datos de las listas de secuencias de nucleótidos y aminoácidos en formato XML, de conformidad con la Norma ST.26 de la OMPI, a los efectos de la presentación y tramitación de las solicitudes de patente que contengan esa clase </w:t>
      </w:r>
      <w:r w:rsidR="005619D3" w:rsidRPr="00DD6BE4">
        <w:rPr>
          <w:lang w:val="es-ES_tradnl"/>
        </w:rPr>
        <w:t xml:space="preserve">de listas. </w:t>
      </w:r>
      <w:r w:rsidR="00057A5A" w:rsidRPr="00DD6BE4">
        <w:rPr>
          <w:lang w:val="es-ES_tradnl"/>
        </w:rPr>
        <w:t xml:space="preserve">La </w:t>
      </w:r>
      <w:r w:rsidR="001349C3" w:rsidRPr="00DD6BE4">
        <w:rPr>
          <w:lang w:val="es-ES_tradnl"/>
        </w:rPr>
        <w:t xml:space="preserve">2.ª </w:t>
      </w:r>
      <w:r w:rsidR="00057A5A" w:rsidRPr="00DD6BE4">
        <w:rPr>
          <w:lang w:val="es-ES_tradnl"/>
        </w:rPr>
        <w:t xml:space="preserve">versión </w:t>
      </w:r>
      <w:r w:rsidR="009610F1" w:rsidRPr="00DD6BE4">
        <w:rPr>
          <w:lang w:val="es-ES_tradnl"/>
        </w:rPr>
        <w:t xml:space="preserve">de la </w:t>
      </w:r>
      <w:r w:rsidR="00E200E7" w:rsidRPr="00DD6BE4">
        <w:rPr>
          <w:lang w:val="es-ES_tradnl"/>
        </w:rPr>
        <w:t>WIPO Sequ</w:t>
      </w:r>
      <w:r w:rsidR="00A511FA" w:rsidRPr="00DD6BE4">
        <w:rPr>
          <w:lang w:val="es-ES_tradnl"/>
        </w:rPr>
        <w:t xml:space="preserve">ence </w:t>
      </w:r>
      <w:r w:rsidR="009610F1" w:rsidRPr="00DD6BE4">
        <w:rPr>
          <w:lang w:val="es-ES_tradnl"/>
        </w:rPr>
        <w:t>S</w:t>
      </w:r>
      <w:r w:rsidR="00A511FA" w:rsidRPr="00DD6BE4">
        <w:rPr>
          <w:lang w:val="es-ES_tradnl"/>
        </w:rPr>
        <w:t xml:space="preserve">uite </w:t>
      </w:r>
      <w:r w:rsidR="00262FFC" w:rsidRPr="00DD6BE4">
        <w:rPr>
          <w:lang w:val="es-ES_tradnl"/>
        </w:rPr>
        <w:t>estará lista</w:t>
      </w:r>
      <w:r w:rsidR="009610F1" w:rsidRPr="00DD6BE4">
        <w:rPr>
          <w:lang w:val="es-ES_tradnl"/>
        </w:rPr>
        <w:t xml:space="preserve"> </w:t>
      </w:r>
      <w:r w:rsidR="00B23CA5" w:rsidRPr="00DD6BE4">
        <w:rPr>
          <w:lang w:val="es-ES_tradnl"/>
        </w:rPr>
        <w:t>en</w:t>
      </w:r>
      <w:r w:rsidR="009610F1" w:rsidRPr="00DD6BE4">
        <w:rPr>
          <w:lang w:val="es-ES_tradnl"/>
        </w:rPr>
        <w:t xml:space="preserve"> el </w:t>
      </w:r>
      <w:r w:rsidR="00262FFC" w:rsidRPr="00DD6BE4">
        <w:rPr>
          <w:lang w:val="es-ES_tradnl"/>
        </w:rPr>
        <w:t>s</w:t>
      </w:r>
      <w:r w:rsidR="009610F1" w:rsidRPr="00DD6BE4">
        <w:rPr>
          <w:lang w:val="es-ES_tradnl"/>
        </w:rPr>
        <w:t>egundo trimest</w:t>
      </w:r>
      <w:r w:rsidR="00262FFC" w:rsidRPr="00DD6BE4">
        <w:rPr>
          <w:lang w:val="es-ES_tradnl"/>
        </w:rPr>
        <w:t>re</w:t>
      </w:r>
      <w:r w:rsidR="009610F1" w:rsidRPr="00DD6BE4">
        <w:rPr>
          <w:lang w:val="es-ES_tradnl"/>
        </w:rPr>
        <w:t xml:space="preserve"> de 2022 para responder a la decisi</w:t>
      </w:r>
      <w:r w:rsidR="00262FFC" w:rsidRPr="00DD6BE4">
        <w:rPr>
          <w:lang w:val="es-ES_tradnl"/>
        </w:rPr>
        <w:t>ón</w:t>
      </w:r>
      <w:r w:rsidR="009610F1" w:rsidRPr="00DD6BE4">
        <w:rPr>
          <w:lang w:val="es-ES_tradnl"/>
        </w:rPr>
        <w:t xml:space="preserve"> de los Estados miembros de que la Norma ST.26</w:t>
      </w:r>
      <w:r w:rsidR="00262FFC" w:rsidRPr="00DD6BE4">
        <w:rPr>
          <w:lang w:val="es-ES_tradnl"/>
        </w:rPr>
        <w:t xml:space="preserve"> de la OMPI sea aplicada en el ámbito nacional, regional e internacional por los solicitantes </w:t>
      </w:r>
      <w:r w:rsidR="00C2739F" w:rsidRPr="00DD6BE4">
        <w:rPr>
          <w:lang w:val="es-ES_tradnl"/>
        </w:rPr>
        <w:t>de patente</w:t>
      </w:r>
      <w:r w:rsidR="001349C3" w:rsidRPr="00DD6BE4">
        <w:rPr>
          <w:lang w:val="es-ES_tradnl"/>
        </w:rPr>
        <w:t>s</w:t>
      </w:r>
      <w:r w:rsidR="00C2739F" w:rsidRPr="00DD6BE4">
        <w:rPr>
          <w:lang w:val="es-ES_tradnl"/>
        </w:rPr>
        <w:t xml:space="preserve"> </w:t>
      </w:r>
      <w:r w:rsidR="00262FFC" w:rsidRPr="00DD6BE4">
        <w:rPr>
          <w:lang w:val="es-ES_tradnl"/>
        </w:rPr>
        <w:t xml:space="preserve">y las OPI para el 1 de julio de 2022. </w:t>
      </w:r>
      <w:r w:rsidR="00C2739F" w:rsidRPr="00DD6BE4">
        <w:rPr>
          <w:lang w:val="es-ES_tradnl"/>
        </w:rPr>
        <w:t xml:space="preserve">Se ofrecen </w:t>
      </w:r>
      <w:r w:rsidR="001349C3" w:rsidRPr="00DD6BE4">
        <w:rPr>
          <w:lang w:val="es-ES_tradnl"/>
        </w:rPr>
        <w:t>sesione</w:t>
      </w:r>
      <w:r w:rsidR="00C2739F" w:rsidRPr="00DD6BE4">
        <w:rPr>
          <w:lang w:val="es-ES_tradnl"/>
        </w:rPr>
        <w:t xml:space="preserve">s de formación </w:t>
      </w:r>
      <w:r w:rsidR="001349C3" w:rsidRPr="00DD6BE4">
        <w:rPr>
          <w:lang w:val="es-ES_tradnl"/>
        </w:rPr>
        <w:t>sobre</w:t>
      </w:r>
      <w:r w:rsidR="00C2739F" w:rsidRPr="00DD6BE4">
        <w:rPr>
          <w:lang w:val="es-ES_tradnl"/>
        </w:rPr>
        <w:t xml:space="preserve"> la Norma ST.26 de la OMPI y la WIPO Sequence Suite</w:t>
      </w:r>
      <w:r w:rsidR="001349C3" w:rsidRPr="00DD6BE4">
        <w:rPr>
          <w:lang w:val="es-ES_tradnl"/>
        </w:rPr>
        <w:t xml:space="preserve"> en diversos idiomas. Hay videoclips grabados disponibles en el sitio web de la OMPI en</w:t>
      </w:r>
      <w:r w:rsidR="00E200E7" w:rsidRPr="00DD6BE4">
        <w:rPr>
          <w:lang w:val="es-ES_tradnl"/>
        </w:rPr>
        <w:t>:</w:t>
      </w:r>
      <w:r w:rsidR="005D61E0" w:rsidRPr="00DD6BE4">
        <w:rPr>
          <w:lang w:val="es-ES_tradnl"/>
        </w:rPr>
        <w:t xml:space="preserve"> </w:t>
      </w:r>
      <w:hyperlink r:id="rId13" w:history="1">
        <w:r w:rsidR="006F3013" w:rsidRPr="00DD6BE4">
          <w:rPr>
            <w:rStyle w:val="Hyperlink"/>
            <w:lang w:val="es-ES_tradnl"/>
          </w:rPr>
          <w:t>http://www.wipo.int/cws/es/trainings.html</w:t>
        </w:r>
      </w:hyperlink>
      <w:r w:rsidR="00B81A1F" w:rsidRPr="00DD6BE4">
        <w:rPr>
          <w:lang w:val="es-ES_tradnl"/>
        </w:rPr>
        <w:t>.</w:t>
      </w:r>
    </w:p>
    <w:p w14:paraId="5DA63360" w14:textId="77777777" w:rsidR="0001413B" w:rsidRPr="00DD6BE4" w:rsidRDefault="0001413B" w:rsidP="0001413B">
      <w:pPr>
        <w:pStyle w:val="ListParagraph"/>
        <w:rPr>
          <w:lang w:val="es-ES_tradnl"/>
        </w:rPr>
      </w:pPr>
    </w:p>
    <w:p w14:paraId="5E02BEB5" w14:textId="7672B857" w:rsidR="000D5AA5" w:rsidRPr="00DD6BE4" w:rsidRDefault="004C176D" w:rsidP="002B7A8B">
      <w:pPr>
        <w:pStyle w:val="ListParagraph"/>
        <w:numPr>
          <w:ilvl w:val="0"/>
          <w:numId w:val="4"/>
        </w:numPr>
        <w:tabs>
          <w:tab w:val="left" w:pos="540"/>
        </w:tabs>
        <w:spacing w:after="240"/>
        <w:ind w:left="0" w:firstLine="0"/>
        <w:rPr>
          <w:lang w:val="es-ES_tradnl"/>
        </w:rPr>
      </w:pPr>
      <w:r w:rsidRPr="00DD6BE4">
        <w:rPr>
          <w:lang w:val="es-ES_tradnl"/>
        </w:rPr>
        <w:t xml:space="preserve">Las </w:t>
      </w:r>
      <w:r w:rsidR="006E3CB9" w:rsidRPr="00DD6BE4">
        <w:rPr>
          <w:lang w:val="es-ES_tradnl"/>
        </w:rPr>
        <w:t>c</w:t>
      </w:r>
      <w:r w:rsidRPr="00DD6BE4">
        <w:rPr>
          <w:lang w:val="es-ES_tradnl"/>
        </w:rPr>
        <w:t xml:space="preserve">lasificaciones </w:t>
      </w:r>
      <w:r w:rsidR="006E3CB9" w:rsidRPr="00DD6BE4">
        <w:rPr>
          <w:lang w:val="es-ES_tradnl"/>
        </w:rPr>
        <w:t>i</w:t>
      </w:r>
      <w:r w:rsidRPr="00DD6BE4">
        <w:rPr>
          <w:lang w:val="es-ES_tradnl"/>
        </w:rPr>
        <w:t>nternacionales son instrumentos fundamentales para categorizar o extraer datos de PI.</w:t>
      </w:r>
      <w:r w:rsidR="00A51208" w:rsidRPr="00DD6BE4">
        <w:rPr>
          <w:lang w:val="es-ES_tradnl"/>
        </w:rPr>
        <w:t xml:space="preserve"> Por ejemplo, la Clasificación Internacional de Patentes (CIP) es una herramienta muy importante para </w:t>
      </w:r>
      <w:r w:rsidR="00E32571" w:rsidRPr="00DD6BE4">
        <w:rPr>
          <w:lang w:val="es-ES_tradnl"/>
        </w:rPr>
        <w:t>realizar búsquedas</w:t>
      </w:r>
      <w:r w:rsidR="00A51208" w:rsidRPr="00DD6BE4">
        <w:rPr>
          <w:lang w:val="es-ES_tradnl"/>
        </w:rPr>
        <w:t xml:space="preserve"> en bases de datos sobre patentes en la era digital, que ha sido actualizada por </w:t>
      </w:r>
      <w:r w:rsidR="00DD7DF5" w:rsidRPr="00DD6BE4">
        <w:rPr>
          <w:lang w:val="es-ES_tradnl"/>
        </w:rPr>
        <w:t>especialistas</w:t>
      </w:r>
      <w:r w:rsidR="00A51208" w:rsidRPr="00DD6BE4">
        <w:rPr>
          <w:lang w:val="es-ES_tradnl"/>
        </w:rPr>
        <w:t xml:space="preserve"> de las OPI y el Grupo de Trabajo </w:t>
      </w:r>
      <w:r w:rsidR="00E32571" w:rsidRPr="00DD6BE4">
        <w:rPr>
          <w:lang w:val="es-ES_tradnl"/>
        </w:rPr>
        <w:t>sobre la</w:t>
      </w:r>
      <w:r w:rsidR="00A51208" w:rsidRPr="00DD6BE4">
        <w:rPr>
          <w:lang w:val="es-ES_tradnl"/>
        </w:rPr>
        <w:t xml:space="preserve"> Revisión de </w:t>
      </w:r>
      <w:r w:rsidR="00E32571" w:rsidRPr="00DD6BE4">
        <w:rPr>
          <w:lang w:val="es-ES_tradnl"/>
        </w:rPr>
        <w:t xml:space="preserve">la </w:t>
      </w:r>
      <w:r w:rsidR="00A51208" w:rsidRPr="00DD6BE4">
        <w:rPr>
          <w:lang w:val="es-ES_tradnl"/>
        </w:rPr>
        <w:t>CIP para responder a la evolución tecnológica.</w:t>
      </w:r>
      <w:r w:rsidR="005D61E0" w:rsidRPr="00DD6BE4">
        <w:rPr>
          <w:lang w:val="es-ES_tradnl"/>
        </w:rPr>
        <w:t xml:space="preserve"> </w:t>
      </w:r>
      <w:r w:rsidR="00E32571" w:rsidRPr="00DD6BE4">
        <w:rPr>
          <w:lang w:val="es-ES_tradnl"/>
        </w:rPr>
        <w:t xml:space="preserve">La CIP permite al usuario localizar la tecnología adecuada en muchos tipos de búsquedas sobre patentes, o encontrar </w:t>
      </w:r>
      <w:r w:rsidR="008741ED" w:rsidRPr="00DD6BE4">
        <w:rPr>
          <w:lang w:val="es-ES_tradnl"/>
        </w:rPr>
        <w:t xml:space="preserve">un resumen tecnológico informativo o una lista detallada y completa de documentos </w:t>
      </w:r>
      <w:r w:rsidR="00DD7DF5" w:rsidRPr="00DD6BE4">
        <w:rPr>
          <w:lang w:val="es-ES_tradnl"/>
        </w:rPr>
        <w:t>de</w:t>
      </w:r>
      <w:r w:rsidR="008741ED" w:rsidRPr="00DD6BE4">
        <w:rPr>
          <w:lang w:val="es-ES_tradnl"/>
        </w:rPr>
        <w:t xml:space="preserve"> patentes sobre una tecnología específica representada mediante símbolos de la CIP. La página de inicio de la CIP permite acceder a recursos complementarios de la CIP, como </w:t>
      </w:r>
      <w:r w:rsidR="00433F27" w:rsidRPr="00DD6BE4">
        <w:rPr>
          <w:lang w:val="es-ES_tradnl"/>
        </w:rPr>
        <w:t xml:space="preserve">la IPCCAT (herramienta de categorización </w:t>
      </w:r>
      <w:r w:rsidR="004C0E5C" w:rsidRPr="00DD6BE4">
        <w:rPr>
          <w:lang w:val="es-ES_tradnl"/>
        </w:rPr>
        <w:t>automática</w:t>
      </w:r>
      <w:r w:rsidR="00433F27" w:rsidRPr="00DD6BE4">
        <w:rPr>
          <w:lang w:val="es-ES_tradnl"/>
        </w:rPr>
        <w:t xml:space="preserve"> </w:t>
      </w:r>
      <w:r w:rsidR="004C0E5C" w:rsidRPr="00DD6BE4">
        <w:rPr>
          <w:lang w:val="es-ES_tradnl"/>
        </w:rPr>
        <w:t xml:space="preserve">de </w:t>
      </w:r>
      <w:r w:rsidR="00433F27" w:rsidRPr="00DD6BE4">
        <w:rPr>
          <w:lang w:val="es-ES_tradnl"/>
        </w:rPr>
        <w:t xml:space="preserve">la CIP) </w:t>
      </w:r>
      <w:r w:rsidR="004C0E5C" w:rsidRPr="00DD6BE4">
        <w:rPr>
          <w:lang w:val="es-ES_tradnl"/>
        </w:rPr>
        <w:t xml:space="preserve">o material de formación de la CIP. También se ofrecen sesiones de formación sobre las </w:t>
      </w:r>
      <w:r w:rsidR="006E3CB9" w:rsidRPr="00DD6BE4">
        <w:rPr>
          <w:lang w:val="es-ES_tradnl"/>
        </w:rPr>
        <w:t>c</w:t>
      </w:r>
      <w:r w:rsidR="004C0E5C" w:rsidRPr="00DD6BE4">
        <w:rPr>
          <w:lang w:val="es-ES_tradnl"/>
        </w:rPr>
        <w:t xml:space="preserve">lasificaciones </w:t>
      </w:r>
      <w:r w:rsidR="006E3CB9" w:rsidRPr="00DD6BE4">
        <w:rPr>
          <w:lang w:val="es-ES_tradnl"/>
        </w:rPr>
        <w:t>i</w:t>
      </w:r>
      <w:r w:rsidR="004C0E5C" w:rsidRPr="00DD6BE4">
        <w:rPr>
          <w:lang w:val="es-ES_tradnl"/>
        </w:rPr>
        <w:t>nternacionales cuando se solicit</w:t>
      </w:r>
      <w:r w:rsidR="00DD7DF5" w:rsidRPr="00DD6BE4">
        <w:rPr>
          <w:lang w:val="es-ES_tradnl"/>
        </w:rPr>
        <w:t>e</w:t>
      </w:r>
      <w:r w:rsidR="004C0E5C" w:rsidRPr="00DD6BE4">
        <w:rPr>
          <w:lang w:val="es-ES_tradnl"/>
        </w:rPr>
        <w:t>n.</w:t>
      </w:r>
    </w:p>
    <w:p w14:paraId="6AEE6BF5" w14:textId="059C3384" w:rsidR="000D5AA5" w:rsidRPr="00DD6BE4" w:rsidRDefault="00974D71" w:rsidP="004C7DA8">
      <w:pPr>
        <w:pStyle w:val="Heading4"/>
        <w:keepLines/>
        <w:numPr>
          <w:ilvl w:val="0"/>
          <w:numId w:val="24"/>
        </w:numPr>
        <w:rPr>
          <w:lang w:val="es-ES_tradnl"/>
        </w:rPr>
      </w:pPr>
      <w:r w:rsidRPr="00DD6BE4">
        <w:rPr>
          <w:lang w:val="es-ES_tradnl"/>
        </w:rPr>
        <w:t>Transformación digital de las OPI</w:t>
      </w:r>
    </w:p>
    <w:p w14:paraId="38D6524A" w14:textId="77777777" w:rsidR="000D5AA5" w:rsidRPr="00DD6BE4" w:rsidRDefault="000D5AA5" w:rsidP="002B7A8B">
      <w:pPr>
        <w:pStyle w:val="ListParagraph"/>
        <w:tabs>
          <w:tab w:val="left" w:pos="540"/>
        </w:tabs>
        <w:spacing w:after="240"/>
        <w:ind w:left="0"/>
        <w:rPr>
          <w:lang w:val="es-ES_tradnl"/>
        </w:rPr>
      </w:pPr>
    </w:p>
    <w:p w14:paraId="24A46B36" w14:textId="3B844D63" w:rsidR="000D5AA5" w:rsidRPr="00DD6BE4" w:rsidRDefault="00974D71" w:rsidP="002B7A8B">
      <w:pPr>
        <w:pStyle w:val="ListParagraph"/>
        <w:numPr>
          <w:ilvl w:val="0"/>
          <w:numId w:val="4"/>
        </w:numPr>
        <w:tabs>
          <w:tab w:val="left" w:pos="540"/>
        </w:tabs>
        <w:spacing w:after="240"/>
        <w:ind w:left="0" w:firstLine="0"/>
        <w:rPr>
          <w:lang w:val="es-ES_tradnl"/>
        </w:rPr>
      </w:pPr>
      <w:r w:rsidRPr="00DD6BE4">
        <w:rPr>
          <w:lang w:val="es-ES_tradnl"/>
        </w:rPr>
        <w:t xml:space="preserve">En los últimos 20 años, las OPI de la mayoría de </w:t>
      </w:r>
      <w:r w:rsidR="004647E1" w:rsidRPr="00DD6BE4">
        <w:rPr>
          <w:lang w:val="es-ES_tradnl"/>
        </w:rPr>
        <w:t xml:space="preserve">los </w:t>
      </w:r>
      <w:r w:rsidRPr="00DD6BE4">
        <w:rPr>
          <w:lang w:val="es-ES_tradnl"/>
        </w:rPr>
        <w:t>países en desarrollo y</w:t>
      </w:r>
      <w:r w:rsidR="004647E1" w:rsidRPr="00DD6BE4">
        <w:rPr>
          <w:lang w:val="es-ES_tradnl"/>
        </w:rPr>
        <w:t xml:space="preserve"> </w:t>
      </w:r>
      <w:r w:rsidR="00602615" w:rsidRPr="00DD6BE4">
        <w:rPr>
          <w:lang w:val="es-ES_tradnl"/>
        </w:rPr>
        <w:t>los países</w:t>
      </w:r>
      <w:r w:rsidR="00912426" w:rsidRPr="00DD6BE4">
        <w:rPr>
          <w:lang w:val="es-ES_tradnl"/>
        </w:rPr>
        <w:t xml:space="preserve"> </w:t>
      </w:r>
      <w:r w:rsidRPr="00DD6BE4">
        <w:rPr>
          <w:lang w:val="es-ES_tradnl"/>
        </w:rPr>
        <w:t>menos</w:t>
      </w:r>
      <w:r w:rsidR="005D61E0" w:rsidRPr="00DD6BE4">
        <w:rPr>
          <w:lang w:val="es-ES_tradnl"/>
        </w:rPr>
        <w:t xml:space="preserve"> </w:t>
      </w:r>
      <w:r w:rsidRPr="00DD6BE4">
        <w:rPr>
          <w:lang w:val="es-ES_tradnl"/>
        </w:rPr>
        <w:t xml:space="preserve">adelantados han avanzado significativamente hacia la transformación digital y digitalización de sus servicios y procesos comerciales. </w:t>
      </w:r>
      <w:r w:rsidR="008047A4" w:rsidRPr="00DD6BE4">
        <w:rPr>
          <w:lang w:val="es-ES_tradnl"/>
        </w:rPr>
        <w:t>Más de 90 OPI se han beneficiado de</w:t>
      </w:r>
      <w:r w:rsidRPr="00DD6BE4">
        <w:rPr>
          <w:lang w:val="es-ES_tradnl"/>
        </w:rPr>
        <w:t>l programa de asistencia técnica de la OMPI</w:t>
      </w:r>
      <w:r w:rsidR="00E67F92" w:rsidRPr="00DD6BE4">
        <w:rPr>
          <w:lang w:val="es-ES_tradnl"/>
        </w:rPr>
        <w:t>,</w:t>
      </w:r>
      <w:r w:rsidR="008047A4" w:rsidRPr="00DD6BE4">
        <w:rPr>
          <w:lang w:val="es-ES_tradnl"/>
        </w:rPr>
        <w:t xml:space="preserve"> que les ha ayudado a pasar del papel al formato digital en la administración y realización de </w:t>
      </w:r>
      <w:r w:rsidR="00E67F92" w:rsidRPr="00DD6BE4">
        <w:rPr>
          <w:lang w:val="es-ES_tradnl"/>
        </w:rPr>
        <w:t>su</w:t>
      </w:r>
      <w:r w:rsidR="008047A4" w:rsidRPr="00DD6BE4">
        <w:rPr>
          <w:lang w:val="es-ES_tradnl"/>
        </w:rPr>
        <w:t>s operaciones. De las OPI asistidas por la OMPI,</w:t>
      </w:r>
      <w:r w:rsidR="00E67F92" w:rsidRPr="00DD6BE4">
        <w:rPr>
          <w:lang w:val="es-ES_tradnl"/>
        </w:rPr>
        <w:t xml:space="preserve"> un 90% </w:t>
      </w:r>
      <w:r w:rsidR="00602615" w:rsidRPr="00DD6BE4">
        <w:rPr>
          <w:lang w:val="es-ES_tradnl"/>
        </w:rPr>
        <w:t>dispone de</w:t>
      </w:r>
      <w:r w:rsidR="00E67F92" w:rsidRPr="00DD6BE4">
        <w:rPr>
          <w:lang w:val="es-ES_tradnl"/>
        </w:rPr>
        <w:t xml:space="preserve"> sistemas de </w:t>
      </w:r>
      <w:r w:rsidR="003A36AA" w:rsidRPr="00DD6BE4">
        <w:rPr>
          <w:lang w:val="es-ES_tradnl"/>
        </w:rPr>
        <w:t>gestión</w:t>
      </w:r>
      <w:r w:rsidR="00E67F92" w:rsidRPr="00DD6BE4">
        <w:rPr>
          <w:lang w:val="es-ES_tradnl"/>
        </w:rPr>
        <w:t xml:space="preserve"> de la PI</w:t>
      </w:r>
      <w:r w:rsidR="008047A4" w:rsidRPr="00DD6BE4">
        <w:rPr>
          <w:lang w:val="es-ES_tradnl"/>
        </w:rPr>
        <w:t xml:space="preserve"> </w:t>
      </w:r>
      <w:r w:rsidR="00E67F92" w:rsidRPr="00DD6BE4">
        <w:rPr>
          <w:lang w:val="es-ES_tradnl"/>
        </w:rPr>
        <w:t xml:space="preserve">que </w:t>
      </w:r>
      <w:r w:rsidR="004647E1" w:rsidRPr="00DD6BE4">
        <w:rPr>
          <w:lang w:val="es-ES_tradnl"/>
        </w:rPr>
        <w:t>contribuyen a los</w:t>
      </w:r>
      <w:r w:rsidR="00E67F92" w:rsidRPr="00DD6BE4">
        <w:rPr>
          <w:lang w:val="es-ES_tradnl"/>
        </w:rPr>
        <w:t xml:space="preserve"> principales proc</w:t>
      </w:r>
      <w:r w:rsidR="005F51B9" w:rsidRPr="00DD6BE4">
        <w:rPr>
          <w:lang w:val="es-ES_tradnl"/>
        </w:rPr>
        <w:t>edimientos</w:t>
      </w:r>
      <w:r w:rsidR="00E67F92" w:rsidRPr="00DD6BE4">
        <w:rPr>
          <w:lang w:val="es-ES_tradnl"/>
        </w:rPr>
        <w:t xml:space="preserve"> de </w:t>
      </w:r>
      <w:r w:rsidR="005F51B9" w:rsidRPr="00DD6BE4">
        <w:rPr>
          <w:lang w:val="es-ES_tradnl"/>
        </w:rPr>
        <w:t>presentación</w:t>
      </w:r>
      <w:r w:rsidR="00E67F92" w:rsidRPr="00DD6BE4">
        <w:rPr>
          <w:lang w:val="es-ES_tradnl"/>
        </w:rPr>
        <w:t xml:space="preserve">, examen, registro y publicación. </w:t>
      </w:r>
      <w:r w:rsidR="00763ACF" w:rsidRPr="00DD6BE4">
        <w:rPr>
          <w:lang w:val="es-ES_tradnl"/>
        </w:rPr>
        <w:t xml:space="preserve">Aproximadamente el 50% de ellas ha digitalizado totalmente sus datos y documentos para </w:t>
      </w:r>
      <w:r w:rsidR="004647E1" w:rsidRPr="00DD6BE4">
        <w:rPr>
          <w:lang w:val="es-ES_tradnl"/>
        </w:rPr>
        <w:t xml:space="preserve">realizar las tramitaciones </w:t>
      </w:r>
      <w:r w:rsidR="002F17BD" w:rsidRPr="00DD6BE4">
        <w:rPr>
          <w:lang w:val="es-ES_tradnl"/>
        </w:rPr>
        <w:t>electrónicamente</w:t>
      </w:r>
      <w:r w:rsidR="00763ACF" w:rsidRPr="00DD6BE4">
        <w:rPr>
          <w:lang w:val="es-ES_tradnl"/>
        </w:rPr>
        <w:t xml:space="preserve">. </w:t>
      </w:r>
      <w:r w:rsidR="0043355F" w:rsidRPr="00DD6BE4">
        <w:rPr>
          <w:lang w:val="es-ES_tradnl"/>
        </w:rPr>
        <w:t>Todavía es necesario</w:t>
      </w:r>
      <w:r w:rsidR="00763ACF" w:rsidRPr="00DD6BE4">
        <w:rPr>
          <w:lang w:val="es-ES_tradnl"/>
        </w:rPr>
        <w:t xml:space="preserve"> </w:t>
      </w:r>
      <w:r w:rsidR="0043355F" w:rsidRPr="00DD6BE4">
        <w:rPr>
          <w:lang w:val="es-ES_tradnl"/>
        </w:rPr>
        <w:t>avanzar</w:t>
      </w:r>
      <w:r w:rsidR="00763ACF" w:rsidRPr="00DD6BE4">
        <w:rPr>
          <w:lang w:val="es-ES_tradnl"/>
        </w:rPr>
        <w:t xml:space="preserve"> en l</w:t>
      </w:r>
      <w:r w:rsidR="002F17BD" w:rsidRPr="00DD6BE4">
        <w:rPr>
          <w:lang w:val="es-ES_tradnl"/>
        </w:rPr>
        <w:t>o</w:t>
      </w:r>
      <w:r w:rsidR="00763ACF" w:rsidRPr="00DD6BE4">
        <w:rPr>
          <w:lang w:val="es-ES_tradnl"/>
        </w:rPr>
        <w:t xml:space="preserve">s siguientes </w:t>
      </w:r>
      <w:r w:rsidR="002F17BD" w:rsidRPr="00DD6BE4">
        <w:rPr>
          <w:lang w:val="es-ES_tradnl"/>
        </w:rPr>
        <w:t>aspectos</w:t>
      </w:r>
      <w:r w:rsidR="00763ACF" w:rsidRPr="00DD6BE4">
        <w:rPr>
          <w:lang w:val="es-ES_tradnl"/>
        </w:rPr>
        <w:t>: i) disponibilidad de</w:t>
      </w:r>
      <w:r w:rsidR="0043355F" w:rsidRPr="00DD6BE4">
        <w:rPr>
          <w:lang w:val="es-ES_tradnl"/>
        </w:rPr>
        <w:t xml:space="preserve"> más datos</w:t>
      </w:r>
      <w:r w:rsidR="002F17BD" w:rsidRPr="00DD6BE4">
        <w:rPr>
          <w:lang w:val="es-ES_tradnl"/>
        </w:rPr>
        <w:t xml:space="preserve"> publicados</w:t>
      </w:r>
      <w:r w:rsidR="0043355F" w:rsidRPr="00DD6BE4">
        <w:rPr>
          <w:lang w:val="es-ES_tradnl"/>
        </w:rPr>
        <w:t xml:space="preserve"> de PI </w:t>
      </w:r>
      <w:r w:rsidR="005F170B" w:rsidRPr="00DD6BE4">
        <w:rPr>
          <w:lang w:val="es-ES_tradnl"/>
        </w:rPr>
        <w:t>para realizar búsquedas</w:t>
      </w:r>
      <w:r w:rsidR="00763ACF" w:rsidRPr="00DD6BE4">
        <w:rPr>
          <w:lang w:val="es-ES_tradnl"/>
        </w:rPr>
        <w:t xml:space="preserve"> </w:t>
      </w:r>
      <w:r w:rsidR="0043355F" w:rsidRPr="00DD6BE4">
        <w:rPr>
          <w:lang w:val="es-ES_tradnl"/>
        </w:rPr>
        <w:t xml:space="preserve">en </w:t>
      </w:r>
      <w:r w:rsidR="002F17BD" w:rsidRPr="00DD6BE4">
        <w:rPr>
          <w:lang w:val="es-ES_tradnl"/>
        </w:rPr>
        <w:t>Internet</w:t>
      </w:r>
      <w:r w:rsidR="0043355F" w:rsidRPr="00DD6BE4">
        <w:rPr>
          <w:lang w:val="es-ES_tradnl"/>
        </w:rPr>
        <w:t xml:space="preserve">, dado que menos de la mitad de las OPI </w:t>
      </w:r>
      <w:r w:rsidR="00833CD5" w:rsidRPr="00DD6BE4">
        <w:rPr>
          <w:lang w:val="es-ES_tradnl"/>
        </w:rPr>
        <w:t>de</w:t>
      </w:r>
      <w:r w:rsidR="0043355F" w:rsidRPr="00DD6BE4">
        <w:rPr>
          <w:lang w:val="es-ES_tradnl"/>
        </w:rPr>
        <w:t xml:space="preserve"> los países en desarrollo y </w:t>
      </w:r>
      <w:r w:rsidR="00912426" w:rsidRPr="00DD6BE4">
        <w:rPr>
          <w:lang w:val="es-ES_tradnl"/>
        </w:rPr>
        <w:t xml:space="preserve">los </w:t>
      </w:r>
      <w:r w:rsidR="00F9093A" w:rsidRPr="00DD6BE4">
        <w:rPr>
          <w:lang w:val="es-ES_tradnl"/>
        </w:rPr>
        <w:t xml:space="preserve">países </w:t>
      </w:r>
      <w:r w:rsidR="0043355F" w:rsidRPr="00DD6BE4">
        <w:rPr>
          <w:lang w:val="es-ES_tradnl"/>
        </w:rPr>
        <w:t>menos adelantados han modernizado sus servicio</w:t>
      </w:r>
      <w:r w:rsidR="002F17BD" w:rsidRPr="00DD6BE4">
        <w:rPr>
          <w:lang w:val="es-ES_tradnl"/>
        </w:rPr>
        <w:t>s</w:t>
      </w:r>
      <w:r w:rsidR="0043355F" w:rsidRPr="00DD6BE4">
        <w:rPr>
          <w:lang w:val="es-ES_tradnl"/>
        </w:rPr>
        <w:t xml:space="preserve">; y ii) </w:t>
      </w:r>
      <w:r w:rsidR="00833CD5" w:rsidRPr="00DD6BE4">
        <w:rPr>
          <w:lang w:val="es-ES_tradnl"/>
        </w:rPr>
        <w:t>posibilidad</w:t>
      </w:r>
      <w:r w:rsidR="0043355F" w:rsidRPr="00DD6BE4">
        <w:rPr>
          <w:lang w:val="es-ES_tradnl"/>
        </w:rPr>
        <w:t xml:space="preserve"> de</w:t>
      </w:r>
      <w:r w:rsidR="00833CD5" w:rsidRPr="00DD6BE4">
        <w:rPr>
          <w:lang w:val="es-ES_tradnl"/>
        </w:rPr>
        <w:t xml:space="preserve"> presentar </w:t>
      </w:r>
      <w:r w:rsidR="00842A42" w:rsidRPr="00DD6BE4">
        <w:rPr>
          <w:lang w:val="es-ES_tradnl"/>
        </w:rPr>
        <w:t xml:space="preserve">electrónicamente </w:t>
      </w:r>
      <w:r w:rsidR="00833CD5" w:rsidRPr="00DD6BE4">
        <w:rPr>
          <w:lang w:val="es-ES_tradnl"/>
        </w:rPr>
        <w:t xml:space="preserve">las solicitudes y </w:t>
      </w:r>
      <w:r w:rsidR="004647E1" w:rsidRPr="00DD6BE4">
        <w:rPr>
          <w:lang w:val="es-ES_tradnl"/>
        </w:rPr>
        <w:t xml:space="preserve">otros </w:t>
      </w:r>
      <w:r w:rsidR="00833CD5" w:rsidRPr="00DD6BE4">
        <w:rPr>
          <w:lang w:val="es-ES_tradnl"/>
        </w:rPr>
        <w:t>servicios relacionados, opción disponible en un 30% de</w:t>
      </w:r>
      <w:r w:rsidR="00842A42" w:rsidRPr="00DD6BE4">
        <w:rPr>
          <w:lang w:val="es-ES_tradnl"/>
        </w:rPr>
        <w:t xml:space="preserve"> las OPI asistidas por la OMPI.</w:t>
      </w:r>
    </w:p>
    <w:p w14:paraId="2C22BC3D" w14:textId="77777777" w:rsidR="000D5AA5" w:rsidRPr="00DD6BE4" w:rsidRDefault="000D5AA5" w:rsidP="002B7A8B">
      <w:pPr>
        <w:pStyle w:val="ListParagraph"/>
        <w:tabs>
          <w:tab w:val="left" w:pos="540"/>
        </w:tabs>
        <w:spacing w:after="240"/>
        <w:ind w:left="0"/>
        <w:rPr>
          <w:lang w:val="es-ES_tradnl"/>
        </w:rPr>
      </w:pPr>
    </w:p>
    <w:p w14:paraId="4819DD34" w14:textId="6C3FBB94" w:rsidR="000D5AA5" w:rsidRPr="00DD6BE4" w:rsidRDefault="009C5A54" w:rsidP="000D5AA5">
      <w:pPr>
        <w:pStyle w:val="ListParagraph"/>
        <w:numPr>
          <w:ilvl w:val="0"/>
          <w:numId w:val="4"/>
        </w:numPr>
        <w:tabs>
          <w:tab w:val="left" w:pos="540"/>
        </w:tabs>
        <w:spacing w:after="240"/>
        <w:ind w:left="0" w:firstLine="0"/>
        <w:rPr>
          <w:lang w:val="es-ES_tradnl"/>
        </w:rPr>
      </w:pPr>
      <w:r w:rsidRPr="00DD6BE4">
        <w:rPr>
          <w:lang w:val="es-ES_tradnl"/>
        </w:rPr>
        <w:t xml:space="preserve">Con el programa de asistencia técnica de la </w:t>
      </w:r>
      <w:r w:rsidR="00A33F5B" w:rsidRPr="00DD6BE4">
        <w:rPr>
          <w:lang w:val="es-ES_tradnl"/>
        </w:rPr>
        <w:t>OMPI,</w:t>
      </w:r>
      <w:r w:rsidRPr="00DD6BE4">
        <w:rPr>
          <w:lang w:val="es-ES_tradnl"/>
        </w:rPr>
        <w:t xml:space="preserve"> las OPI </w:t>
      </w:r>
      <w:r w:rsidR="00C17240" w:rsidRPr="00DD6BE4">
        <w:rPr>
          <w:lang w:val="es-ES_tradnl"/>
        </w:rPr>
        <w:t>de</w:t>
      </w:r>
      <w:r w:rsidRPr="00DD6BE4">
        <w:rPr>
          <w:lang w:val="es-ES_tradnl"/>
        </w:rPr>
        <w:t xml:space="preserve"> los países en desarrollo y </w:t>
      </w:r>
      <w:r w:rsidR="00912426" w:rsidRPr="00DD6BE4">
        <w:rPr>
          <w:lang w:val="es-ES_tradnl"/>
        </w:rPr>
        <w:t xml:space="preserve">los </w:t>
      </w:r>
      <w:r w:rsidR="00F9093A" w:rsidRPr="00DD6BE4">
        <w:rPr>
          <w:lang w:val="es-ES_tradnl"/>
        </w:rPr>
        <w:t xml:space="preserve">países </w:t>
      </w:r>
      <w:r w:rsidRPr="00DD6BE4">
        <w:rPr>
          <w:lang w:val="es-ES_tradnl"/>
        </w:rPr>
        <w:t xml:space="preserve">menos adelantados también </w:t>
      </w:r>
      <w:r w:rsidR="00C17240" w:rsidRPr="00DD6BE4">
        <w:rPr>
          <w:lang w:val="es-ES_tradnl"/>
        </w:rPr>
        <w:t>han recibido</w:t>
      </w:r>
      <w:r w:rsidRPr="00DD6BE4">
        <w:rPr>
          <w:lang w:val="es-ES_tradnl"/>
        </w:rPr>
        <w:t xml:space="preserve"> asistencia </w:t>
      </w:r>
      <w:r w:rsidR="00A33F5B" w:rsidRPr="00DD6BE4">
        <w:rPr>
          <w:lang w:val="es-ES_tradnl"/>
        </w:rPr>
        <w:t>para digitalizar</w:t>
      </w:r>
      <w:r w:rsidRPr="00DD6BE4">
        <w:rPr>
          <w:lang w:val="es-ES_tradnl"/>
        </w:rPr>
        <w:t xml:space="preserve"> los datos de PI. Entre los proyectos de digitalización se incluyen el escaneo de documentos históricos, la captura de datos procedentes de registros en papel y </w:t>
      </w:r>
      <w:r w:rsidR="00A33F5B" w:rsidRPr="00DD6BE4">
        <w:rPr>
          <w:lang w:val="es-ES_tradnl"/>
        </w:rPr>
        <w:t xml:space="preserve">los </w:t>
      </w:r>
      <w:r w:rsidRPr="00DD6BE4">
        <w:rPr>
          <w:lang w:val="es-ES_tradnl"/>
        </w:rPr>
        <w:t>proyectos de mejora de la calidad de los datos para corregir errores en datos históricos</w:t>
      </w:r>
      <w:r w:rsidR="00A33F5B" w:rsidRPr="00DD6BE4">
        <w:rPr>
          <w:lang w:val="es-ES_tradnl"/>
        </w:rPr>
        <w:t>.</w:t>
      </w:r>
    </w:p>
    <w:p w14:paraId="2347E843" w14:textId="77777777" w:rsidR="000D5AA5" w:rsidRPr="00DD6BE4" w:rsidRDefault="000D5AA5" w:rsidP="000D5AA5">
      <w:pPr>
        <w:pStyle w:val="ListParagraph"/>
        <w:tabs>
          <w:tab w:val="left" w:pos="540"/>
        </w:tabs>
        <w:spacing w:after="240"/>
        <w:ind w:left="0"/>
        <w:rPr>
          <w:lang w:val="es-ES_tradnl"/>
        </w:rPr>
      </w:pPr>
    </w:p>
    <w:p w14:paraId="18A61A0D" w14:textId="701DE871" w:rsidR="000D5AA5" w:rsidRPr="00DD6BE4" w:rsidRDefault="003A4B1D" w:rsidP="000D5AA5">
      <w:pPr>
        <w:pStyle w:val="ListParagraph"/>
        <w:numPr>
          <w:ilvl w:val="0"/>
          <w:numId w:val="4"/>
        </w:numPr>
        <w:tabs>
          <w:tab w:val="left" w:pos="540"/>
        </w:tabs>
        <w:spacing w:after="240"/>
        <w:ind w:left="0" w:firstLine="0"/>
        <w:rPr>
          <w:lang w:val="es-ES_tradnl"/>
        </w:rPr>
      </w:pPr>
      <w:r w:rsidRPr="00DD6BE4">
        <w:rPr>
          <w:lang w:val="es-ES_tradnl"/>
        </w:rPr>
        <w:t xml:space="preserve">La </w:t>
      </w:r>
      <w:r w:rsidR="009420D6" w:rsidRPr="00DD6BE4">
        <w:rPr>
          <w:lang w:val="es-ES_tradnl"/>
        </w:rPr>
        <w:t>falta</w:t>
      </w:r>
      <w:r w:rsidRPr="00DD6BE4">
        <w:rPr>
          <w:lang w:val="es-ES_tradnl"/>
        </w:rPr>
        <w:t xml:space="preserve"> de datos digitalizados de buena calidad es uno de los obstáculos que dificulta los esfuerzos de las OPI por ofrecer pro</w:t>
      </w:r>
      <w:r w:rsidR="005F51B9" w:rsidRPr="00DD6BE4">
        <w:rPr>
          <w:lang w:val="es-ES_tradnl"/>
        </w:rPr>
        <w:t>cesos</w:t>
      </w:r>
      <w:r w:rsidRPr="00DD6BE4">
        <w:rPr>
          <w:lang w:val="es-ES_tradnl"/>
        </w:rPr>
        <w:t xml:space="preserve"> </w:t>
      </w:r>
      <w:r w:rsidR="00137594" w:rsidRPr="00DD6BE4">
        <w:rPr>
          <w:lang w:val="es-ES_tradnl"/>
        </w:rPr>
        <w:t>en línea</w:t>
      </w:r>
      <w:r w:rsidRPr="00DD6BE4">
        <w:rPr>
          <w:lang w:val="es-ES_tradnl"/>
        </w:rPr>
        <w:t xml:space="preserve"> y digitales. Por numerosos motivos, los datos no se han registrado o actualizado de </w:t>
      </w:r>
      <w:r w:rsidR="009420D6" w:rsidRPr="00DD6BE4">
        <w:rPr>
          <w:lang w:val="es-ES_tradnl"/>
        </w:rPr>
        <w:t xml:space="preserve">una </w:t>
      </w:r>
      <w:r w:rsidRPr="00DD6BE4">
        <w:rPr>
          <w:lang w:val="es-ES_tradnl"/>
        </w:rPr>
        <w:t xml:space="preserve">manera fiable y los registros en papel continúan siendo la fuente </w:t>
      </w:r>
      <w:r w:rsidR="009420D6" w:rsidRPr="00DD6BE4">
        <w:rPr>
          <w:lang w:val="es-ES_tradnl"/>
        </w:rPr>
        <w:t xml:space="preserve">más fiable en muchas OPI, lo que dificulta que </w:t>
      </w:r>
      <w:r w:rsidR="00E56CBB" w:rsidRPr="00DD6BE4">
        <w:rPr>
          <w:lang w:val="es-ES_tradnl"/>
        </w:rPr>
        <w:t xml:space="preserve">las </w:t>
      </w:r>
      <w:r w:rsidR="004A0ECB" w:rsidRPr="00DD6BE4">
        <w:rPr>
          <w:lang w:val="es-ES_tradnl"/>
        </w:rPr>
        <w:t>oficinas</w:t>
      </w:r>
      <w:r w:rsidR="009420D6" w:rsidRPr="00DD6BE4">
        <w:rPr>
          <w:lang w:val="es-ES_tradnl"/>
        </w:rPr>
        <w:t xml:space="preserve"> puedan prestar</w:t>
      </w:r>
      <w:r w:rsidR="00E34BC0" w:rsidRPr="00DD6BE4">
        <w:rPr>
          <w:lang w:val="es-ES_tradnl"/>
        </w:rPr>
        <w:t xml:space="preserve"> </w:t>
      </w:r>
      <w:r w:rsidR="00E56CBB" w:rsidRPr="00DD6BE4">
        <w:rPr>
          <w:lang w:val="es-ES_tradnl"/>
        </w:rPr>
        <w:t xml:space="preserve">buenos </w:t>
      </w:r>
      <w:r w:rsidR="00E34BC0" w:rsidRPr="00DD6BE4">
        <w:rPr>
          <w:lang w:val="es-ES_tradnl"/>
        </w:rPr>
        <w:t>servicios e</w:t>
      </w:r>
      <w:r w:rsidR="00EF5823" w:rsidRPr="00DD6BE4">
        <w:rPr>
          <w:lang w:val="es-ES_tradnl"/>
        </w:rPr>
        <w:t>lectrónicos</w:t>
      </w:r>
      <w:r w:rsidR="00E34BC0" w:rsidRPr="00DD6BE4">
        <w:rPr>
          <w:lang w:val="es-ES_tradnl"/>
        </w:rPr>
        <w:t xml:space="preserve"> </w:t>
      </w:r>
      <w:r w:rsidR="009420D6" w:rsidRPr="00DD6BE4">
        <w:rPr>
          <w:lang w:val="es-ES_tradnl"/>
        </w:rPr>
        <w:t xml:space="preserve">debido a </w:t>
      </w:r>
      <w:r w:rsidR="00C53E2E" w:rsidRPr="00DD6BE4">
        <w:rPr>
          <w:lang w:val="es-ES_tradnl"/>
        </w:rPr>
        <w:t>l</w:t>
      </w:r>
      <w:r w:rsidR="00C17240" w:rsidRPr="00DD6BE4">
        <w:rPr>
          <w:lang w:val="es-ES_tradnl"/>
        </w:rPr>
        <w:t>a</w:t>
      </w:r>
      <w:r w:rsidR="009420D6" w:rsidRPr="00DD6BE4">
        <w:rPr>
          <w:lang w:val="es-ES_tradnl"/>
        </w:rPr>
        <w:t xml:space="preserve"> falta de fiabilidad de los datos</w:t>
      </w:r>
      <w:r w:rsidR="000D5AA5" w:rsidRPr="00DD6BE4">
        <w:rPr>
          <w:lang w:val="es-ES_tradnl"/>
        </w:rPr>
        <w:t>.</w:t>
      </w:r>
    </w:p>
    <w:p w14:paraId="374211AE" w14:textId="77777777" w:rsidR="000D5AA5" w:rsidRPr="00DD6BE4" w:rsidRDefault="000D5AA5" w:rsidP="000D5AA5">
      <w:pPr>
        <w:pStyle w:val="ListParagraph"/>
        <w:rPr>
          <w:lang w:val="es-ES_tradnl"/>
        </w:rPr>
      </w:pPr>
    </w:p>
    <w:p w14:paraId="013587ED" w14:textId="713F9994" w:rsidR="000D5AA5" w:rsidRPr="00DD6BE4" w:rsidRDefault="00E56CBB" w:rsidP="002B7A8B">
      <w:pPr>
        <w:pStyle w:val="ListParagraph"/>
        <w:numPr>
          <w:ilvl w:val="0"/>
          <w:numId w:val="4"/>
        </w:numPr>
        <w:tabs>
          <w:tab w:val="left" w:pos="540"/>
        </w:tabs>
        <w:spacing w:after="240"/>
        <w:ind w:left="0" w:firstLine="0"/>
        <w:rPr>
          <w:lang w:val="es-ES_tradnl"/>
        </w:rPr>
      </w:pPr>
      <w:r w:rsidRPr="00DD6BE4">
        <w:rPr>
          <w:lang w:val="es-ES_tradnl"/>
        </w:rPr>
        <w:t>Los proyectos de digitalización y de mejora de la calidad de los datos suelen</w:t>
      </w:r>
      <w:r w:rsidR="00471C37" w:rsidRPr="00DD6BE4">
        <w:rPr>
          <w:lang w:val="es-ES_tradnl"/>
        </w:rPr>
        <w:t xml:space="preserve"> </w:t>
      </w:r>
      <w:r w:rsidR="00F3171E" w:rsidRPr="00DD6BE4">
        <w:rPr>
          <w:lang w:val="es-ES_tradnl"/>
        </w:rPr>
        <w:t>exigir</w:t>
      </w:r>
      <w:r w:rsidR="00471C37" w:rsidRPr="00DD6BE4">
        <w:rPr>
          <w:lang w:val="es-ES_tradnl"/>
        </w:rPr>
        <w:t xml:space="preserve"> numerosos recursos</w:t>
      </w:r>
      <w:r w:rsidR="00F3171E" w:rsidRPr="00DD6BE4">
        <w:rPr>
          <w:lang w:val="es-ES_tradnl"/>
        </w:rPr>
        <w:t xml:space="preserve"> y se externalizan a proveedores externos, normalmente </w:t>
      </w:r>
      <w:r w:rsidR="000A7A5B" w:rsidRPr="00DD6BE4">
        <w:rPr>
          <w:lang w:val="es-ES_tradnl"/>
        </w:rPr>
        <w:t xml:space="preserve">a </w:t>
      </w:r>
      <w:r w:rsidR="00F3171E" w:rsidRPr="00DD6BE4">
        <w:rPr>
          <w:lang w:val="es-ES_tradnl"/>
        </w:rPr>
        <w:t>empresas de TI en el país beneficiario o en países vecinos. Debido a los recursos financieros exigidos, los proyectos suelen financiarse mediante fondos</w:t>
      </w:r>
      <w:r w:rsidR="00131D47" w:rsidRPr="00DD6BE4">
        <w:rPr>
          <w:lang w:val="es-ES_tradnl"/>
        </w:rPr>
        <w:t xml:space="preserve"> de donantes</w:t>
      </w:r>
      <w:r w:rsidR="00F3171E" w:rsidRPr="00DD6BE4">
        <w:rPr>
          <w:lang w:val="es-ES_tradnl"/>
        </w:rPr>
        <w:t xml:space="preserve">, en particular el </w:t>
      </w:r>
      <w:r w:rsidR="00131D47" w:rsidRPr="00DD6BE4">
        <w:rPr>
          <w:lang w:val="es-ES_tradnl"/>
        </w:rPr>
        <w:t>Fondo Fiduciario del Japón (FIT).</w:t>
      </w:r>
    </w:p>
    <w:p w14:paraId="1D71AD90" w14:textId="77777777" w:rsidR="000D5AA5" w:rsidRPr="00DD6BE4" w:rsidRDefault="000D5AA5" w:rsidP="002B7A8B">
      <w:pPr>
        <w:pStyle w:val="ListParagraph"/>
        <w:tabs>
          <w:tab w:val="left" w:pos="540"/>
        </w:tabs>
        <w:spacing w:after="240"/>
        <w:ind w:left="0"/>
        <w:rPr>
          <w:lang w:val="es-ES_tradnl"/>
        </w:rPr>
      </w:pPr>
    </w:p>
    <w:p w14:paraId="1FA96E46" w14:textId="7960DA87" w:rsidR="000D5AA5" w:rsidRPr="00DD6BE4" w:rsidRDefault="00131D47" w:rsidP="002B7A8B">
      <w:pPr>
        <w:pStyle w:val="ListParagraph"/>
        <w:numPr>
          <w:ilvl w:val="0"/>
          <w:numId w:val="4"/>
        </w:numPr>
        <w:tabs>
          <w:tab w:val="left" w:pos="540"/>
        </w:tabs>
        <w:spacing w:after="240"/>
        <w:ind w:left="0" w:firstLine="0"/>
        <w:rPr>
          <w:lang w:val="es-ES_tradnl"/>
        </w:rPr>
      </w:pPr>
      <w:r w:rsidRPr="00DD6BE4">
        <w:rPr>
          <w:lang w:val="es-ES_tradnl"/>
        </w:rPr>
        <w:t>Desde 2010</w:t>
      </w:r>
      <w:r w:rsidR="0077131D" w:rsidRPr="00DD6BE4">
        <w:rPr>
          <w:lang w:val="es-ES_tradnl"/>
        </w:rPr>
        <w:t xml:space="preserve"> se han ejecutado 29 proyectos de digitalización en OPI de países en desarrollo y </w:t>
      </w:r>
      <w:r w:rsidR="00F9093A" w:rsidRPr="00DD6BE4">
        <w:rPr>
          <w:lang w:val="es-ES_tradnl"/>
        </w:rPr>
        <w:t xml:space="preserve">países </w:t>
      </w:r>
      <w:r w:rsidR="0077131D" w:rsidRPr="00DD6BE4">
        <w:rPr>
          <w:lang w:val="es-ES_tradnl"/>
        </w:rPr>
        <w:t>menos adelantados de todas las regiones.</w:t>
      </w:r>
    </w:p>
    <w:p w14:paraId="0FBCCC9B" w14:textId="132E1B30" w:rsidR="000D5AA5" w:rsidRPr="00DD6BE4" w:rsidRDefault="000D5AA5" w:rsidP="000D5AA5">
      <w:pPr>
        <w:pStyle w:val="Heading4"/>
        <w:keepLines/>
        <w:numPr>
          <w:ilvl w:val="0"/>
          <w:numId w:val="24"/>
        </w:numPr>
        <w:rPr>
          <w:lang w:val="es-ES_tradnl"/>
        </w:rPr>
      </w:pPr>
      <w:r w:rsidRPr="00DD6BE4">
        <w:rPr>
          <w:lang w:val="es-ES_tradnl"/>
        </w:rPr>
        <w:t>As</w:t>
      </w:r>
      <w:r w:rsidR="0077131D" w:rsidRPr="00DD6BE4">
        <w:rPr>
          <w:lang w:val="es-ES_tradnl"/>
        </w:rPr>
        <w:t>istencia para la creación de datos digitales de PI</w:t>
      </w:r>
    </w:p>
    <w:p w14:paraId="10E66E0A" w14:textId="77777777" w:rsidR="000D5AA5" w:rsidRPr="00DD6BE4" w:rsidRDefault="000D5AA5" w:rsidP="000D5AA5">
      <w:pPr>
        <w:rPr>
          <w:lang w:val="es-ES_tradnl"/>
        </w:rPr>
      </w:pPr>
    </w:p>
    <w:p w14:paraId="13E28E83" w14:textId="3880FE54" w:rsidR="00FE3E3E" w:rsidRPr="00DD6BE4" w:rsidRDefault="00671BF9" w:rsidP="00B86634">
      <w:pPr>
        <w:pStyle w:val="ListParagraph"/>
        <w:numPr>
          <w:ilvl w:val="0"/>
          <w:numId w:val="4"/>
        </w:numPr>
        <w:tabs>
          <w:tab w:val="left" w:pos="540"/>
        </w:tabs>
        <w:spacing w:after="240"/>
        <w:ind w:left="0" w:firstLine="0"/>
        <w:rPr>
          <w:lang w:val="es-ES_tradnl"/>
        </w:rPr>
      </w:pPr>
      <w:bookmarkStart w:id="5" w:name="_Ref102117182"/>
      <w:r w:rsidRPr="00DD6BE4">
        <w:rPr>
          <w:lang w:val="es-ES_tradnl"/>
        </w:rPr>
        <w:t xml:space="preserve">En el caso de las OPI de los países en desarrollo y los </w:t>
      </w:r>
      <w:r w:rsidR="00F9093A" w:rsidRPr="00DD6BE4">
        <w:rPr>
          <w:lang w:val="es-ES_tradnl"/>
        </w:rPr>
        <w:t xml:space="preserve">países </w:t>
      </w:r>
      <w:r w:rsidRPr="00DD6BE4">
        <w:rPr>
          <w:lang w:val="es-ES_tradnl"/>
        </w:rPr>
        <w:t>menos adelantados, que tal vez no dispongan de suficientes recursos y conocimientos especializados para generar datos nacionales de PI en formato digital, es necesario que la Secretaría de la OMPI responda a su</w:t>
      </w:r>
      <w:r w:rsidR="00843B03" w:rsidRPr="00DD6BE4">
        <w:rPr>
          <w:lang w:val="es-ES_tradnl"/>
        </w:rPr>
        <w:t>s</w:t>
      </w:r>
      <w:r w:rsidRPr="00DD6BE4">
        <w:rPr>
          <w:lang w:val="es-ES_tradnl"/>
        </w:rPr>
        <w:t xml:space="preserve"> solicitud</w:t>
      </w:r>
      <w:r w:rsidR="00843B03" w:rsidRPr="00DD6BE4">
        <w:rPr>
          <w:lang w:val="es-ES_tradnl"/>
        </w:rPr>
        <w:t>es</w:t>
      </w:r>
      <w:r w:rsidRPr="00DD6BE4">
        <w:rPr>
          <w:lang w:val="es-ES_tradnl"/>
        </w:rPr>
        <w:t xml:space="preserve"> de asistencia técnica para digitalizar sus datos nacionales de PI proporcionando a las OPI el programa informático de reconocimiento óptico de caracteres (ROC) de la OMPI y formando a los funcionarios de la OPI para que adquieran las capacidades y conocimientos necesarios para que digitalicen ellos mismos sus datos de PI.</w:t>
      </w:r>
      <w:bookmarkEnd w:id="5"/>
    </w:p>
    <w:p w14:paraId="74D2FBA2" w14:textId="7B897A7A" w:rsidR="00BE3A23" w:rsidRPr="00DD6BE4" w:rsidRDefault="00BE3A23" w:rsidP="00FE3E3E">
      <w:pPr>
        <w:pStyle w:val="ListParagraph"/>
        <w:tabs>
          <w:tab w:val="left" w:pos="360"/>
        </w:tabs>
        <w:ind w:left="0"/>
        <w:rPr>
          <w:lang w:val="es-ES_tradnl"/>
        </w:rPr>
      </w:pPr>
    </w:p>
    <w:p w14:paraId="5D0C5D67" w14:textId="4FA89E8D" w:rsidR="00FE3E3E" w:rsidRPr="00DD6BE4" w:rsidRDefault="00843B03" w:rsidP="00B86634">
      <w:pPr>
        <w:pStyle w:val="ListParagraph"/>
        <w:numPr>
          <w:ilvl w:val="0"/>
          <w:numId w:val="4"/>
        </w:numPr>
        <w:tabs>
          <w:tab w:val="left" w:pos="540"/>
        </w:tabs>
        <w:spacing w:after="240"/>
        <w:ind w:left="0" w:firstLine="0"/>
        <w:rPr>
          <w:lang w:val="es-ES_tradnl"/>
        </w:rPr>
      </w:pPr>
      <w:r w:rsidRPr="00DD6BE4">
        <w:rPr>
          <w:lang w:val="es-ES_tradnl"/>
        </w:rPr>
        <w:t xml:space="preserve">La OMPI utiliza su propio programa informático de ROC, desarrollado inicialmente en 2006, para crear datos digitales a partir de las solicitudes internacionales presentadas inicialmente en papel o en imagen facsimilar de datos del Tratado de Cooperación en materia de Patentes (PCT). Este sistema se </w:t>
      </w:r>
      <w:r w:rsidR="00A9430B" w:rsidRPr="00DD6BE4">
        <w:rPr>
          <w:lang w:val="es-ES_tradnl"/>
        </w:rPr>
        <w:t>creó</w:t>
      </w:r>
      <w:r w:rsidRPr="00DD6BE4">
        <w:rPr>
          <w:lang w:val="es-ES_tradnl"/>
        </w:rPr>
        <w:t xml:space="preserve"> mediante la adaptación de la solución de ROC líder en el mercado a las particularidades de los documentos de patente y a las normas técnicas de la OMPI, y ha permitido lograr que las descripciones y las reivindicaciones de las solicitudes PCT puedan buscarse en todos los idiomas de publicación, excepto el árabe, en la base de datos </w:t>
      </w:r>
      <w:r w:rsidR="00A9430B" w:rsidRPr="00DD6BE4">
        <w:rPr>
          <w:lang w:val="es-ES_tradnl"/>
        </w:rPr>
        <w:t>PATENTSCOPE.</w:t>
      </w:r>
    </w:p>
    <w:p w14:paraId="3E681375" w14:textId="77777777" w:rsidR="00FE3E3E" w:rsidRPr="00DD6BE4" w:rsidRDefault="00FE3E3E" w:rsidP="00FE3E3E">
      <w:pPr>
        <w:pStyle w:val="ListParagraph"/>
        <w:rPr>
          <w:lang w:val="es-ES_tradnl"/>
        </w:rPr>
      </w:pPr>
    </w:p>
    <w:p w14:paraId="39BF3D94" w14:textId="3C23F503" w:rsidR="00FE3E3E" w:rsidRPr="00DD6BE4" w:rsidRDefault="00FF26E1" w:rsidP="00B86634">
      <w:pPr>
        <w:pStyle w:val="ListParagraph"/>
        <w:numPr>
          <w:ilvl w:val="0"/>
          <w:numId w:val="4"/>
        </w:numPr>
        <w:tabs>
          <w:tab w:val="left" w:pos="540"/>
        </w:tabs>
        <w:spacing w:after="240"/>
        <w:ind w:left="0" w:firstLine="0"/>
        <w:rPr>
          <w:lang w:val="es-ES_tradnl"/>
        </w:rPr>
      </w:pPr>
      <w:r w:rsidRPr="00DD6BE4">
        <w:rPr>
          <w:lang w:val="es-ES_tradnl"/>
        </w:rPr>
        <w:t>B</w:t>
      </w:r>
      <w:r w:rsidR="00FD6D0F" w:rsidRPr="00DD6BE4">
        <w:rPr>
          <w:lang w:val="es-ES_tradnl"/>
        </w:rPr>
        <w:t>asándose en esta</w:t>
      </w:r>
      <w:r w:rsidR="007C2724" w:rsidRPr="00DD6BE4">
        <w:rPr>
          <w:lang w:val="es-ES_tradnl"/>
        </w:rPr>
        <w:t>s</w:t>
      </w:r>
      <w:r w:rsidR="00FD6D0F" w:rsidRPr="00DD6BE4">
        <w:rPr>
          <w:lang w:val="es-ES_tradnl"/>
        </w:rPr>
        <w:t xml:space="preserve"> tecnología</w:t>
      </w:r>
      <w:r w:rsidR="007C2724" w:rsidRPr="00DD6BE4">
        <w:rPr>
          <w:lang w:val="es-ES_tradnl"/>
        </w:rPr>
        <w:t>s</w:t>
      </w:r>
      <w:r w:rsidR="00FD6D0F" w:rsidRPr="00DD6BE4">
        <w:rPr>
          <w:lang w:val="es-ES_tradnl"/>
        </w:rPr>
        <w:t xml:space="preserve"> y conocimientos especializados desarrollados internamente, </w:t>
      </w:r>
      <w:r w:rsidR="00A9430B" w:rsidRPr="00DD6BE4">
        <w:rPr>
          <w:lang w:val="es-ES_tradnl"/>
        </w:rPr>
        <w:t>la OMPI comenzó a aprovechar</w:t>
      </w:r>
      <w:r w:rsidR="00FD6D0F" w:rsidRPr="00DD6BE4">
        <w:rPr>
          <w:lang w:val="es-ES_tradnl"/>
        </w:rPr>
        <w:t xml:space="preserve">los </w:t>
      </w:r>
      <w:r w:rsidR="00A9430B" w:rsidRPr="00DD6BE4">
        <w:rPr>
          <w:lang w:val="es-ES_tradnl"/>
        </w:rPr>
        <w:t xml:space="preserve">para ayudar a las OPI en el proceso de digitalización de sus datos de PI. Con este fin, la OMPI se asoció con la Oficina Europea de Patentes (OEP) para ayudar a las OPI nacionales a producir textos completos de alta calidad para sus publicaciones recientes de patentes, y ofreció a las oficinas participantes la posibilidad de adaptar a sus necesidades el sistema interno de ROC y proporcionarles servicios de formación y apoyo y licencias de ROC. El ROC da como resultado datos de PI digitalizados y bien estructurados de acuerdo con las normas técnicas de la OMPI. Entre abril de 2017 y noviembre de 2019, se organizaron seis sesiones de formación y 34 </w:t>
      </w:r>
      <w:r w:rsidR="00DF2419" w:rsidRPr="00DD6BE4">
        <w:rPr>
          <w:lang w:val="es-ES_tradnl"/>
        </w:rPr>
        <w:t>OPI</w:t>
      </w:r>
      <w:r w:rsidR="00A9430B" w:rsidRPr="00DD6BE4">
        <w:rPr>
          <w:lang w:val="es-ES_tradnl"/>
        </w:rPr>
        <w:t xml:space="preserve"> recibieron el programa informático y siguieron un programa de capacitación</w:t>
      </w:r>
      <w:r w:rsidR="00DF2419" w:rsidRPr="00DD6BE4">
        <w:rPr>
          <w:lang w:val="es-ES_tradnl"/>
        </w:rPr>
        <w:t>.</w:t>
      </w:r>
    </w:p>
    <w:p w14:paraId="78AA3AF1" w14:textId="77777777" w:rsidR="00FE3E3E" w:rsidRPr="00DD6BE4" w:rsidRDefault="00FE3E3E" w:rsidP="00FE3E3E">
      <w:pPr>
        <w:pStyle w:val="ListParagraph"/>
        <w:tabs>
          <w:tab w:val="left" w:pos="360"/>
        </w:tabs>
        <w:ind w:left="0"/>
        <w:rPr>
          <w:lang w:val="es-ES_tradnl"/>
        </w:rPr>
      </w:pPr>
    </w:p>
    <w:p w14:paraId="35A42A22" w14:textId="476CC81A" w:rsidR="00FE3E3E" w:rsidRPr="00DD6BE4" w:rsidRDefault="007C2724" w:rsidP="00B86634">
      <w:pPr>
        <w:pStyle w:val="ListParagraph"/>
        <w:numPr>
          <w:ilvl w:val="0"/>
          <w:numId w:val="4"/>
        </w:numPr>
        <w:tabs>
          <w:tab w:val="left" w:pos="540"/>
        </w:tabs>
        <w:spacing w:after="240"/>
        <w:ind w:left="0" w:firstLine="0"/>
        <w:rPr>
          <w:lang w:val="es-ES_tradnl"/>
        </w:rPr>
      </w:pPr>
      <w:r w:rsidRPr="00DD6BE4">
        <w:rPr>
          <w:lang w:val="es-ES_tradnl"/>
        </w:rPr>
        <w:t>El éxito de la asociación con la OEP para digitalizar los datos sobre PI en Europa dio pie a un proyecto exploratorio para los países en desarrollo de América Latina en el marco del proyecto LATIPAT. En noviembre de 2018, la OMPI y la OEP organizaron una sesión de formación en América Latina en la que se impartió formación a 12 OPI de la región y se les entregó el programa informático de ROC de la OMPI.</w:t>
      </w:r>
    </w:p>
    <w:p w14:paraId="75F13A7B" w14:textId="77777777" w:rsidR="00FE3E3E" w:rsidRPr="00DD6BE4" w:rsidRDefault="00FE3E3E" w:rsidP="00FE3E3E">
      <w:pPr>
        <w:pStyle w:val="ListParagraph"/>
        <w:rPr>
          <w:lang w:val="es-ES_tradnl"/>
        </w:rPr>
      </w:pPr>
    </w:p>
    <w:p w14:paraId="7A1C9954" w14:textId="07FBB5FB" w:rsidR="00DD7399" w:rsidRPr="00DD6BE4" w:rsidRDefault="00CC0EA4" w:rsidP="00E81C60">
      <w:pPr>
        <w:pStyle w:val="ListParagraph"/>
        <w:numPr>
          <w:ilvl w:val="0"/>
          <w:numId w:val="4"/>
        </w:numPr>
        <w:tabs>
          <w:tab w:val="left" w:pos="540"/>
        </w:tabs>
        <w:spacing w:after="240"/>
        <w:ind w:left="0" w:firstLine="0"/>
        <w:rPr>
          <w:lang w:val="es-ES_tradnl"/>
        </w:rPr>
      </w:pPr>
      <w:r w:rsidRPr="00DD6BE4">
        <w:rPr>
          <w:lang w:val="es-ES_tradnl"/>
        </w:rPr>
        <w:t>A finales de 2019, las oficinas que habían recibido asistencia eran más de 30. En 2020, se iniciaron conversaciones con la OEP para hacer extensiva esa exitosa asociación a la región de la ASEAN, y la Oficina de Patentes de Israel también ha expresado su interés en participar</w:t>
      </w:r>
      <w:r w:rsidR="00DD7399" w:rsidRPr="00DD6BE4">
        <w:rPr>
          <w:lang w:val="es-ES_tradnl"/>
        </w:rPr>
        <w:t>.</w:t>
      </w:r>
    </w:p>
    <w:p w14:paraId="3633207B" w14:textId="77777777" w:rsidR="00EE00AB" w:rsidRPr="00DD6BE4" w:rsidRDefault="00EE00AB" w:rsidP="00EE00AB">
      <w:pPr>
        <w:pStyle w:val="ListParagraph"/>
        <w:rPr>
          <w:lang w:val="es-ES_tradnl"/>
        </w:rPr>
      </w:pPr>
    </w:p>
    <w:p w14:paraId="6271D6FD" w14:textId="2875A069" w:rsidR="00EE00AB" w:rsidRPr="00DD6BE4" w:rsidRDefault="00CC0EA4" w:rsidP="00B86634">
      <w:pPr>
        <w:pStyle w:val="ListParagraph"/>
        <w:numPr>
          <w:ilvl w:val="0"/>
          <w:numId w:val="4"/>
        </w:numPr>
        <w:tabs>
          <w:tab w:val="left" w:pos="540"/>
        </w:tabs>
        <w:spacing w:after="240"/>
        <w:ind w:left="0" w:firstLine="0"/>
        <w:rPr>
          <w:lang w:val="es-ES_tradnl"/>
        </w:rPr>
      </w:pPr>
      <w:r w:rsidRPr="00DD6BE4">
        <w:rPr>
          <w:lang w:val="es-ES_tradnl"/>
        </w:rPr>
        <w:t>En 2012 los Directores de la OEP, la Oficina Española de Patentes y Marcas y la OMPI firmaron un memorando de entendimiento sobre el proyecto de promover el intercambio de información sobre patentes entre las OPI de los países de América Latina en el marco del proyecto LATIPAT</w:t>
      </w:r>
      <w:r w:rsidR="00DD7399" w:rsidRPr="00DD6BE4">
        <w:rPr>
          <w:lang w:val="es-ES_tradnl"/>
        </w:rPr>
        <w:t>.</w:t>
      </w:r>
    </w:p>
    <w:p w14:paraId="44518C9D" w14:textId="77777777" w:rsidR="00EE00AB" w:rsidRPr="00DD6BE4" w:rsidRDefault="00EE00AB" w:rsidP="00EE00AB">
      <w:pPr>
        <w:pStyle w:val="ListParagraph"/>
        <w:rPr>
          <w:lang w:val="es-ES_tradnl"/>
        </w:rPr>
      </w:pPr>
    </w:p>
    <w:p w14:paraId="078C41AC" w14:textId="0C36FD1B" w:rsidR="00EE00AB" w:rsidRPr="00DD6BE4" w:rsidRDefault="00E13E90" w:rsidP="00B86634">
      <w:pPr>
        <w:pStyle w:val="ListParagraph"/>
        <w:numPr>
          <w:ilvl w:val="0"/>
          <w:numId w:val="4"/>
        </w:numPr>
        <w:tabs>
          <w:tab w:val="left" w:pos="540"/>
        </w:tabs>
        <w:spacing w:after="240"/>
        <w:ind w:left="0" w:firstLine="0"/>
        <w:rPr>
          <w:lang w:val="es-ES_tradnl"/>
        </w:rPr>
      </w:pPr>
      <w:r w:rsidRPr="00DD6BE4">
        <w:rPr>
          <w:lang w:val="es-ES_tradnl"/>
        </w:rPr>
        <w:t>Desde entonces los tres organismos, en colaboración con las OPI de América Latina, han trabajado de forma conjunta para mantener y actualizar una base de datos regional que recoja la información de las solicitudes de patentes publicadas y de las patentes concedidas en los países de América Latina. Esta base de datos proporciona acceso a la información en formato digital sobre la tecnología de patentes de la región y sirve de plataforma de referencia común para la publicación de información sobre patentes en América Latina. 16</w:t>
      </w:r>
      <w:r w:rsidR="005D61E0" w:rsidRPr="00DD6BE4">
        <w:rPr>
          <w:lang w:val="es-ES_tradnl"/>
        </w:rPr>
        <w:t xml:space="preserve"> </w:t>
      </w:r>
      <w:r w:rsidRPr="00DD6BE4">
        <w:rPr>
          <w:lang w:val="es-ES_tradnl"/>
        </w:rPr>
        <w:t>OPI latinoamericanas han estado participando activamente en este proyecto y enviando regularmente su información, conforme a las normas técnicas internacionales establecidas en las Normas de la OMPI y a los formatos internacionalmente reconocidos. Desde la creación de PATENTSCOPE, la información se incluye también en esta plataforma</w:t>
      </w:r>
      <w:r w:rsidR="00DD7399" w:rsidRPr="00DD6BE4">
        <w:rPr>
          <w:lang w:val="es-ES_tradnl"/>
        </w:rPr>
        <w:t>.</w:t>
      </w:r>
    </w:p>
    <w:p w14:paraId="2AC026C6" w14:textId="77777777" w:rsidR="00EE00AB" w:rsidRPr="00DD6BE4" w:rsidRDefault="00EE00AB" w:rsidP="00EE00AB">
      <w:pPr>
        <w:pStyle w:val="ListParagraph"/>
        <w:rPr>
          <w:lang w:val="es-ES_tradnl"/>
        </w:rPr>
      </w:pPr>
    </w:p>
    <w:p w14:paraId="289C31C1" w14:textId="5CC31920" w:rsidR="00EE00AB" w:rsidRPr="00DD6BE4" w:rsidRDefault="002139FB" w:rsidP="00B86634">
      <w:pPr>
        <w:pStyle w:val="ListParagraph"/>
        <w:numPr>
          <w:ilvl w:val="0"/>
          <w:numId w:val="4"/>
        </w:numPr>
        <w:tabs>
          <w:tab w:val="left" w:pos="540"/>
        </w:tabs>
        <w:spacing w:after="240"/>
        <w:ind w:left="0" w:firstLine="0"/>
        <w:rPr>
          <w:lang w:val="es-ES_tradnl"/>
        </w:rPr>
      </w:pPr>
      <w:r w:rsidRPr="00DD6BE4">
        <w:rPr>
          <w:lang w:val="es-ES_tradnl"/>
        </w:rPr>
        <w:t xml:space="preserve">Uno de los principales objetivos de la asistencia prestada por la OMPI a las OPI que han participado en el proyecto LATIPAT a lo largo de los últimos tres años ha sido aumentar los datos de texto completo en formato digital sobre las patentes publicadas por estas </w:t>
      </w:r>
      <w:r w:rsidR="00B1246A" w:rsidRPr="00DD6BE4">
        <w:rPr>
          <w:lang w:val="es-ES_tradnl"/>
        </w:rPr>
        <w:t>OPI</w:t>
      </w:r>
      <w:r w:rsidRPr="00DD6BE4">
        <w:rPr>
          <w:lang w:val="es-ES_tradnl"/>
        </w:rPr>
        <w:t xml:space="preserve">. En noviembre de 2018, la OMPI y la OEP organizaron un seminario de formación en San José (Costa Rica), en el marco del proyecto LATIPAT, en el que personal de 12 OPI de América Latina recibió formación y obtuvo una licencia para utilizar un sistema de ROC desarrollado por la OMPI con el fin de crear datos de texto completo en relación con las solicitudes de patentes y las patentes publicadas. El objetivo del seminario era capacitar al personal de esas </w:t>
      </w:r>
      <w:r w:rsidR="00B1246A" w:rsidRPr="00DD6BE4">
        <w:rPr>
          <w:lang w:val="es-ES_tradnl"/>
        </w:rPr>
        <w:t xml:space="preserve">OPI </w:t>
      </w:r>
      <w:r w:rsidRPr="00DD6BE4">
        <w:rPr>
          <w:lang w:val="es-ES_tradnl"/>
        </w:rPr>
        <w:t>para producir datos de alta calidad y susceptibles de búsqueda en forma de texto completo para su inclusión en PATENTSCOPE y ESPACENET. Participaron en el seminario funcionarios de la Argentina, el Brasil, Costa Rica, Cuba, la República Dominicana, el Ecuador, Guatemala, Honduras, México, el Perú y el Uruguay</w:t>
      </w:r>
      <w:r w:rsidR="00B1246A" w:rsidRPr="00DD6BE4">
        <w:rPr>
          <w:lang w:val="es-ES_tradnl"/>
        </w:rPr>
        <w:t>.</w:t>
      </w:r>
    </w:p>
    <w:p w14:paraId="0B2D78F5" w14:textId="77777777" w:rsidR="00EE00AB" w:rsidRPr="00DD6BE4" w:rsidRDefault="00EE00AB" w:rsidP="00EE00AB">
      <w:pPr>
        <w:pStyle w:val="ListParagraph"/>
        <w:rPr>
          <w:lang w:val="es-ES_tradnl"/>
        </w:rPr>
      </w:pPr>
    </w:p>
    <w:p w14:paraId="6A85F930" w14:textId="5D6BE1FC" w:rsidR="00EE00AB" w:rsidRPr="00DD6BE4" w:rsidRDefault="00880E2E" w:rsidP="00B86634">
      <w:pPr>
        <w:pStyle w:val="ListParagraph"/>
        <w:numPr>
          <w:ilvl w:val="0"/>
          <w:numId w:val="4"/>
        </w:numPr>
        <w:tabs>
          <w:tab w:val="left" w:pos="540"/>
        </w:tabs>
        <w:spacing w:after="240"/>
        <w:ind w:left="0" w:firstLine="0"/>
        <w:rPr>
          <w:lang w:val="es-ES_tradnl"/>
        </w:rPr>
      </w:pPr>
      <w:r w:rsidRPr="00DD6BE4">
        <w:rPr>
          <w:lang w:val="es-ES_tradnl"/>
        </w:rPr>
        <w:t xml:space="preserve">Como resultado, las OPI de la Argentina, el Brasil, Chile, Colombia, Costa Rica, Cuba, la República Dominicana, El Salvador, Guatemala, México, Nicaragua, el Perú y el Uruguay envían datos periódicamente a la OMPI y a la OEP para que los incorporen a las bases de datos. Los datos de texto completo generados con la ayuda del programa informático de ROC en las </w:t>
      </w:r>
      <w:r w:rsidR="0028351F" w:rsidRPr="00DD6BE4">
        <w:rPr>
          <w:lang w:val="es-ES_tradnl"/>
        </w:rPr>
        <w:t>O</w:t>
      </w:r>
      <w:r w:rsidRPr="00DD6BE4">
        <w:rPr>
          <w:lang w:val="es-ES_tradnl"/>
        </w:rPr>
        <w:t>PI de la Argentina, Costa Rica, la República Dominicana, el Ecuador, Honduras, México y el Uruguay están en proceso de validación y los datos procedentes de Cuba y el Perú están en proceso de ser cargados y puestos en producción</w:t>
      </w:r>
      <w:r w:rsidR="00DD7399" w:rsidRPr="00DD6BE4">
        <w:rPr>
          <w:lang w:val="es-ES_tradnl"/>
        </w:rPr>
        <w:t>.</w:t>
      </w:r>
      <w:r w:rsidR="005D61E0" w:rsidRPr="00DD6BE4">
        <w:rPr>
          <w:lang w:val="es-ES_tradnl"/>
        </w:rPr>
        <w:t xml:space="preserve"> </w:t>
      </w:r>
    </w:p>
    <w:p w14:paraId="30B58A65" w14:textId="77777777" w:rsidR="00EE00AB" w:rsidRPr="00DD6BE4" w:rsidRDefault="00EE00AB" w:rsidP="00EE00AB">
      <w:pPr>
        <w:pStyle w:val="ListParagraph"/>
        <w:rPr>
          <w:lang w:val="es-ES_tradnl"/>
        </w:rPr>
      </w:pPr>
    </w:p>
    <w:p w14:paraId="63664271" w14:textId="508F8075" w:rsidR="00300737" w:rsidRPr="00DD6BE4" w:rsidRDefault="0028351F" w:rsidP="00B86634">
      <w:pPr>
        <w:pStyle w:val="ListParagraph"/>
        <w:numPr>
          <w:ilvl w:val="0"/>
          <w:numId w:val="4"/>
        </w:numPr>
        <w:tabs>
          <w:tab w:val="left" w:pos="540"/>
        </w:tabs>
        <w:spacing w:after="240"/>
        <w:ind w:left="0" w:firstLine="0"/>
        <w:rPr>
          <w:lang w:val="es-ES_tradnl"/>
        </w:rPr>
      </w:pPr>
      <w:bookmarkStart w:id="6" w:name="_Ref102117192"/>
      <w:r w:rsidRPr="00DD6BE4">
        <w:rPr>
          <w:lang w:val="es-ES_tradnl"/>
        </w:rPr>
        <w:t>En 2019 hubo 16 países que participaron en el proyecto y enviaron datos bibliográficos y archivos en formato PDF sobre las solicitudes de patente y las patentes publicadas por sus respectivas OPI. En agosto de 2019 la base de datos LATIPAT contenía más de 2.900.000 datos bibliográficos y más de 2.270.000 datos de imágenes de documentos completos de patente, en formato digital y PDF</w:t>
      </w:r>
      <w:r w:rsidR="00EE00AB" w:rsidRPr="00DD6BE4">
        <w:rPr>
          <w:lang w:val="es-ES_tradnl"/>
        </w:rPr>
        <w:t>.</w:t>
      </w:r>
      <w:bookmarkEnd w:id="6"/>
    </w:p>
    <w:p w14:paraId="3E502C7A" w14:textId="77777777" w:rsidR="00EE00AB" w:rsidRPr="00DD6BE4" w:rsidRDefault="00EE00AB" w:rsidP="00EE00AB">
      <w:pPr>
        <w:pStyle w:val="ListParagraph"/>
        <w:rPr>
          <w:lang w:val="es-ES_tradnl"/>
        </w:rPr>
      </w:pPr>
    </w:p>
    <w:p w14:paraId="79F7D748" w14:textId="2F79D5B7" w:rsidR="00DD7399" w:rsidRPr="00DD6BE4" w:rsidRDefault="00A96773" w:rsidP="000D5AA5">
      <w:pPr>
        <w:pStyle w:val="Heading4"/>
        <w:rPr>
          <w:lang w:val="es-ES_tradnl"/>
        </w:rPr>
      </w:pPr>
      <w:r w:rsidRPr="00DD6BE4">
        <w:rPr>
          <w:lang w:val="es-ES_tradnl"/>
        </w:rPr>
        <w:t>Plataformas informáticas</w:t>
      </w:r>
    </w:p>
    <w:p w14:paraId="340AE882" w14:textId="77777777" w:rsidR="00DD7399" w:rsidRPr="00DD6BE4" w:rsidRDefault="00DD7399" w:rsidP="00EE00AB">
      <w:pPr>
        <w:keepNext/>
        <w:keepLines/>
        <w:rPr>
          <w:rFonts w:eastAsia="Malgun Gothic"/>
          <w:i/>
          <w:lang w:val="es-ES_tradnl"/>
        </w:rPr>
      </w:pPr>
    </w:p>
    <w:p w14:paraId="1BBEC51B" w14:textId="26CA9909" w:rsidR="00A53F40" w:rsidRPr="00DD6BE4" w:rsidRDefault="00A96773" w:rsidP="00A53F40">
      <w:pPr>
        <w:pStyle w:val="ListParagraph"/>
        <w:numPr>
          <w:ilvl w:val="0"/>
          <w:numId w:val="4"/>
        </w:numPr>
        <w:tabs>
          <w:tab w:val="left" w:pos="540"/>
        </w:tabs>
        <w:spacing w:after="240"/>
        <w:ind w:left="0" w:firstLine="0"/>
        <w:rPr>
          <w:rFonts w:ascii="Calibri" w:eastAsia="Malgun Gothic" w:hAnsi="Calibri" w:cs="Calibri"/>
          <w:lang w:val="es-ES_tradnl"/>
        </w:rPr>
      </w:pPr>
      <w:r w:rsidRPr="00DD6BE4">
        <w:rPr>
          <w:lang w:val="es-ES_tradnl"/>
        </w:rPr>
        <w:t xml:space="preserve">Desde 1999 la OMPI dispone de una plataforma informática, el Sistema de Automatización </w:t>
      </w:r>
      <w:r w:rsidR="00F52D06" w:rsidRPr="00DD6BE4">
        <w:rPr>
          <w:lang w:val="es-ES_tradnl"/>
        </w:rPr>
        <w:t xml:space="preserve">para las OPI </w:t>
      </w:r>
      <w:r w:rsidRPr="00DD6BE4">
        <w:rPr>
          <w:lang w:val="es-ES_tradnl"/>
        </w:rPr>
        <w:t>(IPAS)</w:t>
      </w:r>
      <w:r w:rsidR="00F52D06" w:rsidRPr="00DD6BE4">
        <w:rPr>
          <w:lang w:val="es-ES_tradnl"/>
        </w:rPr>
        <w:t xml:space="preserve">, que permite </w:t>
      </w:r>
      <w:r w:rsidR="0045231B" w:rsidRPr="00DD6BE4">
        <w:rPr>
          <w:lang w:val="es-ES_tradnl"/>
        </w:rPr>
        <w:t xml:space="preserve">a </w:t>
      </w:r>
      <w:r w:rsidR="00F52D06" w:rsidRPr="00DD6BE4">
        <w:rPr>
          <w:lang w:val="es-ES_tradnl"/>
        </w:rPr>
        <w:t>las OPI automati</w:t>
      </w:r>
      <w:r w:rsidR="0045231B" w:rsidRPr="00DD6BE4">
        <w:rPr>
          <w:lang w:val="es-ES_tradnl"/>
        </w:rPr>
        <w:t>zar</w:t>
      </w:r>
      <w:r w:rsidRPr="00DD6BE4">
        <w:rPr>
          <w:lang w:val="es-ES_tradnl"/>
        </w:rPr>
        <w:t xml:space="preserve"> </w:t>
      </w:r>
      <w:r w:rsidR="00F52D06" w:rsidRPr="00DD6BE4">
        <w:rPr>
          <w:lang w:val="es-ES_tradnl"/>
        </w:rPr>
        <w:t xml:space="preserve">la administración de las solicitudes de patentes, marcas, diseños y derechos conexos de PI. Este </w:t>
      </w:r>
      <w:r w:rsidR="005D7F3F" w:rsidRPr="00DD6BE4">
        <w:rPr>
          <w:lang w:val="es-ES_tradnl"/>
        </w:rPr>
        <w:t>s</w:t>
      </w:r>
      <w:r w:rsidR="00F52D06" w:rsidRPr="00DD6BE4">
        <w:rPr>
          <w:lang w:val="es-ES_tradnl"/>
        </w:rPr>
        <w:t>istema,</w:t>
      </w:r>
      <w:r w:rsidR="005D7F3F" w:rsidRPr="00DD6BE4">
        <w:rPr>
          <w:lang w:val="es-ES_tradnl"/>
        </w:rPr>
        <w:t xml:space="preserve"> que se adapta al marco jurídico específico de cada OPI, </w:t>
      </w:r>
      <w:r w:rsidR="005F51B9" w:rsidRPr="00DD6BE4">
        <w:rPr>
          <w:lang w:val="es-ES_tradnl"/>
        </w:rPr>
        <w:t>apoya</w:t>
      </w:r>
      <w:r w:rsidR="005D7F3F" w:rsidRPr="00DD6BE4">
        <w:rPr>
          <w:lang w:val="es-ES_tradnl"/>
        </w:rPr>
        <w:t xml:space="preserve"> los principales proce</w:t>
      </w:r>
      <w:r w:rsidR="005F51B9" w:rsidRPr="00DD6BE4">
        <w:rPr>
          <w:lang w:val="es-ES_tradnl"/>
        </w:rPr>
        <w:t>sos</w:t>
      </w:r>
      <w:r w:rsidR="005D7F3F" w:rsidRPr="00DD6BE4">
        <w:rPr>
          <w:lang w:val="es-ES_tradnl"/>
        </w:rPr>
        <w:t xml:space="preserve"> </w:t>
      </w:r>
      <w:r w:rsidR="006631CB" w:rsidRPr="00DD6BE4">
        <w:rPr>
          <w:lang w:val="es-ES_tradnl"/>
        </w:rPr>
        <w:t>de trabajo</w:t>
      </w:r>
      <w:r w:rsidR="005D7F3F" w:rsidRPr="00DD6BE4">
        <w:rPr>
          <w:lang w:val="es-ES_tradnl"/>
        </w:rPr>
        <w:t xml:space="preserve"> de una OPI, incluidos los </w:t>
      </w:r>
      <w:r w:rsidR="0045231B" w:rsidRPr="00DD6BE4">
        <w:rPr>
          <w:lang w:val="es-ES_tradnl"/>
        </w:rPr>
        <w:t>procedimientos</w:t>
      </w:r>
      <w:r w:rsidR="005D7F3F" w:rsidRPr="00DD6BE4">
        <w:rPr>
          <w:lang w:val="es-ES_tradnl"/>
        </w:rPr>
        <w:t xml:space="preserve"> de </w:t>
      </w:r>
      <w:r w:rsidR="00357DF0" w:rsidRPr="00DD6BE4">
        <w:rPr>
          <w:lang w:val="es-ES_tradnl"/>
        </w:rPr>
        <w:t>recepción</w:t>
      </w:r>
      <w:r w:rsidR="006C117B" w:rsidRPr="00DD6BE4">
        <w:rPr>
          <w:lang w:val="es-ES_tradnl"/>
        </w:rPr>
        <w:t>,</w:t>
      </w:r>
      <w:r w:rsidR="005D7F3F" w:rsidRPr="00DD6BE4">
        <w:rPr>
          <w:lang w:val="es-ES_tradnl"/>
        </w:rPr>
        <w:t xml:space="preserve"> examen de formalidades, búsqueda de </w:t>
      </w:r>
      <w:r w:rsidR="0045231B" w:rsidRPr="00DD6BE4">
        <w:rPr>
          <w:lang w:val="es-ES_tradnl"/>
        </w:rPr>
        <w:t xml:space="preserve">la </w:t>
      </w:r>
      <w:r w:rsidR="005D7F3F" w:rsidRPr="00DD6BE4">
        <w:rPr>
          <w:lang w:val="es-ES_tradnl"/>
        </w:rPr>
        <w:t>marca, registro, notificaciones, publicación, oposición, cesiones, renovaciones y otros proce</w:t>
      </w:r>
      <w:r w:rsidR="0045231B" w:rsidRPr="00DD6BE4">
        <w:rPr>
          <w:lang w:val="es-ES_tradnl"/>
        </w:rPr>
        <w:t>dimientos</w:t>
      </w:r>
      <w:r w:rsidR="005D7F3F" w:rsidRPr="00DD6BE4">
        <w:rPr>
          <w:lang w:val="es-ES_tradnl"/>
        </w:rPr>
        <w:t xml:space="preserve"> relacionados. </w:t>
      </w:r>
      <w:r w:rsidR="006C117B" w:rsidRPr="00DD6BE4">
        <w:rPr>
          <w:lang w:val="es-ES_tradnl"/>
        </w:rPr>
        <w:t>La utilización del sistema ha ido aumentando de manera constante y</w:t>
      </w:r>
      <w:r w:rsidR="0045231B" w:rsidRPr="00DD6BE4">
        <w:rPr>
          <w:lang w:val="es-ES_tradnl"/>
        </w:rPr>
        <w:t>,</w:t>
      </w:r>
      <w:r w:rsidR="006C117B" w:rsidRPr="00DD6BE4">
        <w:rPr>
          <w:lang w:val="es-ES_tradnl"/>
        </w:rPr>
        <w:t xml:space="preserve"> actualmente</w:t>
      </w:r>
      <w:r w:rsidR="0045231B" w:rsidRPr="00DD6BE4">
        <w:rPr>
          <w:lang w:val="es-ES_tradnl"/>
        </w:rPr>
        <w:t>,</w:t>
      </w:r>
      <w:r w:rsidR="006C117B" w:rsidRPr="00DD6BE4">
        <w:rPr>
          <w:lang w:val="es-ES_tradnl"/>
        </w:rPr>
        <w:t xml:space="preserve"> se </w:t>
      </w:r>
      <w:r w:rsidR="0045231B" w:rsidRPr="00DD6BE4">
        <w:rPr>
          <w:lang w:val="es-ES_tradnl"/>
        </w:rPr>
        <w:t xml:space="preserve">usa </w:t>
      </w:r>
      <w:r w:rsidR="006C117B" w:rsidRPr="00DD6BE4">
        <w:rPr>
          <w:lang w:val="es-ES_tradnl"/>
        </w:rPr>
        <w:t>en 90 OPI nacionales y regionales de</w:t>
      </w:r>
      <w:r w:rsidR="0045231B" w:rsidRPr="00DD6BE4">
        <w:rPr>
          <w:lang w:val="es-ES_tradnl"/>
        </w:rPr>
        <w:t xml:space="preserve"> todo el </w:t>
      </w:r>
      <w:r w:rsidR="006C117B" w:rsidRPr="00DD6BE4">
        <w:rPr>
          <w:lang w:val="es-ES_tradnl"/>
        </w:rPr>
        <w:t>mundo</w:t>
      </w:r>
      <w:r w:rsidR="00A53F40" w:rsidRPr="00DD6BE4">
        <w:rPr>
          <w:lang w:val="es-ES_tradnl"/>
        </w:rPr>
        <w:t>.</w:t>
      </w:r>
    </w:p>
    <w:p w14:paraId="4B858584" w14:textId="77777777" w:rsidR="004F5C5A" w:rsidRPr="00DD6BE4" w:rsidRDefault="004F5C5A" w:rsidP="004F5C5A">
      <w:pPr>
        <w:pStyle w:val="ListParagraph"/>
        <w:tabs>
          <w:tab w:val="left" w:pos="540"/>
        </w:tabs>
        <w:spacing w:after="240"/>
        <w:ind w:left="0"/>
        <w:rPr>
          <w:rFonts w:ascii="Calibri" w:eastAsia="Malgun Gothic" w:hAnsi="Calibri" w:cs="Calibri"/>
          <w:lang w:val="es-ES_tradnl"/>
        </w:rPr>
      </w:pPr>
    </w:p>
    <w:p w14:paraId="38B867D8" w14:textId="100F45C7" w:rsidR="00A53F40" w:rsidRPr="00DD6BE4" w:rsidRDefault="00F75512" w:rsidP="00A53F40">
      <w:pPr>
        <w:pStyle w:val="ListParagraph"/>
        <w:numPr>
          <w:ilvl w:val="0"/>
          <w:numId w:val="4"/>
        </w:numPr>
        <w:tabs>
          <w:tab w:val="left" w:pos="540"/>
        </w:tabs>
        <w:spacing w:after="240"/>
        <w:ind w:left="0" w:firstLine="0"/>
        <w:rPr>
          <w:rFonts w:ascii="Calibri" w:eastAsia="Malgun Gothic" w:hAnsi="Calibri" w:cs="Calibri"/>
          <w:lang w:val="es-ES_tradnl"/>
        </w:rPr>
      </w:pPr>
      <w:r w:rsidRPr="00DD6BE4">
        <w:rPr>
          <w:lang w:val="es-ES_tradnl"/>
        </w:rPr>
        <w:t>Desde 2014 la Secretaría de la OMPI ha ampliado esta plataforma para que se convierta en un</w:t>
      </w:r>
      <w:r w:rsidR="00EC1278" w:rsidRPr="00DD6BE4">
        <w:rPr>
          <w:lang w:val="es-ES_tradnl"/>
        </w:rPr>
        <w:t xml:space="preserve"> conjunto </w:t>
      </w:r>
      <w:r w:rsidR="00357DF0" w:rsidRPr="00DD6BE4">
        <w:rPr>
          <w:lang w:val="es-ES_tradnl"/>
        </w:rPr>
        <w:t xml:space="preserve">de programas </w:t>
      </w:r>
      <w:r w:rsidR="00224C1A" w:rsidRPr="00DD6BE4">
        <w:rPr>
          <w:lang w:val="es-ES_tradnl"/>
        </w:rPr>
        <w:t xml:space="preserve">informáticos </w:t>
      </w:r>
      <w:r w:rsidRPr="00DD6BE4">
        <w:rPr>
          <w:lang w:val="es-ES_tradnl"/>
        </w:rPr>
        <w:t xml:space="preserve">plenamente funcional para las OPI </w:t>
      </w:r>
      <w:r w:rsidR="004D7D26" w:rsidRPr="00DD6BE4">
        <w:rPr>
          <w:lang w:val="es-ES_tradnl"/>
        </w:rPr>
        <w:t>y</w:t>
      </w:r>
      <w:r w:rsidRPr="00DD6BE4">
        <w:rPr>
          <w:lang w:val="es-ES_tradnl"/>
        </w:rPr>
        <w:t xml:space="preserve"> apoye todos </w:t>
      </w:r>
      <w:r w:rsidR="004D7D26" w:rsidRPr="00DD6BE4">
        <w:rPr>
          <w:lang w:val="es-ES_tradnl"/>
        </w:rPr>
        <w:t>su</w:t>
      </w:r>
      <w:r w:rsidRPr="00DD6BE4">
        <w:rPr>
          <w:lang w:val="es-ES_tradnl"/>
        </w:rPr>
        <w:t xml:space="preserve">s procesos </w:t>
      </w:r>
      <w:r w:rsidR="006631CB" w:rsidRPr="00DD6BE4">
        <w:rPr>
          <w:lang w:val="es-ES_tradnl"/>
        </w:rPr>
        <w:t xml:space="preserve">de trabajo </w:t>
      </w:r>
      <w:r w:rsidRPr="00DD6BE4">
        <w:rPr>
          <w:lang w:val="es-ES_tradnl"/>
        </w:rPr>
        <w:t xml:space="preserve">y </w:t>
      </w:r>
      <w:r w:rsidR="006631CB" w:rsidRPr="00DD6BE4">
        <w:rPr>
          <w:lang w:val="es-ES_tradnl"/>
        </w:rPr>
        <w:t xml:space="preserve">sus </w:t>
      </w:r>
      <w:r w:rsidRPr="00DD6BE4">
        <w:rPr>
          <w:lang w:val="es-ES_tradnl"/>
        </w:rPr>
        <w:t>servicios. Se han añadido nuevas funciones para la gestión de documentos electrónicos, lo que permite la tramitación sin p</w:t>
      </w:r>
      <w:r w:rsidR="00DF4D1D" w:rsidRPr="00DD6BE4">
        <w:rPr>
          <w:lang w:val="es-ES_tradnl"/>
        </w:rPr>
        <w:t>apel</w:t>
      </w:r>
      <w:r w:rsidRPr="00DD6BE4">
        <w:rPr>
          <w:lang w:val="es-ES_tradnl"/>
        </w:rPr>
        <w:t>. Se ha agregado un m</w:t>
      </w:r>
      <w:r w:rsidR="00DF4D1D" w:rsidRPr="00DD6BE4">
        <w:rPr>
          <w:lang w:val="es-ES_tradnl"/>
        </w:rPr>
        <w:t>ó</w:t>
      </w:r>
      <w:r w:rsidRPr="00DD6BE4">
        <w:rPr>
          <w:lang w:val="es-ES_tradnl"/>
        </w:rPr>
        <w:t>dulo (</w:t>
      </w:r>
      <w:r w:rsidR="00DF4D1D" w:rsidRPr="00DD6BE4">
        <w:rPr>
          <w:lang w:val="es-ES_tradnl"/>
        </w:rPr>
        <w:t>WIPO Publish) para promover la publicación, búsqueda y divulgación de información sobre PI en línea. También se ha desarrollado otro m</w:t>
      </w:r>
      <w:r w:rsidR="003B2317" w:rsidRPr="00DD6BE4">
        <w:rPr>
          <w:lang w:val="es-ES_tradnl"/>
        </w:rPr>
        <w:t>ó</w:t>
      </w:r>
      <w:r w:rsidR="00DF4D1D" w:rsidRPr="00DD6BE4">
        <w:rPr>
          <w:lang w:val="es-ES_tradnl"/>
        </w:rPr>
        <w:t xml:space="preserve">dulo (WIPO File) </w:t>
      </w:r>
      <w:r w:rsidR="003B2317" w:rsidRPr="00DD6BE4">
        <w:rPr>
          <w:lang w:val="es-ES_tradnl"/>
        </w:rPr>
        <w:t xml:space="preserve">para fomentar la presentación de solicitudes, </w:t>
      </w:r>
      <w:r w:rsidR="00357DF0" w:rsidRPr="00DD6BE4">
        <w:rPr>
          <w:lang w:val="es-ES_tradnl"/>
        </w:rPr>
        <w:t xml:space="preserve">el </w:t>
      </w:r>
      <w:r w:rsidR="003B2317" w:rsidRPr="00DD6BE4">
        <w:rPr>
          <w:lang w:val="es-ES_tradnl"/>
        </w:rPr>
        <w:t xml:space="preserve">pago de tasas, </w:t>
      </w:r>
      <w:r w:rsidR="00357DF0" w:rsidRPr="00DD6BE4">
        <w:rPr>
          <w:lang w:val="es-ES_tradnl"/>
        </w:rPr>
        <w:t xml:space="preserve">el </w:t>
      </w:r>
      <w:r w:rsidR="003B2317" w:rsidRPr="00DD6BE4">
        <w:rPr>
          <w:lang w:val="es-ES_tradnl"/>
        </w:rPr>
        <w:t>seguimiento de caso</w:t>
      </w:r>
      <w:r w:rsidR="00357DF0" w:rsidRPr="00DD6BE4">
        <w:rPr>
          <w:lang w:val="es-ES_tradnl"/>
        </w:rPr>
        <w:t>s</w:t>
      </w:r>
      <w:r w:rsidR="003B2317" w:rsidRPr="00DD6BE4">
        <w:rPr>
          <w:lang w:val="es-ES_tradnl"/>
        </w:rPr>
        <w:t xml:space="preserve"> y </w:t>
      </w:r>
      <w:r w:rsidR="00357DF0" w:rsidRPr="00DD6BE4">
        <w:rPr>
          <w:lang w:val="es-ES_tradnl"/>
        </w:rPr>
        <w:t xml:space="preserve">la </w:t>
      </w:r>
      <w:r w:rsidR="003B2317" w:rsidRPr="00DD6BE4">
        <w:rPr>
          <w:lang w:val="es-ES_tradnl"/>
        </w:rPr>
        <w:t>presentación de transacciones posteriores (renovaciones, cesiones, etc.)</w:t>
      </w:r>
      <w:r w:rsidR="00B80040" w:rsidRPr="00DD6BE4">
        <w:rPr>
          <w:lang w:val="es-ES_tradnl"/>
        </w:rPr>
        <w:t>, todo ello por Internet</w:t>
      </w:r>
      <w:r w:rsidR="003B2317" w:rsidRPr="00DD6BE4">
        <w:rPr>
          <w:lang w:val="es-ES_tradnl"/>
        </w:rPr>
        <w:t xml:space="preserve">. </w:t>
      </w:r>
      <w:r w:rsidR="00EC1278" w:rsidRPr="00DD6BE4">
        <w:rPr>
          <w:lang w:val="es-ES_tradnl"/>
        </w:rPr>
        <w:t xml:space="preserve">El conjunto </w:t>
      </w:r>
      <w:r w:rsidR="00B80040" w:rsidRPr="00DD6BE4">
        <w:rPr>
          <w:lang w:val="es-ES_tradnl"/>
        </w:rPr>
        <w:t xml:space="preserve">completo </w:t>
      </w:r>
      <w:r w:rsidR="00357DF0" w:rsidRPr="00DD6BE4">
        <w:rPr>
          <w:lang w:val="es-ES_tradnl"/>
        </w:rPr>
        <w:t xml:space="preserve">de programas </w:t>
      </w:r>
      <w:r w:rsidR="00224C1A" w:rsidRPr="00DD6BE4">
        <w:rPr>
          <w:lang w:val="es-ES_tradnl"/>
        </w:rPr>
        <w:t xml:space="preserve">de la OMPI </w:t>
      </w:r>
      <w:r w:rsidR="00E5345E" w:rsidRPr="00DD6BE4">
        <w:rPr>
          <w:lang w:val="es-ES_tradnl"/>
        </w:rPr>
        <w:t>para las OPI</w:t>
      </w:r>
      <w:r w:rsidR="00F970C3" w:rsidRPr="00DD6BE4">
        <w:rPr>
          <w:rStyle w:val="FootnoteReference"/>
          <w:lang w:val="es-ES_tradnl"/>
        </w:rPr>
        <w:footnoteReference w:id="3"/>
      </w:r>
      <w:r w:rsidR="00A53F40" w:rsidRPr="00DD6BE4">
        <w:rPr>
          <w:lang w:val="es-ES_tradnl"/>
        </w:rPr>
        <w:t xml:space="preserve"> </w:t>
      </w:r>
      <w:r w:rsidR="00E5345E" w:rsidRPr="00DD6BE4">
        <w:rPr>
          <w:lang w:val="es-ES_tradnl"/>
        </w:rPr>
        <w:t xml:space="preserve">contribuye actualmente a </w:t>
      </w:r>
      <w:r w:rsidR="00B80040" w:rsidRPr="00DD6BE4">
        <w:rPr>
          <w:lang w:val="es-ES_tradnl"/>
        </w:rPr>
        <w:t>prestar sus</w:t>
      </w:r>
      <w:r w:rsidR="00E5345E" w:rsidRPr="00DD6BE4">
        <w:rPr>
          <w:lang w:val="es-ES_tradnl"/>
        </w:rPr>
        <w:t xml:space="preserve"> servicios en línea y </w:t>
      </w:r>
      <w:r w:rsidR="00357DF0" w:rsidRPr="00DD6BE4">
        <w:rPr>
          <w:lang w:val="es-ES_tradnl"/>
        </w:rPr>
        <w:t>a administrar</w:t>
      </w:r>
      <w:r w:rsidR="00E5345E" w:rsidRPr="00DD6BE4">
        <w:rPr>
          <w:lang w:val="es-ES_tradnl"/>
        </w:rPr>
        <w:t xml:space="preserve"> electrónica</w:t>
      </w:r>
      <w:r w:rsidR="00357DF0" w:rsidRPr="00DD6BE4">
        <w:rPr>
          <w:lang w:val="es-ES_tradnl"/>
        </w:rPr>
        <w:t>mente</w:t>
      </w:r>
      <w:r w:rsidR="00E5345E" w:rsidRPr="00DD6BE4">
        <w:rPr>
          <w:lang w:val="es-ES_tradnl"/>
        </w:rPr>
        <w:t xml:space="preserve"> los derechos de PI.</w:t>
      </w:r>
    </w:p>
    <w:p w14:paraId="674ACF6F" w14:textId="6C020368" w:rsidR="000D1113" w:rsidRPr="00DD6BE4" w:rsidRDefault="00F73AC2" w:rsidP="000D1113">
      <w:pPr>
        <w:pStyle w:val="Heading4"/>
        <w:keepLines/>
        <w:rPr>
          <w:rFonts w:eastAsiaTheme="majorEastAsia"/>
          <w:lang w:val="es-ES_tradnl"/>
        </w:rPr>
      </w:pPr>
      <w:r w:rsidRPr="00DD6BE4">
        <w:rPr>
          <w:rFonts w:eastAsiaTheme="majorEastAsia"/>
          <w:lang w:val="es-ES_tradnl"/>
        </w:rPr>
        <w:t>Servicios e</w:t>
      </w:r>
      <w:r w:rsidR="006631CB" w:rsidRPr="00DD6BE4">
        <w:rPr>
          <w:rFonts w:eastAsiaTheme="majorEastAsia"/>
          <w:lang w:val="es-ES_tradnl"/>
        </w:rPr>
        <w:t>n Internet</w:t>
      </w:r>
    </w:p>
    <w:p w14:paraId="21A38FC9" w14:textId="77777777" w:rsidR="000D1113" w:rsidRPr="00DD6BE4" w:rsidRDefault="000D1113" w:rsidP="000D1113">
      <w:pPr>
        <w:pStyle w:val="ListParagraph"/>
        <w:tabs>
          <w:tab w:val="left" w:pos="540"/>
        </w:tabs>
        <w:spacing w:after="240"/>
        <w:ind w:left="0"/>
        <w:rPr>
          <w:rFonts w:ascii="Calibri" w:eastAsia="Malgun Gothic" w:hAnsi="Calibri" w:cs="Calibri"/>
          <w:lang w:val="es-ES_tradnl"/>
        </w:rPr>
      </w:pPr>
    </w:p>
    <w:p w14:paraId="33D1AC9E" w14:textId="00827279" w:rsidR="00EE00AB" w:rsidRPr="00DD6BE4" w:rsidRDefault="00F73AC2" w:rsidP="00B86634">
      <w:pPr>
        <w:pStyle w:val="ListParagraph"/>
        <w:numPr>
          <w:ilvl w:val="0"/>
          <w:numId w:val="4"/>
        </w:numPr>
        <w:tabs>
          <w:tab w:val="left" w:pos="540"/>
        </w:tabs>
        <w:spacing w:after="240"/>
        <w:ind w:left="0" w:firstLine="0"/>
        <w:rPr>
          <w:rFonts w:ascii="Calibri" w:eastAsia="Malgun Gothic" w:hAnsi="Calibri" w:cs="Calibri"/>
          <w:lang w:val="es-ES_tradnl"/>
        </w:rPr>
      </w:pPr>
      <w:r w:rsidRPr="00DD6BE4">
        <w:rPr>
          <w:lang w:val="es-ES_tradnl"/>
        </w:rPr>
        <w:t xml:space="preserve">Como se ha indicado, el conjunto de programas </w:t>
      </w:r>
      <w:r w:rsidR="00224C1A" w:rsidRPr="00DD6BE4">
        <w:rPr>
          <w:lang w:val="es-ES_tradnl"/>
        </w:rPr>
        <w:t xml:space="preserve">informáticos de la OMPI </w:t>
      </w:r>
      <w:r w:rsidRPr="00DD6BE4">
        <w:rPr>
          <w:lang w:val="es-ES_tradnl"/>
        </w:rPr>
        <w:t xml:space="preserve">para las OPI </w:t>
      </w:r>
      <w:r w:rsidR="00B80040" w:rsidRPr="00DD6BE4">
        <w:rPr>
          <w:lang w:val="es-ES_tradnl"/>
        </w:rPr>
        <w:t>respalda plenamente la prestación de</w:t>
      </w:r>
      <w:r w:rsidRPr="00DD6BE4">
        <w:rPr>
          <w:lang w:val="es-ES_tradnl"/>
        </w:rPr>
        <w:t xml:space="preserve"> servicios</w:t>
      </w:r>
      <w:r w:rsidR="00B80040" w:rsidRPr="00DD6BE4">
        <w:rPr>
          <w:lang w:val="es-ES_tradnl"/>
        </w:rPr>
        <w:t xml:space="preserve"> en línea</w:t>
      </w:r>
      <w:r w:rsidRPr="00DD6BE4">
        <w:rPr>
          <w:lang w:val="es-ES_tradnl"/>
        </w:rPr>
        <w:t xml:space="preserve">, incluida la presentación, publicación, búsqueda y divulgación de datos de PI. No obstante, solo un 30% de las OPI que se benefician de la asistencia técnica de la OMPI ofrecen actualmente estos servicios. En muchos casos, los sitios web de las OPI no disponen de información actualizada sobre las prácticas y procedimientos de </w:t>
      </w:r>
      <w:r w:rsidR="00470D8E" w:rsidRPr="00DD6BE4">
        <w:rPr>
          <w:lang w:val="es-ES_tradnl"/>
        </w:rPr>
        <w:t xml:space="preserve">las </w:t>
      </w:r>
      <w:r w:rsidRPr="00DD6BE4">
        <w:rPr>
          <w:lang w:val="es-ES_tradnl"/>
        </w:rPr>
        <w:t>solicitudes de PI</w:t>
      </w:r>
      <w:r w:rsidR="00470D8E" w:rsidRPr="00DD6BE4">
        <w:rPr>
          <w:lang w:val="es-ES_tradnl"/>
        </w:rPr>
        <w:t xml:space="preserve">, </w:t>
      </w:r>
      <w:r w:rsidR="00894229" w:rsidRPr="00DD6BE4">
        <w:rPr>
          <w:lang w:val="es-ES_tradnl"/>
        </w:rPr>
        <w:t xml:space="preserve">no hay </w:t>
      </w:r>
      <w:r w:rsidR="00470D8E" w:rsidRPr="00DD6BE4">
        <w:rPr>
          <w:lang w:val="es-ES_tradnl"/>
        </w:rPr>
        <w:t>publicaciones disponibles en Internet o no se encuentran con facilidad, y los autores y sus representantes no disponen de servicios e</w:t>
      </w:r>
      <w:r w:rsidR="003349B5" w:rsidRPr="00DD6BE4">
        <w:rPr>
          <w:lang w:val="es-ES_tradnl"/>
        </w:rPr>
        <w:t>n línea</w:t>
      </w:r>
      <w:r w:rsidR="00470D8E" w:rsidRPr="00DD6BE4">
        <w:rPr>
          <w:lang w:val="es-ES_tradnl"/>
        </w:rPr>
        <w:t xml:space="preserve"> para presentar o gestionar sus derechos de PI</w:t>
      </w:r>
      <w:r w:rsidR="00DD7399" w:rsidRPr="00DD6BE4">
        <w:rPr>
          <w:rFonts w:eastAsia="Malgun Gothic"/>
          <w:lang w:val="es-ES_tradnl"/>
        </w:rPr>
        <w:t>.</w:t>
      </w:r>
      <w:r w:rsidR="005D61E0" w:rsidRPr="00DD6BE4">
        <w:rPr>
          <w:rFonts w:eastAsia="Malgun Gothic"/>
          <w:lang w:val="es-ES_tradnl"/>
        </w:rPr>
        <w:t xml:space="preserve"> </w:t>
      </w:r>
    </w:p>
    <w:p w14:paraId="0DD7F7A1" w14:textId="77777777" w:rsidR="00EE00AB" w:rsidRPr="00DD6BE4" w:rsidRDefault="00EE00AB" w:rsidP="00EE00AB">
      <w:pPr>
        <w:pStyle w:val="ListParagraph"/>
        <w:tabs>
          <w:tab w:val="left" w:pos="360"/>
        </w:tabs>
        <w:ind w:left="0"/>
        <w:rPr>
          <w:rFonts w:ascii="Calibri" w:eastAsia="Malgun Gothic" w:hAnsi="Calibri" w:cs="Calibri"/>
          <w:lang w:val="es-ES_tradnl"/>
        </w:rPr>
      </w:pPr>
    </w:p>
    <w:p w14:paraId="314380E1" w14:textId="002BD705" w:rsidR="00EE00AB" w:rsidRPr="00DD6BE4" w:rsidRDefault="00B82BF5" w:rsidP="00B86634">
      <w:pPr>
        <w:pStyle w:val="ListParagraph"/>
        <w:numPr>
          <w:ilvl w:val="0"/>
          <w:numId w:val="4"/>
        </w:numPr>
        <w:tabs>
          <w:tab w:val="left" w:pos="540"/>
        </w:tabs>
        <w:spacing w:after="240"/>
        <w:ind w:left="0" w:firstLine="0"/>
        <w:rPr>
          <w:rFonts w:ascii="Calibri" w:eastAsia="Malgun Gothic" w:hAnsi="Calibri" w:cs="Calibri"/>
          <w:lang w:val="es-ES_tradnl"/>
        </w:rPr>
      </w:pPr>
      <w:r w:rsidRPr="00DD6BE4">
        <w:rPr>
          <w:lang w:val="es-ES_tradnl"/>
        </w:rPr>
        <w:t xml:space="preserve">La pandemia de Covid-19 ha incrementado rápidamente la demanda </w:t>
      </w:r>
      <w:r w:rsidR="003F06DC" w:rsidRPr="00DD6BE4">
        <w:rPr>
          <w:lang w:val="es-ES_tradnl"/>
        </w:rPr>
        <w:t>de</w:t>
      </w:r>
      <w:r w:rsidRPr="00DD6BE4">
        <w:rPr>
          <w:lang w:val="es-ES_tradnl"/>
        </w:rPr>
        <w:t xml:space="preserve"> que las OPI aumenten sus</w:t>
      </w:r>
      <w:r w:rsidR="00250F61" w:rsidRPr="00DD6BE4">
        <w:rPr>
          <w:lang w:val="es-ES_tradnl"/>
        </w:rPr>
        <w:t xml:space="preserve"> servicios e</w:t>
      </w:r>
      <w:r w:rsidR="003349B5" w:rsidRPr="00DD6BE4">
        <w:rPr>
          <w:lang w:val="es-ES_tradnl"/>
        </w:rPr>
        <w:t>n línea</w:t>
      </w:r>
      <w:r w:rsidR="00250F61" w:rsidRPr="00DD6BE4">
        <w:rPr>
          <w:lang w:val="es-ES_tradnl"/>
        </w:rPr>
        <w:t xml:space="preserve">. </w:t>
      </w:r>
      <w:r w:rsidR="003F06DC" w:rsidRPr="00DD6BE4">
        <w:rPr>
          <w:lang w:val="es-ES_tradnl"/>
        </w:rPr>
        <w:t>Las</w:t>
      </w:r>
      <w:r w:rsidR="00250F61" w:rsidRPr="00DD6BE4">
        <w:rPr>
          <w:lang w:val="es-ES_tradnl"/>
        </w:rPr>
        <w:t xml:space="preserve"> </w:t>
      </w:r>
      <w:r w:rsidR="004A0ECB" w:rsidRPr="00DD6BE4">
        <w:rPr>
          <w:lang w:val="es-ES_tradnl"/>
        </w:rPr>
        <w:t>oficinas</w:t>
      </w:r>
      <w:r w:rsidR="00250F61" w:rsidRPr="00DD6BE4">
        <w:rPr>
          <w:lang w:val="es-ES_tradnl"/>
        </w:rPr>
        <w:t xml:space="preserve"> que ofrecen servicios para presentar las solicitudes </w:t>
      </w:r>
      <w:r w:rsidR="003349B5" w:rsidRPr="00DD6BE4">
        <w:rPr>
          <w:lang w:val="es-ES_tradnl"/>
        </w:rPr>
        <w:t>en Internet</w:t>
      </w:r>
      <w:r w:rsidR="00250F61" w:rsidRPr="00DD6BE4">
        <w:rPr>
          <w:lang w:val="es-ES_tradnl"/>
        </w:rPr>
        <w:t xml:space="preserve"> han visto incrementar su uso, en algunos casos, del 20% a c</w:t>
      </w:r>
      <w:r w:rsidR="007015CC" w:rsidRPr="00DD6BE4">
        <w:rPr>
          <w:lang w:val="es-ES_tradnl"/>
        </w:rPr>
        <w:t xml:space="preserve">asi </w:t>
      </w:r>
      <w:r w:rsidR="00250F61" w:rsidRPr="00DD6BE4">
        <w:rPr>
          <w:lang w:val="es-ES_tradnl"/>
        </w:rPr>
        <w:t xml:space="preserve">el 100%. Otras </w:t>
      </w:r>
      <w:r w:rsidR="004A0ECB" w:rsidRPr="00DD6BE4">
        <w:rPr>
          <w:lang w:val="es-ES_tradnl"/>
        </w:rPr>
        <w:t>oficinas</w:t>
      </w:r>
      <w:r w:rsidR="00250F61" w:rsidRPr="00DD6BE4">
        <w:rPr>
          <w:lang w:val="es-ES_tradnl"/>
        </w:rPr>
        <w:t xml:space="preserve"> han </w:t>
      </w:r>
      <w:r w:rsidR="007015CC" w:rsidRPr="00DD6BE4">
        <w:rPr>
          <w:lang w:val="es-ES_tradnl"/>
        </w:rPr>
        <w:t xml:space="preserve">acelerado </w:t>
      </w:r>
      <w:r w:rsidR="009C0CB9" w:rsidRPr="00DD6BE4">
        <w:rPr>
          <w:lang w:val="es-ES_tradnl"/>
        </w:rPr>
        <w:t>la instalación</w:t>
      </w:r>
      <w:r w:rsidR="007015CC" w:rsidRPr="00DD6BE4">
        <w:rPr>
          <w:lang w:val="es-ES_tradnl"/>
        </w:rPr>
        <w:t xml:space="preserve"> de servicios e</w:t>
      </w:r>
      <w:r w:rsidR="003349B5" w:rsidRPr="00DD6BE4">
        <w:rPr>
          <w:lang w:val="es-ES_tradnl"/>
        </w:rPr>
        <w:t>n línea</w:t>
      </w:r>
      <w:r w:rsidR="007015CC" w:rsidRPr="00DD6BE4">
        <w:rPr>
          <w:lang w:val="es-ES_tradnl"/>
        </w:rPr>
        <w:t xml:space="preserve"> y</w:t>
      </w:r>
      <w:r w:rsidR="007202AB" w:rsidRPr="00DD6BE4">
        <w:rPr>
          <w:lang w:val="es-ES_tradnl"/>
        </w:rPr>
        <w:t xml:space="preserve"> </w:t>
      </w:r>
      <w:r w:rsidR="000F43E0" w:rsidRPr="00DD6BE4">
        <w:rPr>
          <w:lang w:val="es-ES_tradnl"/>
        </w:rPr>
        <w:t xml:space="preserve">el uso de estos servicios </w:t>
      </w:r>
      <w:r w:rsidR="009C0CB9" w:rsidRPr="00DD6BE4">
        <w:rPr>
          <w:lang w:val="es-ES_tradnl"/>
        </w:rPr>
        <w:t>se ha multiplicado rápidamente</w:t>
      </w:r>
      <w:r w:rsidR="007202AB" w:rsidRPr="00DD6BE4">
        <w:rPr>
          <w:lang w:val="es-ES_tradnl"/>
        </w:rPr>
        <w:t>.</w:t>
      </w:r>
      <w:r w:rsidR="007015CC" w:rsidRPr="00DD6BE4">
        <w:rPr>
          <w:lang w:val="es-ES_tradnl"/>
        </w:rPr>
        <w:t xml:space="preserve"> </w:t>
      </w:r>
      <w:r w:rsidR="007202AB" w:rsidRPr="00DD6BE4">
        <w:rPr>
          <w:lang w:val="es-ES_tradnl"/>
        </w:rPr>
        <w:t xml:space="preserve">No obstante, muchas </w:t>
      </w:r>
      <w:r w:rsidR="009C0CB9" w:rsidRPr="00DD6BE4">
        <w:rPr>
          <w:lang w:val="es-ES_tradnl"/>
        </w:rPr>
        <w:t xml:space="preserve">de ellas </w:t>
      </w:r>
      <w:r w:rsidR="007202AB" w:rsidRPr="00DD6BE4">
        <w:rPr>
          <w:lang w:val="es-ES_tradnl"/>
        </w:rPr>
        <w:t>no pueden ofrecer</w:t>
      </w:r>
      <w:r w:rsidR="000F43E0" w:rsidRPr="00DD6BE4">
        <w:rPr>
          <w:lang w:val="es-ES_tradnl"/>
        </w:rPr>
        <w:t>los</w:t>
      </w:r>
      <w:r w:rsidR="007202AB" w:rsidRPr="00DD6BE4">
        <w:rPr>
          <w:lang w:val="es-ES_tradnl"/>
        </w:rPr>
        <w:t xml:space="preserve"> todavía</w:t>
      </w:r>
      <w:r w:rsidR="00DD7399" w:rsidRPr="00DD6BE4">
        <w:rPr>
          <w:rFonts w:eastAsia="Malgun Gothic"/>
          <w:lang w:val="es-ES_tradnl"/>
        </w:rPr>
        <w:t>.</w:t>
      </w:r>
    </w:p>
    <w:p w14:paraId="05B403B8" w14:textId="77777777" w:rsidR="00EE00AB" w:rsidRPr="00DD6BE4" w:rsidRDefault="00EE00AB" w:rsidP="00EE00AB">
      <w:pPr>
        <w:pStyle w:val="ListParagraph"/>
        <w:rPr>
          <w:rFonts w:eastAsia="Malgun Gothic"/>
          <w:lang w:val="es-ES_tradnl"/>
        </w:rPr>
      </w:pPr>
    </w:p>
    <w:p w14:paraId="65FF645C" w14:textId="46085D06" w:rsidR="00DD7399" w:rsidRPr="00DD6BE4" w:rsidRDefault="00912426" w:rsidP="00B86634">
      <w:pPr>
        <w:pStyle w:val="ListParagraph"/>
        <w:numPr>
          <w:ilvl w:val="0"/>
          <w:numId w:val="4"/>
        </w:numPr>
        <w:tabs>
          <w:tab w:val="left" w:pos="540"/>
        </w:tabs>
        <w:spacing w:after="240"/>
        <w:ind w:left="0" w:firstLine="0"/>
        <w:rPr>
          <w:rFonts w:ascii="Calibri" w:eastAsia="Malgun Gothic" w:hAnsi="Calibri" w:cs="Calibri"/>
          <w:lang w:val="es-ES_tradnl"/>
        </w:rPr>
      </w:pPr>
      <w:r w:rsidRPr="00DD6BE4">
        <w:rPr>
          <w:lang w:val="es-ES_tradnl"/>
        </w:rPr>
        <w:t>La prestación de servicios e</w:t>
      </w:r>
      <w:r w:rsidR="003349B5" w:rsidRPr="00DD6BE4">
        <w:rPr>
          <w:lang w:val="es-ES_tradnl"/>
        </w:rPr>
        <w:t>n línea</w:t>
      </w:r>
      <w:r w:rsidRPr="00DD6BE4">
        <w:rPr>
          <w:lang w:val="es-ES_tradnl"/>
        </w:rPr>
        <w:t xml:space="preserve"> entraña dificultades para las OPI de los países en desarrollo y los</w:t>
      </w:r>
      <w:r w:rsidR="00F9093A" w:rsidRPr="00DD6BE4">
        <w:rPr>
          <w:lang w:val="es-ES_tradnl"/>
        </w:rPr>
        <w:t xml:space="preserve"> países</w:t>
      </w:r>
      <w:r w:rsidRPr="00DD6BE4">
        <w:rPr>
          <w:lang w:val="es-ES_tradnl"/>
        </w:rPr>
        <w:t xml:space="preserve"> menos adelantados, incluso</w:t>
      </w:r>
      <w:r w:rsidR="000740E2" w:rsidRPr="00DD6BE4">
        <w:rPr>
          <w:lang w:val="es-ES_tradnl"/>
        </w:rPr>
        <w:t xml:space="preserve"> cuando se dispone de asistencia técnica de la OMPI para instalar las plataformas necesarias. Las OPI deben contar con </w:t>
      </w:r>
      <w:r w:rsidR="00EF5823" w:rsidRPr="00DD6BE4">
        <w:rPr>
          <w:lang w:val="es-ES_tradnl"/>
        </w:rPr>
        <w:t xml:space="preserve">una </w:t>
      </w:r>
      <w:r w:rsidR="000740E2" w:rsidRPr="00DD6BE4">
        <w:rPr>
          <w:lang w:val="es-ES_tradnl"/>
        </w:rPr>
        <w:t>infraestructura de TI segura y fiabl</w:t>
      </w:r>
      <w:r w:rsidR="00EF5823" w:rsidRPr="00DD6BE4">
        <w:rPr>
          <w:lang w:val="es-ES_tradnl"/>
        </w:rPr>
        <w:t>e</w:t>
      </w:r>
      <w:r w:rsidR="000740E2" w:rsidRPr="00DD6BE4">
        <w:rPr>
          <w:lang w:val="es-ES_tradnl"/>
        </w:rPr>
        <w:t>, trabajar con bancos o proveedores de pago e</w:t>
      </w:r>
      <w:r w:rsidR="00EF5823" w:rsidRPr="00DD6BE4">
        <w:rPr>
          <w:lang w:val="es-ES_tradnl"/>
        </w:rPr>
        <w:t>lectrónico</w:t>
      </w:r>
      <w:r w:rsidR="000740E2" w:rsidRPr="00DD6BE4">
        <w:rPr>
          <w:lang w:val="es-ES_tradnl"/>
        </w:rPr>
        <w:t xml:space="preserve"> para facilitar los pagos de tasas </w:t>
      </w:r>
      <w:r w:rsidR="00433429" w:rsidRPr="00DD6BE4">
        <w:rPr>
          <w:lang w:val="es-ES_tradnl"/>
        </w:rPr>
        <w:t>a través de</w:t>
      </w:r>
      <w:r w:rsidR="000740E2" w:rsidRPr="00DD6BE4">
        <w:rPr>
          <w:lang w:val="es-ES_tradnl"/>
        </w:rPr>
        <w:t xml:space="preserve"> Internet y modernizar sus servicios y asistencia</w:t>
      </w:r>
      <w:r w:rsidR="00AB4497" w:rsidRPr="00DD6BE4">
        <w:rPr>
          <w:lang w:val="es-ES_tradnl"/>
        </w:rPr>
        <w:t xml:space="preserve"> técnica</w:t>
      </w:r>
      <w:r w:rsidR="000C32DD" w:rsidRPr="00DD6BE4">
        <w:rPr>
          <w:lang w:val="es-ES_tradnl"/>
        </w:rPr>
        <w:t>.</w:t>
      </w:r>
      <w:r w:rsidR="005D61E0" w:rsidRPr="00DD6BE4">
        <w:rPr>
          <w:lang w:val="es-ES_tradnl"/>
        </w:rPr>
        <w:t xml:space="preserve"> </w:t>
      </w:r>
      <w:r w:rsidR="00467D00" w:rsidRPr="00DD6BE4">
        <w:rPr>
          <w:lang w:val="es-ES_tradnl"/>
        </w:rPr>
        <w:t xml:space="preserve">Estos no son necesariamente obstáculos que puedan resolverse únicamente mediante asistencia técnica externa. Además, no se pueden prestar servicios </w:t>
      </w:r>
      <w:r w:rsidR="003349B5" w:rsidRPr="00DD6BE4">
        <w:rPr>
          <w:lang w:val="es-ES_tradnl"/>
        </w:rPr>
        <w:t xml:space="preserve">seguros </w:t>
      </w:r>
      <w:r w:rsidR="00467D00" w:rsidRPr="00DD6BE4">
        <w:rPr>
          <w:lang w:val="es-ES_tradnl"/>
        </w:rPr>
        <w:t>e</w:t>
      </w:r>
      <w:r w:rsidR="003349B5" w:rsidRPr="00DD6BE4">
        <w:rPr>
          <w:lang w:val="es-ES_tradnl"/>
        </w:rPr>
        <w:t>n línea</w:t>
      </w:r>
      <w:r w:rsidR="00467D00" w:rsidRPr="00DD6BE4">
        <w:rPr>
          <w:lang w:val="es-ES_tradnl"/>
        </w:rPr>
        <w:t xml:space="preserve"> con datos poco fiables, por lo </w:t>
      </w:r>
      <w:r w:rsidR="00AB4497" w:rsidRPr="00DD6BE4">
        <w:rPr>
          <w:lang w:val="es-ES_tradnl"/>
        </w:rPr>
        <w:t>que</w:t>
      </w:r>
      <w:r w:rsidR="00467D00" w:rsidRPr="00DD6BE4">
        <w:rPr>
          <w:lang w:val="es-ES_tradnl"/>
        </w:rPr>
        <w:t xml:space="preserve"> las OPI deben considerar </w:t>
      </w:r>
      <w:r w:rsidR="00A37617" w:rsidRPr="00DD6BE4">
        <w:rPr>
          <w:lang w:val="es-ES_tradnl"/>
        </w:rPr>
        <w:t>poner en marcha</w:t>
      </w:r>
      <w:r w:rsidR="00467D00" w:rsidRPr="00DD6BE4">
        <w:rPr>
          <w:lang w:val="es-ES_tradnl"/>
        </w:rPr>
        <w:t xml:space="preserve"> proyectos de</w:t>
      </w:r>
      <w:r w:rsidR="00AB4497" w:rsidRPr="00DD6BE4">
        <w:rPr>
          <w:lang w:val="es-ES_tradnl"/>
        </w:rPr>
        <w:t xml:space="preserve"> digitalización y de mejora de la calidad de los datos (véanse los párrafos 26 a 35) antes de poder </w:t>
      </w:r>
      <w:r w:rsidR="007B339D" w:rsidRPr="00DD6BE4">
        <w:rPr>
          <w:lang w:val="es-ES_tradnl"/>
        </w:rPr>
        <w:t>realizar la transición</w:t>
      </w:r>
      <w:r w:rsidR="00AB4497" w:rsidRPr="00DD6BE4">
        <w:rPr>
          <w:lang w:val="es-ES_tradnl"/>
        </w:rPr>
        <w:t xml:space="preserve"> a unos servicios e</w:t>
      </w:r>
      <w:r w:rsidR="00EF5823" w:rsidRPr="00DD6BE4">
        <w:rPr>
          <w:lang w:val="es-ES_tradnl"/>
        </w:rPr>
        <w:t>lectrónicos</w:t>
      </w:r>
      <w:r w:rsidR="00960CEE" w:rsidRPr="00DD6BE4">
        <w:rPr>
          <w:lang w:val="es-ES_tradnl"/>
        </w:rPr>
        <w:t xml:space="preserve"> más avanzados.</w:t>
      </w:r>
    </w:p>
    <w:p w14:paraId="1C686ABD" w14:textId="77777777" w:rsidR="000C32DD" w:rsidRPr="00DD6BE4" w:rsidRDefault="000C32DD" w:rsidP="000C32DD">
      <w:pPr>
        <w:pStyle w:val="ListParagraph"/>
        <w:rPr>
          <w:rFonts w:ascii="Calibri" w:eastAsia="Malgun Gothic" w:hAnsi="Calibri" w:cs="Calibri"/>
          <w:lang w:val="es-ES_tradnl"/>
        </w:rPr>
      </w:pPr>
    </w:p>
    <w:p w14:paraId="3F1B9037" w14:textId="271348E9" w:rsidR="00460035" w:rsidRPr="00DD6BE4" w:rsidRDefault="009C3F41" w:rsidP="00460035">
      <w:pPr>
        <w:pStyle w:val="ListParagraph"/>
        <w:numPr>
          <w:ilvl w:val="0"/>
          <w:numId w:val="4"/>
        </w:numPr>
        <w:tabs>
          <w:tab w:val="left" w:pos="540"/>
        </w:tabs>
        <w:spacing w:after="240"/>
        <w:ind w:left="0" w:firstLine="0"/>
        <w:rPr>
          <w:rFonts w:eastAsia="Malgun Gothic"/>
          <w:lang w:val="es-ES_tradnl"/>
        </w:rPr>
      </w:pPr>
      <w:r w:rsidRPr="00DD6BE4">
        <w:rPr>
          <w:lang w:val="es-ES_tradnl"/>
        </w:rPr>
        <w:t>Est</w:t>
      </w:r>
      <w:r w:rsidR="00436225" w:rsidRPr="00DD6BE4">
        <w:rPr>
          <w:lang w:val="es-ES_tradnl"/>
        </w:rPr>
        <w:t>e</w:t>
      </w:r>
      <w:r w:rsidRPr="00DD6BE4">
        <w:rPr>
          <w:lang w:val="es-ES_tradnl"/>
        </w:rPr>
        <w:t xml:space="preserve"> es un </w:t>
      </w:r>
      <w:r w:rsidR="00433429" w:rsidRPr="00DD6BE4">
        <w:rPr>
          <w:lang w:val="es-ES_tradnl"/>
        </w:rPr>
        <w:t>aspecto</w:t>
      </w:r>
      <w:r w:rsidR="00272396" w:rsidRPr="00DD6BE4">
        <w:rPr>
          <w:lang w:val="es-ES_tradnl"/>
        </w:rPr>
        <w:t xml:space="preserve"> donde</w:t>
      </w:r>
      <w:r w:rsidRPr="00DD6BE4">
        <w:rPr>
          <w:lang w:val="es-ES_tradnl"/>
        </w:rPr>
        <w:t xml:space="preserve"> es necesario redoblar esfuerzos y </w:t>
      </w:r>
      <w:r w:rsidR="00436225" w:rsidRPr="00DD6BE4">
        <w:rPr>
          <w:lang w:val="es-ES_tradnl"/>
        </w:rPr>
        <w:t>en el que</w:t>
      </w:r>
      <w:r w:rsidRPr="00DD6BE4">
        <w:rPr>
          <w:lang w:val="es-ES_tradnl"/>
        </w:rPr>
        <w:t xml:space="preserve"> los </w:t>
      </w:r>
      <w:r w:rsidR="00960CEE" w:rsidRPr="00DD6BE4">
        <w:rPr>
          <w:lang w:val="es-ES_tradnl"/>
        </w:rPr>
        <w:t xml:space="preserve">titulares de PI </w:t>
      </w:r>
      <w:r w:rsidRPr="00DD6BE4">
        <w:rPr>
          <w:lang w:val="es-ES_tradnl"/>
        </w:rPr>
        <w:t xml:space="preserve">y </w:t>
      </w:r>
      <w:r w:rsidR="00960CEE" w:rsidRPr="00DD6BE4">
        <w:rPr>
          <w:lang w:val="es-ES_tradnl"/>
        </w:rPr>
        <w:t xml:space="preserve">los </w:t>
      </w:r>
      <w:r w:rsidRPr="00DD6BE4">
        <w:rPr>
          <w:lang w:val="es-ES_tradnl"/>
        </w:rPr>
        <w:t xml:space="preserve">solicitantes </w:t>
      </w:r>
      <w:r w:rsidR="00436225" w:rsidRPr="00DD6BE4">
        <w:rPr>
          <w:lang w:val="es-ES_tradnl"/>
        </w:rPr>
        <w:t>piden</w:t>
      </w:r>
      <w:r w:rsidRPr="00DD6BE4">
        <w:rPr>
          <w:lang w:val="es-ES_tradnl"/>
        </w:rPr>
        <w:t xml:space="preserve"> que se mejoren los servicios.</w:t>
      </w:r>
    </w:p>
    <w:p w14:paraId="5B321224" w14:textId="54022651" w:rsidR="00460035" w:rsidRPr="00DD6BE4" w:rsidRDefault="00224C1A" w:rsidP="00960CEE">
      <w:pPr>
        <w:pStyle w:val="Heading4"/>
        <w:keepLines/>
        <w:rPr>
          <w:i w:val="0"/>
          <w:szCs w:val="22"/>
          <w:lang w:val="es-ES_tradnl"/>
        </w:rPr>
      </w:pPr>
      <w:r w:rsidRPr="00DD6BE4">
        <w:rPr>
          <w:szCs w:val="22"/>
          <w:lang w:val="es-ES_tradnl"/>
        </w:rPr>
        <w:t xml:space="preserve">Transferencia de conocimientos y </w:t>
      </w:r>
      <w:r w:rsidR="003E2157" w:rsidRPr="00DD6BE4">
        <w:rPr>
          <w:szCs w:val="22"/>
          <w:lang w:val="es-ES_tradnl"/>
        </w:rPr>
        <w:t>asistencia</w:t>
      </w:r>
    </w:p>
    <w:p w14:paraId="21A748AA" w14:textId="77777777" w:rsidR="00460035" w:rsidRPr="00DD6BE4" w:rsidRDefault="00460035" w:rsidP="00960CEE">
      <w:pPr>
        <w:pStyle w:val="ListParagraph"/>
        <w:keepNext/>
        <w:tabs>
          <w:tab w:val="left" w:pos="540"/>
        </w:tabs>
        <w:spacing w:after="240"/>
        <w:ind w:left="0"/>
        <w:rPr>
          <w:rFonts w:eastAsia="Malgun Gothic"/>
          <w:lang w:val="es-ES_tradnl"/>
        </w:rPr>
      </w:pPr>
    </w:p>
    <w:p w14:paraId="17779563" w14:textId="5F19DEEF" w:rsidR="00460035" w:rsidRPr="00DD6BE4" w:rsidRDefault="003E2157" w:rsidP="00960CEE">
      <w:pPr>
        <w:pStyle w:val="ListParagraph"/>
        <w:keepNext/>
        <w:numPr>
          <w:ilvl w:val="0"/>
          <w:numId w:val="4"/>
        </w:numPr>
        <w:tabs>
          <w:tab w:val="left" w:pos="540"/>
        </w:tabs>
        <w:spacing w:after="240"/>
        <w:ind w:left="0" w:firstLine="0"/>
        <w:rPr>
          <w:rFonts w:eastAsia="Malgun Gothic"/>
          <w:lang w:val="es-ES_tradnl"/>
        </w:rPr>
      </w:pPr>
      <w:r w:rsidRPr="00DD6BE4">
        <w:rPr>
          <w:lang w:val="es-ES_tradnl"/>
        </w:rPr>
        <w:t xml:space="preserve">Como parte de su programa de asistencia técnica a las OPI, la Secretaría de la OMPI ofrece transferencia de conocimientos y servicios de asistencia. Un equipo específico presta </w:t>
      </w:r>
      <w:r w:rsidR="00242D54" w:rsidRPr="00DD6BE4">
        <w:rPr>
          <w:lang w:val="es-ES_tradnl"/>
        </w:rPr>
        <w:t xml:space="preserve">asistencia por correo electrónico y teleconferencia, documentación y asistencia técnica a distancia. </w:t>
      </w:r>
      <w:r w:rsidR="00B82B18" w:rsidRPr="00DD6BE4">
        <w:rPr>
          <w:lang w:val="es-ES_tradnl"/>
        </w:rPr>
        <w:t>Se mantiene</w:t>
      </w:r>
      <w:r w:rsidR="00242D54" w:rsidRPr="00DD6BE4">
        <w:rPr>
          <w:lang w:val="es-ES_tradnl"/>
        </w:rPr>
        <w:t xml:space="preserve"> una base de datos de conocimientos </w:t>
      </w:r>
      <w:r w:rsidR="00B82B18" w:rsidRPr="00DD6BE4">
        <w:rPr>
          <w:lang w:val="es-ES_tradnl"/>
        </w:rPr>
        <w:t>con cientos de páginas de documentación y soluciones. Los c</w:t>
      </w:r>
      <w:r w:rsidR="00960CEE" w:rsidRPr="00DD6BE4">
        <w:rPr>
          <w:lang w:val="es-ES_tradnl"/>
        </w:rPr>
        <w:t>oordinadores</w:t>
      </w:r>
      <w:r w:rsidR="00B82B18" w:rsidRPr="00DD6BE4">
        <w:rPr>
          <w:lang w:val="es-ES_tradnl"/>
        </w:rPr>
        <w:t xml:space="preserve"> técnicos de las OPI tienen acceso a toda la información. La demanda de servicios de asistencia ha aumentado y el equipo de asistencia gestiona actualmente unos 800 casos o solicitudes al año</w:t>
      </w:r>
      <w:r w:rsidR="00460035" w:rsidRPr="00DD6BE4">
        <w:rPr>
          <w:rFonts w:eastAsia="Malgun Gothic"/>
          <w:lang w:val="es-ES_tradnl"/>
        </w:rPr>
        <w:t>.</w:t>
      </w:r>
    </w:p>
    <w:p w14:paraId="61AAACFD" w14:textId="77777777" w:rsidR="00460035" w:rsidRPr="00DD6BE4" w:rsidRDefault="00460035" w:rsidP="00460035">
      <w:pPr>
        <w:pStyle w:val="ListParagraph"/>
        <w:tabs>
          <w:tab w:val="left" w:pos="360"/>
        </w:tabs>
        <w:ind w:left="0"/>
        <w:rPr>
          <w:rFonts w:eastAsia="Malgun Gothic"/>
          <w:lang w:val="es-ES_tradnl"/>
        </w:rPr>
      </w:pPr>
    </w:p>
    <w:p w14:paraId="3B468F2A" w14:textId="335E9844" w:rsidR="000D1113" w:rsidRPr="00DD6BE4" w:rsidRDefault="004C4BF1" w:rsidP="00460035">
      <w:pPr>
        <w:pStyle w:val="ListParagraph"/>
        <w:numPr>
          <w:ilvl w:val="0"/>
          <w:numId w:val="4"/>
        </w:numPr>
        <w:tabs>
          <w:tab w:val="left" w:pos="540"/>
        </w:tabs>
        <w:spacing w:after="240"/>
        <w:ind w:left="0" w:firstLine="0"/>
        <w:rPr>
          <w:rFonts w:eastAsia="Malgun Gothic"/>
          <w:lang w:val="es-ES_tradnl"/>
        </w:rPr>
      </w:pPr>
      <w:r w:rsidRPr="00DD6BE4">
        <w:rPr>
          <w:lang w:val="es-ES_tradnl"/>
        </w:rPr>
        <w:t xml:space="preserve">La Secretaría de la OMPI organiza periódicamente talleres de formación a escala regional o </w:t>
      </w:r>
      <w:r w:rsidR="00926690" w:rsidRPr="00DD6BE4">
        <w:rPr>
          <w:lang w:val="es-ES_tradnl"/>
        </w:rPr>
        <w:t>subregional</w:t>
      </w:r>
      <w:r w:rsidRPr="00DD6BE4">
        <w:rPr>
          <w:lang w:val="es-ES_tradnl"/>
        </w:rPr>
        <w:t xml:space="preserve">. Desde </w:t>
      </w:r>
      <w:r w:rsidR="00433429" w:rsidRPr="00DD6BE4">
        <w:rPr>
          <w:lang w:val="es-ES_tradnl"/>
        </w:rPr>
        <w:t xml:space="preserve">el año </w:t>
      </w:r>
      <w:r w:rsidRPr="00DD6BE4">
        <w:rPr>
          <w:lang w:val="es-ES_tradnl"/>
        </w:rPr>
        <w:t>2020 estos talleres se celebra</w:t>
      </w:r>
      <w:r w:rsidR="00543A62" w:rsidRPr="00DD6BE4">
        <w:rPr>
          <w:lang w:val="es-ES_tradnl"/>
        </w:rPr>
        <w:t>n</w:t>
      </w:r>
      <w:r w:rsidRPr="00DD6BE4">
        <w:rPr>
          <w:lang w:val="es-ES_tradnl"/>
        </w:rPr>
        <w:t xml:space="preserve"> virtualmente, con el correspondiente aumento </w:t>
      </w:r>
      <w:r w:rsidR="00543A62" w:rsidRPr="00DD6BE4">
        <w:rPr>
          <w:lang w:val="es-ES_tradnl"/>
        </w:rPr>
        <w:t>de</w:t>
      </w:r>
      <w:r w:rsidRPr="00DD6BE4">
        <w:rPr>
          <w:lang w:val="es-ES_tradnl"/>
        </w:rPr>
        <w:t xml:space="preserve"> la asistencia. En 2020, se </w:t>
      </w:r>
      <w:r w:rsidR="00543A62" w:rsidRPr="00DD6BE4">
        <w:rPr>
          <w:lang w:val="es-ES_tradnl"/>
        </w:rPr>
        <w:t>organizaron</w:t>
      </w:r>
      <w:r w:rsidRPr="00DD6BE4">
        <w:rPr>
          <w:lang w:val="es-ES_tradnl"/>
        </w:rPr>
        <w:t xml:space="preserve"> nuev</w:t>
      </w:r>
      <w:r w:rsidR="00543A62" w:rsidRPr="00DD6BE4">
        <w:rPr>
          <w:lang w:val="es-ES_tradnl"/>
        </w:rPr>
        <w:t>e</w:t>
      </w:r>
      <w:r w:rsidRPr="00DD6BE4">
        <w:rPr>
          <w:lang w:val="es-ES_tradnl"/>
        </w:rPr>
        <w:t xml:space="preserve"> seminarios y,</w:t>
      </w:r>
      <w:r w:rsidR="00960CEE" w:rsidRPr="00DD6BE4">
        <w:rPr>
          <w:lang w:val="es-ES_tradnl"/>
        </w:rPr>
        <w:t xml:space="preserve"> en </w:t>
      </w:r>
      <w:r w:rsidRPr="00DD6BE4">
        <w:rPr>
          <w:lang w:val="es-ES_tradnl"/>
        </w:rPr>
        <w:t>2021, cinco.</w:t>
      </w:r>
    </w:p>
    <w:p w14:paraId="345E8530" w14:textId="080290A7" w:rsidR="000D1113" w:rsidRPr="00DD6BE4" w:rsidRDefault="00926690" w:rsidP="000D1113">
      <w:pPr>
        <w:pStyle w:val="Heading4"/>
        <w:keepLines/>
        <w:rPr>
          <w:rFonts w:eastAsiaTheme="majorEastAsia"/>
          <w:lang w:val="es-ES_tradnl"/>
        </w:rPr>
      </w:pPr>
      <w:r w:rsidRPr="00DD6BE4">
        <w:rPr>
          <w:rFonts w:eastAsiaTheme="majorEastAsia"/>
          <w:lang w:val="es-ES_tradnl"/>
        </w:rPr>
        <w:t xml:space="preserve">Los sistemas del </w:t>
      </w:r>
      <w:r w:rsidR="00B24EEC" w:rsidRPr="00DD6BE4">
        <w:rPr>
          <w:rFonts w:eastAsiaTheme="majorEastAsia"/>
          <w:lang w:val="es-ES_tradnl"/>
        </w:rPr>
        <w:t xml:space="preserve">PCT, </w:t>
      </w:r>
      <w:r w:rsidRPr="00DD6BE4">
        <w:rPr>
          <w:rFonts w:eastAsiaTheme="majorEastAsia"/>
          <w:lang w:val="es-ES_tradnl"/>
        </w:rPr>
        <w:t>de Madrid y de La Haya</w:t>
      </w:r>
    </w:p>
    <w:p w14:paraId="29285BFB" w14:textId="77777777" w:rsidR="000D1113" w:rsidRPr="00DD6BE4" w:rsidRDefault="000D1113" w:rsidP="000D1113">
      <w:pPr>
        <w:pStyle w:val="ListParagraph"/>
        <w:tabs>
          <w:tab w:val="left" w:pos="540"/>
        </w:tabs>
        <w:spacing w:after="240"/>
        <w:ind w:left="0"/>
        <w:rPr>
          <w:rFonts w:ascii="Calibri" w:eastAsia="Malgun Gothic" w:hAnsi="Calibri" w:cs="Calibri"/>
          <w:lang w:val="es-ES_tradnl"/>
        </w:rPr>
      </w:pPr>
    </w:p>
    <w:p w14:paraId="419CC789" w14:textId="50E327CA" w:rsidR="000D1113" w:rsidRPr="00DD6BE4" w:rsidRDefault="00926690" w:rsidP="000D1113">
      <w:pPr>
        <w:pStyle w:val="ListParagraph"/>
        <w:numPr>
          <w:ilvl w:val="0"/>
          <w:numId w:val="4"/>
        </w:numPr>
        <w:tabs>
          <w:tab w:val="left" w:pos="540"/>
        </w:tabs>
        <w:spacing w:after="240"/>
        <w:ind w:left="0" w:firstLine="0"/>
        <w:rPr>
          <w:lang w:val="es-ES_tradnl"/>
        </w:rPr>
      </w:pPr>
      <w:r w:rsidRPr="00DD6BE4">
        <w:rPr>
          <w:lang w:val="es-ES_tradnl"/>
        </w:rPr>
        <w:t xml:space="preserve">El PCT ha prestado una serie de servicios a las OPI de los Estados miembros para facilitar el funcionamiento y la administración </w:t>
      </w:r>
      <w:r w:rsidR="00960CEE" w:rsidRPr="00DD6BE4">
        <w:rPr>
          <w:lang w:val="es-ES_tradnl"/>
        </w:rPr>
        <w:t>por medio</w:t>
      </w:r>
      <w:r w:rsidR="00F2088D" w:rsidRPr="00DD6BE4">
        <w:rPr>
          <w:lang w:val="es-ES_tradnl"/>
        </w:rPr>
        <w:t>s</w:t>
      </w:r>
      <w:r w:rsidR="00960CEE" w:rsidRPr="00DD6BE4">
        <w:rPr>
          <w:lang w:val="es-ES_tradnl"/>
        </w:rPr>
        <w:t xml:space="preserve"> electrónicos </w:t>
      </w:r>
      <w:r w:rsidRPr="00DD6BE4">
        <w:rPr>
          <w:lang w:val="es-ES_tradnl"/>
        </w:rPr>
        <w:t xml:space="preserve">de las solicitudes internacionales </w:t>
      </w:r>
      <w:r w:rsidR="002079C4" w:rsidRPr="00DD6BE4">
        <w:rPr>
          <w:lang w:val="es-ES_tradnl"/>
        </w:rPr>
        <w:t xml:space="preserve">presentadas en virtud del PCT. A finales de 2021, un total de 98 OPI accedieron a los servicios ePCT </w:t>
      </w:r>
      <w:r w:rsidR="00087E30" w:rsidRPr="00DD6BE4">
        <w:rPr>
          <w:lang w:val="es-ES_tradnl"/>
        </w:rPr>
        <w:t xml:space="preserve">para las oficinas, </w:t>
      </w:r>
      <w:r w:rsidR="002079C4" w:rsidRPr="00DD6BE4">
        <w:rPr>
          <w:lang w:val="es-ES_tradnl"/>
        </w:rPr>
        <w:t xml:space="preserve">en calidad de </w:t>
      </w:r>
      <w:r w:rsidR="00317C2C" w:rsidRPr="00DD6BE4">
        <w:rPr>
          <w:lang w:val="es-ES_tradnl"/>
        </w:rPr>
        <w:t>Oficina receptora</w:t>
      </w:r>
      <w:r w:rsidR="00D6098D" w:rsidRPr="00DD6BE4">
        <w:rPr>
          <w:lang w:val="es-ES_tradnl"/>
        </w:rPr>
        <w:t xml:space="preserve"> (RO)</w:t>
      </w:r>
      <w:r w:rsidR="00317C2C" w:rsidRPr="00DD6BE4">
        <w:rPr>
          <w:lang w:val="es-ES_tradnl"/>
        </w:rPr>
        <w:t xml:space="preserve">, Administración encargada de la búsqueda internacional (ISA) u Oficina </w:t>
      </w:r>
      <w:r w:rsidR="00F90F2D" w:rsidRPr="00DD6BE4">
        <w:rPr>
          <w:lang w:val="es-ES_tradnl"/>
        </w:rPr>
        <w:t>designada o elegida, de las cuales 81 utilizan los servicios ePCT</w:t>
      </w:r>
      <w:r w:rsidR="00087E30" w:rsidRPr="00DD6BE4">
        <w:rPr>
          <w:lang w:val="es-ES_tradnl"/>
        </w:rPr>
        <w:t xml:space="preserve"> en Internet para las oficinas </w:t>
      </w:r>
      <w:r w:rsidR="00F90F2D" w:rsidRPr="00DD6BE4">
        <w:rPr>
          <w:lang w:val="es-ES_tradnl"/>
        </w:rPr>
        <w:t>como</w:t>
      </w:r>
      <w:r w:rsidR="00964C6C" w:rsidRPr="00DD6BE4">
        <w:rPr>
          <w:lang w:val="es-ES_tradnl"/>
        </w:rPr>
        <w:t xml:space="preserve"> principal herramienta para tramitar las solicitudes internacionales en calidad de Oficina receptora y 73 ofrecen ePCT-Filing a sus clientes para presentar </w:t>
      </w:r>
      <w:r w:rsidR="00087E30" w:rsidRPr="00DD6BE4">
        <w:rPr>
          <w:lang w:val="es-ES_tradnl"/>
        </w:rPr>
        <w:t xml:space="preserve">en línea </w:t>
      </w:r>
      <w:r w:rsidR="00964C6C" w:rsidRPr="00DD6BE4">
        <w:rPr>
          <w:lang w:val="es-ES_tradnl"/>
        </w:rPr>
        <w:t>nuevas solicitudes internacionales.</w:t>
      </w:r>
      <w:r w:rsidR="00F90F2D" w:rsidRPr="00DD6BE4">
        <w:rPr>
          <w:lang w:val="es-ES_tradnl"/>
        </w:rPr>
        <w:t xml:space="preserve"> </w:t>
      </w:r>
      <w:r w:rsidR="00FF5FB2" w:rsidRPr="00DD6BE4">
        <w:rPr>
          <w:lang w:val="es-ES_tradnl"/>
        </w:rPr>
        <w:t>Actualmente, el servicio eSearchCopy está totalmente operativo y permite enviar tod</w:t>
      </w:r>
      <w:r w:rsidR="00883DFE" w:rsidRPr="00DD6BE4">
        <w:rPr>
          <w:lang w:val="es-ES_tradnl"/>
        </w:rPr>
        <w:t>as las copias para la</w:t>
      </w:r>
      <w:r w:rsidR="00FF5FB2" w:rsidRPr="00DD6BE4">
        <w:rPr>
          <w:lang w:val="es-ES_tradnl"/>
        </w:rPr>
        <w:t xml:space="preserve"> búsqueda de </w:t>
      </w:r>
      <w:r w:rsidR="00DD5C5E" w:rsidRPr="00DD6BE4">
        <w:rPr>
          <w:lang w:val="es-ES_tradnl"/>
        </w:rPr>
        <w:t xml:space="preserve">una </w:t>
      </w:r>
      <w:r w:rsidR="00FF5FB2" w:rsidRPr="00DD6BE4">
        <w:rPr>
          <w:lang w:val="es-ES_tradnl"/>
        </w:rPr>
        <w:t xml:space="preserve">Oficina </w:t>
      </w:r>
      <w:r w:rsidR="00DD5C5E" w:rsidRPr="00DD6BE4">
        <w:rPr>
          <w:lang w:val="es-ES_tradnl"/>
        </w:rPr>
        <w:t>en calidad de RO a otra que actúa como</w:t>
      </w:r>
      <w:r w:rsidR="00FF5FB2" w:rsidRPr="00DD6BE4">
        <w:rPr>
          <w:lang w:val="es-ES_tradnl"/>
        </w:rPr>
        <w:t xml:space="preserve"> ISA</w:t>
      </w:r>
      <w:r w:rsidR="000D1113" w:rsidRPr="00DD6BE4">
        <w:rPr>
          <w:lang w:val="es-ES_tradnl"/>
        </w:rPr>
        <w:t>.</w:t>
      </w:r>
    </w:p>
    <w:p w14:paraId="3840116F" w14:textId="3E9D59F0" w:rsidR="00FC7FEC" w:rsidRPr="00DD6BE4" w:rsidRDefault="00FC7FEC" w:rsidP="002B7A8B">
      <w:pPr>
        <w:pStyle w:val="ListParagraph"/>
        <w:tabs>
          <w:tab w:val="left" w:pos="540"/>
        </w:tabs>
        <w:spacing w:after="240"/>
        <w:ind w:left="0"/>
        <w:rPr>
          <w:lang w:val="es-ES_tradnl"/>
        </w:rPr>
      </w:pPr>
    </w:p>
    <w:p w14:paraId="4974D5BF" w14:textId="116AB4E2" w:rsidR="000D22BC" w:rsidRPr="00DD6BE4" w:rsidRDefault="001C29B6" w:rsidP="002B7A8B">
      <w:pPr>
        <w:pStyle w:val="ListParagraph"/>
        <w:numPr>
          <w:ilvl w:val="0"/>
          <w:numId w:val="4"/>
        </w:numPr>
        <w:tabs>
          <w:tab w:val="left" w:pos="540"/>
        </w:tabs>
        <w:spacing w:after="240"/>
        <w:ind w:left="0" w:firstLine="0"/>
        <w:rPr>
          <w:rFonts w:eastAsia="Malgun Gothic"/>
          <w:szCs w:val="22"/>
          <w:lang w:val="es-ES_tradnl"/>
        </w:rPr>
      </w:pPr>
      <w:r w:rsidRPr="00DD6BE4">
        <w:rPr>
          <w:szCs w:val="22"/>
          <w:lang w:val="es-ES_tradnl"/>
        </w:rPr>
        <w:t xml:space="preserve">El Registro de Madrid ha establecido varios servicios para que las OPI de los Estados miembros mejoren la capacidad digital de sus oficinas en lo que atañe al funcionamiento del </w:t>
      </w:r>
      <w:r w:rsidR="006B26C8" w:rsidRPr="00DD6BE4">
        <w:rPr>
          <w:szCs w:val="22"/>
          <w:lang w:val="es-ES_tradnl"/>
        </w:rPr>
        <w:t>S</w:t>
      </w:r>
      <w:r w:rsidRPr="00DD6BE4">
        <w:rPr>
          <w:szCs w:val="22"/>
          <w:lang w:val="es-ES_tradnl"/>
        </w:rPr>
        <w:t>istema de Madrid, concretamente</w:t>
      </w:r>
      <w:r w:rsidR="000D22BC" w:rsidRPr="00DD6BE4">
        <w:rPr>
          <w:szCs w:val="22"/>
          <w:lang w:val="es-ES_tradnl"/>
        </w:rPr>
        <w:t>:</w:t>
      </w:r>
    </w:p>
    <w:p w14:paraId="273AD546" w14:textId="77777777" w:rsidR="00FC032F" w:rsidRPr="00DD6BE4" w:rsidRDefault="00FC032F" w:rsidP="00FC032F">
      <w:pPr>
        <w:pStyle w:val="ListParagraph"/>
        <w:tabs>
          <w:tab w:val="left" w:pos="540"/>
        </w:tabs>
        <w:spacing w:after="240"/>
        <w:ind w:left="0"/>
        <w:rPr>
          <w:rFonts w:eastAsia="Malgun Gothic"/>
          <w:szCs w:val="22"/>
          <w:lang w:val="es-ES_tradnl"/>
        </w:rPr>
      </w:pPr>
    </w:p>
    <w:p w14:paraId="26BC8403" w14:textId="6BD6CD2A" w:rsidR="000D22BC" w:rsidRPr="00DD6BE4" w:rsidRDefault="006B26C8" w:rsidP="002B7A8B">
      <w:pPr>
        <w:pStyle w:val="ListParagraph"/>
        <w:numPr>
          <w:ilvl w:val="0"/>
          <w:numId w:val="27"/>
        </w:numPr>
        <w:rPr>
          <w:szCs w:val="22"/>
          <w:lang w:val="es-ES_tradnl"/>
        </w:rPr>
      </w:pPr>
      <w:r w:rsidRPr="00DD6BE4">
        <w:rPr>
          <w:szCs w:val="22"/>
          <w:lang w:val="es-ES_tradnl"/>
        </w:rPr>
        <w:t xml:space="preserve">El </w:t>
      </w:r>
      <w:r w:rsidR="000D22BC" w:rsidRPr="00DD6BE4">
        <w:rPr>
          <w:szCs w:val="22"/>
          <w:lang w:val="es-ES_tradnl"/>
        </w:rPr>
        <w:t>Madrid eFiling,</w:t>
      </w:r>
      <w:r w:rsidR="00FF6C09" w:rsidRPr="00DD6BE4">
        <w:rPr>
          <w:szCs w:val="22"/>
          <w:lang w:val="es-ES_tradnl"/>
        </w:rPr>
        <w:t xml:space="preserve"> </w:t>
      </w:r>
      <w:r w:rsidR="00D46707" w:rsidRPr="00DD6BE4">
        <w:rPr>
          <w:szCs w:val="22"/>
          <w:lang w:val="es-ES_tradnl"/>
        </w:rPr>
        <w:t xml:space="preserve">utilizado en 15 </w:t>
      </w:r>
      <w:r w:rsidR="004A0ECB" w:rsidRPr="00DD6BE4">
        <w:rPr>
          <w:szCs w:val="22"/>
          <w:lang w:val="es-ES_tradnl"/>
        </w:rPr>
        <w:t>oficinas</w:t>
      </w:r>
      <w:r w:rsidR="00D46707" w:rsidRPr="00DD6BE4">
        <w:rPr>
          <w:szCs w:val="22"/>
          <w:lang w:val="es-ES_tradnl"/>
        </w:rPr>
        <w:t xml:space="preserve"> nacionales, es un servicio </w:t>
      </w:r>
      <w:r w:rsidR="00922E75" w:rsidRPr="00DD6BE4">
        <w:rPr>
          <w:szCs w:val="22"/>
          <w:lang w:val="es-ES_tradnl"/>
        </w:rPr>
        <w:t>completo</w:t>
      </w:r>
      <w:r w:rsidR="00D46707" w:rsidRPr="00DD6BE4">
        <w:rPr>
          <w:szCs w:val="22"/>
          <w:lang w:val="es-ES_tradnl"/>
        </w:rPr>
        <w:t xml:space="preserve"> que permite a los solicitantes presentar sus solicitudes y a las OPI nacionales validar y certificar una solicitud internacional.</w:t>
      </w:r>
    </w:p>
    <w:p w14:paraId="2238CA58" w14:textId="5DF70CCA" w:rsidR="000D22BC" w:rsidRPr="00DD6BE4" w:rsidRDefault="00D46707" w:rsidP="002B7A8B">
      <w:pPr>
        <w:pStyle w:val="ListParagraph"/>
        <w:numPr>
          <w:ilvl w:val="0"/>
          <w:numId w:val="27"/>
        </w:numPr>
        <w:rPr>
          <w:szCs w:val="22"/>
          <w:lang w:val="es-ES_tradnl"/>
        </w:rPr>
      </w:pPr>
      <w:r w:rsidRPr="00DD6BE4">
        <w:rPr>
          <w:szCs w:val="22"/>
          <w:lang w:val="es-ES_tradnl"/>
        </w:rPr>
        <w:t>Dentro del mismo servicio, los solicitantes y las OPI pueden responder a las irregularidades transmitidas por la OMPI.</w:t>
      </w:r>
    </w:p>
    <w:p w14:paraId="391FE45A" w14:textId="2EDBC10B" w:rsidR="000D22BC" w:rsidRPr="00DD6BE4" w:rsidRDefault="000311B6" w:rsidP="002B7A8B">
      <w:pPr>
        <w:pStyle w:val="ListParagraph"/>
        <w:numPr>
          <w:ilvl w:val="0"/>
          <w:numId w:val="27"/>
        </w:numPr>
        <w:rPr>
          <w:szCs w:val="22"/>
          <w:lang w:val="es-ES_tradnl"/>
        </w:rPr>
      </w:pPr>
      <w:r w:rsidRPr="00DD6BE4">
        <w:rPr>
          <w:szCs w:val="22"/>
          <w:lang w:val="es-ES_tradnl"/>
        </w:rPr>
        <w:t xml:space="preserve">El Asistente de </w:t>
      </w:r>
      <w:r w:rsidR="00384835" w:rsidRPr="00DD6BE4">
        <w:rPr>
          <w:szCs w:val="22"/>
          <w:lang w:val="es-ES_tradnl"/>
        </w:rPr>
        <w:t>S</w:t>
      </w:r>
      <w:r w:rsidRPr="00DD6BE4">
        <w:rPr>
          <w:szCs w:val="22"/>
          <w:lang w:val="es-ES_tradnl"/>
        </w:rPr>
        <w:t xml:space="preserve">olicitud </w:t>
      </w:r>
      <w:r w:rsidR="00C16F39" w:rsidRPr="00DD6BE4">
        <w:rPr>
          <w:szCs w:val="22"/>
          <w:lang w:val="es-ES_tradnl"/>
        </w:rPr>
        <w:t>Madrid</w:t>
      </w:r>
      <w:r w:rsidRPr="00DD6BE4">
        <w:rPr>
          <w:szCs w:val="22"/>
          <w:lang w:val="es-ES_tradnl"/>
        </w:rPr>
        <w:t>,</w:t>
      </w:r>
      <w:r w:rsidR="00C16F39" w:rsidRPr="00DD6BE4">
        <w:rPr>
          <w:szCs w:val="22"/>
          <w:lang w:val="es-ES_tradnl"/>
        </w:rPr>
        <w:t xml:space="preserve"> </w:t>
      </w:r>
      <w:r w:rsidRPr="00DD6BE4">
        <w:rPr>
          <w:szCs w:val="22"/>
          <w:lang w:val="es-ES_tradnl"/>
        </w:rPr>
        <w:t>que es una versión electr</w:t>
      </w:r>
      <w:r w:rsidR="00384835" w:rsidRPr="00DD6BE4">
        <w:rPr>
          <w:szCs w:val="22"/>
          <w:lang w:val="es-ES_tradnl"/>
        </w:rPr>
        <w:t>ó</w:t>
      </w:r>
      <w:r w:rsidRPr="00DD6BE4">
        <w:rPr>
          <w:szCs w:val="22"/>
          <w:lang w:val="es-ES_tradnl"/>
        </w:rPr>
        <w:t>nica de</w:t>
      </w:r>
      <w:r w:rsidR="00384835" w:rsidRPr="00DD6BE4">
        <w:rPr>
          <w:szCs w:val="22"/>
          <w:lang w:val="es-ES_tradnl"/>
        </w:rPr>
        <w:t xml:space="preserve">l formulario oficial MM2, es utilizado por los solicitantes de 71 OPI </w:t>
      </w:r>
      <w:r w:rsidR="00B26E33" w:rsidRPr="00DD6BE4">
        <w:rPr>
          <w:szCs w:val="22"/>
          <w:lang w:val="es-ES_tradnl"/>
        </w:rPr>
        <w:t>certificadoras</w:t>
      </w:r>
      <w:r w:rsidR="00384835" w:rsidRPr="00DD6BE4">
        <w:rPr>
          <w:szCs w:val="22"/>
          <w:lang w:val="es-ES_tradnl"/>
        </w:rPr>
        <w:t>.</w:t>
      </w:r>
    </w:p>
    <w:p w14:paraId="6070A1E7" w14:textId="661A044F" w:rsidR="003B0AF9" w:rsidRPr="00DD6BE4" w:rsidRDefault="00384835" w:rsidP="00460035">
      <w:pPr>
        <w:pStyle w:val="ListParagraph"/>
        <w:numPr>
          <w:ilvl w:val="0"/>
          <w:numId w:val="27"/>
        </w:numPr>
        <w:rPr>
          <w:szCs w:val="22"/>
          <w:lang w:val="es-ES_tradnl"/>
        </w:rPr>
      </w:pPr>
      <w:r w:rsidRPr="00DD6BE4">
        <w:rPr>
          <w:szCs w:val="22"/>
          <w:lang w:val="es-ES_tradnl"/>
        </w:rPr>
        <w:t xml:space="preserve">Comunicación de datos </w:t>
      </w:r>
      <w:r w:rsidR="00681638" w:rsidRPr="00DD6BE4">
        <w:rPr>
          <w:szCs w:val="22"/>
          <w:lang w:val="es-ES_tradnl"/>
        </w:rPr>
        <w:t xml:space="preserve">en formato </w:t>
      </w:r>
      <w:r w:rsidR="000D22BC" w:rsidRPr="00DD6BE4">
        <w:rPr>
          <w:szCs w:val="22"/>
          <w:lang w:val="es-ES_tradnl"/>
        </w:rPr>
        <w:t xml:space="preserve">XML </w:t>
      </w:r>
      <w:r w:rsidRPr="00DD6BE4">
        <w:rPr>
          <w:szCs w:val="22"/>
          <w:lang w:val="es-ES_tradnl"/>
        </w:rPr>
        <w:t xml:space="preserve">para cinco OPI: Brasil, </w:t>
      </w:r>
      <w:r w:rsidR="00681638" w:rsidRPr="00DD6BE4">
        <w:rPr>
          <w:szCs w:val="22"/>
          <w:lang w:val="es-ES_tradnl"/>
        </w:rPr>
        <w:t>Canadá, China, Japón y Malasia.</w:t>
      </w:r>
    </w:p>
    <w:p w14:paraId="64B89A98" w14:textId="23F3E21B" w:rsidR="00460035" w:rsidRPr="00DD6BE4" w:rsidRDefault="00460035" w:rsidP="00460035">
      <w:pPr>
        <w:rPr>
          <w:szCs w:val="22"/>
          <w:lang w:val="es-ES_tradnl"/>
        </w:rPr>
      </w:pPr>
    </w:p>
    <w:p w14:paraId="27433574" w14:textId="026F979A" w:rsidR="001E294F" w:rsidRPr="00DD6BE4" w:rsidRDefault="001A37C7" w:rsidP="00460035">
      <w:pPr>
        <w:pStyle w:val="ListParagraph"/>
        <w:numPr>
          <w:ilvl w:val="0"/>
          <w:numId w:val="4"/>
        </w:numPr>
        <w:tabs>
          <w:tab w:val="left" w:pos="540"/>
        </w:tabs>
        <w:spacing w:after="240"/>
        <w:ind w:left="0" w:firstLine="0"/>
        <w:rPr>
          <w:lang w:val="es-ES_tradnl"/>
        </w:rPr>
      </w:pPr>
      <w:r w:rsidRPr="00DD6BE4">
        <w:rPr>
          <w:lang w:val="es-ES_tradnl"/>
        </w:rPr>
        <w:t xml:space="preserve">El </w:t>
      </w:r>
      <w:r w:rsidR="00FA26F6" w:rsidRPr="00DD6BE4">
        <w:rPr>
          <w:lang w:val="es-ES_tradnl"/>
        </w:rPr>
        <w:t>S</w:t>
      </w:r>
      <w:r w:rsidRPr="00DD6BE4">
        <w:rPr>
          <w:lang w:val="es-ES_tradnl"/>
        </w:rPr>
        <w:t xml:space="preserve">istema de La Haya dispone de un intercambio de datos totalmente electrónico con las </w:t>
      </w:r>
      <w:r w:rsidR="004A0ECB" w:rsidRPr="00DD6BE4">
        <w:rPr>
          <w:lang w:val="es-ES_tradnl"/>
        </w:rPr>
        <w:t>oficinas</w:t>
      </w:r>
      <w:r w:rsidRPr="00DD6BE4">
        <w:rPr>
          <w:lang w:val="es-ES_tradnl"/>
        </w:rPr>
        <w:t xml:space="preserve"> de 11 </w:t>
      </w:r>
      <w:r w:rsidR="00FC4EAB" w:rsidRPr="00DD6BE4">
        <w:rPr>
          <w:lang w:val="es-ES_tradnl"/>
        </w:rPr>
        <w:t>P</w:t>
      </w:r>
      <w:r w:rsidRPr="00DD6BE4">
        <w:rPr>
          <w:lang w:val="es-ES_tradnl"/>
        </w:rPr>
        <w:t xml:space="preserve">artes </w:t>
      </w:r>
      <w:r w:rsidR="00FC4EAB" w:rsidRPr="00DD6BE4">
        <w:rPr>
          <w:lang w:val="es-ES_tradnl"/>
        </w:rPr>
        <w:t>C</w:t>
      </w:r>
      <w:r w:rsidRPr="00DD6BE4">
        <w:rPr>
          <w:lang w:val="es-ES_tradnl"/>
        </w:rPr>
        <w:t xml:space="preserve">ontratantes </w:t>
      </w:r>
      <w:r w:rsidR="00FC4EAB" w:rsidRPr="00DD6BE4">
        <w:rPr>
          <w:lang w:val="es-ES_tradnl"/>
        </w:rPr>
        <w:t xml:space="preserve">existentes (Canadá, </w:t>
      </w:r>
      <w:r w:rsidR="007D1126" w:rsidRPr="00DD6BE4">
        <w:rPr>
          <w:lang w:val="es-ES_tradnl"/>
        </w:rPr>
        <w:t xml:space="preserve">España, Estados Unidos, Federación de Rusia, </w:t>
      </w:r>
      <w:r w:rsidR="00FC4EAB" w:rsidRPr="00DD6BE4">
        <w:rPr>
          <w:lang w:val="es-ES_tradnl"/>
        </w:rPr>
        <w:t xml:space="preserve">Israel, Japón, México, República de Corea, </w:t>
      </w:r>
      <w:r w:rsidR="007D1126" w:rsidRPr="00DD6BE4">
        <w:rPr>
          <w:lang w:val="es-ES_tradnl"/>
        </w:rPr>
        <w:t xml:space="preserve">República de Moldova, Unión Europea </w:t>
      </w:r>
      <w:r w:rsidR="00FC4EAB" w:rsidRPr="00DD6BE4">
        <w:rPr>
          <w:lang w:val="es-ES_tradnl"/>
        </w:rPr>
        <w:t>y Viet</w:t>
      </w:r>
      <w:r w:rsidR="00450592" w:rsidRPr="00DD6BE4">
        <w:rPr>
          <w:lang w:val="es-ES_tradnl"/>
        </w:rPr>
        <w:t xml:space="preserve"> N</w:t>
      </w:r>
      <w:r w:rsidR="00FC4EAB" w:rsidRPr="00DD6BE4">
        <w:rPr>
          <w:lang w:val="es-ES_tradnl"/>
        </w:rPr>
        <w:t xml:space="preserve">am). </w:t>
      </w:r>
      <w:r w:rsidR="00FA26F6" w:rsidRPr="00DD6BE4">
        <w:rPr>
          <w:lang w:val="es-ES_tradnl"/>
        </w:rPr>
        <w:t>Ha promovido el uso de</w:t>
      </w:r>
      <w:r w:rsidR="00EA3AFA" w:rsidRPr="00DD6BE4">
        <w:rPr>
          <w:lang w:val="es-ES_tradnl"/>
        </w:rPr>
        <w:t xml:space="preserve">l formato XML de la Norma </w:t>
      </w:r>
      <w:r w:rsidR="00FA26F6" w:rsidRPr="00DD6BE4">
        <w:rPr>
          <w:lang w:val="es-ES_tradnl"/>
        </w:rPr>
        <w:t xml:space="preserve">ST.96 </w:t>
      </w:r>
      <w:r w:rsidR="00903A57" w:rsidRPr="00DD6BE4">
        <w:rPr>
          <w:lang w:val="es-ES_tradnl"/>
        </w:rPr>
        <w:t>para todos los intercambios de datos con Partes Contratantes nuevas y existentes, que han completado con éxito la transición</w:t>
      </w:r>
      <w:r w:rsidR="007565A0" w:rsidRPr="00DD6BE4">
        <w:rPr>
          <w:lang w:val="es-ES_tradnl"/>
        </w:rPr>
        <w:t>,</w:t>
      </w:r>
      <w:r w:rsidR="00903A57" w:rsidRPr="00DD6BE4">
        <w:rPr>
          <w:lang w:val="es-ES_tradnl"/>
        </w:rPr>
        <w:t xml:space="preserve"> </w:t>
      </w:r>
      <w:r w:rsidR="00F55AEC" w:rsidRPr="00DD6BE4">
        <w:rPr>
          <w:lang w:val="es-ES_tradnl"/>
        </w:rPr>
        <w:t>excepto una</w:t>
      </w:r>
      <w:r w:rsidR="00903A57" w:rsidRPr="00DD6BE4">
        <w:rPr>
          <w:lang w:val="es-ES_tradnl"/>
        </w:rPr>
        <w:t xml:space="preserve">. </w:t>
      </w:r>
      <w:r w:rsidR="00EA3AFA" w:rsidRPr="00DD6BE4">
        <w:rPr>
          <w:lang w:val="es-ES_tradnl"/>
        </w:rPr>
        <w:t>El uso de datos granula</w:t>
      </w:r>
      <w:r w:rsidR="00042E56" w:rsidRPr="00DD6BE4">
        <w:rPr>
          <w:lang w:val="es-ES_tradnl"/>
        </w:rPr>
        <w:t>re</w:t>
      </w:r>
      <w:r w:rsidR="00EA3AFA" w:rsidRPr="00DD6BE4">
        <w:rPr>
          <w:lang w:val="es-ES_tradnl"/>
        </w:rPr>
        <w:t xml:space="preserve">s normalizados permite aumentar la automatización y el intercambio entre máquinas (los nuevos Servicios </w:t>
      </w:r>
      <w:r w:rsidR="00636044" w:rsidRPr="00DD6BE4">
        <w:rPr>
          <w:lang w:val="es-ES_tradnl"/>
        </w:rPr>
        <w:t>W</w:t>
      </w:r>
      <w:r w:rsidR="00EA3AFA" w:rsidRPr="00DD6BE4">
        <w:rPr>
          <w:lang w:val="es-ES_tradnl"/>
        </w:rPr>
        <w:t>eb de La Haya,</w:t>
      </w:r>
      <w:r w:rsidR="00042E56" w:rsidRPr="00DD6BE4">
        <w:rPr>
          <w:lang w:val="es-ES_tradnl"/>
        </w:rPr>
        <w:t xml:space="preserve"> </w:t>
      </w:r>
      <w:r w:rsidR="00922E75" w:rsidRPr="00DD6BE4">
        <w:rPr>
          <w:lang w:val="es-ES_tradnl"/>
        </w:rPr>
        <w:t>puestos en funcionamiento</w:t>
      </w:r>
      <w:r w:rsidR="00042E56" w:rsidRPr="00DD6BE4">
        <w:rPr>
          <w:lang w:val="es-ES_tradnl"/>
        </w:rPr>
        <w:t xml:space="preserve"> a principios de 2022), muy en particular en lo que se refiere a las decisiones de </w:t>
      </w:r>
      <w:r w:rsidR="001E3E37" w:rsidRPr="00DD6BE4">
        <w:rPr>
          <w:lang w:val="es-ES_tradnl"/>
        </w:rPr>
        <w:t xml:space="preserve">las </w:t>
      </w:r>
      <w:r w:rsidR="004A0ECB" w:rsidRPr="00DD6BE4">
        <w:rPr>
          <w:lang w:val="es-ES_tradnl"/>
        </w:rPr>
        <w:t>oficinas</w:t>
      </w:r>
      <w:r w:rsidR="001E294F" w:rsidRPr="00DD6BE4">
        <w:rPr>
          <w:lang w:val="es-ES_tradnl"/>
        </w:rPr>
        <w:t>.</w:t>
      </w:r>
    </w:p>
    <w:p w14:paraId="1261826B" w14:textId="3FF49B6D" w:rsidR="000D1113" w:rsidRPr="00DD6BE4" w:rsidRDefault="001E3E37" w:rsidP="0071258D">
      <w:pPr>
        <w:pStyle w:val="Heading4"/>
        <w:rPr>
          <w:szCs w:val="22"/>
          <w:lang w:val="es-ES_tradnl"/>
        </w:rPr>
      </w:pPr>
      <w:r w:rsidRPr="00DD6BE4">
        <w:rPr>
          <w:szCs w:val="22"/>
          <w:lang w:val="es-ES_tradnl"/>
        </w:rPr>
        <w:t>Tecnologías de vanguardia</w:t>
      </w:r>
    </w:p>
    <w:p w14:paraId="4503265D" w14:textId="77777777" w:rsidR="00E63109" w:rsidRPr="00DD6BE4" w:rsidRDefault="00E63109" w:rsidP="0071258D">
      <w:pPr>
        <w:keepNext/>
        <w:rPr>
          <w:lang w:val="es-ES_tradnl"/>
        </w:rPr>
      </w:pPr>
    </w:p>
    <w:p w14:paraId="07F2AA68" w14:textId="5DADDA40" w:rsidR="00DD7399" w:rsidRPr="00DD6BE4" w:rsidRDefault="005129DD" w:rsidP="0071258D">
      <w:pPr>
        <w:pStyle w:val="ListParagraph"/>
        <w:keepNext/>
        <w:numPr>
          <w:ilvl w:val="0"/>
          <w:numId w:val="4"/>
        </w:numPr>
        <w:tabs>
          <w:tab w:val="left" w:pos="540"/>
        </w:tabs>
        <w:spacing w:after="240"/>
        <w:ind w:left="0" w:firstLine="0"/>
        <w:rPr>
          <w:lang w:val="es-ES_tradnl"/>
        </w:rPr>
      </w:pPr>
      <w:r w:rsidRPr="00DD6BE4">
        <w:rPr>
          <w:lang w:val="es-ES_tradnl"/>
        </w:rPr>
        <w:t xml:space="preserve">Actualmente, hay OPI que están </w:t>
      </w:r>
      <w:r w:rsidR="00636044" w:rsidRPr="00DD6BE4">
        <w:rPr>
          <w:lang w:val="es-ES_tradnl"/>
        </w:rPr>
        <w:t>probando</w:t>
      </w:r>
      <w:r w:rsidRPr="00DD6BE4">
        <w:rPr>
          <w:lang w:val="es-ES_tradnl"/>
        </w:rPr>
        <w:t xml:space="preserve"> o </w:t>
      </w:r>
      <w:r w:rsidR="00EA3310" w:rsidRPr="00DD6BE4">
        <w:rPr>
          <w:lang w:val="es-ES_tradnl"/>
        </w:rPr>
        <w:t xml:space="preserve">que </w:t>
      </w:r>
      <w:r w:rsidRPr="00DD6BE4">
        <w:rPr>
          <w:lang w:val="es-ES_tradnl"/>
        </w:rPr>
        <w:t xml:space="preserve">ya ofrecen nuevos servicios basados en tecnologías avanzadas. En </w:t>
      </w:r>
      <w:r w:rsidR="00D02A3D" w:rsidRPr="00DD6BE4">
        <w:rPr>
          <w:lang w:val="es-ES_tradnl"/>
        </w:rPr>
        <w:t>el marco de las OPI, las tecnologías más importantes son la computación en la nube, el análisis de macrodatos y la inteligencia artificial (</w:t>
      </w:r>
      <w:r w:rsidR="007F5946" w:rsidRPr="00DD6BE4">
        <w:rPr>
          <w:lang w:val="es-ES_tradnl"/>
        </w:rPr>
        <w:t>IA</w:t>
      </w:r>
      <w:r w:rsidR="00D02A3D" w:rsidRPr="00DD6BE4">
        <w:rPr>
          <w:lang w:val="es-ES_tradnl"/>
        </w:rPr>
        <w:t>).</w:t>
      </w:r>
    </w:p>
    <w:p w14:paraId="69373068" w14:textId="77777777" w:rsidR="00E63109" w:rsidRPr="00DD6BE4" w:rsidRDefault="00E63109" w:rsidP="00E63109">
      <w:pPr>
        <w:pStyle w:val="ListParagraph"/>
        <w:tabs>
          <w:tab w:val="left" w:pos="540"/>
        </w:tabs>
        <w:spacing w:after="240"/>
        <w:ind w:left="0"/>
        <w:rPr>
          <w:lang w:val="es-ES_tradnl"/>
        </w:rPr>
      </w:pPr>
    </w:p>
    <w:p w14:paraId="4EA27C6A" w14:textId="184D4C8E" w:rsidR="00E63109" w:rsidRPr="00DD6BE4" w:rsidRDefault="00AA4866" w:rsidP="00B86634">
      <w:pPr>
        <w:pStyle w:val="ListParagraph"/>
        <w:numPr>
          <w:ilvl w:val="0"/>
          <w:numId w:val="4"/>
        </w:numPr>
        <w:tabs>
          <w:tab w:val="left" w:pos="540"/>
        </w:tabs>
        <w:spacing w:after="240"/>
        <w:ind w:left="0" w:firstLine="0"/>
        <w:rPr>
          <w:lang w:val="es-ES_tradnl"/>
        </w:rPr>
      </w:pPr>
      <w:r w:rsidRPr="00DD6BE4">
        <w:rPr>
          <w:lang w:val="es-ES_tradnl"/>
        </w:rPr>
        <w:t xml:space="preserve">La computación en la nube ofrece la oportunidad de superar las limitaciones de la infraestructura de TI a las que </w:t>
      </w:r>
      <w:r w:rsidR="00273662" w:rsidRPr="00DD6BE4">
        <w:rPr>
          <w:lang w:val="es-ES_tradnl"/>
        </w:rPr>
        <w:t xml:space="preserve">tradicionalmente </w:t>
      </w:r>
      <w:r w:rsidRPr="00DD6BE4">
        <w:rPr>
          <w:lang w:val="es-ES_tradnl"/>
        </w:rPr>
        <w:t xml:space="preserve">se </w:t>
      </w:r>
      <w:r w:rsidR="00975693" w:rsidRPr="00DD6BE4">
        <w:rPr>
          <w:lang w:val="es-ES_tradnl"/>
        </w:rPr>
        <w:t>enfrentan</w:t>
      </w:r>
      <w:r w:rsidRPr="00DD6BE4">
        <w:rPr>
          <w:lang w:val="es-ES_tradnl"/>
        </w:rPr>
        <w:t xml:space="preserve"> las OPI más pequeñas. Las </w:t>
      </w:r>
      <w:r w:rsidR="004A0ECB" w:rsidRPr="00DD6BE4">
        <w:rPr>
          <w:lang w:val="es-ES_tradnl"/>
        </w:rPr>
        <w:t>oficinas</w:t>
      </w:r>
      <w:r w:rsidRPr="00DD6BE4">
        <w:rPr>
          <w:lang w:val="es-ES_tradnl"/>
        </w:rPr>
        <w:t xml:space="preserve"> pueden </w:t>
      </w:r>
      <w:r w:rsidR="00273662" w:rsidRPr="00DD6BE4">
        <w:rPr>
          <w:lang w:val="es-ES_tradnl"/>
        </w:rPr>
        <w:t xml:space="preserve">obtener una infraestructura en la nube que sea más fiable, segura y </w:t>
      </w:r>
      <w:r w:rsidR="00F370B8" w:rsidRPr="00DD6BE4">
        <w:rPr>
          <w:lang w:val="es-ES_tradnl"/>
        </w:rPr>
        <w:t>costoeficaz</w:t>
      </w:r>
      <w:r w:rsidR="00273662" w:rsidRPr="00DD6BE4">
        <w:rPr>
          <w:lang w:val="es-ES_tradnl"/>
        </w:rPr>
        <w:t xml:space="preserve"> que los centros de datos tradicionales, lo que libera recursos para poder centrarse en servicios de valor añadido. Por otra part</w:t>
      </w:r>
      <w:r w:rsidR="00FF2D83" w:rsidRPr="00DD6BE4">
        <w:rPr>
          <w:lang w:val="es-ES_tradnl"/>
        </w:rPr>
        <w:t xml:space="preserve">e, </w:t>
      </w:r>
      <w:r w:rsidR="00273662" w:rsidRPr="00DD6BE4">
        <w:rPr>
          <w:lang w:val="es-ES_tradnl"/>
        </w:rPr>
        <w:t>la computación e</w:t>
      </w:r>
      <w:r w:rsidR="00FF2D83" w:rsidRPr="00DD6BE4">
        <w:rPr>
          <w:lang w:val="es-ES_tradnl"/>
        </w:rPr>
        <w:t xml:space="preserve">n la nube conlleva nuevos desafíos de administración. Deben redactarse </w:t>
      </w:r>
      <w:r w:rsidR="00975693" w:rsidRPr="00DD6BE4">
        <w:rPr>
          <w:lang w:val="es-ES_tradnl"/>
        </w:rPr>
        <w:t>atent</w:t>
      </w:r>
      <w:r w:rsidR="00FF2D83" w:rsidRPr="00DD6BE4">
        <w:rPr>
          <w:lang w:val="es-ES_tradnl"/>
        </w:rPr>
        <w:t xml:space="preserve">amente los contratos con los proveedores de servicios e incluir la gobernanza de los datos y cuestiones de seguridad. </w:t>
      </w:r>
      <w:r w:rsidR="00404376" w:rsidRPr="00DD6BE4">
        <w:rPr>
          <w:lang w:val="es-ES_tradnl"/>
        </w:rPr>
        <w:t xml:space="preserve">El personal de TI debe aprender nuevas habilidades y desarrollar nuevos procesos para gestionar los costos y otros aspectos del nuevo modelo de </w:t>
      </w:r>
      <w:r w:rsidR="00100E11" w:rsidRPr="00DD6BE4">
        <w:rPr>
          <w:lang w:val="es-ES_tradnl"/>
        </w:rPr>
        <w:t>trabajo</w:t>
      </w:r>
      <w:r w:rsidR="00E63109" w:rsidRPr="00DD6BE4">
        <w:rPr>
          <w:lang w:val="es-ES_tradnl"/>
        </w:rPr>
        <w:t>.</w:t>
      </w:r>
    </w:p>
    <w:p w14:paraId="5DCD9194" w14:textId="77777777" w:rsidR="00E63109" w:rsidRPr="00DD6BE4" w:rsidRDefault="00E63109" w:rsidP="00E63109">
      <w:pPr>
        <w:pStyle w:val="ListParagraph"/>
        <w:rPr>
          <w:lang w:val="es-ES_tradnl"/>
        </w:rPr>
      </w:pPr>
    </w:p>
    <w:p w14:paraId="550BED3F" w14:textId="6E9C3E0B" w:rsidR="00E63109" w:rsidRPr="00DD6BE4" w:rsidRDefault="00380336" w:rsidP="00B86634">
      <w:pPr>
        <w:pStyle w:val="ListParagraph"/>
        <w:numPr>
          <w:ilvl w:val="0"/>
          <w:numId w:val="4"/>
        </w:numPr>
        <w:tabs>
          <w:tab w:val="left" w:pos="540"/>
        </w:tabs>
        <w:spacing w:after="240"/>
        <w:ind w:left="0" w:firstLine="0"/>
        <w:rPr>
          <w:lang w:val="es-ES_tradnl"/>
        </w:rPr>
      </w:pPr>
      <w:r w:rsidRPr="00DD6BE4">
        <w:rPr>
          <w:lang w:val="es-ES_tradnl"/>
        </w:rPr>
        <w:t xml:space="preserve">Las OPI generan una gran cantidad de datos y las </w:t>
      </w:r>
      <w:r w:rsidR="00EA4D16" w:rsidRPr="00DD6BE4">
        <w:rPr>
          <w:lang w:val="es-ES_tradnl"/>
        </w:rPr>
        <w:t xml:space="preserve">bases </w:t>
      </w:r>
      <w:r w:rsidR="009E5DCE" w:rsidRPr="00DD6BE4">
        <w:rPr>
          <w:lang w:val="es-ES_tradnl"/>
        </w:rPr>
        <w:t xml:space="preserve">mundiales </w:t>
      </w:r>
      <w:r w:rsidR="00EA4D16" w:rsidRPr="00DD6BE4">
        <w:rPr>
          <w:lang w:val="es-ES_tradnl"/>
        </w:rPr>
        <w:t>de datos de PI contienen numerosos millones de registros de datos valiosos. Los análisis de datos pueden utilizarse para mejorar la administración de las OPI</w:t>
      </w:r>
      <w:r w:rsidR="00911E02" w:rsidRPr="00DD6BE4">
        <w:rPr>
          <w:lang w:val="es-ES_tradnl"/>
        </w:rPr>
        <w:t>,</w:t>
      </w:r>
      <w:r w:rsidR="00EA4D16" w:rsidRPr="00DD6BE4">
        <w:rPr>
          <w:lang w:val="es-ES_tradnl"/>
        </w:rPr>
        <w:t xml:space="preserve"> comprender mejor las necesidades de los usuarios </w:t>
      </w:r>
      <w:r w:rsidR="00911E02" w:rsidRPr="00DD6BE4">
        <w:rPr>
          <w:lang w:val="es-ES_tradnl"/>
        </w:rPr>
        <w:t xml:space="preserve">e identificar o analizar </w:t>
      </w:r>
      <w:r w:rsidR="00407EE0" w:rsidRPr="00DD6BE4">
        <w:rPr>
          <w:lang w:val="es-ES_tradnl"/>
        </w:rPr>
        <w:t xml:space="preserve">las </w:t>
      </w:r>
      <w:r w:rsidR="00911E02" w:rsidRPr="00DD6BE4">
        <w:rPr>
          <w:lang w:val="es-ES_tradnl"/>
        </w:rPr>
        <w:t xml:space="preserve">tendencias </w:t>
      </w:r>
      <w:r w:rsidR="00407EE0" w:rsidRPr="00DD6BE4">
        <w:rPr>
          <w:lang w:val="es-ES_tradnl"/>
        </w:rPr>
        <w:t>de</w:t>
      </w:r>
      <w:r w:rsidR="00911E02" w:rsidRPr="00DD6BE4">
        <w:rPr>
          <w:lang w:val="es-ES_tradnl"/>
        </w:rPr>
        <w:t xml:space="preserve"> los sistemas de PI</w:t>
      </w:r>
      <w:r w:rsidR="00B86634" w:rsidRPr="00DD6BE4">
        <w:rPr>
          <w:lang w:val="es-ES_tradnl"/>
        </w:rPr>
        <w:t>.</w:t>
      </w:r>
    </w:p>
    <w:p w14:paraId="105CA573" w14:textId="77777777" w:rsidR="00B86634" w:rsidRPr="00DD6BE4" w:rsidRDefault="00B86634" w:rsidP="00B86634">
      <w:pPr>
        <w:pStyle w:val="ListParagraph"/>
        <w:rPr>
          <w:lang w:val="es-ES_tradnl"/>
        </w:rPr>
      </w:pPr>
    </w:p>
    <w:p w14:paraId="61653E63" w14:textId="744DD6BF" w:rsidR="00B86634" w:rsidRPr="00DD6BE4" w:rsidRDefault="00C9194E" w:rsidP="00B86634">
      <w:pPr>
        <w:pStyle w:val="ListParagraph"/>
        <w:numPr>
          <w:ilvl w:val="0"/>
          <w:numId w:val="4"/>
        </w:numPr>
        <w:tabs>
          <w:tab w:val="left" w:pos="540"/>
        </w:tabs>
        <w:spacing w:after="240"/>
        <w:ind w:left="0" w:firstLine="0"/>
        <w:rPr>
          <w:lang w:val="es-ES_tradnl"/>
        </w:rPr>
      </w:pPr>
      <w:r w:rsidRPr="00DD6BE4">
        <w:rPr>
          <w:lang w:val="es-ES_tradnl"/>
        </w:rPr>
        <w:t>En los últimos años</w:t>
      </w:r>
      <w:r w:rsidR="001750BD" w:rsidRPr="00DD6BE4">
        <w:rPr>
          <w:lang w:val="es-ES_tradnl"/>
        </w:rPr>
        <w:t>,</w:t>
      </w:r>
      <w:r w:rsidRPr="00DD6BE4">
        <w:rPr>
          <w:lang w:val="es-ES_tradnl"/>
        </w:rPr>
        <w:t xml:space="preserve"> el </w:t>
      </w:r>
      <w:r w:rsidR="007F5946" w:rsidRPr="00DD6BE4">
        <w:rPr>
          <w:lang w:val="es-ES_tradnl"/>
        </w:rPr>
        <w:t>ámbito</w:t>
      </w:r>
      <w:r w:rsidRPr="00DD6BE4">
        <w:rPr>
          <w:lang w:val="es-ES_tradnl"/>
        </w:rPr>
        <w:t xml:space="preserve"> de la </w:t>
      </w:r>
      <w:r w:rsidR="007F5946" w:rsidRPr="00DD6BE4">
        <w:rPr>
          <w:lang w:val="es-ES_tradnl"/>
        </w:rPr>
        <w:t>IA</w:t>
      </w:r>
      <w:r w:rsidRPr="00DD6BE4">
        <w:rPr>
          <w:lang w:val="es-ES_tradnl"/>
        </w:rPr>
        <w:t xml:space="preserve"> ha </w:t>
      </w:r>
      <w:r w:rsidR="00025AE6" w:rsidRPr="00DD6BE4">
        <w:rPr>
          <w:lang w:val="es-ES_tradnl"/>
        </w:rPr>
        <w:t>crecido</w:t>
      </w:r>
      <w:r w:rsidR="00953880" w:rsidRPr="00DD6BE4">
        <w:rPr>
          <w:lang w:val="es-ES_tradnl"/>
        </w:rPr>
        <w:t xml:space="preserve"> rápidamente,</w:t>
      </w:r>
      <w:r w:rsidRPr="00DD6BE4">
        <w:rPr>
          <w:lang w:val="es-ES_tradnl"/>
        </w:rPr>
        <w:t xml:space="preserve"> gracias a</w:t>
      </w:r>
      <w:r w:rsidR="00782E58" w:rsidRPr="00DD6BE4">
        <w:rPr>
          <w:lang w:val="es-ES_tradnl"/>
        </w:rPr>
        <w:t>l precio relativamente razonable</w:t>
      </w:r>
      <w:r w:rsidR="007F5946" w:rsidRPr="00DD6BE4">
        <w:rPr>
          <w:lang w:val="es-ES_tradnl"/>
        </w:rPr>
        <w:t xml:space="preserve"> de </w:t>
      </w:r>
      <w:r w:rsidR="009E5DCE" w:rsidRPr="00DD6BE4">
        <w:rPr>
          <w:lang w:val="es-ES_tradnl"/>
        </w:rPr>
        <w:t>los potentes mecanismos de</w:t>
      </w:r>
      <w:r w:rsidR="007F5946" w:rsidRPr="00DD6BE4">
        <w:rPr>
          <w:lang w:val="es-ES_tradnl"/>
        </w:rPr>
        <w:t xml:space="preserve"> procesamiento informático, a </w:t>
      </w:r>
      <w:r w:rsidRPr="00DD6BE4">
        <w:rPr>
          <w:lang w:val="es-ES_tradnl"/>
        </w:rPr>
        <w:t>los nuevos algoritmos, como las redes neuronales, y</w:t>
      </w:r>
      <w:r w:rsidR="005E5AFD" w:rsidRPr="00DD6BE4">
        <w:rPr>
          <w:lang w:val="es-ES_tradnl"/>
        </w:rPr>
        <w:t xml:space="preserve"> </w:t>
      </w:r>
      <w:r w:rsidR="007F5946" w:rsidRPr="00DD6BE4">
        <w:rPr>
          <w:lang w:val="es-ES_tradnl"/>
        </w:rPr>
        <w:t xml:space="preserve">a </w:t>
      </w:r>
      <w:r w:rsidRPr="00DD6BE4">
        <w:rPr>
          <w:lang w:val="es-ES_tradnl"/>
        </w:rPr>
        <w:t>la capacidad de procesar grandes volúmenes de datos.</w:t>
      </w:r>
      <w:r w:rsidR="00953880" w:rsidRPr="00DD6BE4">
        <w:rPr>
          <w:lang w:val="es-ES_tradnl"/>
        </w:rPr>
        <w:t xml:space="preserve"> </w:t>
      </w:r>
      <w:r w:rsidR="005E5AFD" w:rsidRPr="00DD6BE4">
        <w:rPr>
          <w:lang w:val="es-ES_tradnl"/>
        </w:rPr>
        <w:t xml:space="preserve">Esta revolución está afectando a muchos </w:t>
      </w:r>
      <w:r w:rsidR="00953880" w:rsidRPr="00DD6BE4">
        <w:rPr>
          <w:lang w:val="es-ES_tradnl"/>
        </w:rPr>
        <w:t>campos</w:t>
      </w:r>
      <w:r w:rsidR="005E5AFD" w:rsidRPr="00DD6BE4">
        <w:rPr>
          <w:lang w:val="es-ES_tradnl"/>
        </w:rPr>
        <w:t>.</w:t>
      </w:r>
      <w:r w:rsidRPr="00DD6BE4">
        <w:rPr>
          <w:lang w:val="es-ES_tradnl"/>
        </w:rPr>
        <w:t xml:space="preserve"> </w:t>
      </w:r>
      <w:r w:rsidR="00025AE6" w:rsidRPr="00DD6BE4">
        <w:rPr>
          <w:lang w:val="es-ES_tradnl"/>
        </w:rPr>
        <w:t xml:space="preserve">En </w:t>
      </w:r>
      <w:r w:rsidR="00D6098D" w:rsidRPr="00DD6BE4">
        <w:rPr>
          <w:lang w:val="es-ES_tradnl"/>
        </w:rPr>
        <w:t>el ámbito</w:t>
      </w:r>
      <w:r w:rsidR="00025AE6" w:rsidRPr="00DD6BE4">
        <w:rPr>
          <w:lang w:val="es-ES_tradnl"/>
        </w:rPr>
        <w:t xml:space="preserve"> de la PI, hay aplicaciones prometedoras </w:t>
      </w:r>
      <w:r w:rsidR="00953880" w:rsidRPr="00DD6BE4">
        <w:rPr>
          <w:lang w:val="es-ES_tradnl"/>
        </w:rPr>
        <w:t xml:space="preserve">de </w:t>
      </w:r>
      <w:r w:rsidR="000F2E57" w:rsidRPr="00DD6BE4">
        <w:rPr>
          <w:lang w:val="es-ES_tradnl"/>
        </w:rPr>
        <w:t>I</w:t>
      </w:r>
      <w:r w:rsidR="00953880" w:rsidRPr="00DD6BE4">
        <w:rPr>
          <w:lang w:val="es-ES_tradnl"/>
        </w:rPr>
        <w:t xml:space="preserve">A, como la búsqueda </w:t>
      </w:r>
      <w:r w:rsidR="00D3470B" w:rsidRPr="00DD6BE4">
        <w:rPr>
          <w:lang w:val="es-ES_tradnl"/>
        </w:rPr>
        <w:t>por</w:t>
      </w:r>
      <w:r w:rsidR="00953880" w:rsidRPr="00DD6BE4">
        <w:rPr>
          <w:lang w:val="es-ES_tradnl"/>
        </w:rPr>
        <w:t xml:space="preserve"> similitud </w:t>
      </w:r>
      <w:r w:rsidR="00D3470B" w:rsidRPr="00DD6BE4">
        <w:rPr>
          <w:lang w:val="es-ES_tradnl"/>
        </w:rPr>
        <w:t>de</w:t>
      </w:r>
      <w:r w:rsidR="00953880" w:rsidRPr="00DD6BE4">
        <w:rPr>
          <w:lang w:val="es-ES_tradnl"/>
        </w:rPr>
        <w:t xml:space="preserve"> imágenes, la clasificación autom</w:t>
      </w:r>
      <w:r w:rsidR="00D3470B" w:rsidRPr="00DD6BE4">
        <w:rPr>
          <w:lang w:val="es-ES_tradnl"/>
        </w:rPr>
        <w:t>atizada</w:t>
      </w:r>
      <w:r w:rsidR="00953880" w:rsidRPr="00DD6BE4">
        <w:rPr>
          <w:lang w:val="es-ES_tradnl"/>
        </w:rPr>
        <w:t>, los servicios de traducción y los servicios de búsqueda</w:t>
      </w:r>
      <w:r w:rsidR="00D3470B" w:rsidRPr="00DD6BE4">
        <w:rPr>
          <w:lang w:val="es-ES_tradnl"/>
        </w:rPr>
        <w:t xml:space="preserve"> </w:t>
      </w:r>
      <w:r w:rsidR="00953880" w:rsidRPr="00DD6BE4">
        <w:rPr>
          <w:lang w:val="es-ES_tradnl"/>
        </w:rPr>
        <w:t xml:space="preserve">avanzada. </w:t>
      </w:r>
      <w:r w:rsidR="00D6098D" w:rsidRPr="00DD6BE4">
        <w:rPr>
          <w:lang w:val="es-ES_tradnl"/>
        </w:rPr>
        <w:t xml:space="preserve">Algunas OPI ya están desarrollando capacidades en algunos </w:t>
      </w:r>
      <w:r w:rsidR="00091C0C" w:rsidRPr="00DD6BE4">
        <w:rPr>
          <w:lang w:val="es-ES_tradnl"/>
        </w:rPr>
        <w:t xml:space="preserve">de </w:t>
      </w:r>
      <w:r w:rsidR="00D6098D" w:rsidRPr="00DD6BE4">
        <w:rPr>
          <w:lang w:val="es-ES_tradnl"/>
        </w:rPr>
        <w:t>estos aspectos</w:t>
      </w:r>
      <w:r w:rsidR="00091C0C" w:rsidRPr="00DD6BE4">
        <w:rPr>
          <w:lang w:val="es-ES_tradnl"/>
        </w:rPr>
        <w:t xml:space="preserve"> o todos ellos</w:t>
      </w:r>
      <w:r w:rsidR="00436225" w:rsidRPr="00DD6BE4">
        <w:rPr>
          <w:lang w:val="es-ES_tradnl"/>
        </w:rPr>
        <w:t>.</w:t>
      </w:r>
    </w:p>
    <w:p w14:paraId="70AD865D" w14:textId="77777777" w:rsidR="00B86634" w:rsidRPr="00DD6BE4" w:rsidRDefault="00B86634" w:rsidP="00B86634">
      <w:pPr>
        <w:pStyle w:val="ListParagraph"/>
        <w:rPr>
          <w:lang w:val="es-ES_tradnl"/>
        </w:rPr>
      </w:pPr>
    </w:p>
    <w:p w14:paraId="2A8DEB6C" w14:textId="3D5DA258" w:rsidR="00B86634" w:rsidRPr="00DD6BE4" w:rsidRDefault="00436225" w:rsidP="00B86634">
      <w:pPr>
        <w:spacing w:after="240"/>
        <w:rPr>
          <w:lang w:val="es-ES_tradnl"/>
        </w:rPr>
      </w:pPr>
      <w:r w:rsidRPr="00DD6BE4">
        <w:rPr>
          <w:lang w:val="es-ES_tradnl"/>
        </w:rPr>
        <w:t xml:space="preserve">En general, las tecnologías avanzadas tienen el potencial de transformar la administración de la PI. No obstante, </w:t>
      </w:r>
      <w:r w:rsidR="00D57E6E" w:rsidRPr="00DD6BE4">
        <w:rPr>
          <w:lang w:val="es-ES_tradnl"/>
        </w:rPr>
        <w:t xml:space="preserve">las OPI más pequeñas no están en condiciones de acceder con facilidad a </w:t>
      </w:r>
      <w:r w:rsidR="00DA1732" w:rsidRPr="00DD6BE4">
        <w:rPr>
          <w:lang w:val="es-ES_tradnl"/>
        </w:rPr>
        <w:t>las capacidades y la inversión necesarias, e</w:t>
      </w:r>
      <w:r w:rsidR="008800DF" w:rsidRPr="00DD6BE4">
        <w:rPr>
          <w:lang w:val="es-ES_tradnl"/>
        </w:rPr>
        <w:t>n particular</w:t>
      </w:r>
      <w:r w:rsidR="00DA1732" w:rsidRPr="00DD6BE4">
        <w:rPr>
          <w:lang w:val="es-ES_tradnl"/>
        </w:rPr>
        <w:t xml:space="preserve"> en </w:t>
      </w:r>
      <w:r w:rsidR="008800DF" w:rsidRPr="00DD6BE4">
        <w:rPr>
          <w:lang w:val="es-ES_tradnl"/>
        </w:rPr>
        <w:t xml:space="preserve">los </w:t>
      </w:r>
      <w:r w:rsidR="00DA1732" w:rsidRPr="00DD6BE4">
        <w:rPr>
          <w:lang w:val="es-ES_tradnl"/>
        </w:rPr>
        <w:t xml:space="preserve">países en desarrollo y los países menos adelantados. </w:t>
      </w:r>
      <w:r w:rsidR="00F112C6" w:rsidRPr="00DD6BE4">
        <w:rPr>
          <w:lang w:val="es-ES_tradnl"/>
        </w:rPr>
        <w:t>A fin de</w:t>
      </w:r>
      <w:r w:rsidR="009E4901" w:rsidRPr="00DD6BE4">
        <w:rPr>
          <w:lang w:val="es-ES_tradnl"/>
        </w:rPr>
        <w:t xml:space="preserve"> mejorar</w:t>
      </w:r>
      <w:r w:rsidR="00F112C6" w:rsidRPr="00DD6BE4">
        <w:rPr>
          <w:lang w:val="es-ES_tradnl"/>
        </w:rPr>
        <w:t xml:space="preserve"> esta situación</w:t>
      </w:r>
      <w:r w:rsidR="00DA1732" w:rsidRPr="00DD6BE4">
        <w:rPr>
          <w:lang w:val="es-ES_tradnl"/>
        </w:rPr>
        <w:t xml:space="preserve"> y permitir </w:t>
      </w:r>
      <w:r w:rsidR="00F112C6" w:rsidRPr="00DD6BE4">
        <w:rPr>
          <w:lang w:val="es-ES_tradnl"/>
        </w:rPr>
        <w:t>un</w:t>
      </w:r>
      <w:r w:rsidR="00DA1732" w:rsidRPr="00DD6BE4">
        <w:rPr>
          <w:lang w:val="es-ES_tradnl"/>
        </w:rPr>
        <w:t xml:space="preserve"> acceso más amplio de las tecnologías a las OPI </w:t>
      </w:r>
      <w:r w:rsidR="004D22B9" w:rsidRPr="00DD6BE4">
        <w:rPr>
          <w:lang w:val="es-ES_tradnl"/>
        </w:rPr>
        <w:t>de menor tamaño</w:t>
      </w:r>
      <w:r w:rsidR="00DA1732" w:rsidRPr="00DD6BE4">
        <w:rPr>
          <w:lang w:val="es-ES_tradnl"/>
        </w:rPr>
        <w:t>, pueden considerarse varios principios:</w:t>
      </w:r>
    </w:p>
    <w:p w14:paraId="218D527F" w14:textId="38E11671" w:rsidR="00B86634" w:rsidRPr="00DD6BE4" w:rsidRDefault="00B86634" w:rsidP="00551E85">
      <w:pPr>
        <w:pStyle w:val="ListParagraph"/>
        <w:numPr>
          <w:ilvl w:val="0"/>
          <w:numId w:val="28"/>
        </w:numPr>
        <w:spacing w:after="240"/>
        <w:ind w:left="709"/>
        <w:rPr>
          <w:lang w:val="es-ES_tradnl"/>
        </w:rPr>
      </w:pPr>
      <w:r w:rsidRPr="00DD6BE4">
        <w:rPr>
          <w:lang w:val="es-ES_tradnl"/>
        </w:rPr>
        <w:t>Re</w:t>
      </w:r>
      <w:r w:rsidR="00F112C6" w:rsidRPr="00DD6BE4">
        <w:rPr>
          <w:lang w:val="es-ES_tradnl"/>
        </w:rPr>
        <w:t xml:space="preserve">utilizar en lugar de reinventar. Muchos de los servicios necesarios ya están disponibles y las OPI no deben malgastar recursos </w:t>
      </w:r>
      <w:r w:rsidR="00D230D7" w:rsidRPr="00DD6BE4">
        <w:rPr>
          <w:lang w:val="es-ES_tradnl"/>
        </w:rPr>
        <w:t>compitiendo</w:t>
      </w:r>
      <w:r w:rsidR="00F112C6" w:rsidRPr="00DD6BE4">
        <w:rPr>
          <w:lang w:val="es-ES_tradnl"/>
        </w:rPr>
        <w:t xml:space="preserve"> con proveedores de servicios existentes para </w:t>
      </w:r>
      <w:r w:rsidR="00CD3F16" w:rsidRPr="00DD6BE4">
        <w:rPr>
          <w:lang w:val="es-ES_tradnl"/>
        </w:rPr>
        <w:t>crea</w:t>
      </w:r>
      <w:r w:rsidR="00F112C6" w:rsidRPr="00DD6BE4">
        <w:rPr>
          <w:lang w:val="es-ES_tradnl"/>
        </w:rPr>
        <w:t>r herramientas basadas en tecnologías avanzadas</w:t>
      </w:r>
      <w:r w:rsidR="00D57E6E" w:rsidRPr="00DD6BE4">
        <w:rPr>
          <w:lang w:val="es-ES_tradnl"/>
        </w:rPr>
        <w:t>.</w:t>
      </w:r>
    </w:p>
    <w:p w14:paraId="45A297D2" w14:textId="4D4075E6" w:rsidR="00B86634" w:rsidRPr="00DD6BE4" w:rsidRDefault="00FF6C09" w:rsidP="00551E85">
      <w:pPr>
        <w:pStyle w:val="ListParagraph"/>
        <w:numPr>
          <w:ilvl w:val="0"/>
          <w:numId w:val="28"/>
        </w:numPr>
        <w:spacing w:after="240"/>
        <w:ind w:left="709"/>
        <w:rPr>
          <w:lang w:val="es-ES_tradnl"/>
        </w:rPr>
      </w:pPr>
      <w:r w:rsidRPr="00DD6BE4">
        <w:rPr>
          <w:lang w:val="es-ES_tradnl"/>
        </w:rPr>
        <w:t>C</w:t>
      </w:r>
      <w:r w:rsidR="00B86634" w:rsidRPr="00DD6BE4">
        <w:rPr>
          <w:lang w:val="es-ES_tradnl"/>
        </w:rPr>
        <w:t>o</w:t>
      </w:r>
      <w:r w:rsidR="00D230D7" w:rsidRPr="00DD6BE4">
        <w:rPr>
          <w:lang w:val="es-ES_tradnl"/>
        </w:rPr>
        <w:t>laboración sobre el uso de las tecnologías avanzadas para evitar la duplicación de esfuerzos.</w:t>
      </w:r>
    </w:p>
    <w:p w14:paraId="09A72A49" w14:textId="1BA02A98" w:rsidR="00B86634" w:rsidRPr="00DD6BE4" w:rsidRDefault="00D230D7" w:rsidP="00551E85">
      <w:pPr>
        <w:pStyle w:val="ListParagraph"/>
        <w:numPr>
          <w:ilvl w:val="0"/>
          <w:numId w:val="28"/>
        </w:numPr>
        <w:spacing w:after="240"/>
        <w:ind w:left="709"/>
        <w:rPr>
          <w:lang w:val="es-ES_tradnl"/>
        </w:rPr>
      </w:pPr>
      <w:r w:rsidRPr="00DD6BE4">
        <w:rPr>
          <w:lang w:val="es-ES_tradnl"/>
        </w:rPr>
        <w:t xml:space="preserve">Pueden compartirse las herramientas y ponerse a disposición de </w:t>
      </w:r>
      <w:r w:rsidR="00CD3F16" w:rsidRPr="00DD6BE4">
        <w:rPr>
          <w:lang w:val="es-ES_tradnl"/>
        </w:rPr>
        <w:t xml:space="preserve">las </w:t>
      </w:r>
      <w:r w:rsidRPr="00DD6BE4">
        <w:rPr>
          <w:lang w:val="es-ES_tradnl"/>
        </w:rPr>
        <w:t>OPI en condiciones no comerciales</w:t>
      </w:r>
      <w:r w:rsidR="00B86634" w:rsidRPr="00DD6BE4">
        <w:rPr>
          <w:lang w:val="es-ES_tradnl"/>
        </w:rPr>
        <w:t>.</w:t>
      </w:r>
    </w:p>
    <w:p w14:paraId="7BD44B95" w14:textId="0546F1BE" w:rsidR="00503260" w:rsidRPr="00DD6BE4" w:rsidRDefault="009E4901" w:rsidP="00551E85">
      <w:pPr>
        <w:pStyle w:val="ListParagraph"/>
        <w:numPr>
          <w:ilvl w:val="0"/>
          <w:numId w:val="28"/>
        </w:numPr>
        <w:tabs>
          <w:tab w:val="left" w:pos="540"/>
        </w:tabs>
        <w:spacing w:after="240"/>
        <w:ind w:left="709"/>
        <w:rPr>
          <w:lang w:val="es-ES_tradnl"/>
        </w:rPr>
      </w:pPr>
      <w:r w:rsidRPr="00DD6BE4">
        <w:rPr>
          <w:lang w:val="es-ES_tradnl"/>
        </w:rPr>
        <w:t xml:space="preserve">Deben facilitarse </w:t>
      </w:r>
      <w:r w:rsidR="00D230D7" w:rsidRPr="00DD6BE4">
        <w:rPr>
          <w:lang w:val="es-ES_tradnl"/>
        </w:rPr>
        <w:t>herramientas y datos</w:t>
      </w:r>
      <w:r w:rsidR="000B3250" w:rsidRPr="00DD6BE4">
        <w:rPr>
          <w:lang w:val="es-ES_tradnl"/>
        </w:rPr>
        <w:t xml:space="preserve"> con interfaces abiertas (API) para</w:t>
      </w:r>
      <w:r w:rsidR="008800DF" w:rsidRPr="00DD6BE4">
        <w:rPr>
          <w:lang w:val="es-ES_tradnl"/>
        </w:rPr>
        <w:t xml:space="preserve"> que se</w:t>
      </w:r>
      <w:r w:rsidR="000B3250" w:rsidRPr="00DD6BE4">
        <w:rPr>
          <w:lang w:val="es-ES_tradnl"/>
        </w:rPr>
        <w:t xml:space="preserve"> integr</w:t>
      </w:r>
      <w:r w:rsidR="008800DF" w:rsidRPr="00DD6BE4">
        <w:rPr>
          <w:lang w:val="es-ES_tradnl"/>
        </w:rPr>
        <w:t>en</w:t>
      </w:r>
      <w:r w:rsidR="000B3250" w:rsidRPr="00DD6BE4">
        <w:rPr>
          <w:lang w:val="es-ES_tradnl"/>
        </w:rPr>
        <w:t xml:space="preserve"> </w:t>
      </w:r>
      <w:r w:rsidR="00CD3F16" w:rsidRPr="00DD6BE4">
        <w:rPr>
          <w:lang w:val="es-ES_tradnl"/>
        </w:rPr>
        <w:t>con mayor facilidad en</w:t>
      </w:r>
      <w:r w:rsidR="000B3250" w:rsidRPr="00DD6BE4">
        <w:rPr>
          <w:lang w:val="es-ES_tradnl"/>
        </w:rPr>
        <w:t xml:space="preserve"> los sistemas existentes.</w:t>
      </w:r>
    </w:p>
    <w:p w14:paraId="3D5391E1" w14:textId="77777777" w:rsidR="00503260" w:rsidRPr="00DD6BE4" w:rsidRDefault="00503260" w:rsidP="00503260">
      <w:pPr>
        <w:pStyle w:val="ListParagraph"/>
        <w:tabs>
          <w:tab w:val="left" w:pos="540"/>
        </w:tabs>
        <w:spacing w:after="240"/>
        <w:ind w:left="426"/>
        <w:rPr>
          <w:lang w:val="es-ES_tradnl"/>
        </w:rPr>
      </w:pPr>
    </w:p>
    <w:p w14:paraId="680C5D54" w14:textId="2A1E2C68" w:rsidR="00994355" w:rsidRPr="00DD6BE4" w:rsidRDefault="008800DF" w:rsidP="001602BC">
      <w:pPr>
        <w:pStyle w:val="ListParagraph"/>
        <w:numPr>
          <w:ilvl w:val="0"/>
          <w:numId w:val="4"/>
        </w:numPr>
        <w:tabs>
          <w:tab w:val="left" w:pos="540"/>
        </w:tabs>
        <w:spacing w:after="240"/>
        <w:ind w:left="0" w:firstLine="0"/>
        <w:rPr>
          <w:lang w:val="es-ES_tradnl"/>
        </w:rPr>
      </w:pPr>
      <w:r w:rsidRPr="00DD6BE4">
        <w:rPr>
          <w:lang w:val="es-ES_tradnl"/>
        </w:rPr>
        <w:t xml:space="preserve">Teniendo esto en cuenta, la OMPI ofrece </w:t>
      </w:r>
      <w:r w:rsidR="003D3871" w:rsidRPr="00DD6BE4">
        <w:rPr>
          <w:lang w:val="es-ES_tradnl"/>
        </w:rPr>
        <w:t xml:space="preserve">en su sitio web </w:t>
      </w:r>
      <w:r w:rsidRPr="00DD6BE4">
        <w:rPr>
          <w:lang w:val="es-ES_tradnl"/>
        </w:rPr>
        <w:t xml:space="preserve">información sobre </w:t>
      </w:r>
      <w:r w:rsidR="00625EA4" w:rsidRPr="00DD6BE4">
        <w:rPr>
          <w:lang w:val="es-ES_tradnl"/>
        </w:rPr>
        <w:t xml:space="preserve">iniciativas </w:t>
      </w:r>
      <w:r w:rsidR="003D3871" w:rsidRPr="00DD6BE4">
        <w:rPr>
          <w:lang w:val="es-ES_tradnl"/>
        </w:rPr>
        <w:t xml:space="preserve">de </w:t>
      </w:r>
      <w:r w:rsidR="00625EA4" w:rsidRPr="00DD6BE4">
        <w:rPr>
          <w:lang w:val="es-ES_tradnl"/>
        </w:rPr>
        <w:t>las OPI en relación con las tecnologías de vanguardia y la administración de la PI</w:t>
      </w:r>
      <w:r w:rsidR="003D3871" w:rsidRPr="00DD6BE4">
        <w:rPr>
          <w:lang w:val="es-ES_tradnl"/>
        </w:rPr>
        <w:t>,</w:t>
      </w:r>
      <w:r w:rsidR="00994355" w:rsidRPr="00DD6BE4">
        <w:rPr>
          <w:rStyle w:val="FootnoteReference"/>
          <w:lang w:val="es-ES_tradnl"/>
        </w:rPr>
        <w:footnoteReference w:id="4"/>
      </w:r>
      <w:r w:rsidR="00625EA4" w:rsidRPr="00DD6BE4">
        <w:rPr>
          <w:lang w:val="es-ES_tradnl"/>
        </w:rPr>
        <w:t xml:space="preserve"> de manera que puedan buscarse las distintas iniciativas puestas en marcha por la</w:t>
      </w:r>
      <w:r w:rsidR="001635DA" w:rsidRPr="00DD6BE4">
        <w:rPr>
          <w:lang w:val="es-ES_tradnl"/>
        </w:rPr>
        <w:t>s</w:t>
      </w:r>
      <w:r w:rsidR="00625EA4" w:rsidRPr="00DD6BE4">
        <w:rPr>
          <w:lang w:val="es-ES_tradnl"/>
        </w:rPr>
        <w:t xml:space="preserve"> OPI</w:t>
      </w:r>
      <w:r w:rsidR="00994355" w:rsidRPr="00DD6BE4">
        <w:rPr>
          <w:lang w:val="es-ES_tradnl"/>
        </w:rPr>
        <w:t>.</w:t>
      </w:r>
      <w:r w:rsidR="005D61E0" w:rsidRPr="00DD6BE4">
        <w:rPr>
          <w:lang w:val="es-ES_tradnl"/>
        </w:rPr>
        <w:t xml:space="preserve"> </w:t>
      </w:r>
      <w:r w:rsidR="001A6786" w:rsidRPr="00DD6BE4">
        <w:rPr>
          <w:lang w:val="es-ES_tradnl"/>
        </w:rPr>
        <w:t xml:space="preserve">El Centro de </w:t>
      </w:r>
      <w:r w:rsidR="001635DA" w:rsidRPr="00DD6BE4">
        <w:rPr>
          <w:lang w:val="es-ES_tradnl"/>
        </w:rPr>
        <w:t>I</w:t>
      </w:r>
      <w:r w:rsidR="001A6786" w:rsidRPr="00DD6BE4">
        <w:rPr>
          <w:lang w:val="es-ES_tradnl"/>
        </w:rPr>
        <w:t xml:space="preserve">ntercambio sobre </w:t>
      </w:r>
      <w:r w:rsidR="007F5946" w:rsidRPr="00DD6BE4">
        <w:rPr>
          <w:lang w:val="es-ES_tradnl"/>
        </w:rPr>
        <w:t>IA</w:t>
      </w:r>
      <w:r w:rsidR="00994355" w:rsidRPr="00DD6BE4">
        <w:rPr>
          <w:lang w:val="es-ES_tradnl"/>
        </w:rPr>
        <w:t xml:space="preserve"> </w:t>
      </w:r>
      <w:r w:rsidR="001A6786" w:rsidRPr="00DD6BE4">
        <w:rPr>
          <w:lang w:val="es-ES_tradnl"/>
        </w:rPr>
        <w:t xml:space="preserve">y PI </w:t>
      </w:r>
      <w:r w:rsidR="003706EA" w:rsidRPr="00DD6BE4">
        <w:rPr>
          <w:lang w:val="es-ES_tradnl"/>
        </w:rPr>
        <w:t>suministra</w:t>
      </w:r>
      <w:r w:rsidR="001A6786" w:rsidRPr="00DD6BE4">
        <w:rPr>
          <w:lang w:val="es-ES_tradnl"/>
        </w:rPr>
        <w:t xml:space="preserve"> información sobre</w:t>
      </w:r>
      <w:r w:rsidR="00042E12" w:rsidRPr="00DD6BE4">
        <w:rPr>
          <w:lang w:val="es-ES_tradnl"/>
        </w:rPr>
        <w:t xml:space="preserve"> las estrategias para el desarrollo de las capacidades de </w:t>
      </w:r>
      <w:r w:rsidR="007F5946" w:rsidRPr="00DD6BE4">
        <w:rPr>
          <w:lang w:val="es-ES_tradnl"/>
        </w:rPr>
        <w:t>IA</w:t>
      </w:r>
      <w:r w:rsidR="00042E12" w:rsidRPr="00DD6BE4">
        <w:rPr>
          <w:lang w:val="es-ES_tradnl"/>
        </w:rPr>
        <w:t xml:space="preserve"> y las medidas reglamentarias aplicables a la </w:t>
      </w:r>
      <w:r w:rsidR="007F5946" w:rsidRPr="00DD6BE4">
        <w:rPr>
          <w:lang w:val="es-ES_tradnl"/>
        </w:rPr>
        <w:t>IA</w:t>
      </w:r>
      <w:r w:rsidR="00292D76" w:rsidRPr="00DD6BE4">
        <w:rPr>
          <w:lang w:val="es-ES_tradnl"/>
        </w:rPr>
        <w:t>.</w:t>
      </w:r>
      <w:r w:rsidR="00994355" w:rsidRPr="00DD6BE4">
        <w:rPr>
          <w:rStyle w:val="FootnoteReference"/>
          <w:lang w:val="es-ES_tradnl"/>
        </w:rPr>
        <w:footnoteReference w:id="5"/>
      </w:r>
      <w:r w:rsidR="005D61E0" w:rsidRPr="00DD6BE4">
        <w:rPr>
          <w:lang w:val="es-ES_tradnl"/>
        </w:rPr>
        <w:t xml:space="preserve"> </w:t>
      </w:r>
      <w:r w:rsidR="003706EA" w:rsidRPr="00DD6BE4">
        <w:rPr>
          <w:lang w:val="es-ES_tradnl"/>
        </w:rPr>
        <w:t>D</w:t>
      </w:r>
      <w:r w:rsidR="007A1D6B" w:rsidRPr="00DD6BE4">
        <w:rPr>
          <w:lang w:val="es-ES_tradnl"/>
        </w:rPr>
        <w:t>urante</w:t>
      </w:r>
      <w:r w:rsidR="00042E12" w:rsidRPr="00DD6BE4">
        <w:rPr>
          <w:lang w:val="es-ES_tradnl"/>
        </w:rPr>
        <w:t xml:space="preserve"> la quinta sesión del Diálogo </w:t>
      </w:r>
      <w:r w:rsidR="009F5DF8" w:rsidRPr="00DD6BE4">
        <w:rPr>
          <w:lang w:val="es-ES_tradnl"/>
        </w:rPr>
        <w:t xml:space="preserve">de la OMPI </w:t>
      </w:r>
      <w:r w:rsidR="00042E12" w:rsidRPr="00DD6BE4">
        <w:rPr>
          <w:lang w:val="es-ES_tradnl"/>
        </w:rPr>
        <w:t>sobre la PI y las tecnologías de vanguardia</w:t>
      </w:r>
      <w:r w:rsidR="003706EA" w:rsidRPr="00DD6BE4">
        <w:rPr>
          <w:lang w:val="es-ES_tradnl"/>
        </w:rPr>
        <w:t xml:space="preserve"> también se mostraron ejemplos reales</w:t>
      </w:r>
      <w:r w:rsidR="009F5DF8" w:rsidRPr="00DD6BE4">
        <w:rPr>
          <w:lang w:val="es-ES_tradnl"/>
        </w:rPr>
        <w:t>.</w:t>
      </w:r>
    </w:p>
    <w:p w14:paraId="29C4B7EF" w14:textId="77777777" w:rsidR="00994355" w:rsidRPr="00DD6BE4" w:rsidRDefault="00994355" w:rsidP="00994355">
      <w:pPr>
        <w:pStyle w:val="ListParagraph"/>
        <w:tabs>
          <w:tab w:val="left" w:pos="540"/>
        </w:tabs>
        <w:spacing w:after="240"/>
        <w:ind w:left="0"/>
        <w:rPr>
          <w:lang w:val="es-ES_tradnl"/>
        </w:rPr>
      </w:pPr>
    </w:p>
    <w:p w14:paraId="0A58C9EF" w14:textId="186327AF" w:rsidR="00346B0D" w:rsidRPr="00DD6BE4" w:rsidRDefault="004818F7" w:rsidP="00346B0D">
      <w:pPr>
        <w:pStyle w:val="ListParagraph"/>
        <w:numPr>
          <w:ilvl w:val="0"/>
          <w:numId w:val="4"/>
        </w:numPr>
        <w:tabs>
          <w:tab w:val="left" w:pos="540"/>
        </w:tabs>
        <w:spacing w:after="240"/>
        <w:ind w:left="0" w:firstLine="0"/>
        <w:rPr>
          <w:lang w:val="es-ES_tradnl"/>
        </w:rPr>
      </w:pPr>
      <w:r w:rsidRPr="00DD6BE4">
        <w:rPr>
          <w:lang w:val="es-ES_tradnl"/>
        </w:rPr>
        <w:t xml:space="preserve">Entre las diferentes partes interesadas, la OMPI también está comprometida con la reducción de la brecha digital, que sigue creciendo a </w:t>
      </w:r>
      <w:r w:rsidR="00B953DC" w:rsidRPr="00DD6BE4">
        <w:rPr>
          <w:lang w:val="es-ES_tradnl"/>
        </w:rPr>
        <w:t>escala</w:t>
      </w:r>
      <w:r w:rsidRPr="00DD6BE4">
        <w:rPr>
          <w:lang w:val="es-ES_tradnl"/>
        </w:rPr>
        <w:t xml:space="preserve"> mundial como resultado de la difusión acelerada de tecnologías emergentes</w:t>
      </w:r>
      <w:r w:rsidR="00B953DC" w:rsidRPr="00DD6BE4">
        <w:rPr>
          <w:lang w:val="es-ES_tradnl"/>
        </w:rPr>
        <w:t>,</w:t>
      </w:r>
      <w:r w:rsidRPr="00DD6BE4">
        <w:rPr>
          <w:lang w:val="es-ES_tradnl"/>
        </w:rPr>
        <w:t xml:space="preserve"> como la inteligencia artificial (IA). A través de inversiones en tecnologías innovadoras de IA dirigidas a mejorar la gestión de la PI, la OMPI ha desarrollado una serie de herramientas de IA que responden a los niveles más altos de exigencia. La OMPI seguirá proporcionando esas herramientas de manera gratuita a los Estados miembros, incluidos los países en desarrollo y los países menos adelantados, para que les ayuden a fortalecer la gestión de las OPI y a mejorar el acceso a la información sobre PI en el entorno digital</w:t>
      </w:r>
      <w:r w:rsidR="00346B0D" w:rsidRPr="00DD6BE4">
        <w:rPr>
          <w:lang w:val="es-ES_tradnl"/>
        </w:rPr>
        <w:t>.</w:t>
      </w:r>
    </w:p>
    <w:p w14:paraId="0B478EEC" w14:textId="77777777" w:rsidR="00346B0D" w:rsidRPr="00DD6BE4" w:rsidRDefault="00346B0D" w:rsidP="00346B0D">
      <w:pPr>
        <w:pStyle w:val="ListParagraph"/>
        <w:tabs>
          <w:tab w:val="left" w:pos="360"/>
        </w:tabs>
        <w:ind w:left="0"/>
        <w:rPr>
          <w:lang w:val="es-ES_tradnl"/>
        </w:rPr>
      </w:pPr>
    </w:p>
    <w:p w14:paraId="5342B6F2" w14:textId="7225B18E" w:rsidR="00346B0D" w:rsidRPr="00DD6BE4" w:rsidRDefault="007A2D0F" w:rsidP="00346B0D">
      <w:pPr>
        <w:pStyle w:val="ListParagraph"/>
        <w:numPr>
          <w:ilvl w:val="0"/>
          <w:numId w:val="4"/>
        </w:numPr>
        <w:tabs>
          <w:tab w:val="left" w:pos="540"/>
        </w:tabs>
        <w:spacing w:after="240"/>
        <w:ind w:left="0" w:firstLine="0"/>
        <w:rPr>
          <w:lang w:val="es-ES_tradnl"/>
        </w:rPr>
      </w:pPr>
      <w:r w:rsidRPr="00DD6BE4">
        <w:rPr>
          <w:lang w:val="es-ES_tradnl"/>
        </w:rPr>
        <w:t>El Centro de Aplicaciones Tecnológicas Avanzadas (ATAC) de la División de Bases Mundiales de Datos y su equipo de la</w:t>
      </w:r>
      <w:r w:rsidR="008866B8" w:rsidRPr="00DD6BE4">
        <w:rPr>
          <w:lang w:val="es-ES_tradnl"/>
        </w:rPr>
        <w:t>s</w:t>
      </w:r>
      <w:r w:rsidRPr="00DD6BE4">
        <w:rPr>
          <w:lang w:val="es-ES_tradnl"/>
        </w:rPr>
        <w:t xml:space="preserve"> base</w:t>
      </w:r>
      <w:r w:rsidR="008866B8" w:rsidRPr="00DD6BE4">
        <w:rPr>
          <w:lang w:val="es-ES_tradnl"/>
        </w:rPr>
        <w:t>s</w:t>
      </w:r>
      <w:r w:rsidRPr="00DD6BE4">
        <w:rPr>
          <w:lang w:val="es-ES_tradnl"/>
        </w:rPr>
        <w:t xml:space="preserve"> </w:t>
      </w:r>
      <w:r w:rsidR="008866B8" w:rsidRPr="00DD6BE4">
        <w:rPr>
          <w:lang w:val="es-ES_tradnl"/>
        </w:rPr>
        <w:t xml:space="preserve">mundiales </w:t>
      </w:r>
      <w:r w:rsidRPr="00DD6BE4">
        <w:rPr>
          <w:lang w:val="es-ES_tradnl"/>
        </w:rPr>
        <w:t xml:space="preserve">de datos </w:t>
      </w:r>
      <w:r w:rsidR="008866B8" w:rsidRPr="00DD6BE4">
        <w:rPr>
          <w:lang w:val="es-ES_tradnl"/>
        </w:rPr>
        <w:t>sobre</w:t>
      </w:r>
      <w:r w:rsidRPr="00DD6BE4">
        <w:rPr>
          <w:lang w:val="es-ES_tradnl"/>
        </w:rPr>
        <w:t xml:space="preserve"> marcas y </w:t>
      </w:r>
      <w:r w:rsidR="008866B8" w:rsidRPr="00DD6BE4">
        <w:rPr>
          <w:lang w:val="es-ES_tradnl"/>
        </w:rPr>
        <w:t xml:space="preserve">sobre </w:t>
      </w:r>
      <w:r w:rsidRPr="00DD6BE4">
        <w:rPr>
          <w:lang w:val="es-ES_tradnl"/>
        </w:rPr>
        <w:t xml:space="preserve">diseños </w:t>
      </w:r>
      <w:r w:rsidR="00934A1B" w:rsidRPr="00DD6BE4">
        <w:rPr>
          <w:lang w:val="es-ES_tradnl"/>
        </w:rPr>
        <w:t>disponen</w:t>
      </w:r>
      <w:r w:rsidRPr="00DD6BE4">
        <w:rPr>
          <w:lang w:val="es-ES_tradnl"/>
        </w:rPr>
        <w:t xml:space="preserve"> actualmente </w:t>
      </w:r>
      <w:r w:rsidR="00934A1B" w:rsidRPr="00DD6BE4">
        <w:rPr>
          <w:lang w:val="es-ES_tradnl"/>
        </w:rPr>
        <w:t xml:space="preserve">de </w:t>
      </w:r>
      <w:r w:rsidRPr="00DD6BE4">
        <w:rPr>
          <w:lang w:val="es-ES_tradnl"/>
        </w:rPr>
        <w:t>diversas herramientas de IA de primer nivel que han sido desarrolladas internamente</w:t>
      </w:r>
      <w:r w:rsidR="00934A1B" w:rsidRPr="00DD6BE4">
        <w:rPr>
          <w:lang w:val="es-ES_tradnl"/>
        </w:rPr>
        <w:t xml:space="preserve">, que utilizan la OMPI y otras oficinas de PI y organizaciones internacionales, como la red de las Naciones Unidas, </w:t>
      </w:r>
      <w:r w:rsidRPr="00DD6BE4">
        <w:rPr>
          <w:lang w:val="es-ES_tradnl"/>
        </w:rPr>
        <w:t>entre las que cabe mencionar</w:t>
      </w:r>
      <w:r w:rsidR="00346B0D" w:rsidRPr="00DD6BE4">
        <w:rPr>
          <w:lang w:val="es-ES_tradnl"/>
        </w:rPr>
        <w:t>:</w:t>
      </w:r>
    </w:p>
    <w:p w14:paraId="41713921" w14:textId="77777777" w:rsidR="00346B0D" w:rsidRPr="00DD6BE4" w:rsidRDefault="00346B0D" w:rsidP="00BF4BF9">
      <w:pPr>
        <w:rPr>
          <w:lang w:val="es-ES_tradnl"/>
        </w:rPr>
      </w:pPr>
    </w:p>
    <w:p w14:paraId="2FA99150" w14:textId="71CEC226" w:rsidR="00346B0D" w:rsidRPr="00DD6BE4" w:rsidRDefault="00346B0D" w:rsidP="00346B0D">
      <w:pPr>
        <w:pStyle w:val="ListParagraph"/>
        <w:numPr>
          <w:ilvl w:val="0"/>
          <w:numId w:val="7"/>
        </w:numPr>
        <w:contextualSpacing w:val="0"/>
        <w:rPr>
          <w:lang w:val="es-ES_tradnl"/>
        </w:rPr>
      </w:pPr>
      <w:r w:rsidRPr="00DD6BE4">
        <w:rPr>
          <w:lang w:val="es-ES_tradnl"/>
        </w:rPr>
        <w:t>WIPO Translate (</w:t>
      </w:r>
      <w:r w:rsidR="00934A1B" w:rsidRPr="00DD6BE4">
        <w:rPr>
          <w:lang w:val="es-ES_tradnl"/>
        </w:rPr>
        <w:t>traducción automática neuronal</w:t>
      </w:r>
      <w:r w:rsidRPr="00DD6BE4">
        <w:rPr>
          <w:lang w:val="es-ES_tradnl"/>
        </w:rPr>
        <w:t>);</w:t>
      </w:r>
    </w:p>
    <w:p w14:paraId="17387A3D" w14:textId="6BDD77B4" w:rsidR="00346B0D" w:rsidRPr="00DD6BE4" w:rsidRDefault="00346B0D" w:rsidP="00346B0D">
      <w:pPr>
        <w:pStyle w:val="ListParagraph"/>
        <w:numPr>
          <w:ilvl w:val="0"/>
          <w:numId w:val="7"/>
        </w:numPr>
        <w:contextualSpacing w:val="0"/>
        <w:rPr>
          <w:lang w:val="es-ES_tradnl"/>
        </w:rPr>
      </w:pPr>
      <w:r w:rsidRPr="00DD6BE4">
        <w:rPr>
          <w:lang w:val="es-ES_tradnl"/>
        </w:rPr>
        <w:t>WIPO Brand Image Search (</w:t>
      </w:r>
      <w:r w:rsidR="002D1ACC" w:rsidRPr="00DD6BE4">
        <w:rPr>
          <w:lang w:val="es-ES_tradnl"/>
        </w:rPr>
        <w:t>reconocimiento de similitudes entre imágenes, sobre la base de la forma, el color, la composición y el concepto);</w:t>
      </w:r>
    </w:p>
    <w:p w14:paraId="6CB63745" w14:textId="47C6CBFB" w:rsidR="00346B0D" w:rsidRPr="00DD6BE4" w:rsidRDefault="00346B0D" w:rsidP="00346B0D">
      <w:pPr>
        <w:pStyle w:val="ListParagraph"/>
        <w:numPr>
          <w:ilvl w:val="0"/>
          <w:numId w:val="7"/>
        </w:numPr>
        <w:contextualSpacing w:val="0"/>
        <w:rPr>
          <w:lang w:val="es-ES_tradnl"/>
        </w:rPr>
      </w:pPr>
      <w:r w:rsidRPr="00DD6BE4">
        <w:rPr>
          <w:lang w:val="es-ES_tradnl"/>
        </w:rPr>
        <w:t>WIPO Speech-to-Text (</w:t>
      </w:r>
      <w:r w:rsidR="002D1ACC" w:rsidRPr="00DD6BE4">
        <w:rPr>
          <w:lang w:val="es-ES_tradnl"/>
        </w:rPr>
        <w:t>transcripción del lenguaje natural a partir de grabaciones de audio y vídeo</w:t>
      </w:r>
      <w:r w:rsidRPr="00DD6BE4">
        <w:rPr>
          <w:lang w:val="es-ES_tradnl"/>
        </w:rPr>
        <w:t>).</w:t>
      </w:r>
    </w:p>
    <w:p w14:paraId="25734C5A" w14:textId="03499201" w:rsidR="00346B0D" w:rsidRPr="00DD6BE4" w:rsidRDefault="00346B0D" w:rsidP="00346B0D">
      <w:pPr>
        <w:rPr>
          <w:lang w:val="es-ES_tradnl"/>
        </w:rPr>
      </w:pPr>
    </w:p>
    <w:p w14:paraId="75E3630F" w14:textId="78DFD76B" w:rsidR="00C01EB2" w:rsidRPr="00DD6BE4" w:rsidRDefault="0071258D" w:rsidP="0071258D">
      <w:pPr>
        <w:pStyle w:val="ListParagraph"/>
        <w:numPr>
          <w:ilvl w:val="0"/>
          <w:numId w:val="4"/>
        </w:numPr>
        <w:tabs>
          <w:tab w:val="left" w:pos="540"/>
        </w:tabs>
        <w:spacing w:after="240"/>
        <w:ind w:left="0" w:firstLine="0"/>
        <w:rPr>
          <w:lang w:val="es-ES_tradnl"/>
        </w:rPr>
      </w:pPr>
      <w:r w:rsidRPr="00DD6BE4">
        <w:rPr>
          <w:lang w:val="es-ES_tradnl"/>
        </w:rPr>
        <w:t xml:space="preserve">La mayoría de las herramientas de </w:t>
      </w:r>
      <w:r w:rsidR="008866B8" w:rsidRPr="00DD6BE4">
        <w:rPr>
          <w:lang w:val="es-ES_tradnl"/>
        </w:rPr>
        <w:t xml:space="preserve">IA </w:t>
      </w:r>
      <w:r w:rsidRPr="00DD6BE4">
        <w:rPr>
          <w:lang w:val="es-ES_tradnl"/>
        </w:rPr>
        <w:t xml:space="preserve">de la OMPI están disponibles para el público en línea o a través de las API. </w:t>
      </w:r>
      <w:r w:rsidR="008866B8" w:rsidRPr="00DD6BE4">
        <w:rPr>
          <w:lang w:val="es-ES_tradnl"/>
        </w:rPr>
        <w:t xml:space="preserve">La </w:t>
      </w:r>
      <w:r w:rsidRPr="00DD6BE4">
        <w:rPr>
          <w:lang w:val="es-ES_tradnl"/>
        </w:rPr>
        <w:t xml:space="preserve">OMPI trabaja activamente para poner estas herramientas a disposición de la comunidad internacional en sentido amplio a través de la negociación de licencias y del establecimiento de alianzas. </w:t>
      </w:r>
      <w:r w:rsidR="008866B8" w:rsidRPr="00DD6BE4">
        <w:rPr>
          <w:lang w:val="es-ES_tradnl"/>
        </w:rPr>
        <w:t xml:space="preserve">Estos </w:t>
      </w:r>
      <w:r w:rsidRPr="00DD6BE4">
        <w:rPr>
          <w:lang w:val="es-ES_tradnl"/>
        </w:rPr>
        <w:t xml:space="preserve">acuerdos se estipulan en condiciones generosas para permitir una amplia difusión de las innovaciones, aunque también se busca recuperar parte de la inversión inicial y de los costos de funcionamiento de la organización. </w:t>
      </w:r>
      <w:r w:rsidR="008866B8" w:rsidRPr="00DD6BE4">
        <w:rPr>
          <w:lang w:val="es-ES_tradnl"/>
        </w:rPr>
        <w:t xml:space="preserve">La </w:t>
      </w:r>
      <w:r w:rsidRPr="00DD6BE4">
        <w:rPr>
          <w:lang w:val="es-ES_tradnl"/>
        </w:rPr>
        <w:t>OMPI seguirá comprometida con la mejora del acceso de los países en desarrollo y los países menos adelantados a las nuevas tecnologías digitales y a las herramientas que las aprovechan para aumentar su rendimiento, como por ejemplo las herramientas que utilizan la IA</w:t>
      </w:r>
      <w:r w:rsidR="00C01EB2" w:rsidRPr="00DD6BE4">
        <w:rPr>
          <w:lang w:val="es-ES_tradnl"/>
        </w:rPr>
        <w:t>.</w:t>
      </w:r>
    </w:p>
    <w:p w14:paraId="3AA0A62D" w14:textId="601544FF" w:rsidR="00346B0D" w:rsidRPr="00DD6BE4" w:rsidRDefault="00346B0D" w:rsidP="00346B0D">
      <w:pPr>
        <w:pStyle w:val="Heading3"/>
        <w:keepLines/>
        <w:rPr>
          <w:lang w:val="es-ES_tradnl"/>
        </w:rPr>
      </w:pPr>
      <w:r w:rsidRPr="00DD6BE4">
        <w:rPr>
          <w:lang w:val="es-ES_tradnl"/>
        </w:rPr>
        <w:t xml:space="preserve"> </w:t>
      </w:r>
      <w:r w:rsidR="00177FDE" w:rsidRPr="00DD6BE4">
        <w:rPr>
          <w:lang w:val="es-ES_tradnl"/>
        </w:rPr>
        <w:t xml:space="preserve">INFRAESTRUCTURA </w:t>
      </w:r>
      <w:r w:rsidR="00437438" w:rsidRPr="00DD6BE4">
        <w:rPr>
          <w:lang w:val="es-ES_tradnl"/>
        </w:rPr>
        <w:t>JURÍDICA</w:t>
      </w:r>
    </w:p>
    <w:p w14:paraId="02DE11BD" w14:textId="77777777" w:rsidR="00400E82" w:rsidRPr="00DD6BE4" w:rsidRDefault="00400E82" w:rsidP="00400E82">
      <w:pPr>
        <w:rPr>
          <w:lang w:val="es-ES_tradnl"/>
        </w:rPr>
      </w:pPr>
    </w:p>
    <w:p w14:paraId="41158126" w14:textId="3D058E99" w:rsidR="00400E82" w:rsidRPr="00DD6BE4" w:rsidRDefault="00C92D28" w:rsidP="00400E82">
      <w:pPr>
        <w:pStyle w:val="ListParagraph"/>
        <w:numPr>
          <w:ilvl w:val="0"/>
          <w:numId w:val="4"/>
        </w:numPr>
        <w:tabs>
          <w:tab w:val="left" w:pos="540"/>
        </w:tabs>
        <w:spacing w:after="240"/>
        <w:ind w:left="0" w:firstLine="0"/>
        <w:rPr>
          <w:lang w:val="es-ES_tradnl"/>
        </w:rPr>
      </w:pPr>
      <w:r w:rsidRPr="00DD6BE4">
        <w:rPr>
          <w:lang w:val="es-ES_tradnl"/>
        </w:rPr>
        <w:t>Existe un estrecho vínculo entre los requisitos jurídicos de procedimiento para la tramitación de las solicitudes de títulos de propiedad industrial, por una parte, y el diseño técnico de los sistemas digitalizados de presentación y tramitación de solicitudes en las OPI, por otra</w:t>
      </w:r>
      <w:r w:rsidR="00400E82" w:rsidRPr="00DD6BE4">
        <w:rPr>
          <w:lang w:val="es-ES_tradnl"/>
        </w:rPr>
        <w:t>.</w:t>
      </w:r>
      <w:r w:rsidR="005D61E0" w:rsidRPr="00DD6BE4">
        <w:rPr>
          <w:lang w:val="es-ES_tradnl"/>
        </w:rPr>
        <w:t xml:space="preserve"> </w:t>
      </w:r>
    </w:p>
    <w:p w14:paraId="574D0748" w14:textId="3707A602" w:rsidR="00346B0D" w:rsidRPr="00DD6BE4" w:rsidRDefault="003938E2" w:rsidP="00346B0D">
      <w:pPr>
        <w:pStyle w:val="Heading4"/>
        <w:keepLines/>
        <w:rPr>
          <w:lang w:val="es-ES_tradnl"/>
        </w:rPr>
      </w:pPr>
      <w:r w:rsidRPr="00DD6BE4">
        <w:rPr>
          <w:lang w:val="es-ES_tradnl"/>
        </w:rPr>
        <w:t>Derecho de patentes</w:t>
      </w:r>
    </w:p>
    <w:p w14:paraId="411D2841" w14:textId="77777777" w:rsidR="00346B0D" w:rsidRPr="00DD6BE4" w:rsidRDefault="00346B0D" w:rsidP="00346B0D">
      <w:pPr>
        <w:keepNext/>
        <w:keepLines/>
        <w:rPr>
          <w:lang w:val="es-ES_tradnl"/>
        </w:rPr>
      </w:pPr>
    </w:p>
    <w:p w14:paraId="6FCF2C54" w14:textId="6B9F6CE0" w:rsidR="00346B0D" w:rsidRPr="00DD6BE4" w:rsidRDefault="00D22325" w:rsidP="00346B0D">
      <w:pPr>
        <w:pStyle w:val="ListParagraph"/>
        <w:numPr>
          <w:ilvl w:val="0"/>
          <w:numId w:val="4"/>
        </w:numPr>
        <w:tabs>
          <w:tab w:val="left" w:pos="540"/>
        </w:tabs>
        <w:spacing w:after="240"/>
        <w:ind w:left="0" w:firstLine="0"/>
        <w:rPr>
          <w:rFonts w:eastAsiaTheme="minorHAnsi"/>
          <w:szCs w:val="22"/>
          <w:lang w:val="es-ES_tradnl" w:eastAsia="en-US"/>
        </w:rPr>
      </w:pPr>
      <w:r w:rsidRPr="00DD6BE4">
        <w:rPr>
          <w:lang w:val="es-ES_tradnl"/>
        </w:rPr>
        <w:t xml:space="preserve">La </w:t>
      </w:r>
      <w:r w:rsidR="003938E2" w:rsidRPr="00DD6BE4">
        <w:rPr>
          <w:lang w:val="es-ES_tradnl"/>
        </w:rPr>
        <w:t>OMPI administra el Tratado sobre el Derecho de Patentes</w:t>
      </w:r>
      <w:r w:rsidR="00433F84" w:rsidRPr="00DD6BE4">
        <w:rPr>
          <w:lang w:val="es-ES_tradnl"/>
        </w:rPr>
        <w:t xml:space="preserve"> (PLT)</w:t>
      </w:r>
      <w:r w:rsidR="003938E2" w:rsidRPr="00DD6BE4">
        <w:rPr>
          <w:lang w:val="es-ES_tradnl"/>
        </w:rPr>
        <w:t xml:space="preserve">, que se ocupa de los aspectos formales de los procedimientos </w:t>
      </w:r>
      <w:r w:rsidR="008154FB" w:rsidRPr="00DD6BE4">
        <w:rPr>
          <w:lang w:val="es-ES_tradnl"/>
        </w:rPr>
        <w:t xml:space="preserve">de patente </w:t>
      </w:r>
      <w:r w:rsidR="003938E2" w:rsidRPr="00DD6BE4">
        <w:rPr>
          <w:lang w:val="es-ES_tradnl"/>
        </w:rPr>
        <w:t xml:space="preserve">que se sustancian en las OPI. </w:t>
      </w:r>
      <w:r w:rsidRPr="00DD6BE4">
        <w:rPr>
          <w:lang w:val="es-ES_tradnl"/>
        </w:rPr>
        <w:t xml:space="preserve">Ciertas obligaciones derivadas de este tratado pueden tener repercusiones sobre la digitalización de las OPI. Por consiguiente, es recomendable que los países que tengan intención de adherirse a este </w:t>
      </w:r>
      <w:r w:rsidR="000A35AA" w:rsidRPr="00DD6BE4">
        <w:rPr>
          <w:lang w:val="es-ES_tradnl"/>
        </w:rPr>
        <w:t xml:space="preserve">Tratado </w:t>
      </w:r>
      <w:r w:rsidRPr="00DD6BE4">
        <w:rPr>
          <w:lang w:val="es-ES_tradnl"/>
        </w:rPr>
        <w:t xml:space="preserve">consideren de manera integrada y sinérgica tanto las cuestiones jurídicas como las técnicas. </w:t>
      </w:r>
      <w:r w:rsidR="008154FB" w:rsidRPr="00DD6BE4">
        <w:rPr>
          <w:lang w:val="es-ES_tradnl"/>
        </w:rPr>
        <w:t xml:space="preserve">Como en el PLT se permite a las Partes Contratantes </w:t>
      </w:r>
      <w:r w:rsidR="000F1142" w:rsidRPr="00DD6BE4">
        <w:rPr>
          <w:lang w:val="es-ES_tradnl"/>
        </w:rPr>
        <w:t>excluir</w:t>
      </w:r>
      <w:r w:rsidR="008154FB" w:rsidRPr="00DD6BE4">
        <w:rPr>
          <w:lang w:val="es-ES_tradnl"/>
        </w:rPr>
        <w:t>, salvo determinadas excepciones, la</w:t>
      </w:r>
      <w:r w:rsidR="000F1142" w:rsidRPr="00DD6BE4">
        <w:rPr>
          <w:lang w:val="es-ES_tradnl"/>
        </w:rPr>
        <w:t xml:space="preserve"> presentación de</w:t>
      </w:r>
      <w:r w:rsidR="008154FB" w:rsidRPr="00DD6BE4">
        <w:rPr>
          <w:lang w:val="es-ES_tradnl"/>
        </w:rPr>
        <w:t xml:space="preserve"> comunicaciones en papel, en el párrafo 4 de las </w:t>
      </w:r>
      <w:r w:rsidR="000F06ED" w:rsidRPr="00DD6BE4">
        <w:rPr>
          <w:lang w:val="es-ES_tradnl"/>
        </w:rPr>
        <w:t>d</w:t>
      </w:r>
      <w:r w:rsidR="008154FB" w:rsidRPr="00DD6BE4">
        <w:rPr>
          <w:lang w:val="es-ES_tradnl"/>
        </w:rPr>
        <w:t xml:space="preserve">eclaraciones </w:t>
      </w:r>
      <w:r w:rsidR="000F06ED" w:rsidRPr="00DD6BE4">
        <w:rPr>
          <w:lang w:val="es-ES_tradnl"/>
        </w:rPr>
        <w:t>concerta</w:t>
      </w:r>
      <w:r w:rsidR="008154FB" w:rsidRPr="00DD6BE4">
        <w:rPr>
          <w:lang w:val="es-ES_tradnl"/>
        </w:rPr>
        <w:t>das</w:t>
      </w:r>
      <w:r w:rsidR="000F06ED" w:rsidRPr="00DD6BE4">
        <w:rPr>
          <w:lang w:val="es-ES_tradnl"/>
        </w:rPr>
        <w:t xml:space="preserve"> adoptadas en el año 2000 por la Conferencia Diplomática relativas al PLT </w:t>
      </w:r>
      <w:r w:rsidR="000F1142" w:rsidRPr="00DD6BE4">
        <w:rPr>
          <w:lang w:val="es-ES_tradnl"/>
        </w:rPr>
        <w:t xml:space="preserve">se expresó </w:t>
      </w:r>
      <w:r w:rsidR="00B4613C" w:rsidRPr="00DD6BE4">
        <w:rPr>
          <w:lang w:val="es-ES_tradnl"/>
        </w:rPr>
        <w:t>la petición</w:t>
      </w:r>
      <w:r w:rsidR="000F1142" w:rsidRPr="00DD6BE4">
        <w:rPr>
          <w:lang w:val="es-ES_tradnl"/>
        </w:rPr>
        <w:t xml:space="preserve"> de que la OMPI y las Partes Contratantes </w:t>
      </w:r>
      <w:r w:rsidR="00D64B34" w:rsidRPr="00DD6BE4">
        <w:rPr>
          <w:lang w:val="es-ES_tradnl"/>
        </w:rPr>
        <w:t>presten</w:t>
      </w:r>
      <w:r w:rsidR="000F1142" w:rsidRPr="00DD6BE4">
        <w:rPr>
          <w:lang w:val="es-ES_tradnl"/>
        </w:rPr>
        <w:t xml:space="preserve"> a los países en desarrollo, </w:t>
      </w:r>
      <w:r w:rsidR="00D64B34" w:rsidRPr="00DD6BE4">
        <w:rPr>
          <w:lang w:val="es-ES_tradnl"/>
        </w:rPr>
        <w:t xml:space="preserve">a </w:t>
      </w:r>
      <w:r w:rsidR="000F1142" w:rsidRPr="00DD6BE4">
        <w:rPr>
          <w:lang w:val="es-ES_tradnl"/>
        </w:rPr>
        <w:t>los países menos adelantados y</w:t>
      </w:r>
      <w:r w:rsidR="00D64B34" w:rsidRPr="00DD6BE4">
        <w:rPr>
          <w:lang w:val="es-ES_tradnl"/>
        </w:rPr>
        <w:t xml:space="preserve"> a</w:t>
      </w:r>
      <w:r w:rsidR="000F1142" w:rsidRPr="00DD6BE4">
        <w:rPr>
          <w:lang w:val="es-ES_tradnl"/>
        </w:rPr>
        <w:t xml:space="preserve"> los países en transición </w:t>
      </w:r>
      <w:r w:rsidR="00D64B34" w:rsidRPr="00DD6BE4">
        <w:rPr>
          <w:lang w:val="es-ES_tradnl"/>
        </w:rPr>
        <w:t>cooperación</w:t>
      </w:r>
      <w:r w:rsidR="000F1142" w:rsidRPr="00DD6BE4">
        <w:rPr>
          <w:lang w:val="es-ES_tradnl"/>
        </w:rPr>
        <w:t xml:space="preserve"> técnica para </w:t>
      </w:r>
      <w:r w:rsidR="00D64B34" w:rsidRPr="00DD6BE4">
        <w:rPr>
          <w:lang w:val="es-ES_tradnl"/>
        </w:rPr>
        <w:t xml:space="preserve">que estos puedan cumplir con las obligaciones contraídas en virtud del PLT </w:t>
      </w:r>
      <w:r w:rsidR="00A5051F" w:rsidRPr="00DD6BE4">
        <w:rPr>
          <w:lang w:val="es-ES_tradnl"/>
        </w:rPr>
        <w:t xml:space="preserve">y </w:t>
      </w:r>
      <w:r w:rsidR="000F1142" w:rsidRPr="00DD6BE4">
        <w:rPr>
          <w:lang w:val="es-ES_tradnl"/>
        </w:rPr>
        <w:t>facilit</w:t>
      </w:r>
      <w:r w:rsidR="00564B60" w:rsidRPr="00DD6BE4">
        <w:rPr>
          <w:lang w:val="es-ES_tradnl"/>
        </w:rPr>
        <w:t>en</w:t>
      </w:r>
      <w:r w:rsidR="000F1142" w:rsidRPr="00DD6BE4">
        <w:rPr>
          <w:lang w:val="es-ES_tradnl"/>
        </w:rPr>
        <w:t xml:space="preserve"> su ejecución. </w:t>
      </w:r>
      <w:r w:rsidR="00A5051F" w:rsidRPr="00DD6BE4">
        <w:rPr>
          <w:lang w:val="es-ES_tradnl"/>
        </w:rPr>
        <w:t xml:space="preserve">Basándose en </w:t>
      </w:r>
      <w:r w:rsidR="008907EF" w:rsidRPr="00DD6BE4">
        <w:rPr>
          <w:lang w:val="es-ES_tradnl"/>
        </w:rPr>
        <w:t>estas declaraciones concertadas, la Secretaría pr</w:t>
      </w:r>
      <w:r w:rsidR="00D52DC6" w:rsidRPr="00DD6BE4">
        <w:rPr>
          <w:lang w:val="es-ES_tradnl"/>
        </w:rPr>
        <w:t>oporciona</w:t>
      </w:r>
      <w:r w:rsidR="008907EF" w:rsidRPr="00DD6BE4">
        <w:rPr>
          <w:lang w:val="es-ES_tradnl"/>
        </w:rPr>
        <w:t xml:space="preserve"> en cada período de</w:t>
      </w:r>
      <w:r w:rsidR="00A5051F" w:rsidRPr="00DD6BE4">
        <w:rPr>
          <w:lang w:val="es-ES_tradnl"/>
        </w:rPr>
        <w:t xml:space="preserve"> sesiones ordinarias de la Asamblea General de la OMPI información sobre </w:t>
      </w:r>
      <w:r w:rsidR="00B4613C" w:rsidRPr="00DD6BE4">
        <w:rPr>
          <w:lang w:val="es-ES_tradnl"/>
        </w:rPr>
        <w:t xml:space="preserve">las actividades de cooperación y asistencia técnica pertinentes llevadas a cabo por la OMPI para promover la presentación de comunicaciones en formato electrónico. </w:t>
      </w:r>
      <w:r w:rsidR="00D52DC6" w:rsidRPr="00DD6BE4">
        <w:rPr>
          <w:lang w:val="es-ES_tradnl"/>
        </w:rPr>
        <w:t>Además, l</w:t>
      </w:r>
      <w:r w:rsidR="005B2BD5" w:rsidRPr="00DD6BE4">
        <w:rPr>
          <w:lang w:val="es-ES_tradnl"/>
        </w:rPr>
        <w:t xml:space="preserve">a Secretaría de la OMPI proporciona información específica de índole jurídica y práctica a los Estados miembros interesados, así como asesoramiento legislativo y normativo, teniendo en cuenta debidamente las prioridades y necesidades especiales de los países beneficiarios, el equilibrio de derechos y obligaciones inherentes al sistema de PI y los diferentes niveles de desarrollo de los Estados miembros. Durante el bienio </w:t>
      </w:r>
      <w:r w:rsidR="00EE4667" w:rsidRPr="00DD6BE4">
        <w:rPr>
          <w:lang w:val="es-ES_tradnl"/>
        </w:rPr>
        <w:t>2018-19</w:t>
      </w:r>
      <w:r w:rsidR="00387E0B" w:rsidRPr="00DD6BE4">
        <w:rPr>
          <w:lang w:val="es-ES_tradnl"/>
        </w:rPr>
        <w:t>,</w:t>
      </w:r>
      <w:r w:rsidR="00EE4667" w:rsidRPr="00DD6BE4">
        <w:rPr>
          <w:lang w:val="es-ES_tradnl"/>
        </w:rPr>
        <w:t xml:space="preserve"> </w:t>
      </w:r>
      <w:r w:rsidR="005B2BD5" w:rsidRPr="00DD6BE4">
        <w:rPr>
          <w:lang w:val="es-ES_tradnl"/>
        </w:rPr>
        <w:t xml:space="preserve">la División de Derecho de Patentes prestó asesoramiento en materia legislativa a 25 países y organismos regionales, de acuerdo con la siguiente distribución por regiones: África (4), América Latina y el Caribe (8), </w:t>
      </w:r>
      <w:r w:rsidR="007E33D9" w:rsidRPr="00DD6BE4">
        <w:rPr>
          <w:lang w:val="es-ES_tradnl"/>
        </w:rPr>
        <w:t xml:space="preserve">Asia y el Pacífico (6), países árabes (4) </w:t>
      </w:r>
      <w:r w:rsidR="005B2BD5" w:rsidRPr="00DD6BE4">
        <w:rPr>
          <w:lang w:val="es-ES_tradnl"/>
        </w:rPr>
        <w:t>y países en transición y desarrollados (3).</w:t>
      </w:r>
      <w:r w:rsidR="00D52DC6" w:rsidRPr="00DD6BE4">
        <w:rPr>
          <w:szCs w:val="22"/>
          <w:lang w:val="es-ES_tradnl"/>
        </w:rPr>
        <w:t xml:space="preserve"> </w:t>
      </w:r>
      <w:r w:rsidR="004626F5" w:rsidRPr="00DD6BE4">
        <w:rPr>
          <w:szCs w:val="22"/>
          <w:lang w:val="es-ES_tradnl"/>
        </w:rPr>
        <w:t>Durante el bienio 2020-21</w:t>
      </w:r>
      <w:r w:rsidR="00387E0B" w:rsidRPr="00DD6BE4">
        <w:rPr>
          <w:szCs w:val="22"/>
          <w:lang w:val="es-ES_tradnl"/>
        </w:rPr>
        <w:t>,</w:t>
      </w:r>
      <w:r w:rsidR="004626F5" w:rsidRPr="00DD6BE4">
        <w:rPr>
          <w:szCs w:val="22"/>
          <w:lang w:val="es-ES_tradnl"/>
        </w:rPr>
        <w:t xml:space="preserve"> se prestó asesoramiento legislativo y normativo en materia de PI a 35 países en desarrollo y países menos adelantados, de acuerdo con la siguiente distribución por regiones: África (5), </w:t>
      </w:r>
      <w:r w:rsidR="000A35AA" w:rsidRPr="00DD6BE4">
        <w:rPr>
          <w:szCs w:val="22"/>
          <w:lang w:val="es-ES_tradnl"/>
        </w:rPr>
        <w:t xml:space="preserve">América Latina y el Caribe (15), Asia y el Pacífico (8), </w:t>
      </w:r>
      <w:r w:rsidR="004626F5" w:rsidRPr="00DD6BE4">
        <w:rPr>
          <w:szCs w:val="22"/>
          <w:lang w:val="es-ES_tradnl"/>
        </w:rPr>
        <w:t xml:space="preserve">países árabes (6) y otra (1). </w:t>
      </w:r>
      <w:r w:rsidR="00564B60" w:rsidRPr="00DD6BE4">
        <w:rPr>
          <w:szCs w:val="22"/>
          <w:lang w:val="es-ES_tradnl"/>
        </w:rPr>
        <w:t xml:space="preserve">El asesoramiento relativo a los reglamentos que </w:t>
      </w:r>
      <w:r w:rsidR="005812CD" w:rsidRPr="00DD6BE4">
        <w:rPr>
          <w:szCs w:val="22"/>
          <w:lang w:val="es-ES_tradnl"/>
        </w:rPr>
        <w:t>aplican</w:t>
      </w:r>
      <w:r w:rsidR="00617DB8" w:rsidRPr="00DD6BE4">
        <w:rPr>
          <w:szCs w:val="22"/>
          <w:lang w:val="es-ES_tradnl"/>
        </w:rPr>
        <w:t xml:space="preserve"> el </w:t>
      </w:r>
      <w:r w:rsidR="00176C4D" w:rsidRPr="00DD6BE4">
        <w:rPr>
          <w:szCs w:val="22"/>
          <w:lang w:val="es-ES_tradnl"/>
        </w:rPr>
        <w:t>D</w:t>
      </w:r>
      <w:r w:rsidR="00617DB8" w:rsidRPr="00DD6BE4">
        <w:rPr>
          <w:szCs w:val="22"/>
          <w:lang w:val="es-ES_tradnl"/>
        </w:rPr>
        <w:t xml:space="preserve">erecho de patentes nacional y regional toma debidamente en consideración las prácticas de las </w:t>
      </w:r>
      <w:r w:rsidR="004A0ECB" w:rsidRPr="00DD6BE4">
        <w:rPr>
          <w:szCs w:val="22"/>
          <w:lang w:val="es-ES_tradnl"/>
        </w:rPr>
        <w:t>oficinas</w:t>
      </w:r>
      <w:r w:rsidR="00617DB8" w:rsidRPr="00DD6BE4">
        <w:rPr>
          <w:szCs w:val="22"/>
          <w:lang w:val="es-ES_tradnl"/>
        </w:rPr>
        <w:t xml:space="preserve"> de patentes pertinentes, así como las herramientas de TI y las plataformas </w:t>
      </w:r>
      <w:r w:rsidR="005812CD" w:rsidRPr="00DD6BE4">
        <w:rPr>
          <w:szCs w:val="22"/>
          <w:lang w:val="es-ES_tradnl"/>
        </w:rPr>
        <w:t>de las que disponen.</w:t>
      </w:r>
    </w:p>
    <w:p w14:paraId="170E2132" w14:textId="6B1F6E7D" w:rsidR="00346B0D" w:rsidRPr="00DD6BE4" w:rsidRDefault="00051CE3" w:rsidP="00346B0D">
      <w:pPr>
        <w:pStyle w:val="Heading4"/>
        <w:keepLines/>
        <w:rPr>
          <w:lang w:val="es-ES_tradnl"/>
        </w:rPr>
      </w:pPr>
      <w:r w:rsidRPr="00DD6BE4">
        <w:rPr>
          <w:lang w:val="es-ES_tradnl"/>
        </w:rPr>
        <w:t>Derecho de marcas y Derecho de diseños industriales</w:t>
      </w:r>
    </w:p>
    <w:p w14:paraId="141C3802" w14:textId="69CA3E58" w:rsidR="00346B0D" w:rsidRPr="00DD6BE4" w:rsidRDefault="00346B0D" w:rsidP="00346B0D">
      <w:pPr>
        <w:pStyle w:val="Heading4"/>
        <w:keepLines/>
        <w:numPr>
          <w:ilvl w:val="0"/>
          <w:numId w:val="0"/>
        </w:numPr>
        <w:ind w:left="720"/>
        <w:rPr>
          <w:lang w:val="es-ES_tradnl"/>
        </w:rPr>
      </w:pPr>
    </w:p>
    <w:p w14:paraId="5CC129AD" w14:textId="149BC783" w:rsidR="00C86B3F" w:rsidRPr="00DD6BE4" w:rsidRDefault="005812CD" w:rsidP="00346B0D">
      <w:pPr>
        <w:pStyle w:val="ListParagraph"/>
        <w:numPr>
          <w:ilvl w:val="0"/>
          <w:numId w:val="4"/>
        </w:numPr>
        <w:tabs>
          <w:tab w:val="left" w:pos="540"/>
        </w:tabs>
        <w:spacing w:after="240"/>
        <w:ind w:left="0" w:firstLine="0"/>
        <w:rPr>
          <w:lang w:val="es-ES_tradnl"/>
        </w:rPr>
      </w:pPr>
      <w:r w:rsidRPr="00DD6BE4">
        <w:rPr>
          <w:lang w:val="es-ES_tradnl"/>
        </w:rPr>
        <w:t xml:space="preserve">La OMPI administra el Tratado de Singapur </w:t>
      </w:r>
      <w:r w:rsidR="00D36037" w:rsidRPr="00DD6BE4">
        <w:rPr>
          <w:lang w:val="es-ES_tradnl"/>
        </w:rPr>
        <w:t xml:space="preserve">sobre </w:t>
      </w:r>
      <w:r w:rsidRPr="00DD6BE4">
        <w:rPr>
          <w:lang w:val="es-ES_tradnl"/>
        </w:rPr>
        <w:t xml:space="preserve">el Derecho de </w:t>
      </w:r>
      <w:r w:rsidR="00D36037" w:rsidRPr="00DD6BE4">
        <w:rPr>
          <w:lang w:val="es-ES_tradnl"/>
        </w:rPr>
        <w:t>M</w:t>
      </w:r>
      <w:r w:rsidRPr="00DD6BE4">
        <w:rPr>
          <w:lang w:val="es-ES_tradnl"/>
        </w:rPr>
        <w:t>arcas</w:t>
      </w:r>
      <w:r w:rsidR="00D36037" w:rsidRPr="00DD6BE4">
        <w:rPr>
          <w:lang w:val="es-ES_tradnl"/>
        </w:rPr>
        <w:t>, que se ocupa de los aspectos formales de las solicitudes de marcas y otras</w:t>
      </w:r>
      <w:r w:rsidR="00DA05CA" w:rsidRPr="00DD6BE4">
        <w:rPr>
          <w:lang w:val="es-ES_tradnl"/>
        </w:rPr>
        <w:t xml:space="preserve"> solicitudes presentadas ante las autoridades de registro nacional y regional durante </w:t>
      </w:r>
      <w:r w:rsidR="003231C9" w:rsidRPr="00DD6BE4">
        <w:rPr>
          <w:lang w:val="es-ES_tradnl"/>
        </w:rPr>
        <w:t>l</w:t>
      </w:r>
      <w:r w:rsidR="00F466DA" w:rsidRPr="00DD6BE4">
        <w:rPr>
          <w:lang w:val="es-ES_tradnl"/>
        </w:rPr>
        <w:t>as etapas</w:t>
      </w:r>
      <w:r w:rsidR="007D709B" w:rsidRPr="00DD6BE4">
        <w:rPr>
          <w:lang w:val="es-ES_tradnl"/>
        </w:rPr>
        <w:t xml:space="preserve"> del</w:t>
      </w:r>
      <w:r w:rsidR="00DA05CA" w:rsidRPr="00DD6BE4">
        <w:rPr>
          <w:lang w:val="es-ES_tradnl"/>
        </w:rPr>
        <w:t xml:space="preserve"> registro de una marca.</w:t>
      </w:r>
      <w:r w:rsidR="00695147" w:rsidRPr="00DD6BE4">
        <w:rPr>
          <w:lang w:val="es-ES_tradnl"/>
        </w:rPr>
        <w:t xml:space="preserve"> </w:t>
      </w:r>
      <w:r w:rsidR="00176C4D" w:rsidRPr="00DD6BE4">
        <w:rPr>
          <w:lang w:val="es-ES_tradnl"/>
        </w:rPr>
        <w:t>Tareas</w:t>
      </w:r>
      <w:r w:rsidR="007D709B" w:rsidRPr="00DD6BE4">
        <w:rPr>
          <w:lang w:val="es-ES_tradnl"/>
        </w:rPr>
        <w:t xml:space="preserve"> como la presentación electrónica, las solicitudes y </w:t>
      </w:r>
      <w:r w:rsidR="000575AD" w:rsidRPr="00DD6BE4">
        <w:rPr>
          <w:lang w:val="es-ES_tradnl"/>
        </w:rPr>
        <w:t xml:space="preserve">los </w:t>
      </w:r>
      <w:r w:rsidR="007D709B" w:rsidRPr="00DD6BE4">
        <w:rPr>
          <w:lang w:val="es-ES_tradnl"/>
        </w:rPr>
        <w:t xml:space="preserve">registros </w:t>
      </w:r>
      <w:r w:rsidR="000575AD" w:rsidRPr="00DD6BE4">
        <w:rPr>
          <w:lang w:val="es-ES_tradnl"/>
        </w:rPr>
        <w:t>multiclase</w:t>
      </w:r>
      <w:r w:rsidR="007D709B" w:rsidRPr="00DD6BE4">
        <w:rPr>
          <w:lang w:val="es-ES_tradnl"/>
        </w:rPr>
        <w:t xml:space="preserve">, la división de las solicitudes y </w:t>
      </w:r>
      <w:r w:rsidR="00334A0F" w:rsidRPr="00DD6BE4">
        <w:rPr>
          <w:lang w:val="es-ES_tradnl"/>
        </w:rPr>
        <w:t xml:space="preserve">los </w:t>
      </w:r>
      <w:r w:rsidR="007D709B" w:rsidRPr="00DD6BE4">
        <w:rPr>
          <w:lang w:val="es-ES_tradnl"/>
        </w:rPr>
        <w:t>registros, o la posibilidad de presentar un únic</w:t>
      </w:r>
      <w:r w:rsidR="007E33D9" w:rsidRPr="00DD6BE4">
        <w:rPr>
          <w:lang w:val="es-ES_tradnl"/>
        </w:rPr>
        <w:t>o</w:t>
      </w:r>
      <w:r w:rsidR="007D709B" w:rsidRPr="00DD6BE4">
        <w:rPr>
          <w:lang w:val="es-ES_tradnl"/>
        </w:rPr>
        <w:t xml:space="preserve"> </w:t>
      </w:r>
      <w:r w:rsidR="007E33D9" w:rsidRPr="00DD6BE4">
        <w:rPr>
          <w:lang w:val="es-ES_tradnl"/>
        </w:rPr>
        <w:t>pedido</w:t>
      </w:r>
      <w:r w:rsidR="007D709B" w:rsidRPr="00DD6BE4">
        <w:rPr>
          <w:lang w:val="es-ES_tradnl"/>
        </w:rPr>
        <w:t xml:space="preserve"> de </w:t>
      </w:r>
      <w:r w:rsidR="007E33D9" w:rsidRPr="00DD6BE4">
        <w:rPr>
          <w:lang w:val="es-ES_tradnl"/>
        </w:rPr>
        <w:t>modificaciones</w:t>
      </w:r>
      <w:r w:rsidR="007D709B" w:rsidRPr="00DD6BE4">
        <w:rPr>
          <w:lang w:val="es-ES_tradnl"/>
        </w:rPr>
        <w:t xml:space="preserve"> y correcciones </w:t>
      </w:r>
      <w:r w:rsidR="00437756" w:rsidRPr="00DD6BE4">
        <w:rPr>
          <w:lang w:val="es-ES_tradnl"/>
        </w:rPr>
        <w:t xml:space="preserve">para varias marcas del mismo titular pueden requerir </w:t>
      </w:r>
      <w:r w:rsidR="00176C4D" w:rsidRPr="00DD6BE4">
        <w:rPr>
          <w:lang w:val="es-ES_tradnl"/>
        </w:rPr>
        <w:t>la utilización de</w:t>
      </w:r>
      <w:r w:rsidR="00437756" w:rsidRPr="00DD6BE4">
        <w:rPr>
          <w:lang w:val="es-ES_tradnl"/>
        </w:rPr>
        <w:t xml:space="preserve"> soluciones digitales personalizadas. </w:t>
      </w:r>
      <w:r w:rsidR="00176C4D" w:rsidRPr="00DD6BE4">
        <w:rPr>
          <w:lang w:val="es-ES_tradnl"/>
        </w:rPr>
        <w:t>Se dispone de</w:t>
      </w:r>
      <w:r w:rsidR="00695147" w:rsidRPr="00DD6BE4">
        <w:rPr>
          <w:lang w:val="es-ES_tradnl"/>
        </w:rPr>
        <w:t xml:space="preserve"> asistenci</w:t>
      </w:r>
      <w:r w:rsidR="00176C4D" w:rsidRPr="00DD6BE4">
        <w:rPr>
          <w:lang w:val="es-ES_tradnl"/>
        </w:rPr>
        <w:t>a</w:t>
      </w:r>
      <w:r w:rsidR="00695147" w:rsidRPr="00DD6BE4">
        <w:rPr>
          <w:lang w:val="es-ES_tradnl"/>
        </w:rPr>
        <w:t xml:space="preserve"> técnic</w:t>
      </w:r>
      <w:r w:rsidR="00176C4D" w:rsidRPr="00DD6BE4">
        <w:rPr>
          <w:lang w:val="es-ES_tradnl"/>
        </w:rPr>
        <w:t>a</w:t>
      </w:r>
      <w:r w:rsidR="00695147" w:rsidRPr="00DD6BE4">
        <w:rPr>
          <w:lang w:val="es-ES_tradnl"/>
        </w:rPr>
        <w:t xml:space="preserve"> para tratar esas necesidades específicas. Durante el bienio, la Secretarí</w:t>
      </w:r>
      <w:r w:rsidR="00176C4D" w:rsidRPr="00DD6BE4">
        <w:rPr>
          <w:lang w:val="es-ES_tradnl"/>
        </w:rPr>
        <w:t>a</w:t>
      </w:r>
      <w:r w:rsidR="005D61E0" w:rsidRPr="00DD6BE4">
        <w:rPr>
          <w:lang w:val="es-ES_tradnl"/>
        </w:rPr>
        <w:t xml:space="preserve"> </w:t>
      </w:r>
      <w:r w:rsidR="00695147" w:rsidRPr="00DD6BE4">
        <w:rPr>
          <w:lang w:val="es-ES_tradnl"/>
        </w:rPr>
        <w:t>también pr</w:t>
      </w:r>
      <w:r w:rsidR="00F466DA" w:rsidRPr="00DD6BE4">
        <w:rPr>
          <w:lang w:val="es-ES_tradnl"/>
        </w:rPr>
        <w:t>estó</w:t>
      </w:r>
      <w:r w:rsidR="00695147" w:rsidRPr="00DD6BE4">
        <w:rPr>
          <w:lang w:val="es-ES_tradnl"/>
        </w:rPr>
        <w:t xml:space="preserve"> asesoramiento jurídico y práctico específic</w:t>
      </w:r>
      <w:r w:rsidR="00176C4D" w:rsidRPr="00DD6BE4">
        <w:rPr>
          <w:lang w:val="es-ES_tradnl"/>
        </w:rPr>
        <w:t>o</w:t>
      </w:r>
      <w:r w:rsidR="00695147" w:rsidRPr="00DD6BE4">
        <w:rPr>
          <w:lang w:val="es-ES_tradnl"/>
        </w:rPr>
        <w:t xml:space="preserve"> a los Estados miembros interesados</w:t>
      </w:r>
      <w:r w:rsidR="00A13F40" w:rsidRPr="00DD6BE4">
        <w:rPr>
          <w:lang w:val="es-ES_tradnl"/>
        </w:rPr>
        <w:t xml:space="preserve">. Prestó </w:t>
      </w:r>
      <w:r w:rsidR="006872CD" w:rsidRPr="00DD6BE4">
        <w:rPr>
          <w:lang w:val="es-ES_tradnl"/>
        </w:rPr>
        <w:t xml:space="preserve">asesoramiento en materia legislativa y normativa en la esfera del Derecho de marcas y del Derecho de los diseños, teniendo en cuenta las necesidades de los países beneficiarios </w:t>
      </w:r>
      <w:r w:rsidR="00F466DA" w:rsidRPr="00DD6BE4">
        <w:rPr>
          <w:lang w:val="es-ES_tradnl"/>
        </w:rPr>
        <w:t>en hasta 22 casos, de acuerdo con la siguiente distribución por regiones:</w:t>
      </w:r>
      <w:r w:rsidR="005D61E0" w:rsidRPr="00DD6BE4">
        <w:rPr>
          <w:lang w:val="es-ES_tradnl"/>
        </w:rPr>
        <w:t xml:space="preserve"> </w:t>
      </w:r>
      <w:r w:rsidR="00A13F40" w:rsidRPr="00DD6BE4">
        <w:rPr>
          <w:lang w:val="es-ES_tradnl"/>
        </w:rPr>
        <w:t>África (5), América Latina y el Caribe (3)</w:t>
      </w:r>
      <w:r w:rsidR="007E33D9" w:rsidRPr="00DD6BE4">
        <w:rPr>
          <w:lang w:val="es-ES_tradnl"/>
        </w:rPr>
        <w:t>,</w:t>
      </w:r>
      <w:r w:rsidR="00A13F40" w:rsidRPr="00DD6BE4">
        <w:rPr>
          <w:lang w:val="es-ES_tradnl"/>
        </w:rPr>
        <w:t xml:space="preserve"> </w:t>
      </w:r>
      <w:r w:rsidR="007E33D9" w:rsidRPr="00DD6BE4">
        <w:rPr>
          <w:lang w:val="es-ES_tradnl"/>
        </w:rPr>
        <w:t xml:space="preserve">Asia y el Pacífico (7), países árabes (6) </w:t>
      </w:r>
      <w:r w:rsidR="00A13F40" w:rsidRPr="00DD6BE4">
        <w:rPr>
          <w:lang w:val="es-ES_tradnl"/>
        </w:rPr>
        <w:t xml:space="preserve">y países en </w:t>
      </w:r>
      <w:r w:rsidR="007E33D9" w:rsidRPr="00DD6BE4">
        <w:rPr>
          <w:lang w:val="es-ES_tradnl"/>
        </w:rPr>
        <w:t>transición y desarrollados (1).</w:t>
      </w:r>
    </w:p>
    <w:p w14:paraId="0BC09A93" w14:textId="77777777" w:rsidR="00C86B3F" w:rsidRPr="00DD6BE4" w:rsidRDefault="00C86B3F" w:rsidP="001602BC">
      <w:pPr>
        <w:pStyle w:val="ListParagraph"/>
        <w:tabs>
          <w:tab w:val="left" w:pos="540"/>
        </w:tabs>
        <w:spacing w:after="240"/>
        <w:ind w:left="0"/>
        <w:rPr>
          <w:lang w:val="es-ES_tradnl"/>
        </w:rPr>
      </w:pPr>
    </w:p>
    <w:p w14:paraId="5F1A3E23" w14:textId="21040B6F" w:rsidR="00346B0D" w:rsidRPr="00DD6BE4" w:rsidRDefault="00676223" w:rsidP="00346B0D">
      <w:pPr>
        <w:pStyle w:val="ListParagraph"/>
        <w:numPr>
          <w:ilvl w:val="0"/>
          <w:numId w:val="4"/>
        </w:numPr>
        <w:tabs>
          <w:tab w:val="left" w:pos="540"/>
        </w:tabs>
        <w:spacing w:after="240"/>
        <w:ind w:left="0" w:firstLine="0"/>
        <w:rPr>
          <w:lang w:val="es-ES_tradnl"/>
        </w:rPr>
      </w:pPr>
      <w:r w:rsidRPr="00DD6BE4">
        <w:rPr>
          <w:lang w:val="es-ES_tradnl"/>
        </w:rPr>
        <w:t xml:space="preserve">En 2016, la Secretaría del Comité Permanente sobre el Derecho de Marcas, Diseños Industriales e Indicaciones Geográficas (SCT) preparó y </w:t>
      </w:r>
      <w:r w:rsidR="0071376F" w:rsidRPr="00DD6BE4">
        <w:rPr>
          <w:lang w:val="es-ES_tradnl"/>
        </w:rPr>
        <w:t>remitió</w:t>
      </w:r>
      <w:r w:rsidRPr="00DD6BE4">
        <w:rPr>
          <w:lang w:val="es-ES_tradnl"/>
        </w:rPr>
        <w:t xml:space="preserve"> a todos los Estados miembros de la OMPI el </w:t>
      </w:r>
      <w:r w:rsidRPr="00DD6BE4">
        <w:rPr>
          <w:i/>
          <w:iCs/>
          <w:lang w:val="es-ES_tradnl"/>
        </w:rPr>
        <w:t xml:space="preserve">Cuestionario </w:t>
      </w:r>
      <w:r w:rsidR="00B2750A" w:rsidRPr="00DD6BE4">
        <w:rPr>
          <w:i/>
          <w:iCs/>
          <w:lang w:val="es-ES_tradnl"/>
        </w:rPr>
        <w:t>sobre</w:t>
      </w:r>
      <w:r w:rsidR="0071376F" w:rsidRPr="00DD6BE4">
        <w:rPr>
          <w:i/>
          <w:iCs/>
          <w:lang w:val="es-ES_tradnl"/>
        </w:rPr>
        <w:t xml:space="preserve"> diseños de interfaces gráficas de usuario (IGU), iconos y fuentes/tipos</w:t>
      </w:r>
      <w:r w:rsidR="0071376F" w:rsidRPr="00DD6BE4">
        <w:rPr>
          <w:lang w:val="es-ES_tradnl"/>
        </w:rPr>
        <w:t xml:space="preserve">, </w:t>
      </w:r>
      <w:r w:rsidR="002A073B" w:rsidRPr="00DD6BE4">
        <w:rPr>
          <w:lang w:val="es-ES_tradnl"/>
        </w:rPr>
        <w:t xml:space="preserve">donde </w:t>
      </w:r>
      <w:r w:rsidR="0071376F" w:rsidRPr="00DD6BE4">
        <w:rPr>
          <w:lang w:val="es-ES_tradnl"/>
        </w:rPr>
        <w:t>se incluyeron preguntas sobre la protección de los nuevos diseños tecnológicos utilizados en aplicaciones y otras tecnologías emergentes</w:t>
      </w:r>
      <w:r w:rsidR="00B8093F" w:rsidRPr="00DD6BE4">
        <w:rPr>
          <w:lang w:val="es-ES_tradnl"/>
        </w:rPr>
        <w:t>.</w:t>
      </w:r>
      <w:r w:rsidR="00CF49D8" w:rsidRPr="00DD6BE4">
        <w:rPr>
          <w:lang w:val="es-ES_tradnl"/>
        </w:rPr>
        <w:t xml:space="preserve"> </w:t>
      </w:r>
      <w:r w:rsidR="00B2750A" w:rsidRPr="00DD6BE4">
        <w:rPr>
          <w:lang w:val="es-ES_tradnl"/>
        </w:rPr>
        <w:t>La información recopilada en el cuestionario</w:t>
      </w:r>
      <w:r w:rsidR="001C5326" w:rsidRPr="00DD6BE4">
        <w:rPr>
          <w:rStyle w:val="FootnoteReference"/>
          <w:lang w:val="es-ES_tradnl"/>
        </w:rPr>
        <w:footnoteReference w:id="6"/>
      </w:r>
      <w:r w:rsidR="00B8093F" w:rsidRPr="00DD6BE4">
        <w:rPr>
          <w:lang w:val="es-ES_tradnl"/>
        </w:rPr>
        <w:t xml:space="preserve"> </w:t>
      </w:r>
      <w:r w:rsidR="00B2750A" w:rsidRPr="00DD6BE4">
        <w:rPr>
          <w:lang w:val="es-ES_tradnl"/>
        </w:rPr>
        <w:t xml:space="preserve">proporciona una buena descripción </w:t>
      </w:r>
      <w:r w:rsidR="00D219AF" w:rsidRPr="00DD6BE4">
        <w:rPr>
          <w:lang w:val="es-ES_tradnl"/>
        </w:rPr>
        <w:t xml:space="preserve">sobre </w:t>
      </w:r>
      <w:r w:rsidR="00B2750A" w:rsidRPr="00DD6BE4">
        <w:rPr>
          <w:lang w:val="es-ES_tradnl"/>
        </w:rPr>
        <w:t>e</w:t>
      </w:r>
      <w:r w:rsidR="00387E0B" w:rsidRPr="00DD6BE4">
        <w:rPr>
          <w:lang w:val="es-ES_tradnl"/>
        </w:rPr>
        <w:t>l</w:t>
      </w:r>
      <w:r w:rsidR="00B2750A" w:rsidRPr="00DD6BE4">
        <w:rPr>
          <w:lang w:val="es-ES_tradnl"/>
        </w:rPr>
        <w:t xml:space="preserve"> m</w:t>
      </w:r>
      <w:r w:rsidR="00387E0B" w:rsidRPr="00DD6BE4">
        <w:rPr>
          <w:lang w:val="es-ES_tradnl"/>
        </w:rPr>
        <w:t>odo</w:t>
      </w:r>
      <w:r w:rsidR="00B2750A" w:rsidRPr="00DD6BE4">
        <w:rPr>
          <w:lang w:val="es-ES_tradnl"/>
        </w:rPr>
        <w:t xml:space="preserve"> en que se protegen las IGU y los iconos en todo el mundo</w:t>
      </w:r>
      <w:r w:rsidR="00346B0D" w:rsidRPr="00DD6BE4">
        <w:rPr>
          <w:lang w:val="es-ES_tradnl"/>
        </w:rPr>
        <w:t>.</w:t>
      </w:r>
    </w:p>
    <w:p w14:paraId="0CCEA992" w14:textId="77777777" w:rsidR="00346B0D" w:rsidRPr="00DD6BE4" w:rsidRDefault="00346B0D" w:rsidP="00346B0D">
      <w:pPr>
        <w:pStyle w:val="ListParagraph"/>
        <w:tabs>
          <w:tab w:val="left" w:pos="360"/>
        </w:tabs>
        <w:ind w:left="0"/>
        <w:rPr>
          <w:lang w:val="es-ES_tradnl"/>
        </w:rPr>
      </w:pPr>
    </w:p>
    <w:p w14:paraId="5810BE7D" w14:textId="42DACFB3" w:rsidR="0074362C" w:rsidRPr="00DD6BE4" w:rsidRDefault="00051CE3" w:rsidP="0074362C">
      <w:pPr>
        <w:pStyle w:val="Heading4"/>
        <w:keepLines/>
        <w:rPr>
          <w:szCs w:val="22"/>
          <w:lang w:val="es-ES_tradnl"/>
        </w:rPr>
      </w:pPr>
      <w:r w:rsidRPr="00DD6BE4">
        <w:rPr>
          <w:szCs w:val="22"/>
          <w:lang w:val="es-ES_tradnl"/>
        </w:rPr>
        <w:t>Legislación de derecho de autor y derechos conexos</w:t>
      </w:r>
    </w:p>
    <w:p w14:paraId="537EAE4B" w14:textId="77777777" w:rsidR="00346B0D" w:rsidRPr="00DD6BE4" w:rsidRDefault="00346B0D" w:rsidP="00346B0D">
      <w:pPr>
        <w:keepNext/>
        <w:keepLines/>
        <w:rPr>
          <w:lang w:val="es-ES_tradnl"/>
        </w:rPr>
      </w:pPr>
    </w:p>
    <w:p w14:paraId="3DF1522E" w14:textId="657AB8C3" w:rsidR="00346B0D" w:rsidRPr="00DD6BE4" w:rsidRDefault="002A073B" w:rsidP="00346B0D">
      <w:pPr>
        <w:pStyle w:val="ListParagraph"/>
        <w:numPr>
          <w:ilvl w:val="0"/>
          <w:numId w:val="4"/>
        </w:numPr>
        <w:tabs>
          <w:tab w:val="left" w:pos="540"/>
        </w:tabs>
        <w:spacing w:after="240"/>
        <w:ind w:left="0" w:firstLine="0"/>
        <w:rPr>
          <w:lang w:val="es-ES_tradnl"/>
        </w:rPr>
      </w:pPr>
      <w:r w:rsidRPr="00DD6BE4">
        <w:rPr>
          <w:lang w:val="es-ES_tradnl"/>
        </w:rPr>
        <w:t xml:space="preserve">La OMPI organizó </w:t>
      </w:r>
      <w:r w:rsidR="000515B2" w:rsidRPr="00DD6BE4">
        <w:rPr>
          <w:lang w:val="es-ES_tradnl"/>
        </w:rPr>
        <w:t xml:space="preserve">la Encuesta sobre los sistemas de registro voluntario de los derechos de autor y publicó su informe en </w:t>
      </w:r>
      <w:r w:rsidR="004F39F3" w:rsidRPr="00DD6BE4">
        <w:rPr>
          <w:lang w:val="es-ES_tradnl"/>
        </w:rPr>
        <w:t>2021.</w:t>
      </w:r>
      <w:r w:rsidR="00C50785" w:rsidRPr="00DD6BE4">
        <w:rPr>
          <w:rStyle w:val="FootnoteReference"/>
          <w:lang w:val="es-ES_tradnl"/>
        </w:rPr>
        <w:footnoteReference w:id="7"/>
      </w:r>
      <w:r w:rsidR="005D61E0" w:rsidRPr="00DD6BE4">
        <w:rPr>
          <w:lang w:val="es-ES_tradnl"/>
        </w:rPr>
        <w:t xml:space="preserve"> </w:t>
      </w:r>
      <w:r w:rsidR="004F39F3" w:rsidRPr="00DD6BE4">
        <w:rPr>
          <w:lang w:val="es-ES_tradnl"/>
        </w:rPr>
        <w:t>T</w:t>
      </w:r>
      <w:r w:rsidR="00B320AF" w:rsidRPr="00DD6BE4">
        <w:rPr>
          <w:lang w:val="es-ES_tradnl"/>
        </w:rPr>
        <w:t>eniendo en cuenta el principio de protección sin formalidades establecido en el Convenio de Berna, la OMPI ofrece y continuará ofreciendo asistencia técnica en este campo mediante el intercambio de fuentes de información sobre los sistemas de registro voluntario de derechos de autor existentes y mediante la organización de actividades de fortalecimiento de capacidades para los países en desarrollo y los países con economías en transición, entre otras cosas</w:t>
      </w:r>
      <w:r w:rsidR="004F39F3" w:rsidRPr="00DD6BE4">
        <w:rPr>
          <w:lang w:val="es-ES_tradnl"/>
        </w:rPr>
        <w:t>.</w:t>
      </w:r>
    </w:p>
    <w:p w14:paraId="1EC01C29" w14:textId="77777777" w:rsidR="004F39F3" w:rsidRPr="00DD6BE4" w:rsidRDefault="004F39F3" w:rsidP="00C33625">
      <w:pPr>
        <w:pStyle w:val="ListParagraph"/>
        <w:tabs>
          <w:tab w:val="left" w:pos="540"/>
        </w:tabs>
        <w:spacing w:after="240"/>
        <w:ind w:left="0"/>
        <w:rPr>
          <w:lang w:val="es-ES_tradnl"/>
        </w:rPr>
      </w:pPr>
    </w:p>
    <w:p w14:paraId="16CFE94F" w14:textId="77F7413F" w:rsidR="004F39F3" w:rsidRPr="00DD6BE4" w:rsidRDefault="004118F6" w:rsidP="00346B0D">
      <w:pPr>
        <w:pStyle w:val="ListParagraph"/>
        <w:numPr>
          <w:ilvl w:val="0"/>
          <w:numId w:val="4"/>
        </w:numPr>
        <w:tabs>
          <w:tab w:val="left" w:pos="540"/>
        </w:tabs>
        <w:spacing w:after="240"/>
        <w:ind w:left="0" w:firstLine="0"/>
        <w:rPr>
          <w:lang w:val="es-ES_tradnl"/>
        </w:rPr>
      </w:pPr>
      <w:r w:rsidRPr="00DD6BE4">
        <w:rPr>
          <w:lang w:val="es-ES_tradnl"/>
        </w:rPr>
        <w:t>Asimismo, l</w:t>
      </w:r>
      <w:r w:rsidR="00450592" w:rsidRPr="00DD6BE4">
        <w:rPr>
          <w:lang w:val="es-ES_tradnl"/>
        </w:rPr>
        <w:t xml:space="preserve">a OMPI prestó asesoramiento </w:t>
      </w:r>
      <w:r w:rsidR="00A0267F" w:rsidRPr="00DD6BE4">
        <w:rPr>
          <w:lang w:val="es-ES_tradnl"/>
        </w:rPr>
        <w:t xml:space="preserve">y participó </w:t>
      </w:r>
      <w:r w:rsidR="002F5A82" w:rsidRPr="00DD6BE4">
        <w:rPr>
          <w:lang w:val="es-ES_tradnl"/>
        </w:rPr>
        <w:t>en calidad de o</w:t>
      </w:r>
      <w:r w:rsidR="00A0267F" w:rsidRPr="00DD6BE4">
        <w:rPr>
          <w:lang w:val="es-ES_tradnl"/>
        </w:rPr>
        <w:t>bservador en la Conferencia Diplomática que condujo a la adopción</w:t>
      </w:r>
      <w:r w:rsidR="00B56B6A" w:rsidRPr="00DD6BE4">
        <w:rPr>
          <w:lang w:val="es-ES_tradnl"/>
        </w:rPr>
        <w:t>,</w:t>
      </w:r>
      <w:r w:rsidR="00A0267F" w:rsidRPr="00DD6BE4">
        <w:rPr>
          <w:lang w:val="es-ES_tradnl"/>
        </w:rPr>
        <w:t xml:space="preserve"> el 28 de agosto de 2021</w:t>
      </w:r>
      <w:r w:rsidR="00B56B6A" w:rsidRPr="00DD6BE4">
        <w:rPr>
          <w:lang w:val="es-ES_tradnl"/>
        </w:rPr>
        <w:t>,</w:t>
      </w:r>
      <w:r w:rsidR="00A0267F" w:rsidRPr="00DD6BE4">
        <w:rPr>
          <w:lang w:val="es-ES_tradnl"/>
        </w:rPr>
        <w:t xml:space="preserve"> del Protocolo de Kampala sobre el </w:t>
      </w:r>
      <w:r w:rsidR="000B72F2" w:rsidRPr="00DD6BE4">
        <w:rPr>
          <w:lang w:val="es-ES_tradnl"/>
        </w:rPr>
        <w:t>R</w:t>
      </w:r>
      <w:r w:rsidR="00A0267F" w:rsidRPr="00DD6BE4">
        <w:rPr>
          <w:lang w:val="es-ES_tradnl"/>
        </w:rPr>
        <w:t xml:space="preserve">egistro </w:t>
      </w:r>
      <w:r w:rsidR="000B72F2" w:rsidRPr="00DD6BE4">
        <w:rPr>
          <w:lang w:val="es-ES_tradnl"/>
        </w:rPr>
        <w:t>Facultativo</w:t>
      </w:r>
      <w:r w:rsidR="00A0267F" w:rsidRPr="00DD6BE4">
        <w:rPr>
          <w:lang w:val="es-ES_tradnl"/>
        </w:rPr>
        <w:t xml:space="preserve"> de</w:t>
      </w:r>
      <w:r w:rsidR="000B72F2" w:rsidRPr="00DD6BE4">
        <w:rPr>
          <w:lang w:val="es-ES_tradnl"/>
        </w:rPr>
        <w:t xml:space="preserve"> los</w:t>
      </w:r>
      <w:r w:rsidR="00A0267F" w:rsidRPr="00DD6BE4">
        <w:rPr>
          <w:lang w:val="es-ES_tradnl"/>
        </w:rPr>
        <w:t xml:space="preserve"> </w:t>
      </w:r>
      <w:r w:rsidR="000B72F2" w:rsidRPr="00DD6BE4">
        <w:rPr>
          <w:lang w:val="es-ES_tradnl"/>
        </w:rPr>
        <w:t>D</w:t>
      </w:r>
      <w:r w:rsidR="00A0267F" w:rsidRPr="00DD6BE4">
        <w:rPr>
          <w:lang w:val="es-ES_tradnl"/>
        </w:rPr>
        <w:t xml:space="preserve">erechos de </w:t>
      </w:r>
      <w:r w:rsidR="000B72F2" w:rsidRPr="00DD6BE4">
        <w:rPr>
          <w:lang w:val="es-ES_tradnl"/>
        </w:rPr>
        <w:t>A</w:t>
      </w:r>
      <w:r w:rsidR="00A0267F" w:rsidRPr="00DD6BE4">
        <w:rPr>
          <w:lang w:val="es-ES_tradnl"/>
        </w:rPr>
        <w:t>utor y</w:t>
      </w:r>
      <w:r w:rsidR="000B72F2" w:rsidRPr="00DD6BE4">
        <w:rPr>
          <w:lang w:val="es-ES_tradnl"/>
        </w:rPr>
        <w:t xml:space="preserve"> los</w:t>
      </w:r>
      <w:r w:rsidR="00A0267F" w:rsidRPr="00DD6BE4">
        <w:rPr>
          <w:lang w:val="es-ES_tradnl"/>
        </w:rPr>
        <w:t xml:space="preserve"> </w:t>
      </w:r>
      <w:r w:rsidR="000B72F2" w:rsidRPr="00DD6BE4">
        <w:rPr>
          <w:lang w:val="es-ES_tradnl"/>
        </w:rPr>
        <w:t>D</w:t>
      </w:r>
      <w:r w:rsidR="00A0267F" w:rsidRPr="00DD6BE4">
        <w:rPr>
          <w:lang w:val="es-ES_tradnl"/>
        </w:rPr>
        <w:t xml:space="preserve">erechos </w:t>
      </w:r>
      <w:r w:rsidR="000B72F2" w:rsidRPr="00DD6BE4">
        <w:rPr>
          <w:lang w:val="es-ES_tradnl"/>
        </w:rPr>
        <w:t>C</w:t>
      </w:r>
      <w:r w:rsidR="00A0267F" w:rsidRPr="00DD6BE4">
        <w:rPr>
          <w:lang w:val="es-ES_tradnl"/>
        </w:rPr>
        <w:t>onexos</w:t>
      </w:r>
      <w:r w:rsidR="00830D5D" w:rsidRPr="00DD6BE4">
        <w:rPr>
          <w:lang w:val="es-ES_tradnl"/>
        </w:rPr>
        <w:t>,</w:t>
      </w:r>
      <w:r w:rsidR="00DB6DEB" w:rsidRPr="00DD6BE4">
        <w:rPr>
          <w:rStyle w:val="FootnoteReference"/>
          <w:lang w:val="es-ES_tradnl"/>
        </w:rPr>
        <w:footnoteReference w:id="8"/>
      </w:r>
      <w:r w:rsidR="004F39F3" w:rsidRPr="00DD6BE4">
        <w:rPr>
          <w:lang w:val="es-ES_tradnl"/>
        </w:rPr>
        <w:t xml:space="preserve"> </w:t>
      </w:r>
      <w:r w:rsidR="000B72F2" w:rsidRPr="00DD6BE4">
        <w:rPr>
          <w:lang w:val="es-ES_tradnl"/>
        </w:rPr>
        <w:t xml:space="preserve">en el marco de la Organización Regional Africana de la Propiedad Intelectual </w:t>
      </w:r>
      <w:r w:rsidR="004F39F3" w:rsidRPr="00DD6BE4">
        <w:rPr>
          <w:lang w:val="es-ES_tradnl"/>
        </w:rPr>
        <w:t>(ARIPO).</w:t>
      </w:r>
    </w:p>
    <w:p w14:paraId="3C766C9F" w14:textId="63D8E8F5" w:rsidR="004F39F3" w:rsidRPr="00DD6BE4" w:rsidRDefault="004F39F3" w:rsidP="00346B0D">
      <w:pPr>
        <w:pStyle w:val="ListParagraph"/>
        <w:tabs>
          <w:tab w:val="left" w:pos="360"/>
        </w:tabs>
        <w:ind w:left="0"/>
        <w:rPr>
          <w:lang w:val="es-ES_tradnl"/>
        </w:rPr>
      </w:pPr>
    </w:p>
    <w:p w14:paraId="5A5171B6" w14:textId="60D715E9" w:rsidR="00346B0D" w:rsidRPr="00DD6BE4" w:rsidRDefault="00203286" w:rsidP="002B7A8B">
      <w:pPr>
        <w:pStyle w:val="Heading4"/>
        <w:rPr>
          <w:lang w:val="es-ES_tradnl"/>
        </w:rPr>
      </w:pPr>
      <w:r w:rsidRPr="00DD6BE4">
        <w:rPr>
          <w:lang w:val="es-ES_tradnl"/>
        </w:rPr>
        <w:t>Suministro</w:t>
      </w:r>
      <w:r w:rsidR="009102CE" w:rsidRPr="00DD6BE4">
        <w:rPr>
          <w:lang w:val="es-ES_tradnl"/>
        </w:rPr>
        <w:t xml:space="preserve"> de información jurídica </w:t>
      </w:r>
      <w:r w:rsidR="00346B0D" w:rsidRPr="00DD6BE4">
        <w:rPr>
          <w:lang w:val="es-ES_tradnl"/>
        </w:rPr>
        <w:t>(WIPO Lex)</w:t>
      </w:r>
    </w:p>
    <w:p w14:paraId="01843AE6" w14:textId="77777777" w:rsidR="00346B0D" w:rsidRPr="00DD6BE4" w:rsidRDefault="00346B0D" w:rsidP="00346B0D">
      <w:pPr>
        <w:rPr>
          <w:lang w:val="es-ES_tradnl"/>
        </w:rPr>
      </w:pPr>
    </w:p>
    <w:p w14:paraId="48D42C9F" w14:textId="627448EC" w:rsidR="00346B0D" w:rsidRPr="00DD6BE4" w:rsidRDefault="008A21EA" w:rsidP="00346B0D">
      <w:pPr>
        <w:pStyle w:val="ListParagraph"/>
        <w:numPr>
          <w:ilvl w:val="0"/>
          <w:numId w:val="4"/>
        </w:numPr>
        <w:tabs>
          <w:tab w:val="left" w:pos="540"/>
        </w:tabs>
        <w:spacing w:after="240"/>
        <w:ind w:left="0" w:firstLine="0"/>
        <w:rPr>
          <w:lang w:val="es-ES_tradnl"/>
        </w:rPr>
      </w:pPr>
      <w:r w:rsidRPr="00DD6BE4">
        <w:rPr>
          <w:lang w:val="es-ES_tradnl"/>
        </w:rPr>
        <w:t>Además de prestar asesoramiento jurídico, la OMPI proporciona acceso gratuito a información jurídica a través de la base de datos WIPO Lex, lo que permite a los legisladores y</w:t>
      </w:r>
      <w:r w:rsidR="00D6264A" w:rsidRPr="00DD6BE4">
        <w:rPr>
          <w:lang w:val="es-ES_tradnl"/>
        </w:rPr>
        <w:t xml:space="preserve"> encargados de </w:t>
      </w:r>
      <w:r w:rsidR="004C25B9" w:rsidRPr="00DD6BE4">
        <w:rPr>
          <w:lang w:val="es-ES_tradnl"/>
        </w:rPr>
        <w:t>la formulación de</w:t>
      </w:r>
      <w:r w:rsidR="00D6264A" w:rsidRPr="00DD6BE4">
        <w:rPr>
          <w:lang w:val="es-ES_tradnl"/>
        </w:rPr>
        <w:t xml:space="preserve"> políticas en</w:t>
      </w:r>
      <w:r w:rsidRPr="00DD6BE4">
        <w:rPr>
          <w:lang w:val="es-ES_tradnl"/>
        </w:rPr>
        <w:t xml:space="preserve"> los países en desarrollo y </w:t>
      </w:r>
      <w:r w:rsidR="009749D7" w:rsidRPr="00DD6BE4">
        <w:rPr>
          <w:lang w:val="es-ES_tradnl"/>
        </w:rPr>
        <w:t xml:space="preserve">los </w:t>
      </w:r>
      <w:r w:rsidR="00D6264A" w:rsidRPr="00DD6BE4">
        <w:rPr>
          <w:lang w:val="es-ES_tradnl"/>
        </w:rPr>
        <w:t xml:space="preserve">países menos adelantados </w:t>
      </w:r>
      <w:r w:rsidRPr="00DD6BE4">
        <w:rPr>
          <w:lang w:val="es-ES_tradnl"/>
        </w:rPr>
        <w:t xml:space="preserve">seguir de cerca y estudiar la evolución de las leyes de PI en el mundo, incluidas las novedades recientes </w:t>
      </w:r>
      <w:r w:rsidR="00D6264A" w:rsidRPr="00DD6BE4">
        <w:rPr>
          <w:lang w:val="es-ES_tradnl"/>
        </w:rPr>
        <w:t xml:space="preserve">en materia de </w:t>
      </w:r>
      <w:r w:rsidRPr="00DD6BE4">
        <w:rPr>
          <w:lang w:val="es-ES_tradnl"/>
        </w:rPr>
        <w:t>protección de la PI en el entorno digital</w:t>
      </w:r>
      <w:r w:rsidR="00D6264A" w:rsidRPr="00DD6BE4">
        <w:rPr>
          <w:lang w:val="es-ES_tradnl"/>
        </w:rPr>
        <w:t>.</w:t>
      </w:r>
    </w:p>
    <w:p w14:paraId="0EC0A9E8" w14:textId="77777777" w:rsidR="00346B0D" w:rsidRPr="00DD6BE4" w:rsidRDefault="00346B0D" w:rsidP="00346B0D">
      <w:pPr>
        <w:pStyle w:val="ListParagraph"/>
        <w:tabs>
          <w:tab w:val="left" w:pos="360"/>
        </w:tabs>
        <w:ind w:left="0"/>
        <w:rPr>
          <w:lang w:val="es-ES_tradnl"/>
        </w:rPr>
      </w:pPr>
    </w:p>
    <w:p w14:paraId="60536493" w14:textId="6ED91FBB" w:rsidR="00DD7399" w:rsidRPr="00DD6BE4" w:rsidRDefault="00B02198" w:rsidP="00A25DC8">
      <w:pPr>
        <w:pStyle w:val="ListParagraph"/>
        <w:numPr>
          <w:ilvl w:val="0"/>
          <w:numId w:val="4"/>
        </w:numPr>
        <w:tabs>
          <w:tab w:val="left" w:pos="540"/>
        </w:tabs>
        <w:spacing w:after="240"/>
        <w:ind w:left="0" w:firstLine="0"/>
        <w:rPr>
          <w:lang w:val="es-ES_tradnl"/>
        </w:rPr>
      </w:pPr>
      <w:r w:rsidRPr="00DD6BE4">
        <w:rPr>
          <w:lang w:val="es-ES_tradnl"/>
        </w:rPr>
        <w:t>E</w:t>
      </w:r>
      <w:r w:rsidR="00346B0D" w:rsidRPr="00DD6BE4">
        <w:rPr>
          <w:lang w:val="es-ES_tradnl"/>
        </w:rPr>
        <w:t xml:space="preserve">n 2020 </w:t>
      </w:r>
      <w:r w:rsidRPr="00DD6BE4">
        <w:rPr>
          <w:lang w:val="es-ES_tradnl"/>
        </w:rPr>
        <w:t>la OMPI amplió WIPO Lex para incluir las sentencias en materia de PI como una nueva colección. El objetivo de WIPO Lex – Sentencias es contribuir a la disponibilidad de información y datos sobre los sistemas judiciales y las decisiones relacionadas con la PI mediante la difusión de las principales sentencias que establecen precedentes o interpretaciones convincentes en materia de PI</w:t>
      </w:r>
      <w:r w:rsidR="00F21738" w:rsidRPr="00DD6BE4">
        <w:rPr>
          <w:lang w:val="es-ES_tradnl"/>
        </w:rPr>
        <w:t>.</w:t>
      </w:r>
      <w:r w:rsidRPr="00DD6BE4">
        <w:rPr>
          <w:lang w:val="es-ES_tradnl"/>
        </w:rPr>
        <w:t xml:space="preserve"> </w:t>
      </w:r>
      <w:r w:rsidR="00A72EA9" w:rsidRPr="00DD6BE4">
        <w:rPr>
          <w:lang w:val="es-ES_tradnl"/>
        </w:rPr>
        <w:t xml:space="preserve">Actualmente, WIPO Lex – Sentencias </w:t>
      </w:r>
      <w:r w:rsidR="003F205A" w:rsidRPr="00DD6BE4">
        <w:rPr>
          <w:lang w:val="es-ES_tradnl"/>
        </w:rPr>
        <w:t>abarca </w:t>
      </w:r>
      <w:r w:rsidR="00A72EA9" w:rsidRPr="00DD6BE4">
        <w:rPr>
          <w:lang w:val="es-ES_tradnl"/>
        </w:rPr>
        <w:t>24 jurisdicciones y contiene más de 900 sentencias, de las cuales unas 600 provienen de</w:t>
      </w:r>
      <w:r w:rsidR="002257D4" w:rsidRPr="00DD6BE4">
        <w:rPr>
          <w:lang w:val="es-ES_tradnl"/>
        </w:rPr>
        <w:t> </w:t>
      </w:r>
      <w:r w:rsidR="00A72EA9" w:rsidRPr="00DD6BE4">
        <w:rPr>
          <w:lang w:val="es-ES_tradnl"/>
        </w:rPr>
        <w:t>19 países en desarrollo y países menos adelantados</w:t>
      </w:r>
      <w:r w:rsidR="00346B0D" w:rsidRPr="00DD6BE4">
        <w:rPr>
          <w:lang w:val="es-ES_tradnl"/>
        </w:rPr>
        <w:t>.</w:t>
      </w:r>
    </w:p>
    <w:p w14:paraId="5FCABDCE" w14:textId="1593B794" w:rsidR="00400E82" w:rsidRPr="00DD6BE4" w:rsidRDefault="00400E82" w:rsidP="002B7A8B">
      <w:pPr>
        <w:pStyle w:val="Heading4"/>
        <w:rPr>
          <w:lang w:val="es-ES_tradnl"/>
        </w:rPr>
      </w:pPr>
      <w:r w:rsidRPr="00DD6BE4">
        <w:rPr>
          <w:lang w:val="es-ES_tradnl"/>
        </w:rPr>
        <w:t>Acce</w:t>
      </w:r>
      <w:r w:rsidR="00FD0ED8" w:rsidRPr="00DD6BE4">
        <w:rPr>
          <w:lang w:val="es-ES_tradnl"/>
        </w:rPr>
        <w:t>so a datos digitales sobre ciencia y tecnología y PI en bases de datos comerciales</w:t>
      </w:r>
    </w:p>
    <w:p w14:paraId="7E1684E8" w14:textId="77777777" w:rsidR="00400E82" w:rsidRPr="00DD6BE4" w:rsidRDefault="00400E82" w:rsidP="00400E82">
      <w:pPr>
        <w:rPr>
          <w:lang w:val="es-ES_tradnl"/>
        </w:rPr>
      </w:pPr>
    </w:p>
    <w:p w14:paraId="09CB8A86" w14:textId="18579005" w:rsidR="00DD7399" w:rsidRPr="00DD6BE4" w:rsidRDefault="00FD0ED8" w:rsidP="00B86634">
      <w:pPr>
        <w:pStyle w:val="ListParagraph"/>
        <w:numPr>
          <w:ilvl w:val="0"/>
          <w:numId w:val="4"/>
        </w:numPr>
        <w:tabs>
          <w:tab w:val="left" w:pos="540"/>
        </w:tabs>
        <w:spacing w:after="240"/>
        <w:ind w:left="0" w:firstLine="0"/>
        <w:rPr>
          <w:lang w:val="es-ES_tradnl"/>
        </w:rPr>
      </w:pPr>
      <w:r w:rsidRPr="00DD6BE4">
        <w:rPr>
          <w:lang w:val="es-ES_tradnl"/>
        </w:rPr>
        <w:t xml:space="preserve">La OMPI estableció varios proyectos de colaboración en el ámbito del acceso a la información y el conocimiento, en consonancia con las recomendaciones de la Agenda de la OMPI para el Desarrollo. </w:t>
      </w:r>
      <w:r w:rsidR="0004768B" w:rsidRPr="00DD6BE4">
        <w:rPr>
          <w:lang w:val="es-ES_tradnl"/>
        </w:rPr>
        <w:t>El programa de Acceso a la Investigación para el Desarrollo y la Innovación (ARDI) de la OMPI forma parte de una alianza público-privada con algunas de las principales editoriales científicas y técnicas del mundo, y proporciona acceso gratuito o a bajo costo a más de 9.000 revistas científicas y técnicas por suscripción y a más de 52.000 libros electr</w:t>
      </w:r>
      <w:r w:rsidR="002257D4" w:rsidRPr="00DD6BE4">
        <w:rPr>
          <w:lang w:val="es-ES_tradnl"/>
        </w:rPr>
        <w:t>ónicos y obras de referencia en </w:t>
      </w:r>
      <w:r w:rsidR="0004768B" w:rsidRPr="00DD6BE4">
        <w:rPr>
          <w:lang w:val="es-ES_tradnl"/>
        </w:rPr>
        <w:t>125 países en desarrollo y países menos adelantados.</w:t>
      </w:r>
      <w:r w:rsidRPr="00DD6BE4">
        <w:rPr>
          <w:lang w:val="es-ES_tradnl"/>
        </w:rPr>
        <w:t xml:space="preserve"> </w:t>
      </w:r>
      <w:r w:rsidR="00C133E9" w:rsidRPr="00DD6BE4">
        <w:rPr>
          <w:lang w:val="es-ES_tradnl"/>
        </w:rPr>
        <w:t>El número de instituciones suscritas al programa ARDI</w:t>
      </w:r>
      <w:r w:rsidR="005D61E0" w:rsidRPr="00DD6BE4">
        <w:rPr>
          <w:lang w:val="es-ES_tradnl"/>
        </w:rPr>
        <w:t xml:space="preserve"> </w:t>
      </w:r>
      <w:r w:rsidR="00454D83" w:rsidRPr="00DD6BE4">
        <w:rPr>
          <w:lang w:val="es-ES_tradnl"/>
        </w:rPr>
        <w:t>superó las 2.300 el año pasado (véase el gráfico</w:t>
      </w:r>
      <w:r w:rsidR="00F33C1B" w:rsidRPr="00DD6BE4">
        <w:rPr>
          <w:lang w:val="es-ES_tradnl"/>
        </w:rPr>
        <w:t xml:space="preserve"> que figura a continuación</w:t>
      </w:r>
      <w:r w:rsidR="00454D83" w:rsidRPr="00DD6BE4">
        <w:rPr>
          <w:lang w:val="es-ES_tradnl"/>
        </w:rPr>
        <w:t xml:space="preserve">). Por otro lado, junto a otros programas administrados por la Organización Mundial de la Salud (OMS), la Organización de las Naciones Unidas para la Alimentación y la Agricultura (FAO), el Programa de las Naciones Unidas para el Medio Ambiente (PNUMA) y la Organización Internacional del Trabajo (OIT), la OMPI forma parte de la asociación Research4Life, a través de la cual todos ellos ofrecen contenidos en sus respectivas esferas de especialización. </w:t>
      </w:r>
      <w:r w:rsidR="00104176" w:rsidRPr="00DD6BE4">
        <w:rPr>
          <w:lang w:val="es-ES_tradnl"/>
        </w:rPr>
        <w:t xml:space="preserve">En total, más de 10.500 instituciones están </w:t>
      </w:r>
      <w:r w:rsidR="00E422B2" w:rsidRPr="00DD6BE4">
        <w:rPr>
          <w:lang w:val="es-ES_tradnl"/>
        </w:rPr>
        <w:t>inscrit</w:t>
      </w:r>
      <w:r w:rsidR="00104176" w:rsidRPr="00DD6BE4">
        <w:rPr>
          <w:lang w:val="es-ES_tradnl"/>
        </w:rPr>
        <w:t>as en Research4Life, y el programa ofrece acceso a más de 30</w:t>
      </w:r>
      <w:r w:rsidR="00F3632A" w:rsidRPr="00DD6BE4">
        <w:rPr>
          <w:lang w:val="es-ES_tradnl"/>
        </w:rPr>
        <w:t>.000 publicaciones y a más de </w:t>
      </w:r>
      <w:r w:rsidR="00104176" w:rsidRPr="00DD6BE4">
        <w:rPr>
          <w:lang w:val="es-ES_tradnl"/>
        </w:rPr>
        <w:t>131.000 libros y obras de referencia</w:t>
      </w:r>
      <w:r w:rsidR="009272B8" w:rsidRPr="00DD6BE4">
        <w:rPr>
          <w:lang w:val="es-ES_tradnl"/>
        </w:rPr>
        <w:t>.</w:t>
      </w:r>
    </w:p>
    <w:p w14:paraId="608DE5F5" w14:textId="77777777" w:rsidR="00DD7399" w:rsidRPr="00DD6BE4" w:rsidRDefault="00DD7399" w:rsidP="00DD7399">
      <w:pPr>
        <w:rPr>
          <w:lang w:val="es-ES_tradnl"/>
        </w:rPr>
      </w:pPr>
    </w:p>
    <w:p w14:paraId="3EBBD972" w14:textId="17E67748" w:rsidR="00DD7399" w:rsidRPr="00DD6BE4" w:rsidRDefault="00DD7399" w:rsidP="00DD7399">
      <w:pPr>
        <w:rPr>
          <w:lang w:val="es-ES_tradnl"/>
        </w:rPr>
      </w:pPr>
    </w:p>
    <w:p w14:paraId="3D215F91" w14:textId="77777777" w:rsidR="00FA4F61" w:rsidRPr="00DD6BE4" w:rsidRDefault="00FA4F61" w:rsidP="00DD7399">
      <w:pPr>
        <w:rPr>
          <w:lang w:val="es-ES_tradnl"/>
        </w:rPr>
      </w:pPr>
    </w:p>
    <w:p w14:paraId="110C8F13" w14:textId="77777777" w:rsidR="00FA4F61" w:rsidRPr="00DD6BE4" w:rsidRDefault="00FA4F61" w:rsidP="00FA4F61">
      <w:pPr>
        <w:rPr>
          <w:lang w:val="es-ES_tradnl"/>
        </w:rPr>
      </w:pPr>
      <w:r w:rsidRPr="00DD6BE4">
        <w:rPr>
          <w:noProof/>
          <w:lang w:eastAsia="en-US"/>
        </w:rPr>
        <w:drawing>
          <wp:inline distT="0" distB="0" distL="0" distR="0" wp14:anchorId="29D98DFE" wp14:editId="6C4DB8C0">
            <wp:extent cx="5429250" cy="1670050"/>
            <wp:effectExtent l="0" t="0" r="0" b="63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B206BB" w14:textId="77777777" w:rsidR="00FA4F61" w:rsidRPr="00DD6BE4" w:rsidRDefault="00FA4F61" w:rsidP="00DD7399">
      <w:pPr>
        <w:rPr>
          <w:lang w:val="es-ES_tradnl"/>
        </w:rPr>
      </w:pPr>
    </w:p>
    <w:p w14:paraId="4791C467" w14:textId="77777777" w:rsidR="00DD7399" w:rsidRPr="00DD6BE4" w:rsidRDefault="00DD7399" w:rsidP="00DD7399">
      <w:pPr>
        <w:rPr>
          <w:lang w:val="es-ES_tradnl"/>
        </w:rPr>
      </w:pPr>
    </w:p>
    <w:p w14:paraId="3E288307" w14:textId="77777777" w:rsidR="00DD7399" w:rsidRPr="00DD6BE4" w:rsidRDefault="00DD7399" w:rsidP="00DD7399">
      <w:pPr>
        <w:rPr>
          <w:lang w:val="es-ES_tradnl"/>
        </w:rPr>
      </w:pPr>
    </w:p>
    <w:p w14:paraId="333774B1" w14:textId="6A33B987" w:rsidR="00B806F1" w:rsidRPr="00DD6BE4" w:rsidRDefault="00AD68A7" w:rsidP="00B86634">
      <w:pPr>
        <w:pStyle w:val="ListParagraph"/>
        <w:numPr>
          <w:ilvl w:val="0"/>
          <w:numId w:val="4"/>
        </w:numPr>
        <w:tabs>
          <w:tab w:val="left" w:pos="540"/>
        </w:tabs>
        <w:spacing w:after="240"/>
        <w:ind w:left="0" w:firstLine="0"/>
        <w:rPr>
          <w:lang w:val="es-ES_tradnl"/>
        </w:rPr>
      </w:pPr>
      <w:r w:rsidRPr="00DD6BE4">
        <w:rPr>
          <w:lang w:val="es-ES_tradnl"/>
        </w:rPr>
        <w:t xml:space="preserve">El </w:t>
      </w:r>
      <w:r w:rsidR="00DB65F7" w:rsidRPr="00DD6BE4">
        <w:rPr>
          <w:lang w:val="es-ES_tradnl"/>
        </w:rPr>
        <w:t>programa de Acceso a la Información Especializada sobre Patentes (ASPI) es o</w:t>
      </w:r>
      <w:r w:rsidRPr="00DD6BE4">
        <w:rPr>
          <w:lang w:val="es-ES_tradnl"/>
        </w:rPr>
        <w:t xml:space="preserve">tra alianza público-privada de la OMPI, en la que participan nueve de los principales proveedores de bases de datos sobre patentes existentes en el mundo, </w:t>
      </w:r>
      <w:r w:rsidR="00B50ACE" w:rsidRPr="00DD6BE4">
        <w:rPr>
          <w:lang w:val="es-ES_tradnl"/>
        </w:rPr>
        <w:t xml:space="preserve">y </w:t>
      </w:r>
      <w:r w:rsidRPr="00DD6BE4">
        <w:rPr>
          <w:lang w:val="es-ES_tradnl"/>
        </w:rPr>
        <w:t>que ofrece acceso gratuito o a bajo costo a servicios comerciales de búsqueda y a</w:t>
      </w:r>
      <w:r w:rsidR="00B50ACE" w:rsidRPr="00DD6BE4">
        <w:rPr>
          <w:lang w:val="es-ES_tradnl"/>
        </w:rPr>
        <w:t>nálisis de patentes para más de </w:t>
      </w:r>
      <w:r w:rsidRPr="00DD6BE4">
        <w:rPr>
          <w:lang w:val="es-ES_tradnl"/>
        </w:rPr>
        <w:t>1</w:t>
      </w:r>
      <w:r w:rsidR="00DB65F7" w:rsidRPr="00DD6BE4">
        <w:rPr>
          <w:lang w:val="es-ES_tradnl"/>
        </w:rPr>
        <w:t>6</w:t>
      </w:r>
      <w:r w:rsidRPr="00DD6BE4">
        <w:rPr>
          <w:lang w:val="es-ES_tradnl"/>
        </w:rPr>
        <w:t xml:space="preserve">0 instituciones inscritas en </w:t>
      </w:r>
      <w:r w:rsidR="00DB65F7" w:rsidRPr="00DD6BE4">
        <w:rPr>
          <w:lang w:val="es-ES_tradnl"/>
        </w:rPr>
        <w:t>46</w:t>
      </w:r>
      <w:r w:rsidRPr="00DD6BE4">
        <w:rPr>
          <w:lang w:val="es-ES_tradnl"/>
        </w:rPr>
        <w:t xml:space="preserve"> países en desarrollo y </w:t>
      </w:r>
      <w:r w:rsidR="00DB65F7" w:rsidRPr="00DD6BE4">
        <w:rPr>
          <w:lang w:val="es-ES_tradnl"/>
        </w:rPr>
        <w:t>países menos adelantados. Las bases de datos comerciales sobre patentes ofrecen instrumentos de búsqueda y análisis más sofisticados que las bases gratuitas</w:t>
      </w:r>
      <w:r w:rsidR="00B50ACE" w:rsidRPr="00DD6BE4">
        <w:rPr>
          <w:lang w:val="es-ES_tradnl"/>
        </w:rPr>
        <w:t>.</w:t>
      </w:r>
    </w:p>
    <w:p w14:paraId="71847946" w14:textId="77777777" w:rsidR="00B806F1" w:rsidRPr="00DD6BE4" w:rsidRDefault="00B806F1" w:rsidP="00B806F1">
      <w:pPr>
        <w:pStyle w:val="ListParagraph"/>
        <w:tabs>
          <w:tab w:val="left" w:pos="360"/>
        </w:tabs>
        <w:ind w:left="0"/>
        <w:rPr>
          <w:lang w:val="es-ES_tradnl"/>
        </w:rPr>
      </w:pPr>
    </w:p>
    <w:p w14:paraId="022D5D82" w14:textId="5FA0E4B0" w:rsidR="00B806F1" w:rsidRPr="00DD6BE4" w:rsidRDefault="00D91A24" w:rsidP="00B86634">
      <w:pPr>
        <w:pStyle w:val="ListParagraph"/>
        <w:numPr>
          <w:ilvl w:val="0"/>
          <w:numId w:val="4"/>
        </w:numPr>
        <w:tabs>
          <w:tab w:val="left" w:pos="540"/>
        </w:tabs>
        <w:spacing w:after="240"/>
        <w:ind w:left="0" w:firstLine="0"/>
        <w:rPr>
          <w:lang w:val="es-ES_tradnl"/>
        </w:rPr>
      </w:pPr>
      <w:r w:rsidRPr="00DD6BE4">
        <w:rPr>
          <w:lang w:val="es-ES_tradnl"/>
        </w:rPr>
        <w:t xml:space="preserve">El conjunto de servicios electrónicos de la OMPI para innovadores </w:t>
      </w:r>
      <w:r w:rsidR="00EA086C" w:rsidRPr="00DD6BE4">
        <w:rPr>
          <w:lang w:val="es-ES_tradnl"/>
        </w:rPr>
        <w:t>se ha</w:t>
      </w:r>
      <w:r w:rsidRPr="00DD6BE4">
        <w:rPr>
          <w:lang w:val="es-ES_tradnl"/>
        </w:rPr>
        <w:t xml:space="preserve"> ampliado con </w:t>
      </w:r>
      <w:r w:rsidR="00062D82" w:rsidRPr="00DD6BE4">
        <w:rPr>
          <w:lang w:val="es-ES_tradnl"/>
        </w:rPr>
        <w:t xml:space="preserve">la puesta en </w:t>
      </w:r>
      <w:r w:rsidR="00C332FB" w:rsidRPr="00DD6BE4">
        <w:rPr>
          <w:lang w:val="es-ES_tradnl"/>
        </w:rPr>
        <w:t>marcha</w:t>
      </w:r>
      <w:r w:rsidRPr="00DD6BE4">
        <w:rPr>
          <w:lang w:val="es-ES_tradnl"/>
        </w:rPr>
        <w:t xml:space="preserve"> de WIPO INSPIRE, que ofrece </w:t>
      </w:r>
      <w:r w:rsidR="00426A2E" w:rsidRPr="00DD6BE4">
        <w:rPr>
          <w:lang w:val="es-ES_tradnl"/>
        </w:rPr>
        <w:t>a los usuarios d</w:t>
      </w:r>
      <w:r w:rsidR="00062D82" w:rsidRPr="00DD6BE4">
        <w:rPr>
          <w:lang w:val="es-ES_tradnl"/>
        </w:rPr>
        <w:t xml:space="preserve">e patentes </w:t>
      </w:r>
      <w:r w:rsidR="00426A2E" w:rsidRPr="00DD6BE4">
        <w:rPr>
          <w:lang w:val="es-ES_tradnl"/>
        </w:rPr>
        <w:t xml:space="preserve">información sobre </w:t>
      </w:r>
      <w:r w:rsidRPr="00DD6BE4">
        <w:rPr>
          <w:lang w:val="es-ES_tradnl"/>
        </w:rPr>
        <w:t xml:space="preserve">una </w:t>
      </w:r>
      <w:r w:rsidR="00062D82" w:rsidRPr="00DD6BE4">
        <w:rPr>
          <w:lang w:val="es-ES_tradnl"/>
        </w:rPr>
        <w:t xml:space="preserve">amplia </w:t>
      </w:r>
      <w:r w:rsidR="00426A2E" w:rsidRPr="00DD6BE4">
        <w:rPr>
          <w:lang w:val="es-ES_tradnl"/>
        </w:rPr>
        <w:t>variedad de</w:t>
      </w:r>
      <w:r w:rsidRPr="00DD6BE4">
        <w:rPr>
          <w:lang w:val="es-ES_tradnl"/>
        </w:rPr>
        <w:t xml:space="preserve"> funciones útiles y </w:t>
      </w:r>
      <w:r w:rsidR="008517CC" w:rsidRPr="00DD6BE4">
        <w:rPr>
          <w:lang w:val="es-ES_tradnl"/>
        </w:rPr>
        <w:t xml:space="preserve">de </w:t>
      </w:r>
      <w:r w:rsidRPr="00DD6BE4">
        <w:rPr>
          <w:lang w:val="es-ES_tradnl"/>
        </w:rPr>
        <w:t>sencill</w:t>
      </w:r>
      <w:r w:rsidR="008517CC" w:rsidRPr="00DD6BE4">
        <w:rPr>
          <w:lang w:val="es-ES_tradnl"/>
        </w:rPr>
        <w:t>o</w:t>
      </w:r>
      <w:r w:rsidRPr="00DD6BE4">
        <w:rPr>
          <w:lang w:val="es-ES_tradnl"/>
        </w:rPr>
        <w:t xml:space="preserve"> u</w:t>
      </w:r>
      <w:r w:rsidR="008517CC" w:rsidRPr="00DD6BE4">
        <w:rPr>
          <w:lang w:val="es-ES_tradnl"/>
        </w:rPr>
        <w:t>so</w:t>
      </w:r>
      <w:r w:rsidRPr="00DD6BE4">
        <w:rPr>
          <w:lang w:val="es-ES_tradnl"/>
        </w:rPr>
        <w:t xml:space="preserve">. </w:t>
      </w:r>
      <w:r w:rsidR="00426A2E" w:rsidRPr="00DD6BE4">
        <w:rPr>
          <w:lang w:val="es-ES_tradnl"/>
        </w:rPr>
        <w:t xml:space="preserve">La plataforma </w:t>
      </w:r>
      <w:r w:rsidR="00551ACC" w:rsidRPr="00DD6BE4">
        <w:rPr>
          <w:lang w:val="es-ES_tradnl"/>
        </w:rPr>
        <w:t>tiene formato de ventanilla</w:t>
      </w:r>
      <w:r w:rsidR="00426A2E" w:rsidRPr="00DD6BE4">
        <w:rPr>
          <w:lang w:val="es-ES_tradnl"/>
        </w:rPr>
        <w:t xml:space="preserve"> </w:t>
      </w:r>
      <w:r w:rsidR="007926A6" w:rsidRPr="00DD6BE4">
        <w:rPr>
          <w:lang w:val="es-ES_tradnl"/>
        </w:rPr>
        <w:t xml:space="preserve">única </w:t>
      </w:r>
      <w:r w:rsidR="00551ACC" w:rsidRPr="00DD6BE4">
        <w:rPr>
          <w:lang w:val="es-ES_tradnl"/>
        </w:rPr>
        <w:t>en la que</w:t>
      </w:r>
      <w:r w:rsidR="007926A6" w:rsidRPr="00DD6BE4">
        <w:rPr>
          <w:lang w:val="es-ES_tradnl"/>
        </w:rPr>
        <w:t xml:space="preserve"> los usuarios pueden acceder a productos y herramientas digitales en un </w:t>
      </w:r>
      <w:r w:rsidR="000B69F3" w:rsidRPr="00DD6BE4">
        <w:rPr>
          <w:lang w:val="es-ES_tradnl"/>
        </w:rPr>
        <w:t>único</w:t>
      </w:r>
      <w:r w:rsidR="007926A6" w:rsidRPr="00DD6BE4">
        <w:rPr>
          <w:lang w:val="es-ES_tradnl"/>
        </w:rPr>
        <w:t xml:space="preserve"> </w:t>
      </w:r>
      <w:r w:rsidR="00EA086C" w:rsidRPr="00DD6BE4">
        <w:rPr>
          <w:lang w:val="es-ES_tradnl"/>
        </w:rPr>
        <w:t>espacio</w:t>
      </w:r>
      <w:r w:rsidR="007926A6" w:rsidRPr="00DD6BE4">
        <w:rPr>
          <w:lang w:val="es-ES_tradnl"/>
        </w:rPr>
        <w:t xml:space="preserve"> </w:t>
      </w:r>
      <w:r w:rsidR="00777DFB" w:rsidRPr="00DD6BE4">
        <w:rPr>
          <w:lang w:val="es-ES_tradnl"/>
        </w:rPr>
        <w:t>que</w:t>
      </w:r>
      <w:r w:rsidR="007926A6" w:rsidRPr="00DD6BE4">
        <w:rPr>
          <w:lang w:val="es-ES_tradnl"/>
        </w:rPr>
        <w:t xml:space="preserve"> integra contenido</w:t>
      </w:r>
      <w:r w:rsidR="00EA086C" w:rsidRPr="00DD6BE4">
        <w:rPr>
          <w:lang w:val="es-ES_tradnl"/>
        </w:rPr>
        <w:t>s</w:t>
      </w:r>
      <w:r w:rsidR="007926A6" w:rsidRPr="00DD6BE4">
        <w:rPr>
          <w:lang w:val="es-ES_tradnl"/>
        </w:rPr>
        <w:t xml:space="preserve"> especializado</w:t>
      </w:r>
      <w:r w:rsidR="00EA086C" w:rsidRPr="00DD6BE4">
        <w:rPr>
          <w:lang w:val="es-ES_tradnl"/>
        </w:rPr>
        <w:t>s</w:t>
      </w:r>
      <w:r w:rsidR="007926A6" w:rsidRPr="00DD6BE4">
        <w:rPr>
          <w:lang w:val="es-ES_tradnl"/>
        </w:rPr>
        <w:t xml:space="preserve"> y de índole </w:t>
      </w:r>
      <w:r w:rsidR="000B69F3" w:rsidRPr="00DD6BE4">
        <w:rPr>
          <w:lang w:val="es-ES_tradnl"/>
        </w:rPr>
        <w:t>social</w:t>
      </w:r>
      <w:r w:rsidR="007926A6" w:rsidRPr="00DD6BE4">
        <w:rPr>
          <w:lang w:val="es-ES_tradnl"/>
        </w:rPr>
        <w:t xml:space="preserve"> sobre bases de datos de patentes, registros </w:t>
      </w:r>
      <w:r w:rsidR="000B69F3" w:rsidRPr="00DD6BE4">
        <w:rPr>
          <w:lang w:val="es-ES_tradnl"/>
        </w:rPr>
        <w:t xml:space="preserve">y análisis </w:t>
      </w:r>
      <w:r w:rsidR="007926A6" w:rsidRPr="00DD6BE4">
        <w:rPr>
          <w:lang w:val="es-ES_tradnl"/>
        </w:rPr>
        <w:t>de patentes,</w:t>
      </w:r>
      <w:r w:rsidR="00777DFB" w:rsidRPr="00DD6BE4">
        <w:rPr>
          <w:lang w:val="es-ES_tradnl"/>
        </w:rPr>
        <w:t xml:space="preserve"> transferencia </w:t>
      </w:r>
      <w:r w:rsidR="00EA086C" w:rsidRPr="00DD6BE4">
        <w:rPr>
          <w:lang w:val="es-ES_tradnl"/>
        </w:rPr>
        <w:t>de tecnología</w:t>
      </w:r>
      <w:r w:rsidR="00777DFB" w:rsidRPr="00DD6BE4">
        <w:rPr>
          <w:lang w:val="es-ES_tradnl"/>
        </w:rPr>
        <w:t xml:space="preserve"> y políticas institucionales en materia de PI, </w:t>
      </w:r>
      <w:r w:rsidR="00EA086C" w:rsidRPr="00DD6BE4">
        <w:rPr>
          <w:lang w:val="es-ES_tradnl"/>
        </w:rPr>
        <w:t>lo que ofrece</w:t>
      </w:r>
      <w:r w:rsidR="00777DFB" w:rsidRPr="00DD6BE4">
        <w:rPr>
          <w:lang w:val="es-ES_tradnl"/>
        </w:rPr>
        <w:t xml:space="preserve"> una combinación única de información y conocimientos sobre recursos, herramientas y buenas prácticas en estos </w:t>
      </w:r>
      <w:r w:rsidR="0032235D" w:rsidRPr="00DD6BE4">
        <w:rPr>
          <w:lang w:val="es-ES_tradnl"/>
        </w:rPr>
        <w:t>aspectos</w:t>
      </w:r>
      <w:r w:rsidR="00777DFB" w:rsidRPr="00DD6BE4">
        <w:rPr>
          <w:lang w:val="es-ES_tradnl"/>
        </w:rPr>
        <w:t>.</w:t>
      </w:r>
      <w:r w:rsidR="00551ACC" w:rsidRPr="00DD6BE4">
        <w:rPr>
          <w:lang w:val="es-ES_tradnl"/>
        </w:rPr>
        <w:t xml:space="preserve"> En 2021, </w:t>
      </w:r>
      <w:r w:rsidR="000855D9" w:rsidRPr="00DD6BE4">
        <w:rPr>
          <w:lang w:val="es-ES_tradnl"/>
        </w:rPr>
        <w:t>11.487 usuarios accedieron a WIPO INSPIRE</w:t>
      </w:r>
      <w:r w:rsidR="00DD7399" w:rsidRPr="00DD6BE4">
        <w:rPr>
          <w:lang w:val="es-ES_tradnl"/>
        </w:rPr>
        <w:t>.</w:t>
      </w:r>
    </w:p>
    <w:p w14:paraId="2168E712" w14:textId="77777777" w:rsidR="00B806F1" w:rsidRPr="00DD6BE4" w:rsidRDefault="00B806F1" w:rsidP="00B806F1">
      <w:pPr>
        <w:pStyle w:val="ListParagraph"/>
        <w:rPr>
          <w:lang w:val="es-ES_tradnl"/>
        </w:rPr>
      </w:pPr>
    </w:p>
    <w:p w14:paraId="507562C6" w14:textId="3875698A" w:rsidR="00B806F1" w:rsidRPr="00DD6BE4" w:rsidRDefault="000855D9" w:rsidP="00B86634">
      <w:pPr>
        <w:pStyle w:val="ListParagraph"/>
        <w:numPr>
          <w:ilvl w:val="0"/>
          <w:numId w:val="4"/>
        </w:numPr>
        <w:tabs>
          <w:tab w:val="left" w:pos="540"/>
        </w:tabs>
        <w:spacing w:after="240"/>
        <w:ind w:left="0" w:firstLine="0"/>
        <w:rPr>
          <w:lang w:val="es-ES_tradnl"/>
        </w:rPr>
      </w:pPr>
      <w:r w:rsidRPr="00DD6BE4">
        <w:rPr>
          <w:lang w:val="es-ES_tradnl"/>
        </w:rPr>
        <w:t>Los centros de apoyo a la tecnología y la innovación (CATI)</w:t>
      </w:r>
      <w:r w:rsidR="00853092" w:rsidRPr="00DD6BE4">
        <w:rPr>
          <w:lang w:val="es-ES_tradnl"/>
        </w:rPr>
        <w:t xml:space="preserve"> forman parte de un programa global </w:t>
      </w:r>
      <w:r w:rsidR="000B3DF0" w:rsidRPr="00DD6BE4">
        <w:rPr>
          <w:lang w:val="es-ES_tradnl"/>
        </w:rPr>
        <w:t>de referencia</w:t>
      </w:r>
      <w:r w:rsidR="00853092" w:rsidRPr="00DD6BE4">
        <w:rPr>
          <w:lang w:val="es-ES_tradnl"/>
        </w:rPr>
        <w:t xml:space="preserve"> puesto en marcha </w:t>
      </w:r>
      <w:r w:rsidR="003A0D2C" w:rsidRPr="00DD6BE4">
        <w:rPr>
          <w:lang w:val="es-ES_tradnl"/>
        </w:rPr>
        <w:t>en</w:t>
      </w:r>
      <w:r w:rsidR="00853092" w:rsidRPr="00DD6BE4">
        <w:rPr>
          <w:lang w:val="es-ES_tradnl"/>
        </w:rPr>
        <w:t xml:space="preserve"> respuesta a las recomendaciones de la Agenda de la OMPI para el Desarrollo. </w:t>
      </w:r>
      <w:r w:rsidRPr="00DD6BE4">
        <w:rPr>
          <w:lang w:val="es-ES_tradnl"/>
        </w:rPr>
        <w:t>Este programa tiene por objeto</w:t>
      </w:r>
      <w:r w:rsidR="003A0D2C" w:rsidRPr="00DD6BE4">
        <w:rPr>
          <w:lang w:val="es-ES_tradnl"/>
        </w:rPr>
        <w:t xml:space="preserve"> crear </w:t>
      </w:r>
      <w:r w:rsidR="00551ACC" w:rsidRPr="00DD6BE4">
        <w:rPr>
          <w:lang w:val="es-ES_tradnl"/>
        </w:rPr>
        <w:t xml:space="preserve">en el ámbito local servicios de apoyo de alta calidad </w:t>
      </w:r>
      <w:r w:rsidR="003A0D2C" w:rsidRPr="00DD6BE4">
        <w:rPr>
          <w:lang w:val="es-ES_tradnl"/>
        </w:rPr>
        <w:t xml:space="preserve">a </w:t>
      </w:r>
      <w:r w:rsidR="00551ACC" w:rsidRPr="00DD6BE4">
        <w:rPr>
          <w:lang w:val="es-ES_tradnl"/>
        </w:rPr>
        <w:t xml:space="preserve">la </w:t>
      </w:r>
      <w:r w:rsidR="003A0D2C" w:rsidRPr="00DD6BE4">
        <w:rPr>
          <w:lang w:val="es-ES_tradnl"/>
        </w:rPr>
        <w:t xml:space="preserve">tecnología y la innovación, que van desde el acceso </w:t>
      </w:r>
      <w:r w:rsidR="00551ACC" w:rsidRPr="00DD6BE4">
        <w:rPr>
          <w:lang w:val="es-ES_tradnl"/>
        </w:rPr>
        <w:t xml:space="preserve">a las bases de datos de patentes, </w:t>
      </w:r>
      <w:r w:rsidR="003A0D2C" w:rsidRPr="00DD6BE4">
        <w:rPr>
          <w:lang w:val="es-ES_tradnl"/>
        </w:rPr>
        <w:t xml:space="preserve">y la asistencia para </w:t>
      </w:r>
      <w:r w:rsidR="00551ACC" w:rsidRPr="00DD6BE4">
        <w:rPr>
          <w:lang w:val="es-ES_tradnl"/>
        </w:rPr>
        <w:t>su uso,</w:t>
      </w:r>
      <w:r w:rsidR="003A0D2C" w:rsidRPr="00DD6BE4">
        <w:rPr>
          <w:lang w:val="es-ES_tradnl"/>
        </w:rPr>
        <w:t xml:space="preserve"> hasta</w:t>
      </w:r>
      <w:r w:rsidR="009A48FB" w:rsidRPr="00DD6BE4">
        <w:rPr>
          <w:lang w:val="es-ES_tradnl"/>
        </w:rPr>
        <w:t xml:space="preserve"> </w:t>
      </w:r>
      <w:r w:rsidR="00225383" w:rsidRPr="00DD6BE4">
        <w:rPr>
          <w:lang w:val="es-ES_tradnl"/>
        </w:rPr>
        <w:t>los servicios de</w:t>
      </w:r>
      <w:r w:rsidR="003A0D2C" w:rsidRPr="00DD6BE4">
        <w:rPr>
          <w:lang w:val="es-ES_tradnl"/>
        </w:rPr>
        <w:t xml:space="preserve"> búsqueda</w:t>
      </w:r>
      <w:r w:rsidR="009A48FB" w:rsidRPr="00DD6BE4">
        <w:rPr>
          <w:lang w:val="es-ES_tradnl"/>
        </w:rPr>
        <w:t xml:space="preserve"> </w:t>
      </w:r>
      <w:r w:rsidR="00225383" w:rsidRPr="00DD6BE4">
        <w:rPr>
          <w:lang w:val="es-ES_tradnl"/>
        </w:rPr>
        <w:t xml:space="preserve">y análisis </w:t>
      </w:r>
      <w:r w:rsidR="003A0D2C" w:rsidRPr="00DD6BE4">
        <w:rPr>
          <w:lang w:val="es-ES_tradnl"/>
        </w:rPr>
        <w:t>de tecnologías</w:t>
      </w:r>
      <w:r w:rsidR="00225383" w:rsidRPr="00DD6BE4">
        <w:rPr>
          <w:lang w:val="es-ES_tradnl"/>
        </w:rPr>
        <w:t>, pasando por los servicios de</w:t>
      </w:r>
      <w:r w:rsidR="009A48FB" w:rsidRPr="00DD6BE4">
        <w:rPr>
          <w:lang w:val="es-ES_tradnl"/>
        </w:rPr>
        <w:t xml:space="preserve"> gestión de los derechos </w:t>
      </w:r>
      <w:r w:rsidR="00225383" w:rsidRPr="00DD6BE4">
        <w:rPr>
          <w:lang w:val="es-ES_tradnl"/>
        </w:rPr>
        <w:t>d</w:t>
      </w:r>
      <w:r w:rsidR="009A48FB" w:rsidRPr="00DD6BE4">
        <w:rPr>
          <w:lang w:val="es-ES_tradnl"/>
        </w:rPr>
        <w:t>e PI</w:t>
      </w:r>
      <w:r w:rsidR="00225383" w:rsidRPr="00DD6BE4">
        <w:rPr>
          <w:lang w:val="es-ES_tradnl"/>
        </w:rPr>
        <w:t>,</w:t>
      </w:r>
      <w:r w:rsidR="003A0D2C" w:rsidRPr="00DD6BE4">
        <w:rPr>
          <w:lang w:val="es-ES_tradnl"/>
        </w:rPr>
        <w:t xml:space="preserve"> para ayudar a los inventores, investigadores y empresarios a desplegar todo su potencial innovador</w:t>
      </w:r>
      <w:r w:rsidR="009A48FB" w:rsidRPr="00DD6BE4">
        <w:rPr>
          <w:lang w:val="es-ES_tradnl"/>
        </w:rPr>
        <w:t>.</w:t>
      </w:r>
      <w:r w:rsidRPr="00DD6BE4">
        <w:rPr>
          <w:lang w:val="es-ES_tradnl"/>
        </w:rPr>
        <w:t xml:space="preserve"> </w:t>
      </w:r>
      <w:r w:rsidR="007C7FB0" w:rsidRPr="00DD6BE4">
        <w:rPr>
          <w:lang w:val="es-ES_tradnl"/>
        </w:rPr>
        <w:t>Desde que en </w:t>
      </w:r>
      <w:r w:rsidR="009A48FB" w:rsidRPr="00DD6BE4">
        <w:rPr>
          <w:lang w:val="es-ES_tradnl"/>
        </w:rPr>
        <w:t>2009 entró en funcionamiento el programa CATI de la OMPI, se han puesto en marcha proyectos oficiales de alcance nacional en 80 Estados miembros y hay cerca de 1.300 CATI alojados en instituciones como universidades y centros de investigación, en los que a lo largo del año pasado se recibieron más de 1,7 millones de solicitudes de información</w:t>
      </w:r>
      <w:r w:rsidR="00DD7399" w:rsidRPr="00DD6BE4">
        <w:rPr>
          <w:lang w:val="es-ES_tradnl"/>
        </w:rPr>
        <w:t>.</w:t>
      </w:r>
    </w:p>
    <w:p w14:paraId="425B307A" w14:textId="77777777" w:rsidR="00B806F1" w:rsidRPr="00DD6BE4" w:rsidRDefault="00B806F1" w:rsidP="00225383">
      <w:pPr>
        <w:pStyle w:val="ListParagraph"/>
        <w:ind w:left="0"/>
        <w:rPr>
          <w:lang w:val="es-ES_tradnl"/>
        </w:rPr>
      </w:pPr>
    </w:p>
    <w:p w14:paraId="1D9F9FAB" w14:textId="7CDAC8DD" w:rsidR="00DD7399" w:rsidRPr="00DD6BE4" w:rsidRDefault="002C7594" w:rsidP="00DD7399">
      <w:pPr>
        <w:pStyle w:val="ListParagraph"/>
        <w:numPr>
          <w:ilvl w:val="0"/>
          <w:numId w:val="4"/>
        </w:numPr>
        <w:tabs>
          <w:tab w:val="left" w:pos="540"/>
        </w:tabs>
        <w:spacing w:after="240"/>
        <w:ind w:left="0" w:firstLine="0"/>
        <w:rPr>
          <w:lang w:val="es-ES_tradnl"/>
        </w:rPr>
      </w:pPr>
      <w:r w:rsidRPr="00DD6BE4">
        <w:rPr>
          <w:lang w:val="es-ES_tradnl"/>
        </w:rPr>
        <w:t>En los últimos años también se está ampliando la variedad de servicios ofrecidos, que abarcan desde el simple acceso a las bases de datos, la asistencia en la búsqueda y el análisis de los datos encontrados, hasta la asistencia y el asesoramiento sobre gestión de la PI en materia de concesión de licencias, transferencia de tecnología, comercialización, redacción de solicitudes de patente, tramitación de patentes</w:t>
      </w:r>
      <w:r w:rsidR="00222F42" w:rsidRPr="00DD6BE4">
        <w:rPr>
          <w:lang w:val="es-ES_tradnl"/>
        </w:rPr>
        <w:t xml:space="preserve"> y análisis de patentes, como se muestra en el gráfico que </w:t>
      </w:r>
      <w:r w:rsidR="007C7FB0" w:rsidRPr="00DD6BE4">
        <w:rPr>
          <w:lang w:val="es-ES_tradnl"/>
        </w:rPr>
        <w:t>figura</w:t>
      </w:r>
      <w:r w:rsidR="00222F42" w:rsidRPr="00DD6BE4">
        <w:rPr>
          <w:lang w:val="es-ES_tradnl"/>
        </w:rPr>
        <w:t xml:space="preserve"> a continuación</w:t>
      </w:r>
      <w:r w:rsidR="007C7FB0" w:rsidRPr="00DD6BE4">
        <w:rPr>
          <w:lang w:val="es-ES_tradnl"/>
        </w:rPr>
        <w:t>.</w:t>
      </w:r>
    </w:p>
    <w:p w14:paraId="623734F1" w14:textId="762D17FB" w:rsidR="00FA4F61" w:rsidRPr="00DD6BE4" w:rsidRDefault="00FA4F61" w:rsidP="00DD7399">
      <w:pPr>
        <w:rPr>
          <w:lang w:val="es-ES_tradnl"/>
        </w:rPr>
      </w:pPr>
    </w:p>
    <w:p w14:paraId="3AFE00DA" w14:textId="15C9C68B" w:rsidR="00FA4F61" w:rsidRPr="00DD6BE4" w:rsidRDefault="00FA4F61" w:rsidP="00DD7399">
      <w:pPr>
        <w:rPr>
          <w:lang w:val="es-ES_tradnl"/>
        </w:rPr>
      </w:pPr>
      <w:r w:rsidRPr="00DD6BE4">
        <w:rPr>
          <w:noProof/>
          <w:lang w:eastAsia="en-US"/>
        </w:rPr>
        <w:drawing>
          <wp:inline distT="0" distB="0" distL="0" distR="0" wp14:anchorId="78D27153" wp14:editId="4990F388">
            <wp:extent cx="5951220" cy="44958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BD1CD2" w14:textId="7A73A538" w:rsidR="00DD7399" w:rsidRPr="00DD6BE4" w:rsidRDefault="00DD7399" w:rsidP="00DD7399">
      <w:pPr>
        <w:rPr>
          <w:lang w:val="es-ES_tradnl"/>
        </w:rPr>
      </w:pPr>
    </w:p>
    <w:p w14:paraId="63D76A24" w14:textId="6BB61FD5" w:rsidR="00A25DC8" w:rsidRPr="00DD6BE4" w:rsidRDefault="00A25DC8" w:rsidP="00DD7399">
      <w:pPr>
        <w:rPr>
          <w:lang w:val="es-ES_tradnl"/>
        </w:rPr>
      </w:pPr>
    </w:p>
    <w:p w14:paraId="0BDC7CC0" w14:textId="77777777" w:rsidR="0032235D" w:rsidRPr="00DD6BE4" w:rsidRDefault="00222F42" w:rsidP="00B86634">
      <w:pPr>
        <w:pStyle w:val="ListParagraph"/>
        <w:numPr>
          <w:ilvl w:val="0"/>
          <w:numId w:val="4"/>
        </w:numPr>
        <w:tabs>
          <w:tab w:val="left" w:pos="540"/>
        </w:tabs>
        <w:spacing w:after="240"/>
        <w:ind w:left="0" w:firstLine="0"/>
        <w:rPr>
          <w:lang w:val="es-ES_tradnl"/>
        </w:rPr>
      </w:pPr>
      <w:r w:rsidRPr="00DD6BE4">
        <w:rPr>
          <w:rFonts w:eastAsia="Malgun Gothic"/>
          <w:lang w:val="es-ES_tradnl"/>
        </w:rPr>
        <w:t xml:space="preserve">La formación que proporciona la OMPI apoya el desarrollo de los conocimientos y las competencias del personal de los CATI y fomenta su capacidad para prestar una serie de servicios de alta calidad. La formación incluye tanto talleres y seminarios </w:t>
      </w:r>
      <w:r w:rsidR="00B47414" w:rsidRPr="00DD6BE4">
        <w:rPr>
          <w:rFonts w:eastAsia="Malgun Gothic"/>
          <w:lang w:val="es-ES_tradnl"/>
        </w:rPr>
        <w:t xml:space="preserve">virtuales y </w:t>
      </w:r>
      <w:r w:rsidRPr="00DD6BE4">
        <w:rPr>
          <w:rFonts w:eastAsia="Malgun Gothic"/>
          <w:lang w:val="es-ES_tradnl"/>
        </w:rPr>
        <w:t xml:space="preserve">sobre el terreno, centrados en la formación de formadores, como programas de enseñanza a distancia, </w:t>
      </w:r>
    </w:p>
    <w:p w14:paraId="1CE2F8FC" w14:textId="534E9E4C" w:rsidR="00DD4D91" w:rsidRPr="00DD6BE4" w:rsidRDefault="00222F42" w:rsidP="00BB45D8">
      <w:pPr>
        <w:pStyle w:val="ListParagraph"/>
        <w:tabs>
          <w:tab w:val="left" w:pos="540"/>
        </w:tabs>
        <w:spacing w:after="240"/>
        <w:ind w:left="0"/>
        <w:rPr>
          <w:lang w:val="es-ES_tradnl"/>
        </w:rPr>
      </w:pPr>
      <w:r w:rsidRPr="00DD6BE4">
        <w:rPr>
          <w:rFonts w:eastAsia="Malgun Gothic"/>
          <w:lang w:val="es-ES_tradnl"/>
        </w:rPr>
        <w:t>realizados en cooperación con la Academia de la OMPI</w:t>
      </w:r>
      <w:r w:rsidR="00B47414" w:rsidRPr="00DD6BE4">
        <w:rPr>
          <w:rFonts w:eastAsia="Malgun Gothic"/>
          <w:lang w:val="es-ES_tradnl"/>
        </w:rPr>
        <w:t xml:space="preserve"> y sesiones para preguntar a los e</w:t>
      </w:r>
      <w:r w:rsidR="005772CD" w:rsidRPr="00DD6BE4">
        <w:rPr>
          <w:rFonts w:eastAsia="Malgun Gothic"/>
          <w:lang w:val="es-ES_tradnl"/>
        </w:rPr>
        <w:t>specialista</w:t>
      </w:r>
      <w:r w:rsidR="00B47414" w:rsidRPr="00DD6BE4">
        <w:rPr>
          <w:rFonts w:eastAsia="Malgun Gothic"/>
          <w:lang w:val="es-ES_tradnl"/>
        </w:rPr>
        <w:t xml:space="preserve">s </w:t>
      </w:r>
      <w:r w:rsidR="005772CD" w:rsidRPr="00DD6BE4">
        <w:rPr>
          <w:rFonts w:eastAsia="Malgun Gothic"/>
          <w:lang w:val="es-ES_tradnl"/>
        </w:rPr>
        <w:t>de</w:t>
      </w:r>
      <w:r w:rsidR="00B47414" w:rsidRPr="00DD6BE4">
        <w:rPr>
          <w:rFonts w:eastAsia="Malgun Gothic"/>
          <w:lang w:val="es-ES_tradnl"/>
        </w:rPr>
        <w:t xml:space="preserve"> la plataforma </w:t>
      </w:r>
      <w:r w:rsidR="0099076E" w:rsidRPr="00DD6BE4">
        <w:rPr>
          <w:rFonts w:eastAsia="Malgun Gothic"/>
          <w:lang w:val="es-ES_tradnl"/>
        </w:rPr>
        <w:t xml:space="preserve">digital </w:t>
      </w:r>
      <w:r w:rsidR="00B47414" w:rsidRPr="00DD6BE4">
        <w:rPr>
          <w:rFonts w:eastAsia="Malgun Gothic"/>
          <w:lang w:val="es-ES_tradnl"/>
        </w:rPr>
        <w:t>de intercambio de conocimientos eTISC</w:t>
      </w:r>
      <w:r w:rsidRPr="00DD6BE4">
        <w:rPr>
          <w:rFonts w:eastAsia="Malgun Gothic"/>
          <w:lang w:val="es-ES_tradnl"/>
        </w:rPr>
        <w:t>. Entre los temas tratados figuran: conceptos y capacidades básicas en materia de búsqueda de patentes; diferentes tipos de búsquedas de patentes, en particular las búsquedas del estado de la técnica, de la novedad y de la libertad de acción; análisis de patentes</w:t>
      </w:r>
      <w:r w:rsidR="0099076E" w:rsidRPr="00DD6BE4">
        <w:rPr>
          <w:rFonts w:eastAsia="Malgun Gothic"/>
          <w:lang w:val="es-ES_tradnl"/>
        </w:rPr>
        <w:t xml:space="preserve"> y gestión de los derechos </w:t>
      </w:r>
      <w:r w:rsidR="00AF37A7" w:rsidRPr="00DD6BE4">
        <w:rPr>
          <w:rFonts w:eastAsia="Malgun Gothic"/>
          <w:lang w:val="es-ES_tradnl"/>
        </w:rPr>
        <w:t>sobre</w:t>
      </w:r>
      <w:r w:rsidR="0099076E" w:rsidRPr="00DD6BE4">
        <w:rPr>
          <w:rFonts w:eastAsia="Malgun Gothic"/>
          <w:lang w:val="es-ES_tradnl"/>
        </w:rPr>
        <w:t xml:space="preserve"> PI</w:t>
      </w:r>
      <w:r w:rsidRPr="00DD6BE4">
        <w:rPr>
          <w:rFonts w:eastAsia="Malgun Gothic"/>
          <w:lang w:val="es-ES_tradnl"/>
        </w:rPr>
        <w:t xml:space="preserve">. </w:t>
      </w:r>
      <w:r w:rsidR="0099076E" w:rsidRPr="00DD6BE4">
        <w:rPr>
          <w:rFonts w:eastAsia="Malgun Gothic"/>
          <w:lang w:val="es-ES_tradnl"/>
        </w:rPr>
        <w:t>Los seminarios de formación nacionales se</w:t>
      </w:r>
      <w:r w:rsidR="006F050A" w:rsidRPr="00DD6BE4">
        <w:rPr>
          <w:rFonts w:eastAsia="Malgun Gothic"/>
          <w:lang w:val="es-ES_tradnl"/>
        </w:rPr>
        <w:t xml:space="preserve"> han complementado con conferencias regionales, organizadas para que las diferentes redes de CATI intercambien experiencias y mejores prácticas, como se muestra en el </w:t>
      </w:r>
      <w:r w:rsidRPr="00DD6BE4">
        <w:rPr>
          <w:rFonts w:eastAsia="Malgun Gothic"/>
          <w:lang w:val="es-ES_tradnl"/>
        </w:rPr>
        <w:t>gráfi</w:t>
      </w:r>
      <w:r w:rsidR="006F050A" w:rsidRPr="00DD6BE4">
        <w:rPr>
          <w:rFonts w:eastAsia="Malgun Gothic"/>
          <w:lang w:val="es-ES_tradnl"/>
        </w:rPr>
        <w:t>c</w:t>
      </w:r>
      <w:r w:rsidRPr="00DD6BE4">
        <w:rPr>
          <w:rFonts w:eastAsia="Malgun Gothic"/>
          <w:lang w:val="es-ES_tradnl"/>
        </w:rPr>
        <w:t>o que figura a continuación</w:t>
      </w:r>
      <w:r w:rsidR="00DD4D91" w:rsidRPr="00DD6BE4">
        <w:rPr>
          <w:lang w:val="es-ES_tradnl"/>
        </w:rPr>
        <w:t>.</w:t>
      </w:r>
    </w:p>
    <w:p w14:paraId="65075285" w14:textId="24AA8920" w:rsidR="00DD7399" w:rsidRPr="00DD6BE4" w:rsidRDefault="00DD7399" w:rsidP="00DD4D91">
      <w:pPr>
        <w:pStyle w:val="ListParagraph"/>
        <w:tabs>
          <w:tab w:val="left" w:pos="540"/>
        </w:tabs>
        <w:spacing w:after="240"/>
        <w:ind w:left="0"/>
        <w:rPr>
          <w:lang w:val="es-ES_tradnl"/>
        </w:rPr>
      </w:pPr>
    </w:p>
    <w:p w14:paraId="64F594ED" w14:textId="77777777" w:rsidR="00DD7399" w:rsidRPr="00DD6BE4" w:rsidRDefault="00DD7399" w:rsidP="00DD7399">
      <w:pPr>
        <w:rPr>
          <w:lang w:val="es-ES_tradnl"/>
        </w:rPr>
      </w:pPr>
    </w:p>
    <w:p w14:paraId="3C5F356B" w14:textId="7566D550" w:rsidR="00DD7399" w:rsidRPr="00DD6BE4" w:rsidRDefault="00DD4D91" w:rsidP="00DD7399">
      <w:pPr>
        <w:rPr>
          <w:lang w:val="es-ES_tradnl"/>
        </w:rPr>
      </w:pPr>
      <w:r w:rsidRPr="00DD6BE4">
        <w:rPr>
          <w:noProof/>
          <w:lang w:eastAsia="en-US"/>
        </w:rPr>
        <w:drawing>
          <wp:inline distT="0" distB="0" distL="0" distR="0" wp14:anchorId="3AE30039" wp14:editId="6F5522CD">
            <wp:extent cx="5940425" cy="2924810"/>
            <wp:effectExtent l="0" t="0" r="3175" b="889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91243C" w14:textId="241F7AAC" w:rsidR="00DD7399" w:rsidRPr="00DD6BE4" w:rsidRDefault="00DD7399" w:rsidP="00DD7399">
      <w:pPr>
        <w:rPr>
          <w:lang w:val="es-ES_tradnl"/>
        </w:rPr>
      </w:pPr>
    </w:p>
    <w:p w14:paraId="4FC4A2E1" w14:textId="6C7BAF13" w:rsidR="00B522D2" w:rsidRPr="00C54CDB" w:rsidRDefault="00CB65B0" w:rsidP="00DD7399">
      <w:pPr>
        <w:rPr>
          <w:szCs w:val="22"/>
          <w:lang w:val="es-ES_tradnl"/>
        </w:rPr>
      </w:pPr>
      <w:bookmarkStart w:id="7" w:name="_GoBack"/>
      <w:r w:rsidRPr="00C54CDB">
        <w:rPr>
          <w:szCs w:val="22"/>
          <w:lang w:val="es-ES_tradnl"/>
        </w:rPr>
        <w:t>Conferencias regionales</w:t>
      </w:r>
    </w:p>
    <w:bookmarkEnd w:id="7"/>
    <w:p w14:paraId="03EE07CD" w14:textId="5C697735" w:rsidR="00B522D2" w:rsidRPr="00DD6BE4" w:rsidRDefault="00CB65B0" w:rsidP="00DD7399">
      <w:pPr>
        <w:rPr>
          <w:lang w:val="es-ES_tradnl"/>
        </w:rPr>
      </w:pPr>
      <w:r w:rsidRPr="00DD6BE4">
        <w:rPr>
          <w:lang w:val="es-ES_tradnl"/>
        </w:rPr>
        <w:t>Seminarios/conferencias nacionales</w:t>
      </w:r>
    </w:p>
    <w:p w14:paraId="7D4A7BC3" w14:textId="798925E6" w:rsidR="00B522D2" w:rsidRPr="00DD6BE4" w:rsidRDefault="00B522D2" w:rsidP="00DD7399">
      <w:pPr>
        <w:rPr>
          <w:lang w:val="es-ES_tradnl"/>
        </w:rPr>
      </w:pPr>
    </w:p>
    <w:p w14:paraId="7A27EDE1" w14:textId="5EFE4349" w:rsidR="00B806F1" w:rsidRPr="00DD6BE4" w:rsidRDefault="00DF4360" w:rsidP="00B86634">
      <w:pPr>
        <w:pStyle w:val="ListParagraph"/>
        <w:numPr>
          <w:ilvl w:val="0"/>
          <w:numId w:val="4"/>
        </w:numPr>
        <w:tabs>
          <w:tab w:val="left" w:pos="540"/>
        </w:tabs>
        <w:spacing w:after="240"/>
        <w:ind w:left="0" w:firstLine="0"/>
        <w:rPr>
          <w:lang w:val="es-ES_tradnl"/>
        </w:rPr>
      </w:pPr>
      <w:r w:rsidRPr="00DD6BE4">
        <w:rPr>
          <w:lang w:val="es-ES_tradnl"/>
        </w:rPr>
        <w:t xml:space="preserve">Se han elaborado diversas publicaciones y recursos didácticos para que tanto los usuarios de información sobre patentes en general como el personal de los CATI en particular puedan tener acceso a las tecnologías que figuran en las bases de datos y utilizarlas para el desarrollo de productos y servicios destinados a ser comercializados. Esos recursos incluyen además una guía didáctica </w:t>
      </w:r>
      <w:r w:rsidR="006D73D6" w:rsidRPr="00DD6BE4">
        <w:rPr>
          <w:lang w:val="es-ES_tradnl"/>
        </w:rPr>
        <w:t xml:space="preserve">interactiva </w:t>
      </w:r>
      <w:r w:rsidRPr="00DD6BE4">
        <w:rPr>
          <w:lang w:val="es-ES_tradnl"/>
        </w:rPr>
        <w:t>en formato electrónico</w:t>
      </w:r>
      <w:r w:rsidR="006D73D6" w:rsidRPr="00DD6BE4">
        <w:rPr>
          <w:lang w:val="es-ES_tradnl"/>
        </w:rPr>
        <w:t xml:space="preserve"> sobre la</w:t>
      </w:r>
      <w:r w:rsidRPr="00DD6BE4">
        <w:rPr>
          <w:lang w:val="es-ES_tradnl"/>
        </w:rPr>
        <w:t xml:space="preserve"> información </w:t>
      </w:r>
      <w:r w:rsidR="006D73D6" w:rsidRPr="00DD6BE4">
        <w:rPr>
          <w:lang w:val="es-ES_tradnl"/>
        </w:rPr>
        <w:t xml:space="preserve">contenida en las </w:t>
      </w:r>
      <w:r w:rsidRPr="00DD6BE4">
        <w:rPr>
          <w:lang w:val="es-ES_tradnl"/>
        </w:rPr>
        <w:t>patentes</w:t>
      </w:r>
      <w:r w:rsidR="005F37DB" w:rsidRPr="00DD6BE4">
        <w:rPr>
          <w:lang w:val="es-ES_tradnl"/>
        </w:rPr>
        <w:t xml:space="preserve">, que ayuda </w:t>
      </w:r>
      <w:r w:rsidRPr="00DD6BE4">
        <w:rPr>
          <w:lang w:val="es-ES_tradnl"/>
        </w:rPr>
        <w:t xml:space="preserve">a los innovadores a utilizar la gran cantidad de información tecnológica que </w:t>
      </w:r>
      <w:r w:rsidR="006D73D6" w:rsidRPr="00DD6BE4">
        <w:rPr>
          <w:lang w:val="es-ES_tradnl"/>
        </w:rPr>
        <w:t>contien</w:t>
      </w:r>
      <w:r w:rsidRPr="00DD6BE4">
        <w:rPr>
          <w:lang w:val="es-ES_tradnl"/>
        </w:rPr>
        <w:t xml:space="preserve">en los documentos de patente, así como guías </w:t>
      </w:r>
      <w:r w:rsidR="005F37DB" w:rsidRPr="00DD6BE4">
        <w:rPr>
          <w:lang w:val="es-ES_tradnl"/>
        </w:rPr>
        <w:t xml:space="preserve">para el reconocimiento y el uso de las </w:t>
      </w:r>
      <w:r w:rsidRPr="00DD6BE4">
        <w:rPr>
          <w:lang w:val="es-ES_tradnl"/>
        </w:rPr>
        <w:t xml:space="preserve">invenciones </w:t>
      </w:r>
      <w:r w:rsidR="005F37DB" w:rsidRPr="00DD6BE4">
        <w:rPr>
          <w:lang w:val="es-ES_tradnl"/>
        </w:rPr>
        <w:t>que se encuentran en el</w:t>
      </w:r>
      <w:r w:rsidRPr="00DD6BE4">
        <w:rPr>
          <w:lang w:val="es-ES_tradnl"/>
        </w:rPr>
        <w:t xml:space="preserve"> dominio público, </w:t>
      </w:r>
      <w:r w:rsidR="005F37DB" w:rsidRPr="00DD6BE4">
        <w:rPr>
          <w:lang w:val="es-ES_tradnl"/>
        </w:rPr>
        <w:t xml:space="preserve">que brindan orientación, en particular, acerca de </w:t>
      </w:r>
      <w:r w:rsidRPr="00DD6BE4">
        <w:rPr>
          <w:lang w:val="es-ES_tradnl"/>
        </w:rPr>
        <w:t xml:space="preserve">la libertad de acción y </w:t>
      </w:r>
      <w:r w:rsidR="005F37DB" w:rsidRPr="00DD6BE4">
        <w:rPr>
          <w:lang w:val="es-ES_tradnl"/>
        </w:rPr>
        <w:t>los</w:t>
      </w:r>
      <w:r w:rsidRPr="00DD6BE4">
        <w:rPr>
          <w:lang w:val="es-ES_tradnl"/>
        </w:rPr>
        <w:t xml:space="preserve"> procesos de desarrollo de nuevos productos</w:t>
      </w:r>
      <w:r w:rsidR="00C82391" w:rsidRPr="00DD6BE4">
        <w:rPr>
          <w:lang w:val="es-ES_tradnl"/>
        </w:rPr>
        <w:t xml:space="preserve">. También </w:t>
      </w:r>
      <w:r w:rsidR="008C75C4" w:rsidRPr="00DD6BE4">
        <w:rPr>
          <w:lang w:val="es-ES_tradnl"/>
        </w:rPr>
        <w:t>incluyen</w:t>
      </w:r>
      <w:r w:rsidR="00C82391" w:rsidRPr="00DD6BE4">
        <w:rPr>
          <w:lang w:val="es-ES_tradnl"/>
        </w:rPr>
        <w:t xml:space="preserve"> un manual y </w:t>
      </w:r>
      <w:r w:rsidR="008C75C4" w:rsidRPr="00DD6BE4">
        <w:rPr>
          <w:lang w:val="es-ES_tradnl"/>
        </w:rPr>
        <w:t xml:space="preserve">un </w:t>
      </w:r>
      <w:r w:rsidR="00D93345" w:rsidRPr="00DD6BE4">
        <w:rPr>
          <w:lang w:val="es-ES_tradnl"/>
        </w:rPr>
        <w:t>conjunto</w:t>
      </w:r>
      <w:r w:rsidR="00C82391" w:rsidRPr="00DD6BE4">
        <w:rPr>
          <w:lang w:val="es-ES_tradnl"/>
        </w:rPr>
        <w:t xml:space="preserve"> de herramientas publicados recientemente </w:t>
      </w:r>
      <w:r w:rsidR="00C65175" w:rsidRPr="00DD6BE4">
        <w:rPr>
          <w:lang w:val="es-ES_tradnl"/>
        </w:rPr>
        <w:t>para evaluar las necesidades de formación de las instituciones que participan en la gestión de la PI, la transferencia de tecnología y la comercialización y utilización</w:t>
      </w:r>
      <w:r w:rsidR="00AC7BA9" w:rsidRPr="00DD6BE4">
        <w:rPr>
          <w:lang w:val="es-ES_tradnl"/>
        </w:rPr>
        <w:t xml:space="preserve"> de patentes</w:t>
      </w:r>
      <w:r w:rsidR="00C65175" w:rsidRPr="00DD6BE4">
        <w:rPr>
          <w:lang w:val="es-ES_tradnl"/>
        </w:rPr>
        <w:t>.</w:t>
      </w:r>
    </w:p>
    <w:p w14:paraId="68DDDA01" w14:textId="77777777" w:rsidR="00B806F1" w:rsidRPr="00DD6BE4" w:rsidRDefault="00B806F1" w:rsidP="00B806F1">
      <w:pPr>
        <w:pStyle w:val="ListParagraph"/>
        <w:tabs>
          <w:tab w:val="left" w:pos="360"/>
        </w:tabs>
        <w:ind w:left="0"/>
        <w:rPr>
          <w:lang w:val="es-ES_tradnl"/>
        </w:rPr>
      </w:pPr>
    </w:p>
    <w:p w14:paraId="22014F94" w14:textId="073DF0FA" w:rsidR="00B806F1" w:rsidRPr="00DD6BE4" w:rsidRDefault="00C363DF" w:rsidP="000D2E0E">
      <w:pPr>
        <w:pStyle w:val="ListParagraph"/>
        <w:numPr>
          <w:ilvl w:val="0"/>
          <w:numId w:val="4"/>
        </w:numPr>
        <w:tabs>
          <w:tab w:val="left" w:pos="540"/>
        </w:tabs>
        <w:spacing w:after="240"/>
        <w:ind w:left="0" w:firstLine="0"/>
        <w:rPr>
          <w:lang w:val="es-ES_tradnl"/>
        </w:rPr>
      </w:pPr>
      <w:r w:rsidRPr="00DD6BE4">
        <w:rPr>
          <w:lang w:val="es-ES_tradnl"/>
        </w:rPr>
        <w:t xml:space="preserve">Por otra parte, los informes sobre la actividad de patentamiento proporcionan información técnica y comercial pertinente en relación con tecnologías específicas, con miras a contribuir a los debates sobre políticas, a la planificación de investigaciones estratégicas o a la transferencia de tecnología. </w:t>
      </w:r>
      <w:r w:rsidR="000D2E0E" w:rsidRPr="00DD6BE4">
        <w:rPr>
          <w:lang w:val="es-ES_tradnl"/>
        </w:rPr>
        <w:t>Además de sus</w:t>
      </w:r>
      <w:r w:rsidR="00A7705E" w:rsidRPr="00DD6BE4">
        <w:rPr>
          <w:lang w:val="es-ES_tradnl"/>
        </w:rPr>
        <w:t xml:space="preserve"> propios informes sobre la actividad de patentamiento, la base datos de la OMPI</w:t>
      </w:r>
      <w:r w:rsidRPr="00DD6BE4">
        <w:rPr>
          <w:lang w:val="es-ES_tradnl"/>
        </w:rPr>
        <w:t xml:space="preserve"> incluye </w:t>
      </w:r>
      <w:r w:rsidR="00732A27" w:rsidRPr="00DD6BE4">
        <w:rPr>
          <w:lang w:val="es-ES_tradnl"/>
        </w:rPr>
        <w:t>258</w:t>
      </w:r>
      <w:r w:rsidRPr="00DD6BE4">
        <w:rPr>
          <w:lang w:val="es-ES_tradnl"/>
        </w:rPr>
        <w:t xml:space="preserve"> informes sobre la actividad de patentamiento de otras organizaciones. Los informes de es</w:t>
      </w:r>
      <w:r w:rsidR="00B950C8" w:rsidRPr="00DD6BE4">
        <w:rPr>
          <w:lang w:val="es-ES_tradnl"/>
        </w:rPr>
        <w:t>te tipo elaborados entre 2011 y </w:t>
      </w:r>
      <w:r w:rsidRPr="00DD6BE4">
        <w:rPr>
          <w:lang w:val="es-ES_tradnl"/>
        </w:rPr>
        <w:t>201</w:t>
      </w:r>
      <w:r w:rsidR="00732A27" w:rsidRPr="00DD6BE4">
        <w:rPr>
          <w:lang w:val="es-ES_tradnl"/>
        </w:rPr>
        <w:t>9</w:t>
      </w:r>
      <w:r w:rsidRPr="00DD6BE4">
        <w:rPr>
          <w:lang w:val="es-ES_tradnl"/>
        </w:rPr>
        <w:t xml:space="preserve"> desp</w:t>
      </w:r>
      <w:r w:rsidR="00732A27" w:rsidRPr="00DD6BE4">
        <w:rPr>
          <w:lang w:val="es-ES_tradnl"/>
        </w:rPr>
        <w:t>ertaron</w:t>
      </w:r>
      <w:r w:rsidRPr="00DD6BE4">
        <w:rPr>
          <w:lang w:val="es-ES_tradnl"/>
        </w:rPr>
        <w:t xml:space="preserve"> un gran interés entre los usuarios de información sobre patentes, como lo demuestran las </w:t>
      </w:r>
      <w:r w:rsidR="00732A27" w:rsidRPr="00DD6BE4">
        <w:rPr>
          <w:lang w:val="es-ES_tradnl"/>
        </w:rPr>
        <w:t>34</w:t>
      </w:r>
      <w:r w:rsidRPr="00DD6BE4">
        <w:rPr>
          <w:lang w:val="es-ES_tradnl"/>
        </w:rPr>
        <w:t>.</w:t>
      </w:r>
      <w:r w:rsidR="00732A27" w:rsidRPr="00DD6BE4">
        <w:rPr>
          <w:lang w:val="es-ES_tradnl"/>
        </w:rPr>
        <w:t>360</w:t>
      </w:r>
      <w:r w:rsidRPr="00DD6BE4">
        <w:rPr>
          <w:lang w:val="es-ES_tradnl"/>
        </w:rPr>
        <w:t xml:space="preserve"> descargas efectuadas en 20</w:t>
      </w:r>
      <w:r w:rsidR="00732A27" w:rsidRPr="00DD6BE4">
        <w:rPr>
          <w:lang w:val="es-ES_tradnl"/>
        </w:rPr>
        <w:t>21</w:t>
      </w:r>
      <w:r w:rsidRPr="00DD6BE4">
        <w:rPr>
          <w:lang w:val="es-ES_tradnl"/>
        </w:rPr>
        <w:t xml:space="preserve">. Con el fin de aumentar las capacidades de los CATI en la prestación de servicios de análisis de patentes, se han </w:t>
      </w:r>
      <w:r w:rsidR="00B950C8" w:rsidRPr="00DD6BE4">
        <w:rPr>
          <w:lang w:val="es-ES_tradnl"/>
        </w:rPr>
        <w:t>prepa</w:t>
      </w:r>
      <w:r w:rsidRPr="00DD6BE4">
        <w:rPr>
          <w:lang w:val="es-ES_tradnl"/>
        </w:rPr>
        <w:t>rado</w:t>
      </w:r>
      <w:r w:rsidR="007A69B7" w:rsidRPr="00DD6BE4">
        <w:rPr>
          <w:lang w:val="es-ES_tradnl"/>
        </w:rPr>
        <w:t xml:space="preserve"> </w:t>
      </w:r>
      <w:r w:rsidRPr="00DD6BE4">
        <w:rPr>
          <w:lang w:val="es-ES_tradnl"/>
        </w:rPr>
        <w:t xml:space="preserve">unas directrices para la </w:t>
      </w:r>
      <w:r w:rsidR="007A69B7" w:rsidRPr="00DD6BE4">
        <w:rPr>
          <w:lang w:val="es-ES_tradnl"/>
        </w:rPr>
        <w:t>elaboración</w:t>
      </w:r>
      <w:r w:rsidRPr="00DD6BE4">
        <w:rPr>
          <w:lang w:val="es-ES_tradnl"/>
        </w:rPr>
        <w:t xml:space="preserve"> de informes sobre la actividad de patentamiento (</w:t>
      </w:r>
      <w:r w:rsidRPr="00DD6BE4">
        <w:rPr>
          <w:i/>
          <w:lang w:val="es-ES_tradnl"/>
        </w:rPr>
        <w:t xml:space="preserve">Guidelines </w:t>
      </w:r>
      <w:r w:rsidR="007A69B7" w:rsidRPr="00DD6BE4">
        <w:rPr>
          <w:i/>
          <w:lang w:val="es-ES_tradnl"/>
        </w:rPr>
        <w:t>for</w:t>
      </w:r>
      <w:r w:rsidRPr="00DD6BE4">
        <w:rPr>
          <w:i/>
          <w:lang w:val="es-ES_tradnl"/>
        </w:rPr>
        <w:t xml:space="preserve"> </w:t>
      </w:r>
      <w:r w:rsidR="007A69B7" w:rsidRPr="00DD6BE4">
        <w:rPr>
          <w:i/>
          <w:lang w:val="es-ES_tradnl"/>
        </w:rPr>
        <w:t>Preparing</w:t>
      </w:r>
      <w:r w:rsidRPr="00DD6BE4">
        <w:rPr>
          <w:i/>
          <w:lang w:val="es-ES_tradnl"/>
        </w:rPr>
        <w:t xml:space="preserve"> Patent Landscape Reports</w:t>
      </w:r>
      <w:r w:rsidRPr="00DD6BE4">
        <w:rPr>
          <w:lang w:val="es-ES_tradnl"/>
        </w:rPr>
        <w:t>), un manual sobre herramientas de código abierto para el análisis de patentes (</w:t>
      </w:r>
      <w:r w:rsidRPr="00DD6BE4">
        <w:rPr>
          <w:i/>
          <w:lang w:val="es-ES_tradnl"/>
        </w:rPr>
        <w:t>Manual on Open Source Tools for Patent Analytics</w:t>
      </w:r>
      <w:r w:rsidRPr="00DD6BE4">
        <w:rPr>
          <w:lang w:val="es-ES_tradnl"/>
        </w:rPr>
        <w:t>), así como un manual sobre el análisis de patentes</w:t>
      </w:r>
      <w:r w:rsidR="006636BF" w:rsidRPr="00DD6BE4">
        <w:rPr>
          <w:lang w:val="es-ES_tradnl"/>
        </w:rPr>
        <w:t>, conjuntos de datos y presentaciones (</w:t>
      </w:r>
      <w:r w:rsidR="006636BF" w:rsidRPr="00DD6BE4">
        <w:rPr>
          <w:i/>
          <w:iCs/>
          <w:lang w:val="es-ES_tradnl"/>
        </w:rPr>
        <w:t>Patent Analytics Handbook, Datasets and Presentations</w:t>
      </w:r>
      <w:r w:rsidR="006636BF" w:rsidRPr="00DD6BE4">
        <w:rPr>
          <w:lang w:val="es-ES_tradnl"/>
        </w:rPr>
        <w:t>)</w:t>
      </w:r>
      <w:r w:rsidR="00983FFB" w:rsidRPr="00DD6BE4">
        <w:rPr>
          <w:lang w:val="es-ES_tradnl"/>
        </w:rPr>
        <w:t xml:space="preserve"> como material de formación adicional sobre el análisis de patentes</w:t>
      </w:r>
      <w:r w:rsidR="006636BF" w:rsidRPr="00DD6BE4">
        <w:rPr>
          <w:lang w:val="es-ES_tradnl"/>
        </w:rPr>
        <w:t>. El manual</w:t>
      </w:r>
      <w:r w:rsidRPr="00DD6BE4">
        <w:rPr>
          <w:lang w:val="es-ES_tradnl"/>
        </w:rPr>
        <w:t xml:space="preserve"> </w:t>
      </w:r>
      <w:r w:rsidR="006636BF" w:rsidRPr="00DD6BE4">
        <w:rPr>
          <w:lang w:val="es-ES_tradnl"/>
        </w:rPr>
        <w:t xml:space="preserve">se actualizó en 2021 y se </w:t>
      </w:r>
      <w:r w:rsidR="00AF64D8" w:rsidRPr="00DD6BE4">
        <w:rPr>
          <w:lang w:val="es-ES_tradnl"/>
        </w:rPr>
        <w:t>publicará</w:t>
      </w:r>
      <w:r w:rsidR="006636BF" w:rsidRPr="00DD6BE4">
        <w:rPr>
          <w:lang w:val="es-ES_tradnl"/>
        </w:rPr>
        <w:t xml:space="preserve"> </w:t>
      </w:r>
      <w:r w:rsidR="003C7A2A" w:rsidRPr="00DD6BE4">
        <w:rPr>
          <w:lang w:val="es-ES_tradnl"/>
        </w:rPr>
        <w:t xml:space="preserve">una </w:t>
      </w:r>
      <w:r w:rsidR="006636BF" w:rsidRPr="00DD6BE4">
        <w:rPr>
          <w:lang w:val="es-ES_tradnl"/>
        </w:rPr>
        <w:t xml:space="preserve">nueva versión actualizada </w:t>
      </w:r>
      <w:r w:rsidR="003C7A2A" w:rsidRPr="00DD6BE4">
        <w:rPr>
          <w:lang w:val="es-ES_tradnl"/>
        </w:rPr>
        <w:t>en</w:t>
      </w:r>
      <w:r w:rsidR="006636BF" w:rsidRPr="00DD6BE4">
        <w:rPr>
          <w:lang w:val="es-ES_tradnl"/>
        </w:rPr>
        <w:t xml:space="preserve"> la primera mitad de 2022.</w:t>
      </w:r>
    </w:p>
    <w:p w14:paraId="275693DE" w14:textId="77777777" w:rsidR="00B806F1" w:rsidRPr="00DD6BE4" w:rsidRDefault="00B806F1" w:rsidP="00B806F1">
      <w:pPr>
        <w:pStyle w:val="ListParagraph"/>
        <w:rPr>
          <w:lang w:val="es-ES_tradnl"/>
        </w:rPr>
      </w:pPr>
    </w:p>
    <w:p w14:paraId="6B736CCA" w14:textId="50BC052B" w:rsidR="00C12A20" w:rsidRPr="00DD6BE4" w:rsidRDefault="007E3C3B" w:rsidP="00C12A20">
      <w:pPr>
        <w:pStyle w:val="ListParagraph"/>
        <w:numPr>
          <w:ilvl w:val="0"/>
          <w:numId w:val="4"/>
        </w:numPr>
        <w:tabs>
          <w:tab w:val="left" w:pos="540"/>
        </w:tabs>
        <w:spacing w:after="240"/>
        <w:ind w:left="0" w:firstLine="0"/>
        <w:rPr>
          <w:lang w:val="es-ES_tradnl"/>
        </w:rPr>
      </w:pPr>
      <w:r w:rsidRPr="00DD6BE4">
        <w:rPr>
          <w:lang w:val="es-ES_tradnl"/>
        </w:rPr>
        <w:t xml:space="preserve">En enero de 2019 se publicó el primer número de la nueva publicación de referencia basada en el análisis de patentes, el </w:t>
      </w:r>
      <w:r w:rsidRPr="00DD6BE4">
        <w:rPr>
          <w:i/>
          <w:lang w:val="es-ES_tradnl"/>
        </w:rPr>
        <w:t>Informe de la OMPI sobre tendencias de la tecnología</w:t>
      </w:r>
      <w:r w:rsidRPr="00DD6BE4">
        <w:rPr>
          <w:lang w:val="es-ES_tradnl"/>
        </w:rPr>
        <w:t xml:space="preserve">, en este caso dedicado a la inteligencia artificial. </w:t>
      </w:r>
      <w:r w:rsidR="00556D03" w:rsidRPr="00DD6BE4">
        <w:rPr>
          <w:lang w:val="es-ES_tradnl"/>
        </w:rPr>
        <w:t>En l</w:t>
      </w:r>
      <w:r w:rsidRPr="00DD6BE4">
        <w:rPr>
          <w:lang w:val="es-ES_tradnl"/>
        </w:rPr>
        <w:t>a publicación</w:t>
      </w:r>
      <w:r w:rsidR="008A0EFE" w:rsidRPr="00DD6BE4">
        <w:rPr>
          <w:lang w:val="es-ES_tradnl"/>
        </w:rPr>
        <w:t xml:space="preserve"> </w:t>
      </w:r>
      <w:r w:rsidR="00556D03" w:rsidRPr="00DD6BE4">
        <w:rPr>
          <w:lang w:val="es-ES_tradnl"/>
        </w:rPr>
        <w:t xml:space="preserve">se </w:t>
      </w:r>
      <w:r w:rsidR="008A0EFE" w:rsidRPr="00DD6BE4">
        <w:rPr>
          <w:lang w:val="es-ES_tradnl"/>
        </w:rPr>
        <w:t>muestra</w:t>
      </w:r>
      <w:r w:rsidR="00556D03" w:rsidRPr="00DD6BE4">
        <w:rPr>
          <w:lang w:val="es-ES_tradnl"/>
        </w:rPr>
        <w:t>n</w:t>
      </w:r>
      <w:r w:rsidR="008A0EFE" w:rsidRPr="00DD6BE4">
        <w:rPr>
          <w:lang w:val="es-ES_tradnl"/>
        </w:rPr>
        <w:t xml:space="preserve"> </w:t>
      </w:r>
      <w:r w:rsidR="004C25B9" w:rsidRPr="00DD6BE4">
        <w:rPr>
          <w:lang w:val="es-ES_tradnl"/>
        </w:rPr>
        <w:t xml:space="preserve">las </w:t>
      </w:r>
      <w:r w:rsidR="008A0EFE" w:rsidRPr="00DD6BE4">
        <w:rPr>
          <w:lang w:val="es-ES_tradnl"/>
        </w:rPr>
        <w:t>tendencias en las técnicas de I</w:t>
      </w:r>
      <w:r w:rsidR="001750BD" w:rsidRPr="00DD6BE4">
        <w:rPr>
          <w:lang w:val="es-ES_tradnl"/>
        </w:rPr>
        <w:t>A</w:t>
      </w:r>
      <w:r w:rsidR="008A0EFE" w:rsidRPr="00DD6BE4">
        <w:rPr>
          <w:lang w:val="es-ES_tradnl"/>
        </w:rPr>
        <w:t xml:space="preserve">, </w:t>
      </w:r>
      <w:r w:rsidR="004C25B9" w:rsidRPr="00DD6BE4">
        <w:rPr>
          <w:lang w:val="es-ES_tradnl"/>
        </w:rPr>
        <w:t>sus</w:t>
      </w:r>
      <w:r w:rsidR="008A0EFE" w:rsidRPr="00DD6BE4">
        <w:rPr>
          <w:lang w:val="es-ES_tradnl"/>
        </w:rPr>
        <w:t xml:space="preserve"> aplicaciones funcionales y ámbitos de ampliación basándose en datos sobre patentes, científicos, </w:t>
      </w:r>
      <w:r w:rsidR="004C25B9" w:rsidRPr="00DD6BE4">
        <w:rPr>
          <w:lang w:val="es-ES_tradnl"/>
        </w:rPr>
        <w:t>de</w:t>
      </w:r>
      <w:r w:rsidR="008A0EFE" w:rsidRPr="00DD6BE4">
        <w:rPr>
          <w:lang w:val="es-ES_tradnl"/>
        </w:rPr>
        <w:t xml:space="preserve"> litigios, fusiones y adquisiciones, contextualizándolos con estudios de casos, aportaciones y perspectivas de</w:t>
      </w:r>
      <w:r w:rsidR="00556D03" w:rsidRPr="00DD6BE4">
        <w:rPr>
          <w:lang w:val="es-ES_tradnl"/>
        </w:rPr>
        <w:t xml:space="preserve"> los principales e</w:t>
      </w:r>
      <w:r w:rsidR="003C7A2A" w:rsidRPr="00DD6BE4">
        <w:rPr>
          <w:lang w:val="es-ES_tradnl"/>
        </w:rPr>
        <w:t>specialistas</w:t>
      </w:r>
      <w:r w:rsidR="00556D03" w:rsidRPr="00DD6BE4">
        <w:rPr>
          <w:lang w:val="es-ES_tradnl"/>
        </w:rPr>
        <w:t xml:space="preserve"> en la materia.</w:t>
      </w:r>
      <w:r w:rsidRPr="00DD6BE4">
        <w:rPr>
          <w:lang w:val="es-ES_tradnl"/>
        </w:rPr>
        <w:t xml:space="preserve"> En este sentido, proporciona a los encargados de la adopción de decisiones sobre cuestiones de política y de innovación un panorama exhaustivo de la tecnología sobre la que trata, en el contexto de los debates de política y otras cuestiones conexas, y constituye un instrumento de apoyo con un enfoque más integral</w:t>
      </w:r>
      <w:r w:rsidR="00AC21E2" w:rsidRPr="00DD6BE4">
        <w:rPr>
          <w:lang w:val="es-ES_tradnl"/>
        </w:rPr>
        <w:t xml:space="preserve"> para la toma de decisiones y </w:t>
      </w:r>
      <w:r w:rsidR="000E12DD" w:rsidRPr="00DD6BE4">
        <w:rPr>
          <w:lang w:val="es-ES_tradnl"/>
        </w:rPr>
        <w:t>una</w:t>
      </w:r>
      <w:r w:rsidR="003C7A2A" w:rsidRPr="00DD6BE4">
        <w:rPr>
          <w:lang w:val="es-ES_tradnl"/>
        </w:rPr>
        <w:t xml:space="preserve"> mejor </w:t>
      </w:r>
      <w:r w:rsidR="00AC21E2" w:rsidRPr="00DD6BE4">
        <w:rPr>
          <w:lang w:val="es-ES_tradnl"/>
        </w:rPr>
        <w:t>compren</w:t>
      </w:r>
      <w:r w:rsidR="003C7A2A" w:rsidRPr="00DD6BE4">
        <w:rPr>
          <w:lang w:val="es-ES_tradnl"/>
        </w:rPr>
        <w:t>sión de</w:t>
      </w:r>
      <w:r w:rsidR="00AC21E2" w:rsidRPr="00DD6BE4">
        <w:rPr>
          <w:lang w:val="es-ES_tradnl"/>
        </w:rPr>
        <w:t xml:space="preserve"> la actividad de la tecnología y su ecosistema</w:t>
      </w:r>
      <w:r w:rsidRPr="00DD6BE4">
        <w:rPr>
          <w:lang w:val="es-ES_tradnl"/>
        </w:rPr>
        <w:t xml:space="preserve">. Por otro lado, presenta la tecnología de un modo que resulta accesible para aquellos lectores que no tienen conocimientos especializados, al tiempo que proporciona una metodología de vanguardia para la búsqueda de patentes sobre la materia en cuestión. </w:t>
      </w:r>
      <w:r w:rsidR="00D54AAE" w:rsidRPr="00DD6BE4">
        <w:rPr>
          <w:lang w:val="es-ES_tradnl"/>
        </w:rPr>
        <w:t xml:space="preserve">Tras el primer número sobre inteligencia artificial, el segundo </w:t>
      </w:r>
      <w:r w:rsidRPr="00DD6BE4">
        <w:rPr>
          <w:i/>
          <w:lang w:val="es-ES_tradnl"/>
        </w:rPr>
        <w:t>Informe de la OMPI sobre tendencias de la tecnología</w:t>
      </w:r>
      <w:r w:rsidR="00D54AAE" w:rsidRPr="00DD6BE4">
        <w:rPr>
          <w:lang w:val="es-ES_tradnl"/>
        </w:rPr>
        <w:t xml:space="preserve">, publicado en marzo de 2021, se dedicó a la tecnología de apoyo, es decir, a productos y tecnologías de apoyo para </w:t>
      </w:r>
      <w:r w:rsidR="001C3C7A" w:rsidRPr="00DD6BE4">
        <w:rPr>
          <w:lang w:val="es-ES_tradnl"/>
        </w:rPr>
        <w:t>compensar</w:t>
      </w:r>
      <w:r w:rsidR="00D54AAE" w:rsidRPr="00DD6BE4">
        <w:rPr>
          <w:lang w:val="es-ES_tradnl"/>
        </w:rPr>
        <w:t xml:space="preserve"> las limitaciones funcionales relacionadas con la movilidad, cognición, comunicación, visión, </w:t>
      </w:r>
      <w:r w:rsidR="001C3C7A" w:rsidRPr="00DD6BE4">
        <w:rPr>
          <w:lang w:val="es-ES_tradnl"/>
        </w:rPr>
        <w:t xml:space="preserve">oído, autocuidado y </w:t>
      </w:r>
      <w:r w:rsidR="00F87DBB" w:rsidRPr="00DD6BE4">
        <w:rPr>
          <w:lang w:val="es-ES_tradnl"/>
        </w:rPr>
        <w:t>arquitectura</w:t>
      </w:r>
      <w:r w:rsidR="001C3C7A" w:rsidRPr="00DD6BE4">
        <w:rPr>
          <w:lang w:val="es-ES_tradnl"/>
        </w:rPr>
        <w:t xml:space="preserve">, dirigidos a </w:t>
      </w:r>
      <w:r w:rsidR="00F87DBB" w:rsidRPr="00DD6BE4">
        <w:rPr>
          <w:lang w:val="es-ES_tradnl"/>
        </w:rPr>
        <w:t xml:space="preserve">las </w:t>
      </w:r>
      <w:r w:rsidR="001C3C7A" w:rsidRPr="00DD6BE4">
        <w:rPr>
          <w:lang w:val="es-ES_tradnl"/>
        </w:rPr>
        <w:t xml:space="preserve">personas con discapacidad y la población de la tercera edad. </w:t>
      </w:r>
      <w:r w:rsidR="003759A2" w:rsidRPr="00DD6BE4">
        <w:rPr>
          <w:lang w:val="es-ES_tradnl"/>
        </w:rPr>
        <w:t>En el informe se identificaron las tecnologías de apoyo emergentes, las tecnologías facilitadoras gracias a las cuales se han podido desarrollar es</w:t>
      </w:r>
      <w:r w:rsidR="00F87DBB" w:rsidRPr="00DD6BE4">
        <w:rPr>
          <w:lang w:val="es-ES_tradnl"/>
        </w:rPr>
        <w:t>t</w:t>
      </w:r>
      <w:r w:rsidR="003759A2" w:rsidRPr="00DD6BE4">
        <w:rPr>
          <w:lang w:val="es-ES_tradnl"/>
        </w:rPr>
        <w:t xml:space="preserve">as soluciones avanzadas. Además, se ha adaptado </w:t>
      </w:r>
      <w:r w:rsidR="00F02840" w:rsidRPr="00DD6BE4">
        <w:rPr>
          <w:lang w:val="es-ES_tradnl"/>
        </w:rPr>
        <w:t>la metodología de la Administración Nacional de Aeronáutica y el Espacio (NASA) respecto d</w:t>
      </w:r>
      <w:r w:rsidR="003759A2" w:rsidRPr="00DD6BE4">
        <w:rPr>
          <w:lang w:val="es-ES_tradnl"/>
        </w:rPr>
        <w:t xml:space="preserve">el </w:t>
      </w:r>
      <w:r w:rsidR="00051D2D" w:rsidRPr="00DD6BE4">
        <w:rPr>
          <w:lang w:val="es-ES_tradnl"/>
        </w:rPr>
        <w:t>n</w:t>
      </w:r>
      <w:r w:rsidR="003759A2" w:rsidRPr="00DD6BE4">
        <w:rPr>
          <w:lang w:val="es-ES_tradnl"/>
        </w:rPr>
        <w:t>ivel de preparación tec</w:t>
      </w:r>
      <w:r w:rsidR="00051D2D" w:rsidRPr="00DD6BE4">
        <w:rPr>
          <w:lang w:val="es-ES_tradnl"/>
        </w:rPr>
        <w:t>nológica</w:t>
      </w:r>
      <w:r w:rsidR="00F02840" w:rsidRPr="00DD6BE4">
        <w:rPr>
          <w:lang w:val="es-ES_tradnl"/>
        </w:rPr>
        <w:t>, así como</w:t>
      </w:r>
      <w:r w:rsidR="00051D2D" w:rsidRPr="00DD6BE4">
        <w:rPr>
          <w:lang w:val="es-ES_tradnl"/>
        </w:rPr>
        <w:t xml:space="preserve"> los criterios de </w:t>
      </w:r>
      <w:r w:rsidR="00F02840" w:rsidRPr="00DD6BE4">
        <w:rPr>
          <w:lang w:val="es-ES_tradnl"/>
        </w:rPr>
        <w:t>incidencia,</w:t>
      </w:r>
      <w:r w:rsidR="00051D2D" w:rsidRPr="00DD6BE4">
        <w:rPr>
          <w:lang w:val="es-ES_tradnl"/>
        </w:rPr>
        <w:t xml:space="preserve"> para evaluar cuánto tiempo ha</w:t>
      </w:r>
      <w:r w:rsidR="004C25B9" w:rsidRPr="00DD6BE4">
        <w:rPr>
          <w:lang w:val="es-ES_tradnl"/>
        </w:rPr>
        <w:t>ce</w:t>
      </w:r>
      <w:r w:rsidR="00051D2D" w:rsidRPr="00DD6BE4">
        <w:rPr>
          <w:lang w:val="es-ES_tradnl"/>
        </w:rPr>
        <w:t xml:space="preserve"> falta para comercializar las tecnologías emergentes identificadas, y cuáles son</w:t>
      </w:r>
      <w:r w:rsidR="00144D5C" w:rsidRPr="00DD6BE4">
        <w:rPr>
          <w:lang w:val="es-ES_tradnl"/>
        </w:rPr>
        <w:t xml:space="preserve"> los factores que pueden influir en el tiempo que tarda un producto </w:t>
      </w:r>
      <w:r w:rsidR="003972D9" w:rsidRPr="00DD6BE4">
        <w:rPr>
          <w:lang w:val="es-ES_tradnl"/>
        </w:rPr>
        <w:t xml:space="preserve">en </w:t>
      </w:r>
      <w:r w:rsidR="0055714D" w:rsidRPr="00DD6BE4">
        <w:rPr>
          <w:lang w:val="es-ES_tradnl"/>
        </w:rPr>
        <w:t>comerciali</w:t>
      </w:r>
      <w:r w:rsidR="003972D9" w:rsidRPr="00DD6BE4">
        <w:rPr>
          <w:lang w:val="es-ES_tradnl"/>
        </w:rPr>
        <w:t>zarse</w:t>
      </w:r>
      <w:r w:rsidR="00144D5C" w:rsidRPr="00DD6BE4">
        <w:rPr>
          <w:lang w:val="es-ES_tradnl"/>
        </w:rPr>
        <w:t>. Los informes de la OMPI sobre tendencias de la tecnología</w:t>
      </w:r>
      <w:r w:rsidR="004C25B9" w:rsidRPr="00DD6BE4">
        <w:rPr>
          <w:lang w:val="es-ES_tradnl"/>
        </w:rPr>
        <w:t xml:space="preserve"> generaron más de 278.000 descargas en el período de 2019 hasta finales de enero de 2022.</w:t>
      </w:r>
    </w:p>
    <w:p w14:paraId="17A3853C" w14:textId="2357FD12" w:rsidR="00AB037A" w:rsidRPr="00C54CDB" w:rsidRDefault="00C12A20" w:rsidP="00C54CDB">
      <w:pPr>
        <w:pStyle w:val="Heading2"/>
        <w:numPr>
          <w:ilvl w:val="0"/>
          <w:numId w:val="34"/>
        </w:numPr>
        <w:spacing w:after="240"/>
        <w:contextualSpacing/>
        <w:rPr>
          <w:lang w:val="es-ES_tradnl"/>
        </w:rPr>
      </w:pPr>
      <w:r w:rsidRPr="00C54CDB">
        <w:rPr>
          <w:lang w:val="es-ES_tradnl"/>
        </w:rPr>
        <w:t>LIST</w:t>
      </w:r>
      <w:r w:rsidR="004C25B9" w:rsidRPr="00C54CDB">
        <w:rPr>
          <w:lang w:val="es-ES_tradnl"/>
        </w:rPr>
        <w:t>A DE ACTIVIDADES SUGERIDAS</w:t>
      </w:r>
    </w:p>
    <w:p w14:paraId="0EBA2623" w14:textId="2119A149" w:rsidR="00DD7399" w:rsidRPr="00DD6BE4" w:rsidRDefault="00DC5778" w:rsidP="00B86634">
      <w:pPr>
        <w:pStyle w:val="ListParagraph"/>
        <w:numPr>
          <w:ilvl w:val="0"/>
          <w:numId w:val="4"/>
        </w:numPr>
        <w:tabs>
          <w:tab w:val="left" w:pos="540"/>
        </w:tabs>
        <w:spacing w:after="240"/>
        <w:ind w:left="0" w:firstLine="0"/>
        <w:rPr>
          <w:lang w:val="es-ES_tradnl"/>
        </w:rPr>
      </w:pPr>
      <w:r w:rsidRPr="00DD6BE4">
        <w:rPr>
          <w:lang w:val="es-ES_tradnl"/>
        </w:rPr>
        <w:t>Teniendo en cuenta el balance y la evaluación de las actividades presentadas a los Estados miembros durante el examen del presupuesto por programas de la OMPI para el presente bienio, la Secretaría de la OMPI realiza las siguientes observaciones sobre la aplicación de las recomendaciones de la Agenda de la OMPI para el Desarrollo correspondientes a las categorías A y C, con el objetivo específico de colmar la brecha digital (recomendación 24), mejorar la capacidad de las instituciones nacionales de PI mediante el desarrollo de la infraestructura (recomendación 10) y determinar los aspectos de las TIC relacionados con la PI que favorecen el crecimiento y el desarrollo (recomendación 27):</w:t>
      </w:r>
    </w:p>
    <w:p w14:paraId="1655D6E6" w14:textId="77777777" w:rsidR="00826913" w:rsidRPr="00DD6BE4" w:rsidRDefault="00826913" w:rsidP="00A736F7">
      <w:pPr>
        <w:pStyle w:val="ListParagraph"/>
        <w:spacing w:after="160" w:line="259" w:lineRule="auto"/>
        <w:ind w:left="930"/>
        <w:rPr>
          <w:lang w:val="es-ES_tradnl"/>
        </w:rPr>
      </w:pPr>
    </w:p>
    <w:p w14:paraId="4AD6988A" w14:textId="222B6B12" w:rsidR="00AD3F85" w:rsidRPr="00DD6BE4" w:rsidRDefault="00AD3F85" w:rsidP="00AD3F85">
      <w:pPr>
        <w:pStyle w:val="ListParagraph"/>
        <w:numPr>
          <w:ilvl w:val="0"/>
          <w:numId w:val="10"/>
        </w:numPr>
        <w:spacing w:after="160" w:line="259" w:lineRule="auto"/>
        <w:rPr>
          <w:lang w:val="es-ES_tradnl"/>
        </w:rPr>
      </w:pPr>
      <w:r w:rsidRPr="00DD6BE4">
        <w:rPr>
          <w:lang w:val="es-ES_tradnl"/>
        </w:rPr>
        <w:t>Prestación de asistencia técnica a las OPI y fomento de su capacidad mediante el ofrecimiento de programas informáticos, herramientas de TIC, herramientas asistidas por IA y plataformas de TIC desarrollados internamente por la OMPI, así como mediante la reestructuración del flujo de trabajo para adaptarlo al procesamiento de datos digitales y la capacitación para la transferencia de conocimientos.</w:t>
      </w:r>
    </w:p>
    <w:p w14:paraId="12A771FF" w14:textId="0B5DDB04" w:rsidR="00B32C0D" w:rsidRPr="00DD6BE4" w:rsidRDefault="003A36AA" w:rsidP="000857AB">
      <w:pPr>
        <w:pStyle w:val="ListParagraph"/>
        <w:spacing w:after="160" w:line="259" w:lineRule="auto"/>
        <w:ind w:left="930"/>
        <w:rPr>
          <w:lang w:val="es-ES_tradnl"/>
        </w:rPr>
      </w:pPr>
      <w:r w:rsidRPr="00DD6BE4">
        <w:rPr>
          <w:lang w:val="es-ES_tradnl"/>
        </w:rPr>
        <w:t>En los últimos años, s</w:t>
      </w:r>
      <w:r w:rsidR="00217BD5" w:rsidRPr="00DD6BE4">
        <w:rPr>
          <w:lang w:val="es-ES_tradnl"/>
        </w:rPr>
        <w:t xml:space="preserve">e ha avanzado considerablemente en la transformación digital de las OPI. Las OPI </w:t>
      </w:r>
      <w:r w:rsidR="00B72815" w:rsidRPr="00DD6BE4">
        <w:rPr>
          <w:lang w:val="es-ES_tradnl"/>
        </w:rPr>
        <w:t>de</w:t>
      </w:r>
      <w:r w:rsidR="00217BD5" w:rsidRPr="00DD6BE4">
        <w:rPr>
          <w:lang w:val="es-ES_tradnl"/>
        </w:rPr>
        <w:t xml:space="preserve"> la mayoría de los países han digitalizado sus registros y han pasado de unos sistemas </w:t>
      </w:r>
      <w:r w:rsidR="00B72815" w:rsidRPr="00DD6BE4">
        <w:rPr>
          <w:lang w:val="es-ES_tradnl"/>
        </w:rPr>
        <w:t xml:space="preserve">de gestión de la PI basados totalmente en papel al formato electrónico. No obstante, todavía queda mucho </w:t>
      </w:r>
      <w:r w:rsidR="005A1C9F" w:rsidRPr="00DD6BE4">
        <w:rPr>
          <w:lang w:val="es-ES_tradnl"/>
        </w:rPr>
        <w:t>camino por recorrer</w:t>
      </w:r>
      <w:r w:rsidR="00B72815" w:rsidRPr="00DD6BE4">
        <w:rPr>
          <w:lang w:val="es-ES_tradnl"/>
        </w:rPr>
        <w:t xml:space="preserve"> para completar y mejorar la calidad de los datos de PI en muchas oficinas, así como desarrollar la capacidad de ofrecer servicios electrónicos integrales a los solicitantes</w:t>
      </w:r>
      <w:r w:rsidR="001927BD" w:rsidRPr="00DD6BE4">
        <w:rPr>
          <w:lang w:val="es-ES_tradnl"/>
        </w:rPr>
        <w:t xml:space="preserve"> de patente, titulares y otras partes interesadas. </w:t>
      </w:r>
      <w:r w:rsidR="004D7D26" w:rsidRPr="00DD6BE4">
        <w:rPr>
          <w:lang w:val="es-ES_tradnl"/>
        </w:rPr>
        <w:t>Deben considerarse las siguientes prioridades</w:t>
      </w:r>
      <w:r w:rsidR="00B32C0D" w:rsidRPr="00DD6BE4">
        <w:rPr>
          <w:lang w:val="es-ES_tradnl"/>
        </w:rPr>
        <w:t>:</w:t>
      </w:r>
    </w:p>
    <w:p w14:paraId="07B23012" w14:textId="77777777" w:rsidR="0093466F" w:rsidRPr="00DD6BE4" w:rsidRDefault="0093466F" w:rsidP="000857AB">
      <w:pPr>
        <w:pStyle w:val="ListParagraph"/>
        <w:spacing w:after="160" w:line="259" w:lineRule="auto"/>
        <w:ind w:left="930"/>
        <w:rPr>
          <w:lang w:val="es-ES_tradnl"/>
        </w:rPr>
      </w:pPr>
    </w:p>
    <w:p w14:paraId="3CCCFF81" w14:textId="6A2770C2" w:rsidR="00B32C0D" w:rsidRPr="00DD6BE4" w:rsidRDefault="009D6B42" w:rsidP="0093466F">
      <w:pPr>
        <w:pStyle w:val="ListParagraph"/>
        <w:numPr>
          <w:ilvl w:val="0"/>
          <w:numId w:val="31"/>
        </w:numPr>
        <w:spacing w:after="240"/>
        <w:ind w:left="1530"/>
        <w:rPr>
          <w:lang w:val="es-ES_tradnl"/>
        </w:rPr>
      </w:pPr>
      <w:r w:rsidRPr="00DD6BE4">
        <w:rPr>
          <w:lang w:val="es-ES_tradnl"/>
        </w:rPr>
        <w:t>Proseguir y ampliar</w:t>
      </w:r>
      <w:r w:rsidR="004D7D26" w:rsidRPr="00DD6BE4">
        <w:rPr>
          <w:lang w:val="es-ES_tradnl"/>
        </w:rPr>
        <w:t xml:space="preserve"> los servicios para </w:t>
      </w:r>
      <w:r w:rsidR="001B51FE" w:rsidRPr="00DD6BE4">
        <w:rPr>
          <w:lang w:val="es-ES_tradnl"/>
        </w:rPr>
        <w:t>contribuir a</w:t>
      </w:r>
      <w:r w:rsidR="004D7D26" w:rsidRPr="00DD6BE4">
        <w:rPr>
          <w:lang w:val="es-ES_tradnl"/>
        </w:rPr>
        <w:t xml:space="preserve"> la digitalización y la mejora de la calidad de los datos de las OPI.</w:t>
      </w:r>
    </w:p>
    <w:p w14:paraId="1F72D6BA" w14:textId="2A11DABD" w:rsidR="00B32C0D" w:rsidRPr="00DD6BE4" w:rsidRDefault="009D6B42" w:rsidP="0093466F">
      <w:pPr>
        <w:pStyle w:val="ListParagraph"/>
        <w:numPr>
          <w:ilvl w:val="0"/>
          <w:numId w:val="31"/>
        </w:numPr>
        <w:spacing w:after="240"/>
        <w:ind w:left="1530"/>
        <w:rPr>
          <w:lang w:val="es-ES_tradnl"/>
        </w:rPr>
      </w:pPr>
      <w:r w:rsidRPr="00DD6BE4">
        <w:rPr>
          <w:lang w:val="es-ES_tradnl"/>
        </w:rPr>
        <w:t xml:space="preserve">Seguir mejorando </w:t>
      </w:r>
      <w:r w:rsidR="004D7D26" w:rsidRPr="00DD6BE4">
        <w:rPr>
          <w:lang w:val="es-ES_tradnl"/>
        </w:rPr>
        <w:t xml:space="preserve">el conjunto de programas informáticos </w:t>
      </w:r>
      <w:r w:rsidR="00893E93" w:rsidRPr="00DD6BE4">
        <w:rPr>
          <w:lang w:val="es-ES_tradnl"/>
        </w:rPr>
        <w:t xml:space="preserve">de la OMPI </w:t>
      </w:r>
      <w:r w:rsidRPr="00DD6BE4">
        <w:rPr>
          <w:lang w:val="es-ES_tradnl"/>
        </w:rPr>
        <w:t>destinado a</w:t>
      </w:r>
      <w:r w:rsidR="00893E93" w:rsidRPr="00DD6BE4">
        <w:rPr>
          <w:lang w:val="es-ES_tradnl"/>
        </w:rPr>
        <w:t xml:space="preserve"> las OPI </w:t>
      </w:r>
      <w:r w:rsidR="001B51FE" w:rsidRPr="00DD6BE4">
        <w:rPr>
          <w:lang w:val="es-ES_tradnl"/>
        </w:rPr>
        <w:t>para ofrecer</w:t>
      </w:r>
      <w:r w:rsidR="00893E93" w:rsidRPr="00DD6BE4">
        <w:rPr>
          <w:lang w:val="es-ES_tradnl"/>
        </w:rPr>
        <w:t xml:space="preserve"> funciones más avanzadas</w:t>
      </w:r>
      <w:r w:rsidR="00B32C0D" w:rsidRPr="00DD6BE4">
        <w:rPr>
          <w:lang w:val="es-ES_tradnl"/>
        </w:rPr>
        <w:t>.</w:t>
      </w:r>
    </w:p>
    <w:p w14:paraId="7818F29A" w14:textId="6CBDDB99" w:rsidR="000D1113" w:rsidRPr="00DD6BE4" w:rsidRDefault="00893E93" w:rsidP="0093466F">
      <w:pPr>
        <w:pStyle w:val="ListParagraph"/>
        <w:numPr>
          <w:ilvl w:val="0"/>
          <w:numId w:val="31"/>
        </w:numPr>
        <w:spacing w:after="240"/>
        <w:ind w:left="1530"/>
        <w:rPr>
          <w:lang w:val="es-ES_tradnl"/>
        </w:rPr>
      </w:pPr>
      <w:r w:rsidRPr="00DD6BE4">
        <w:rPr>
          <w:lang w:val="es-ES_tradnl"/>
        </w:rPr>
        <w:t>Foment</w:t>
      </w:r>
      <w:r w:rsidR="009D6B42" w:rsidRPr="00DD6BE4">
        <w:rPr>
          <w:lang w:val="es-ES_tradnl"/>
        </w:rPr>
        <w:t>ar</w:t>
      </w:r>
      <w:r w:rsidRPr="00DD6BE4">
        <w:rPr>
          <w:lang w:val="es-ES_tradnl"/>
        </w:rPr>
        <w:t xml:space="preserve"> las</w:t>
      </w:r>
      <w:r w:rsidR="00F51738" w:rsidRPr="00DD6BE4">
        <w:rPr>
          <w:lang w:val="es-ES_tradnl"/>
        </w:rPr>
        <w:t xml:space="preserve"> capacidades de las OPI para que ofrezcan servicios digitalizados totalmente electrónicos</w:t>
      </w:r>
      <w:r w:rsidR="00B32C0D" w:rsidRPr="00DD6BE4">
        <w:rPr>
          <w:lang w:val="es-ES_tradnl"/>
        </w:rPr>
        <w:t>.</w:t>
      </w:r>
    </w:p>
    <w:p w14:paraId="2BF6BC43" w14:textId="39E5E59C" w:rsidR="000D1113" w:rsidRPr="00DD6BE4" w:rsidRDefault="00F72B54" w:rsidP="0093466F">
      <w:pPr>
        <w:pStyle w:val="ListParagraph"/>
        <w:numPr>
          <w:ilvl w:val="0"/>
          <w:numId w:val="31"/>
        </w:numPr>
        <w:spacing w:after="240"/>
        <w:ind w:left="1530"/>
        <w:rPr>
          <w:lang w:val="es-ES_tradnl"/>
        </w:rPr>
      </w:pPr>
      <w:r w:rsidRPr="00DD6BE4">
        <w:rPr>
          <w:lang w:val="es-ES_tradnl"/>
        </w:rPr>
        <w:t>Facilita</w:t>
      </w:r>
      <w:r w:rsidR="009D6B42" w:rsidRPr="00DD6BE4">
        <w:rPr>
          <w:lang w:val="es-ES_tradnl"/>
        </w:rPr>
        <w:t xml:space="preserve">r </w:t>
      </w:r>
      <w:r w:rsidR="00F51738" w:rsidRPr="00DD6BE4">
        <w:rPr>
          <w:lang w:val="es-ES_tradnl"/>
        </w:rPr>
        <w:t>e</w:t>
      </w:r>
      <w:r w:rsidR="001B51FE" w:rsidRPr="00DD6BE4">
        <w:rPr>
          <w:lang w:val="es-ES_tradnl"/>
        </w:rPr>
        <w:t>l</w:t>
      </w:r>
      <w:r w:rsidR="00F51738" w:rsidRPr="00DD6BE4">
        <w:rPr>
          <w:lang w:val="es-ES_tradnl"/>
        </w:rPr>
        <w:t xml:space="preserve"> intercambio de información y acceso a herramientas basadas en tecnologías avanzadas</w:t>
      </w:r>
      <w:r w:rsidR="00B32C0D" w:rsidRPr="00DD6BE4">
        <w:rPr>
          <w:lang w:val="es-ES_tradnl"/>
        </w:rPr>
        <w:t>.</w:t>
      </w:r>
    </w:p>
    <w:p w14:paraId="42A4F0F0" w14:textId="06D3912C" w:rsidR="000857AB" w:rsidRPr="00DD6BE4" w:rsidRDefault="009D6B42" w:rsidP="0093466F">
      <w:pPr>
        <w:pStyle w:val="ListParagraph"/>
        <w:numPr>
          <w:ilvl w:val="0"/>
          <w:numId w:val="31"/>
        </w:numPr>
        <w:spacing w:after="240"/>
        <w:ind w:left="1530"/>
        <w:rPr>
          <w:lang w:val="es-ES_tradnl"/>
        </w:rPr>
      </w:pPr>
      <w:r w:rsidRPr="00DD6BE4">
        <w:rPr>
          <w:lang w:val="es-ES_tradnl"/>
        </w:rPr>
        <w:t>Brindar</w:t>
      </w:r>
      <w:r w:rsidR="00F51738" w:rsidRPr="00DD6BE4">
        <w:rPr>
          <w:lang w:val="es-ES_tradnl"/>
        </w:rPr>
        <w:t xml:space="preserve"> asistencia a las OPI respecto a la digitalización de los datos de PI para reducir la brecha digital en </w:t>
      </w:r>
      <w:r w:rsidR="00E43544" w:rsidRPr="00DD6BE4">
        <w:rPr>
          <w:lang w:val="es-ES_tradnl"/>
        </w:rPr>
        <w:t>el ámbito</w:t>
      </w:r>
      <w:r w:rsidR="00F51738" w:rsidRPr="00DD6BE4">
        <w:rPr>
          <w:lang w:val="es-ES_tradnl"/>
        </w:rPr>
        <w:t xml:space="preserve"> de la PI. </w:t>
      </w:r>
      <w:r w:rsidR="00E43544" w:rsidRPr="00DD6BE4">
        <w:rPr>
          <w:lang w:val="es-ES_tradnl"/>
        </w:rPr>
        <w:t>Pueden ofrecerse herramientas de ROC desarrollad</w:t>
      </w:r>
      <w:r w:rsidR="00CB09A6" w:rsidRPr="00DD6BE4">
        <w:rPr>
          <w:lang w:val="es-ES_tradnl"/>
        </w:rPr>
        <w:t>a</w:t>
      </w:r>
      <w:r w:rsidR="00E43544" w:rsidRPr="00DD6BE4">
        <w:rPr>
          <w:lang w:val="es-ES_tradnl"/>
        </w:rPr>
        <w:t xml:space="preserve">s </w:t>
      </w:r>
      <w:r w:rsidR="00CB09A6" w:rsidRPr="00DD6BE4">
        <w:rPr>
          <w:lang w:val="es-ES_tradnl"/>
        </w:rPr>
        <w:t xml:space="preserve">internamente </w:t>
      </w:r>
      <w:r w:rsidR="00E43544" w:rsidRPr="00DD6BE4">
        <w:rPr>
          <w:lang w:val="es-ES_tradnl"/>
        </w:rPr>
        <w:t xml:space="preserve">por la OMPI a las OPI </w:t>
      </w:r>
      <w:r w:rsidR="001B51FE" w:rsidRPr="00DD6BE4">
        <w:rPr>
          <w:lang w:val="es-ES_tradnl"/>
        </w:rPr>
        <w:t xml:space="preserve">que se hayan </w:t>
      </w:r>
      <w:r w:rsidR="00E43544" w:rsidRPr="00DD6BE4">
        <w:rPr>
          <w:lang w:val="es-ES_tradnl"/>
        </w:rPr>
        <w:t>comprometid</w:t>
      </w:r>
      <w:r w:rsidR="001B51FE" w:rsidRPr="00DD6BE4">
        <w:rPr>
          <w:lang w:val="es-ES_tradnl"/>
        </w:rPr>
        <w:t>o</w:t>
      </w:r>
      <w:r w:rsidR="00E43544" w:rsidRPr="00DD6BE4">
        <w:rPr>
          <w:lang w:val="es-ES_tradnl"/>
        </w:rPr>
        <w:t xml:space="preserve"> a poner en marcha el</w:t>
      </w:r>
      <w:r w:rsidR="00CB09A6" w:rsidRPr="00DD6BE4">
        <w:rPr>
          <w:lang w:val="es-ES_tradnl"/>
        </w:rPr>
        <w:t xml:space="preserve"> formato XML</w:t>
      </w:r>
      <w:r w:rsidR="00F51738" w:rsidRPr="00DD6BE4">
        <w:rPr>
          <w:lang w:val="es-ES_tradnl"/>
        </w:rPr>
        <w:t xml:space="preserve"> </w:t>
      </w:r>
      <w:r w:rsidR="00CB09A6" w:rsidRPr="00DD6BE4">
        <w:rPr>
          <w:lang w:val="es-ES_tradnl"/>
        </w:rPr>
        <w:t xml:space="preserve">de texto completo para la publicación </w:t>
      </w:r>
      <w:r w:rsidR="00250E9B" w:rsidRPr="00DD6BE4">
        <w:rPr>
          <w:lang w:val="es-ES_tradnl"/>
        </w:rPr>
        <w:t>de sus solicitudes y registros de patentes</w:t>
      </w:r>
      <w:r w:rsidR="000857AB" w:rsidRPr="00DD6BE4">
        <w:rPr>
          <w:lang w:val="es-ES_tradnl"/>
        </w:rPr>
        <w:t>.</w:t>
      </w:r>
    </w:p>
    <w:p w14:paraId="54FE47B9" w14:textId="77777777" w:rsidR="000857AB" w:rsidRPr="00DD6BE4" w:rsidRDefault="000857AB" w:rsidP="000857AB">
      <w:pPr>
        <w:pStyle w:val="ListParagraph"/>
        <w:spacing w:after="240"/>
        <w:ind w:left="1134"/>
        <w:rPr>
          <w:lang w:val="es-ES_tradnl"/>
        </w:rPr>
      </w:pPr>
    </w:p>
    <w:p w14:paraId="4A6860A5" w14:textId="3D80C6CC" w:rsidR="00BF1CA1" w:rsidRPr="00DD6BE4" w:rsidRDefault="004E20D5" w:rsidP="000857AB">
      <w:pPr>
        <w:pStyle w:val="ListParagraph"/>
        <w:numPr>
          <w:ilvl w:val="0"/>
          <w:numId w:val="10"/>
        </w:numPr>
        <w:spacing w:after="160" w:line="259" w:lineRule="auto"/>
        <w:rPr>
          <w:lang w:val="es-ES_tradnl"/>
        </w:rPr>
      </w:pPr>
      <w:r w:rsidRPr="00DD6BE4">
        <w:rPr>
          <w:lang w:val="es-ES_tradnl"/>
        </w:rPr>
        <w:t xml:space="preserve">La </w:t>
      </w:r>
      <w:r w:rsidR="00CD2E8C" w:rsidRPr="00DD6BE4">
        <w:rPr>
          <w:lang w:val="es-ES_tradnl"/>
        </w:rPr>
        <w:t>asistencia</w:t>
      </w:r>
      <w:r w:rsidRPr="00DD6BE4">
        <w:rPr>
          <w:lang w:val="es-ES_tradnl"/>
        </w:rPr>
        <w:t xml:space="preserve"> para mejorar las instituciones a fin de colmar la brecha digital y tecnológica con la ayuda de los CATI y servicios conexos incluirá los siguientes </w:t>
      </w:r>
      <w:r w:rsidR="00AE41F6" w:rsidRPr="00DD6BE4">
        <w:rPr>
          <w:lang w:val="es-ES_tradnl"/>
        </w:rPr>
        <w:t>aspec</w:t>
      </w:r>
      <w:r w:rsidRPr="00DD6BE4">
        <w:rPr>
          <w:lang w:val="es-ES_tradnl"/>
        </w:rPr>
        <w:t>tos</w:t>
      </w:r>
      <w:r w:rsidR="00BF1CA1" w:rsidRPr="00DD6BE4">
        <w:rPr>
          <w:lang w:val="es-ES_tradnl"/>
        </w:rPr>
        <w:t>:</w:t>
      </w:r>
    </w:p>
    <w:p w14:paraId="6688B931" w14:textId="77777777" w:rsidR="005105AB" w:rsidRPr="00DD6BE4" w:rsidRDefault="005105AB" w:rsidP="001602BC">
      <w:pPr>
        <w:pStyle w:val="ListParagraph"/>
        <w:spacing w:after="160" w:line="259" w:lineRule="auto"/>
        <w:ind w:left="930"/>
        <w:rPr>
          <w:lang w:val="es-ES_tradnl"/>
        </w:rPr>
      </w:pPr>
    </w:p>
    <w:p w14:paraId="61F488AF" w14:textId="7837FD16" w:rsidR="00BF1CA1" w:rsidRPr="00DD6BE4" w:rsidRDefault="00514017" w:rsidP="001602BC">
      <w:pPr>
        <w:pStyle w:val="ListParagraph"/>
        <w:numPr>
          <w:ilvl w:val="0"/>
          <w:numId w:val="32"/>
        </w:numPr>
        <w:spacing w:after="160" w:line="259" w:lineRule="auto"/>
        <w:ind w:left="1530"/>
        <w:rPr>
          <w:lang w:val="es-ES_tradnl"/>
        </w:rPr>
      </w:pPr>
      <w:r w:rsidRPr="00DD6BE4">
        <w:rPr>
          <w:lang w:val="es-ES_tradnl"/>
        </w:rPr>
        <w:t>Se debe c</w:t>
      </w:r>
      <w:r w:rsidR="00AE41F6" w:rsidRPr="00DD6BE4">
        <w:rPr>
          <w:lang w:val="es-ES_tradnl"/>
        </w:rPr>
        <w:t xml:space="preserve">ontinuar </w:t>
      </w:r>
      <w:r w:rsidRPr="00DD6BE4">
        <w:rPr>
          <w:lang w:val="es-ES_tradnl"/>
        </w:rPr>
        <w:t xml:space="preserve">con </w:t>
      </w:r>
      <w:r w:rsidR="00AE41F6" w:rsidRPr="00DD6BE4">
        <w:rPr>
          <w:lang w:val="es-ES_tradnl"/>
        </w:rPr>
        <w:t>la formación sobre la búsqueda y el análisis de patentes</w:t>
      </w:r>
      <w:r w:rsidRPr="00DD6BE4">
        <w:rPr>
          <w:lang w:val="es-ES_tradnl"/>
        </w:rPr>
        <w:t xml:space="preserve"> y ampliarla para que incluya aspectos sobre la transferencia de tecnología (como la concesión de licencias y la val</w:t>
      </w:r>
      <w:r w:rsidR="00EA56B6" w:rsidRPr="00DD6BE4">
        <w:rPr>
          <w:lang w:val="es-ES_tradnl"/>
        </w:rPr>
        <w:t>oración</w:t>
      </w:r>
      <w:r w:rsidRPr="00DD6BE4">
        <w:rPr>
          <w:lang w:val="es-ES_tradnl"/>
        </w:rPr>
        <w:t xml:space="preserve"> de </w:t>
      </w:r>
      <w:r w:rsidR="00EA56B6" w:rsidRPr="00DD6BE4">
        <w:rPr>
          <w:lang w:val="es-ES_tradnl"/>
        </w:rPr>
        <w:t xml:space="preserve">la </w:t>
      </w:r>
      <w:r w:rsidRPr="00DD6BE4">
        <w:rPr>
          <w:lang w:val="es-ES_tradnl"/>
        </w:rPr>
        <w:t xml:space="preserve">PI), herramientas de apoyo para el diseño y desarrollo de nuevos productos, así como programas de formación sobre las políticas institucionales de PI, </w:t>
      </w:r>
      <w:r w:rsidR="00C51AFA" w:rsidRPr="00DD6BE4">
        <w:rPr>
          <w:lang w:val="es-ES_tradnl"/>
        </w:rPr>
        <w:t>con</w:t>
      </w:r>
      <w:r w:rsidRPr="00DD6BE4">
        <w:rPr>
          <w:lang w:val="es-ES_tradnl"/>
        </w:rPr>
        <w:t xml:space="preserve"> cursos </w:t>
      </w:r>
      <w:r w:rsidR="00C51AFA" w:rsidRPr="00DD6BE4">
        <w:rPr>
          <w:lang w:val="es-ES_tradnl"/>
        </w:rPr>
        <w:t xml:space="preserve">desarrollados en formato electrónico mediante </w:t>
      </w:r>
      <w:r w:rsidR="009A61F6" w:rsidRPr="00DD6BE4">
        <w:rPr>
          <w:lang w:val="es-ES_tradnl"/>
        </w:rPr>
        <w:t xml:space="preserve">una combinación de </w:t>
      </w:r>
      <w:r w:rsidR="00C51AFA" w:rsidRPr="00DD6BE4">
        <w:rPr>
          <w:lang w:val="es-ES_tradnl"/>
        </w:rPr>
        <w:t>módulos didáctico</w:t>
      </w:r>
      <w:r w:rsidR="009A61F6" w:rsidRPr="00DD6BE4">
        <w:rPr>
          <w:lang w:val="es-ES_tradnl"/>
        </w:rPr>
        <w:t>s</w:t>
      </w:r>
      <w:r w:rsidR="00FF7FFC" w:rsidRPr="00DD6BE4">
        <w:rPr>
          <w:lang w:val="es-ES_tradnl"/>
        </w:rPr>
        <w:t>.</w:t>
      </w:r>
    </w:p>
    <w:p w14:paraId="3AE172FC" w14:textId="04D63B69" w:rsidR="00BF1CA1" w:rsidRPr="00DD6BE4" w:rsidRDefault="00983FFB" w:rsidP="001602BC">
      <w:pPr>
        <w:pStyle w:val="ListParagraph"/>
        <w:numPr>
          <w:ilvl w:val="0"/>
          <w:numId w:val="32"/>
        </w:numPr>
        <w:spacing w:after="160" w:line="259" w:lineRule="auto"/>
        <w:ind w:left="1530"/>
        <w:rPr>
          <w:lang w:val="es-ES_tradnl"/>
        </w:rPr>
      </w:pPr>
      <w:r w:rsidRPr="00DD6BE4">
        <w:rPr>
          <w:lang w:val="es-ES_tradnl"/>
        </w:rPr>
        <w:t>El material y los recursos didácticos en est</w:t>
      </w:r>
      <w:r w:rsidR="00F0450C" w:rsidRPr="00DD6BE4">
        <w:rPr>
          <w:lang w:val="es-ES_tradnl"/>
        </w:rPr>
        <w:t>os campos</w:t>
      </w:r>
      <w:r w:rsidRPr="00DD6BE4">
        <w:rPr>
          <w:lang w:val="es-ES_tradnl"/>
        </w:rPr>
        <w:t xml:space="preserve"> también incluirán una Guía de</w:t>
      </w:r>
      <w:r w:rsidR="00EA56B6" w:rsidRPr="00DD6BE4">
        <w:rPr>
          <w:lang w:val="es-ES_tradnl"/>
        </w:rPr>
        <w:t xml:space="preserve"> negociación satisfactoria de licencias tecnológicas</w:t>
      </w:r>
      <w:r w:rsidR="00F0450C" w:rsidRPr="00DD6BE4">
        <w:rPr>
          <w:lang w:val="es-ES_tradnl"/>
        </w:rPr>
        <w:t>,</w:t>
      </w:r>
      <w:r w:rsidR="00EA56B6" w:rsidRPr="00DD6BE4">
        <w:rPr>
          <w:lang w:val="es-ES_tradnl"/>
        </w:rPr>
        <w:t xml:space="preserve"> una Guía de valoración de la PI </w:t>
      </w:r>
      <w:r w:rsidR="00F0450C" w:rsidRPr="00DD6BE4">
        <w:rPr>
          <w:lang w:val="es-ES_tradnl"/>
        </w:rPr>
        <w:t xml:space="preserve">con explicaciones </w:t>
      </w:r>
      <w:r w:rsidR="00E94C96" w:rsidRPr="00DD6BE4">
        <w:rPr>
          <w:lang w:val="es-ES_tradnl"/>
        </w:rPr>
        <w:t>conexas</w:t>
      </w:r>
      <w:r w:rsidR="00F0450C" w:rsidRPr="00DD6BE4">
        <w:rPr>
          <w:lang w:val="es-ES_tradnl"/>
        </w:rPr>
        <w:t xml:space="preserve"> sobre el asunto en cuestión, y una Guía de incentivos para investigadores.</w:t>
      </w:r>
    </w:p>
    <w:p w14:paraId="195F0BE9" w14:textId="6DD6DCAE" w:rsidR="00DD7399" w:rsidRPr="00DD6BE4" w:rsidRDefault="00752F68" w:rsidP="001602BC">
      <w:pPr>
        <w:pStyle w:val="ListParagraph"/>
        <w:numPr>
          <w:ilvl w:val="0"/>
          <w:numId w:val="32"/>
        </w:numPr>
        <w:spacing w:after="160" w:line="259" w:lineRule="auto"/>
        <w:ind w:left="1530"/>
        <w:rPr>
          <w:lang w:val="es-ES_tradnl"/>
        </w:rPr>
      </w:pPr>
      <w:r w:rsidRPr="00DD6BE4">
        <w:rPr>
          <w:lang w:val="es-ES_tradnl"/>
        </w:rPr>
        <w:t xml:space="preserve">Una plataforma de apoyo integrada para innovadores y </w:t>
      </w:r>
      <w:r w:rsidR="00E94C96" w:rsidRPr="00DD6BE4">
        <w:rPr>
          <w:lang w:val="es-ES_tradnl"/>
        </w:rPr>
        <w:t>CATI ofrecerá</w:t>
      </w:r>
      <w:r w:rsidRPr="00DD6BE4">
        <w:rPr>
          <w:lang w:val="es-ES_tradnl"/>
        </w:rPr>
        <w:t xml:space="preserve"> asimismo recursos pertinentes, como informes sobre las bases de datos de patentes,</w:t>
      </w:r>
      <w:r w:rsidR="000B69F3" w:rsidRPr="00DD6BE4">
        <w:rPr>
          <w:lang w:val="es-ES_tradnl"/>
        </w:rPr>
        <w:t xml:space="preserve"> la plataforma social de conocimiento eTISC, una nueva plataforma de gestión del rendimiento y de proyectos </w:t>
      </w:r>
      <w:r w:rsidR="000B524C" w:rsidRPr="00DD6BE4">
        <w:rPr>
          <w:lang w:val="es-ES_tradnl"/>
        </w:rPr>
        <w:t xml:space="preserve">para supervisar los proyectos nacionales de CATI, las bases de datos de políticas universitarias sobre </w:t>
      </w:r>
      <w:r w:rsidR="007C31F9" w:rsidRPr="00DD6BE4">
        <w:rPr>
          <w:lang w:val="es-ES_tradnl"/>
        </w:rPr>
        <w:t xml:space="preserve">la </w:t>
      </w:r>
      <w:r w:rsidR="000B524C" w:rsidRPr="00DD6BE4">
        <w:rPr>
          <w:lang w:val="es-ES_tradnl"/>
        </w:rPr>
        <w:t xml:space="preserve">PI y </w:t>
      </w:r>
      <w:r w:rsidR="008F4B40" w:rsidRPr="00DD6BE4">
        <w:rPr>
          <w:lang w:val="es-ES_tradnl"/>
        </w:rPr>
        <w:t xml:space="preserve">otras </w:t>
      </w:r>
      <w:r w:rsidR="000B524C" w:rsidRPr="00DD6BE4">
        <w:rPr>
          <w:lang w:val="es-ES_tradnl"/>
        </w:rPr>
        <w:t>derivadas, así como la compilación de documentación sobre la transferencia de tecnología.</w:t>
      </w:r>
    </w:p>
    <w:p w14:paraId="0873D39C" w14:textId="77777777" w:rsidR="000D1113" w:rsidRPr="00DD6BE4" w:rsidRDefault="000D1113" w:rsidP="000D1113">
      <w:pPr>
        <w:pStyle w:val="ListParagraph"/>
        <w:spacing w:after="160" w:line="259" w:lineRule="auto"/>
        <w:ind w:left="930"/>
        <w:rPr>
          <w:lang w:val="es-ES_tradnl"/>
        </w:rPr>
      </w:pPr>
    </w:p>
    <w:p w14:paraId="1FE66A2C" w14:textId="223D2FD6" w:rsidR="000D1113" w:rsidRPr="00DD6BE4" w:rsidRDefault="00777BF6" w:rsidP="000D1113">
      <w:pPr>
        <w:pStyle w:val="ListParagraph"/>
        <w:numPr>
          <w:ilvl w:val="0"/>
          <w:numId w:val="10"/>
        </w:numPr>
        <w:spacing w:after="160" w:line="259" w:lineRule="auto"/>
        <w:rPr>
          <w:lang w:val="es-ES_tradnl"/>
        </w:rPr>
      </w:pPr>
      <w:r w:rsidRPr="00DD6BE4">
        <w:rPr>
          <w:lang w:val="es-ES_tradnl"/>
        </w:rPr>
        <w:t>Provisión de asesoramiento legislativo e información pertinente a los países en desarrollo y los países menos adelantados en relación con su legislación de PI en el entorno digital</w:t>
      </w:r>
      <w:r w:rsidR="007965A9" w:rsidRPr="00DD6BE4">
        <w:rPr>
          <w:lang w:val="es-ES_tradnl"/>
        </w:rPr>
        <w:t>.</w:t>
      </w:r>
      <w:r w:rsidR="009F16A9" w:rsidRPr="00DD6BE4">
        <w:rPr>
          <w:lang w:val="es-ES_tradnl"/>
        </w:rPr>
        <w:t xml:space="preserve"> </w:t>
      </w:r>
      <w:r w:rsidR="00620CCF" w:rsidRPr="00DD6BE4">
        <w:rPr>
          <w:lang w:val="es-ES_tradnl"/>
        </w:rPr>
        <w:t xml:space="preserve">La digitalización de los procedimientos </w:t>
      </w:r>
      <w:r w:rsidR="00AE061C" w:rsidRPr="00DD6BE4">
        <w:rPr>
          <w:lang w:val="es-ES_tradnl"/>
        </w:rPr>
        <w:t>en</w:t>
      </w:r>
      <w:r w:rsidR="00620CCF" w:rsidRPr="00DD6BE4">
        <w:rPr>
          <w:lang w:val="es-ES_tradnl"/>
        </w:rPr>
        <w:t xml:space="preserve"> las OPI presupone un sólido marco jurídico que facilite dichas medidas, crea incentivos para que los usuarios utilicen las herramientas y servicios digitales ofrecidos, pero no impone unos requisitos que no puedan cumplir las OPI en su actual estado de desarrollo. </w:t>
      </w:r>
      <w:r w:rsidR="00620CCF" w:rsidRPr="00DD6BE4">
        <w:rPr>
          <w:szCs w:val="22"/>
          <w:lang w:val="es-ES_tradnl"/>
        </w:rPr>
        <w:t xml:space="preserve">El rápido crecimiento del desarrollo tecnológico hace que sea </w:t>
      </w:r>
      <w:r w:rsidR="00532011" w:rsidRPr="00DD6BE4">
        <w:rPr>
          <w:szCs w:val="22"/>
          <w:lang w:val="es-ES_tradnl"/>
        </w:rPr>
        <w:t>vital</w:t>
      </w:r>
      <w:r w:rsidR="00620CCF" w:rsidRPr="00DD6BE4">
        <w:rPr>
          <w:szCs w:val="22"/>
          <w:lang w:val="es-ES_tradnl"/>
        </w:rPr>
        <w:t xml:space="preserve"> que las normas jurídicas </w:t>
      </w:r>
      <w:r w:rsidR="00532011" w:rsidRPr="00DD6BE4">
        <w:rPr>
          <w:szCs w:val="22"/>
          <w:lang w:val="es-ES_tradnl"/>
        </w:rPr>
        <w:t xml:space="preserve">que se aplican </w:t>
      </w:r>
      <w:r w:rsidR="00620CCF" w:rsidRPr="00DD6BE4">
        <w:rPr>
          <w:szCs w:val="22"/>
          <w:lang w:val="es-ES_tradnl"/>
        </w:rPr>
        <w:t xml:space="preserve">a cuestiones </w:t>
      </w:r>
      <w:r w:rsidR="00CD2E8C" w:rsidRPr="00DD6BE4">
        <w:rPr>
          <w:szCs w:val="22"/>
          <w:lang w:val="es-ES_tradnl"/>
        </w:rPr>
        <w:t>procedimentales y formales</w:t>
      </w:r>
      <w:r w:rsidR="00620CCF" w:rsidRPr="00DD6BE4">
        <w:rPr>
          <w:szCs w:val="22"/>
          <w:lang w:val="es-ES_tradnl"/>
        </w:rPr>
        <w:t xml:space="preserve"> estén </w:t>
      </w:r>
      <w:r w:rsidR="00532011" w:rsidRPr="00DD6BE4">
        <w:rPr>
          <w:szCs w:val="22"/>
          <w:lang w:val="es-ES_tradnl"/>
        </w:rPr>
        <w:t>en consonancia con la infraestructura y capacidad institucional de las OPI. Con este fin, la OMPI continúa prestando asesoramiento legislativ</w:t>
      </w:r>
      <w:r w:rsidR="00AE061C" w:rsidRPr="00DD6BE4">
        <w:rPr>
          <w:szCs w:val="22"/>
          <w:lang w:val="es-ES_tradnl"/>
        </w:rPr>
        <w:t>o</w:t>
      </w:r>
      <w:r w:rsidR="00532011" w:rsidRPr="00DD6BE4">
        <w:rPr>
          <w:szCs w:val="22"/>
          <w:lang w:val="es-ES_tradnl"/>
        </w:rPr>
        <w:t xml:space="preserve"> para asegurar esta consonancia </w:t>
      </w:r>
      <w:r w:rsidR="002B7078" w:rsidRPr="00DD6BE4">
        <w:rPr>
          <w:szCs w:val="22"/>
          <w:lang w:val="es-ES_tradnl"/>
        </w:rPr>
        <w:t xml:space="preserve">y asistir a los Estados miembros </w:t>
      </w:r>
      <w:r w:rsidR="00CD2E8C" w:rsidRPr="00DD6BE4">
        <w:rPr>
          <w:szCs w:val="22"/>
          <w:lang w:val="es-ES_tradnl"/>
        </w:rPr>
        <w:t>par</w:t>
      </w:r>
      <w:r w:rsidR="002B7078" w:rsidRPr="00DD6BE4">
        <w:rPr>
          <w:szCs w:val="22"/>
          <w:lang w:val="es-ES_tradnl"/>
        </w:rPr>
        <w:t xml:space="preserve">a </w:t>
      </w:r>
      <w:r w:rsidR="00CD2E8C" w:rsidRPr="00DD6BE4">
        <w:rPr>
          <w:szCs w:val="22"/>
          <w:lang w:val="es-ES_tradnl"/>
        </w:rPr>
        <w:t>que logren</w:t>
      </w:r>
      <w:r w:rsidR="002B7078" w:rsidRPr="00DD6BE4">
        <w:rPr>
          <w:szCs w:val="22"/>
          <w:lang w:val="es-ES_tradnl"/>
        </w:rPr>
        <w:t xml:space="preserve"> su objetivo de ofrecer plataformas y servicios digitales seguros</w:t>
      </w:r>
      <w:r w:rsidR="00532011" w:rsidRPr="00DD6BE4">
        <w:rPr>
          <w:szCs w:val="22"/>
          <w:lang w:val="es-ES_tradnl"/>
        </w:rPr>
        <w:t xml:space="preserve"> </w:t>
      </w:r>
      <w:r w:rsidR="002B7078" w:rsidRPr="00DD6BE4">
        <w:rPr>
          <w:szCs w:val="22"/>
          <w:lang w:val="es-ES_tradnl"/>
        </w:rPr>
        <w:t xml:space="preserve">y </w:t>
      </w:r>
      <w:r w:rsidR="005772CD" w:rsidRPr="00DD6BE4">
        <w:rPr>
          <w:szCs w:val="22"/>
          <w:lang w:val="es-ES_tradnl"/>
        </w:rPr>
        <w:t>de uso</w:t>
      </w:r>
      <w:r w:rsidR="00CD2E8C" w:rsidRPr="00DD6BE4">
        <w:rPr>
          <w:szCs w:val="22"/>
          <w:lang w:val="es-ES_tradnl"/>
        </w:rPr>
        <w:t xml:space="preserve"> sencillo</w:t>
      </w:r>
      <w:r w:rsidR="000D1113" w:rsidRPr="00DD6BE4">
        <w:rPr>
          <w:lang w:val="es-ES_tradnl"/>
        </w:rPr>
        <w:t>.</w:t>
      </w:r>
    </w:p>
    <w:p w14:paraId="6E589BFE" w14:textId="77777777" w:rsidR="00D76AEB" w:rsidRPr="00DD6BE4" w:rsidRDefault="00D76AEB" w:rsidP="00B806F1">
      <w:pPr>
        <w:pStyle w:val="ListParagraph"/>
        <w:tabs>
          <w:tab w:val="left" w:pos="360"/>
        </w:tabs>
        <w:spacing w:after="240"/>
        <w:ind w:left="0"/>
        <w:rPr>
          <w:i/>
          <w:lang w:val="es-ES_tradnl"/>
        </w:rPr>
      </w:pPr>
    </w:p>
    <w:p w14:paraId="586561DF" w14:textId="6DC8421D" w:rsidR="005C00A2" w:rsidRPr="00DD6BE4" w:rsidRDefault="000906F7" w:rsidP="002637B0">
      <w:pPr>
        <w:pStyle w:val="ListParagraph"/>
        <w:numPr>
          <w:ilvl w:val="0"/>
          <w:numId w:val="4"/>
        </w:numPr>
        <w:tabs>
          <w:tab w:val="left" w:pos="360"/>
        </w:tabs>
        <w:spacing w:after="600"/>
        <w:ind w:left="5761" w:firstLine="0"/>
        <w:contextualSpacing w:val="0"/>
        <w:rPr>
          <w:i/>
          <w:lang w:val="es-ES_tradnl"/>
        </w:rPr>
      </w:pPr>
      <w:r w:rsidRPr="00DD6BE4">
        <w:rPr>
          <w:i/>
          <w:lang w:val="es-ES_tradnl"/>
        </w:rPr>
        <w:t>Se invita al CDIP a examinar la información contenida en el presente documento</w:t>
      </w:r>
      <w:r w:rsidR="00C12A20" w:rsidRPr="00DD6BE4">
        <w:rPr>
          <w:i/>
          <w:lang w:val="es-ES_tradnl"/>
        </w:rPr>
        <w:t>.</w:t>
      </w:r>
    </w:p>
    <w:p w14:paraId="369D440D" w14:textId="1ABAC612" w:rsidR="002637B0" w:rsidRPr="00DD6BE4" w:rsidRDefault="002637B0" w:rsidP="002637B0">
      <w:pPr>
        <w:pStyle w:val="ListParagraph"/>
        <w:tabs>
          <w:tab w:val="left" w:pos="360"/>
        </w:tabs>
        <w:ind w:left="5760"/>
        <w:rPr>
          <w:lang w:val="es-ES_tradnl"/>
        </w:rPr>
      </w:pPr>
      <w:r w:rsidRPr="00DD6BE4">
        <w:rPr>
          <w:lang w:val="es-ES_tradnl"/>
        </w:rPr>
        <w:t>[Fin del documento]</w:t>
      </w:r>
    </w:p>
    <w:sectPr w:rsidR="002637B0" w:rsidRPr="00DD6BE4" w:rsidSect="00B03DCB">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C04B0" w14:textId="77777777" w:rsidR="00EF0132" w:rsidRDefault="00EF0132">
      <w:r>
        <w:separator/>
      </w:r>
    </w:p>
  </w:endnote>
  <w:endnote w:type="continuationSeparator" w:id="0">
    <w:p w14:paraId="0BC94D43" w14:textId="77777777" w:rsidR="00EF0132" w:rsidRDefault="00EF0132" w:rsidP="003B38C1">
      <w:r>
        <w:separator/>
      </w:r>
    </w:p>
    <w:p w14:paraId="44A5CAE5" w14:textId="77777777" w:rsidR="00EF0132" w:rsidRPr="003B38C1" w:rsidRDefault="00EF0132" w:rsidP="003B38C1">
      <w:pPr>
        <w:spacing w:after="60"/>
        <w:rPr>
          <w:sz w:val="17"/>
        </w:rPr>
      </w:pPr>
      <w:r>
        <w:rPr>
          <w:sz w:val="17"/>
        </w:rPr>
        <w:t>[Endnote continued from previous page]</w:t>
      </w:r>
    </w:p>
  </w:endnote>
  <w:endnote w:type="continuationNotice" w:id="1">
    <w:p w14:paraId="008F3EAC" w14:textId="77777777" w:rsidR="00EF0132" w:rsidRPr="003B38C1" w:rsidRDefault="00EF013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BF750" w14:textId="77777777" w:rsidR="00AB4F4D" w:rsidRDefault="00AB4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82E3D" w14:textId="77777777" w:rsidR="00AB4F4D" w:rsidRDefault="00AB4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7AB1" w14:textId="77777777" w:rsidR="00AB4F4D" w:rsidRDefault="00AB4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383C4" w14:textId="77777777" w:rsidR="00EF0132" w:rsidRDefault="00EF0132">
      <w:r>
        <w:separator/>
      </w:r>
    </w:p>
  </w:footnote>
  <w:footnote w:type="continuationSeparator" w:id="0">
    <w:p w14:paraId="340C8129" w14:textId="77777777" w:rsidR="00EF0132" w:rsidRDefault="00EF0132" w:rsidP="008B60B2">
      <w:r>
        <w:separator/>
      </w:r>
    </w:p>
    <w:p w14:paraId="5EC3C448" w14:textId="77777777" w:rsidR="00EF0132" w:rsidRPr="00ED77FB" w:rsidRDefault="00EF0132" w:rsidP="008B60B2">
      <w:pPr>
        <w:spacing w:after="60"/>
        <w:rPr>
          <w:sz w:val="17"/>
          <w:szCs w:val="17"/>
        </w:rPr>
      </w:pPr>
      <w:r w:rsidRPr="00ED77FB">
        <w:rPr>
          <w:sz w:val="17"/>
          <w:szCs w:val="17"/>
        </w:rPr>
        <w:t>[Footnote continued from previous page]</w:t>
      </w:r>
    </w:p>
  </w:footnote>
  <w:footnote w:type="continuationNotice" w:id="1">
    <w:p w14:paraId="200267B5" w14:textId="77777777" w:rsidR="00EF0132" w:rsidRPr="00ED77FB" w:rsidRDefault="00EF0132" w:rsidP="008B60B2">
      <w:pPr>
        <w:spacing w:before="60"/>
        <w:jc w:val="right"/>
        <w:rPr>
          <w:sz w:val="17"/>
          <w:szCs w:val="17"/>
        </w:rPr>
      </w:pPr>
      <w:r w:rsidRPr="00ED77FB">
        <w:rPr>
          <w:sz w:val="17"/>
          <w:szCs w:val="17"/>
        </w:rPr>
        <w:t>[Footnote continued on next page]</w:t>
      </w:r>
    </w:p>
  </w:footnote>
  <w:footnote w:id="2">
    <w:p w14:paraId="01E2534B" w14:textId="5243F379" w:rsidR="007C18BE" w:rsidRPr="00D6710F" w:rsidRDefault="007C18BE">
      <w:pPr>
        <w:pStyle w:val="FootnoteText"/>
        <w:rPr>
          <w:lang w:val="es-ES"/>
        </w:rPr>
      </w:pPr>
      <w:r>
        <w:rPr>
          <w:rStyle w:val="FootnoteReference"/>
        </w:rPr>
        <w:footnoteRef/>
      </w:r>
      <w:r w:rsidRPr="00D6710F">
        <w:rPr>
          <w:lang w:val="es-ES"/>
        </w:rPr>
        <w:t xml:space="preserve"> </w:t>
      </w:r>
      <w:r w:rsidR="003430A8" w:rsidRPr="00D6710F">
        <w:rPr>
          <w:lang w:val="es-ES"/>
        </w:rPr>
        <w:t>V</w:t>
      </w:r>
      <w:r w:rsidR="00F9093A">
        <w:rPr>
          <w:lang w:val="es-ES"/>
        </w:rPr>
        <w:t>éase el</w:t>
      </w:r>
      <w:r w:rsidR="003430A8" w:rsidRPr="00D6710F">
        <w:rPr>
          <w:lang w:val="es-ES"/>
        </w:rPr>
        <w:t xml:space="preserve"> párrafo 11 del</w:t>
      </w:r>
      <w:r w:rsidRPr="00D6710F">
        <w:rPr>
          <w:lang w:val="es-ES"/>
        </w:rPr>
        <w:t xml:space="preserve"> </w:t>
      </w:r>
      <w:hyperlink r:id="rId1" w:history="1">
        <w:r w:rsidR="00EA226A">
          <w:rPr>
            <w:rStyle w:val="Hyperlink"/>
            <w:lang w:val="es-ES"/>
          </w:rPr>
          <w:t>R</w:t>
        </w:r>
        <w:r w:rsidR="003430A8" w:rsidRPr="00D6710F">
          <w:rPr>
            <w:rStyle w:val="Hyperlink"/>
            <w:lang w:val="es-ES"/>
          </w:rPr>
          <w:t>esumen de la presidencia</w:t>
        </w:r>
      </w:hyperlink>
      <w:r w:rsidRPr="00D6710F">
        <w:rPr>
          <w:lang w:val="es-ES"/>
        </w:rPr>
        <w:t xml:space="preserve"> </w:t>
      </w:r>
      <w:r w:rsidR="003430A8" w:rsidRPr="00D6710F">
        <w:rPr>
          <w:lang w:val="es-ES"/>
        </w:rPr>
        <w:t xml:space="preserve">de la </w:t>
      </w:r>
      <w:r w:rsidR="00D6710F">
        <w:rPr>
          <w:lang w:val="es-ES"/>
        </w:rPr>
        <w:t>27.ª</w:t>
      </w:r>
      <w:r w:rsidR="003430A8" w:rsidRPr="00D6710F">
        <w:rPr>
          <w:lang w:val="es-ES"/>
        </w:rPr>
        <w:t xml:space="preserve"> sesión del </w:t>
      </w:r>
      <w:r w:rsidRPr="00D6710F">
        <w:rPr>
          <w:lang w:val="es-ES"/>
        </w:rPr>
        <w:t>CDIP.</w:t>
      </w:r>
    </w:p>
  </w:footnote>
  <w:footnote w:id="3">
    <w:p w14:paraId="6F48675B" w14:textId="76B80627" w:rsidR="003D3871" w:rsidRPr="003D3871" w:rsidRDefault="00F970C3" w:rsidP="00F970C3">
      <w:pPr>
        <w:pStyle w:val="FootnoteText"/>
        <w:rPr>
          <w:color w:val="0000FF" w:themeColor="hyperlink"/>
          <w:u w:val="single"/>
          <w:lang w:val="es-ES"/>
        </w:rPr>
      </w:pPr>
      <w:r>
        <w:rPr>
          <w:rStyle w:val="FootnoteReference"/>
        </w:rPr>
        <w:footnoteRef/>
      </w:r>
      <w:r w:rsidRPr="00E5345E">
        <w:rPr>
          <w:lang w:val="es-ES"/>
        </w:rPr>
        <w:t xml:space="preserve"> </w:t>
      </w:r>
      <w:r w:rsidR="00E5345E" w:rsidRPr="00E5345E">
        <w:rPr>
          <w:lang w:val="es-ES"/>
        </w:rPr>
        <w:t>Hay más información dis</w:t>
      </w:r>
      <w:r w:rsidR="00E5345E">
        <w:rPr>
          <w:lang w:val="es-ES"/>
        </w:rPr>
        <w:t xml:space="preserve">ponible sobre el </w:t>
      </w:r>
      <w:r w:rsidR="00EC1278" w:rsidRPr="00E5345E">
        <w:rPr>
          <w:lang w:val="es-ES"/>
        </w:rPr>
        <w:t xml:space="preserve">conjunto de programas </w:t>
      </w:r>
      <w:r w:rsidR="00224C1A">
        <w:rPr>
          <w:lang w:val="es-ES"/>
        </w:rPr>
        <w:t xml:space="preserve">informáticos de la OMPI </w:t>
      </w:r>
      <w:r w:rsidR="00E5345E">
        <w:rPr>
          <w:lang w:val="es-ES"/>
        </w:rPr>
        <w:t xml:space="preserve">para las </w:t>
      </w:r>
      <w:r w:rsidR="00EC1278" w:rsidRPr="00E5345E">
        <w:rPr>
          <w:lang w:val="es-ES"/>
        </w:rPr>
        <w:t>OPI</w:t>
      </w:r>
      <w:r w:rsidRPr="00E5345E">
        <w:rPr>
          <w:lang w:val="es-ES"/>
        </w:rPr>
        <w:t>, inclu</w:t>
      </w:r>
      <w:r w:rsidR="00E5345E">
        <w:rPr>
          <w:lang w:val="es-ES"/>
        </w:rPr>
        <w:t xml:space="preserve">ido un documento descriptivo y </w:t>
      </w:r>
      <w:r w:rsidR="00035E59">
        <w:rPr>
          <w:lang w:val="es-ES"/>
        </w:rPr>
        <w:t xml:space="preserve">libro blanco sobre la transformación digital de las OPI, en la siguiente dirección: </w:t>
      </w:r>
      <w:hyperlink r:id="rId2" w:history="1">
        <w:r w:rsidR="00035E59" w:rsidRPr="009713C1">
          <w:rPr>
            <w:rStyle w:val="Hyperlink"/>
            <w:lang w:val="es-ES"/>
          </w:rPr>
          <w:t>www.wipo.int/global_ip/es/activities/ip_office_business_solutions/</w:t>
        </w:r>
      </w:hyperlink>
      <w:r w:rsidR="003D3871">
        <w:rPr>
          <w:lang w:val="es-ES"/>
        </w:rPr>
        <w:t>.</w:t>
      </w:r>
    </w:p>
    <w:p w14:paraId="70FEC0B3" w14:textId="5019225F" w:rsidR="00F970C3" w:rsidRPr="00035E59" w:rsidRDefault="00035E59" w:rsidP="00F970C3">
      <w:pPr>
        <w:pStyle w:val="FootnoteText"/>
        <w:rPr>
          <w:lang w:val="es-ES"/>
        </w:rPr>
      </w:pPr>
      <w:r w:rsidRPr="00035E59">
        <w:rPr>
          <w:lang w:val="es-ES"/>
        </w:rPr>
        <w:t>La descripción sobre el conjun</w:t>
      </w:r>
      <w:r>
        <w:rPr>
          <w:lang w:val="es-ES"/>
        </w:rPr>
        <w:t xml:space="preserve">to de programas informáticos </w:t>
      </w:r>
      <w:r w:rsidR="00224C1A">
        <w:rPr>
          <w:lang w:val="es-ES"/>
        </w:rPr>
        <w:t xml:space="preserve">de la OMPI </w:t>
      </w:r>
      <w:r>
        <w:rPr>
          <w:lang w:val="es-ES"/>
        </w:rPr>
        <w:t>para las OPI se encuentra en</w:t>
      </w:r>
      <w:r w:rsidR="00F970C3" w:rsidRPr="00035E59">
        <w:rPr>
          <w:lang w:val="es-ES"/>
        </w:rPr>
        <w:t xml:space="preserve">: </w:t>
      </w:r>
      <w:hyperlink r:id="rId3" w:history="1">
        <w:r w:rsidR="00F970C3" w:rsidRPr="00035E59">
          <w:rPr>
            <w:rStyle w:val="Hyperlink"/>
            <w:lang w:val="es-ES"/>
          </w:rPr>
          <w:t>www.wipo.int/export/sites/www/global_ip/en/activities/ip_office_business_solutions/pdf/business_solutions.pdf</w:t>
        </w:r>
      </w:hyperlink>
      <w:r w:rsidR="003D3871">
        <w:rPr>
          <w:lang w:val="es-ES"/>
        </w:rPr>
        <w:t>.</w:t>
      </w:r>
    </w:p>
    <w:p w14:paraId="25C8F3A6" w14:textId="3F5106E4" w:rsidR="00F970C3" w:rsidRPr="00035E59" w:rsidRDefault="00035E59" w:rsidP="00F970C3">
      <w:pPr>
        <w:pStyle w:val="FootnoteText"/>
        <w:rPr>
          <w:lang w:val="es-ES"/>
        </w:rPr>
      </w:pPr>
      <w:r w:rsidRPr="00035E59">
        <w:rPr>
          <w:lang w:val="es-ES"/>
        </w:rPr>
        <w:t xml:space="preserve">El Libro blanco sobre la </w:t>
      </w:r>
      <w:r>
        <w:rPr>
          <w:lang w:val="es-ES"/>
        </w:rPr>
        <w:t>transformación digital de las OPI se encuentra en</w:t>
      </w:r>
      <w:r w:rsidR="00F970C3" w:rsidRPr="00035E59">
        <w:rPr>
          <w:lang w:val="es-ES"/>
        </w:rPr>
        <w:t xml:space="preserve">: </w:t>
      </w:r>
      <w:hyperlink r:id="rId4" w:history="1">
        <w:r w:rsidR="00B54B1D" w:rsidRPr="00035E59">
          <w:rPr>
            <w:rStyle w:val="Hyperlink"/>
            <w:lang w:val="es-ES"/>
          </w:rPr>
          <w:t>www.wipo.int/export/sites/www/global_ip/en/activities/ip_office_business_solutions/pdf/digital_transformation.pdf</w:t>
        </w:r>
      </w:hyperlink>
      <w:r w:rsidR="003D3871">
        <w:rPr>
          <w:lang w:val="es-ES"/>
        </w:rPr>
        <w:t>.</w:t>
      </w:r>
    </w:p>
  </w:footnote>
  <w:footnote w:id="4">
    <w:p w14:paraId="7C5EF128" w14:textId="1C78BE90" w:rsidR="00994355" w:rsidRPr="00A37617" w:rsidRDefault="00994355">
      <w:pPr>
        <w:pStyle w:val="FootnoteText"/>
        <w:rPr>
          <w:lang w:val="es-ES"/>
        </w:rPr>
      </w:pPr>
      <w:r>
        <w:rPr>
          <w:rStyle w:val="FootnoteReference"/>
        </w:rPr>
        <w:footnoteRef/>
      </w:r>
      <w:r w:rsidR="00292D76" w:rsidRPr="00A37617">
        <w:rPr>
          <w:lang w:val="es-ES"/>
        </w:rPr>
        <w:t xml:space="preserve"> </w:t>
      </w:r>
      <w:r w:rsidR="00A37617" w:rsidRPr="00A37617">
        <w:rPr>
          <w:lang w:val="es-ES"/>
        </w:rPr>
        <w:t>Puede encontrarse más información sobre</w:t>
      </w:r>
      <w:r w:rsidR="00A37617">
        <w:rPr>
          <w:lang w:val="es-ES"/>
        </w:rPr>
        <w:t xml:space="preserve"> la</w:t>
      </w:r>
      <w:r w:rsidR="00A37617" w:rsidRPr="00A37617">
        <w:rPr>
          <w:lang w:val="es-ES"/>
        </w:rPr>
        <w:t xml:space="preserve"> </w:t>
      </w:r>
      <w:r w:rsidR="007F5946">
        <w:rPr>
          <w:lang w:val="es-ES"/>
        </w:rPr>
        <w:t>IA</w:t>
      </w:r>
      <w:r w:rsidR="00A37617" w:rsidRPr="00A37617">
        <w:rPr>
          <w:lang w:val="es-ES"/>
        </w:rPr>
        <w:t xml:space="preserve"> en la</w:t>
      </w:r>
      <w:r w:rsidR="00A37617">
        <w:rPr>
          <w:lang w:val="es-ES"/>
        </w:rPr>
        <w:t xml:space="preserve"> administración de la PI en</w:t>
      </w:r>
      <w:r w:rsidR="00292D76" w:rsidRPr="00A37617">
        <w:rPr>
          <w:lang w:val="es-ES"/>
        </w:rPr>
        <w:t xml:space="preserve">: </w:t>
      </w:r>
      <w:hyperlink r:id="rId5" w:history="1">
        <w:r w:rsidR="00A37617">
          <w:rPr>
            <w:rStyle w:val="Hyperlink"/>
            <w:lang w:val="es-ES"/>
          </w:rPr>
          <w:t>www.wipo.int/about-ip/es/artificial_intelligence/ip_administration.html</w:t>
        </w:r>
      </w:hyperlink>
      <w:r w:rsidR="003D3871" w:rsidRPr="003D3871">
        <w:rPr>
          <w:rStyle w:val="Hyperlink"/>
          <w:color w:val="auto"/>
          <w:u w:val="none"/>
          <w:lang w:val="es-ES"/>
        </w:rPr>
        <w:t>.</w:t>
      </w:r>
    </w:p>
  </w:footnote>
  <w:footnote w:id="5">
    <w:p w14:paraId="7AB83DAC" w14:textId="1DF13A16" w:rsidR="00994355" w:rsidRPr="001A6786" w:rsidRDefault="00994355">
      <w:pPr>
        <w:pStyle w:val="FootnoteText"/>
        <w:rPr>
          <w:lang w:val="es-ES"/>
        </w:rPr>
      </w:pPr>
      <w:r>
        <w:rPr>
          <w:rStyle w:val="FootnoteReference"/>
        </w:rPr>
        <w:footnoteRef/>
      </w:r>
      <w:r w:rsidRPr="001A6786">
        <w:rPr>
          <w:lang w:val="es-ES"/>
        </w:rPr>
        <w:t xml:space="preserve"> </w:t>
      </w:r>
      <w:r w:rsidR="001A6786" w:rsidRPr="001A6786">
        <w:rPr>
          <w:lang w:val="es-ES"/>
        </w:rPr>
        <w:t xml:space="preserve">El </w:t>
      </w:r>
      <w:r w:rsidR="002D1ACC">
        <w:rPr>
          <w:lang w:val="es-ES"/>
        </w:rPr>
        <w:t>C</w:t>
      </w:r>
      <w:r w:rsidR="001A6786" w:rsidRPr="001A6786">
        <w:rPr>
          <w:lang w:val="es-ES"/>
        </w:rPr>
        <w:t xml:space="preserve">entro de </w:t>
      </w:r>
      <w:r w:rsidR="002D1ACC">
        <w:rPr>
          <w:lang w:val="es-ES"/>
        </w:rPr>
        <w:t>I</w:t>
      </w:r>
      <w:r w:rsidR="001A6786" w:rsidRPr="001A6786">
        <w:rPr>
          <w:lang w:val="es-ES"/>
        </w:rPr>
        <w:t xml:space="preserve">ntercambio </w:t>
      </w:r>
      <w:r w:rsidR="001A6786">
        <w:rPr>
          <w:lang w:val="es-ES"/>
        </w:rPr>
        <w:t>sobre</w:t>
      </w:r>
      <w:r w:rsidR="001A6786" w:rsidRPr="001A6786">
        <w:rPr>
          <w:lang w:val="es-ES"/>
        </w:rPr>
        <w:t xml:space="preserve"> </w:t>
      </w:r>
      <w:r w:rsidR="006D3E84" w:rsidRPr="001A6786">
        <w:rPr>
          <w:lang w:val="es-ES"/>
        </w:rPr>
        <w:t>I</w:t>
      </w:r>
      <w:r w:rsidR="007F5946">
        <w:rPr>
          <w:lang w:val="es-ES"/>
        </w:rPr>
        <w:t>A</w:t>
      </w:r>
      <w:r w:rsidR="006D3E84" w:rsidRPr="001A6786">
        <w:rPr>
          <w:lang w:val="es-ES"/>
        </w:rPr>
        <w:t xml:space="preserve"> </w:t>
      </w:r>
      <w:r w:rsidR="001A6786">
        <w:rPr>
          <w:lang w:val="es-ES"/>
        </w:rPr>
        <w:t>y PI está disponible en</w:t>
      </w:r>
      <w:r w:rsidR="006D3E84" w:rsidRPr="001A6786">
        <w:rPr>
          <w:lang w:val="es-ES"/>
        </w:rPr>
        <w:t xml:space="preserve">: </w:t>
      </w:r>
      <w:hyperlink r:id="rId6" w:history="1">
        <w:r w:rsidR="001A6786">
          <w:rPr>
            <w:rStyle w:val="Hyperlink"/>
            <w:lang w:val="es-ES"/>
          </w:rPr>
          <w:t>www.wipo.int/about-ip/es/frontier_technologies/ai_and_ip.html</w:t>
        </w:r>
      </w:hyperlink>
      <w:r w:rsidR="003D3871">
        <w:rPr>
          <w:lang w:val="es-ES"/>
        </w:rPr>
        <w:t>.</w:t>
      </w:r>
    </w:p>
  </w:footnote>
  <w:footnote w:id="6">
    <w:p w14:paraId="07E8AF0E" w14:textId="4E0A340C" w:rsidR="001C5326" w:rsidRPr="002A073B" w:rsidRDefault="001C5326">
      <w:pPr>
        <w:pStyle w:val="FootnoteText"/>
        <w:rPr>
          <w:lang w:val="es-ES"/>
        </w:rPr>
      </w:pPr>
      <w:r>
        <w:rPr>
          <w:rStyle w:val="FootnoteReference"/>
        </w:rPr>
        <w:footnoteRef/>
      </w:r>
      <w:r w:rsidRPr="002A073B">
        <w:rPr>
          <w:lang w:val="es-ES"/>
        </w:rPr>
        <w:t xml:space="preserve"> M</w:t>
      </w:r>
      <w:r w:rsidR="002A073B" w:rsidRPr="002A073B">
        <w:rPr>
          <w:lang w:val="es-ES"/>
        </w:rPr>
        <w:t xml:space="preserve">ás de 65 Estados miembros, organizaciones intergubernamentales </w:t>
      </w:r>
      <w:r w:rsidR="002A073B">
        <w:rPr>
          <w:lang w:val="es-ES"/>
        </w:rPr>
        <w:t xml:space="preserve">(OIG) </w:t>
      </w:r>
      <w:r w:rsidR="002A073B" w:rsidRPr="002A073B">
        <w:rPr>
          <w:lang w:val="es-ES"/>
        </w:rPr>
        <w:t>y or</w:t>
      </w:r>
      <w:r w:rsidR="002A073B">
        <w:rPr>
          <w:lang w:val="es-ES"/>
        </w:rPr>
        <w:t>ganizaciones no gubernamentales (ONG) respondieron al cuestionario</w:t>
      </w:r>
      <w:r w:rsidR="00B176E6" w:rsidRPr="002A073B">
        <w:rPr>
          <w:lang w:val="es-ES"/>
        </w:rPr>
        <w:t>.</w:t>
      </w:r>
    </w:p>
  </w:footnote>
  <w:footnote w:id="7">
    <w:p w14:paraId="7603662A" w14:textId="101DF599" w:rsidR="00C50785" w:rsidRPr="002A073B" w:rsidRDefault="00C50785">
      <w:pPr>
        <w:pStyle w:val="FootnoteText"/>
        <w:rPr>
          <w:lang w:val="es-ES"/>
        </w:rPr>
      </w:pPr>
      <w:r>
        <w:rPr>
          <w:rStyle w:val="FootnoteReference"/>
        </w:rPr>
        <w:footnoteRef/>
      </w:r>
      <w:r w:rsidRPr="002A073B">
        <w:rPr>
          <w:lang w:val="es-ES"/>
        </w:rPr>
        <w:t xml:space="preserve"> </w:t>
      </w:r>
      <w:r w:rsidR="002A073B" w:rsidRPr="002A073B">
        <w:rPr>
          <w:lang w:val="es-ES"/>
        </w:rPr>
        <w:t xml:space="preserve">La encuesta se encuentra </w:t>
      </w:r>
      <w:r w:rsidR="002A073B">
        <w:rPr>
          <w:lang w:val="es-ES"/>
        </w:rPr>
        <w:t>en</w:t>
      </w:r>
      <w:r w:rsidRPr="002A073B">
        <w:rPr>
          <w:lang w:val="es-ES"/>
        </w:rPr>
        <w:t xml:space="preserve">: </w:t>
      </w:r>
      <w:hyperlink r:id="rId7" w:history="1">
        <w:r w:rsidR="00914B9F">
          <w:rPr>
            <w:rStyle w:val="Hyperlink"/>
            <w:lang w:val="es-ES"/>
          </w:rPr>
          <w:t>https://www.wipo.int/edocs/mdocs/mdocs/es/wipo_crr_ge_2_21/wipo_crr_ge_2_21_survey.pdf</w:t>
        </w:r>
      </w:hyperlink>
      <w:r w:rsidR="00CC1775" w:rsidRPr="00CC1775">
        <w:rPr>
          <w:rStyle w:val="Hyperlink"/>
          <w:color w:val="auto"/>
          <w:u w:val="none"/>
          <w:lang w:val="es-ES"/>
        </w:rPr>
        <w:t>.</w:t>
      </w:r>
    </w:p>
  </w:footnote>
  <w:footnote w:id="8">
    <w:p w14:paraId="15EB11FC" w14:textId="09E33F39" w:rsidR="00DB6DEB" w:rsidRPr="00657E00" w:rsidRDefault="00DB6DEB">
      <w:pPr>
        <w:pStyle w:val="FootnoteText"/>
        <w:rPr>
          <w:lang w:val="es-ES"/>
        </w:rPr>
      </w:pPr>
      <w:r>
        <w:rPr>
          <w:rStyle w:val="FootnoteReference"/>
        </w:rPr>
        <w:footnoteRef/>
      </w:r>
      <w:r w:rsidRPr="00657E00">
        <w:rPr>
          <w:lang w:val="es-ES"/>
        </w:rPr>
        <w:t xml:space="preserve"> </w:t>
      </w:r>
      <w:r w:rsidR="00657E00">
        <w:rPr>
          <w:lang w:val="es-ES"/>
        </w:rPr>
        <w:t>Se puede acceder al</w:t>
      </w:r>
      <w:r w:rsidR="00657E00" w:rsidRPr="00657E00">
        <w:rPr>
          <w:lang w:val="es-ES"/>
        </w:rPr>
        <w:t xml:space="preserve"> Protocolo de Kampala sobre el Registro Facultativo de los </w:t>
      </w:r>
      <w:r w:rsidR="00657E00">
        <w:rPr>
          <w:lang w:val="es-ES"/>
        </w:rPr>
        <w:t>Derechos de Autor y los Derechos Conexos en</w:t>
      </w:r>
      <w:r w:rsidRPr="00657E00">
        <w:rPr>
          <w:lang w:val="es-ES"/>
        </w:rPr>
        <w:t xml:space="preserve">: </w:t>
      </w:r>
      <w:hyperlink r:id="rId8" w:history="1">
        <w:r w:rsidR="00DE6339" w:rsidRPr="00657E00">
          <w:rPr>
            <w:rStyle w:val="Hyperlink"/>
            <w:lang w:val="es-ES"/>
          </w:rPr>
          <w:t>www.aripo.org/wp-content/uploads/2021/09/Kampala-Protocol-on-Voluntary-Registration-of-Copyright-and-Related-Rights-2.pdf</w:t>
        </w:r>
      </w:hyperlink>
      <w:r w:rsidR="00163EAD" w:rsidRPr="00163EAD">
        <w:rPr>
          <w:rStyle w:val="Hyperlink"/>
          <w:color w:val="auto"/>
          <w:u w:val="none"/>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69C07" w14:textId="77777777" w:rsidR="00AB4F4D" w:rsidRDefault="00AB4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419"/>
      </w:rPr>
      <w:id w:val="-987618809"/>
      <w:docPartObj>
        <w:docPartGallery w:val="Page Numbers (Top of Page)"/>
        <w:docPartUnique/>
      </w:docPartObj>
    </w:sdtPr>
    <w:sdtEndPr>
      <w:rPr>
        <w:noProof/>
      </w:rPr>
    </w:sdtEndPr>
    <w:sdtContent>
      <w:p w14:paraId="4578E91E" w14:textId="77777777" w:rsidR="0071258D" w:rsidRPr="0071258D" w:rsidRDefault="0071258D" w:rsidP="0071258D">
        <w:pPr>
          <w:pStyle w:val="Header"/>
          <w:jc w:val="right"/>
          <w:rPr>
            <w:lang w:val="es-419"/>
          </w:rPr>
        </w:pPr>
        <w:r w:rsidRPr="0071258D">
          <w:rPr>
            <w:lang w:val="es-419"/>
          </w:rPr>
          <w:t>CDIP/25/9 Rev.</w:t>
        </w:r>
      </w:p>
      <w:p w14:paraId="4A93EC81" w14:textId="62E2DBAE" w:rsidR="0071258D" w:rsidRPr="0071258D" w:rsidRDefault="0071258D" w:rsidP="0071258D">
        <w:pPr>
          <w:pStyle w:val="Header"/>
          <w:jc w:val="right"/>
          <w:rPr>
            <w:noProof/>
            <w:lang w:val="es-419"/>
          </w:rPr>
        </w:pPr>
        <w:r w:rsidRPr="0071258D">
          <w:rPr>
            <w:lang w:val="es-419"/>
          </w:rPr>
          <w:t xml:space="preserve">página </w:t>
        </w:r>
        <w:r w:rsidRPr="0071258D">
          <w:rPr>
            <w:lang w:val="es-419"/>
          </w:rPr>
          <w:fldChar w:fldCharType="begin"/>
        </w:r>
        <w:r w:rsidRPr="0071258D">
          <w:rPr>
            <w:lang w:val="es-419"/>
          </w:rPr>
          <w:instrText xml:space="preserve"> PAGE   \* MERGEFORMAT </w:instrText>
        </w:r>
        <w:r w:rsidRPr="0071258D">
          <w:rPr>
            <w:lang w:val="es-419"/>
          </w:rPr>
          <w:fldChar w:fldCharType="separate"/>
        </w:r>
        <w:r w:rsidR="00C54CDB">
          <w:rPr>
            <w:noProof/>
            <w:lang w:val="es-419"/>
          </w:rPr>
          <w:t>16</w:t>
        </w:r>
        <w:r w:rsidRPr="0071258D">
          <w:rPr>
            <w:noProof/>
            <w:lang w:val="es-419"/>
          </w:rPr>
          <w:fldChar w:fldCharType="end"/>
        </w:r>
      </w:p>
      <w:p w14:paraId="4381B90E" w14:textId="77777777" w:rsidR="00214799" w:rsidRPr="0071258D" w:rsidRDefault="00214799" w:rsidP="00214799">
        <w:pPr>
          <w:pStyle w:val="Header"/>
          <w:jc w:val="right"/>
          <w:rPr>
            <w:lang w:val="es-419"/>
          </w:rPr>
        </w:pPr>
      </w:p>
      <w:p w14:paraId="749AA509" w14:textId="004E048B" w:rsidR="00214799" w:rsidRPr="0071258D" w:rsidRDefault="00C54CDB" w:rsidP="00214799">
        <w:pPr>
          <w:pStyle w:val="Header"/>
          <w:jc w:val="right"/>
          <w:rPr>
            <w:lang w:val="es-419"/>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F539F" w14:textId="77777777" w:rsidR="00AB4F4D" w:rsidRDefault="00AB4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6E5A"/>
    <w:multiLevelType w:val="hybridMultilevel"/>
    <w:tmpl w:val="72F8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C2F8A"/>
    <w:multiLevelType w:val="hybridMultilevel"/>
    <w:tmpl w:val="025E44EC"/>
    <w:lvl w:ilvl="0" w:tplc="D156574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5B6CF0"/>
    <w:multiLevelType w:val="hybridMultilevel"/>
    <w:tmpl w:val="0AF82D0C"/>
    <w:lvl w:ilvl="0" w:tplc="86E6C912">
      <w:start w:val="1"/>
      <w:numFmt w:val="decimal"/>
      <w:lvlText w:val="%1."/>
      <w:lvlJc w:val="left"/>
      <w:pPr>
        <w:ind w:left="570" w:hanging="570"/>
      </w:pPr>
      <w:rPr>
        <w:rFonts w:ascii="Arial" w:hAnsi="Arial" w:cs="Aria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A24B3"/>
    <w:multiLevelType w:val="hybridMultilevel"/>
    <w:tmpl w:val="602E344C"/>
    <w:lvl w:ilvl="0" w:tplc="57747D5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41DE0"/>
    <w:multiLevelType w:val="hybridMultilevel"/>
    <w:tmpl w:val="6E94A65E"/>
    <w:lvl w:ilvl="0" w:tplc="04090011">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CC5268"/>
    <w:multiLevelType w:val="hybridMultilevel"/>
    <w:tmpl w:val="3F8C3510"/>
    <w:lvl w:ilvl="0" w:tplc="04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8" w15:restartNumberingAfterBreak="0">
    <w:nsid w:val="2BA048F1"/>
    <w:multiLevelType w:val="hybridMultilevel"/>
    <w:tmpl w:val="381CD89A"/>
    <w:lvl w:ilvl="0" w:tplc="0409001B">
      <w:start w:val="1"/>
      <w:numFmt w:val="lowerRoman"/>
      <w:lvlText w:val="%1."/>
      <w:lvlJc w:val="righ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C431E"/>
    <w:multiLevelType w:val="hybridMultilevel"/>
    <w:tmpl w:val="C5D4F95E"/>
    <w:lvl w:ilvl="0" w:tplc="A392B65E">
      <w:start w:val="1"/>
      <w:numFmt w:val="lowerRoman"/>
      <w:lvlText w:val="%1."/>
      <w:lvlJc w:val="righ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F1E54"/>
    <w:multiLevelType w:val="hybridMultilevel"/>
    <w:tmpl w:val="42A4EC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01DEA"/>
    <w:multiLevelType w:val="hybridMultilevel"/>
    <w:tmpl w:val="CB784C98"/>
    <w:lvl w:ilvl="0" w:tplc="C0A87D7E">
      <w:start w:val="5"/>
      <w:numFmt w:val="lowerRoman"/>
      <w:pStyle w:val="Heading4"/>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E26BD"/>
    <w:multiLevelType w:val="hybridMultilevel"/>
    <w:tmpl w:val="12582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D25DE7"/>
    <w:multiLevelType w:val="hybridMultilevel"/>
    <w:tmpl w:val="381CD89A"/>
    <w:lvl w:ilvl="0" w:tplc="0409001B">
      <w:start w:val="1"/>
      <w:numFmt w:val="lowerRoman"/>
      <w:lvlText w:val="%1."/>
      <w:lvlJc w:val="righ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708AE"/>
    <w:multiLevelType w:val="hybridMultilevel"/>
    <w:tmpl w:val="4C34FA6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5" w15:restartNumberingAfterBreak="0">
    <w:nsid w:val="4C396544"/>
    <w:multiLevelType w:val="hybridMultilevel"/>
    <w:tmpl w:val="53D6A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C225F3"/>
    <w:multiLevelType w:val="hybridMultilevel"/>
    <w:tmpl w:val="4D260046"/>
    <w:lvl w:ilvl="0" w:tplc="D15657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9A5A78"/>
    <w:multiLevelType w:val="hybridMultilevel"/>
    <w:tmpl w:val="77883F5A"/>
    <w:lvl w:ilvl="0" w:tplc="1DEA0588">
      <w:start w:val="1"/>
      <w:numFmt w:val="upperRoman"/>
      <w:pStyle w:val="Heading2"/>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C0DAB"/>
    <w:multiLevelType w:val="hybridMultilevel"/>
    <w:tmpl w:val="116E09B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64EAE"/>
    <w:multiLevelType w:val="hybridMultilevel"/>
    <w:tmpl w:val="6E0AC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95DAB"/>
    <w:multiLevelType w:val="hybridMultilevel"/>
    <w:tmpl w:val="41803616"/>
    <w:lvl w:ilvl="0" w:tplc="04090017">
      <w:start w:val="1"/>
      <w:numFmt w:val="lowerLetter"/>
      <w:lvlText w:val="%1)"/>
      <w:lvlJc w:val="left"/>
      <w:pPr>
        <w:ind w:left="1650" w:hanging="360"/>
      </w:pPr>
      <w:rPr>
        <w:rFonts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2" w15:restartNumberingAfterBreak="0">
    <w:nsid w:val="62366A75"/>
    <w:multiLevelType w:val="hybridMultilevel"/>
    <w:tmpl w:val="B3565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67EC1"/>
    <w:multiLevelType w:val="hybridMultilevel"/>
    <w:tmpl w:val="19E6F730"/>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4" w15:restartNumberingAfterBreak="0">
    <w:nsid w:val="6E37782E"/>
    <w:multiLevelType w:val="hybridMultilevel"/>
    <w:tmpl w:val="BDDC38F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F4D3CEE"/>
    <w:multiLevelType w:val="hybridMultilevel"/>
    <w:tmpl w:val="8056EFC0"/>
    <w:lvl w:ilvl="0" w:tplc="D15657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F24EB6"/>
    <w:multiLevelType w:val="hybridMultilevel"/>
    <w:tmpl w:val="DB1A342C"/>
    <w:lvl w:ilvl="0" w:tplc="D15657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6"/>
  </w:num>
  <w:num w:numId="4">
    <w:abstractNumId w:val="3"/>
  </w:num>
  <w:num w:numId="5">
    <w:abstractNumId w:val="18"/>
  </w:num>
  <w:num w:numId="6">
    <w:abstractNumId w:val="4"/>
  </w:num>
  <w:num w:numId="7">
    <w:abstractNumId w:val="20"/>
  </w:num>
  <w:num w:numId="8">
    <w:abstractNumId w:val="11"/>
  </w:num>
  <w:num w:numId="9">
    <w:abstractNumId w:val="11"/>
  </w:num>
  <w:num w:numId="10">
    <w:abstractNumId w:val="5"/>
  </w:num>
  <w:num w:numId="11">
    <w:abstractNumId w:val="23"/>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14"/>
  </w:num>
  <w:num w:numId="17">
    <w:abstractNumId w:val="22"/>
  </w:num>
  <w:num w:numId="18">
    <w:abstractNumId w:val="15"/>
  </w:num>
  <w:num w:numId="19">
    <w:abstractNumId w:val="11"/>
    <w:lvlOverride w:ilvl="0">
      <w:startOverride w:val="1"/>
    </w:lvlOverride>
  </w:num>
  <w:num w:numId="20">
    <w:abstractNumId w:val="25"/>
  </w:num>
  <w:num w:numId="21">
    <w:abstractNumId w:val="17"/>
  </w:num>
  <w:num w:numId="22">
    <w:abstractNumId w:val="26"/>
  </w:num>
  <w:num w:numId="23">
    <w:abstractNumId w:val="11"/>
    <w:lvlOverride w:ilvl="0">
      <w:startOverride w:val="1"/>
    </w:lvlOverride>
  </w:num>
  <w:num w:numId="24">
    <w:abstractNumId w:val="9"/>
  </w:num>
  <w:num w:numId="25">
    <w:abstractNumId w:val="8"/>
  </w:num>
  <w:num w:numId="26">
    <w:abstractNumId w:val="13"/>
  </w:num>
  <w:num w:numId="27">
    <w:abstractNumId w:val="10"/>
  </w:num>
  <w:num w:numId="28">
    <w:abstractNumId w:val="21"/>
  </w:num>
  <w:num w:numId="29">
    <w:abstractNumId w:val="11"/>
    <w:lvlOverride w:ilvl="0">
      <w:startOverride w:val="5"/>
    </w:lvlOverride>
  </w:num>
  <w:num w:numId="30">
    <w:abstractNumId w:val="11"/>
    <w:lvlOverride w:ilvl="0">
      <w:startOverride w:val="5"/>
    </w:lvlOverride>
  </w:num>
  <w:num w:numId="31">
    <w:abstractNumId w:val="19"/>
  </w:num>
  <w:num w:numId="32">
    <w:abstractNumId w:val="7"/>
  </w:num>
  <w:num w:numId="33">
    <w:abstractNumId w:val="24"/>
  </w:num>
  <w:num w:numId="34">
    <w:abstractNumId w:val="18"/>
    <w:lvlOverride w:ilvl="0">
      <w:startOverride w:val="3"/>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activeWritingStyle w:appName="MSWord" w:lang="fr-CH"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ES" w:vendorID="64" w:dllVersion="4096" w:nlCheck="1" w:checkStyle="0"/>
  <w:activeWritingStyle w:appName="MSWord" w:lang="es-419"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77"/>
    <w:rsid w:val="00001604"/>
    <w:rsid w:val="00004EAD"/>
    <w:rsid w:val="00005280"/>
    <w:rsid w:val="0000531E"/>
    <w:rsid w:val="00005D2E"/>
    <w:rsid w:val="00011D30"/>
    <w:rsid w:val="00013BCF"/>
    <w:rsid w:val="0001413B"/>
    <w:rsid w:val="000204ED"/>
    <w:rsid w:val="00023B82"/>
    <w:rsid w:val="00025AE6"/>
    <w:rsid w:val="000304B8"/>
    <w:rsid w:val="000311B6"/>
    <w:rsid w:val="000315E7"/>
    <w:rsid w:val="00032E48"/>
    <w:rsid w:val="00035231"/>
    <w:rsid w:val="0003563E"/>
    <w:rsid w:val="00035E59"/>
    <w:rsid w:val="00037DD5"/>
    <w:rsid w:val="00037E7D"/>
    <w:rsid w:val="00042E12"/>
    <w:rsid w:val="00042E56"/>
    <w:rsid w:val="00043BC1"/>
    <w:rsid w:val="00043CAA"/>
    <w:rsid w:val="0004693C"/>
    <w:rsid w:val="0004768B"/>
    <w:rsid w:val="00047F51"/>
    <w:rsid w:val="000515B2"/>
    <w:rsid w:val="00051CE3"/>
    <w:rsid w:val="00051D2D"/>
    <w:rsid w:val="00056D61"/>
    <w:rsid w:val="000575AD"/>
    <w:rsid w:val="00057A5A"/>
    <w:rsid w:val="00057D49"/>
    <w:rsid w:val="000617C2"/>
    <w:rsid w:val="00062D82"/>
    <w:rsid w:val="00062E30"/>
    <w:rsid w:val="0006350A"/>
    <w:rsid w:val="00063B9A"/>
    <w:rsid w:val="00064B9F"/>
    <w:rsid w:val="00070D88"/>
    <w:rsid w:val="00072EE0"/>
    <w:rsid w:val="000740E2"/>
    <w:rsid w:val="0007439D"/>
    <w:rsid w:val="00074D62"/>
    <w:rsid w:val="00075432"/>
    <w:rsid w:val="00076188"/>
    <w:rsid w:val="00076F46"/>
    <w:rsid w:val="00077F49"/>
    <w:rsid w:val="00080030"/>
    <w:rsid w:val="000810E8"/>
    <w:rsid w:val="000822A6"/>
    <w:rsid w:val="00085437"/>
    <w:rsid w:val="000855D9"/>
    <w:rsid w:val="000857AB"/>
    <w:rsid w:val="0008625B"/>
    <w:rsid w:val="00086C4E"/>
    <w:rsid w:val="00087066"/>
    <w:rsid w:val="00087131"/>
    <w:rsid w:val="00087E30"/>
    <w:rsid w:val="000906F7"/>
    <w:rsid w:val="00091C0C"/>
    <w:rsid w:val="00093885"/>
    <w:rsid w:val="000968ED"/>
    <w:rsid w:val="000A116B"/>
    <w:rsid w:val="000A35AA"/>
    <w:rsid w:val="000A7A5B"/>
    <w:rsid w:val="000B14A8"/>
    <w:rsid w:val="000B2A34"/>
    <w:rsid w:val="000B3250"/>
    <w:rsid w:val="000B3DF0"/>
    <w:rsid w:val="000B436B"/>
    <w:rsid w:val="000B524C"/>
    <w:rsid w:val="000B577C"/>
    <w:rsid w:val="000B69F3"/>
    <w:rsid w:val="000B72F2"/>
    <w:rsid w:val="000B79B3"/>
    <w:rsid w:val="000C0A8D"/>
    <w:rsid w:val="000C0D0D"/>
    <w:rsid w:val="000C2ECD"/>
    <w:rsid w:val="000C32DD"/>
    <w:rsid w:val="000C330A"/>
    <w:rsid w:val="000C40A6"/>
    <w:rsid w:val="000C58D4"/>
    <w:rsid w:val="000C5FB6"/>
    <w:rsid w:val="000D03F7"/>
    <w:rsid w:val="000D0FDA"/>
    <w:rsid w:val="000D1113"/>
    <w:rsid w:val="000D1F01"/>
    <w:rsid w:val="000D22BC"/>
    <w:rsid w:val="000D2E0E"/>
    <w:rsid w:val="000D3036"/>
    <w:rsid w:val="000D5AA5"/>
    <w:rsid w:val="000E0707"/>
    <w:rsid w:val="000E1200"/>
    <w:rsid w:val="000E12DD"/>
    <w:rsid w:val="000E2412"/>
    <w:rsid w:val="000E380A"/>
    <w:rsid w:val="000E49B5"/>
    <w:rsid w:val="000E4DD9"/>
    <w:rsid w:val="000E6EB7"/>
    <w:rsid w:val="000E7A63"/>
    <w:rsid w:val="000F06ED"/>
    <w:rsid w:val="000F1142"/>
    <w:rsid w:val="000F187B"/>
    <w:rsid w:val="000F22D6"/>
    <w:rsid w:val="000F2E57"/>
    <w:rsid w:val="000F389A"/>
    <w:rsid w:val="000F392B"/>
    <w:rsid w:val="000F43E0"/>
    <w:rsid w:val="000F5CC2"/>
    <w:rsid w:val="000F5E56"/>
    <w:rsid w:val="000F5F34"/>
    <w:rsid w:val="00100DBA"/>
    <w:rsid w:val="00100E11"/>
    <w:rsid w:val="00101911"/>
    <w:rsid w:val="0010194A"/>
    <w:rsid w:val="00104176"/>
    <w:rsid w:val="00106333"/>
    <w:rsid w:val="001146EE"/>
    <w:rsid w:val="001224BA"/>
    <w:rsid w:val="001300A8"/>
    <w:rsid w:val="00131D47"/>
    <w:rsid w:val="00133108"/>
    <w:rsid w:val="00134307"/>
    <w:rsid w:val="001349C3"/>
    <w:rsid w:val="00134A38"/>
    <w:rsid w:val="001362EE"/>
    <w:rsid w:val="00137594"/>
    <w:rsid w:val="0014246A"/>
    <w:rsid w:val="001425CF"/>
    <w:rsid w:val="00144671"/>
    <w:rsid w:val="00144A37"/>
    <w:rsid w:val="00144D5C"/>
    <w:rsid w:val="00145C29"/>
    <w:rsid w:val="00147E8F"/>
    <w:rsid w:val="00150301"/>
    <w:rsid w:val="00150A47"/>
    <w:rsid w:val="001602BC"/>
    <w:rsid w:val="00161353"/>
    <w:rsid w:val="0016299C"/>
    <w:rsid w:val="001631F7"/>
    <w:rsid w:val="00163303"/>
    <w:rsid w:val="001635DA"/>
    <w:rsid w:val="00163EAD"/>
    <w:rsid w:val="001647D5"/>
    <w:rsid w:val="001652FC"/>
    <w:rsid w:val="00171E0C"/>
    <w:rsid w:val="0017221C"/>
    <w:rsid w:val="00172363"/>
    <w:rsid w:val="001750BD"/>
    <w:rsid w:val="00175F04"/>
    <w:rsid w:val="00176478"/>
    <w:rsid w:val="00176946"/>
    <w:rsid w:val="00176C4D"/>
    <w:rsid w:val="00176CAE"/>
    <w:rsid w:val="00177FDE"/>
    <w:rsid w:val="001800E5"/>
    <w:rsid w:val="00180BFF"/>
    <w:rsid w:val="0018277B"/>
    <w:rsid w:val="001832A6"/>
    <w:rsid w:val="00184D37"/>
    <w:rsid w:val="00185FC2"/>
    <w:rsid w:val="001927BD"/>
    <w:rsid w:val="00193BEC"/>
    <w:rsid w:val="0019480F"/>
    <w:rsid w:val="00195A81"/>
    <w:rsid w:val="00196416"/>
    <w:rsid w:val="001971D4"/>
    <w:rsid w:val="001A02A8"/>
    <w:rsid w:val="001A2495"/>
    <w:rsid w:val="001A37C7"/>
    <w:rsid w:val="001A42B7"/>
    <w:rsid w:val="001A6786"/>
    <w:rsid w:val="001A7003"/>
    <w:rsid w:val="001A7099"/>
    <w:rsid w:val="001B3AAE"/>
    <w:rsid w:val="001B46A5"/>
    <w:rsid w:val="001B51FE"/>
    <w:rsid w:val="001B56FD"/>
    <w:rsid w:val="001B5C0E"/>
    <w:rsid w:val="001C023A"/>
    <w:rsid w:val="001C198E"/>
    <w:rsid w:val="001C29B6"/>
    <w:rsid w:val="001C2A70"/>
    <w:rsid w:val="001C2E3B"/>
    <w:rsid w:val="001C2E9A"/>
    <w:rsid w:val="001C3C7A"/>
    <w:rsid w:val="001C456F"/>
    <w:rsid w:val="001C5326"/>
    <w:rsid w:val="001C6066"/>
    <w:rsid w:val="001C6B8D"/>
    <w:rsid w:val="001C6EEA"/>
    <w:rsid w:val="001C7416"/>
    <w:rsid w:val="001D05C6"/>
    <w:rsid w:val="001D21D4"/>
    <w:rsid w:val="001D4750"/>
    <w:rsid w:val="001D7823"/>
    <w:rsid w:val="001D7885"/>
    <w:rsid w:val="001E294F"/>
    <w:rsid w:val="001E3308"/>
    <w:rsid w:val="001E358B"/>
    <w:rsid w:val="001E376C"/>
    <w:rsid w:val="001E3A7A"/>
    <w:rsid w:val="001E3C47"/>
    <w:rsid w:val="001E3D93"/>
    <w:rsid w:val="001E3E37"/>
    <w:rsid w:val="001E439E"/>
    <w:rsid w:val="001F1FA8"/>
    <w:rsid w:val="001F3F82"/>
    <w:rsid w:val="001F5432"/>
    <w:rsid w:val="00200629"/>
    <w:rsid w:val="00203286"/>
    <w:rsid w:val="002049C3"/>
    <w:rsid w:val="00204E4B"/>
    <w:rsid w:val="00206877"/>
    <w:rsid w:val="002079C4"/>
    <w:rsid w:val="0021146F"/>
    <w:rsid w:val="0021217E"/>
    <w:rsid w:val="0021323F"/>
    <w:rsid w:val="002139FB"/>
    <w:rsid w:val="00214799"/>
    <w:rsid w:val="00217BD5"/>
    <w:rsid w:val="00221623"/>
    <w:rsid w:val="002216C6"/>
    <w:rsid w:val="00222F42"/>
    <w:rsid w:val="00223F67"/>
    <w:rsid w:val="002247C6"/>
    <w:rsid w:val="00224C1A"/>
    <w:rsid w:val="00225383"/>
    <w:rsid w:val="002257D4"/>
    <w:rsid w:val="0023181B"/>
    <w:rsid w:val="00231BC8"/>
    <w:rsid w:val="002328BD"/>
    <w:rsid w:val="002335CA"/>
    <w:rsid w:val="00235FAE"/>
    <w:rsid w:val="00241611"/>
    <w:rsid w:val="00242D54"/>
    <w:rsid w:val="00244DE1"/>
    <w:rsid w:val="00245185"/>
    <w:rsid w:val="00246C90"/>
    <w:rsid w:val="00246FBB"/>
    <w:rsid w:val="00250E9B"/>
    <w:rsid w:val="00250F61"/>
    <w:rsid w:val="002521AD"/>
    <w:rsid w:val="00254AA6"/>
    <w:rsid w:val="00257035"/>
    <w:rsid w:val="00262FFC"/>
    <w:rsid w:val="002634C4"/>
    <w:rsid w:val="00263655"/>
    <w:rsid w:val="002637B0"/>
    <w:rsid w:val="00264602"/>
    <w:rsid w:val="00264B0E"/>
    <w:rsid w:val="002661C4"/>
    <w:rsid w:val="0027093C"/>
    <w:rsid w:val="00272396"/>
    <w:rsid w:val="00273662"/>
    <w:rsid w:val="00274CB9"/>
    <w:rsid w:val="00275521"/>
    <w:rsid w:val="0027643D"/>
    <w:rsid w:val="00277E63"/>
    <w:rsid w:val="00282C7D"/>
    <w:rsid w:val="0028351F"/>
    <w:rsid w:val="00284414"/>
    <w:rsid w:val="00287B83"/>
    <w:rsid w:val="00287E2D"/>
    <w:rsid w:val="00291493"/>
    <w:rsid w:val="00292655"/>
    <w:rsid w:val="002928D3"/>
    <w:rsid w:val="00292D76"/>
    <w:rsid w:val="002937E9"/>
    <w:rsid w:val="00295FC5"/>
    <w:rsid w:val="00297E7F"/>
    <w:rsid w:val="002A073B"/>
    <w:rsid w:val="002A16CE"/>
    <w:rsid w:val="002A4C71"/>
    <w:rsid w:val="002A7145"/>
    <w:rsid w:val="002A7A1F"/>
    <w:rsid w:val="002B11F9"/>
    <w:rsid w:val="002B3A9D"/>
    <w:rsid w:val="002B5434"/>
    <w:rsid w:val="002B7078"/>
    <w:rsid w:val="002B7A8B"/>
    <w:rsid w:val="002C2AE4"/>
    <w:rsid w:val="002C7594"/>
    <w:rsid w:val="002D1ACC"/>
    <w:rsid w:val="002D1FA7"/>
    <w:rsid w:val="002D29EE"/>
    <w:rsid w:val="002D3556"/>
    <w:rsid w:val="002E198B"/>
    <w:rsid w:val="002E5685"/>
    <w:rsid w:val="002E66DE"/>
    <w:rsid w:val="002E6A73"/>
    <w:rsid w:val="002F0A77"/>
    <w:rsid w:val="002F17BD"/>
    <w:rsid w:val="002F1FE6"/>
    <w:rsid w:val="002F4B55"/>
    <w:rsid w:val="002F4E68"/>
    <w:rsid w:val="002F5A82"/>
    <w:rsid w:val="00300737"/>
    <w:rsid w:val="00301654"/>
    <w:rsid w:val="003048DC"/>
    <w:rsid w:val="00307240"/>
    <w:rsid w:val="00311E0C"/>
    <w:rsid w:val="00311EA1"/>
    <w:rsid w:val="00312F7F"/>
    <w:rsid w:val="00314904"/>
    <w:rsid w:val="00315DB9"/>
    <w:rsid w:val="00317C2C"/>
    <w:rsid w:val="0032220D"/>
    <w:rsid w:val="0032235D"/>
    <w:rsid w:val="00322792"/>
    <w:rsid w:val="003231C9"/>
    <w:rsid w:val="00330552"/>
    <w:rsid w:val="003312B9"/>
    <w:rsid w:val="003349B5"/>
    <w:rsid w:val="00334A0F"/>
    <w:rsid w:val="003430A8"/>
    <w:rsid w:val="00346932"/>
    <w:rsid w:val="00346A0D"/>
    <w:rsid w:val="00346B0D"/>
    <w:rsid w:val="003551C5"/>
    <w:rsid w:val="00356A7F"/>
    <w:rsid w:val="00357DF0"/>
    <w:rsid w:val="00361450"/>
    <w:rsid w:val="003615C0"/>
    <w:rsid w:val="00361756"/>
    <w:rsid w:val="003617B3"/>
    <w:rsid w:val="003619C4"/>
    <w:rsid w:val="003673CF"/>
    <w:rsid w:val="003706EA"/>
    <w:rsid w:val="0037135E"/>
    <w:rsid w:val="003714DF"/>
    <w:rsid w:val="00372CEF"/>
    <w:rsid w:val="00373891"/>
    <w:rsid w:val="00374C43"/>
    <w:rsid w:val="003759A2"/>
    <w:rsid w:val="0037625E"/>
    <w:rsid w:val="00380336"/>
    <w:rsid w:val="00383908"/>
    <w:rsid w:val="00383E26"/>
    <w:rsid w:val="003845C1"/>
    <w:rsid w:val="00384835"/>
    <w:rsid w:val="00384B3D"/>
    <w:rsid w:val="00387E0B"/>
    <w:rsid w:val="00391D29"/>
    <w:rsid w:val="003938E2"/>
    <w:rsid w:val="003941D4"/>
    <w:rsid w:val="00394704"/>
    <w:rsid w:val="0039480B"/>
    <w:rsid w:val="003949BA"/>
    <w:rsid w:val="003972D9"/>
    <w:rsid w:val="00397A57"/>
    <w:rsid w:val="00397FFB"/>
    <w:rsid w:val="003A0595"/>
    <w:rsid w:val="003A0C60"/>
    <w:rsid w:val="003A0D2C"/>
    <w:rsid w:val="003A36AA"/>
    <w:rsid w:val="003A4B1D"/>
    <w:rsid w:val="003A5A8B"/>
    <w:rsid w:val="003A6F89"/>
    <w:rsid w:val="003B0436"/>
    <w:rsid w:val="003B0AF9"/>
    <w:rsid w:val="003B2147"/>
    <w:rsid w:val="003B2317"/>
    <w:rsid w:val="003B2C75"/>
    <w:rsid w:val="003B2FE5"/>
    <w:rsid w:val="003B38C1"/>
    <w:rsid w:val="003B57B8"/>
    <w:rsid w:val="003B5D0E"/>
    <w:rsid w:val="003B6885"/>
    <w:rsid w:val="003C2A3E"/>
    <w:rsid w:val="003C3AFD"/>
    <w:rsid w:val="003C453F"/>
    <w:rsid w:val="003C4996"/>
    <w:rsid w:val="003C6A9D"/>
    <w:rsid w:val="003C7A2A"/>
    <w:rsid w:val="003D2FFC"/>
    <w:rsid w:val="003D3871"/>
    <w:rsid w:val="003D42ED"/>
    <w:rsid w:val="003D499E"/>
    <w:rsid w:val="003D723B"/>
    <w:rsid w:val="003E037C"/>
    <w:rsid w:val="003E206D"/>
    <w:rsid w:val="003E2157"/>
    <w:rsid w:val="003E4768"/>
    <w:rsid w:val="003F06DC"/>
    <w:rsid w:val="003F205A"/>
    <w:rsid w:val="003F2E78"/>
    <w:rsid w:val="003F3923"/>
    <w:rsid w:val="003F4503"/>
    <w:rsid w:val="003F4F34"/>
    <w:rsid w:val="00400E82"/>
    <w:rsid w:val="00401337"/>
    <w:rsid w:val="004017B4"/>
    <w:rsid w:val="004038F9"/>
    <w:rsid w:val="00403A7E"/>
    <w:rsid w:val="00404376"/>
    <w:rsid w:val="004061B6"/>
    <w:rsid w:val="0040661F"/>
    <w:rsid w:val="0040763E"/>
    <w:rsid w:val="00407EE0"/>
    <w:rsid w:val="00410F06"/>
    <w:rsid w:val="004118F6"/>
    <w:rsid w:val="00413704"/>
    <w:rsid w:val="00413FD8"/>
    <w:rsid w:val="004161BA"/>
    <w:rsid w:val="00422966"/>
    <w:rsid w:val="00423E3E"/>
    <w:rsid w:val="00426A2E"/>
    <w:rsid w:val="0042789A"/>
    <w:rsid w:val="00427A68"/>
    <w:rsid w:val="00427AF4"/>
    <w:rsid w:val="00430362"/>
    <w:rsid w:val="00431A46"/>
    <w:rsid w:val="00433429"/>
    <w:rsid w:val="0043355F"/>
    <w:rsid w:val="0043387A"/>
    <w:rsid w:val="00433F27"/>
    <w:rsid w:val="00433F84"/>
    <w:rsid w:val="00434F05"/>
    <w:rsid w:val="00436225"/>
    <w:rsid w:val="004364F6"/>
    <w:rsid w:val="00436EC4"/>
    <w:rsid w:val="00437438"/>
    <w:rsid w:val="00437756"/>
    <w:rsid w:val="0044065F"/>
    <w:rsid w:val="004424E6"/>
    <w:rsid w:val="00442544"/>
    <w:rsid w:val="00442A5B"/>
    <w:rsid w:val="0044310B"/>
    <w:rsid w:val="004439B9"/>
    <w:rsid w:val="00444981"/>
    <w:rsid w:val="00445CF4"/>
    <w:rsid w:val="00447E6E"/>
    <w:rsid w:val="00450592"/>
    <w:rsid w:val="004511D0"/>
    <w:rsid w:val="0045231B"/>
    <w:rsid w:val="004532C1"/>
    <w:rsid w:val="004539D5"/>
    <w:rsid w:val="00453ABA"/>
    <w:rsid w:val="00454D83"/>
    <w:rsid w:val="00455782"/>
    <w:rsid w:val="00455D32"/>
    <w:rsid w:val="00455F41"/>
    <w:rsid w:val="0045626A"/>
    <w:rsid w:val="00460035"/>
    <w:rsid w:val="004615FF"/>
    <w:rsid w:val="004626F5"/>
    <w:rsid w:val="00463A7F"/>
    <w:rsid w:val="00463BF7"/>
    <w:rsid w:val="004647DA"/>
    <w:rsid w:val="004647E1"/>
    <w:rsid w:val="00465B5B"/>
    <w:rsid w:val="00466E3A"/>
    <w:rsid w:val="00467D00"/>
    <w:rsid w:val="00470563"/>
    <w:rsid w:val="004705EF"/>
    <w:rsid w:val="00470D8E"/>
    <w:rsid w:val="00471C37"/>
    <w:rsid w:val="00473C35"/>
    <w:rsid w:val="00474062"/>
    <w:rsid w:val="00477567"/>
    <w:rsid w:val="00477D6B"/>
    <w:rsid w:val="00477E7B"/>
    <w:rsid w:val="00480225"/>
    <w:rsid w:val="004818F7"/>
    <w:rsid w:val="00481A88"/>
    <w:rsid w:val="004849C3"/>
    <w:rsid w:val="00485B88"/>
    <w:rsid w:val="00490677"/>
    <w:rsid w:val="004911E9"/>
    <w:rsid w:val="00491AD8"/>
    <w:rsid w:val="0049388B"/>
    <w:rsid w:val="00494463"/>
    <w:rsid w:val="00495653"/>
    <w:rsid w:val="0049617B"/>
    <w:rsid w:val="00497A1B"/>
    <w:rsid w:val="004A075C"/>
    <w:rsid w:val="004A0ECB"/>
    <w:rsid w:val="004A187B"/>
    <w:rsid w:val="004A2B16"/>
    <w:rsid w:val="004B118D"/>
    <w:rsid w:val="004B3301"/>
    <w:rsid w:val="004C0E5C"/>
    <w:rsid w:val="004C176D"/>
    <w:rsid w:val="004C25B9"/>
    <w:rsid w:val="004C2A8F"/>
    <w:rsid w:val="004C4BF1"/>
    <w:rsid w:val="004C7DA8"/>
    <w:rsid w:val="004C7E90"/>
    <w:rsid w:val="004D01B3"/>
    <w:rsid w:val="004D22B9"/>
    <w:rsid w:val="004D3CAD"/>
    <w:rsid w:val="004D4F43"/>
    <w:rsid w:val="004D7D26"/>
    <w:rsid w:val="004E047F"/>
    <w:rsid w:val="004E1374"/>
    <w:rsid w:val="004E20D5"/>
    <w:rsid w:val="004F0BD2"/>
    <w:rsid w:val="004F39F3"/>
    <w:rsid w:val="004F4844"/>
    <w:rsid w:val="004F59B0"/>
    <w:rsid w:val="004F5C5A"/>
    <w:rsid w:val="0050066C"/>
    <w:rsid w:val="005019FF"/>
    <w:rsid w:val="00502C26"/>
    <w:rsid w:val="00503260"/>
    <w:rsid w:val="00503819"/>
    <w:rsid w:val="0051043C"/>
    <w:rsid w:val="005105AB"/>
    <w:rsid w:val="005129DD"/>
    <w:rsid w:val="00514017"/>
    <w:rsid w:val="00514D49"/>
    <w:rsid w:val="00516EAC"/>
    <w:rsid w:val="00517F21"/>
    <w:rsid w:val="005225D5"/>
    <w:rsid w:val="00524A92"/>
    <w:rsid w:val="0053020E"/>
    <w:rsid w:val="0053057A"/>
    <w:rsid w:val="00532011"/>
    <w:rsid w:val="00533B24"/>
    <w:rsid w:val="0053765E"/>
    <w:rsid w:val="00537ECE"/>
    <w:rsid w:val="00541835"/>
    <w:rsid w:val="00541C02"/>
    <w:rsid w:val="005427CB"/>
    <w:rsid w:val="00543A62"/>
    <w:rsid w:val="005450C3"/>
    <w:rsid w:val="00545D23"/>
    <w:rsid w:val="00545E3A"/>
    <w:rsid w:val="00551ACC"/>
    <w:rsid w:val="00551E85"/>
    <w:rsid w:val="00554691"/>
    <w:rsid w:val="00555802"/>
    <w:rsid w:val="00556610"/>
    <w:rsid w:val="00556D03"/>
    <w:rsid w:val="0055714D"/>
    <w:rsid w:val="0056056D"/>
    <w:rsid w:val="00560A29"/>
    <w:rsid w:val="005619D3"/>
    <w:rsid w:val="0056233E"/>
    <w:rsid w:val="00564B60"/>
    <w:rsid w:val="00565907"/>
    <w:rsid w:val="005720B6"/>
    <w:rsid w:val="0057258C"/>
    <w:rsid w:val="005726E3"/>
    <w:rsid w:val="00572C0E"/>
    <w:rsid w:val="00573477"/>
    <w:rsid w:val="00577175"/>
    <w:rsid w:val="005772CD"/>
    <w:rsid w:val="00577C0B"/>
    <w:rsid w:val="0058016C"/>
    <w:rsid w:val="00580538"/>
    <w:rsid w:val="005812CD"/>
    <w:rsid w:val="00582586"/>
    <w:rsid w:val="00590263"/>
    <w:rsid w:val="005904B2"/>
    <w:rsid w:val="00595F64"/>
    <w:rsid w:val="005960AA"/>
    <w:rsid w:val="005A06C4"/>
    <w:rsid w:val="005A1153"/>
    <w:rsid w:val="005A1C9F"/>
    <w:rsid w:val="005A1DD6"/>
    <w:rsid w:val="005A42DB"/>
    <w:rsid w:val="005A4C0D"/>
    <w:rsid w:val="005A5C80"/>
    <w:rsid w:val="005B069A"/>
    <w:rsid w:val="005B2BD5"/>
    <w:rsid w:val="005B2DCE"/>
    <w:rsid w:val="005B3B47"/>
    <w:rsid w:val="005B56F5"/>
    <w:rsid w:val="005B6410"/>
    <w:rsid w:val="005B7E78"/>
    <w:rsid w:val="005C00A2"/>
    <w:rsid w:val="005C1104"/>
    <w:rsid w:val="005C2B1A"/>
    <w:rsid w:val="005C32F2"/>
    <w:rsid w:val="005C4308"/>
    <w:rsid w:val="005C6649"/>
    <w:rsid w:val="005C7904"/>
    <w:rsid w:val="005D14D9"/>
    <w:rsid w:val="005D15A1"/>
    <w:rsid w:val="005D167C"/>
    <w:rsid w:val="005D2269"/>
    <w:rsid w:val="005D2B76"/>
    <w:rsid w:val="005D55DD"/>
    <w:rsid w:val="005D61E0"/>
    <w:rsid w:val="005D7F3F"/>
    <w:rsid w:val="005E0591"/>
    <w:rsid w:val="005E4F40"/>
    <w:rsid w:val="005E5248"/>
    <w:rsid w:val="005E5AFD"/>
    <w:rsid w:val="005E65BF"/>
    <w:rsid w:val="005E6891"/>
    <w:rsid w:val="005F170B"/>
    <w:rsid w:val="005F181B"/>
    <w:rsid w:val="005F37DB"/>
    <w:rsid w:val="005F4182"/>
    <w:rsid w:val="005F51B9"/>
    <w:rsid w:val="005F5BDC"/>
    <w:rsid w:val="005F69C7"/>
    <w:rsid w:val="005F6FB6"/>
    <w:rsid w:val="006008FF"/>
    <w:rsid w:val="00600CA9"/>
    <w:rsid w:val="00602615"/>
    <w:rsid w:val="006030A2"/>
    <w:rsid w:val="0060485C"/>
    <w:rsid w:val="00605827"/>
    <w:rsid w:val="00607960"/>
    <w:rsid w:val="00610FC5"/>
    <w:rsid w:val="00612677"/>
    <w:rsid w:val="00612D65"/>
    <w:rsid w:val="00613387"/>
    <w:rsid w:val="00615F11"/>
    <w:rsid w:val="00617DB8"/>
    <w:rsid w:val="00620CCF"/>
    <w:rsid w:val="00621E0C"/>
    <w:rsid w:val="00622604"/>
    <w:rsid w:val="0062532C"/>
    <w:rsid w:val="00625EA4"/>
    <w:rsid w:val="00626EFB"/>
    <w:rsid w:val="00636044"/>
    <w:rsid w:val="006362D8"/>
    <w:rsid w:val="00636866"/>
    <w:rsid w:val="006370FE"/>
    <w:rsid w:val="0063764F"/>
    <w:rsid w:val="006428CA"/>
    <w:rsid w:val="0064470D"/>
    <w:rsid w:val="00645510"/>
    <w:rsid w:val="006458C6"/>
    <w:rsid w:val="00646050"/>
    <w:rsid w:val="0065177D"/>
    <w:rsid w:val="00652084"/>
    <w:rsid w:val="00654E70"/>
    <w:rsid w:val="00657B84"/>
    <w:rsid w:val="00657E00"/>
    <w:rsid w:val="006631CB"/>
    <w:rsid w:val="006636BF"/>
    <w:rsid w:val="00664884"/>
    <w:rsid w:val="00664921"/>
    <w:rsid w:val="00664E0E"/>
    <w:rsid w:val="006657E9"/>
    <w:rsid w:val="00666B0F"/>
    <w:rsid w:val="00666FF8"/>
    <w:rsid w:val="00670276"/>
    <w:rsid w:val="006713CA"/>
    <w:rsid w:val="00671BF9"/>
    <w:rsid w:val="00673173"/>
    <w:rsid w:val="00675B9D"/>
    <w:rsid w:val="00676223"/>
    <w:rsid w:val="00676C5C"/>
    <w:rsid w:val="00681638"/>
    <w:rsid w:val="00683CD8"/>
    <w:rsid w:val="00686D24"/>
    <w:rsid w:val="006872CD"/>
    <w:rsid w:val="00690380"/>
    <w:rsid w:val="00691235"/>
    <w:rsid w:val="00691686"/>
    <w:rsid w:val="00692D2A"/>
    <w:rsid w:val="00693D66"/>
    <w:rsid w:val="00695147"/>
    <w:rsid w:val="006A0D7A"/>
    <w:rsid w:val="006A0F11"/>
    <w:rsid w:val="006A16B7"/>
    <w:rsid w:val="006A1854"/>
    <w:rsid w:val="006A2AD1"/>
    <w:rsid w:val="006A6EDF"/>
    <w:rsid w:val="006A77AE"/>
    <w:rsid w:val="006B26C8"/>
    <w:rsid w:val="006B3900"/>
    <w:rsid w:val="006B72B1"/>
    <w:rsid w:val="006C0619"/>
    <w:rsid w:val="006C117B"/>
    <w:rsid w:val="006C2067"/>
    <w:rsid w:val="006C2497"/>
    <w:rsid w:val="006C2B72"/>
    <w:rsid w:val="006C2D7C"/>
    <w:rsid w:val="006C306B"/>
    <w:rsid w:val="006C464D"/>
    <w:rsid w:val="006C4C09"/>
    <w:rsid w:val="006C575D"/>
    <w:rsid w:val="006C5D67"/>
    <w:rsid w:val="006C6F41"/>
    <w:rsid w:val="006D0C99"/>
    <w:rsid w:val="006D3E84"/>
    <w:rsid w:val="006D3EB9"/>
    <w:rsid w:val="006D55FD"/>
    <w:rsid w:val="006D73D6"/>
    <w:rsid w:val="006E0D0A"/>
    <w:rsid w:val="006E3CB9"/>
    <w:rsid w:val="006E4EC9"/>
    <w:rsid w:val="006E7BC3"/>
    <w:rsid w:val="006F050A"/>
    <w:rsid w:val="006F2F37"/>
    <w:rsid w:val="006F3013"/>
    <w:rsid w:val="006F3CBA"/>
    <w:rsid w:val="006F58BF"/>
    <w:rsid w:val="006F6CD8"/>
    <w:rsid w:val="007015CC"/>
    <w:rsid w:val="00702399"/>
    <w:rsid w:val="00702CCE"/>
    <w:rsid w:val="007030E6"/>
    <w:rsid w:val="00707119"/>
    <w:rsid w:val="00712230"/>
    <w:rsid w:val="0071258D"/>
    <w:rsid w:val="0071376F"/>
    <w:rsid w:val="00720247"/>
    <w:rsid w:val="007202AB"/>
    <w:rsid w:val="00721FAA"/>
    <w:rsid w:val="00723499"/>
    <w:rsid w:val="00723EBF"/>
    <w:rsid w:val="007260CB"/>
    <w:rsid w:val="007273F7"/>
    <w:rsid w:val="00727ECC"/>
    <w:rsid w:val="007309BB"/>
    <w:rsid w:val="00730B2E"/>
    <w:rsid w:val="00732A27"/>
    <w:rsid w:val="00734A37"/>
    <w:rsid w:val="00736875"/>
    <w:rsid w:val="0074362C"/>
    <w:rsid w:val="007436EC"/>
    <w:rsid w:val="00744ED4"/>
    <w:rsid w:val="00745363"/>
    <w:rsid w:val="007469E6"/>
    <w:rsid w:val="0075071A"/>
    <w:rsid w:val="007518BF"/>
    <w:rsid w:val="007522B8"/>
    <w:rsid w:val="007523CC"/>
    <w:rsid w:val="007527EA"/>
    <w:rsid w:val="00752F68"/>
    <w:rsid w:val="007559E7"/>
    <w:rsid w:val="007565A0"/>
    <w:rsid w:val="00756BBA"/>
    <w:rsid w:val="007576F9"/>
    <w:rsid w:val="00761275"/>
    <w:rsid w:val="00763ACF"/>
    <w:rsid w:val="007669A2"/>
    <w:rsid w:val="007671EB"/>
    <w:rsid w:val="007673C6"/>
    <w:rsid w:val="00770499"/>
    <w:rsid w:val="00770E4F"/>
    <w:rsid w:val="0077131D"/>
    <w:rsid w:val="00771A29"/>
    <w:rsid w:val="00771F21"/>
    <w:rsid w:val="00776119"/>
    <w:rsid w:val="00777BF6"/>
    <w:rsid w:val="00777DFB"/>
    <w:rsid w:val="00782E58"/>
    <w:rsid w:val="007841D0"/>
    <w:rsid w:val="00785F28"/>
    <w:rsid w:val="00786AEB"/>
    <w:rsid w:val="007926A6"/>
    <w:rsid w:val="00793CFA"/>
    <w:rsid w:val="00793EA1"/>
    <w:rsid w:val="007951F9"/>
    <w:rsid w:val="007965A9"/>
    <w:rsid w:val="00797200"/>
    <w:rsid w:val="007974F7"/>
    <w:rsid w:val="00797BE7"/>
    <w:rsid w:val="00797C84"/>
    <w:rsid w:val="007A01FD"/>
    <w:rsid w:val="007A1027"/>
    <w:rsid w:val="007A18A4"/>
    <w:rsid w:val="007A1983"/>
    <w:rsid w:val="007A1D6B"/>
    <w:rsid w:val="007A1D70"/>
    <w:rsid w:val="007A2D0F"/>
    <w:rsid w:val="007A50EA"/>
    <w:rsid w:val="007A67DA"/>
    <w:rsid w:val="007A69B7"/>
    <w:rsid w:val="007B1897"/>
    <w:rsid w:val="007B2278"/>
    <w:rsid w:val="007B339D"/>
    <w:rsid w:val="007B7932"/>
    <w:rsid w:val="007C18BE"/>
    <w:rsid w:val="007C2724"/>
    <w:rsid w:val="007C31F9"/>
    <w:rsid w:val="007C4DF5"/>
    <w:rsid w:val="007C5249"/>
    <w:rsid w:val="007C5A17"/>
    <w:rsid w:val="007C7FB0"/>
    <w:rsid w:val="007D1126"/>
    <w:rsid w:val="007D1613"/>
    <w:rsid w:val="007D1928"/>
    <w:rsid w:val="007D2104"/>
    <w:rsid w:val="007D3015"/>
    <w:rsid w:val="007D69FC"/>
    <w:rsid w:val="007D709B"/>
    <w:rsid w:val="007E33D9"/>
    <w:rsid w:val="007E3C3B"/>
    <w:rsid w:val="007E3D2E"/>
    <w:rsid w:val="007E4C0E"/>
    <w:rsid w:val="007E59C6"/>
    <w:rsid w:val="007E5FFF"/>
    <w:rsid w:val="007E6237"/>
    <w:rsid w:val="007E6839"/>
    <w:rsid w:val="007F0D4E"/>
    <w:rsid w:val="007F536A"/>
    <w:rsid w:val="007F5946"/>
    <w:rsid w:val="007F7720"/>
    <w:rsid w:val="007F7864"/>
    <w:rsid w:val="0080027D"/>
    <w:rsid w:val="00803670"/>
    <w:rsid w:val="0080403A"/>
    <w:rsid w:val="008047A4"/>
    <w:rsid w:val="008052E0"/>
    <w:rsid w:val="008126D1"/>
    <w:rsid w:val="00812783"/>
    <w:rsid w:val="008154FB"/>
    <w:rsid w:val="008157F2"/>
    <w:rsid w:val="008200B5"/>
    <w:rsid w:val="008206F7"/>
    <w:rsid w:val="00820809"/>
    <w:rsid w:val="008215C6"/>
    <w:rsid w:val="008220F9"/>
    <w:rsid w:val="00822EAB"/>
    <w:rsid w:val="008236CB"/>
    <w:rsid w:val="008251F0"/>
    <w:rsid w:val="0082679F"/>
    <w:rsid w:val="00826913"/>
    <w:rsid w:val="00826FA7"/>
    <w:rsid w:val="008273B7"/>
    <w:rsid w:val="00830C51"/>
    <w:rsid w:val="00830D5D"/>
    <w:rsid w:val="008312E8"/>
    <w:rsid w:val="00833CD5"/>
    <w:rsid w:val="00836B27"/>
    <w:rsid w:val="00837772"/>
    <w:rsid w:val="0084274E"/>
    <w:rsid w:val="0084281F"/>
    <w:rsid w:val="00842A42"/>
    <w:rsid w:val="00843B03"/>
    <w:rsid w:val="00845006"/>
    <w:rsid w:val="00845050"/>
    <w:rsid w:val="008465F5"/>
    <w:rsid w:val="00847401"/>
    <w:rsid w:val="00847EA8"/>
    <w:rsid w:val="00851096"/>
    <w:rsid w:val="008517CC"/>
    <w:rsid w:val="00853092"/>
    <w:rsid w:val="0085370A"/>
    <w:rsid w:val="00854B92"/>
    <w:rsid w:val="00857EDE"/>
    <w:rsid w:val="00864BD7"/>
    <w:rsid w:val="00867B5E"/>
    <w:rsid w:val="008721F8"/>
    <w:rsid w:val="008741ED"/>
    <w:rsid w:val="008762D9"/>
    <w:rsid w:val="008800DF"/>
    <w:rsid w:val="00880E2E"/>
    <w:rsid w:val="008810DE"/>
    <w:rsid w:val="00881514"/>
    <w:rsid w:val="00881EE3"/>
    <w:rsid w:val="00883DFE"/>
    <w:rsid w:val="008846B2"/>
    <w:rsid w:val="00885D9E"/>
    <w:rsid w:val="00885E73"/>
    <w:rsid w:val="008866B8"/>
    <w:rsid w:val="008878BC"/>
    <w:rsid w:val="00890775"/>
    <w:rsid w:val="008907EF"/>
    <w:rsid w:val="00893E93"/>
    <w:rsid w:val="00894229"/>
    <w:rsid w:val="00896B81"/>
    <w:rsid w:val="008A0EFE"/>
    <w:rsid w:val="008A134B"/>
    <w:rsid w:val="008A21EA"/>
    <w:rsid w:val="008A4187"/>
    <w:rsid w:val="008A48F3"/>
    <w:rsid w:val="008A7BD3"/>
    <w:rsid w:val="008B109F"/>
    <w:rsid w:val="008B2CC1"/>
    <w:rsid w:val="008B60B2"/>
    <w:rsid w:val="008B6187"/>
    <w:rsid w:val="008B6A1F"/>
    <w:rsid w:val="008C0E1D"/>
    <w:rsid w:val="008C137D"/>
    <w:rsid w:val="008C31CE"/>
    <w:rsid w:val="008C3E2C"/>
    <w:rsid w:val="008C4B27"/>
    <w:rsid w:val="008C75C4"/>
    <w:rsid w:val="008D026C"/>
    <w:rsid w:val="008D4624"/>
    <w:rsid w:val="008D51AA"/>
    <w:rsid w:val="008E0647"/>
    <w:rsid w:val="008E0D70"/>
    <w:rsid w:val="008E39E0"/>
    <w:rsid w:val="008E48AB"/>
    <w:rsid w:val="008F01AD"/>
    <w:rsid w:val="008F1076"/>
    <w:rsid w:val="008F15A9"/>
    <w:rsid w:val="008F2C7F"/>
    <w:rsid w:val="008F30A3"/>
    <w:rsid w:val="008F40DB"/>
    <w:rsid w:val="008F43F2"/>
    <w:rsid w:val="008F4B40"/>
    <w:rsid w:val="008F664D"/>
    <w:rsid w:val="008F67BB"/>
    <w:rsid w:val="00902D29"/>
    <w:rsid w:val="00903A57"/>
    <w:rsid w:val="009049F3"/>
    <w:rsid w:val="0090731E"/>
    <w:rsid w:val="009102CE"/>
    <w:rsid w:val="00911ADC"/>
    <w:rsid w:val="00911E02"/>
    <w:rsid w:val="00912426"/>
    <w:rsid w:val="009125AC"/>
    <w:rsid w:val="0091490F"/>
    <w:rsid w:val="00914B9F"/>
    <w:rsid w:val="00916EE2"/>
    <w:rsid w:val="00917F99"/>
    <w:rsid w:val="00922E75"/>
    <w:rsid w:val="00922FC1"/>
    <w:rsid w:val="00926690"/>
    <w:rsid w:val="00926DEA"/>
    <w:rsid w:val="009272B8"/>
    <w:rsid w:val="00927DA1"/>
    <w:rsid w:val="00931077"/>
    <w:rsid w:val="0093466F"/>
    <w:rsid w:val="00934A1B"/>
    <w:rsid w:val="009350C8"/>
    <w:rsid w:val="0093713D"/>
    <w:rsid w:val="009420D6"/>
    <w:rsid w:val="00953880"/>
    <w:rsid w:val="00953B06"/>
    <w:rsid w:val="00954C24"/>
    <w:rsid w:val="00960CEE"/>
    <w:rsid w:val="009610F1"/>
    <w:rsid w:val="0096180B"/>
    <w:rsid w:val="009625AC"/>
    <w:rsid w:val="0096331C"/>
    <w:rsid w:val="00964C6C"/>
    <w:rsid w:val="00966A22"/>
    <w:rsid w:val="0096722F"/>
    <w:rsid w:val="00971232"/>
    <w:rsid w:val="00971571"/>
    <w:rsid w:val="009740BD"/>
    <w:rsid w:val="009749D7"/>
    <w:rsid w:val="00974D71"/>
    <w:rsid w:val="00975693"/>
    <w:rsid w:val="00975E73"/>
    <w:rsid w:val="00980843"/>
    <w:rsid w:val="009809F0"/>
    <w:rsid w:val="00980A83"/>
    <w:rsid w:val="009834A3"/>
    <w:rsid w:val="00983FFB"/>
    <w:rsid w:val="009858DD"/>
    <w:rsid w:val="009859BD"/>
    <w:rsid w:val="0099076E"/>
    <w:rsid w:val="009909AF"/>
    <w:rsid w:val="00994355"/>
    <w:rsid w:val="00994A52"/>
    <w:rsid w:val="009967A3"/>
    <w:rsid w:val="009A0977"/>
    <w:rsid w:val="009A10EF"/>
    <w:rsid w:val="009A18E1"/>
    <w:rsid w:val="009A29B9"/>
    <w:rsid w:val="009A42A5"/>
    <w:rsid w:val="009A48FB"/>
    <w:rsid w:val="009A536F"/>
    <w:rsid w:val="009A61F6"/>
    <w:rsid w:val="009A7385"/>
    <w:rsid w:val="009A7B3C"/>
    <w:rsid w:val="009B179D"/>
    <w:rsid w:val="009B4255"/>
    <w:rsid w:val="009C0CB9"/>
    <w:rsid w:val="009C213C"/>
    <w:rsid w:val="009C2BB8"/>
    <w:rsid w:val="009C3F41"/>
    <w:rsid w:val="009C4262"/>
    <w:rsid w:val="009C553B"/>
    <w:rsid w:val="009C5A54"/>
    <w:rsid w:val="009C6B3C"/>
    <w:rsid w:val="009D0905"/>
    <w:rsid w:val="009D268D"/>
    <w:rsid w:val="009D338C"/>
    <w:rsid w:val="009D4948"/>
    <w:rsid w:val="009D4C80"/>
    <w:rsid w:val="009D6763"/>
    <w:rsid w:val="009D6B42"/>
    <w:rsid w:val="009D6BEC"/>
    <w:rsid w:val="009D785F"/>
    <w:rsid w:val="009D7BF6"/>
    <w:rsid w:val="009E0D67"/>
    <w:rsid w:val="009E1A64"/>
    <w:rsid w:val="009E1DED"/>
    <w:rsid w:val="009E2791"/>
    <w:rsid w:val="009E3E50"/>
    <w:rsid w:val="009E3F6F"/>
    <w:rsid w:val="009E4901"/>
    <w:rsid w:val="009E55C2"/>
    <w:rsid w:val="009E5DCE"/>
    <w:rsid w:val="009E6B30"/>
    <w:rsid w:val="009F0225"/>
    <w:rsid w:val="009F0B7B"/>
    <w:rsid w:val="009F16A9"/>
    <w:rsid w:val="009F18F0"/>
    <w:rsid w:val="009F251F"/>
    <w:rsid w:val="009F2801"/>
    <w:rsid w:val="009F2EFD"/>
    <w:rsid w:val="009F499F"/>
    <w:rsid w:val="009F4A8D"/>
    <w:rsid w:val="009F550C"/>
    <w:rsid w:val="009F5DF8"/>
    <w:rsid w:val="009F6203"/>
    <w:rsid w:val="009F6A56"/>
    <w:rsid w:val="00A0121B"/>
    <w:rsid w:val="00A02558"/>
    <w:rsid w:val="00A02620"/>
    <w:rsid w:val="00A0267F"/>
    <w:rsid w:val="00A04868"/>
    <w:rsid w:val="00A04BD5"/>
    <w:rsid w:val="00A07ADE"/>
    <w:rsid w:val="00A07C4A"/>
    <w:rsid w:val="00A10B3B"/>
    <w:rsid w:val="00A11CB7"/>
    <w:rsid w:val="00A13F40"/>
    <w:rsid w:val="00A16339"/>
    <w:rsid w:val="00A16A09"/>
    <w:rsid w:val="00A21DA2"/>
    <w:rsid w:val="00A2461A"/>
    <w:rsid w:val="00A25DC8"/>
    <w:rsid w:val="00A32148"/>
    <w:rsid w:val="00A33F5B"/>
    <w:rsid w:val="00A36C28"/>
    <w:rsid w:val="00A36FF4"/>
    <w:rsid w:val="00A37342"/>
    <w:rsid w:val="00A37617"/>
    <w:rsid w:val="00A3762A"/>
    <w:rsid w:val="00A403AC"/>
    <w:rsid w:val="00A41AD6"/>
    <w:rsid w:val="00A41FE2"/>
    <w:rsid w:val="00A42DAF"/>
    <w:rsid w:val="00A442C5"/>
    <w:rsid w:val="00A4550F"/>
    <w:rsid w:val="00A45BD8"/>
    <w:rsid w:val="00A5051F"/>
    <w:rsid w:val="00A5092C"/>
    <w:rsid w:val="00A511FA"/>
    <w:rsid w:val="00A51208"/>
    <w:rsid w:val="00A53F40"/>
    <w:rsid w:val="00A53F9E"/>
    <w:rsid w:val="00A55B7B"/>
    <w:rsid w:val="00A55E44"/>
    <w:rsid w:val="00A576CA"/>
    <w:rsid w:val="00A6349C"/>
    <w:rsid w:val="00A63DE1"/>
    <w:rsid w:val="00A64BB2"/>
    <w:rsid w:val="00A655C2"/>
    <w:rsid w:val="00A66B76"/>
    <w:rsid w:val="00A67641"/>
    <w:rsid w:val="00A72EA9"/>
    <w:rsid w:val="00A736F7"/>
    <w:rsid w:val="00A74CBA"/>
    <w:rsid w:val="00A75030"/>
    <w:rsid w:val="00A75FF4"/>
    <w:rsid w:val="00A763B6"/>
    <w:rsid w:val="00A765E9"/>
    <w:rsid w:val="00A7705E"/>
    <w:rsid w:val="00A81D55"/>
    <w:rsid w:val="00A84AC4"/>
    <w:rsid w:val="00A869B7"/>
    <w:rsid w:val="00A87350"/>
    <w:rsid w:val="00A8739F"/>
    <w:rsid w:val="00A90F81"/>
    <w:rsid w:val="00A9382D"/>
    <w:rsid w:val="00A93E6C"/>
    <w:rsid w:val="00A9430B"/>
    <w:rsid w:val="00A94479"/>
    <w:rsid w:val="00A94890"/>
    <w:rsid w:val="00A96773"/>
    <w:rsid w:val="00AA460A"/>
    <w:rsid w:val="00AA4866"/>
    <w:rsid w:val="00AA4D9D"/>
    <w:rsid w:val="00AA5CA4"/>
    <w:rsid w:val="00AA6188"/>
    <w:rsid w:val="00AA7A69"/>
    <w:rsid w:val="00AB037A"/>
    <w:rsid w:val="00AB4497"/>
    <w:rsid w:val="00AB4F4D"/>
    <w:rsid w:val="00AC205C"/>
    <w:rsid w:val="00AC21E2"/>
    <w:rsid w:val="00AC3065"/>
    <w:rsid w:val="00AC4AED"/>
    <w:rsid w:val="00AC4B29"/>
    <w:rsid w:val="00AC7BA9"/>
    <w:rsid w:val="00AD1BD6"/>
    <w:rsid w:val="00AD1F66"/>
    <w:rsid w:val="00AD3772"/>
    <w:rsid w:val="00AD3F85"/>
    <w:rsid w:val="00AD5106"/>
    <w:rsid w:val="00AD5687"/>
    <w:rsid w:val="00AD5822"/>
    <w:rsid w:val="00AD68A7"/>
    <w:rsid w:val="00AE061C"/>
    <w:rsid w:val="00AE159F"/>
    <w:rsid w:val="00AE1A2E"/>
    <w:rsid w:val="00AE1CCC"/>
    <w:rsid w:val="00AE3535"/>
    <w:rsid w:val="00AE3F3B"/>
    <w:rsid w:val="00AE41F6"/>
    <w:rsid w:val="00AE44EB"/>
    <w:rsid w:val="00AF0557"/>
    <w:rsid w:val="00AF0A6B"/>
    <w:rsid w:val="00AF2FC1"/>
    <w:rsid w:val="00AF37A7"/>
    <w:rsid w:val="00AF3E42"/>
    <w:rsid w:val="00AF5449"/>
    <w:rsid w:val="00AF5661"/>
    <w:rsid w:val="00AF5764"/>
    <w:rsid w:val="00AF64D8"/>
    <w:rsid w:val="00AF6A05"/>
    <w:rsid w:val="00AF72E5"/>
    <w:rsid w:val="00B00718"/>
    <w:rsid w:val="00B02198"/>
    <w:rsid w:val="00B03DCB"/>
    <w:rsid w:val="00B04625"/>
    <w:rsid w:val="00B058B9"/>
    <w:rsid w:val="00B05A69"/>
    <w:rsid w:val="00B064E4"/>
    <w:rsid w:val="00B07827"/>
    <w:rsid w:val="00B1175E"/>
    <w:rsid w:val="00B11919"/>
    <w:rsid w:val="00B1246A"/>
    <w:rsid w:val="00B127DD"/>
    <w:rsid w:val="00B1295A"/>
    <w:rsid w:val="00B146E1"/>
    <w:rsid w:val="00B16503"/>
    <w:rsid w:val="00B176E6"/>
    <w:rsid w:val="00B23CA5"/>
    <w:rsid w:val="00B24180"/>
    <w:rsid w:val="00B24EEC"/>
    <w:rsid w:val="00B2541E"/>
    <w:rsid w:val="00B26E33"/>
    <w:rsid w:val="00B2750A"/>
    <w:rsid w:val="00B27545"/>
    <w:rsid w:val="00B31448"/>
    <w:rsid w:val="00B320AF"/>
    <w:rsid w:val="00B32C0D"/>
    <w:rsid w:val="00B3318F"/>
    <w:rsid w:val="00B33426"/>
    <w:rsid w:val="00B33804"/>
    <w:rsid w:val="00B33D92"/>
    <w:rsid w:val="00B33E3F"/>
    <w:rsid w:val="00B34607"/>
    <w:rsid w:val="00B4001C"/>
    <w:rsid w:val="00B424D4"/>
    <w:rsid w:val="00B45773"/>
    <w:rsid w:val="00B45FD4"/>
    <w:rsid w:val="00B4613C"/>
    <w:rsid w:val="00B47414"/>
    <w:rsid w:val="00B50ACE"/>
    <w:rsid w:val="00B51928"/>
    <w:rsid w:val="00B522D2"/>
    <w:rsid w:val="00B53795"/>
    <w:rsid w:val="00B539C9"/>
    <w:rsid w:val="00B53C3A"/>
    <w:rsid w:val="00B54B1D"/>
    <w:rsid w:val="00B56B6A"/>
    <w:rsid w:val="00B5742E"/>
    <w:rsid w:val="00B602E4"/>
    <w:rsid w:val="00B6348F"/>
    <w:rsid w:val="00B655DA"/>
    <w:rsid w:val="00B65951"/>
    <w:rsid w:val="00B70F51"/>
    <w:rsid w:val="00B72815"/>
    <w:rsid w:val="00B73743"/>
    <w:rsid w:val="00B76861"/>
    <w:rsid w:val="00B76F30"/>
    <w:rsid w:val="00B80040"/>
    <w:rsid w:val="00B806F1"/>
    <w:rsid w:val="00B8093F"/>
    <w:rsid w:val="00B816A0"/>
    <w:rsid w:val="00B81A1F"/>
    <w:rsid w:val="00B82B18"/>
    <w:rsid w:val="00B82BF5"/>
    <w:rsid w:val="00B82E96"/>
    <w:rsid w:val="00B840BF"/>
    <w:rsid w:val="00B859DB"/>
    <w:rsid w:val="00B86634"/>
    <w:rsid w:val="00B906CC"/>
    <w:rsid w:val="00B90947"/>
    <w:rsid w:val="00B92170"/>
    <w:rsid w:val="00B942EB"/>
    <w:rsid w:val="00B950C8"/>
    <w:rsid w:val="00B953DC"/>
    <w:rsid w:val="00B9734B"/>
    <w:rsid w:val="00B97D32"/>
    <w:rsid w:val="00BA30E2"/>
    <w:rsid w:val="00BA3946"/>
    <w:rsid w:val="00BA46EF"/>
    <w:rsid w:val="00BA4FD1"/>
    <w:rsid w:val="00BA4FD5"/>
    <w:rsid w:val="00BA7066"/>
    <w:rsid w:val="00BB0076"/>
    <w:rsid w:val="00BB09A4"/>
    <w:rsid w:val="00BB163B"/>
    <w:rsid w:val="00BB2BFA"/>
    <w:rsid w:val="00BB45D8"/>
    <w:rsid w:val="00BB460F"/>
    <w:rsid w:val="00BB4EF8"/>
    <w:rsid w:val="00BB58D7"/>
    <w:rsid w:val="00BB7AC6"/>
    <w:rsid w:val="00BC3784"/>
    <w:rsid w:val="00BC5139"/>
    <w:rsid w:val="00BC6D1B"/>
    <w:rsid w:val="00BC7983"/>
    <w:rsid w:val="00BD046F"/>
    <w:rsid w:val="00BD4F8D"/>
    <w:rsid w:val="00BD6C64"/>
    <w:rsid w:val="00BE1F92"/>
    <w:rsid w:val="00BE2CAF"/>
    <w:rsid w:val="00BE3A23"/>
    <w:rsid w:val="00BE4E22"/>
    <w:rsid w:val="00BE4ECE"/>
    <w:rsid w:val="00BE7EBE"/>
    <w:rsid w:val="00BF0C06"/>
    <w:rsid w:val="00BF0C0E"/>
    <w:rsid w:val="00BF1CA1"/>
    <w:rsid w:val="00BF1FBA"/>
    <w:rsid w:val="00BF3857"/>
    <w:rsid w:val="00BF4BF9"/>
    <w:rsid w:val="00BF5A49"/>
    <w:rsid w:val="00BF5C89"/>
    <w:rsid w:val="00C01EB2"/>
    <w:rsid w:val="00C02FD7"/>
    <w:rsid w:val="00C02FEE"/>
    <w:rsid w:val="00C044FD"/>
    <w:rsid w:val="00C04500"/>
    <w:rsid w:val="00C0569B"/>
    <w:rsid w:val="00C05FF4"/>
    <w:rsid w:val="00C06B63"/>
    <w:rsid w:val="00C07CA1"/>
    <w:rsid w:val="00C101CA"/>
    <w:rsid w:val="00C11BFE"/>
    <w:rsid w:val="00C125AC"/>
    <w:rsid w:val="00C12A20"/>
    <w:rsid w:val="00C133E9"/>
    <w:rsid w:val="00C13603"/>
    <w:rsid w:val="00C15AD1"/>
    <w:rsid w:val="00C16F39"/>
    <w:rsid w:val="00C17240"/>
    <w:rsid w:val="00C21083"/>
    <w:rsid w:val="00C217A5"/>
    <w:rsid w:val="00C2199F"/>
    <w:rsid w:val="00C2229D"/>
    <w:rsid w:val="00C23CD2"/>
    <w:rsid w:val="00C24A4F"/>
    <w:rsid w:val="00C25CC9"/>
    <w:rsid w:val="00C2739F"/>
    <w:rsid w:val="00C331CF"/>
    <w:rsid w:val="00C332FB"/>
    <w:rsid w:val="00C3352A"/>
    <w:rsid w:val="00C33625"/>
    <w:rsid w:val="00C33887"/>
    <w:rsid w:val="00C33BD0"/>
    <w:rsid w:val="00C353AB"/>
    <w:rsid w:val="00C35885"/>
    <w:rsid w:val="00C363DF"/>
    <w:rsid w:val="00C36948"/>
    <w:rsid w:val="00C37766"/>
    <w:rsid w:val="00C414E2"/>
    <w:rsid w:val="00C44055"/>
    <w:rsid w:val="00C5068F"/>
    <w:rsid w:val="00C50785"/>
    <w:rsid w:val="00C50FF5"/>
    <w:rsid w:val="00C5125B"/>
    <w:rsid w:val="00C5156F"/>
    <w:rsid w:val="00C51AFA"/>
    <w:rsid w:val="00C53E2E"/>
    <w:rsid w:val="00C53F73"/>
    <w:rsid w:val="00C547C0"/>
    <w:rsid w:val="00C54CDB"/>
    <w:rsid w:val="00C55C1D"/>
    <w:rsid w:val="00C57261"/>
    <w:rsid w:val="00C57E73"/>
    <w:rsid w:val="00C602CE"/>
    <w:rsid w:val="00C605C7"/>
    <w:rsid w:val="00C618E6"/>
    <w:rsid w:val="00C63085"/>
    <w:rsid w:val="00C63468"/>
    <w:rsid w:val="00C65175"/>
    <w:rsid w:val="00C65191"/>
    <w:rsid w:val="00C67470"/>
    <w:rsid w:val="00C67E30"/>
    <w:rsid w:val="00C70E10"/>
    <w:rsid w:val="00C70F66"/>
    <w:rsid w:val="00C72111"/>
    <w:rsid w:val="00C765C3"/>
    <w:rsid w:val="00C77E47"/>
    <w:rsid w:val="00C806C6"/>
    <w:rsid w:val="00C80C96"/>
    <w:rsid w:val="00C82391"/>
    <w:rsid w:val="00C83CB3"/>
    <w:rsid w:val="00C85B3D"/>
    <w:rsid w:val="00C86B3F"/>
    <w:rsid w:val="00C86D74"/>
    <w:rsid w:val="00C87A8E"/>
    <w:rsid w:val="00C90400"/>
    <w:rsid w:val="00C9194E"/>
    <w:rsid w:val="00C92D28"/>
    <w:rsid w:val="00C94F17"/>
    <w:rsid w:val="00C95889"/>
    <w:rsid w:val="00C97CF1"/>
    <w:rsid w:val="00CA4281"/>
    <w:rsid w:val="00CA5FF0"/>
    <w:rsid w:val="00CA6131"/>
    <w:rsid w:val="00CA680A"/>
    <w:rsid w:val="00CB09A6"/>
    <w:rsid w:val="00CB1D8C"/>
    <w:rsid w:val="00CB207E"/>
    <w:rsid w:val="00CB3A7E"/>
    <w:rsid w:val="00CB46B3"/>
    <w:rsid w:val="00CB5676"/>
    <w:rsid w:val="00CB5791"/>
    <w:rsid w:val="00CB65B0"/>
    <w:rsid w:val="00CB6845"/>
    <w:rsid w:val="00CB6DC4"/>
    <w:rsid w:val="00CB7DAE"/>
    <w:rsid w:val="00CB7FA9"/>
    <w:rsid w:val="00CC0C0C"/>
    <w:rsid w:val="00CC0EA4"/>
    <w:rsid w:val="00CC137B"/>
    <w:rsid w:val="00CC14AA"/>
    <w:rsid w:val="00CC1775"/>
    <w:rsid w:val="00CC2877"/>
    <w:rsid w:val="00CC3607"/>
    <w:rsid w:val="00CC62C1"/>
    <w:rsid w:val="00CC7084"/>
    <w:rsid w:val="00CD04F1"/>
    <w:rsid w:val="00CD2E8C"/>
    <w:rsid w:val="00CD3F16"/>
    <w:rsid w:val="00CD4AEA"/>
    <w:rsid w:val="00CD58CC"/>
    <w:rsid w:val="00CD6FD3"/>
    <w:rsid w:val="00CE3272"/>
    <w:rsid w:val="00CE4384"/>
    <w:rsid w:val="00CE5846"/>
    <w:rsid w:val="00CF1EA7"/>
    <w:rsid w:val="00CF3AC5"/>
    <w:rsid w:val="00CF49D8"/>
    <w:rsid w:val="00CF6D17"/>
    <w:rsid w:val="00CF7ED6"/>
    <w:rsid w:val="00D02A3D"/>
    <w:rsid w:val="00D04D1B"/>
    <w:rsid w:val="00D129EE"/>
    <w:rsid w:val="00D130DF"/>
    <w:rsid w:val="00D1446D"/>
    <w:rsid w:val="00D14DD2"/>
    <w:rsid w:val="00D16334"/>
    <w:rsid w:val="00D165DE"/>
    <w:rsid w:val="00D20361"/>
    <w:rsid w:val="00D2091C"/>
    <w:rsid w:val="00D209E1"/>
    <w:rsid w:val="00D20F17"/>
    <w:rsid w:val="00D215A5"/>
    <w:rsid w:val="00D21937"/>
    <w:rsid w:val="00D219AF"/>
    <w:rsid w:val="00D21B2E"/>
    <w:rsid w:val="00D22325"/>
    <w:rsid w:val="00D230D7"/>
    <w:rsid w:val="00D25A91"/>
    <w:rsid w:val="00D25E98"/>
    <w:rsid w:val="00D261DA"/>
    <w:rsid w:val="00D2683E"/>
    <w:rsid w:val="00D26D84"/>
    <w:rsid w:val="00D301F2"/>
    <w:rsid w:val="00D311B2"/>
    <w:rsid w:val="00D32F22"/>
    <w:rsid w:val="00D3470B"/>
    <w:rsid w:val="00D35BD6"/>
    <w:rsid w:val="00D36037"/>
    <w:rsid w:val="00D43024"/>
    <w:rsid w:val="00D45252"/>
    <w:rsid w:val="00D46707"/>
    <w:rsid w:val="00D47763"/>
    <w:rsid w:val="00D52DC6"/>
    <w:rsid w:val="00D53BDD"/>
    <w:rsid w:val="00D54AAE"/>
    <w:rsid w:val="00D54F30"/>
    <w:rsid w:val="00D57E6E"/>
    <w:rsid w:val="00D6098D"/>
    <w:rsid w:val="00D61833"/>
    <w:rsid w:val="00D622FF"/>
    <w:rsid w:val="00D6253A"/>
    <w:rsid w:val="00D6264A"/>
    <w:rsid w:val="00D64B34"/>
    <w:rsid w:val="00D65122"/>
    <w:rsid w:val="00D6710F"/>
    <w:rsid w:val="00D71359"/>
    <w:rsid w:val="00D71B4D"/>
    <w:rsid w:val="00D729C3"/>
    <w:rsid w:val="00D74F0E"/>
    <w:rsid w:val="00D75CDF"/>
    <w:rsid w:val="00D76AEB"/>
    <w:rsid w:val="00D80C6C"/>
    <w:rsid w:val="00D82883"/>
    <w:rsid w:val="00D85592"/>
    <w:rsid w:val="00D914F5"/>
    <w:rsid w:val="00D91A24"/>
    <w:rsid w:val="00D92790"/>
    <w:rsid w:val="00D93345"/>
    <w:rsid w:val="00D93B05"/>
    <w:rsid w:val="00D93D55"/>
    <w:rsid w:val="00D93EA0"/>
    <w:rsid w:val="00D9674D"/>
    <w:rsid w:val="00DA05CA"/>
    <w:rsid w:val="00DA1404"/>
    <w:rsid w:val="00DA1433"/>
    <w:rsid w:val="00DA1524"/>
    <w:rsid w:val="00DA1732"/>
    <w:rsid w:val="00DA33A4"/>
    <w:rsid w:val="00DA59CC"/>
    <w:rsid w:val="00DA7B5E"/>
    <w:rsid w:val="00DB087A"/>
    <w:rsid w:val="00DB1023"/>
    <w:rsid w:val="00DB2C82"/>
    <w:rsid w:val="00DB3865"/>
    <w:rsid w:val="00DB4C4D"/>
    <w:rsid w:val="00DB5B3E"/>
    <w:rsid w:val="00DB65F7"/>
    <w:rsid w:val="00DB6DEB"/>
    <w:rsid w:val="00DB791B"/>
    <w:rsid w:val="00DC23A5"/>
    <w:rsid w:val="00DC5778"/>
    <w:rsid w:val="00DD1A19"/>
    <w:rsid w:val="00DD3AA8"/>
    <w:rsid w:val="00DD42F8"/>
    <w:rsid w:val="00DD4A38"/>
    <w:rsid w:val="00DD4D91"/>
    <w:rsid w:val="00DD5783"/>
    <w:rsid w:val="00DD5C5E"/>
    <w:rsid w:val="00DD6BE4"/>
    <w:rsid w:val="00DD7399"/>
    <w:rsid w:val="00DD7DF5"/>
    <w:rsid w:val="00DE2D75"/>
    <w:rsid w:val="00DE3BEF"/>
    <w:rsid w:val="00DE6339"/>
    <w:rsid w:val="00DE68A1"/>
    <w:rsid w:val="00DF2419"/>
    <w:rsid w:val="00DF33A3"/>
    <w:rsid w:val="00DF4360"/>
    <w:rsid w:val="00DF4D1D"/>
    <w:rsid w:val="00DF571D"/>
    <w:rsid w:val="00E0061A"/>
    <w:rsid w:val="00E0069C"/>
    <w:rsid w:val="00E0204A"/>
    <w:rsid w:val="00E02929"/>
    <w:rsid w:val="00E04CA5"/>
    <w:rsid w:val="00E069B7"/>
    <w:rsid w:val="00E07141"/>
    <w:rsid w:val="00E0715E"/>
    <w:rsid w:val="00E0728E"/>
    <w:rsid w:val="00E0755C"/>
    <w:rsid w:val="00E10A52"/>
    <w:rsid w:val="00E10AD2"/>
    <w:rsid w:val="00E1194B"/>
    <w:rsid w:val="00E12159"/>
    <w:rsid w:val="00E12DDC"/>
    <w:rsid w:val="00E13E90"/>
    <w:rsid w:val="00E14417"/>
    <w:rsid w:val="00E15015"/>
    <w:rsid w:val="00E16AA9"/>
    <w:rsid w:val="00E17F07"/>
    <w:rsid w:val="00E200E7"/>
    <w:rsid w:val="00E2060C"/>
    <w:rsid w:val="00E2124B"/>
    <w:rsid w:val="00E23D05"/>
    <w:rsid w:val="00E23F81"/>
    <w:rsid w:val="00E26B64"/>
    <w:rsid w:val="00E3029F"/>
    <w:rsid w:val="00E304B0"/>
    <w:rsid w:val="00E30695"/>
    <w:rsid w:val="00E32571"/>
    <w:rsid w:val="00E33456"/>
    <w:rsid w:val="00E335FE"/>
    <w:rsid w:val="00E34BC0"/>
    <w:rsid w:val="00E35697"/>
    <w:rsid w:val="00E40C9B"/>
    <w:rsid w:val="00E41B42"/>
    <w:rsid w:val="00E422B2"/>
    <w:rsid w:val="00E42396"/>
    <w:rsid w:val="00E42849"/>
    <w:rsid w:val="00E43544"/>
    <w:rsid w:val="00E445BD"/>
    <w:rsid w:val="00E45A30"/>
    <w:rsid w:val="00E46240"/>
    <w:rsid w:val="00E47CD5"/>
    <w:rsid w:val="00E5345E"/>
    <w:rsid w:val="00E53DDB"/>
    <w:rsid w:val="00E54B2C"/>
    <w:rsid w:val="00E56CBB"/>
    <w:rsid w:val="00E600CA"/>
    <w:rsid w:val="00E61190"/>
    <w:rsid w:val="00E63109"/>
    <w:rsid w:val="00E63751"/>
    <w:rsid w:val="00E64682"/>
    <w:rsid w:val="00E65C34"/>
    <w:rsid w:val="00E6712A"/>
    <w:rsid w:val="00E67F92"/>
    <w:rsid w:val="00E73055"/>
    <w:rsid w:val="00E73FF7"/>
    <w:rsid w:val="00E746F0"/>
    <w:rsid w:val="00E76991"/>
    <w:rsid w:val="00E76A5E"/>
    <w:rsid w:val="00E804FD"/>
    <w:rsid w:val="00E81C60"/>
    <w:rsid w:val="00E82D06"/>
    <w:rsid w:val="00E855A0"/>
    <w:rsid w:val="00E857FA"/>
    <w:rsid w:val="00E9052F"/>
    <w:rsid w:val="00E911F7"/>
    <w:rsid w:val="00E94C96"/>
    <w:rsid w:val="00E95A62"/>
    <w:rsid w:val="00E9761C"/>
    <w:rsid w:val="00EA086C"/>
    <w:rsid w:val="00EA1FB8"/>
    <w:rsid w:val="00EA226A"/>
    <w:rsid w:val="00EA2C7C"/>
    <w:rsid w:val="00EA3310"/>
    <w:rsid w:val="00EA3AFA"/>
    <w:rsid w:val="00EA4D16"/>
    <w:rsid w:val="00EA56B6"/>
    <w:rsid w:val="00EA64DC"/>
    <w:rsid w:val="00EA775E"/>
    <w:rsid w:val="00EA7D6E"/>
    <w:rsid w:val="00EB22BB"/>
    <w:rsid w:val="00EB3EFE"/>
    <w:rsid w:val="00EB4A76"/>
    <w:rsid w:val="00EB4D5F"/>
    <w:rsid w:val="00EB6564"/>
    <w:rsid w:val="00EB6649"/>
    <w:rsid w:val="00EB7526"/>
    <w:rsid w:val="00EB7CB2"/>
    <w:rsid w:val="00EB7E0D"/>
    <w:rsid w:val="00EC02E4"/>
    <w:rsid w:val="00EC0C32"/>
    <w:rsid w:val="00EC1278"/>
    <w:rsid w:val="00EC38CB"/>
    <w:rsid w:val="00EC4E49"/>
    <w:rsid w:val="00EC6E0B"/>
    <w:rsid w:val="00EC72F7"/>
    <w:rsid w:val="00ED13A9"/>
    <w:rsid w:val="00ED2EE1"/>
    <w:rsid w:val="00ED4827"/>
    <w:rsid w:val="00ED6AE4"/>
    <w:rsid w:val="00ED74E4"/>
    <w:rsid w:val="00ED77FB"/>
    <w:rsid w:val="00ED7869"/>
    <w:rsid w:val="00ED79FD"/>
    <w:rsid w:val="00EE00AB"/>
    <w:rsid w:val="00EE170F"/>
    <w:rsid w:val="00EE45FA"/>
    <w:rsid w:val="00EE4667"/>
    <w:rsid w:val="00EE56FD"/>
    <w:rsid w:val="00EE7399"/>
    <w:rsid w:val="00EE7665"/>
    <w:rsid w:val="00EF0132"/>
    <w:rsid w:val="00EF081B"/>
    <w:rsid w:val="00EF0D70"/>
    <w:rsid w:val="00EF2D83"/>
    <w:rsid w:val="00EF421A"/>
    <w:rsid w:val="00EF5823"/>
    <w:rsid w:val="00F02840"/>
    <w:rsid w:val="00F0450C"/>
    <w:rsid w:val="00F112C6"/>
    <w:rsid w:val="00F1147D"/>
    <w:rsid w:val="00F1186D"/>
    <w:rsid w:val="00F11E94"/>
    <w:rsid w:val="00F17755"/>
    <w:rsid w:val="00F2088D"/>
    <w:rsid w:val="00F21738"/>
    <w:rsid w:val="00F21895"/>
    <w:rsid w:val="00F25EE8"/>
    <w:rsid w:val="00F26875"/>
    <w:rsid w:val="00F27739"/>
    <w:rsid w:val="00F3171E"/>
    <w:rsid w:val="00F31E49"/>
    <w:rsid w:val="00F33C1B"/>
    <w:rsid w:val="00F3632A"/>
    <w:rsid w:val="00F370B8"/>
    <w:rsid w:val="00F45982"/>
    <w:rsid w:val="00F466DA"/>
    <w:rsid w:val="00F47406"/>
    <w:rsid w:val="00F500F5"/>
    <w:rsid w:val="00F51738"/>
    <w:rsid w:val="00F51D6F"/>
    <w:rsid w:val="00F52AB1"/>
    <w:rsid w:val="00F52D06"/>
    <w:rsid w:val="00F545EA"/>
    <w:rsid w:val="00F54F5F"/>
    <w:rsid w:val="00F55AEC"/>
    <w:rsid w:val="00F56840"/>
    <w:rsid w:val="00F61805"/>
    <w:rsid w:val="00F62EA6"/>
    <w:rsid w:val="00F64EDD"/>
    <w:rsid w:val="00F65EB3"/>
    <w:rsid w:val="00F66152"/>
    <w:rsid w:val="00F67660"/>
    <w:rsid w:val="00F678F1"/>
    <w:rsid w:val="00F7087E"/>
    <w:rsid w:val="00F71C6F"/>
    <w:rsid w:val="00F720D9"/>
    <w:rsid w:val="00F729D4"/>
    <w:rsid w:val="00F72B54"/>
    <w:rsid w:val="00F73AC2"/>
    <w:rsid w:val="00F74555"/>
    <w:rsid w:val="00F75512"/>
    <w:rsid w:val="00F777C0"/>
    <w:rsid w:val="00F8095F"/>
    <w:rsid w:val="00F84D50"/>
    <w:rsid w:val="00F85144"/>
    <w:rsid w:val="00F85F59"/>
    <w:rsid w:val="00F861BE"/>
    <w:rsid w:val="00F86C31"/>
    <w:rsid w:val="00F87DBB"/>
    <w:rsid w:val="00F9093A"/>
    <w:rsid w:val="00F90F2D"/>
    <w:rsid w:val="00F970C3"/>
    <w:rsid w:val="00FA046B"/>
    <w:rsid w:val="00FA210B"/>
    <w:rsid w:val="00FA26F6"/>
    <w:rsid w:val="00FA4F61"/>
    <w:rsid w:val="00FA57E8"/>
    <w:rsid w:val="00FA672E"/>
    <w:rsid w:val="00FA68B5"/>
    <w:rsid w:val="00FA783B"/>
    <w:rsid w:val="00FB1D06"/>
    <w:rsid w:val="00FB35F3"/>
    <w:rsid w:val="00FB3BB6"/>
    <w:rsid w:val="00FB4BC1"/>
    <w:rsid w:val="00FB5032"/>
    <w:rsid w:val="00FB5CE2"/>
    <w:rsid w:val="00FC032F"/>
    <w:rsid w:val="00FC0E3C"/>
    <w:rsid w:val="00FC18DC"/>
    <w:rsid w:val="00FC42B5"/>
    <w:rsid w:val="00FC4EAB"/>
    <w:rsid w:val="00FC792B"/>
    <w:rsid w:val="00FC7FEC"/>
    <w:rsid w:val="00FD0ED8"/>
    <w:rsid w:val="00FD1AEA"/>
    <w:rsid w:val="00FD3BB8"/>
    <w:rsid w:val="00FD654D"/>
    <w:rsid w:val="00FD6D0F"/>
    <w:rsid w:val="00FD76E8"/>
    <w:rsid w:val="00FE069D"/>
    <w:rsid w:val="00FE2460"/>
    <w:rsid w:val="00FE3CC0"/>
    <w:rsid w:val="00FE3E3E"/>
    <w:rsid w:val="00FE64AB"/>
    <w:rsid w:val="00FE754D"/>
    <w:rsid w:val="00FF037E"/>
    <w:rsid w:val="00FF1EFA"/>
    <w:rsid w:val="00FF26E1"/>
    <w:rsid w:val="00FF2D83"/>
    <w:rsid w:val="00FF4BDF"/>
    <w:rsid w:val="00FF5B8F"/>
    <w:rsid w:val="00FF5FB2"/>
    <w:rsid w:val="00FF6C09"/>
    <w:rsid w:val="00FF7FF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75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9C553B"/>
    <w:pPr>
      <w:keepNext/>
      <w:spacing w:before="240" w:after="60"/>
      <w:outlineLvl w:val="0"/>
    </w:pPr>
    <w:rPr>
      <w:bCs/>
      <w:caps/>
      <w:kern w:val="32"/>
      <w:szCs w:val="32"/>
    </w:rPr>
  </w:style>
  <w:style w:type="paragraph" w:styleId="Heading2">
    <w:name w:val="heading 2"/>
    <w:basedOn w:val="Normal"/>
    <w:next w:val="Normal"/>
    <w:qFormat/>
    <w:rsid w:val="009C553B"/>
    <w:pPr>
      <w:keepNext/>
      <w:numPr>
        <w:numId w:val="5"/>
      </w:numPr>
      <w:outlineLvl w:val="1"/>
    </w:pPr>
    <w:rPr>
      <w:bCs/>
      <w:iCs/>
      <w:caps/>
      <w:szCs w:val="28"/>
    </w:rPr>
  </w:style>
  <w:style w:type="paragraph" w:styleId="Heading3">
    <w:name w:val="heading 3"/>
    <w:basedOn w:val="Normal"/>
    <w:next w:val="Normal"/>
    <w:qFormat/>
    <w:rsid w:val="00DD7399"/>
    <w:pPr>
      <w:keepNext/>
      <w:numPr>
        <w:numId w:val="6"/>
      </w:numPr>
      <w:outlineLvl w:val="2"/>
    </w:pPr>
    <w:rPr>
      <w:bCs/>
      <w:caps/>
      <w:szCs w:val="26"/>
    </w:rPr>
  </w:style>
  <w:style w:type="paragraph" w:styleId="Heading4">
    <w:name w:val="heading 4"/>
    <w:basedOn w:val="Normal"/>
    <w:next w:val="Normal"/>
    <w:qFormat/>
    <w:rsid w:val="00A74CBA"/>
    <w:pPr>
      <w:keepNext/>
      <w:numPr>
        <w:numId w:val="9"/>
      </w:numPr>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655DA"/>
    <w:pPr>
      <w:ind w:left="720"/>
      <w:contextualSpacing/>
    </w:pPr>
  </w:style>
  <w:style w:type="character" w:styleId="Hyperlink">
    <w:name w:val="Hyperlink"/>
    <w:basedOn w:val="DefaultParagraphFont"/>
    <w:uiPriority w:val="99"/>
    <w:unhideWhenUsed/>
    <w:rsid w:val="00626EFB"/>
    <w:rPr>
      <w:color w:val="0000FF" w:themeColor="hyperlink"/>
      <w:u w:val="single"/>
    </w:rPr>
  </w:style>
  <w:style w:type="character" w:styleId="Emphasis">
    <w:name w:val="Emphasis"/>
    <w:basedOn w:val="DefaultParagraphFont"/>
    <w:uiPriority w:val="20"/>
    <w:qFormat/>
    <w:rsid w:val="00626EFB"/>
    <w:rPr>
      <w:i/>
      <w:iCs/>
    </w:rPr>
  </w:style>
  <w:style w:type="table" w:styleId="TableGrid">
    <w:name w:val="Table Grid"/>
    <w:basedOn w:val="TableNormal"/>
    <w:rsid w:val="009C2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FA210B"/>
    <w:rPr>
      <w:vertAlign w:val="superscript"/>
    </w:rPr>
  </w:style>
  <w:style w:type="character" w:customStyle="1" w:styleId="FootnoteTextChar">
    <w:name w:val="Footnote Text Char"/>
    <w:basedOn w:val="DefaultParagraphFont"/>
    <w:link w:val="FootnoteText"/>
    <w:uiPriority w:val="99"/>
    <w:semiHidden/>
    <w:rsid w:val="00FA210B"/>
    <w:rPr>
      <w:rFonts w:ascii="Arial" w:eastAsia="SimSun" w:hAnsi="Arial" w:cs="Arial"/>
      <w:sz w:val="18"/>
      <w:lang w:val="en-US" w:eastAsia="zh-CN"/>
    </w:rPr>
  </w:style>
  <w:style w:type="paragraph" w:styleId="BalloonText">
    <w:name w:val="Balloon Text"/>
    <w:basedOn w:val="Normal"/>
    <w:link w:val="BalloonTextChar"/>
    <w:semiHidden/>
    <w:unhideWhenUsed/>
    <w:rsid w:val="00851096"/>
    <w:rPr>
      <w:rFonts w:ascii="Segoe UI" w:hAnsi="Segoe UI" w:cs="Segoe UI"/>
      <w:sz w:val="18"/>
      <w:szCs w:val="18"/>
    </w:rPr>
  </w:style>
  <w:style w:type="character" w:customStyle="1" w:styleId="BalloonTextChar">
    <w:name w:val="Balloon Text Char"/>
    <w:basedOn w:val="DefaultParagraphFont"/>
    <w:link w:val="BalloonText"/>
    <w:semiHidden/>
    <w:rsid w:val="00851096"/>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214799"/>
    <w:rPr>
      <w:rFonts w:ascii="Arial" w:eastAsia="SimSun" w:hAnsi="Arial" w:cs="Arial"/>
      <w:sz w:val="22"/>
      <w:lang w:val="en-US" w:eastAsia="zh-CN"/>
    </w:rPr>
  </w:style>
  <w:style w:type="paragraph" w:styleId="Revision">
    <w:name w:val="Revision"/>
    <w:hidden/>
    <w:uiPriority w:val="99"/>
    <w:semiHidden/>
    <w:rsid w:val="004F4844"/>
    <w:rPr>
      <w:rFonts w:ascii="Arial" w:eastAsia="SimSun" w:hAnsi="Arial" w:cs="Arial"/>
      <w:sz w:val="22"/>
      <w:lang w:val="en-US" w:eastAsia="zh-CN"/>
    </w:rPr>
  </w:style>
  <w:style w:type="character" w:styleId="CommentReference">
    <w:name w:val="annotation reference"/>
    <w:basedOn w:val="DefaultParagraphFont"/>
    <w:semiHidden/>
    <w:unhideWhenUsed/>
    <w:rsid w:val="00005D2E"/>
    <w:rPr>
      <w:sz w:val="16"/>
      <w:szCs w:val="16"/>
    </w:rPr>
  </w:style>
  <w:style w:type="character" w:customStyle="1" w:styleId="CommentTextChar">
    <w:name w:val="Comment Text Char"/>
    <w:basedOn w:val="DefaultParagraphFont"/>
    <w:link w:val="CommentText"/>
    <w:semiHidden/>
    <w:rsid w:val="00005D2E"/>
    <w:rPr>
      <w:rFonts w:ascii="Arial" w:eastAsia="SimSun" w:hAnsi="Arial" w:cs="Arial"/>
      <w:sz w:val="18"/>
      <w:lang w:val="en-US" w:eastAsia="zh-CN"/>
    </w:rPr>
  </w:style>
  <w:style w:type="paragraph" w:styleId="CommentSubject">
    <w:name w:val="annotation subject"/>
    <w:basedOn w:val="CommentText"/>
    <w:next w:val="CommentText"/>
    <w:link w:val="CommentSubjectChar"/>
    <w:semiHidden/>
    <w:unhideWhenUsed/>
    <w:rsid w:val="00FC7FEC"/>
    <w:rPr>
      <w:b/>
      <w:bCs/>
      <w:sz w:val="20"/>
    </w:rPr>
  </w:style>
  <w:style w:type="character" w:customStyle="1" w:styleId="CommentSubjectChar">
    <w:name w:val="Comment Subject Char"/>
    <w:basedOn w:val="CommentTextChar"/>
    <w:link w:val="CommentSubject"/>
    <w:semiHidden/>
    <w:rsid w:val="00FC7FEC"/>
    <w:rPr>
      <w:rFonts w:ascii="Arial" w:eastAsia="SimSun" w:hAnsi="Arial" w:cs="Arial"/>
      <w:b/>
      <w:bCs/>
      <w:sz w:val="18"/>
      <w:lang w:val="en-US" w:eastAsia="zh-CN"/>
    </w:rPr>
  </w:style>
  <w:style w:type="character" w:styleId="FollowedHyperlink">
    <w:name w:val="FollowedHyperlink"/>
    <w:basedOn w:val="DefaultParagraphFont"/>
    <w:semiHidden/>
    <w:unhideWhenUsed/>
    <w:rsid w:val="00B127DD"/>
    <w:rPr>
      <w:color w:val="800080" w:themeColor="followedHyperlink"/>
      <w:u w:val="single"/>
    </w:rPr>
  </w:style>
  <w:style w:type="character" w:customStyle="1" w:styleId="UnresolvedMention">
    <w:name w:val="Unresolved Mention"/>
    <w:basedOn w:val="DefaultParagraphFont"/>
    <w:uiPriority w:val="99"/>
    <w:semiHidden/>
    <w:unhideWhenUsed/>
    <w:rsid w:val="00035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427429">
      <w:bodyDiv w:val="1"/>
      <w:marLeft w:val="0"/>
      <w:marRight w:val="0"/>
      <w:marTop w:val="0"/>
      <w:marBottom w:val="0"/>
      <w:divBdr>
        <w:top w:val="none" w:sz="0" w:space="0" w:color="auto"/>
        <w:left w:val="none" w:sz="0" w:space="0" w:color="auto"/>
        <w:bottom w:val="none" w:sz="0" w:space="0" w:color="auto"/>
        <w:right w:val="none" w:sz="0" w:space="0" w:color="auto"/>
      </w:divBdr>
    </w:div>
    <w:div w:id="763844689">
      <w:bodyDiv w:val="1"/>
      <w:marLeft w:val="0"/>
      <w:marRight w:val="0"/>
      <w:marTop w:val="0"/>
      <w:marBottom w:val="0"/>
      <w:divBdr>
        <w:top w:val="none" w:sz="0" w:space="0" w:color="auto"/>
        <w:left w:val="none" w:sz="0" w:space="0" w:color="auto"/>
        <w:bottom w:val="none" w:sz="0" w:space="0" w:color="auto"/>
        <w:right w:val="none" w:sz="0" w:space="0" w:color="auto"/>
      </w:divBdr>
    </w:div>
    <w:div w:id="781077085">
      <w:bodyDiv w:val="1"/>
      <w:marLeft w:val="0"/>
      <w:marRight w:val="0"/>
      <w:marTop w:val="0"/>
      <w:marBottom w:val="0"/>
      <w:divBdr>
        <w:top w:val="none" w:sz="0" w:space="0" w:color="auto"/>
        <w:left w:val="none" w:sz="0" w:space="0" w:color="auto"/>
        <w:bottom w:val="none" w:sz="0" w:space="0" w:color="auto"/>
        <w:right w:val="none" w:sz="0" w:space="0" w:color="auto"/>
      </w:divBdr>
    </w:div>
    <w:div w:id="871725415">
      <w:bodyDiv w:val="1"/>
      <w:marLeft w:val="0"/>
      <w:marRight w:val="0"/>
      <w:marTop w:val="0"/>
      <w:marBottom w:val="0"/>
      <w:divBdr>
        <w:top w:val="none" w:sz="0" w:space="0" w:color="auto"/>
        <w:left w:val="none" w:sz="0" w:space="0" w:color="auto"/>
        <w:bottom w:val="none" w:sz="0" w:space="0" w:color="auto"/>
        <w:right w:val="none" w:sz="0" w:space="0" w:color="auto"/>
      </w:divBdr>
    </w:div>
    <w:div w:id="874269422">
      <w:bodyDiv w:val="1"/>
      <w:marLeft w:val="0"/>
      <w:marRight w:val="0"/>
      <w:marTop w:val="0"/>
      <w:marBottom w:val="0"/>
      <w:divBdr>
        <w:top w:val="none" w:sz="0" w:space="0" w:color="auto"/>
        <w:left w:val="none" w:sz="0" w:space="0" w:color="auto"/>
        <w:bottom w:val="none" w:sz="0" w:space="0" w:color="auto"/>
        <w:right w:val="none" w:sz="0" w:space="0" w:color="auto"/>
      </w:divBdr>
    </w:div>
    <w:div w:id="999891015">
      <w:bodyDiv w:val="1"/>
      <w:marLeft w:val="0"/>
      <w:marRight w:val="0"/>
      <w:marTop w:val="0"/>
      <w:marBottom w:val="0"/>
      <w:divBdr>
        <w:top w:val="none" w:sz="0" w:space="0" w:color="auto"/>
        <w:left w:val="none" w:sz="0" w:space="0" w:color="auto"/>
        <w:bottom w:val="none" w:sz="0" w:space="0" w:color="auto"/>
        <w:right w:val="none" w:sz="0" w:space="0" w:color="auto"/>
      </w:divBdr>
    </w:div>
    <w:div w:id="1019353717">
      <w:bodyDiv w:val="1"/>
      <w:marLeft w:val="0"/>
      <w:marRight w:val="0"/>
      <w:marTop w:val="0"/>
      <w:marBottom w:val="0"/>
      <w:divBdr>
        <w:top w:val="none" w:sz="0" w:space="0" w:color="auto"/>
        <w:left w:val="none" w:sz="0" w:space="0" w:color="auto"/>
        <w:bottom w:val="none" w:sz="0" w:space="0" w:color="auto"/>
        <w:right w:val="none" w:sz="0" w:space="0" w:color="auto"/>
      </w:divBdr>
    </w:div>
    <w:div w:id="1020664549">
      <w:bodyDiv w:val="1"/>
      <w:marLeft w:val="0"/>
      <w:marRight w:val="0"/>
      <w:marTop w:val="0"/>
      <w:marBottom w:val="0"/>
      <w:divBdr>
        <w:top w:val="none" w:sz="0" w:space="0" w:color="auto"/>
        <w:left w:val="none" w:sz="0" w:space="0" w:color="auto"/>
        <w:bottom w:val="none" w:sz="0" w:space="0" w:color="auto"/>
        <w:right w:val="none" w:sz="0" w:space="0" w:color="auto"/>
      </w:divBdr>
    </w:div>
    <w:div w:id="1038819650">
      <w:bodyDiv w:val="1"/>
      <w:marLeft w:val="0"/>
      <w:marRight w:val="0"/>
      <w:marTop w:val="0"/>
      <w:marBottom w:val="0"/>
      <w:divBdr>
        <w:top w:val="none" w:sz="0" w:space="0" w:color="auto"/>
        <w:left w:val="none" w:sz="0" w:space="0" w:color="auto"/>
        <w:bottom w:val="none" w:sz="0" w:space="0" w:color="auto"/>
        <w:right w:val="none" w:sz="0" w:space="0" w:color="auto"/>
      </w:divBdr>
    </w:div>
    <w:div w:id="1086003583">
      <w:bodyDiv w:val="1"/>
      <w:marLeft w:val="0"/>
      <w:marRight w:val="0"/>
      <w:marTop w:val="0"/>
      <w:marBottom w:val="0"/>
      <w:divBdr>
        <w:top w:val="none" w:sz="0" w:space="0" w:color="auto"/>
        <w:left w:val="none" w:sz="0" w:space="0" w:color="auto"/>
        <w:bottom w:val="none" w:sz="0" w:space="0" w:color="auto"/>
        <w:right w:val="none" w:sz="0" w:space="0" w:color="auto"/>
      </w:divBdr>
    </w:div>
    <w:div w:id="1142849373">
      <w:bodyDiv w:val="1"/>
      <w:marLeft w:val="0"/>
      <w:marRight w:val="0"/>
      <w:marTop w:val="0"/>
      <w:marBottom w:val="0"/>
      <w:divBdr>
        <w:top w:val="none" w:sz="0" w:space="0" w:color="auto"/>
        <w:left w:val="none" w:sz="0" w:space="0" w:color="auto"/>
        <w:bottom w:val="none" w:sz="0" w:space="0" w:color="auto"/>
        <w:right w:val="none" w:sz="0" w:space="0" w:color="auto"/>
      </w:divBdr>
    </w:div>
    <w:div w:id="1307007107">
      <w:bodyDiv w:val="1"/>
      <w:marLeft w:val="0"/>
      <w:marRight w:val="0"/>
      <w:marTop w:val="0"/>
      <w:marBottom w:val="0"/>
      <w:divBdr>
        <w:top w:val="none" w:sz="0" w:space="0" w:color="auto"/>
        <w:left w:val="none" w:sz="0" w:space="0" w:color="auto"/>
        <w:bottom w:val="none" w:sz="0" w:space="0" w:color="auto"/>
        <w:right w:val="none" w:sz="0" w:space="0" w:color="auto"/>
      </w:divBdr>
    </w:div>
    <w:div w:id="1438913837">
      <w:bodyDiv w:val="1"/>
      <w:marLeft w:val="0"/>
      <w:marRight w:val="0"/>
      <w:marTop w:val="0"/>
      <w:marBottom w:val="0"/>
      <w:divBdr>
        <w:top w:val="none" w:sz="0" w:space="0" w:color="auto"/>
        <w:left w:val="none" w:sz="0" w:space="0" w:color="auto"/>
        <w:bottom w:val="none" w:sz="0" w:space="0" w:color="auto"/>
        <w:right w:val="none" w:sz="0" w:space="0" w:color="auto"/>
      </w:divBdr>
    </w:div>
    <w:div w:id="1612516186">
      <w:bodyDiv w:val="1"/>
      <w:marLeft w:val="0"/>
      <w:marRight w:val="0"/>
      <w:marTop w:val="0"/>
      <w:marBottom w:val="0"/>
      <w:divBdr>
        <w:top w:val="none" w:sz="0" w:space="0" w:color="auto"/>
        <w:left w:val="none" w:sz="0" w:space="0" w:color="auto"/>
        <w:bottom w:val="none" w:sz="0" w:space="0" w:color="auto"/>
        <w:right w:val="none" w:sz="0" w:space="0" w:color="auto"/>
      </w:divBdr>
    </w:div>
    <w:div w:id="2077586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cws/es/trainings.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wipo.int/standards/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cws/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hyperlink" Target="http://www.wipo.int/cws/es/blockchain-and-ip.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po.int/edocs/mdocs/mdocs/es/cdip_23/cdip_23_16.pdf" TargetMode="External"/><Relationship Id="rId14" Type="http://schemas.openxmlformats.org/officeDocument/2006/relationships/chart" Target="charts/chart1.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aripo.org/wp-content/uploads/2021/09/Kampala-Protocol-on-Voluntary-Registration-of-Copyright-and-Related-Rights-2.pdf" TargetMode="External"/><Relationship Id="rId3" Type="http://schemas.openxmlformats.org/officeDocument/2006/relationships/hyperlink" Target="http://www.wipo.int/export/sites/www/global_ip/en/activities/ip_office_business_solutions/pdf/business_solutions.pdf" TargetMode="External"/><Relationship Id="rId7" Type="http://schemas.openxmlformats.org/officeDocument/2006/relationships/hyperlink" Target="https://www.wipo.int/edocs/mdocs/mdocs/es/wipo_crr_ge_2_21/wipo_crr_ge_2_21_survey.pdf" TargetMode="External"/><Relationship Id="rId2" Type="http://schemas.openxmlformats.org/officeDocument/2006/relationships/hyperlink" Target="http://www.wipo.int/global_ip/es/activities/ip_office_business_solutions/" TargetMode="External"/><Relationship Id="rId1" Type="http://schemas.openxmlformats.org/officeDocument/2006/relationships/hyperlink" Target="https://www.wipo.int/edocs/mdocs/mdocs/es/cdip_27/cdip_27_summary_by_the_chair.pdf" TargetMode="External"/><Relationship Id="rId6" Type="http://schemas.openxmlformats.org/officeDocument/2006/relationships/hyperlink" Target="http://www.wipo.int/about-ip/es/frontier_technologies/ai_and_ip.html" TargetMode="External"/><Relationship Id="rId5" Type="http://schemas.openxmlformats.org/officeDocument/2006/relationships/hyperlink" Target="http://www.wipo.int/about-ip/es/artificial_intelligence/ip_administration.html" TargetMode="External"/><Relationship Id="rId4" Type="http://schemas.openxmlformats.org/officeDocument/2006/relationships/hyperlink" Target="http://www.wipo.int/export/sites/www/global_ip/en/activities/ip_office_business_solutions/pdf/digital_transformation.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PCT\OrgPiips\Shared\TISC%20Program%20Annual%20Reports\Annual%20report_2021\Data_2021\Data%20for%20Annual%20report_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ou\AppData\Roaming\OpenText\OTEdit\EC_kic\c14548768\2022-02-10%20graph-tisc-services_annual_report_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wipogvafs01\PCT\OrgPiips\Shared\TISC%20Program%20Annual%20Reports\Annual%20report_2021\Data_2021\Data%20for%20Annual%20report_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'ASPI &amp; ARDI'!$D$1</c:f>
              <c:strCache>
                <c:ptCount val="1"/>
                <c:pt idx="0">
                  <c:v>Active institutions_ARDI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'ASPI &amp; ARDI'!$A$4:$A$13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'ASPI &amp; ARDI'!$D$4:$D$13</c:f>
              <c:numCache>
                <c:formatCode>_(* #,##0_);_(* \(#,##0\);_(* "-"??_);_(@_)</c:formatCode>
                <c:ptCount val="10"/>
                <c:pt idx="0">
                  <c:v>109</c:v>
                </c:pt>
                <c:pt idx="1">
                  <c:v>208</c:v>
                </c:pt>
                <c:pt idx="2">
                  <c:v>410</c:v>
                </c:pt>
                <c:pt idx="3">
                  <c:v>506</c:v>
                </c:pt>
                <c:pt idx="4">
                  <c:v>910</c:v>
                </c:pt>
                <c:pt idx="5">
                  <c:v>1112</c:v>
                </c:pt>
                <c:pt idx="6">
                  <c:v>1864</c:v>
                </c:pt>
                <c:pt idx="7">
                  <c:v>2311</c:v>
                </c:pt>
                <c:pt idx="8">
                  <c:v>2115</c:v>
                </c:pt>
                <c:pt idx="9">
                  <c:v>2346</c:v>
                </c:pt>
              </c:numCache>
            </c:numRef>
          </c:val>
          <c:extLst>
            <c:ext xmlns:c16="http://schemas.microsoft.com/office/drawing/2014/chart" uri="{C3380CC4-5D6E-409C-BE32-E72D297353CC}">
              <c16:uniqueId val="{00000000-2D10-4F5D-AAC3-51B2EDC65E8E}"/>
            </c:ext>
          </c:extLst>
        </c:ser>
        <c:dLbls>
          <c:showLegendKey val="0"/>
          <c:showVal val="0"/>
          <c:showCatName val="0"/>
          <c:showSerName val="0"/>
          <c:showPercent val="0"/>
          <c:showBubbleSize val="0"/>
        </c:dLbls>
        <c:gapWidth val="100"/>
        <c:overlap val="-27"/>
        <c:axId val="-1726247232"/>
        <c:axId val="-1726235264"/>
      </c:barChart>
      <c:catAx>
        <c:axId val="-172624723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6235264"/>
        <c:crosses val="autoZero"/>
        <c:auto val="1"/>
        <c:lblAlgn val="ctr"/>
        <c:lblOffset val="100"/>
        <c:noMultiLvlLbl val="0"/>
      </c:catAx>
      <c:valAx>
        <c:axId val="-1726235264"/>
        <c:scaling>
          <c:orientation val="minMax"/>
        </c:scaling>
        <c:delete val="1"/>
        <c:axPos val="l"/>
        <c:numFmt formatCode="_(* #,##0_);_(* \(#,##0\);_(* &quot;-&quot;??_);_(@_)" sourceLinked="1"/>
        <c:majorTickMark val="none"/>
        <c:minorTickMark val="none"/>
        <c:tickLblPos val="nextTo"/>
        <c:crossAx val="-1726247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232011599573071E-2"/>
          <c:y val="0"/>
          <c:w val="0.9534048573212236"/>
          <c:h val="0.98052309404563143"/>
        </c:manualLayout>
      </c:layout>
      <c:bubbleChart>
        <c:varyColors val="0"/>
        <c:ser>
          <c:idx val="0"/>
          <c:order val="0"/>
          <c:tx>
            <c:strRef>
              <c:f>Sheet1!$B$1</c:f>
              <c:strCache>
                <c:ptCount val="1"/>
                <c:pt idx="0">
                  <c:v>2016</c:v>
                </c:pt>
              </c:strCache>
            </c:strRef>
          </c:tx>
          <c:spPr>
            <a:solidFill>
              <a:schemeClr val="accent1">
                <a:alpha val="75000"/>
              </a:schemeClr>
            </a:solidFill>
            <a:ln w="25400">
              <a:noFill/>
            </a:ln>
            <a:effectLst/>
          </c:spPr>
          <c:invertIfNegative val="0"/>
          <c:dLbls>
            <c:dLbl>
              <c:idx val="9"/>
              <c:layout>
                <c:manualLayout>
                  <c:x val="-4.3918189519321759E-3"/>
                  <c:y val="0"/>
                </c:manualLayout>
              </c:layout>
              <c:showLegendKey val="0"/>
              <c:showVal val="0"/>
              <c:showCatName val="0"/>
              <c:showSerName val="0"/>
              <c:showPercent val="0"/>
              <c:showBubbleSize val="1"/>
              <c:extLst>
                <c:ext xmlns:c15="http://schemas.microsoft.com/office/drawing/2012/chart" uri="{CE6537A1-D6FC-4f65-9D91-7224C49458BB}">
                  <c15:layout/>
                </c:ext>
                <c:ext xmlns:c16="http://schemas.microsoft.com/office/drawing/2014/chart" uri="{C3380CC4-5D6E-409C-BE32-E72D297353CC}">
                  <c16:uniqueId val="{00000000-3AE8-494A-B9EB-1315EB79666E}"/>
                </c:ext>
              </c:extLst>
            </c:dLbl>
            <c:spPr>
              <a:noFill/>
              <a:ln>
                <a:noFill/>
              </a:ln>
              <a:effectLst/>
            </c:spPr>
            <c:txPr>
              <a:bodyPr rot="0" spcFirstLastPara="1" vertOverflow="ellipsis" vert="horz" wrap="square" anchor="ctr" anchorCtr="1"/>
              <a:lstStyle/>
              <a:p>
                <a:pPr algn="l">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1"/>
            <c:showLeaderLines val="0"/>
            <c:extLst>
              <c:ext xmlns:c15="http://schemas.microsoft.com/office/drawing/2012/chart" uri="{CE6537A1-D6FC-4f65-9D91-7224C49458BB}">
                <c15:layout/>
                <c15:showLeaderLines val="0"/>
              </c:ext>
            </c:extLst>
          </c:dLbls>
          <c:xVal>
            <c:numRef>
              <c:f>Sheet1!$B$16:$B$25</c:f>
              <c:numCache>
                <c:formatCode>General</c:formatCode>
                <c:ptCount val="10"/>
                <c:pt idx="0">
                  <c:v>2</c:v>
                </c:pt>
                <c:pt idx="1">
                  <c:v>2</c:v>
                </c:pt>
                <c:pt idx="2">
                  <c:v>2</c:v>
                </c:pt>
                <c:pt idx="3">
                  <c:v>2</c:v>
                </c:pt>
                <c:pt idx="4">
                  <c:v>2</c:v>
                </c:pt>
                <c:pt idx="5">
                  <c:v>2</c:v>
                </c:pt>
                <c:pt idx="6">
                  <c:v>2</c:v>
                </c:pt>
                <c:pt idx="7">
                  <c:v>2</c:v>
                </c:pt>
                <c:pt idx="8">
                  <c:v>2</c:v>
                </c:pt>
                <c:pt idx="9">
                  <c:v>2</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Sheet1!$B$3:$B$12</c:f>
              <c:numCache>
                <c:formatCode>General</c:formatCode>
                <c:ptCount val="10"/>
                <c:pt idx="1">
                  <c:v>115</c:v>
                </c:pt>
                <c:pt idx="2">
                  <c:v>96</c:v>
                </c:pt>
                <c:pt idx="3">
                  <c:v>178</c:v>
                </c:pt>
                <c:pt idx="4">
                  <c:v>181</c:v>
                </c:pt>
                <c:pt idx="5">
                  <c:v>224</c:v>
                </c:pt>
                <c:pt idx="6">
                  <c:v>176</c:v>
                </c:pt>
                <c:pt idx="7">
                  <c:v>214</c:v>
                </c:pt>
                <c:pt idx="8">
                  <c:v>438</c:v>
                </c:pt>
                <c:pt idx="9">
                  <c:v>456</c:v>
                </c:pt>
              </c:numCache>
            </c:numRef>
          </c:bubbleSize>
          <c:bubble3D val="0"/>
          <c:extLst>
            <c:ext xmlns:c16="http://schemas.microsoft.com/office/drawing/2014/chart" uri="{C3380CC4-5D6E-409C-BE32-E72D297353CC}">
              <c16:uniqueId val="{00000001-3AE8-494A-B9EB-1315EB79666E}"/>
            </c:ext>
          </c:extLst>
        </c:ser>
        <c:ser>
          <c:idx val="1"/>
          <c:order val="1"/>
          <c:tx>
            <c:strRef>
              <c:f>Sheet1!$C$1</c:f>
              <c:strCache>
                <c:ptCount val="1"/>
                <c:pt idx="0">
                  <c:v>2017</c:v>
                </c:pt>
              </c:strCache>
            </c:strRef>
          </c:tx>
          <c:spPr>
            <a:solidFill>
              <a:schemeClr val="accent2">
                <a:alpha val="75000"/>
              </a:schemeClr>
            </a:solidFill>
            <a:ln w="25400">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1"/>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Sheet1!$C$16:$C$25</c:f>
              <c:numCache>
                <c:formatCode>General</c:formatCode>
                <c:ptCount val="10"/>
                <c:pt idx="0">
                  <c:v>3</c:v>
                </c:pt>
                <c:pt idx="1">
                  <c:v>3</c:v>
                </c:pt>
                <c:pt idx="2">
                  <c:v>3</c:v>
                </c:pt>
                <c:pt idx="3">
                  <c:v>3</c:v>
                </c:pt>
                <c:pt idx="4">
                  <c:v>3</c:v>
                </c:pt>
                <c:pt idx="5">
                  <c:v>3</c:v>
                </c:pt>
                <c:pt idx="6">
                  <c:v>3</c:v>
                </c:pt>
                <c:pt idx="7">
                  <c:v>3</c:v>
                </c:pt>
                <c:pt idx="8">
                  <c:v>3</c:v>
                </c:pt>
                <c:pt idx="9">
                  <c:v>3</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Sheet1!$C$3:$C$12</c:f>
              <c:numCache>
                <c:formatCode>General</c:formatCode>
                <c:ptCount val="10"/>
                <c:pt idx="1">
                  <c:v>149</c:v>
                </c:pt>
                <c:pt idx="2">
                  <c:v>149</c:v>
                </c:pt>
                <c:pt idx="3">
                  <c:v>280</c:v>
                </c:pt>
                <c:pt idx="4">
                  <c:v>208</c:v>
                </c:pt>
                <c:pt idx="5">
                  <c:v>260</c:v>
                </c:pt>
                <c:pt idx="6">
                  <c:v>263</c:v>
                </c:pt>
                <c:pt idx="7">
                  <c:v>276</c:v>
                </c:pt>
                <c:pt idx="8">
                  <c:v>554</c:v>
                </c:pt>
                <c:pt idx="9">
                  <c:v>575</c:v>
                </c:pt>
              </c:numCache>
            </c:numRef>
          </c:bubbleSize>
          <c:bubble3D val="0"/>
          <c:extLst>
            <c:ext xmlns:c16="http://schemas.microsoft.com/office/drawing/2014/chart" uri="{C3380CC4-5D6E-409C-BE32-E72D297353CC}">
              <c16:uniqueId val="{00000002-3AE8-494A-B9EB-1315EB79666E}"/>
            </c:ext>
          </c:extLst>
        </c:ser>
        <c:ser>
          <c:idx val="2"/>
          <c:order val="2"/>
          <c:tx>
            <c:strRef>
              <c:f>Sheet1!$D$1</c:f>
              <c:strCache>
                <c:ptCount val="1"/>
                <c:pt idx="0">
                  <c:v>2018</c:v>
                </c:pt>
              </c:strCache>
            </c:strRef>
          </c:tx>
          <c:spPr>
            <a:solidFill>
              <a:schemeClr val="accent3">
                <a:alpha val="75000"/>
              </a:schemeClr>
            </a:solidFill>
            <a:ln w="25400">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1"/>
            <c:showLeaderLines val="0"/>
            <c:extLst>
              <c:ext xmlns:c15="http://schemas.microsoft.com/office/drawing/2012/chart" uri="{CE6537A1-D6FC-4f65-9D91-7224C49458BB}">
                <c15:layout/>
                <c15:showLeaderLines val="0"/>
              </c:ext>
            </c:extLst>
          </c:dLbls>
          <c:xVal>
            <c:numRef>
              <c:f>Sheet1!$D$16:$D$25</c:f>
              <c:numCache>
                <c:formatCode>General</c:formatCode>
                <c:ptCount val="10"/>
                <c:pt idx="0">
                  <c:v>4</c:v>
                </c:pt>
                <c:pt idx="1">
                  <c:v>4</c:v>
                </c:pt>
                <c:pt idx="2">
                  <c:v>4</c:v>
                </c:pt>
                <c:pt idx="3">
                  <c:v>4</c:v>
                </c:pt>
                <c:pt idx="4">
                  <c:v>4</c:v>
                </c:pt>
                <c:pt idx="5">
                  <c:v>4</c:v>
                </c:pt>
                <c:pt idx="6">
                  <c:v>4</c:v>
                </c:pt>
                <c:pt idx="7">
                  <c:v>4</c:v>
                </c:pt>
                <c:pt idx="8">
                  <c:v>4</c:v>
                </c:pt>
                <c:pt idx="9">
                  <c:v>4</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Sheet1!$D$3:$D$12</c:f>
              <c:numCache>
                <c:formatCode>General</c:formatCode>
                <c:ptCount val="10"/>
                <c:pt idx="0">
                  <c:v>23</c:v>
                </c:pt>
                <c:pt idx="1">
                  <c:v>185</c:v>
                </c:pt>
                <c:pt idx="2">
                  <c:v>225</c:v>
                </c:pt>
                <c:pt idx="3">
                  <c:v>235</c:v>
                </c:pt>
                <c:pt idx="4">
                  <c:v>239</c:v>
                </c:pt>
                <c:pt idx="5">
                  <c:v>302</c:v>
                </c:pt>
                <c:pt idx="6">
                  <c:v>310</c:v>
                </c:pt>
                <c:pt idx="7">
                  <c:v>344</c:v>
                </c:pt>
                <c:pt idx="8">
                  <c:v>660</c:v>
                </c:pt>
                <c:pt idx="9">
                  <c:v>750</c:v>
                </c:pt>
              </c:numCache>
            </c:numRef>
          </c:bubbleSize>
          <c:bubble3D val="0"/>
          <c:extLst>
            <c:ext xmlns:c16="http://schemas.microsoft.com/office/drawing/2014/chart" uri="{C3380CC4-5D6E-409C-BE32-E72D297353CC}">
              <c16:uniqueId val="{00000003-3AE8-494A-B9EB-1315EB79666E}"/>
            </c:ext>
          </c:extLst>
        </c:ser>
        <c:ser>
          <c:idx val="3"/>
          <c:order val="3"/>
          <c:tx>
            <c:strRef>
              <c:f>Sheet1!$E$1</c:f>
              <c:strCache>
                <c:ptCount val="1"/>
                <c:pt idx="0">
                  <c:v>2019</c:v>
                </c:pt>
              </c:strCache>
            </c:strRef>
          </c:tx>
          <c:spPr>
            <a:solidFill>
              <a:schemeClr val="accent4">
                <a:alpha val="75000"/>
              </a:schemeClr>
            </a:solidFill>
            <a:ln w="25400">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1"/>
            <c:showLeaderLines val="0"/>
            <c:extLst>
              <c:ext xmlns:c15="http://schemas.microsoft.com/office/drawing/2012/chart" uri="{CE6537A1-D6FC-4f65-9D91-7224C49458BB}">
                <c15:layout/>
                <c15:showLeaderLines val="0"/>
              </c:ext>
            </c:extLst>
          </c:dLbls>
          <c:xVal>
            <c:numRef>
              <c:f>Sheet1!$E$16:$E$25</c:f>
              <c:numCache>
                <c:formatCode>General</c:formatCode>
                <c:ptCount val="10"/>
                <c:pt idx="0">
                  <c:v>5</c:v>
                </c:pt>
                <c:pt idx="1">
                  <c:v>5</c:v>
                </c:pt>
                <c:pt idx="2">
                  <c:v>5</c:v>
                </c:pt>
                <c:pt idx="3">
                  <c:v>5</c:v>
                </c:pt>
                <c:pt idx="4">
                  <c:v>5</c:v>
                </c:pt>
                <c:pt idx="5">
                  <c:v>5</c:v>
                </c:pt>
                <c:pt idx="6">
                  <c:v>5</c:v>
                </c:pt>
                <c:pt idx="7">
                  <c:v>5</c:v>
                </c:pt>
                <c:pt idx="8">
                  <c:v>5</c:v>
                </c:pt>
                <c:pt idx="9">
                  <c:v>5</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Sheet1!$E$3:$E$12</c:f>
              <c:numCache>
                <c:formatCode>General</c:formatCode>
                <c:ptCount val="10"/>
                <c:pt idx="0">
                  <c:v>48</c:v>
                </c:pt>
                <c:pt idx="1">
                  <c:v>240</c:v>
                </c:pt>
                <c:pt idx="2">
                  <c:v>306</c:v>
                </c:pt>
                <c:pt idx="3">
                  <c:v>291</c:v>
                </c:pt>
                <c:pt idx="4">
                  <c:v>300</c:v>
                </c:pt>
                <c:pt idx="5">
                  <c:v>370</c:v>
                </c:pt>
                <c:pt idx="6">
                  <c:v>376</c:v>
                </c:pt>
                <c:pt idx="7">
                  <c:v>424</c:v>
                </c:pt>
                <c:pt idx="8">
                  <c:v>896</c:v>
                </c:pt>
                <c:pt idx="9">
                  <c:v>896</c:v>
                </c:pt>
              </c:numCache>
            </c:numRef>
          </c:bubbleSize>
          <c:bubble3D val="0"/>
          <c:extLst>
            <c:ext xmlns:c16="http://schemas.microsoft.com/office/drawing/2014/chart" uri="{C3380CC4-5D6E-409C-BE32-E72D297353CC}">
              <c16:uniqueId val="{00000004-3AE8-494A-B9EB-1315EB79666E}"/>
            </c:ext>
          </c:extLst>
        </c:ser>
        <c:ser>
          <c:idx val="4"/>
          <c:order val="4"/>
          <c:tx>
            <c:strRef>
              <c:f>Sheet1!$F$1</c:f>
              <c:strCache>
                <c:ptCount val="1"/>
                <c:pt idx="0">
                  <c:v>2020</c:v>
                </c:pt>
              </c:strCache>
            </c:strRef>
          </c:tx>
          <c:spPr>
            <a:solidFill>
              <a:schemeClr val="accent5">
                <a:alpha val="75000"/>
              </a:schemeClr>
            </a:solidFill>
            <a:ln w="25400">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1"/>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Sheet1!$F$16:$F$25</c:f>
              <c:numCache>
                <c:formatCode>General</c:formatCode>
                <c:ptCount val="10"/>
                <c:pt idx="0">
                  <c:v>6</c:v>
                </c:pt>
                <c:pt idx="1">
                  <c:v>6</c:v>
                </c:pt>
                <c:pt idx="2">
                  <c:v>6</c:v>
                </c:pt>
                <c:pt idx="3">
                  <c:v>6</c:v>
                </c:pt>
                <c:pt idx="4">
                  <c:v>6</c:v>
                </c:pt>
                <c:pt idx="5">
                  <c:v>6</c:v>
                </c:pt>
                <c:pt idx="6">
                  <c:v>6</c:v>
                </c:pt>
                <c:pt idx="7">
                  <c:v>6</c:v>
                </c:pt>
                <c:pt idx="8">
                  <c:v>6</c:v>
                </c:pt>
                <c:pt idx="9">
                  <c:v>6</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Sheet1!$F$3:$F$12</c:f>
              <c:numCache>
                <c:formatCode>General</c:formatCode>
                <c:ptCount val="10"/>
                <c:pt idx="0">
                  <c:v>121</c:v>
                </c:pt>
                <c:pt idx="1">
                  <c:v>395</c:v>
                </c:pt>
                <c:pt idx="2">
                  <c:v>474</c:v>
                </c:pt>
                <c:pt idx="3">
                  <c:v>373</c:v>
                </c:pt>
                <c:pt idx="4">
                  <c:v>392</c:v>
                </c:pt>
                <c:pt idx="5">
                  <c:v>533</c:v>
                </c:pt>
                <c:pt idx="6">
                  <c:v>532</c:v>
                </c:pt>
                <c:pt idx="7">
                  <c:v>553</c:v>
                </c:pt>
                <c:pt idx="8">
                  <c:v>1136</c:v>
                </c:pt>
                <c:pt idx="9">
                  <c:v>1136</c:v>
                </c:pt>
              </c:numCache>
            </c:numRef>
          </c:bubbleSize>
          <c:bubble3D val="0"/>
          <c:extLst>
            <c:ext xmlns:c16="http://schemas.microsoft.com/office/drawing/2014/chart" uri="{C3380CC4-5D6E-409C-BE32-E72D297353CC}">
              <c16:uniqueId val="{00000005-3AE8-494A-B9EB-1315EB79666E}"/>
            </c:ext>
          </c:extLst>
        </c:ser>
        <c:ser>
          <c:idx val="8"/>
          <c:order val="5"/>
          <c:tx>
            <c:strRef>
              <c:f>Sheet1!$G$1</c:f>
              <c:strCache>
                <c:ptCount val="1"/>
                <c:pt idx="0">
                  <c:v>2021</c:v>
                </c:pt>
              </c:strCache>
            </c:strRef>
          </c:tx>
          <c:spPr>
            <a:solidFill>
              <a:schemeClr val="accent3">
                <a:lumMod val="60000"/>
                <a:alpha val="75000"/>
              </a:schemeClr>
            </a:solidFill>
            <a:ln w="25400">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0"/>
            <c:showCatName val="0"/>
            <c:showSerName val="0"/>
            <c:showPercent val="0"/>
            <c:showBubbleSize val="1"/>
            <c:showLeaderLines val="0"/>
            <c:extLst>
              <c:ext xmlns:c15="http://schemas.microsoft.com/office/drawing/2012/chart" uri="{CE6537A1-D6FC-4f65-9D91-7224C49458BB}">
                <c15:layout/>
                <c15:showLeaderLines val="0"/>
              </c:ext>
            </c:extLst>
          </c:dLbls>
          <c:xVal>
            <c:numRef>
              <c:f>Sheet1!$G$16:$G$25</c:f>
              <c:numCache>
                <c:formatCode>General</c:formatCode>
                <c:ptCount val="10"/>
                <c:pt idx="0">
                  <c:v>7</c:v>
                </c:pt>
                <c:pt idx="1">
                  <c:v>7</c:v>
                </c:pt>
                <c:pt idx="2">
                  <c:v>7</c:v>
                </c:pt>
                <c:pt idx="3">
                  <c:v>7</c:v>
                </c:pt>
                <c:pt idx="4">
                  <c:v>7</c:v>
                </c:pt>
                <c:pt idx="5">
                  <c:v>7</c:v>
                </c:pt>
                <c:pt idx="6">
                  <c:v>7</c:v>
                </c:pt>
                <c:pt idx="7">
                  <c:v>7</c:v>
                </c:pt>
                <c:pt idx="8">
                  <c:v>7</c:v>
                </c:pt>
                <c:pt idx="9">
                  <c:v>7</c:v>
                </c:pt>
              </c:numCache>
            </c:numRef>
          </c:xVal>
          <c:yVal>
            <c:numRef>
              <c:f>Sheet1!$A$16:$A$25</c:f>
              <c:numCache>
                <c:formatCode>General</c:formatCode>
                <c:ptCount val="10"/>
                <c:pt idx="0">
                  <c:v>2</c:v>
                </c:pt>
                <c:pt idx="1">
                  <c:v>3</c:v>
                </c:pt>
                <c:pt idx="2">
                  <c:v>4</c:v>
                </c:pt>
                <c:pt idx="3">
                  <c:v>5</c:v>
                </c:pt>
                <c:pt idx="4">
                  <c:v>6</c:v>
                </c:pt>
                <c:pt idx="5">
                  <c:v>7</c:v>
                </c:pt>
                <c:pt idx="6">
                  <c:v>8</c:v>
                </c:pt>
                <c:pt idx="7">
                  <c:v>9</c:v>
                </c:pt>
                <c:pt idx="8">
                  <c:v>10</c:v>
                </c:pt>
                <c:pt idx="9">
                  <c:v>11</c:v>
                </c:pt>
              </c:numCache>
            </c:numRef>
          </c:yVal>
          <c:bubbleSize>
            <c:numRef>
              <c:f>Sheet1!$G$3:$G$12</c:f>
              <c:numCache>
                <c:formatCode>General</c:formatCode>
                <c:ptCount val="10"/>
                <c:pt idx="0">
                  <c:v>194</c:v>
                </c:pt>
                <c:pt idx="1">
                  <c:v>480</c:v>
                </c:pt>
                <c:pt idx="2">
                  <c:v>580</c:v>
                </c:pt>
                <c:pt idx="3">
                  <c:v>449</c:v>
                </c:pt>
                <c:pt idx="4">
                  <c:v>477</c:v>
                </c:pt>
                <c:pt idx="5">
                  <c:v>633</c:v>
                </c:pt>
                <c:pt idx="6">
                  <c:v>620</c:v>
                </c:pt>
                <c:pt idx="7">
                  <c:v>644</c:v>
                </c:pt>
                <c:pt idx="8">
                  <c:v>1285</c:v>
                </c:pt>
                <c:pt idx="9">
                  <c:v>1287</c:v>
                </c:pt>
              </c:numCache>
            </c:numRef>
          </c:bubbleSize>
          <c:bubble3D val="0"/>
          <c:extLst>
            <c:ext xmlns:c16="http://schemas.microsoft.com/office/drawing/2014/chart" uri="{C3380CC4-5D6E-409C-BE32-E72D297353CC}">
              <c16:uniqueId val="{00000006-3AE8-494A-B9EB-1315EB79666E}"/>
            </c:ext>
          </c:extLst>
        </c:ser>
        <c:ser>
          <c:idx val="5"/>
          <c:order val="6"/>
          <c:tx>
            <c:v>x-Labels</c:v>
          </c:tx>
          <c:spPr>
            <a:solidFill>
              <a:schemeClr val="accent6">
                <a:alpha val="75000"/>
              </a:schemeClr>
            </a:solidFill>
            <a:ln w="25400">
              <a:noFill/>
            </a:ln>
            <a:effectLst/>
          </c:spPr>
          <c:invertIfNegative val="0"/>
          <c:dLbls>
            <c:dLbl>
              <c:idx val="0"/>
              <c:layout/>
              <c:tx>
                <c:rich>
                  <a:bodyPr/>
                  <a:lstStyle/>
                  <a:p>
                    <a:fld id="{517D0C40-BF1E-4E9F-9630-D7DA6205454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7-3AE8-494A-B9EB-1315EB79666E}"/>
                </c:ext>
              </c:extLst>
            </c:dLbl>
            <c:dLbl>
              <c:idx val="1"/>
              <c:layout/>
              <c:tx>
                <c:rich>
                  <a:bodyPr/>
                  <a:lstStyle/>
                  <a:p>
                    <a:fld id="{08AC3A6F-D2E0-4ADE-83F3-63843A4ECDC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8-3AE8-494A-B9EB-1315EB79666E}"/>
                </c:ext>
              </c:extLst>
            </c:dLbl>
            <c:dLbl>
              <c:idx val="2"/>
              <c:layout/>
              <c:tx>
                <c:rich>
                  <a:bodyPr/>
                  <a:lstStyle/>
                  <a:p>
                    <a:fld id="{7D15C92F-80ED-44DB-81B8-20E149DB5D4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9-3AE8-494A-B9EB-1315EB79666E}"/>
                </c:ext>
              </c:extLst>
            </c:dLbl>
            <c:dLbl>
              <c:idx val="3"/>
              <c:layout/>
              <c:tx>
                <c:rich>
                  <a:bodyPr/>
                  <a:lstStyle/>
                  <a:p>
                    <a:fld id="{AE3C01B3-E9F4-40AB-BD42-06F1EE29B6D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A-3AE8-494A-B9EB-1315EB79666E}"/>
                </c:ext>
              </c:extLst>
            </c:dLbl>
            <c:dLbl>
              <c:idx val="4"/>
              <c:layout/>
              <c:tx>
                <c:rich>
                  <a:bodyPr/>
                  <a:lstStyle/>
                  <a:p>
                    <a:fld id="{39776CF9-5598-468B-A0BC-71CC23ED21F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B-3AE8-494A-B9EB-1315EB79666E}"/>
                </c:ext>
              </c:extLst>
            </c:dLbl>
            <c:dLbl>
              <c:idx val="5"/>
              <c:layout/>
              <c:tx>
                <c:rich>
                  <a:bodyPr/>
                  <a:lstStyle/>
                  <a:p>
                    <a:fld id="{AD02F038-C54D-4EB8-8449-21F31C8AFBB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C-3AE8-494A-B9EB-1315EB79666E}"/>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0"/>
              </c:ext>
            </c:extLst>
          </c:dLbls>
          <c:xVal>
            <c:numLit>
              <c:formatCode>General</c:formatCode>
              <c:ptCount val="6"/>
              <c:pt idx="0">
                <c:v>2</c:v>
              </c:pt>
              <c:pt idx="1">
                <c:v>3</c:v>
              </c:pt>
              <c:pt idx="2">
                <c:v>4</c:v>
              </c:pt>
              <c:pt idx="3">
                <c:v>5</c:v>
              </c:pt>
              <c:pt idx="4">
                <c:v>6</c:v>
              </c:pt>
              <c:pt idx="5">
                <c:v>7</c:v>
              </c:pt>
            </c:numLit>
          </c:xVal>
          <c:yVal>
            <c:numLit>
              <c:formatCode>General</c:formatCode>
              <c:ptCount val="6"/>
              <c:pt idx="0">
                <c:v>1</c:v>
              </c:pt>
              <c:pt idx="1">
                <c:v>1</c:v>
              </c:pt>
              <c:pt idx="2">
                <c:v>1</c:v>
              </c:pt>
              <c:pt idx="3">
                <c:v>1</c:v>
              </c:pt>
              <c:pt idx="4">
                <c:v>1</c:v>
              </c:pt>
              <c:pt idx="5">
                <c:v>1</c:v>
              </c:pt>
            </c:numLit>
          </c:yVal>
          <c:bubbleSize>
            <c:numLit>
              <c:formatCode>General</c:formatCode>
              <c:ptCount val="6"/>
              <c:pt idx="0">
                <c:v>1</c:v>
              </c:pt>
              <c:pt idx="1">
                <c:v>1</c:v>
              </c:pt>
              <c:pt idx="2">
                <c:v>1</c:v>
              </c:pt>
              <c:pt idx="3">
                <c:v>1</c:v>
              </c:pt>
              <c:pt idx="4">
                <c:v>1</c:v>
              </c:pt>
              <c:pt idx="5">
                <c:v>1</c:v>
              </c:pt>
            </c:numLit>
          </c:bubbleSize>
          <c:bubble3D val="0"/>
          <c:extLst>
            <c:ext xmlns:c15="http://schemas.microsoft.com/office/drawing/2012/chart" uri="{02D57815-91ED-43cb-92C2-25804820EDAC}">
              <c15:datalabelsRange>
                <c15:f>Sheet1!$B$1:$G$1</c15:f>
                <c15:dlblRangeCache>
                  <c:ptCount val="6"/>
                  <c:pt idx="0">
                    <c:v>2016</c:v>
                  </c:pt>
                  <c:pt idx="1">
                    <c:v>2017</c:v>
                  </c:pt>
                  <c:pt idx="2">
                    <c:v>2018</c:v>
                  </c:pt>
                  <c:pt idx="3">
                    <c:v>2019</c:v>
                  </c:pt>
                  <c:pt idx="4">
                    <c:v>2020</c:v>
                  </c:pt>
                  <c:pt idx="5">
                    <c:v>2021</c:v>
                  </c:pt>
                </c15:dlblRangeCache>
              </c15:datalabelsRange>
            </c:ext>
            <c:ext xmlns:c16="http://schemas.microsoft.com/office/drawing/2014/chart" uri="{C3380CC4-5D6E-409C-BE32-E72D297353CC}">
              <c16:uniqueId val="{0000000D-3AE8-494A-B9EB-1315EB79666E}"/>
            </c:ext>
          </c:extLst>
        </c:ser>
        <c:ser>
          <c:idx val="6"/>
          <c:order val="7"/>
          <c:tx>
            <c:v>y-Labels</c:v>
          </c:tx>
          <c:spPr>
            <a:solidFill>
              <a:schemeClr val="accent1">
                <a:lumMod val="60000"/>
                <a:alpha val="75000"/>
              </a:schemeClr>
            </a:solidFill>
            <a:ln w="25400">
              <a:noFill/>
            </a:ln>
            <a:effectLst/>
          </c:spPr>
          <c:invertIfNegative val="0"/>
          <c:dLbls>
            <c:dLbl>
              <c:idx val="0"/>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600"/>
                      <a:t>Análisis: informes sobre la actividad de patentamiento o servicios relacionados </a:t>
                    </a:r>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3AE8-494A-B9EB-1315EB79666E}"/>
                </c:ext>
              </c:extLst>
            </c:dLbl>
            <c:dLbl>
              <c:idx val="1"/>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600"/>
                      <a:t>Asistencia</a:t>
                    </a:r>
                    <a:r>
                      <a:rPr lang="en-US" sz="600" baseline="0"/>
                      <a:t> y asesoramiento sobre la gestión de PI: redacción de solicitudes de patente, tramitación</a:t>
                    </a:r>
                    <a:endParaRPr lang="en-US" sz="600"/>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3AE8-494A-B9EB-1315EB79666E}"/>
                </c:ext>
              </c:extLst>
            </c:dLbl>
            <c:dLbl>
              <c:idx val="2"/>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600"/>
                      <a:t>Asistencia y asesoramiento sobre la gestión de PI: comercialización</a:t>
                    </a:r>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3AE8-494A-B9EB-1315EB79666E}"/>
                </c:ext>
              </c:extLst>
            </c:dLbl>
            <c:dLbl>
              <c:idx val="3"/>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600"/>
                      <a:t>Búsqueda: validez</a:t>
                    </a:r>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3AE8-494A-B9EB-1315EB79666E}"/>
                </c:ext>
              </c:extLst>
            </c:dLbl>
            <c:dLbl>
              <c:idx val="4"/>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600"/>
                      <a:t>Búsqueda: libertad de acción, autorización</a:t>
                    </a:r>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3AE8-494A-B9EB-1315EB79666E}"/>
                </c:ext>
              </c:extLst>
            </c:dLbl>
            <c:dLbl>
              <c:idx val="5"/>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600"/>
                      <a:t>Búsqueda: novedad, patentabilidad</a:t>
                    </a:r>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3AE8-494A-B9EB-1315EB79666E}"/>
                </c:ext>
              </c:extLst>
            </c:dLbl>
            <c:dLbl>
              <c:idx val="6"/>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600"/>
                      <a:t>Asistencia y asesoramiento sobre la gestión de PI: concesión de licencias, transferencia de tecnología</a:t>
                    </a:r>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3AE8-494A-B9EB-1315EB79666E}"/>
                </c:ext>
              </c:extLst>
            </c:dLbl>
            <c:dLbl>
              <c:idx val="7"/>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600"/>
                      <a:t>Búsqueda: estado de la técnica</a:t>
                    </a:r>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3AE8-494A-B9EB-1315EB79666E}"/>
                </c:ext>
              </c:extLst>
            </c:dLbl>
            <c:dLbl>
              <c:idx val="8"/>
              <c:layout/>
              <c:tx>
                <c:rich>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600"/>
                      <a:t>Asistencia y asesoramiento para utilizar las bases de datos</a:t>
                    </a:r>
                  </a:p>
                </c:rich>
              </c:tx>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3AE8-494A-B9EB-1315EB79666E}"/>
                </c:ext>
              </c:extLst>
            </c:dLbl>
            <c:dLbl>
              <c:idx val="9"/>
              <c:layout/>
              <c:tx>
                <c:rich>
                  <a:bodyPr/>
                  <a:lstStyle/>
                  <a:p>
                    <a:r>
                      <a:rPr lang="en-US" sz="600"/>
                      <a:t>Acceso a bases de datos de patentes, científicas y técnicas</a:t>
                    </a:r>
                  </a:p>
                </c:rich>
              </c:tx>
              <c:dLblPos val="ct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3AE8-494A-B9EB-1315EB79666E}"/>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Lit>
              <c:formatCode>General</c:formatCode>
              <c:ptCount val="10"/>
              <c:pt idx="0">
                <c:v>1</c:v>
              </c:pt>
              <c:pt idx="1">
                <c:v>1</c:v>
              </c:pt>
              <c:pt idx="2">
                <c:v>1</c:v>
              </c:pt>
              <c:pt idx="3">
                <c:v>1</c:v>
              </c:pt>
              <c:pt idx="4">
                <c:v>1</c:v>
              </c:pt>
              <c:pt idx="5">
                <c:v>1</c:v>
              </c:pt>
              <c:pt idx="6">
                <c:v>1</c:v>
              </c:pt>
              <c:pt idx="7">
                <c:v>1</c:v>
              </c:pt>
              <c:pt idx="8">
                <c:v>1</c:v>
              </c:pt>
              <c:pt idx="9">
                <c:v>1</c:v>
              </c:pt>
            </c:numLit>
          </c:xVal>
          <c:yVal>
            <c:numLit>
              <c:formatCode>General</c:formatCode>
              <c:ptCount val="10"/>
              <c:pt idx="0">
                <c:v>2</c:v>
              </c:pt>
              <c:pt idx="1">
                <c:v>3</c:v>
              </c:pt>
              <c:pt idx="2">
                <c:v>4</c:v>
              </c:pt>
              <c:pt idx="3">
                <c:v>5</c:v>
              </c:pt>
              <c:pt idx="4">
                <c:v>6</c:v>
              </c:pt>
              <c:pt idx="5">
                <c:v>7</c:v>
              </c:pt>
              <c:pt idx="6">
                <c:v>8</c:v>
              </c:pt>
              <c:pt idx="7">
                <c:v>9</c:v>
              </c:pt>
              <c:pt idx="8">
                <c:v>10</c:v>
              </c:pt>
              <c:pt idx="9">
                <c:v>11</c:v>
              </c:pt>
            </c:numLit>
          </c:yVal>
          <c:bubbleSize>
            <c:numLit>
              <c:formatCode>General</c:formatCode>
              <c:ptCount val="10"/>
              <c:pt idx="0">
                <c:v>1</c:v>
              </c:pt>
              <c:pt idx="1">
                <c:v>1</c:v>
              </c:pt>
              <c:pt idx="2">
                <c:v>1</c:v>
              </c:pt>
              <c:pt idx="3">
                <c:v>1</c:v>
              </c:pt>
              <c:pt idx="4">
                <c:v>1</c:v>
              </c:pt>
              <c:pt idx="5">
                <c:v>1</c:v>
              </c:pt>
              <c:pt idx="6">
                <c:v>1</c:v>
              </c:pt>
              <c:pt idx="7">
                <c:v>1</c:v>
              </c:pt>
              <c:pt idx="8">
                <c:v>1</c:v>
              </c:pt>
              <c:pt idx="9">
                <c:v>1</c:v>
              </c:pt>
            </c:numLit>
          </c:bubbleSize>
          <c:bubble3D val="0"/>
          <c:extLst>
            <c:ext xmlns:c16="http://schemas.microsoft.com/office/drawing/2014/chart" uri="{C3380CC4-5D6E-409C-BE32-E72D297353CC}">
              <c16:uniqueId val="{00000018-3AE8-494A-B9EB-1315EB79666E}"/>
            </c:ext>
          </c:extLst>
        </c:ser>
        <c:dLbls>
          <c:showLegendKey val="0"/>
          <c:showVal val="0"/>
          <c:showCatName val="0"/>
          <c:showSerName val="0"/>
          <c:showPercent val="0"/>
          <c:showBubbleSize val="0"/>
        </c:dLbls>
        <c:bubbleScale val="32"/>
        <c:showNegBubbles val="0"/>
        <c:sizeRepresents val="w"/>
        <c:axId val="191418432"/>
        <c:axId val="191420512"/>
      </c:bubbleChart>
      <c:valAx>
        <c:axId val="191418432"/>
        <c:scaling>
          <c:orientation val="minMax"/>
          <c:max val="7.5"/>
          <c:min val="0.5"/>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191420512"/>
        <c:crosses val="autoZero"/>
        <c:crossBetween val="midCat"/>
        <c:majorUnit val="1"/>
        <c:minorUnit val="1"/>
      </c:valAx>
      <c:valAx>
        <c:axId val="191420512"/>
        <c:scaling>
          <c:orientation val="minMax"/>
          <c:max val="11.5"/>
          <c:min val="0.5"/>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91418432"/>
        <c:crosses val="autoZero"/>
        <c:crossBetween val="midCat"/>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0"/>
          <c:tx>
            <c:strRef>
              <c:f>'TISCs, TISC Enquiries, Seminars'!$E$1</c:f>
              <c:strCache>
                <c:ptCount val="1"/>
                <c:pt idx="0">
                  <c:v>Regional conferences</c:v>
                </c:pt>
              </c:strCache>
            </c:strRef>
          </c:tx>
          <c:spPr>
            <a:solidFill>
              <a:schemeClr val="accent5">
                <a:tint val="65000"/>
              </a:schemeClr>
            </a:solidFill>
            <a:ln>
              <a:noFill/>
            </a:ln>
            <a:effectLst/>
          </c:spPr>
          <c:invertIfNegative val="0"/>
          <c:dLbls>
            <c:dLbl>
              <c:idx val="0"/>
              <c:layout>
                <c:manualLayout>
                  <c:x val="0"/>
                  <c:y val="5.497758828778621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AF6-40DA-B106-971C13AD0A76}"/>
                </c:ext>
              </c:extLst>
            </c:dLbl>
            <c:dLbl>
              <c:idx val="6"/>
              <c:layout>
                <c:manualLayout>
                  <c:x val="1.9033991675679771E-3"/>
                  <c:y val="8.5723858985711887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AF6-40DA-B106-971C13AD0A76}"/>
                </c:ext>
              </c:extLst>
            </c:dLbl>
            <c:dLbl>
              <c:idx val="7"/>
              <c:layout>
                <c:manualLayout>
                  <c:x val="0"/>
                  <c:y val="6.075539949603563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AF6-40DA-B106-971C13AD0A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'TISCs, TISC Enquiries, Seminars'!$A$6:$A$13</c:f>
              <c:numCache>
                <c:formatCode>General</c:formatCode>
                <c:ptCount val="8"/>
                <c:pt idx="0">
                  <c:v>2014</c:v>
                </c:pt>
                <c:pt idx="1">
                  <c:v>2015</c:v>
                </c:pt>
                <c:pt idx="2">
                  <c:v>2016</c:v>
                </c:pt>
                <c:pt idx="3">
                  <c:v>2017</c:v>
                </c:pt>
                <c:pt idx="4">
                  <c:v>2018</c:v>
                </c:pt>
                <c:pt idx="5">
                  <c:v>2019</c:v>
                </c:pt>
                <c:pt idx="6">
                  <c:v>2020</c:v>
                </c:pt>
                <c:pt idx="7">
                  <c:v>2021</c:v>
                </c:pt>
              </c:numCache>
            </c:numRef>
          </c:cat>
          <c:val>
            <c:numRef>
              <c:f>'TISCs, TISC Enquiries, Seminars'!$E$6:$E$13</c:f>
              <c:numCache>
                <c:formatCode>General</c:formatCode>
                <c:ptCount val="8"/>
                <c:pt idx="0">
                  <c:v>2</c:v>
                </c:pt>
                <c:pt idx="1">
                  <c:v>8</c:v>
                </c:pt>
                <c:pt idx="2">
                  <c:v>4</c:v>
                </c:pt>
                <c:pt idx="3">
                  <c:v>3</c:v>
                </c:pt>
                <c:pt idx="4">
                  <c:v>3</c:v>
                </c:pt>
                <c:pt idx="5">
                  <c:v>3</c:v>
                </c:pt>
                <c:pt idx="6">
                  <c:v>4</c:v>
                </c:pt>
                <c:pt idx="7">
                  <c:v>3</c:v>
                </c:pt>
              </c:numCache>
            </c:numRef>
          </c:val>
          <c:extLst>
            <c:ext xmlns:c16="http://schemas.microsoft.com/office/drawing/2014/chart" uri="{C3380CC4-5D6E-409C-BE32-E72D297353CC}">
              <c16:uniqueId val="{00000003-CAF6-40DA-B106-971C13AD0A76}"/>
            </c:ext>
          </c:extLst>
        </c:ser>
        <c:ser>
          <c:idx val="1"/>
          <c:order val="1"/>
          <c:tx>
            <c:strRef>
              <c:f>'TISCs, TISC Enquiries, Seminars'!$D$1</c:f>
              <c:strCache>
                <c:ptCount val="1"/>
                <c:pt idx="0">
                  <c:v>National seminars/conferences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'TISCs, TISC Enquiries, Seminars'!$A$6:$A$13</c:f>
              <c:numCache>
                <c:formatCode>General</c:formatCode>
                <c:ptCount val="8"/>
                <c:pt idx="0">
                  <c:v>2014</c:v>
                </c:pt>
                <c:pt idx="1">
                  <c:v>2015</c:v>
                </c:pt>
                <c:pt idx="2">
                  <c:v>2016</c:v>
                </c:pt>
                <c:pt idx="3">
                  <c:v>2017</c:v>
                </c:pt>
                <c:pt idx="4">
                  <c:v>2018</c:v>
                </c:pt>
                <c:pt idx="5">
                  <c:v>2019</c:v>
                </c:pt>
                <c:pt idx="6">
                  <c:v>2020</c:v>
                </c:pt>
                <c:pt idx="7">
                  <c:v>2021</c:v>
                </c:pt>
              </c:numCache>
            </c:numRef>
          </c:cat>
          <c:val>
            <c:numRef>
              <c:f>'TISCs, TISC Enquiries, Seminars'!$D$6:$D$13</c:f>
              <c:numCache>
                <c:formatCode>General</c:formatCode>
                <c:ptCount val="8"/>
                <c:pt idx="0">
                  <c:v>15</c:v>
                </c:pt>
                <c:pt idx="1">
                  <c:v>35</c:v>
                </c:pt>
                <c:pt idx="2">
                  <c:v>24</c:v>
                </c:pt>
                <c:pt idx="3">
                  <c:v>33</c:v>
                </c:pt>
                <c:pt idx="4">
                  <c:v>26</c:v>
                </c:pt>
                <c:pt idx="5">
                  <c:v>32</c:v>
                </c:pt>
                <c:pt idx="6">
                  <c:v>14</c:v>
                </c:pt>
                <c:pt idx="7">
                  <c:v>24</c:v>
                </c:pt>
              </c:numCache>
            </c:numRef>
          </c:val>
          <c:extLst>
            <c:ext xmlns:c16="http://schemas.microsoft.com/office/drawing/2014/chart" uri="{C3380CC4-5D6E-409C-BE32-E72D297353CC}">
              <c16:uniqueId val="{00000004-CAF6-40DA-B106-971C13AD0A76}"/>
            </c:ext>
          </c:extLst>
        </c:ser>
        <c:dLbls>
          <c:showLegendKey val="0"/>
          <c:showVal val="0"/>
          <c:showCatName val="0"/>
          <c:showSerName val="0"/>
          <c:showPercent val="0"/>
          <c:showBubbleSize val="0"/>
        </c:dLbls>
        <c:gapWidth val="150"/>
        <c:axId val="-1730286592"/>
        <c:axId val="-1730296384"/>
      </c:barChart>
      <c:catAx>
        <c:axId val="-173028659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0296384"/>
        <c:crosses val="autoZero"/>
        <c:auto val="1"/>
        <c:lblAlgn val="ctr"/>
        <c:lblOffset val="100"/>
        <c:noMultiLvlLbl val="0"/>
      </c:catAx>
      <c:valAx>
        <c:axId val="-1730296384"/>
        <c:scaling>
          <c:orientation val="minMax"/>
        </c:scaling>
        <c:delete val="1"/>
        <c:axPos val="l"/>
        <c:numFmt formatCode="General" sourceLinked="1"/>
        <c:majorTickMark val="none"/>
        <c:minorTickMark val="none"/>
        <c:tickLblPos val="nextTo"/>
        <c:crossAx val="-17302865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51590-5465-4D41-84D0-04F7819F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9532</Words>
  <Characters>50061</Characters>
  <Application>Microsoft Office Word</Application>
  <DocSecurity>0</DocSecurity>
  <Lines>827</Lines>
  <Paragraphs>132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FOR OFFICIAL USE ONLY</cp:keywords>
  <dc:description/>
  <cp:lastModifiedBy/>
  <cp:revision>1</cp:revision>
  <dcterms:created xsi:type="dcterms:W3CDTF">2022-05-16T14:39:00Z</dcterms:created>
  <dcterms:modified xsi:type="dcterms:W3CDTF">2022-05-16T14:39:00Z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9ade2054-c4a9-4a72-be12-4f621bac4edc</vt:lpwstr>
  </property>
  <property fmtid="{D5CDD505-2E9C-101B-9397-08002B2CF9AE}" pid="3" name="TCSClassification">
    <vt:lpwstr>FOR OFFICIAL USE ONLY</vt:lpwstr>
  </property>
  <property fmtid="{D5CDD505-2E9C-101B-9397-08002B2CF9AE}" pid="4" name="_DocHome">
    <vt:i4>-1371565117</vt:i4>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