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9845" w14:textId="77777777" w:rsidR="004E4373" w:rsidRPr="004A24E9" w:rsidRDefault="00472A6E" w:rsidP="000F7A05">
      <w:pPr>
        <w:pBdr>
          <w:bottom w:val="single" w:sz="4" w:space="11" w:color="auto"/>
        </w:pBdr>
        <w:spacing w:after="120"/>
        <w:ind w:right="-57"/>
        <w:jc w:val="right"/>
        <w:rPr>
          <w:lang w:val="es-419"/>
        </w:rPr>
      </w:pPr>
      <w:r w:rsidRPr="004A24E9">
        <w:rPr>
          <w:noProof/>
          <w:lang w:val="en-US" w:eastAsia="en-US"/>
        </w:rPr>
        <w:drawing>
          <wp:inline distT="0" distB="0" distL="0" distR="0" wp14:anchorId="5F42A43C" wp14:editId="1AA37B6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1266357E" w14:textId="77777777" w:rsidR="004E4373" w:rsidRPr="004A24E9" w:rsidRDefault="009B1FCF" w:rsidP="00472A6E">
      <w:pPr>
        <w:jc w:val="right"/>
        <w:rPr>
          <w:rFonts w:ascii="Arial Black" w:hAnsi="Arial Black"/>
          <w:caps/>
          <w:sz w:val="15"/>
          <w:lang w:val="es-419"/>
        </w:rPr>
      </w:pPr>
      <w:r w:rsidRPr="004A24E9">
        <w:rPr>
          <w:rFonts w:ascii="Arial Black" w:hAnsi="Arial Black"/>
          <w:caps/>
          <w:sz w:val="15"/>
          <w:lang w:val="es-419"/>
        </w:rPr>
        <w:t>cdip/2</w:t>
      </w:r>
      <w:r w:rsidR="00671BA5" w:rsidRPr="004A24E9">
        <w:rPr>
          <w:rFonts w:ascii="Arial Black" w:hAnsi="Arial Black"/>
          <w:caps/>
          <w:sz w:val="15"/>
          <w:lang w:val="es-419"/>
        </w:rPr>
        <w:t>8</w:t>
      </w:r>
      <w:r w:rsidR="00B757AD" w:rsidRPr="004A24E9">
        <w:rPr>
          <w:rFonts w:ascii="Arial Black" w:hAnsi="Arial Black"/>
          <w:caps/>
          <w:sz w:val="15"/>
          <w:lang w:val="es-419"/>
        </w:rPr>
        <w:t>/</w:t>
      </w:r>
      <w:bookmarkStart w:id="0" w:name="Code"/>
      <w:bookmarkEnd w:id="0"/>
      <w:r w:rsidR="001C00F2" w:rsidRPr="004A24E9">
        <w:rPr>
          <w:rFonts w:ascii="Arial Black" w:hAnsi="Arial Black"/>
          <w:caps/>
          <w:sz w:val="15"/>
          <w:lang w:val="es-419"/>
        </w:rPr>
        <w:t>INF</w:t>
      </w:r>
      <w:bookmarkStart w:id="1" w:name="_GoBack"/>
      <w:bookmarkEnd w:id="1"/>
      <w:r w:rsidR="001C00F2" w:rsidRPr="004A24E9">
        <w:rPr>
          <w:rFonts w:ascii="Arial Black" w:hAnsi="Arial Black"/>
          <w:caps/>
          <w:sz w:val="15"/>
          <w:lang w:val="es-419"/>
        </w:rPr>
        <w:t>/7</w:t>
      </w:r>
    </w:p>
    <w:p w14:paraId="1B27833B" w14:textId="77777777" w:rsidR="004E4373" w:rsidRPr="004A24E9" w:rsidRDefault="00472A6E" w:rsidP="00472A6E">
      <w:pPr>
        <w:jc w:val="right"/>
        <w:rPr>
          <w:lang w:val="es-419"/>
        </w:rPr>
      </w:pPr>
      <w:r w:rsidRPr="004A24E9">
        <w:rPr>
          <w:rFonts w:ascii="Arial Black" w:hAnsi="Arial Black"/>
          <w:caps/>
          <w:sz w:val="15"/>
          <w:lang w:val="es-419"/>
        </w:rPr>
        <w:t>ORIGINAL:</w:t>
      </w:r>
      <w:bookmarkStart w:id="2" w:name="Original"/>
      <w:r w:rsidR="001C00F2" w:rsidRPr="004A24E9">
        <w:rPr>
          <w:rFonts w:ascii="Arial Black" w:hAnsi="Arial Black"/>
          <w:caps/>
          <w:sz w:val="15"/>
          <w:lang w:val="es-419"/>
        </w:rPr>
        <w:t xml:space="preserve"> INGLÉS</w:t>
      </w:r>
    </w:p>
    <w:bookmarkEnd w:id="2"/>
    <w:p w14:paraId="6135A28E" w14:textId="77777777" w:rsidR="004E4373" w:rsidRPr="004A24E9" w:rsidRDefault="00472A6E" w:rsidP="00472A6E">
      <w:pPr>
        <w:spacing w:after="1200"/>
        <w:jc w:val="right"/>
        <w:rPr>
          <w:lang w:val="es-419"/>
        </w:rPr>
      </w:pPr>
      <w:r w:rsidRPr="004A24E9">
        <w:rPr>
          <w:rFonts w:ascii="Arial Black" w:hAnsi="Arial Black"/>
          <w:caps/>
          <w:sz w:val="15"/>
          <w:lang w:val="es-419"/>
        </w:rPr>
        <w:t>fecha:</w:t>
      </w:r>
      <w:bookmarkStart w:id="3" w:name="Date"/>
      <w:r w:rsidR="001C00F2" w:rsidRPr="004A24E9">
        <w:rPr>
          <w:rFonts w:ascii="Arial Black" w:hAnsi="Arial Black"/>
          <w:caps/>
          <w:sz w:val="15"/>
          <w:lang w:val="es-419"/>
        </w:rPr>
        <w:t xml:space="preserve"> 2 DE MAYO DE 2022</w:t>
      </w:r>
    </w:p>
    <w:bookmarkEnd w:id="3"/>
    <w:p w14:paraId="519810D6" w14:textId="77777777" w:rsidR="004E4373" w:rsidRPr="004A24E9" w:rsidRDefault="00281646" w:rsidP="00671BA5">
      <w:pPr>
        <w:pStyle w:val="Heading1"/>
        <w:spacing w:before="0" w:after="600"/>
        <w:rPr>
          <w:sz w:val="28"/>
          <w:lang w:val="es-419"/>
        </w:rPr>
      </w:pPr>
      <w:r w:rsidRPr="004A24E9">
        <w:rPr>
          <w:caps w:val="0"/>
          <w:sz w:val="28"/>
          <w:lang w:val="es-419"/>
        </w:rPr>
        <w:t>Comité de Desarrollo y Propiedad Intelectual</w:t>
      </w:r>
      <w:r w:rsidRPr="004A24E9">
        <w:rPr>
          <w:sz w:val="28"/>
          <w:szCs w:val="28"/>
          <w:lang w:val="es-419"/>
        </w:rPr>
        <w:t xml:space="preserve"> (CDIP)</w:t>
      </w:r>
    </w:p>
    <w:p w14:paraId="6C48753E" w14:textId="77777777" w:rsidR="004E4373" w:rsidRPr="004A24E9" w:rsidRDefault="00671BA5" w:rsidP="000F7A05">
      <w:pPr>
        <w:spacing w:after="720"/>
        <w:outlineLvl w:val="1"/>
        <w:rPr>
          <w:b/>
          <w:sz w:val="24"/>
          <w:szCs w:val="24"/>
          <w:lang w:val="es-419"/>
        </w:rPr>
      </w:pPr>
      <w:r w:rsidRPr="004A24E9">
        <w:rPr>
          <w:b/>
          <w:color w:val="000000"/>
          <w:sz w:val="24"/>
          <w:szCs w:val="24"/>
          <w:shd w:val="clear" w:color="auto" w:fill="FFFFFF"/>
          <w:lang w:val="es-419"/>
        </w:rPr>
        <w:t>Vigesimoctava sesión</w:t>
      </w:r>
      <w:r w:rsidR="000F7A05" w:rsidRPr="004A24E9">
        <w:rPr>
          <w:b/>
          <w:sz w:val="24"/>
          <w:szCs w:val="24"/>
          <w:lang w:val="es-419"/>
        </w:rPr>
        <w:br/>
      </w:r>
      <w:r w:rsidRPr="004A24E9">
        <w:rPr>
          <w:b/>
          <w:sz w:val="24"/>
          <w:szCs w:val="24"/>
          <w:lang w:val="es-419"/>
        </w:rPr>
        <w:t xml:space="preserve">Ginebra, </w:t>
      </w:r>
      <w:r w:rsidRPr="004A24E9">
        <w:rPr>
          <w:b/>
          <w:bCs/>
          <w:sz w:val="24"/>
          <w:szCs w:val="24"/>
          <w:lang w:val="es-419"/>
        </w:rPr>
        <w:t>16 a 20 de mayo de 2022</w:t>
      </w:r>
    </w:p>
    <w:p w14:paraId="0E3ABF10" w14:textId="77777777" w:rsidR="004E4373" w:rsidRPr="004A24E9" w:rsidRDefault="00453CBD" w:rsidP="00453CBD">
      <w:pPr>
        <w:spacing w:after="360"/>
        <w:rPr>
          <w:caps/>
          <w:sz w:val="24"/>
          <w:lang w:val="es-419"/>
        </w:rPr>
      </w:pPr>
      <w:bookmarkStart w:id="4" w:name="TitleOfDoc"/>
      <w:bookmarkEnd w:id="4"/>
      <w:r w:rsidRPr="004A24E9">
        <w:rPr>
          <w:caps/>
          <w:sz w:val="24"/>
          <w:lang w:val="es-419"/>
        </w:rPr>
        <w:t xml:space="preserve">RESEÑA DE LA GUÍA DE LA OMPI SOBRE SOLUCIÓN </w:t>
      </w:r>
      <w:r w:rsidR="0055446C" w:rsidRPr="004A24E9">
        <w:rPr>
          <w:caps/>
          <w:sz w:val="24"/>
          <w:lang w:val="es-419"/>
        </w:rPr>
        <w:t>ALTERNATIVA</w:t>
      </w:r>
      <w:r w:rsidRPr="004A24E9">
        <w:rPr>
          <w:caps/>
          <w:sz w:val="24"/>
          <w:lang w:val="es-419"/>
        </w:rPr>
        <w:t xml:space="preserve"> DE CONTROVERSIAS RESPECTO DE APLICACIONES MÓVILES</w:t>
      </w:r>
    </w:p>
    <w:p w14:paraId="3BD13902" w14:textId="77777777" w:rsidR="004E4373" w:rsidRPr="004A24E9" w:rsidRDefault="00453CBD" w:rsidP="00453CBD">
      <w:pPr>
        <w:spacing w:after="960"/>
        <w:rPr>
          <w:i/>
          <w:lang w:val="es-419"/>
        </w:rPr>
      </w:pPr>
      <w:bookmarkStart w:id="5" w:name="Prepared"/>
      <w:bookmarkEnd w:id="5"/>
      <w:r w:rsidRPr="004A24E9">
        <w:rPr>
          <w:i/>
          <w:lang w:val="es-419"/>
        </w:rPr>
        <w:t>preparada por la Secretaría</w:t>
      </w:r>
    </w:p>
    <w:p w14:paraId="5889141B" w14:textId="2FB48488" w:rsidR="004E4373" w:rsidRPr="004A24E9" w:rsidRDefault="00664232" w:rsidP="00424049">
      <w:pPr>
        <w:widowControl w:val="0"/>
        <w:numPr>
          <w:ilvl w:val="0"/>
          <w:numId w:val="7"/>
        </w:numPr>
        <w:pBdr>
          <w:top w:val="nil"/>
          <w:left w:val="nil"/>
          <w:bottom w:val="nil"/>
          <w:right w:val="nil"/>
          <w:between w:val="nil"/>
        </w:pBdr>
        <w:ind w:left="0" w:firstLine="0"/>
        <w:contextualSpacing/>
        <w:rPr>
          <w:rFonts w:eastAsia="Times New Roman"/>
          <w:szCs w:val="22"/>
          <w:lang w:val="es-419" w:eastAsia="en-US"/>
        </w:rPr>
      </w:pPr>
      <w:r w:rsidRPr="004A24E9">
        <w:rPr>
          <w:rFonts w:eastAsia="Times New Roman"/>
          <w:szCs w:val="22"/>
          <w:lang w:val="es-419" w:eastAsia="en-US"/>
        </w:rPr>
        <w:t xml:space="preserve">En el Anexo del presente documento figura una reseña de la Guía de la OMPI sobre solución alternativa de controversias respecto de aplicaciones móviles, </w:t>
      </w:r>
      <w:r w:rsidR="003E7936" w:rsidRPr="004A24E9">
        <w:rPr>
          <w:rFonts w:eastAsia="Times New Roman"/>
          <w:szCs w:val="22"/>
          <w:lang w:val="es-419" w:eastAsia="en-US"/>
        </w:rPr>
        <w:t>realizada</w:t>
      </w:r>
      <w:r w:rsidRPr="004A24E9">
        <w:rPr>
          <w:rFonts w:eastAsia="Times New Roman"/>
          <w:szCs w:val="22"/>
          <w:lang w:val="es-419" w:eastAsia="en-US"/>
        </w:rPr>
        <w:t xml:space="preserve"> en el marco del proyecto relativo a la intensificación del uso de la PI en apoyo de las aplicaciones móviles en el sector del </w:t>
      </w:r>
      <w:r w:rsidRPr="004A24E9">
        <w:rPr>
          <w:rFonts w:eastAsia="Times New Roman"/>
          <w:i/>
          <w:szCs w:val="22"/>
          <w:lang w:val="es-419" w:eastAsia="en-US"/>
        </w:rPr>
        <w:t xml:space="preserve">software </w:t>
      </w:r>
      <w:r w:rsidRPr="004A24E9">
        <w:rPr>
          <w:rFonts w:eastAsia="Times New Roman"/>
          <w:szCs w:val="22"/>
          <w:lang w:val="es-419" w:eastAsia="en-US"/>
        </w:rPr>
        <w:t>(documento CDIP/22/8).</w:t>
      </w:r>
    </w:p>
    <w:p w14:paraId="1DD5289A" w14:textId="77777777" w:rsidR="004E4373" w:rsidRPr="004A24E9" w:rsidRDefault="004E4373" w:rsidP="00424049">
      <w:pPr>
        <w:widowControl w:val="0"/>
        <w:pBdr>
          <w:top w:val="nil"/>
          <w:left w:val="nil"/>
          <w:bottom w:val="nil"/>
          <w:right w:val="nil"/>
          <w:between w:val="nil"/>
        </w:pBdr>
        <w:contextualSpacing/>
        <w:rPr>
          <w:rFonts w:eastAsia="Times New Roman"/>
          <w:color w:val="000000"/>
          <w:szCs w:val="22"/>
          <w:lang w:val="es-419" w:eastAsia="en-US"/>
        </w:rPr>
      </w:pPr>
    </w:p>
    <w:p w14:paraId="109B5193" w14:textId="77777777" w:rsidR="009A4AD4" w:rsidRPr="004A24E9" w:rsidRDefault="00664232" w:rsidP="00424049">
      <w:pPr>
        <w:widowControl w:val="0"/>
        <w:numPr>
          <w:ilvl w:val="0"/>
          <w:numId w:val="7"/>
        </w:numPr>
        <w:pBdr>
          <w:top w:val="nil"/>
          <w:left w:val="nil"/>
          <w:bottom w:val="nil"/>
          <w:right w:val="nil"/>
          <w:between w:val="nil"/>
        </w:pBdr>
        <w:ind w:left="0" w:firstLine="0"/>
        <w:contextualSpacing/>
        <w:rPr>
          <w:rFonts w:eastAsia="Times New Roman"/>
          <w:szCs w:val="22"/>
          <w:lang w:val="es-419" w:eastAsia="en-US"/>
        </w:rPr>
      </w:pPr>
      <w:r w:rsidRPr="004A24E9">
        <w:rPr>
          <w:rFonts w:eastAsia="Times New Roman"/>
          <w:color w:val="000000"/>
          <w:szCs w:val="22"/>
          <w:lang w:val="es-419" w:eastAsia="en-US"/>
        </w:rPr>
        <w:t>La Guía ha sido elaborada por el Sr. Chung Nian Lam, Jefe del Grupo de Propiedad Intelectual, Tecnología y Datos de WongPartnership Limited Liability Partnership (LLP), un bufete de abogados con sede en Singapur.</w:t>
      </w:r>
    </w:p>
    <w:p w14:paraId="61865900" w14:textId="296E8970" w:rsidR="004E4373" w:rsidRPr="004A24E9" w:rsidRDefault="004E4373" w:rsidP="00424049">
      <w:pPr>
        <w:contextualSpacing/>
        <w:rPr>
          <w:rFonts w:eastAsia="Arial"/>
          <w:i/>
          <w:iCs/>
          <w:color w:val="000000"/>
          <w:szCs w:val="22"/>
          <w:lang w:val="es-419" w:eastAsia="en-US"/>
        </w:rPr>
      </w:pPr>
    </w:p>
    <w:p w14:paraId="058B82BD" w14:textId="77777777" w:rsidR="004E4373" w:rsidRPr="004A24E9" w:rsidRDefault="00664232" w:rsidP="00424049">
      <w:pPr>
        <w:widowControl w:val="0"/>
        <w:numPr>
          <w:ilvl w:val="0"/>
          <w:numId w:val="7"/>
        </w:numPr>
        <w:pBdr>
          <w:top w:val="nil"/>
          <w:left w:val="nil"/>
          <w:bottom w:val="nil"/>
          <w:right w:val="nil"/>
          <w:between w:val="nil"/>
        </w:pBdr>
        <w:tabs>
          <w:tab w:val="left" w:pos="6096"/>
        </w:tabs>
        <w:ind w:left="5529" w:firstLine="5"/>
        <w:contextualSpacing/>
        <w:rPr>
          <w:rFonts w:eastAsia="Times New Roman"/>
          <w:szCs w:val="22"/>
          <w:lang w:val="es-419" w:eastAsia="en-US"/>
        </w:rPr>
      </w:pPr>
      <w:r w:rsidRPr="004A24E9">
        <w:rPr>
          <w:rFonts w:eastAsia="Times New Roman"/>
          <w:i/>
          <w:szCs w:val="22"/>
          <w:lang w:val="es-419" w:eastAsia="en-US"/>
        </w:rPr>
        <w:t>Se invita al CDIP a tomar nota de la información que figura en el Anexo del presente documento.</w:t>
      </w:r>
    </w:p>
    <w:p w14:paraId="54234B39" w14:textId="77777777" w:rsidR="004E4373" w:rsidRPr="004A24E9" w:rsidRDefault="004E4373" w:rsidP="00424049">
      <w:pPr>
        <w:widowControl w:val="0"/>
        <w:pBdr>
          <w:top w:val="nil"/>
          <w:left w:val="nil"/>
          <w:bottom w:val="nil"/>
          <w:right w:val="nil"/>
          <w:between w:val="nil"/>
        </w:pBdr>
        <w:rPr>
          <w:rFonts w:eastAsia="Arial"/>
          <w:szCs w:val="22"/>
          <w:lang w:val="es-419" w:eastAsia="en-US"/>
        </w:rPr>
      </w:pPr>
    </w:p>
    <w:p w14:paraId="6909BD3F" w14:textId="77777777" w:rsidR="004E4373" w:rsidRPr="004A24E9" w:rsidRDefault="004E4373" w:rsidP="001C00F2">
      <w:pPr>
        <w:widowControl w:val="0"/>
        <w:pBdr>
          <w:top w:val="nil"/>
          <w:left w:val="nil"/>
          <w:bottom w:val="nil"/>
          <w:right w:val="nil"/>
          <w:between w:val="nil"/>
        </w:pBdr>
        <w:rPr>
          <w:rFonts w:eastAsia="Arial"/>
          <w:szCs w:val="22"/>
          <w:lang w:val="es-419" w:eastAsia="en-US"/>
        </w:rPr>
      </w:pPr>
    </w:p>
    <w:p w14:paraId="52970DD3" w14:textId="77777777" w:rsidR="001C00F2" w:rsidRPr="004A24E9" w:rsidRDefault="00664232" w:rsidP="00664232">
      <w:pPr>
        <w:widowControl w:val="0"/>
        <w:pBdr>
          <w:top w:val="nil"/>
          <w:left w:val="nil"/>
          <w:bottom w:val="nil"/>
          <w:right w:val="nil"/>
          <w:between w:val="nil"/>
        </w:pBdr>
        <w:ind w:left="5533"/>
        <w:rPr>
          <w:rFonts w:eastAsia="Arial"/>
          <w:szCs w:val="22"/>
          <w:lang w:val="es-419" w:eastAsia="en-US"/>
        </w:rPr>
        <w:sectPr w:rsidR="001C00F2" w:rsidRPr="004A24E9" w:rsidSect="003C710A">
          <w:headerReference w:type="even" r:id="rId9"/>
          <w:headerReference w:type="default" r:id="rId10"/>
          <w:footerReference w:type="even" r:id="rId11"/>
          <w:footerReference w:type="default" r:id="rId12"/>
          <w:endnotePr>
            <w:numFmt w:val="decimal"/>
          </w:endnotePr>
          <w:pgSz w:w="11907" w:h="16840" w:code="9"/>
          <w:pgMar w:top="567" w:right="1134" w:bottom="1418" w:left="1418" w:header="510" w:footer="1021" w:gutter="0"/>
          <w:cols w:space="720"/>
          <w:titlePg/>
          <w:docGrid w:linePitch="326"/>
        </w:sectPr>
      </w:pPr>
      <w:r w:rsidRPr="004A24E9">
        <w:rPr>
          <w:rFonts w:eastAsia="Arial"/>
          <w:szCs w:val="22"/>
          <w:lang w:val="es-419" w:eastAsia="en-US"/>
        </w:rPr>
        <w:t>[Sigue el Anexo]</w:t>
      </w:r>
    </w:p>
    <w:p w14:paraId="6DF0324A" w14:textId="347AA18D" w:rsidR="004E4373" w:rsidRPr="004A24E9" w:rsidRDefault="009A4AD4" w:rsidP="00664232">
      <w:pPr>
        <w:spacing w:line="360" w:lineRule="auto"/>
        <w:jc w:val="center"/>
        <w:rPr>
          <w:rFonts w:eastAsiaTheme="minorHAnsi"/>
          <w:b/>
          <w:szCs w:val="22"/>
          <w:u w:val="single"/>
          <w:lang w:val="es-419" w:eastAsia="en-US"/>
        </w:rPr>
      </w:pPr>
      <w:r w:rsidRPr="004A24E9">
        <w:rPr>
          <w:rFonts w:eastAsiaTheme="minorHAnsi"/>
          <w:b/>
          <w:szCs w:val="22"/>
          <w:u w:val="single"/>
          <w:lang w:val="es-419" w:eastAsia="en-US"/>
        </w:rPr>
        <w:lastRenderedPageBreak/>
        <w:t>RE</w:t>
      </w:r>
      <w:r w:rsidR="00664232" w:rsidRPr="004A24E9">
        <w:rPr>
          <w:rFonts w:eastAsiaTheme="minorHAnsi"/>
          <w:b/>
          <w:szCs w:val="22"/>
          <w:u w:val="single"/>
          <w:lang w:val="es-419" w:eastAsia="en-US"/>
        </w:rPr>
        <w:t xml:space="preserve">SEÑA DE LA GUÍA DE LA OMPI SOBRE SOLUCIÓN </w:t>
      </w:r>
      <w:r w:rsidR="003E7936" w:rsidRPr="004A24E9">
        <w:rPr>
          <w:rFonts w:eastAsiaTheme="minorHAnsi"/>
          <w:b/>
          <w:szCs w:val="22"/>
          <w:u w:val="single"/>
          <w:lang w:val="es-419" w:eastAsia="en-US"/>
        </w:rPr>
        <w:t>ALTERNATIVA</w:t>
      </w:r>
      <w:r w:rsidR="00664232" w:rsidRPr="004A24E9">
        <w:rPr>
          <w:rFonts w:eastAsiaTheme="minorHAnsi"/>
          <w:b/>
          <w:szCs w:val="22"/>
          <w:u w:val="single"/>
          <w:lang w:val="es-419" w:eastAsia="en-US"/>
        </w:rPr>
        <w:t xml:space="preserve"> DE CONTROVERSIAS RESPECTO DE APLICACIONES MÓVILES</w:t>
      </w:r>
    </w:p>
    <w:p w14:paraId="32C642E2" w14:textId="77777777" w:rsidR="004E4373" w:rsidRPr="004A24E9" w:rsidRDefault="004E4373" w:rsidP="001C00F2">
      <w:pPr>
        <w:spacing w:line="360" w:lineRule="auto"/>
        <w:jc w:val="both"/>
        <w:rPr>
          <w:rFonts w:eastAsiaTheme="minorHAnsi"/>
          <w:szCs w:val="22"/>
          <w:lang w:val="es-419" w:eastAsia="en-US"/>
        </w:rPr>
      </w:pPr>
    </w:p>
    <w:p w14:paraId="45694EE8" w14:textId="5B689BFC" w:rsidR="009A4AD4" w:rsidRPr="004A24E9" w:rsidRDefault="009647B5" w:rsidP="00A70ADC">
      <w:pPr>
        <w:spacing w:line="276" w:lineRule="auto"/>
        <w:rPr>
          <w:rFonts w:eastAsiaTheme="minorHAnsi"/>
          <w:szCs w:val="22"/>
          <w:lang w:val="es-419" w:eastAsia="en-US"/>
        </w:rPr>
      </w:pPr>
      <w:r w:rsidRPr="004A24E9">
        <w:rPr>
          <w:rFonts w:eastAsiaTheme="minorHAnsi"/>
          <w:color w:val="000000"/>
          <w:szCs w:val="22"/>
          <w:lang w:val="es-419" w:eastAsia="en-US"/>
        </w:rPr>
        <w:t xml:space="preserve">Esta Guía se basa en la labor </w:t>
      </w:r>
      <w:r w:rsidR="00584672" w:rsidRPr="004A24E9">
        <w:rPr>
          <w:rFonts w:eastAsiaTheme="minorHAnsi"/>
          <w:color w:val="000000"/>
          <w:szCs w:val="22"/>
          <w:lang w:val="es-419" w:eastAsia="en-US"/>
        </w:rPr>
        <w:t xml:space="preserve">llevada a cabo por el CDIP en </w:t>
      </w:r>
      <w:r w:rsidRPr="004A24E9">
        <w:rPr>
          <w:rFonts w:eastAsiaTheme="minorHAnsi"/>
          <w:color w:val="000000"/>
          <w:szCs w:val="22"/>
          <w:lang w:val="es-419" w:eastAsia="en-US"/>
        </w:rPr>
        <w:t xml:space="preserve">el sector de las aplicaciones móviles, y reconoce </w:t>
      </w:r>
      <w:r w:rsidR="00584672" w:rsidRPr="004A24E9">
        <w:rPr>
          <w:rFonts w:eastAsiaTheme="minorHAnsi"/>
          <w:color w:val="000000"/>
          <w:szCs w:val="22"/>
          <w:lang w:val="es-419" w:eastAsia="en-US"/>
        </w:rPr>
        <w:t>la</w:t>
      </w:r>
      <w:r w:rsidRPr="004A24E9">
        <w:rPr>
          <w:rFonts w:eastAsiaTheme="minorHAnsi"/>
          <w:color w:val="000000"/>
          <w:szCs w:val="22"/>
          <w:lang w:val="es-419" w:eastAsia="en-US"/>
        </w:rPr>
        <w:t xml:space="preserve"> continua importancia econó</w:t>
      </w:r>
      <w:r w:rsidR="00584672" w:rsidRPr="004A24E9">
        <w:rPr>
          <w:rFonts w:eastAsiaTheme="minorHAnsi"/>
          <w:color w:val="000000"/>
          <w:szCs w:val="22"/>
          <w:lang w:val="es-419" w:eastAsia="en-US"/>
        </w:rPr>
        <w:t xml:space="preserve">mica y </w:t>
      </w:r>
      <w:r w:rsidR="003E7936" w:rsidRPr="004A24E9">
        <w:rPr>
          <w:rFonts w:eastAsiaTheme="minorHAnsi"/>
          <w:color w:val="000000"/>
          <w:szCs w:val="22"/>
          <w:lang w:val="es-419" w:eastAsia="en-US"/>
        </w:rPr>
        <w:t>la</w:t>
      </w:r>
      <w:r w:rsidR="00584672" w:rsidRPr="004A24E9">
        <w:rPr>
          <w:rFonts w:eastAsiaTheme="minorHAnsi"/>
          <w:color w:val="000000"/>
          <w:szCs w:val="22"/>
          <w:lang w:val="es-419" w:eastAsia="en-US"/>
        </w:rPr>
        <w:t xml:space="preserve"> accesibilidad relativa de estas</w:t>
      </w:r>
      <w:r w:rsidRPr="004A24E9">
        <w:rPr>
          <w:rFonts w:eastAsiaTheme="minorHAnsi"/>
          <w:color w:val="000000"/>
          <w:szCs w:val="22"/>
          <w:lang w:val="es-419" w:eastAsia="en-US"/>
        </w:rPr>
        <w:t xml:space="preserve"> para las economías desarrolladas y las economías en desarrollo.</w:t>
      </w:r>
      <w:r w:rsidR="009A4AD4" w:rsidRPr="004A24E9">
        <w:rPr>
          <w:rFonts w:eastAsiaTheme="minorHAnsi"/>
          <w:szCs w:val="22"/>
          <w:lang w:val="es-419" w:eastAsia="en-US"/>
        </w:rPr>
        <w:t xml:space="preserve"> </w:t>
      </w:r>
      <w:r w:rsidR="00A70ADC" w:rsidRPr="004A24E9">
        <w:rPr>
          <w:rFonts w:eastAsiaTheme="minorHAnsi"/>
          <w:color w:val="000000"/>
          <w:szCs w:val="22"/>
          <w:lang w:val="es-419" w:eastAsia="en-US"/>
        </w:rPr>
        <w:t xml:space="preserve">Concretamente, mientras que las iniciativas anteriores del CDIP abordaban el uso del valor estratégico de los derechos de propiedad intelectual (PI) en este sector, la Guía </w:t>
      </w:r>
      <w:r w:rsidR="003E7936" w:rsidRPr="004A24E9">
        <w:rPr>
          <w:rFonts w:eastAsiaTheme="minorHAnsi"/>
          <w:color w:val="000000"/>
          <w:szCs w:val="22"/>
          <w:lang w:val="es-419" w:eastAsia="en-US"/>
        </w:rPr>
        <w:t>analiza</w:t>
      </w:r>
      <w:r w:rsidR="00A70ADC" w:rsidRPr="004A24E9">
        <w:rPr>
          <w:rFonts w:eastAsiaTheme="minorHAnsi"/>
          <w:color w:val="000000"/>
          <w:szCs w:val="22"/>
          <w:lang w:val="es-419" w:eastAsia="en-US"/>
        </w:rPr>
        <w:t xml:space="preserve"> cómo los mecanismos de solución alternativa de controversias (ADR) son idóneos para abordar la PI y las controversias comerciales conexas que puedan surgir en el contexto de las aplicaciones móviles.</w:t>
      </w:r>
    </w:p>
    <w:p w14:paraId="21759FF0" w14:textId="31953D9C" w:rsidR="004E4373" w:rsidRPr="004A24E9" w:rsidRDefault="004E4373" w:rsidP="001C00F2">
      <w:pPr>
        <w:spacing w:line="276" w:lineRule="auto"/>
        <w:rPr>
          <w:rFonts w:eastAsiaTheme="minorHAnsi"/>
          <w:szCs w:val="22"/>
          <w:lang w:val="es-419" w:eastAsia="en-US"/>
        </w:rPr>
      </w:pPr>
    </w:p>
    <w:p w14:paraId="7C24A5CB" w14:textId="77777777" w:rsidR="009A4AD4" w:rsidRPr="004A24E9" w:rsidRDefault="00A70ADC" w:rsidP="00A70ADC">
      <w:pPr>
        <w:spacing w:line="276" w:lineRule="auto"/>
        <w:rPr>
          <w:rFonts w:eastAsiaTheme="minorHAnsi"/>
          <w:szCs w:val="22"/>
          <w:lang w:val="es-419" w:eastAsia="en-US"/>
        </w:rPr>
      </w:pPr>
      <w:r w:rsidRPr="004A24E9">
        <w:rPr>
          <w:rFonts w:eastAsiaTheme="minorHAnsi"/>
          <w:color w:val="000000"/>
          <w:szCs w:val="22"/>
          <w:lang w:val="es-419" w:eastAsia="en-US"/>
        </w:rPr>
        <w:t>La Guía consta de 11 capítulos, en los que se aborda una serie de temas esenciales relacionados con la solución alternativa de controversias en el contexto de las aplicaciones móviles.</w:t>
      </w:r>
    </w:p>
    <w:p w14:paraId="67702A69" w14:textId="7404EDD3" w:rsidR="004E4373" w:rsidRPr="004A24E9" w:rsidRDefault="004E4373" w:rsidP="001C00F2">
      <w:pPr>
        <w:spacing w:line="276" w:lineRule="auto"/>
        <w:rPr>
          <w:rFonts w:eastAsiaTheme="minorHAnsi"/>
          <w:szCs w:val="22"/>
          <w:lang w:val="es-419" w:eastAsia="en-US"/>
        </w:rPr>
      </w:pPr>
    </w:p>
    <w:p w14:paraId="0D86A6FE" w14:textId="5B838043" w:rsidR="009A4AD4" w:rsidRPr="004A24E9" w:rsidRDefault="00A70ADC" w:rsidP="00A70ADC">
      <w:pPr>
        <w:spacing w:line="276" w:lineRule="auto"/>
        <w:rPr>
          <w:rFonts w:eastAsiaTheme="minorHAnsi"/>
          <w:szCs w:val="22"/>
          <w:lang w:val="es-419" w:eastAsia="en-US"/>
        </w:rPr>
      </w:pPr>
      <w:r w:rsidRPr="004A24E9">
        <w:rPr>
          <w:rFonts w:eastAsiaTheme="minorHAnsi"/>
          <w:szCs w:val="22"/>
          <w:lang w:val="es-419" w:eastAsia="en-US"/>
        </w:rPr>
        <w:t xml:space="preserve">En la Parte I se </w:t>
      </w:r>
      <w:r w:rsidR="000431AB" w:rsidRPr="004A24E9">
        <w:rPr>
          <w:rFonts w:eastAsiaTheme="minorHAnsi"/>
          <w:szCs w:val="22"/>
          <w:lang w:val="es-419" w:eastAsia="en-US"/>
        </w:rPr>
        <w:t>realiza</w:t>
      </w:r>
      <w:r w:rsidRPr="004A24E9">
        <w:rPr>
          <w:rFonts w:eastAsiaTheme="minorHAnsi"/>
          <w:szCs w:val="22"/>
          <w:lang w:val="es-419" w:eastAsia="en-US"/>
        </w:rPr>
        <w:t xml:space="preserve"> una d</w:t>
      </w:r>
      <w:r w:rsidR="003E7936" w:rsidRPr="004A24E9">
        <w:rPr>
          <w:rFonts w:eastAsiaTheme="minorHAnsi"/>
          <w:szCs w:val="22"/>
          <w:lang w:val="es-419" w:eastAsia="en-US"/>
        </w:rPr>
        <w:t xml:space="preserve">escripción general de los tipos </w:t>
      </w:r>
      <w:r w:rsidRPr="004A24E9">
        <w:rPr>
          <w:rFonts w:eastAsiaTheme="minorHAnsi"/>
          <w:szCs w:val="22"/>
          <w:lang w:val="es-419" w:eastAsia="en-US"/>
        </w:rPr>
        <w:t>de ADR en el contexto de las aplicaciones móviles.</w:t>
      </w:r>
    </w:p>
    <w:p w14:paraId="1D24BDF0" w14:textId="24F95D8D" w:rsidR="004E4373" w:rsidRPr="004A24E9" w:rsidRDefault="004E4373" w:rsidP="001C00F2">
      <w:pPr>
        <w:spacing w:line="276" w:lineRule="auto"/>
        <w:rPr>
          <w:rFonts w:eastAsiaTheme="minorHAnsi"/>
          <w:szCs w:val="22"/>
          <w:lang w:val="es-419" w:eastAsia="en-US"/>
        </w:rPr>
      </w:pPr>
    </w:p>
    <w:p w14:paraId="689BCFDB" w14:textId="3E97BFAC" w:rsidR="009A4AD4" w:rsidRPr="004A24E9" w:rsidRDefault="000431AB" w:rsidP="00622E44">
      <w:pPr>
        <w:spacing w:line="276" w:lineRule="auto"/>
        <w:rPr>
          <w:rFonts w:eastAsiaTheme="minorHAnsi"/>
          <w:szCs w:val="22"/>
          <w:lang w:val="es-419" w:eastAsia="en-US"/>
        </w:rPr>
      </w:pPr>
      <w:r w:rsidRPr="004A24E9">
        <w:rPr>
          <w:rFonts w:eastAsiaTheme="minorHAnsi"/>
          <w:color w:val="000000"/>
          <w:szCs w:val="22"/>
          <w:lang w:val="es-419" w:eastAsia="en-US"/>
        </w:rPr>
        <w:t xml:space="preserve">En primer lugar, se </w:t>
      </w:r>
      <w:r w:rsidR="00607292" w:rsidRPr="004A24E9">
        <w:rPr>
          <w:rFonts w:eastAsiaTheme="minorHAnsi"/>
          <w:color w:val="000000"/>
          <w:szCs w:val="22"/>
          <w:lang w:val="es-419" w:eastAsia="en-US"/>
        </w:rPr>
        <w:t>explica</w:t>
      </w:r>
      <w:r w:rsidRPr="004A24E9">
        <w:rPr>
          <w:rFonts w:eastAsiaTheme="minorHAnsi"/>
          <w:color w:val="000000"/>
          <w:szCs w:val="22"/>
          <w:lang w:val="es-419" w:eastAsia="en-US"/>
        </w:rPr>
        <w:t xml:space="preserve"> a los lectores cómo pueden surgir controversias en materia de PI en el contexto de las aplicaciones móviles, es decir, no solo en cuestiones relacionadas con el código de los programas informáticos integrados en las aplicaciones móviles, sino también en relación con el contenido de las aplicaciones móviles (por ejemplo, los elementos o el contenido de los medios de comunicación que una aplicación móvil puede incorporar).</w:t>
      </w:r>
      <w:r w:rsidR="009A4AD4" w:rsidRPr="004A24E9">
        <w:rPr>
          <w:rFonts w:eastAsiaTheme="minorHAnsi"/>
          <w:szCs w:val="22"/>
          <w:lang w:val="es-419" w:eastAsia="en-US"/>
        </w:rPr>
        <w:t xml:space="preserve"> </w:t>
      </w:r>
      <w:r w:rsidR="00622E44" w:rsidRPr="004A24E9">
        <w:rPr>
          <w:rFonts w:eastAsiaTheme="minorHAnsi"/>
          <w:color w:val="000000"/>
          <w:szCs w:val="22"/>
          <w:lang w:val="es-419" w:eastAsia="en-US"/>
        </w:rPr>
        <w:t>Así pues, los creadores de programas informáticos, los editores, los trabajadores por encargo, los artistas, los ilustradores, los músicos, y los escritores son partes interesadas en garantizar la protecci</w:t>
      </w:r>
      <w:r w:rsidR="00607292" w:rsidRPr="004A24E9">
        <w:rPr>
          <w:rFonts w:eastAsiaTheme="minorHAnsi"/>
          <w:color w:val="000000"/>
          <w:szCs w:val="22"/>
          <w:lang w:val="es-419" w:eastAsia="en-US"/>
        </w:rPr>
        <w:t xml:space="preserve">ón de sus derechos de PI </w:t>
      </w:r>
      <w:r w:rsidR="00622E44" w:rsidRPr="004A24E9">
        <w:rPr>
          <w:rFonts w:eastAsiaTheme="minorHAnsi"/>
          <w:color w:val="000000"/>
          <w:szCs w:val="22"/>
          <w:lang w:val="es-419" w:eastAsia="en-US"/>
        </w:rPr>
        <w:t xml:space="preserve">y, por consiguiente, deberían conocer los procedimientos </w:t>
      </w:r>
      <w:r w:rsidR="00102488" w:rsidRPr="004A24E9">
        <w:rPr>
          <w:rFonts w:eastAsiaTheme="minorHAnsi"/>
          <w:color w:val="000000"/>
          <w:szCs w:val="22"/>
          <w:lang w:val="es-419" w:eastAsia="en-US"/>
        </w:rPr>
        <w:t xml:space="preserve">de </w:t>
      </w:r>
      <w:r w:rsidR="00E56534" w:rsidRPr="004A24E9">
        <w:rPr>
          <w:rFonts w:eastAsiaTheme="minorHAnsi"/>
          <w:color w:val="000000"/>
          <w:szCs w:val="22"/>
          <w:lang w:val="es-419" w:eastAsia="en-US"/>
        </w:rPr>
        <w:t xml:space="preserve">ADR como una alternativa a los litigios tradicionales </w:t>
      </w:r>
      <w:r w:rsidR="00622E44" w:rsidRPr="004A24E9">
        <w:rPr>
          <w:rFonts w:eastAsiaTheme="minorHAnsi"/>
          <w:color w:val="000000"/>
          <w:szCs w:val="22"/>
          <w:lang w:val="es-419" w:eastAsia="en-US"/>
        </w:rPr>
        <w:t xml:space="preserve">para </w:t>
      </w:r>
      <w:r w:rsidR="00E56534" w:rsidRPr="004A24E9">
        <w:rPr>
          <w:rFonts w:eastAsiaTheme="minorHAnsi"/>
          <w:color w:val="000000"/>
          <w:szCs w:val="22"/>
          <w:lang w:val="es-419" w:eastAsia="en-US"/>
        </w:rPr>
        <w:t>hacer valer sus derechos de PI</w:t>
      </w:r>
      <w:r w:rsidR="00622E44" w:rsidRPr="004A24E9">
        <w:rPr>
          <w:rFonts w:eastAsiaTheme="minorHAnsi"/>
          <w:color w:val="000000"/>
          <w:szCs w:val="22"/>
          <w:lang w:val="es-419" w:eastAsia="en-US"/>
        </w:rPr>
        <w:t>.</w:t>
      </w:r>
    </w:p>
    <w:p w14:paraId="61BB1B3F" w14:textId="01C11DAB" w:rsidR="004E4373" w:rsidRPr="004A24E9" w:rsidRDefault="004E4373" w:rsidP="001C00F2">
      <w:pPr>
        <w:spacing w:line="276" w:lineRule="auto"/>
        <w:rPr>
          <w:rFonts w:eastAsiaTheme="minorHAnsi"/>
          <w:szCs w:val="22"/>
          <w:lang w:val="es-419" w:eastAsia="en-US"/>
        </w:rPr>
      </w:pPr>
    </w:p>
    <w:p w14:paraId="62767B97" w14:textId="6E505590" w:rsidR="009A4AD4" w:rsidRPr="004A24E9" w:rsidRDefault="00622E44" w:rsidP="00A42370">
      <w:pPr>
        <w:spacing w:line="276" w:lineRule="auto"/>
        <w:rPr>
          <w:rFonts w:eastAsiaTheme="minorHAnsi"/>
          <w:szCs w:val="22"/>
          <w:lang w:val="es-419" w:eastAsia="en-US"/>
        </w:rPr>
      </w:pPr>
      <w:r w:rsidRPr="004A24E9">
        <w:rPr>
          <w:rFonts w:eastAsiaTheme="minorHAnsi"/>
          <w:color w:val="000000"/>
          <w:szCs w:val="22"/>
          <w:lang w:val="es-419" w:eastAsia="en-US"/>
        </w:rPr>
        <w:t>A continuación, se analiza la idoneidad y las ventajas relativas de la ADR en el contexto de las aplicaciones móviles.</w:t>
      </w:r>
      <w:r w:rsidR="009A4AD4" w:rsidRPr="004A24E9">
        <w:rPr>
          <w:rFonts w:eastAsiaTheme="minorHAnsi"/>
          <w:szCs w:val="22"/>
          <w:lang w:val="es-419" w:eastAsia="en-US"/>
        </w:rPr>
        <w:t xml:space="preserve"> </w:t>
      </w:r>
      <w:r w:rsidR="00A42370" w:rsidRPr="004A24E9">
        <w:rPr>
          <w:rFonts w:eastAsiaTheme="minorHAnsi"/>
          <w:color w:val="000000"/>
          <w:szCs w:val="22"/>
          <w:lang w:val="es-419" w:eastAsia="en-US"/>
        </w:rPr>
        <w:t xml:space="preserve">Por ejemplo, el carácter consensual de la ADR permite una mayor flexibilidad en los procedimientos que se aplican, el acceso a </w:t>
      </w:r>
      <w:r w:rsidR="00984C0F" w:rsidRPr="004A24E9">
        <w:rPr>
          <w:rFonts w:eastAsiaTheme="minorHAnsi"/>
          <w:color w:val="000000"/>
          <w:szCs w:val="22"/>
          <w:lang w:val="es-419" w:eastAsia="en-US"/>
        </w:rPr>
        <w:t>intermediarios</w:t>
      </w:r>
      <w:r w:rsidR="00A42370" w:rsidRPr="004A24E9">
        <w:rPr>
          <w:rFonts w:eastAsiaTheme="minorHAnsi"/>
          <w:color w:val="000000"/>
          <w:szCs w:val="22"/>
          <w:lang w:val="es-419" w:eastAsia="en-US"/>
        </w:rPr>
        <w:t xml:space="preserve"> neutrales con los conocimientos técnicos pertinentes para abordar las cuestiones técnicas que caracterizan </w:t>
      </w:r>
      <w:r w:rsidR="00607292" w:rsidRPr="004A24E9">
        <w:rPr>
          <w:rFonts w:eastAsiaTheme="minorHAnsi"/>
          <w:color w:val="000000"/>
          <w:szCs w:val="22"/>
          <w:lang w:val="es-419" w:eastAsia="en-US"/>
        </w:rPr>
        <w:t xml:space="preserve">a </w:t>
      </w:r>
      <w:r w:rsidR="00A42370" w:rsidRPr="004A24E9">
        <w:rPr>
          <w:rFonts w:eastAsiaTheme="minorHAnsi"/>
          <w:color w:val="000000"/>
          <w:szCs w:val="22"/>
          <w:lang w:val="es-419" w:eastAsia="en-US"/>
        </w:rPr>
        <w:t xml:space="preserve">las controversias </w:t>
      </w:r>
      <w:r w:rsidR="00453FE0" w:rsidRPr="004A24E9">
        <w:rPr>
          <w:rFonts w:eastAsiaTheme="minorHAnsi"/>
          <w:color w:val="000000"/>
          <w:szCs w:val="22"/>
          <w:lang w:val="es-419" w:eastAsia="en-US"/>
        </w:rPr>
        <w:t>en el ámbito de las</w:t>
      </w:r>
      <w:r w:rsidR="00A42370" w:rsidRPr="004A24E9">
        <w:rPr>
          <w:rFonts w:eastAsiaTheme="minorHAnsi"/>
          <w:color w:val="000000"/>
          <w:szCs w:val="22"/>
          <w:lang w:val="es-419" w:eastAsia="en-US"/>
        </w:rPr>
        <w:t xml:space="preserve"> </w:t>
      </w:r>
      <w:r w:rsidR="00453FE0" w:rsidRPr="004A24E9">
        <w:rPr>
          <w:rFonts w:eastAsiaTheme="minorHAnsi"/>
          <w:color w:val="000000"/>
          <w:szCs w:val="22"/>
          <w:lang w:val="es-419" w:eastAsia="en-US"/>
        </w:rPr>
        <w:t>aplicaciones móviles, la mayor</w:t>
      </w:r>
      <w:r w:rsidR="00A42370" w:rsidRPr="004A24E9">
        <w:rPr>
          <w:rFonts w:eastAsiaTheme="minorHAnsi"/>
          <w:color w:val="000000"/>
          <w:szCs w:val="22"/>
          <w:lang w:val="es-419" w:eastAsia="en-US"/>
        </w:rPr>
        <w:t xml:space="preserve"> </w:t>
      </w:r>
      <w:r w:rsidR="00453FE0" w:rsidRPr="004A24E9">
        <w:rPr>
          <w:rFonts w:eastAsiaTheme="minorHAnsi"/>
          <w:color w:val="000000"/>
          <w:szCs w:val="22"/>
          <w:lang w:val="es-419" w:eastAsia="en-US"/>
        </w:rPr>
        <w:t>probabilidad</w:t>
      </w:r>
      <w:r w:rsidR="00A42370" w:rsidRPr="004A24E9">
        <w:rPr>
          <w:rFonts w:eastAsiaTheme="minorHAnsi"/>
          <w:color w:val="000000"/>
          <w:szCs w:val="22"/>
          <w:lang w:val="es-419" w:eastAsia="en-US"/>
        </w:rPr>
        <w:t xml:space="preserve"> de preservar la relación mercantil entre las partes, y el modo en que la ADR puede abordar controversias que conciernen a diferentes jurisdicciones en un mismo procedimiento y con un único resultado.</w:t>
      </w:r>
    </w:p>
    <w:p w14:paraId="4EF8F851" w14:textId="3C82013E" w:rsidR="004E4373" w:rsidRPr="004A24E9" w:rsidRDefault="004E4373" w:rsidP="001C00F2">
      <w:pPr>
        <w:spacing w:line="276" w:lineRule="auto"/>
        <w:rPr>
          <w:rFonts w:eastAsiaTheme="minorHAnsi"/>
          <w:szCs w:val="22"/>
          <w:lang w:val="es-419" w:eastAsia="en-US"/>
        </w:rPr>
      </w:pPr>
    </w:p>
    <w:p w14:paraId="0411A36F" w14:textId="6881BA5A" w:rsidR="004E4373" w:rsidRPr="004A24E9" w:rsidRDefault="0009703D" w:rsidP="0009703D">
      <w:pPr>
        <w:spacing w:line="276" w:lineRule="auto"/>
        <w:rPr>
          <w:rFonts w:eastAsiaTheme="minorHAnsi"/>
          <w:szCs w:val="22"/>
          <w:lang w:val="es-419" w:eastAsia="en-US"/>
        </w:rPr>
      </w:pPr>
      <w:r w:rsidRPr="004A24E9">
        <w:rPr>
          <w:rFonts w:eastAsiaTheme="minorHAnsi"/>
          <w:color w:val="000000"/>
          <w:szCs w:val="22"/>
          <w:lang w:val="es-419" w:eastAsia="en-US"/>
        </w:rPr>
        <w:t xml:space="preserve">Se brinda orientación sobre cómo decidir si optar por la ADR o por los procesos de litigación más tradicionales, atendiendo a factores como el riesgo de incongruencia entre las diversas resoluciones en controversias transfronterizas de carácter multidisciplinar, la necesidad de acceder a intermediarios neutrales con los conocimientos técnicos pertinentes, la posibilidad de que se perciba una ventaja sobre el terreno para alguna de las partes litigantes, la confidencialidad de los procedimientos, </w:t>
      </w:r>
      <w:r w:rsidR="00E56534" w:rsidRPr="004A24E9">
        <w:rPr>
          <w:rFonts w:eastAsiaTheme="minorHAnsi"/>
          <w:color w:val="000000"/>
          <w:szCs w:val="22"/>
          <w:lang w:val="es-419" w:eastAsia="en-US"/>
        </w:rPr>
        <w:t>la ejecución</w:t>
      </w:r>
      <w:r w:rsidRPr="004A24E9">
        <w:rPr>
          <w:rFonts w:eastAsiaTheme="minorHAnsi"/>
          <w:color w:val="000000"/>
          <w:szCs w:val="22"/>
          <w:lang w:val="es-419" w:eastAsia="en-US"/>
        </w:rPr>
        <w:t xml:space="preserve"> de los resultados y la inversión de recursos que se </w:t>
      </w:r>
      <w:r w:rsidR="00DC7EED" w:rsidRPr="004A24E9">
        <w:rPr>
          <w:rFonts w:eastAsiaTheme="minorHAnsi"/>
          <w:color w:val="000000"/>
          <w:szCs w:val="22"/>
          <w:lang w:val="es-419" w:eastAsia="en-US"/>
        </w:rPr>
        <w:t>deba</w:t>
      </w:r>
      <w:r w:rsidRPr="004A24E9">
        <w:rPr>
          <w:rFonts w:eastAsiaTheme="minorHAnsi"/>
          <w:color w:val="000000"/>
          <w:szCs w:val="22"/>
          <w:lang w:val="es-419" w:eastAsia="en-US"/>
        </w:rPr>
        <w:t xml:space="preserve"> realizar.</w:t>
      </w:r>
    </w:p>
    <w:p w14:paraId="33B79E42" w14:textId="77777777" w:rsidR="004E4373" w:rsidRPr="004A24E9" w:rsidRDefault="004E4373" w:rsidP="001C00F2">
      <w:pPr>
        <w:spacing w:line="276" w:lineRule="auto"/>
        <w:rPr>
          <w:rFonts w:eastAsiaTheme="minorHAnsi"/>
          <w:szCs w:val="22"/>
          <w:lang w:val="es-419" w:eastAsia="en-US"/>
        </w:rPr>
      </w:pPr>
    </w:p>
    <w:p w14:paraId="5FEED35B" w14:textId="45A13DFB" w:rsidR="004E4373" w:rsidRPr="004A24E9" w:rsidRDefault="00FE4FA6" w:rsidP="006A4A3C">
      <w:pPr>
        <w:spacing w:line="276" w:lineRule="auto"/>
        <w:rPr>
          <w:rFonts w:eastAsiaTheme="minorHAnsi"/>
          <w:szCs w:val="22"/>
          <w:lang w:val="es-419" w:eastAsia="en-US"/>
        </w:rPr>
      </w:pPr>
      <w:r w:rsidRPr="004A24E9">
        <w:rPr>
          <w:rFonts w:eastAsiaTheme="minorHAnsi"/>
          <w:color w:val="000000"/>
          <w:szCs w:val="22"/>
          <w:lang w:val="es-419" w:eastAsia="en-US"/>
        </w:rPr>
        <w:t xml:space="preserve">Se comparan y se analizan los tipos </w:t>
      </w:r>
      <w:r w:rsidR="006A4A3C" w:rsidRPr="004A24E9">
        <w:rPr>
          <w:rFonts w:eastAsiaTheme="minorHAnsi"/>
          <w:color w:val="000000"/>
          <w:szCs w:val="22"/>
          <w:lang w:val="es-419" w:eastAsia="en-US"/>
        </w:rPr>
        <w:t xml:space="preserve">tradicionales de ADR, a saber, la mediación y el arbitraje, con el fin de </w:t>
      </w:r>
      <w:r w:rsidRPr="004A24E9">
        <w:rPr>
          <w:rFonts w:eastAsiaTheme="minorHAnsi"/>
          <w:color w:val="000000"/>
          <w:szCs w:val="22"/>
          <w:lang w:val="es-419" w:eastAsia="en-US"/>
        </w:rPr>
        <w:t>explicar</w:t>
      </w:r>
      <w:r w:rsidR="006A4A3C" w:rsidRPr="004A24E9">
        <w:rPr>
          <w:rFonts w:eastAsiaTheme="minorHAnsi"/>
          <w:color w:val="000000"/>
          <w:szCs w:val="22"/>
          <w:lang w:val="es-419" w:eastAsia="en-US"/>
        </w:rPr>
        <w:t xml:space="preserve"> a los lectore</w:t>
      </w:r>
      <w:r w:rsidRPr="004A24E9">
        <w:rPr>
          <w:rFonts w:eastAsiaTheme="minorHAnsi"/>
          <w:color w:val="000000"/>
          <w:szCs w:val="22"/>
          <w:lang w:val="es-419" w:eastAsia="en-US"/>
        </w:rPr>
        <w:t>s de las diferencias entre ambos y</w:t>
      </w:r>
      <w:r w:rsidR="006A4A3C" w:rsidRPr="004A24E9">
        <w:rPr>
          <w:rFonts w:eastAsiaTheme="minorHAnsi"/>
          <w:color w:val="000000"/>
          <w:szCs w:val="22"/>
          <w:lang w:val="es-419" w:eastAsia="en-US"/>
        </w:rPr>
        <w:t xml:space="preserve"> su mayor o menor </w:t>
      </w:r>
      <w:r w:rsidR="006A4A3C" w:rsidRPr="004A24E9">
        <w:rPr>
          <w:rFonts w:eastAsiaTheme="minorHAnsi"/>
          <w:color w:val="000000"/>
          <w:szCs w:val="22"/>
          <w:lang w:val="es-419" w:eastAsia="en-US"/>
        </w:rPr>
        <w:lastRenderedPageBreak/>
        <w:t xml:space="preserve">idoneidad en </w:t>
      </w:r>
      <w:r w:rsidRPr="004A24E9">
        <w:rPr>
          <w:rFonts w:eastAsiaTheme="minorHAnsi"/>
          <w:color w:val="000000"/>
          <w:szCs w:val="22"/>
          <w:lang w:val="es-419" w:eastAsia="en-US"/>
        </w:rPr>
        <w:t xml:space="preserve">función de </w:t>
      </w:r>
      <w:r w:rsidR="006A4A3C" w:rsidRPr="004A24E9">
        <w:rPr>
          <w:rFonts w:eastAsiaTheme="minorHAnsi"/>
          <w:color w:val="000000"/>
          <w:szCs w:val="22"/>
          <w:lang w:val="es-419" w:eastAsia="en-US"/>
        </w:rPr>
        <w:t>cada caso.</w:t>
      </w:r>
      <w:r w:rsidR="009A4AD4" w:rsidRPr="004A24E9">
        <w:rPr>
          <w:rFonts w:eastAsiaTheme="minorHAnsi"/>
          <w:color w:val="000000"/>
          <w:szCs w:val="22"/>
          <w:lang w:val="es-419" w:eastAsia="en-US"/>
        </w:rPr>
        <w:t xml:space="preserve"> </w:t>
      </w:r>
      <w:r w:rsidR="006A4A3C" w:rsidRPr="004A24E9">
        <w:rPr>
          <w:rFonts w:eastAsiaTheme="minorHAnsi"/>
          <w:color w:val="000000"/>
          <w:szCs w:val="22"/>
          <w:lang w:val="es-419" w:eastAsia="en-US"/>
        </w:rPr>
        <w:t>Tambi</w:t>
      </w:r>
      <w:r w:rsidRPr="004A24E9">
        <w:rPr>
          <w:rFonts w:eastAsiaTheme="minorHAnsi"/>
          <w:color w:val="000000"/>
          <w:szCs w:val="22"/>
          <w:lang w:val="es-419" w:eastAsia="en-US"/>
        </w:rPr>
        <w:t>én se presentan otros tipos</w:t>
      </w:r>
      <w:r w:rsidR="006A4A3C" w:rsidRPr="004A24E9">
        <w:rPr>
          <w:rFonts w:eastAsiaTheme="minorHAnsi"/>
          <w:color w:val="000000"/>
          <w:szCs w:val="22"/>
          <w:lang w:val="es-419" w:eastAsia="en-US"/>
        </w:rPr>
        <w:t>, como la mediación seguida de arbitraje ("mediación-arbitraje") y la mediación durante el arbitraje.</w:t>
      </w:r>
    </w:p>
    <w:p w14:paraId="682F22D9" w14:textId="77777777" w:rsidR="004E4373" w:rsidRPr="004A24E9" w:rsidRDefault="004E4373" w:rsidP="001C00F2">
      <w:pPr>
        <w:spacing w:line="276" w:lineRule="auto"/>
        <w:rPr>
          <w:rFonts w:eastAsiaTheme="minorHAnsi"/>
          <w:szCs w:val="22"/>
          <w:lang w:val="es-419" w:eastAsia="en-US"/>
        </w:rPr>
      </w:pPr>
    </w:p>
    <w:p w14:paraId="5BB4833E" w14:textId="7CE62752" w:rsidR="004E4373" w:rsidRPr="004A24E9" w:rsidRDefault="004E4373" w:rsidP="00F87292">
      <w:pPr>
        <w:spacing w:line="276" w:lineRule="auto"/>
        <w:rPr>
          <w:rFonts w:eastAsiaTheme="minorHAnsi"/>
          <w:szCs w:val="22"/>
          <w:lang w:val="es-419" w:eastAsia="en-US"/>
        </w:rPr>
      </w:pPr>
      <w:r w:rsidRPr="004A24E9">
        <w:rPr>
          <w:rFonts w:eastAsiaTheme="minorHAnsi"/>
          <w:color w:val="000000"/>
          <w:szCs w:val="22"/>
          <w:lang w:val="es-419" w:eastAsia="en-US"/>
        </w:rPr>
        <w:t xml:space="preserve">A continuación, la Guía presenta los servicios de ADR </w:t>
      </w:r>
      <w:r w:rsidR="002B34CA" w:rsidRPr="004A24E9">
        <w:rPr>
          <w:rFonts w:eastAsiaTheme="minorHAnsi"/>
          <w:color w:val="000000"/>
          <w:szCs w:val="22"/>
          <w:lang w:val="es-419" w:eastAsia="en-US"/>
        </w:rPr>
        <w:t xml:space="preserve">que presta </w:t>
      </w:r>
      <w:r w:rsidR="00FE4FA6" w:rsidRPr="004A24E9">
        <w:rPr>
          <w:rFonts w:eastAsiaTheme="minorHAnsi"/>
          <w:color w:val="000000"/>
          <w:szCs w:val="22"/>
          <w:lang w:val="es-419" w:eastAsia="en-US"/>
        </w:rPr>
        <w:t>la OMPI</w:t>
      </w:r>
      <w:r w:rsidRPr="004A24E9">
        <w:rPr>
          <w:rFonts w:eastAsiaTheme="minorHAnsi"/>
          <w:color w:val="000000"/>
          <w:szCs w:val="22"/>
          <w:lang w:val="es-419" w:eastAsia="en-US"/>
        </w:rPr>
        <w:t xml:space="preserve"> como una opción neutral y rentable que los litigantes pueden </w:t>
      </w:r>
      <w:r w:rsidR="00FE4FA6" w:rsidRPr="004A24E9">
        <w:rPr>
          <w:rFonts w:eastAsiaTheme="minorHAnsi"/>
          <w:color w:val="000000"/>
          <w:szCs w:val="22"/>
          <w:lang w:val="es-419" w:eastAsia="en-US"/>
        </w:rPr>
        <w:t>contemplar</w:t>
      </w:r>
      <w:r w:rsidRPr="004A24E9">
        <w:rPr>
          <w:rFonts w:eastAsiaTheme="minorHAnsi"/>
          <w:color w:val="000000"/>
          <w:szCs w:val="22"/>
          <w:lang w:val="es-419" w:eastAsia="en-US"/>
        </w:rPr>
        <w:t>.</w:t>
      </w:r>
      <w:r w:rsidR="009A4AD4" w:rsidRPr="004A24E9">
        <w:rPr>
          <w:rFonts w:eastAsiaTheme="minorHAnsi"/>
          <w:color w:val="000000"/>
          <w:szCs w:val="22"/>
          <w:lang w:val="es-419" w:eastAsia="en-US"/>
        </w:rPr>
        <w:t xml:space="preserve"> </w:t>
      </w:r>
      <w:r w:rsidR="00F87292" w:rsidRPr="004A24E9">
        <w:rPr>
          <w:rFonts w:eastAsiaTheme="minorHAnsi"/>
          <w:color w:val="000000"/>
          <w:szCs w:val="22"/>
          <w:lang w:val="es-419" w:eastAsia="en-US"/>
        </w:rPr>
        <w:t xml:space="preserve">Asimismo, </w:t>
      </w:r>
      <w:r w:rsidR="00FE4FA6" w:rsidRPr="004A24E9">
        <w:rPr>
          <w:rFonts w:eastAsiaTheme="minorHAnsi"/>
          <w:color w:val="000000"/>
          <w:szCs w:val="22"/>
          <w:lang w:val="es-419" w:eastAsia="en-US"/>
        </w:rPr>
        <w:t>explica</w:t>
      </w:r>
      <w:r w:rsidR="00F87292" w:rsidRPr="004A24E9">
        <w:rPr>
          <w:rFonts w:eastAsiaTheme="minorHAnsi"/>
          <w:color w:val="000000"/>
          <w:szCs w:val="22"/>
          <w:lang w:val="es-419" w:eastAsia="en-US"/>
        </w:rPr>
        <w:t xml:space="preserve"> las ventajas de que un </w:t>
      </w:r>
      <w:r w:rsidR="00FE4FA6" w:rsidRPr="004A24E9">
        <w:rPr>
          <w:rFonts w:eastAsiaTheme="minorHAnsi"/>
          <w:color w:val="000000"/>
          <w:szCs w:val="22"/>
          <w:lang w:val="es-419" w:eastAsia="en-US"/>
        </w:rPr>
        <w:t>procedimiento</w:t>
      </w:r>
      <w:r w:rsidR="00F87292" w:rsidRPr="004A24E9">
        <w:rPr>
          <w:rFonts w:eastAsiaTheme="minorHAnsi"/>
          <w:color w:val="000000"/>
          <w:szCs w:val="22"/>
          <w:lang w:val="es-419" w:eastAsia="en-US"/>
        </w:rPr>
        <w:t xml:space="preserve"> de ADR sea administrado por una institución de renombre, como el Centro de Arbitraje y Mediación de la OMPI, entre las que cabe citar la costoeficacia, el apoyo tecnológico, la experiencia y los conocimientos técnicos.</w:t>
      </w:r>
    </w:p>
    <w:p w14:paraId="371BD750" w14:textId="77777777" w:rsidR="004E4373" w:rsidRPr="004A24E9" w:rsidRDefault="004E4373" w:rsidP="001C00F2">
      <w:pPr>
        <w:spacing w:line="276" w:lineRule="auto"/>
        <w:rPr>
          <w:rFonts w:eastAsiaTheme="minorHAnsi"/>
          <w:szCs w:val="22"/>
          <w:lang w:val="es-419" w:eastAsia="en-US"/>
        </w:rPr>
      </w:pPr>
    </w:p>
    <w:p w14:paraId="4611EB99" w14:textId="1A14C5A1" w:rsidR="009A4AD4" w:rsidRPr="004A24E9" w:rsidRDefault="00F87292" w:rsidP="00F87292">
      <w:pPr>
        <w:spacing w:line="276" w:lineRule="auto"/>
        <w:rPr>
          <w:rFonts w:eastAsiaTheme="minorHAnsi"/>
          <w:szCs w:val="22"/>
          <w:lang w:val="es-419" w:eastAsia="en-US"/>
        </w:rPr>
      </w:pPr>
      <w:r w:rsidRPr="004A24E9">
        <w:rPr>
          <w:rFonts w:eastAsiaTheme="minorHAnsi"/>
          <w:color w:val="000000"/>
          <w:szCs w:val="22"/>
          <w:lang w:val="es-419" w:eastAsia="en-US"/>
        </w:rPr>
        <w:t xml:space="preserve">En la Parte II, se presentan consideraciones prácticas en los </w:t>
      </w:r>
      <w:r w:rsidR="00FE4FA6" w:rsidRPr="004A24E9">
        <w:rPr>
          <w:rFonts w:eastAsiaTheme="minorHAnsi"/>
          <w:color w:val="000000"/>
          <w:szCs w:val="22"/>
          <w:lang w:val="es-419" w:eastAsia="en-US"/>
        </w:rPr>
        <w:t>procedimientos</w:t>
      </w:r>
      <w:r w:rsidRPr="004A24E9">
        <w:rPr>
          <w:rFonts w:eastAsiaTheme="minorHAnsi"/>
          <w:color w:val="000000"/>
          <w:szCs w:val="22"/>
          <w:lang w:val="es-419" w:eastAsia="en-US"/>
        </w:rPr>
        <w:t xml:space="preserve"> de ADR </w:t>
      </w:r>
      <w:r w:rsidR="00FE4FA6" w:rsidRPr="004A24E9">
        <w:rPr>
          <w:rFonts w:eastAsiaTheme="minorHAnsi"/>
          <w:color w:val="000000"/>
          <w:szCs w:val="22"/>
          <w:lang w:val="es-419" w:eastAsia="en-US"/>
        </w:rPr>
        <w:t xml:space="preserve">relativos a </w:t>
      </w:r>
      <w:r w:rsidRPr="004A24E9">
        <w:rPr>
          <w:rFonts w:eastAsiaTheme="minorHAnsi"/>
          <w:color w:val="000000"/>
          <w:szCs w:val="22"/>
          <w:lang w:val="es-419" w:eastAsia="en-US"/>
        </w:rPr>
        <w:t>aplicaciones móviles</w:t>
      </w:r>
      <w:r w:rsidR="009A4AD4" w:rsidRPr="004A24E9">
        <w:rPr>
          <w:rFonts w:eastAsiaTheme="minorHAnsi"/>
          <w:color w:val="000000"/>
          <w:szCs w:val="22"/>
          <w:lang w:val="es-419" w:eastAsia="en-US"/>
        </w:rPr>
        <w:t>.</w:t>
      </w:r>
    </w:p>
    <w:p w14:paraId="2BF0680D" w14:textId="599F0F11" w:rsidR="004E4373" w:rsidRPr="004A24E9" w:rsidRDefault="004E4373" w:rsidP="001C00F2">
      <w:pPr>
        <w:spacing w:line="276" w:lineRule="auto"/>
        <w:rPr>
          <w:rFonts w:eastAsiaTheme="minorHAnsi"/>
          <w:szCs w:val="22"/>
          <w:lang w:val="es-419" w:eastAsia="en-US"/>
        </w:rPr>
      </w:pPr>
    </w:p>
    <w:p w14:paraId="594279E6" w14:textId="589C1933" w:rsidR="009A4AD4" w:rsidRPr="004A24E9" w:rsidRDefault="003214DD" w:rsidP="00102488">
      <w:pPr>
        <w:spacing w:line="276" w:lineRule="auto"/>
        <w:rPr>
          <w:rFonts w:eastAsiaTheme="minorHAnsi"/>
          <w:szCs w:val="22"/>
          <w:lang w:val="es-419" w:eastAsia="en-US"/>
        </w:rPr>
      </w:pPr>
      <w:r w:rsidRPr="004A24E9">
        <w:rPr>
          <w:rFonts w:eastAsiaTheme="minorHAnsi"/>
          <w:color w:val="000000"/>
          <w:szCs w:val="22"/>
          <w:lang w:val="es-419" w:eastAsia="en-US"/>
        </w:rPr>
        <w:t xml:space="preserve">Se explica a los </w:t>
      </w:r>
      <w:r w:rsidR="001F7A22" w:rsidRPr="004A24E9">
        <w:rPr>
          <w:rFonts w:eastAsiaTheme="minorHAnsi"/>
          <w:color w:val="000000"/>
          <w:szCs w:val="22"/>
          <w:lang w:val="es-419" w:eastAsia="en-US"/>
        </w:rPr>
        <w:t>lectores qué cabe esperar</w:t>
      </w:r>
      <w:r w:rsidRPr="004A24E9">
        <w:rPr>
          <w:rFonts w:eastAsiaTheme="minorHAnsi"/>
          <w:color w:val="000000"/>
          <w:szCs w:val="22"/>
          <w:lang w:val="es-419" w:eastAsia="en-US"/>
        </w:rPr>
        <w:t xml:space="preserve"> de un </w:t>
      </w:r>
      <w:r w:rsidR="00FE4FA6" w:rsidRPr="004A24E9">
        <w:rPr>
          <w:rFonts w:eastAsiaTheme="minorHAnsi"/>
          <w:color w:val="000000"/>
          <w:szCs w:val="22"/>
          <w:lang w:val="es-419" w:eastAsia="en-US"/>
        </w:rPr>
        <w:t>p</w:t>
      </w:r>
      <w:r w:rsidR="001F7A22" w:rsidRPr="004A24E9">
        <w:rPr>
          <w:rFonts w:eastAsiaTheme="minorHAnsi"/>
          <w:color w:val="000000"/>
          <w:szCs w:val="22"/>
          <w:lang w:val="es-419" w:eastAsia="en-US"/>
        </w:rPr>
        <w:t>rocedimiento</w:t>
      </w:r>
      <w:r w:rsidR="00FE4FA6" w:rsidRPr="004A24E9">
        <w:rPr>
          <w:rFonts w:eastAsiaTheme="minorHAnsi"/>
          <w:color w:val="000000"/>
          <w:szCs w:val="22"/>
          <w:lang w:val="es-419" w:eastAsia="en-US"/>
        </w:rPr>
        <w:t xml:space="preserve"> </w:t>
      </w:r>
      <w:r w:rsidRPr="004A24E9">
        <w:rPr>
          <w:rFonts w:eastAsiaTheme="minorHAnsi"/>
          <w:color w:val="000000"/>
          <w:szCs w:val="22"/>
          <w:lang w:val="es-419" w:eastAsia="en-US"/>
        </w:rPr>
        <w:t xml:space="preserve">de ADR, tanto en lo que respecta a cuestiones </w:t>
      </w:r>
      <w:r w:rsidR="002A7968" w:rsidRPr="004A24E9">
        <w:rPr>
          <w:rFonts w:eastAsiaTheme="minorHAnsi"/>
          <w:color w:val="000000"/>
          <w:szCs w:val="22"/>
          <w:lang w:val="es-419" w:eastAsia="en-US"/>
        </w:rPr>
        <w:t>legales</w:t>
      </w:r>
      <w:r w:rsidRPr="004A24E9">
        <w:rPr>
          <w:rFonts w:eastAsiaTheme="minorHAnsi"/>
          <w:color w:val="000000"/>
          <w:szCs w:val="22"/>
          <w:lang w:val="es-419" w:eastAsia="en-US"/>
        </w:rPr>
        <w:t xml:space="preserve"> </w:t>
      </w:r>
      <w:r w:rsidR="00E56534" w:rsidRPr="004A24E9">
        <w:rPr>
          <w:rFonts w:eastAsiaTheme="minorHAnsi"/>
          <w:color w:val="000000"/>
          <w:szCs w:val="22"/>
          <w:lang w:val="es-419" w:eastAsia="en-US"/>
        </w:rPr>
        <w:t>básicas</w:t>
      </w:r>
      <w:r w:rsidRPr="004A24E9">
        <w:rPr>
          <w:rFonts w:eastAsiaTheme="minorHAnsi"/>
          <w:color w:val="000000"/>
          <w:szCs w:val="22"/>
          <w:lang w:val="es-419" w:eastAsia="en-US"/>
        </w:rPr>
        <w:t xml:space="preserve">, como el reconocimiento de los resultados de la ADR y los acuerdos de mediación/arbitraje, y a la arbitrabilidad del objeto de la controversia, </w:t>
      </w:r>
      <w:r w:rsidR="001F7A22" w:rsidRPr="004A24E9">
        <w:rPr>
          <w:rFonts w:eastAsiaTheme="minorHAnsi"/>
          <w:color w:val="000000"/>
          <w:szCs w:val="22"/>
          <w:lang w:val="es-419" w:eastAsia="en-US"/>
        </w:rPr>
        <w:t>así como</w:t>
      </w:r>
      <w:r w:rsidRPr="004A24E9">
        <w:rPr>
          <w:rFonts w:eastAsiaTheme="minorHAnsi"/>
          <w:color w:val="000000"/>
          <w:szCs w:val="22"/>
          <w:lang w:val="es-419" w:eastAsia="en-US"/>
        </w:rPr>
        <w:t xml:space="preserve"> a las fases del procedimiento que cabe prever en los procedimientos de mediación y arbitraje</w:t>
      </w:r>
      <w:r w:rsidR="009A4AD4" w:rsidRPr="004A24E9">
        <w:rPr>
          <w:rFonts w:eastAsiaTheme="minorHAnsi"/>
          <w:szCs w:val="22"/>
          <w:lang w:val="es-419" w:eastAsia="en-US"/>
        </w:rPr>
        <w:t xml:space="preserve"> </w:t>
      </w:r>
      <w:r w:rsidR="00102488" w:rsidRPr="004A24E9">
        <w:rPr>
          <w:rFonts w:eastAsiaTheme="minorHAnsi"/>
          <w:color w:val="000000"/>
          <w:szCs w:val="22"/>
          <w:lang w:val="es-419" w:eastAsia="en-US"/>
        </w:rPr>
        <w:t>También se analizan las opciones de las medidas cautelares, el arbitraje acelerado y la decisión de experto.</w:t>
      </w:r>
    </w:p>
    <w:p w14:paraId="5E50DDF0" w14:textId="3888200E" w:rsidR="004E4373" w:rsidRPr="004A24E9" w:rsidRDefault="004E4373" w:rsidP="001C00F2">
      <w:pPr>
        <w:spacing w:line="276" w:lineRule="auto"/>
        <w:rPr>
          <w:rFonts w:eastAsiaTheme="minorHAnsi"/>
          <w:szCs w:val="22"/>
          <w:lang w:val="es-419" w:eastAsia="en-US"/>
        </w:rPr>
      </w:pPr>
    </w:p>
    <w:p w14:paraId="7187BA79" w14:textId="3A5AEEA9" w:rsidR="009A4AD4" w:rsidRPr="004A24E9" w:rsidRDefault="00F26F4B" w:rsidP="00F26F4B">
      <w:pPr>
        <w:spacing w:line="276" w:lineRule="auto"/>
        <w:rPr>
          <w:rFonts w:eastAsiaTheme="minorHAnsi"/>
          <w:color w:val="000000"/>
          <w:szCs w:val="22"/>
          <w:lang w:val="es-419" w:eastAsia="en-US"/>
        </w:rPr>
      </w:pPr>
      <w:r w:rsidRPr="004A24E9">
        <w:rPr>
          <w:rFonts w:eastAsiaTheme="minorHAnsi"/>
          <w:color w:val="000000"/>
          <w:szCs w:val="22"/>
          <w:lang w:val="es-419" w:eastAsia="en-US"/>
        </w:rPr>
        <w:t>A continuación, la Guía examina cuestiones prácticas relativas a resultados de procedimientos internacionales de ADR, como los marcos internacionales para el reconocimiento/la ejecución de acuerdos de mediación en virtu</w:t>
      </w:r>
      <w:r w:rsidR="00B359F8" w:rsidRPr="004A24E9">
        <w:rPr>
          <w:rFonts w:eastAsiaTheme="minorHAnsi"/>
          <w:color w:val="000000"/>
          <w:szCs w:val="22"/>
          <w:lang w:val="es-419" w:eastAsia="en-US"/>
        </w:rPr>
        <w:t xml:space="preserve">d de la Convención de Singapur </w:t>
      </w:r>
      <w:r w:rsidRPr="004A24E9">
        <w:rPr>
          <w:rFonts w:eastAsiaTheme="minorHAnsi"/>
          <w:color w:val="000000"/>
          <w:szCs w:val="22"/>
          <w:lang w:val="es-419" w:eastAsia="en-US"/>
        </w:rPr>
        <w:t>y el reconocimiento/la ejecución de laudos arbitrales en virtud de la Convención de Nueva York.</w:t>
      </w:r>
      <w:r w:rsidR="009A4AD4" w:rsidRPr="004A24E9">
        <w:rPr>
          <w:rFonts w:eastAsiaTheme="minorHAnsi"/>
          <w:color w:val="000000"/>
          <w:szCs w:val="22"/>
          <w:lang w:val="es-419" w:eastAsia="en-US"/>
        </w:rPr>
        <w:t xml:space="preserve"> </w:t>
      </w:r>
      <w:r w:rsidRPr="004A24E9">
        <w:rPr>
          <w:rFonts w:eastAsiaTheme="minorHAnsi"/>
          <w:color w:val="000000"/>
          <w:szCs w:val="22"/>
          <w:lang w:val="es-419" w:eastAsia="en-US"/>
        </w:rPr>
        <w:t>También se analizan las condiciones más frecuentes para dicho reconocimiento o dicha ejecución, respectivamente.</w:t>
      </w:r>
    </w:p>
    <w:p w14:paraId="14E7F66B" w14:textId="664B4AF6" w:rsidR="004E4373" w:rsidRPr="004A24E9" w:rsidRDefault="004E4373" w:rsidP="001C00F2">
      <w:pPr>
        <w:spacing w:line="276" w:lineRule="auto"/>
        <w:rPr>
          <w:rFonts w:eastAsiaTheme="minorHAnsi"/>
          <w:szCs w:val="22"/>
          <w:lang w:val="es-419" w:eastAsia="en-US"/>
        </w:rPr>
      </w:pPr>
    </w:p>
    <w:p w14:paraId="6D2DBA21" w14:textId="15ABD8C0" w:rsidR="004E4373" w:rsidRPr="004A24E9" w:rsidRDefault="00BF37CF" w:rsidP="00BF37CF">
      <w:pPr>
        <w:spacing w:line="276" w:lineRule="auto"/>
        <w:rPr>
          <w:rFonts w:eastAsiaTheme="minorHAnsi"/>
          <w:szCs w:val="22"/>
          <w:lang w:val="es-419" w:eastAsia="en-US"/>
        </w:rPr>
      </w:pPr>
      <w:r w:rsidRPr="004A24E9">
        <w:rPr>
          <w:rFonts w:eastAsiaTheme="minorHAnsi"/>
          <w:color w:val="000000"/>
          <w:szCs w:val="22"/>
          <w:lang w:val="es-419" w:eastAsia="en-US"/>
        </w:rPr>
        <w:t>En el siguiente capítulo</w:t>
      </w:r>
      <w:r w:rsidR="00B359F8" w:rsidRPr="004A24E9">
        <w:rPr>
          <w:rFonts w:eastAsiaTheme="minorHAnsi"/>
          <w:color w:val="000000"/>
          <w:szCs w:val="22"/>
          <w:lang w:val="es-419" w:eastAsia="en-US"/>
        </w:rPr>
        <w:t>,</w:t>
      </w:r>
      <w:r w:rsidRPr="004A24E9">
        <w:rPr>
          <w:rFonts w:eastAsiaTheme="minorHAnsi"/>
          <w:color w:val="000000"/>
          <w:szCs w:val="22"/>
          <w:lang w:val="es-419" w:eastAsia="en-US"/>
        </w:rPr>
        <w:t xml:space="preserve"> se analizan más a fondo otras cuestiones prácticas de la ADR, en particular, la confidencialidad en los </w:t>
      </w:r>
      <w:r w:rsidR="009A4AD4" w:rsidRPr="004A24E9">
        <w:rPr>
          <w:rFonts w:eastAsiaTheme="minorHAnsi"/>
          <w:color w:val="000000"/>
          <w:szCs w:val="22"/>
          <w:lang w:val="es-419" w:eastAsia="en-US"/>
        </w:rPr>
        <w:t>procedimientos</w:t>
      </w:r>
      <w:r w:rsidRPr="004A24E9">
        <w:rPr>
          <w:rFonts w:eastAsiaTheme="minorHAnsi"/>
          <w:color w:val="000000"/>
          <w:szCs w:val="22"/>
          <w:lang w:val="es-419" w:eastAsia="en-US"/>
        </w:rPr>
        <w:t xml:space="preserve"> de mediación y los </w:t>
      </w:r>
      <w:r w:rsidR="00FE4FA6" w:rsidRPr="004A24E9">
        <w:rPr>
          <w:rFonts w:eastAsiaTheme="minorHAnsi"/>
          <w:color w:val="000000"/>
          <w:szCs w:val="22"/>
          <w:lang w:val="es-419" w:eastAsia="en-US"/>
        </w:rPr>
        <w:t xml:space="preserve">procedimientos </w:t>
      </w:r>
      <w:r w:rsidR="00B359F8" w:rsidRPr="004A24E9">
        <w:rPr>
          <w:rFonts w:eastAsiaTheme="minorHAnsi"/>
          <w:color w:val="000000"/>
          <w:szCs w:val="22"/>
          <w:lang w:val="es-419" w:eastAsia="en-US"/>
        </w:rPr>
        <w:t>de arbitraje, dado que</w:t>
      </w:r>
      <w:r w:rsidRPr="004A24E9">
        <w:rPr>
          <w:rFonts w:eastAsiaTheme="minorHAnsi"/>
          <w:color w:val="000000"/>
          <w:szCs w:val="22"/>
          <w:lang w:val="es-419" w:eastAsia="en-US"/>
        </w:rPr>
        <w:t xml:space="preserve"> este suele ser un tema de gran preocupación para los litigantes, así como la incorporación de terceras partes y la consolidación de los procedimientos, y los plazos de prescripción.</w:t>
      </w:r>
    </w:p>
    <w:p w14:paraId="0E4A87DE" w14:textId="77777777" w:rsidR="004E4373" w:rsidRPr="004A24E9" w:rsidRDefault="004E4373" w:rsidP="001C00F2">
      <w:pPr>
        <w:spacing w:line="276" w:lineRule="auto"/>
        <w:rPr>
          <w:rFonts w:eastAsiaTheme="minorHAnsi"/>
          <w:szCs w:val="22"/>
          <w:lang w:val="es-419" w:eastAsia="en-US"/>
        </w:rPr>
      </w:pPr>
    </w:p>
    <w:p w14:paraId="42F7C8FD" w14:textId="6DE4B3CD" w:rsidR="004E4373" w:rsidRPr="004A24E9" w:rsidRDefault="002E24E2" w:rsidP="00E92E2E">
      <w:pPr>
        <w:spacing w:line="276" w:lineRule="auto"/>
        <w:rPr>
          <w:rFonts w:eastAsiaTheme="minorHAnsi"/>
          <w:szCs w:val="22"/>
          <w:lang w:val="es-419" w:eastAsia="en-US"/>
        </w:rPr>
      </w:pPr>
      <w:r w:rsidRPr="004A24E9">
        <w:rPr>
          <w:rFonts w:eastAsiaTheme="minorHAnsi"/>
          <w:color w:val="000000"/>
          <w:szCs w:val="22"/>
          <w:lang w:val="es-419" w:eastAsia="en-US"/>
        </w:rPr>
        <w:t xml:space="preserve">Por último, se analizan consideraciones y cuestiones específicas sobre la redacción de cláusulas contractuales de ADR y acuerdos de sometimiento, y se señalan conceptos clave, como la separabilidad de los acuerdos de ADR y la autonomía de las partes, así como elementos clave de los acuerdos de ADR para evitar la incertidumbre, como el alcance del acuerdo de ADR, si debe ser </w:t>
      </w:r>
      <w:r w:rsidRPr="004A24E9">
        <w:rPr>
          <w:rFonts w:eastAsiaTheme="minorHAnsi"/>
          <w:i/>
          <w:color w:val="000000"/>
          <w:szCs w:val="22"/>
          <w:lang w:val="es-419" w:eastAsia="en-US"/>
        </w:rPr>
        <w:t>ad hoc</w:t>
      </w:r>
      <w:r w:rsidRPr="004A24E9">
        <w:rPr>
          <w:rFonts w:eastAsiaTheme="minorHAnsi"/>
          <w:color w:val="000000"/>
          <w:szCs w:val="22"/>
          <w:lang w:val="es-419" w:eastAsia="en-US"/>
        </w:rPr>
        <w:t xml:space="preserve"> o institucional, el lugar o la sede de celebración, la legislación aplicable, la designación de uno o varios intermediarios neutrales y la irrevocabilidad</w:t>
      </w:r>
      <w:r w:rsidR="009A4AD4" w:rsidRPr="004A24E9">
        <w:rPr>
          <w:rFonts w:eastAsiaTheme="minorHAnsi"/>
          <w:color w:val="000000"/>
          <w:szCs w:val="22"/>
          <w:lang w:val="es-419" w:eastAsia="en-US"/>
        </w:rPr>
        <w:t xml:space="preserve"> </w:t>
      </w:r>
      <w:r w:rsidRPr="004A24E9">
        <w:rPr>
          <w:rFonts w:eastAsiaTheme="minorHAnsi"/>
          <w:color w:val="000000"/>
          <w:szCs w:val="22"/>
          <w:lang w:val="es-419" w:eastAsia="en-US"/>
        </w:rPr>
        <w:t>de los resultados.</w:t>
      </w:r>
      <w:r w:rsidR="009A4AD4" w:rsidRPr="004A24E9">
        <w:rPr>
          <w:rFonts w:eastAsiaTheme="minorHAnsi"/>
          <w:szCs w:val="22"/>
          <w:lang w:val="es-419" w:eastAsia="en-US"/>
        </w:rPr>
        <w:t xml:space="preserve"> </w:t>
      </w:r>
      <w:r w:rsidR="00E92E2E" w:rsidRPr="004A24E9">
        <w:rPr>
          <w:rFonts w:eastAsiaTheme="minorHAnsi"/>
          <w:color w:val="000000"/>
          <w:szCs w:val="22"/>
          <w:lang w:val="es-419" w:eastAsia="en-US"/>
        </w:rPr>
        <w:t>Se analizan las cláusulas de ADR en varios niveles, así como la disponibilidad de clá</w:t>
      </w:r>
      <w:r w:rsidR="003668F0" w:rsidRPr="004A24E9">
        <w:rPr>
          <w:rFonts w:eastAsiaTheme="minorHAnsi"/>
          <w:color w:val="000000"/>
          <w:szCs w:val="22"/>
          <w:lang w:val="es-419" w:eastAsia="en-US"/>
        </w:rPr>
        <w:t>usulas modelo en varios idiomas</w:t>
      </w:r>
      <w:r w:rsidR="00E92E2E" w:rsidRPr="004A24E9">
        <w:rPr>
          <w:rFonts w:eastAsiaTheme="minorHAnsi"/>
          <w:color w:val="000000"/>
          <w:szCs w:val="22"/>
          <w:lang w:val="es-419" w:eastAsia="en-US"/>
        </w:rPr>
        <w:t xml:space="preserve"> y las herramientas de generación d</w:t>
      </w:r>
      <w:r w:rsidR="009A4AD4" w:rsidRPr="004A24E9">
        <w:rPr>
          <w:rFonts w:eastAsiaTheme="minorHAnsi"/>
          <w:color w:val="000000"/>
          <w:szCs w:val="22"/>
          <w:lang w:val="es-419" w:eastAsia="en-US"/>
        </w:rPr>
        <w:t>e cláusulas que ofrece la OMPI.</w:t>
      </w:r>
    </w:p>
    <w:p w14:paraId="36E6727E" w14:textId="77777777" w:rsidR="004E4373" w:rsidRPr="004A24E9" w:rsidRDefault="004E4373" w:rsidP="001C00F2">
      <w:pPr>
        <w:spacing w:line="276" w:lineRule="auto"/>
        <w:rPr>
          <w:rFonts w:eastAsiaTheme="minorHAnsi"/>
          <w:szCs w:val="22"/>
          <w:lang w:val="es-419" w:eastAsia="en-US"/>
        </w:rPr>
      </w:pPr>
    </w:p>
    <w:p w14:paraId="774D20C8" w14:textId="42202016" w:rsidR="004E4373" w:rsidRPr="004A24E9" w:rsidRDefault="0073521A" w:rsidP="004870B9">
      <w:pPr>
        <w:spacing w:line="276" w:lineRule="auto"/>
        <w:rPr>
          <w:rFonts w:eastAsiaTheme="minorHAnsi"/>
          <w:szCs w:val="22"/>
          <w:lang w:val="es-419" w:eastAsia="en-US"/>
        </w:rPr>
      </w:pPr>
      <w:r w:rsidRPr="004A24E9">
        <w:rPr>
          <w:rFonts w:eastAsiaTheme="minorHAnsi"/>
          <w:color w:val="000000"/>
          <w:szCs w:val="22"/>
          <w:lang w:val="es-419" w:eastAsia="en-US"/>
        </w:rPr>
        <w:t>La Guía concluye con la forma en que el uso de los teléfonos inteligentes y las aplicaciones móviles sigue evolucionando tanto en alcance como en naturaleza.</w:t>
      </w:r>
      <w:r w:rsidR="009A4AD4" w:rsidRPr="004A24E9">
        <w:rPr>
          <w:rFonts w:eastAsiaTheme="minorHAnsi"/>
          <w:szCs w:val="22"/>
          <w:lang w:val="es-419" w:eastAsia="en-US"/>
        </w:rPr>
        <w:t xml:space="preserve"> </w:t>
      </w:r>
      <w:r w:rsidRPr="004A24E9">
        <w:rPr>
          <w:rFonts w:eastAsiaTheme="minorHAnsi"/>
          <w:color w:val="000000"/>
          <w:szCs w:val="22"/>
          <w:lang w:val="es-419" w:eastAsia="en-US"/>
        </w:rPr>
        <w:t xml:space="preserve">Señala que se </w:t>
      </w:r>
      <w:r w:rsidR="003668F0" w:rsidRPr="004A24E9">
        <w:rPr>
          <w:rFonts w:eastAsiaTheme="minorHAnsi"/>
          <w:color w:val="000000"/>
          <w:szCs w:val="22"/>
          <w:lang w:val="es-419" w:eastAsia="en-US"/>
        </w:rPr>
        <w:t>prevé</w:t>
      </w:r>
      <w:r w:rsidRPr="004A24E9">
        <w:rPr>
          <w:rFonts w:eastAsiaTheme="minorHAnsi"/>
          <w:color w:val="000000"/>
          <w:szCs w:val="22"/>
          <w:lang w:val="es-419" w:eastAsia="en-US"/>
        </w:rPr>
        <w:t xml:space="preserve"> que el sector de las aplicaciones móviles siga registrando una de las mayores tasas de crecimiento en la economía digital en los próximos años, y que las economías en desarrollo disfrutarán de los beneficios de la progresiva transformación digital.</w:t>
      </w:r>
      <w:r w:rsidR="009A4AD4" w:rsidRPr="004A24E9">
        <w:rPr>
          <w:rFonts w:eastAsiaTheme="minorHAnsi"/>
          <w:szCs w:val="22"/>
          <w:lang w:val="es-419" w:eastAsia="en-US"/>
        </w:rPr>
        <w:t xml:space="preserve"> </w:t>
      </w:r>
      <w:r w:rsidR="003668F0" w:rsidRPr="004A24E9">
        <w:rPr>
          <w:rFonts w:eastAsiaTheme="minorHAnsi"/>
          <w:color w:val="000000"/>
          <w:szCs w:val="22"/>
          <w:lang w:val="es-419" w:eastAsia="en-US"/>
        </w:rPr>
        <w:t>Así pues</w:t>
      </w:r>
      <w:r w:rsidR="004870B9" w:rsidRPr="004A24E9">
        <w:rPr>
          <w:rFonts w:eastAsiaTheme="minorHAnsi"/>
          <w:color w:val="000000"/>
          <w:szCs w:val="22"/>
          <w:lang w:val="es-419" w:eastAsia="en-US"/>
        </w:rPr>
        <w:t xml:space="preserve">, las controversias en el ámbito de aplicaciones móviles pueden </w:t>
      </w:r>
      <w:r w:rsidR="003668F0" w:rsidRPr="004A24E9">
        <w:rPr>
          <w:rFonts w:eastAsiaTheme="minorHAnsi"/>
          <w:color w:val="000000"/>
          <w:szCs w:val="22"/>
          <w:lang w:val="es-419" w:eastAsia="en-US"/>
        </w:rPr>
        <w:t>resultar</w:t>
      </w:r>
      <w:r w:rsidR="004870B9" w:rsidRPr="004A24E9">
        <w:rPr>
          <w:rFonts w:eastAsiaTheme="minorHAnsi"/>
          <w:color w:val="000000"/>
          <w:szCs w:val="22"/>
          <w:lang w:val="es-419" w:eastAsia="en-US"/>
        </w:rPr>
        <w:t xml:space="preserve"> cada vez más complejas y requerir un mayor grado de especialización, por lo que </w:t>
      </w:r>
      <w:r w:rsidR="003668F0" w:rsidRPr="004A24E9">
        <w:rPr>
          <w:rFonts w:eastAsiaTheme="minorHAnsi"/>
          <w:color w:val="000000"/>
          <w:szCs w:val="22"/>
          <w:lang w:val="es-419" w:eastAsia="en-US"/>
        </w:rPr>
        <w:t>convendrá sensibilizar</w:t>
      </w:r>
      <w:r w:rsidR="004870B9" w:rsidRPr="004A24E9">
        <w:rPr>
          <w:rFonts w:eastAsiaTheme="minorHAnsi"/>
          <w:color w:val="000000"/>
          <w:szCs w:val="22"/>
          <w:lang w:val="es-419" w:eastAsia="en-US"/>
        </w:rPr>
        <w:t xml:space="preserve"> sobre la idoneidad y las ventajas de los mecanismos de ADR como una alternativa sofisticada, internacional y flexible a los </w:t>
      </w:r>
      <w:r w:rsidR="003668F0" w:rsidRPr="004A24E9">
        <w:rPr>
          <w:rFonts w:eastAsiaTheme="minorHAnsi"/>
          <w:color w:val="000000"/>
          <w:szCs w:val="22"/>
          <w:lang w:val="es-419" w:eastAsia="en-US"/>
        </w:rPr>
        <w:t>procedimientos</w:t>
      </w:r>
      <w:r w:rsidR="004870B9" w:rsidRPr="004A24E9">
        <w:rPr>
          <w:rFonts w:eastAsiaTheme="minorHAnsi"/>
          <w:color w:val="000000"/>
          <w:szCs w:val="22"/>
          <w:lang w:val="es-419" w:eastAsia="en-US"/>
        </w:rPr>
        <w:t xml:space="preserve"> judiciales.</w:t>
      </w:r>
    </w:p>
    <w:p w14:paraId="64EF8899" w14:textId="77777777" w:rsidR="004E4373" w:rsidRPr="004A24E9" w:rsidRDefault="004E4373" w:rsidP="00424049">
      <w:pPr>
        <w:spacing w:line="276" w:lineRule="auto"/>
        <w:rPr>
          <w:rFonts w:eastAsiaTheme="minorHAnsi"/>
          <w:szCs w:val="22"/>
          <w:lang w:val="es-419" w:eastAsia="en-US"/>
        </w:rPr>
      </w:pPr>
    </w:p>
    <w:p w14:paraId="2A3C1D74" w14:textId="7A83E844" w:rsidR="00152CEA" w:rsidRPr="004A24E9" w:rsidRDefault="004870B9" w:rsidP="00424049">
      <w:pPr>
        <w:spacing w:line="360" w:lineRule="auto"/>
        <w:ind w:left="5534"/>
        <w:jc w:val="both"/>
        <w:rPr>
          <w:rFonts w:eastAsiaTheme="minorHAnsi"/>
          <w:szCs w:val="22"/>
          <w:lang w:val="es-419" w:eastAsia="en-US"/>
        </w:rPr>
      </w:pPr>
      <w:r w:rsidRPr="004A24E9">
        <w:rPr>
          <w:rFonts w:eastAsiaTheme="minorHAnsi"/>
          <w:szCs w:val="22"/>
          <w:lang w:val="es-419" w:eastAsia="en-US"/>
        </w:rPr>
        <w:t>[Fin del Anexo y del documento]</w:t>
      </w:r>
    </w:p>
    <w:sectPr w:rsidR="00152CEA" w:rsidRPr="004A24E9" w:rsidSect="009A4AD4">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67E95" w14:textId="77777777" w:rsidR="00E757F1" w:rsidRDefault="00E757F1">
      <w:r>
        <w:separator/>
      </w:r>
    </w:p>
  </w:endnote>
  <w:endnote w:type="continuationSeparator" w:id="0">
    <w:p w14:paraId="38CE871B" w14:textId="77777777" w:rsidR="00E757F1" w:rsidRPr="009D30E6" w:rsidRDefault="00E757F1" w:rsidP="007E663E">
      <w:pPr>
        <w:rPr>
          <w:sz w:val="17"/>
          <w:szCs w:val="17"/>
        </w:rPr>
      </w:pPr>
      <w:r w:rsidRPr="009D30E6">
        <w:rPr>
          <w:sz w:val="17"/>
          <w:szCs w:val="17"/>
        </w:rPr>
        <w:separator/>
      </w:r>
    </w:p>
    <w:p w14:paraId="6621F750" w14:textId="77777777" w:rsidR="00E757F1" w:rsidRPr="007E663E" w:rsidRDefault="00E757F1" w:rsidP="007E663E">
      <w:pPr>
        <w:spacing w:after="60"/>
        <w:rPr>
          <w:sz w:val="17"/>
          <w:szCs w:val="17"/>
        </w:rPr>
      </w:pPr>
      <w:r>
        <w:rPr>
          <w:sz w:val="17"/>
        </w:rPr>
        <w:t>[Continuación de la nota de la página anterior]</w:t>
      </w:r>
    </w:p>
  </w:endnote>
  <w:endnote w:type="continuationNotice" w:id="1">
    <w:p w14:paraId="3579DD7B" w14:textId="77777777" w:rsidR="00E757F1" w:rsidRPr="007E663E" w:rsidRDefault="00E757F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F4D1" w14:textId="77777777" w:rsidR="001C00F2" w:rsidRDefault="001C00F2" w:rsidP="003C710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A201" w14:textId="77777777" w:rsidR="001C00F2" w:rsidRDefault="001C00F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39CF" w14:textId="77777777" w:rsidR="00E757F1" w:rsidRDefault="00E757F1">
      <w:r>
        <w:separator/>
      </w:r>
    </w:p>
  </w:footnote>
  <w:footnote w:type="continuationSeparator" w:id="0">
    <w:p w14:paraId="7D0C29F0" w14:textId="77777777" w:rsidR="00E757F1" w:rsidRPr="009D30E6" w:rsidRDefault="00E757F1" w:rsidP="007E663E">
      <w:pPr>
        <w:rPr>
          <w:sz w:val="17"/>
          <w:szCs w:val="17"/>
        </w:rPr>
      </w:pPr>
      <w:r w:rsidRPr="009D30E6">
        <w:rPr>
          <w:sz w:val="17"/>
          <w:szCs w:val="17"/>
        </w:rPr>
        <w:separator/>
      </w:r>
    </w:p>
    <w:p w14:paraId="56B1D139" w14:textId="77777777" w:rsidR="00E757F1" w:rsidRPr="007E663E" w:rsidRDefault="00E757F1" w:rsidP="007E663E">
      <w:pPr>
        <w:spacing w:after="60"/>
        <w:rPr>
          <w:sz w:val="17"/>
          <w:szCs w:val="17"/>
        </w:rPr>
      </w:pPr>
      <w:r>
        <w:rPr>
          <w:sz w:val="17"/>
        </w:rPr>
        <w:t>[Continuación de la nota de la página anterior]</w:t>
      </w:r>
    </w:p>
  </w:footnote>
  <w:footnote w:type="continuationNotice" w:id="1">
    <w:p w14:paraId="6AD6896B" w14:textId="77777777" w:rsidR="00E757F1" w:rsidRPr="007E663E" w:rsidRDefault="00E757F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EB0A" w14:textId="77777777" w:rsidR="001C00F2" w:rsidRPr="00262966" w:rsidRDefault="001C00F2" w:rsidP="003C710A">
    <w:pPr>
      <w:tabs>
        <w:tab w:val="center" w:pos="4536"/>
        <w:tab w:val="right" w:pos="9072"/>
      </w:tabs>
      <w:jc w:val="right"/>
    </w:pPr>
    <w:r w:rsidRPr="00262966">
      <w:t>CDIP/20/</w:t>
    </w:r>
    <w:r w:rsidRPr="00262966">
      <w:rPr>
        <w:highlight w:val="yellow"/>
      </w:rPr>
      <w:t>X</w:t>
    </w:r>
  </w:p>
  <w:p w14:paraId="11FC8AFE" w14:textId="21B38412" w:rsidR="001C00F2" w:rsidRDefault="001C00F2" w:rsidP="003C710A">
    <w:pPr>
      <w:tabs>
        <w:tab w:val="center" w:pos="4536"/>
        <w:tab w:val="right" w:pos="9072"/>
      </w:tabs>
      <w:jc w:val="right"/>
    </w:pPr>
    <w:proofErr w:type="spellStart"/>
    <w:r>
      <w:t>Annex</w:t>
    </w:r>
    <w:proofErr w:type="spellEnd"/>
    <w:r w:rsidRPr="00262966">
      <w:t xml:space="preserve">, page </w:t>
    </w:r>
    <w:r w:rsidRPr="00262966">
      <w:fldChar w:fldCharType="begin"/>
    </w:r>
    <w:r w:rsidRPr="00262966">
      <w:instrText xml:space="preserve"> PAGE   \* MERGEFORMAT </w:instrText>
    </w:r>
    <w:r w:rsidRPr="00262966">
      <w:fldChar w:fldCharType="separate"/>
    </w:r>
    <w:r w:rsidR="00E875F3">
      <w:rPr>
        <w:noProof/>
      </w:rPr>
      <w:t>1</w:t>
    </w:r>
    <w:r w:rsidRPr="002629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A540" w14:textId="77777777" w:rsidR="001C00F2" w:rsidRPr="00262966" w:rsidRDefault="001C00F2" w:rsidP="008C3E9C">
    <w:pPr>
      <w:tabs>
        <w:tab w:val="center" w:pos="4536"/>
        <w:tab w:val="right" w:pos="9072"/>
      </w:tabs>
      <w:jc w:val="right"/>
    </w:pPr>
    <w:r w:rsidRPr="00262966">
      <w:t>CDIP/20/</w:t>
    </w:r>
    <w:r w:rsidRPr="00262966">
      <w:rPr>
        <w:highlight w:val="yellow"/>
      </w:rPr>
      <w:t>X</w:t>
    </w:r>
  </w:p>
  <w:p w14:paraId="060432E3" w14:textId="7B40CE79" w:rsidR="001C00F2" w:rsidRDefault="00424049" w:rsidP="008C3E9C">
    <w:pPr>
      <w:tabs>
        <w:tab w:val="center" w:pos="4536"/>
        <w:tab w:val="right" w:pos="9072"/>
      </w:tabs>
      <w:jc w:val="right"/>
    </w:pPr>
    <w:r>
      <w:t>An</w:t>
    </w:r>
    <w:r w:rsidR="001C00F2">
      <w:t>ex</w:t>
    </w:r>
    <w:r>
      <w:t>o</w:t>
    </w:r>
    <w:r w:rsidR="001C00F2" w:rsidRPr="00262966">
      <w:t xml:space="preserve">, </w:t>
    </w:r>
    <w:r>
      <w:t>página</w:t>
    </w:r>
    <w:r w:rsidR="001C00F2" w:rsidRPr="00262966">
      <w:t xml:space="preserve"> </w:t>
    </w:r>
    <w:r w:rsidR="001C00F2" w:rsidRPr="00262966">
      <w:fldChar w:fldCharType="begin"/>
    </w:r>
    <w:r w:rsidR="001C00F2" w:rsidRPr="00262966">
      <w:instrText xml:space="preserve"> PAGE   \* MERGEFORMAT </w:instrText>
    </w:r>
    <w:r w:rsidR="001C00F2" w:rsidRPr="00262966">
      <w:fldChar w:fldCharType="separate"/>
    </w:r>
    <w:r w:rsidR="00E875F3">
      <w:rPr>
        <w:noProof/>
      </w:rPr>
      <w:t>1</w:t>
    </w:r>
    <w:r w:rsidR="001C00F2" w:rsidRPr="0026296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136C" w14:textId="498EA42A" w:rsidR="00AE7F20" w:rsidRPr="00EB0D93" w:rsidRDefault="001C00F2" w:rsidP="00477D6B">
    <w:pPr>
      <w:jc w:val="right"/>
      <w:rPr>
        <w:caps/>
      </w:rPr>
    </w:pPr>
    <w:bookmarkStart w:id="6" w:name="Code2"/>
    <w:bookmarkEnd w:id="6"/>
    <w:r>
      <w:rPr>
        <w:caps/>
      </w:rPr>
      <w:t>CDIP/28/</w:t>
    </w:r>
    <w:r w:rsidR="009A4AD4">
      <w:rPr>
        <w:caps/>
      </w:rPr>
      <w:t>inf/7</w:t>
    </w:r>
  </w:p>
  <w:p w14:paraId="771BCAD5" w14:textId="67BD1289" w:rsidR="00AE7F20" w:rsidRDefault="00424049"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2E79E4">
      <w:rPr>
        <w:noProof/>
      </w:rPr>
      <w:t>3</w:t>
    </w:r>
    <w:r w:rsidR="00AE7F20">
      <w:fldChar w:fldCharType="end"/>
    </w:r>
  </w:p>
  <w:p w14:paraId="00413ADA" w14:textId="77777777" w:rsidR="00AE7F20" w:rsidRDefault="00AE7F20" w:rsidP="00477D6B">
    <w:pPr>
      <w:jc w:val="right"/>
    </w:pPr>
  </w:p>
  <w:p w14:paraId="617B7F35" w14:textId="77777777" w:rsidR="00EC1AA7" w:rsidRDefault="00EC1AA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EE51" w14:textId="1D8FE3BD" w:rsidR="009A4AD4" w:rsidRPr="009A4AD4" w:rsidRDefault="009A4AD4" w:rsidP="009A4AD4">
    <w:pPr>
      <w:pStyle w:val="Header"/>
      <w:jc w:val="right"/>
      <w:rPr>
        <w:rFonts w:eastAsiaTheme="minorHAnsi"/>
        <w:szCs w:val="22"/>
        <w:lang w:val="en-US" w:eastAsia="en-US"/>
      </w:rPr>
    </w:pPr>
    <w:r w:rsidRPr="009A4AD4">
      <w:rPr>
        <w:rFonts w:eastAsiaTheme="minorHAnsi"/>
        <w:szCs w:val="22"/>
        <w:lang w:val="en-US" w:eastAsia="en-US"/>
      </w:rPr>
      <w:t>CDIP/28/INF/7</w:t>
    </w:r>
  </w:p>
  <w:p w14:paraId="04F1918A" w14:textId="61C977E5" w:rsidR="009A4AD4" w:rsidRPr="009A4AD4" w:rsidRDefault="009A4AD4" w:rsidP="009A4AD4">
    <w:pPr>
      <w:tabs>
        <w:tab w:val="center" w:pos="4536"/>
        <w:tab w:val="right" w:pos="9072"/>
      </w:tabs>
      <w:jc w:val="right"/>
      <w:rPr>
        <w:rFonts w:eastAsiaTheme="minorHAnsi"/>
        <w:szCs w:val="22"/>
        <w:lang w:val="en-US" w:eastAsia="en-US"/>
      </w:rPr>
    </w:pPr>
    <w:r>
      <w:rPr>
        <w:rFonts w:eastAsiaTheme="minorHAnsi"/>
        <w:szCs w:val="22"/>
        <w:lang w:val="en-US" w:eastAsia="en-US"/>
      </w:rPr>
      <w:t>ANEXO</w:t>
    </w:r>
  </w:p>
  <w:p w14:paraId="42691521" w14:textId="77777777" w:rsidR="009A4AD4" w:rsidRPr="009A4AD4" w:rsidRDefault="009A4AD4" w:rsidP="009A4AD4">
    <w:pPr>
      <w:tabs>
        <w:tab w:val="center" w:pos="4536"/>
        <w:tab w:val="right" w:pos="9072"/>
      </w:tabs>
      <w:jc w:val="right"/>
      <w:rPr>
        <w:rFonts w:eastAsiaTheme="minorHAnsi"/>
        <w:sz w:val="24"/>
        <w:szCs w:val="24"/>
        <w:lang w:val="en-US" w:eastAsia="en-US"/>
      </w:rPr>
    </w:pPr>
  </w:p>
  <w:p w14:paraId="099A981B" w14:textId="005803DF" w:rsidR="009A4AD4" w:rsidRDefault="009A4AD4" w:rsidP="00424049">
    <w:pPr>
      <w:pStyle w:val="Header"/>
      <w:tabs>
        <w:tab w:val="clear" w:pos="4536"/>
        <w:tab w:val="clear" w:pos="9072"/>
        <w:tab w:val="left" w:pos="8631"/>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16E0E93"/>
    <w:multiLevelType w:val="hybridMultilevel"/>
    <w:tmpl w:val="2AE4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Development\Dev_Agenda|Team Server TMs\Spanish|TextBase TMs\WorkspaceSTS\Brands, Designs &amp; DN\Lisbo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GRTKF\G Instruments|TextBase TMs\WorkspaceSTS\GRTKF\GRTKF|TextBase TMs\WorkspaceSTS\Outreach\Economist|TextBase TMs\WorkspaceSTS\Outreach\IP Advantage|TextBase TMs\WorkspaceSTS\Outreach\POW Main|Team Server TMs\Spanish"/>
    <w:docVar w:name="TextBaseURL" w:val="empty"/>
    <w:docVar w:name="UILng" w:val="en"/>
  </w:docVars>
  <w:rsids>
    <w:rsidRoot w:val="001C00F2"/>
    <w:rsid w:val="00010686"/>
    <w:rsid w:val="000431AB"/>
    <w:rsid w:val="00052915"/>
    <w:rsid w:val="0009703D"/>
    <w:rsid w:val="000E3BB3"/>
    <w:rsid w:val="000F5E56"/>
    <w:rsid w:val="000F7A05"/>
    <w:rsid w:val="00102488"/>
    <w:rsid w:val="001362EE"/>
    <w:rsid w:val="00152CEA"/>
    <w:rsid w:val="001832A6"/>
    <w:rsid w:val="001C00F2"/>
    <w:rsid w:val="001F7A22"/>
    <w:rsid w:val="00203D54"/>
    <w:rsid w:val="00230EB2"/>
    <w:rsid w:val="002634C4"/>
    <w:rsid w:val="00281646"/>
    <w:rsid w:val="002A0754"/>
    <w:rsid w:val="002A7968"/>
    <w:rsid w:val="002B34CA"/>
    <w:rsid w:val="002C2E2F"/>
    <w:rsid w:val="002D23B5"/>
    <w:rsid w:val="002E0F47"/>
    <w:rsid w:val="002E24E2"/>
    <w:rsid w:val="002E79E4"/>
    <w:rsid w:val="002F4E68"/>
    <w:rsid w:val="00310826"/>
    <w:rsid w:val="003214DD"/>
    <w:rsid w:val="003526F8"/>
    <w:rsid w:val="00354647"/>
    <w:rsid w:val="003668F0"/>
    <w:rsid w:val="00377273"/>
    <w:rsid w:val="00382E2E"/>
    <w:rsid w:val="003845C1"/>
    <w:rsid w:val="00387287"/>
    <w:rsid w:val="00394C5F"/>
    <w:rsid w:val="003E48F1"/>
    <w:rsid w:val="003E7936"/>
    <w:rsid w:val="003F347A"/>
    <w:rsid w:val="00423E3E"/>
    <w:rsid w:val="00424049"/>
    <w:rsid w:val="00427AF4"/>
    <w:rsid w:val="0045231F"/>
    <w:rsid w:val="00453CBD"/>
    <w:rsid w:val="00453FE0"/>
    <w:rsid w:val="004647DA"/>
    <w:rsid w:val="0046793F"/>
    <w:rsid w:val="00472A6E"/>
    <w:rsid w:val="00477808"/>
    <w:rsid w:val="00477D6B"/>
    <w:rsid w:val="004870B9"/>
    <w:rsid w:val="004A24E9"/>
    <w:rsid w:val="004A6C37"/>
    <w:rsid w:val="004E297D"/>
    <w:rsid w:val="004E4373"/>
    <w:rsid w:val="00531B02"/>
    <w:rsid w:val="005332F0"/>
    <w:rsid w:val="0055013B"/>
    <w:rsid w:val="0055446C"/>
    <w:rsid w:val="00571B99"/>
    <w:rsid w:val="00584672"/>
    <w:rsid w:val="00605827"/>
    <w:rsid w:val="00607292"/>
    <w:rsid w:val="00622E44"/>
    <w:rsid w:val="00664232"/>
    <w:rsid w:val="00671BA5"/>
    <w:rsid w:val="00675021"/>
    <w:rsid w:val="006A06C6"/>
    <w:rsid w:val="006A4A3C"/>
    <w:rsid w:val="007224C8"/>
    <w:rsid w:val="0073521A"/>
    <w:rsid w:val="00794BE2"/>
    <w:rsid w:val="007A5581"/>
    <w:rsid w:val="007A7D8F"/>
    <w:rsid w:val="007B71FE"/>
    <w:rsid w:val="007C7F82"/>
    <w:rsid w:val="007D781E"/>
    <w:rsid w:val="007E663E"/>
    <w:rsid w:val="00815082"/>
    <w:rsid w:val="0088395E"/>
    <w:rsid w:val="008B2CC1"/>
    <w:rsid w:val="008E6BD6"/>
    <w:rsid w:val="0090731E"/>
    <w:rsid w:val="009647B5"/>
    <w:rsid w:val="00966A22"/>
    <w:rsid w:val="00972F03"/>
    <w:rsid w:val="0098367F"/>
    <w:rsid w:val="00984C0F"/>
    <w:rsid w:val="009A0C8B"/>
    <w:rsid w:val="009A20CD"/>
    <w:rsid w:val="009A4AD4"/>
    <w:rsid w:val="009B1FCF"/>
    <w:rsid w:val="009B6241"/>
    <w:rsid w:val="009E753F"/>
    <w:rsid w:val="00A16DB2"/>
    <w:rsid w:val="00A16FC0"/>
    <w:rsid w:val="00A32C9E"/>
    <w:rsid w:val="00A42370"/>
    <w:rsid w:val="00A70ADC"/>
    <w:rsid w:val="00AB613D"/>
    <w:rsid w:val="00AE7F20"/>
    <w:rsid w:val="00B359F8"/>
    <w:rsid w:val="00B52C22"/>
    <w:rsid w:val="00B534D5"/>
    <w:rsid w:val="00B6224F"/>
    <w:rsid w:val="00B65A0A"/>
    <w:rsid w:val="00B67CDC"/>
    <w:rsid w:val="00B72D36"/>
    <w:rsid w:val="00B757AD"/>
    <w:rsid w:val="00BC4164"/>
    <w:rsid w:val="00BD2DCC"/>
    <w:rsid w:val="00BF37CF"/>
    <w:rsid w:val="00BF5A8E"/>
    <w:rsid w:val="00C90559"/>
    <w:rsid w:val="00CA0500"/>
    <w:rsid w:val="00CA2251"/>
    <w:rsid w:val="00CF136E"/>
    <w:rsid w:val="00D56C7C"/>
    <w:rsid w:val="00D71B4D"/>
    <w:rsid w:val="00D90289"/>
    <w:rsid w:val="00D93D55"/>
    <w:rsid w:val="00DC4C60"/>
    <w:rsid w:val="00DC7EED"/>
    <w:rsid w:val="00DD6CF4"/>
    <w:rsid w:val="00E0079A"/>
    <w:rsid w:val="00E444DA"/>
    <w:rsid w:val="00E45C84"/>
    <w:rsid w:val="00E504E5"/>
    <w:rsid w:val="00E56534"/>
    <w:rsid w:val="00E757F1"/>
    <w:rsid w:val="00E875F3"/>
    <w:rsid w:val="00E92E2E"/>
    <w:rsid w:val="00EA5F37"/>
    <w:rsid w:val="00EB0D93"/>
    <w:rsid w:val="00EB4CDB"/>
    <w:rsid w:val="00EB7A3E"/>
    <w:rsid w:val="00EC1AA7"/>
    <w:rsid w:val="00EC401A"/>
    <w:rsid w:val="00EF530A"/>
    <w:rsid w:val="00EF6622"/>
    <w:rsid w:val="00EF78A9"/>
    <w:rsid w:val="00F26F4B"/>
    <w:rsid w:val="00F55408"/>
    <w:rsid w:val="00F66152"/>
    <w:rsid w:val="00F80845"/>
    <w:rsid w:val="00F84474"/>
    <w:rsid w:val="00F87292"/>
    <w:rsid w:val="00FA0F0D"/>
    <w:rsid w:val="00FD59D1"/>
    <w:rsid w:val="00FE4FA6"/>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B3A63C"/>
  <w15:docId w15:val="{60CD6A40-1CEC-4F25-A0A5-107EB666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character" w:styleId="CommentReference">
    <w:name w:val="annotation reference"/>
    <w:basedOn w:val="DefaultParagraphFont"/>
    <w:semiHidden/>
    <w:unhideWhenUsed/>
    <w:rsid w:val="00CF136E"/>
    <w:rPr>
      <w:sz w:val="16"/>
      <w:szCs w:val="16"/>
    </w:rPr>
  </w:style>
  <w:style w:type="paragraph" w:styleId="CommentSubject">
    <w:name w:val="annotation subject"/>
    <w:basedOn w:val="CommentText"/>
    <w:next w:val="CommentText"/>
    <w:link w:val="CommentSubjectChar"/>
    <w:semiHidden/>
    <w:unhideWhenUsed/>
    <w:rsid w:val="00CF136E"/>
    <w:rPr>
      <w:b/>
      <w:bCs/>
      <w:sz w:val="20"/>
    </w:rPr>
  </w:style>
  <w:style w:type="character" w:customStyle="1" w:styleId="CommentTextChar">
    <w:name w:val="Comment Text Char"/>
    <w:basedOn w:val="DefaultParagraphFont"/>
    <w:link w:val="CommentText"/>
    <w:semiHidden/>
    <w:rsid w:val="00CF136E"/>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CF136E"/>
    <w:rPr>
      <w:rFonts w:ascii="Arial" w:eastAsia="SimSun" w:hAnsi="Arial" w:cs="Arial"/>
      <w:b/>
      <w:bCs/>
      <w:sz w:val="18"/>
      <w:lang w:val="es-ES" w:eastAsia="zh-CN"/>
    </w:rPr>
  </w:style>
  <w:style w:type="paragraph" w:styleId="BalloonText">
    <w:name w:val="Balloon Text"/>
    <w:basedOn w:val="Normal"/>
    <w:link w:val="BalloonTextChar"/>
    <w:semiHidden/>
    <w:unhideWhenUsed/>
    <w:rsid w:val="00CF136E"/>
    <w:rPr>
      <w:rFonts w:ascii="Segoe UI" w:hAnsi="Segoe UI" w:cs="Segoe UI"/>
      <w:sz w:val="18"/>
      <w:szCs w:val="18"/>
    </w:rPr>
  </w:style>
  <w:style w:type="character" w:customStyle="1" w:styleId="BalloonTextChar">
    <w:name w:val="Balloon Text Char"/>
    <w:basedOn w:val="DefaultParagraphFont"/>
    <w:link w:val="BalloonText"/>
    <w:semiHidden/>
    <w:rsid w:val="00CF136E"/>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648">
      <w:bodyDiv w:val="1"/>
      <w:marLeft w:val="0"/>
      <w:marRight w:val="0"/>
      <w:marTop w:val="0"/>
      <w:marBottom w:val="0"/>
      <w:divBdr>
        <w:top w:val="none" w:sz="0" w:space="0" w:color="auto"/>
        <w:left w:val="none" w:sz="0" w:space="0" w:color="auto"/>
        <w:bottom w:val="none" w:sz="0" w:space="0" w:color="auto"/>
        <w:right w:val="none" w:sz="0" w:space="0" w:color="auto"/>
      </w:divBdr>
    </w:div>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2F02-5959-4505-BFE7-911D4C24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(S)</Template>
  <TotalTime>2</TotalTime>
  <Pages>4</Pages>
  <Words>1224</Words>
  <Characters>6574</Characters>
  <Application>Microsoft Office Word</Application>
  <DocSecurity>0</DocSecurity>
  <Lines>124</Lines>
  <Paragraphs>27</Paragraphs>
  <ScaleCrop>false</ScaleCrop>
  <HeadingPairs>
    <vt:vector size="2" baseType="variant">
      <vt:variant>
        <vt:lpstr>Title</vt:lpstr>
      </vt:variant>
      <vt:variant>
        <vt:i4>1</vt:i4>
      </vt:variant>
    </vt:vector>
  </HeadingPairs>
  <TitlesOfParts>
    <vt:vector size="1" baseType="lpstr">
      <vt:lpstr>CDIP/28/INF/7</vt:lpstr>
    </vt:vector>
  </TitlesOfParts>
  <Company>WIPO</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CDIP/28/INF/7</dc:title>
  <dc:creator>REGUEIRA MIRA Claudia</dc:creator>
  <cp:keywords>FOR OFFICIAL USE ONLY</cp:keywords>
  <cp:lastModifiedBy>ESTEVES DOS SANTOS Anabela</cp:lastModifiedBy>
  <cp:revision>3</cp:revision>
  <dcterms:created xsi:type="dcterms:W3CDTF">2022-05-04T08:07:00Z</dcterms:created>
  <dcterms:modified xsi:type="dcterms:W3CDTF">2022-05-04T08:09:00Z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7356a6d3-005f-4f64-a8f3-36699f379519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