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AFC8E" w14:textId="77777777" w:rsidR="008B2CC1" w:rsidRPr="008B2CC1" w:rsidRDefault="00E12369" w:rsidP="000F7A05">
      <w:pPr>
        <w:pBdr>
          <w:bottom w:val="single" w:sz="4" w:space="11" w:color="auto"/>
        </w:pBdr>
        <w:spacing w:after="120"/>
        <w:ind w:right="-57"/>
        <w:jc w:val="right"/>
      </w:pPr>
      <w:r>
        <w:rPr>
          <w:noProof/>
          <w:lang w:val="en-US" w:eastAsia="en-US"/>
        </w:rPr>
        <w:drawing>
          <wp:inline distT="0" distB="0" distL="0" distR="0" wp14:anchorId="7716FA6E" wp14:editId="479232E4">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68E7742E" w14:textId="77777777" w:rsidR="00472A6E" w:rsidRDefault="00E12369" w:rsidP="00472A6E">
      <w:pPr>
        <w:jc w:val="right"/>
        <w:rPr>
          <w:rFonts w:ascii="Arial Black" w:hAnsi="Arial Black"/>
          <w:caps/>
          <w:sz w:val="15"/>
        </w:rPr>
      </w:pPr>
      <w:r>
        <w:rPr>
          <w:rFonts w:ascii="Arial Black" w:eastAsia="Arial Black" w:hAnsi="Arial Black"/>
          <w:caps/>
          <w:sz w:val="15"/>
          <w:szCs w:val="15"/>
        </w:rPr>
        <w:t>cdip/28/</w:t>
      </w:r>
      <w:bookmarkStart w:id="0" w:name="Code"/>
      <w:bookmarkEnd w:id="0"/>
      <w:r>
        <w:rPr>
          <w:rFonts w:ascii="Arial Black" w:eastAsia="Arial Black" w:hAnsi="Arial Black"/>
          <w:caps/>
          <w:sz w:val="15"/>
          <w:szCs w:val="15"/>
        </w:rPr>
        <w:t>INF/4</w:t>
      </w:r>
    </w:p>
    <w:p w14:paraId="1260F0BC" w14:textId="77777777" w:rsidR="008B2CC1" w:rsidRPr="008B2CC1" w:rsidRDefault="00E12369" w:rsidP="00472A6E">
      <w:pPr>
        <w:jc w:val="right"/>
      </w:pPr>
      <w:r>
        <w:rPr>
          <w:rFonts w:ascii="Arial Black" w:eastAsia="Arial Black" w:hAnsi="Arial Black"/>
          <w:caps/>
          <w:sz w:val="15"/>
          <w:szCs w:val="15"/>
        </w:rPr>
        <w:t>ORIGINAL:</w:t>
      </w:r>
      <w:bookmarkStart w:id="1" w:name="Original"/>
      <w:r>
        <w:rPr>
          <w:rFonts w:ascii="Arial Black" w:eastAsia="Arial Black" w:hAnsi="Arial Black"/>
          <w:caps/>
          <w:sz w:val="15"/>
          <w:szCs w:val="15"/>
        </w:rPr>
        <w:t xml:space="preserve"> INGLÉS</w:t>
      </w:r>
    </w:p>
    <w:bookmarkEnd w:id="1"/>
    <w:p w14:paraId="2C000C67" w14:textId="08B153E4" w:rsidR="008B2CC1" w:rsidRPr="008B2CC1" w:rsidRDefault="00E12369" w:rsidP="00472A6E">
      <w:pPr>
        <w:spacing w:after="1200"/>
        <w:jc w:val="right"/>
      </w:pPr>
      <w:r>
        <w:rPr>
          <w:rFonts w:ascii="Arial Black" w:eastAsia="Arial Black" w:hAnsi="Arial Black"/>
          <w:caps/>
          <w:sz w:val="15"/>
          <w:szCs w:val="15"/>
        </w:rPr>
        <w:t>fecha:</w:t>
      </w:r>
      <w:bookmarkStart w:id="2" w:name="Date"/>
      <w:r w:rsidR="00B33960">
        <w:rPr>
          <w:rFonts w:ascii="Arial Black" w:eastAsia="Arial Black" w:hAnsi="Arial Black"/>
          <w:caps/>
          <w:sz w:val="15"/>
          <w:szCs w:val="15"/>
        </w:rPr>
        <w:t> 1</w:t>
      </w:r>
      <w:r>
        <w:rPr>
          <w:rFonts w:ascii="Arial Black" w:eastAsia="Arial Black" w:hAnsi="Arial Black"/>
          <w:caps/>
          <w:sz w:val="15"/>
          <w:szCs w:val="15"/>
        </w:rPr>
        <w:t>9 DE ABRIL DE</w:t>
      </w:r>
      <w:r w:rsidR="00B33960">
        <w:rPr>
          <w:rFonts w:ascii="Arial Black" w:eastAsia="Arial Black" w:hAnsi="Arial Black"/>
          <w:caps/>
          <w:sz w:val="15"/>
          <w:szCs w:val="15"/>
        </w:rPr>
        <w:t> 2</w:t>
      </w:r>
      <w:r>
        <w:rPr>
          <w:rFonts w:ascii="Arial Black" w:eastAsia="Arial Black" w:hAnsi="Arial Black"/>
          <w:caps/>
          <w:sz w:val="15"/>
          <w:szCs w:val="15"/>
        </w:rPr>
        <w:t>022</w:t>
      </w:r>
    </w:p>
    <w:bookmarkEnd w:id="2"/>
    <w:p w14:paraId="18E8966D" w14:textId="77777777" w:rsidR="00281646" w:rsidRDefault="00E12369" w:rsidP="00671BA5">
      <w:pPr>
        <w:pStyle w:val="Heading1"/>
        <w:spacing w:before="0" w:after="600"/>
        <w:rPr>
          <w:sz w:val="28"/>
        </w:rPr>
      </w:pPr>
      <w:r>
        <w:rPr>
          <w:rFonts w:eastAsia="Arial"/>
          <w:caps w:val="0"/>
          <w:sz w:val="28"/>
          <w:szCs w:val="28"/>
        </w:rPr>
        <w:t>Comité de Desarrollo y Propiedad Intelectual</w:t>
      </w:r>
      <w:r>
        <w:rPr>
          <w:rFonts w:eastAsia="Arial"/>
          <w:sz w:val="28"/>
          <w:szCs w:val="28"/>
        </w:rPr>
        <w:t xml:space="preserve"> (CDIP)</w:t>
      </w:r>
    </w:p>
    <w:p w14:paraId="2DDF8042" w14:textId="42EF9593" w:rsidR="000F7A05" w:rsidRDefault="00E12369" w:rsidP="000F7A05">
      <w:pPr>
        <w:spacing w:after="720"/>
        <w:outlineLvl w:val="1"/>
        <w:rPr>
          <w:b/>
          <w:sz w:val="24"/>
          <w:szCs w:val="24"/>
        </w:rPr>
      </w:pPr>
      <w:r>
        <w:rPr>
          <w:rFonts w:eastAsia="Arial"/>
          <w:b/>
          <w:bCs/>
          <w:color w:val="000000"/>
          <w:sz w:val="24"/>
          <w:szCs w:val="24"/>
          <w:shd w:val="clear" w:color="auto" w:fill="FFFFFF"/>
        </w:rPr>
        <w:t>Vigesimoctava sesión</w:t>
      </w:r>
      <w:r>
        <w:rPr>
          <w:rFonts w:eastAsia="Arial"/>
          <w:b/>
          <w:bCs/>
          <w:sz w:val="24"/>
          <w:szCs w:val="24"/>
        </w:rPr>
        <w:br/>
        <w:t>Ginebra,</w:t>
      </w:r>
      <w:r w:rsidR="00B33960">
        <w:rPr>
          <w:rFonts w:eastAsia="Arial"/>
          <w:b/>
          <w:bCs/>
          <w:sz w:val="24"/>
          <w:szCs w:val="24"/>
        </w:rPr>
        <w:t> 1</w:t>
      </w:r>
      <w:r>
        <w:rPr>
          <w:rFonts w:eastAsia="Arial"/>
          <w:b/>
          <w:bCs/>
          <w:sz w:val="24"/>
          <w:szCs w:val="24"/>
        </w:rPr>
        <w:t>6 a</w:t>
      </w:r>
      <w:r w:rsidR="00B33960">
        <w:rPr>
          <w:rFonts w:eastAsia="Arial"/>
          <w:b/>
          <w:bCs/>
          <w:sz w:val="24"/>
          <w:szCs w:val="24"/>
        </w:rPr>
        <w:t> 2</w:t>
      </w:r>
      <w:r>
        <w:rPr>
          <w:rFonts w:eastAsia="Arial"/>
          <w:b/>
          <w:bCs/>
          <w:sz w:val="24"/>
          <w:szCs w:val="24"/>
        </w:rPr>
        <w:t>0 de mayo de</w:t>
      </w:r>
      <w:r w:rsidR="00B33960">
        <w:rPr>
          <w:rFonts w:eastAsia="Arial"/>
          <w:b/>
          <w:bCs/>
          <w:sz w:val="24"/>
          <w:szCs w:val="24"/>
        </w:rPr>
        <w:t> 2</w:t>
      </w:r>
      <w:r>
        <w:rPr>
          <w:rFonts w:eastAsia="Arial"/>
          <w:b/>
          <w:bCs/>
          <w:sz w:val="24"/>
          <w:szCs w:val="24"/>
        </w:rPr>
        <w:t>022</w:t>
      </w:r>
    </w:p>
    <w:p w14:paraId="72482157" w14:textId="77777777" w:rsidR="008B2CC1" w:rsidRPr="00C40B7D" w:rsidRDefault="00E12369" w:rsidP="007A7D8F">
      <w:pPr>
        <w:spacing w:after="360"/>
        <w:rPr>
          <w:caps/>
          <w:sz w:val="24"/>
        </w:rPr>
      </w:pPr>
      <w:bookmarkStart w:id="3" w:name="TitleOfDoc"/>
      <w:bookmarkEnd w:id="3"/>
      <w:r>
        <w:rPr>
          <w:rFonts w:eastAsia="Arial"/>
          <w:sz w:val="24"/>
          <w:szCs w:val="24"/>
        </w:rPr>
        <w:t>IDEAS EMPRENDEDORAS – RESUMEN DE LA GUÍA DE PROPIEDAD INTELECTUAL PARA EMPRESAS EMERGENTES</w:t>
      </w:r>
    </w:p>
    <w:p w14:paraId="5433FDBE" w14:textId="77777777" w:rsidR="008B2CC1" w:rsidRPr="00C40B7D" w:rsidRDefault="00E12369" w:rsidP="00EA5F37">
      <w:pPr>
        <w:spacing w:after="960"/>
        <w:rPr>
          <w:i/>
        </w:rPr>
      </w:pPr>
      <w:bookmarkStart w:id="4" w:name="Prepared"/>
      <w:bookmarkEnd w:id="4"/>
      <w:r>
        <w:rPr>
          <w:rFonts w:eastAsia="Arial"/>
          <w:i/>
          <w:iCs/>
          <w:szCs w:val="22"/>
        </w:rPr>
        <w:t>preparado por la Secretaría</w:t>
      </w:r>
    </w:p>
    <w:p w14:paraId="699A34AB" w14:textId="434D2791" w:rsidR="00DC5515" w:rsidRPr="00C40B7D" w:rsidRDefault="00E12369" w:rsidP="00DC5515">
      <w:pPr>
        <w:pStyle w:val="Default"/>
        <w:spacing w:after="240"/>
        <w:rPr>
          <w:rFonts w:ascii="Arial" w:hAnsi="Arial" w:cs="Arial"/>
          <w:sz w:val="22"/>
          <w:szCs w:val="22"/>
          <w:lang w:val="es-ES"/>
        </w:rPr>
      </w:pPr>
      <w:r w:rsidRPr="004907DF">
        <w:rPr>
          <w:rFonts w:ascii="Arial" w:hAnsi="Arial" w:cs="Arial"/>
          <w:sz w:val="22"/>
          <w:szCs w:val="22"/>
        </w:rPr>
        <w:fldChar w:fldCharType="begin"/>
      </w:r>
      <w:r w:rsidRPr="00C40B7D">
        <w:rPr>
          <w:rFonts w:ascii="Arial" w:hAnsi="Arial" w:cs="Arial"/>
          <w:sz w:val="22"/>
          <w:szCs w:val="22"/>
          <w:lang w:val="es-ES"/>
        </w:rPr>
        <w:instrText xml:space="preserve"> AUTONUM  </w:instrText>
      </w:r>
      <w:r w:rsidRPr="004907DF">
        <w:rPr>
          <w:rFonts w:ascii="Arial" w:hAnsi="Arial" w:cs="Arial"/>
          <w:sz w:val="22"/>
          <w:szCs w:val="22"/>
        </w:rPr>
        <w:fldChar w:fldCharType="end"/>
      </w:r>
      <w:r>
        <w:rPr>
          <w:rFonts w:ascii="Arial" w:eastAsia="Arial" w:hAnsi="Arial" w:cs="Arial"/>
          <w:sz w:val="22"/>
          <w:szCs w:val="22"/>
          <w:lang w:val="es-ES"/>
        </w:rPr>
        <w:t xml:space="preserve"> </w:t>
      </w:r>
      <w:r>
        <w:rPr>
          <w:rFonts w:ascii="Arial" w:eastAsia="Arial" w:hAnsi="Arial" w:cs="Arial"/>
          <w:sz w:val="22"/>
          <w:szCs w:val="22"/>
          <w:lang w:val="es-ES"/>
        </w:rPr>
        <w:tab/>
        <w:t xml:space="preserve">En el Anexo del presente documento figura un resumen de la guía sobre propiedad intelectual (PI) para empresas emergentes, </w:t>
      </w:r>
      <w:r>
        <w:rPr>
          <w:rFonts w:ascii="Arial" w:eastAsia="Arial" w:hAnsi="Arial" w:cs="Arial"/>
          <w:i/>
          <w:iCs/>
          <w:sz w:val="22"/>
          <w:szCs w:val="22"/>
          <w:lang w:val="es-ES"/>
        </w:rPr>
        <w:t>Ideas emprendedoras</w:t>
      </w:r>
      <w:r>
        <w:rPr>
          <w:rFonts w:ascii="Arial" w:eastAsia="Arial" w:hAnsi="Arial" w:cs="Arial"/>
          <w:sz w:val="22"/>
          <w:szCs w:val="22"/>
          <w:lang w:val="es-ES"/>
        </w:rPr>
        <w:t xml:space="preserve">, elaborada en el </w:t>
      </w:r>
      <w:r w:rsidR="00931251">
        <w:rPr>
          <w:rFonts w:ascii="Arial" w:eastAsia="Arial" w:hAnsi="Arial" w:cs="Arial"/>
          <w:sz w:val="22"/>
          <w:szCs w:val="22"/>
          <w:lang w:val="es-ES"/>
        </w:rPr>
        <w:t xml:space="preserve">marco </w:t>
      </w:r>
      <w:r>
        <w:rPr>
          <w:rFonts w:ascii="Arial" w:eastAsia="Arial" w:hAnsi="Arial" w:cs="Arial"/>
          <w:sz w:val="22"/>
          <w:szCs w:val="22"/>
          <w:lang w:val="es-ES"/>
        </w:rPr>
        <w:t>del proyecto de la Agenda para el Desarrollo (AD) sobre “Fortalecimiento del papel de las mujeres en la innovación y el emprendimiento: Alentar a las mujeres de países en desarrollo a utilizar el sistema de propiedad intelectual”.</w:t>
      </w:r>
    </w:p>
    <w:p w14:paraId="5BE36B5F" w14:textId="77777777" w:rsidR="00DC5515" w:rsidRPr="00C40B7D" w:rsidRDefault="00E12369" w:rsidP="00DC5515">
      <w:pPr>
        <w:pStyle w:val="Endofdocument"/>
        <w:spacing w:after="360"/>
        <w:ind w:left="5530"/>
        <w:rPr>
          <w:i/>
          <w:iCs/>
          <w:szCs w:val="22"/>
          <w:lang w:val="es-ES"/>
        </w:rPr>
      </w:pPr>
      <w:r w:rsidRPr="000B6067">
        <w:fldChar w:fldCharType="begin"/>
      </w:r>
      <w:r w:rsidRPr="00C40B7D">
        <w:rPr>
          <w:lang w:val="es-ES"/>
        </w:rPr>
        <w:instrText xml:space="preserve"> AUTONUM  </w:instrText>
      </w:r>
      <w:r w:rsidRPr="000B6067">
        <w:fldChar w:fldCharType="end"/>
      </w:r>
      <w:r>
        <w:rPr>
          <w:rFonts w:eastAsia="Arial"/>
          <w:i/>
          <w:iCs/>
          <w:szCs w:val="22"/>
          <w:lang w:val="es-ES"/>
        </w:rPr>
        <w:tab/>
        <w:t>Se invita al CDIP a tomar nota de la información contenida en el Anexo al presente documento.</w:t>
      </w:r>
    </w:p>
    <w:p w14:paraId="3E9B00E4" w14:textId="65BD2521" w:rsidR="00DC5515" w:rsidRDefault="00E12369" w:rsidP="00DC5515">
      <w:pPr>
        <w:spacing w:before="65"/>
        <w:ind w:left="5533"/>
        <w:rPr>
          <w:rFonts w:eastAsia="Arial"/>
          <w:szCs w:val="22"/>
        </w:rPr>
      </w:pPr>
      <w:r>
        <w:rPr>
          <w:rFonts w:eastAsia="Arial"/>
          <w:szCs w:val="22"/>
        </w:rPr>
        <w:t>[Sigue el Anexo]</w:t>
      </w:r>
      <w:bookmarkStart w:id="5" w:name="_GoBack"/>
      <w:bookmarkEnd w:id="5"/>
    </w:p>
    <w:p w14:paraId="24465721" w14:textId="77777777" w:rsidR="001818AF" w:rsidRPr="00C40B7D" w:rsidRDefault="001818AF" w:rsidP="00DC5515">
      <w:pPr>
        <w:spacing w:before="65"/>
        <w:ind w:left="5533"/>
        <w:sectPr w:rsidR="001818AF" w:rsidRPr="00C40B7D" w:rsidSect="0056771E">
          <w:headerReference w:type="even" r:id="rId9"/>
          <w:headerReference w:type="default" r:id="rId10"/>
          <w:footerReference w:type="even" r:id="rId11"/>
          <w:pgSz w:w="11907" w:h="16840" w:code="9"/>
          <w:pgMar w:top="510" w:right="1418" w:bottom="1418" w:left="1418" w:header="510" w:footer="1021" w:gutter="0"/>
          <w:pgNumType w:start="0"/>
          <w:cols w:space="720"/>
          <w:titlePg/>
          <w:docGrid w:linePitch="299"/>
        </w:sectPr>
      </w:pPr>
    </w:p>
    <w:p w14:paraId="5B7DFB73" w14:textId="77777777" w:rsidR="00DC5515" w:rsidRPr="00C40B7D" w:rsidRDefault="00E12369" w:rsidP="00DC5515">
      <w:pPr>
        <w:jc w:val="center"/>
        <w:rPr>
          <w:b/>
        </w:rPr>
      </w:pPr>
      <w:r>
        <w:rPr>
          <w:rFonts w:eastAsia="Arial"/>
          <w:b/>
          <w:bCs/>
          <w:szCs w:val="22"/>
        </w:rPr>
        <w:lastRenderedPageBreak/>
        <w:t>IDEAS EMPRENDEDORAS</w:t>
      </w:r>
    </w:p>
    <w:p w14:paraId="0B2455B4" w14:textId="77777777" w:rsidR="00DC5515" w:rsidRPr="00C40B7D" w:rsidRDefault="00E12369" w:rsidP="00DC5515">
      <w:pPr>
        <w:jc w:val="center"/>
        <w:rPr>
          <w:b/>
        </w:rPr>
      </w:pPr>
      <w:r>
        <w:rPr>
          <w:rFonts w:eastAsia="Arial"/>
          <w:b/>
          <w:bCs/>
          <w:szCs w:val="22"/>
        </w:rPr>
        <w:t>RESUMEN DE LA GUÍA DE PROPIEDAD INTELECTUAL PARA EMPRESAS EMERGENTES</w:t>
      </w:r>
      <w:r>
        <w:rPr>
          <w:rStyle w:val="FootnoteReference"/>
          <w:b/>
        </w:rPr>
        <w:footnoteReference w:id="2"/>
      </w:r>
    </w:p>
    <w:p w14:paraId="0BF89596" w14:textId="77777777" w:rsidR="00DC5515" w:rsidRPr="00C40B7D" w:rsidRDefault="00DC5515" w:rsidP="00DC5515">
      <w:pPr>
        <w:rPr>
          <w:b/>
          <w:highlight w:val="yellow"/>
        </w:rPr>
      </w:pPr>
    </w:p>
    <w:p w14:paraId="5A8F6200" w14:textId="041F7C39" w:rsidR="00DC5515" w:rsidRPr="007D51D0" w:rsidRDefault="00E12369" w:rsidP="00DC5515">
      <w:r w:rsidRPr="00C40B7D">
        <w:rPr>
          <w:rFonts w:eastAsia="Arial"/>
          <w:color w:val="000000" w:themeColor="text1"/>
          <w:szCs w:val="22"/>
        </w:rPr>
        <w:t xml:space="preserve">El documento </w:t>
      </w:r>
      <w:hyperlink r:id="rId12" w:history="1">
        <w:r>
          <w:rPr>
            <w:rFonts w:eastAsia="Arial"/>
            <w:i/>
            <w:iCs/>
            <w:color w:val="0000FF"/>
            <w:szCs w:val="22"/>
            <w:u w:val="single"/>
          </w:rPr>
          <w:t>Ideas emprendedoras: Guía de propiedad intelectual para empresas emergentes</w:t>
        </w:r>
      </w:hyperlink>
      <w:r>
        <w:rPr>
          <w:rStyle w:val="FootnoteReference"/>
        </w:rPr>
        <w:footnoteReference w:id="3"/>
      </w:r>
      <w:r>
        <w:rPr>
          <w:rFonts w:eastAsia="Arial"/>
          <w:color w:val="0000FF"/>
          <w:szCs w:val="22"/>
        </w:rPr>
        <w:t xml:space="preserve"> </w:t>
      </w:r>
      <w:r w:rsidR="00E349D9">
        <w:rPr>
          <w:rFonts w:eastAsia="Arial"/>
          <w:color w:val="000000" w:themeColor="text1"/>
          <w:szCs w:val="22"/>
        </w:rPr>
        <w:t>se ha concebido como</w:t>
      </w:r>
      <w:r w:rsidRPr="00C40B7D">
        <w:rPr>
          <w:rFonts w:eastAsia="Arial"/>
          <w:color w:val="000000" w:themeColor="text1"/>
          <w:szCs w:val="22"/>
        </w:rPr>
        <w:t xml:space="preserve"> una guía fácil de usar </w:t>
      </w:r>
      <w:r w:rsidR="00E349D9">
        <w:rPr>
          <w:rFonts w:eastAsia="Arial"/>
          <w:color w:val="000000" w:themeColor="text1"/>
          <w:szCs w:val="22"/>
        </w:rPr>
        <w:t>dirigida a</w:t>
      </w:r>
      <w:r w:rsidRPr="00C40B7D">
        <w:rPr>
          <w:rFonts w:eastAsia="Arial"/>
          <w:color w:val="000000" w:themeColor="text1"/>
          <w:szCs w:val="22"/>
        </w:rPr>
        <w:t xml:space="preserve"> </w:t>
      </w:r>
      <w:r w:rsidR="00106F07">
        <w:rPr>
          <w:rFonts w:eastAsia="Arial"/>
          <w:color w:val="000000" w:themeColor="text1"/>
          <w:szCs w:val="22"/>
        </w:rPr>
        <w:t>quienes se estrenan</w:t>
      </w:r>
      <w:r w:rsidRPr="00C40B7D">
        <w:rPr>
          <w:rFonts w:eastAsia="Arial"/>
          <w:color w:val="000000" w:themeColor="text1"/>
          <w:szCs w:val="22"/>
        </w:rPr>
        <w:t xml:space="preserve"> en el mundo del emprendimiento </w:t>
      </w:r>
      <w:r w:rsidR="00E349D9">
        <w:rPr>
          <w:rFonts w:eastAsia="Arial"/>
          <w:color w:val="000000" w:themeColor="text1"/>
          <w:szCs w:val="22"/>
        </w:rPr>
        <w:t xml:space="preserve">para que </w:t>
      </w:r>
      <w:r w:rsidRPr="00C40B7D">
        <w:rPr>
          <w:rFonts w:eastAsia="Arial"/>
          <w:color w:val="000000" w:themeColor="text1"/>
          <w:szCs w:val="22"/>
        </w:rPr>
        <w:t xml:space="preserve">comprendan </w:t>
      </w:r>
      <w:r w:rsidR="00C9192B">
        <w:rPr>
          <w:rFonts w:eastAsia="Arial"/>
          <w:color w:val="000000" w:themeColor="text1"/>
          <w:szCs w:val="22"/>
        </w:rPr>
        <w:t>las alternativas que ofrece el</w:t>
      </w:r>
      <w:r w:rsidRPr="00C40B7D">
        <w:rPr>
          <w:rFonts w:eastAsia="Arial"/>
          <w:color w:val="000000" w:themeColor="text1"/>
          <w:szCs w:val="22"/>
        </w:rPr>
        <w:t xml:space="preserve"> sistema de propiedad intelectual (PI) en las diferentes etapas del camino de las empresas emergentes. El sistema de PI desempeña un papel fundamental a lo largo de este camino y debe estar plenamente integrado en la estrategia empresarial de la empresa </w:t>
      </w:r>
      <w:r w:rsidRPr="007D51D0">
        <w:rPr>
          <w:rFonts w:eastAsia="Arial"/>
          <w:szCs w:val="22"/>
        </w:rPr>
        <w:t xml:space="preserve">emergente </w:t>
      </w:r>
      <w:r w:rsidR="008E6722" w:rsidRPr="007D51D0">
        <w:rPr>
          <w:rFonts w:eastAsia="Arial"/>
          <w:szCs w:val="22"/>
        </w:rPr>
        <w:t>al objeto de</w:t>
      </w:r>
      <w:r w:rsidRPr="007D51D0">
        <w:rPr>
          <w:rFonts w:eastAsia="Arial"/>
          <w:szCs w:val="22"/>
        </w:rPr>
        <w:t xml:space="preserve"> servirle de apoyo. Esta publicación ofrece orientación sobre el uso del sistema de PI por parte de las empresas emergentes con el fin de que sigan siendo competitivas y comprendan los riesgos que pueden derivarse de pasarlo por alto. La guía se centra en una empresa emergente que pretende introducir en el mercado una solución innovadora basada en la tecnología; no obstante, los principios serán igualmente útiles para las empresas emergentes que no estén basadas en la tecnología, pero que atesoren una idea de marketing novedosa, que se dirijan a un nicho de mercado o que presten un servicio innovador. El sistema de PI tiene algo que ofrecer a todas las empresas emergentes, si bien a algunas más que a otras.</w:t>
      </w:r>
    </w:p>
    <w:p w14:paraId="49AF70EB" w14:textId="77777777" w:rsidR="00DC5515" w:rsidRPr="00C40B7D" w:rsidRDefault="00DC5515" w:rsidP="00DC5515"/>
    <w:p w14:paraId="6A8BB5D2" w14:textId="3F200835" w:rsidR="00DC5515" w:rsidRPr="00C40B7D" w:rsidRDefault="00E12369" w:rsidP="00DC5515">
      <w:r>
        <w:rPr>
          <w:rFonts w:eastAsia="Arial"/>
          <w:szCs w:val="22"/>
        </w:rPr>
        <w:t xml:space="preserve">Las secciones de la guía siguen la trayectoria de una empresa emergente desde la </w:t>
      </w:r>
      <w:r w:rsidR="00E349D9">
        <w:rPr>
          <w:rFonts w:eastAsia="Arial"/>
          <w:szCs w:val="22"/>
        </w:rPr>
        <w:t xml:space="preserve">concepción de la </w:t>
      </w:r>
      <w:r>
        <w:rPr>
          <w:rFonts w:eastAsia="Arial"/>
          <w:szCs w:val="22"/>
        </w:rPr>
        <w:t xml:space="preserve">idea hasta </w:t>
      </w:r>
      <w:r w:rsidR="00E349D9">
        <w:rPr>
          <w:rFonts w:eastAsia="Arial"/>
          <w:szCs w:val="22"/>
        </w:rPr>
        <w:t xml:space="preserve">su puesta a disposición en </w:t>
      </w:r>
      <w:r>
        <w:rPr>
          <w:rFonts w:eastAsia="Arial"/>
          <w:szCs w:val="22"/>
        </w:rPr>
        <w:t>el mercado. Comienza con la sección titulada “Proteger su innovación”, en la que se analiza la importancia de los derechos de PI para proteger las innovaciones y se explica cómo pueden utilizarse las patentes, los secretos comerciales y el derecho de autor a fin de obtener la titularidad de soluciones innovadoras y creativas.</w:t>
      </w:r>
    </w:p>
    <w:p w14:paraId="0CCB19F3" w14:textId="77777777" w:rsidR="00DC5515" w:rsidRPr="00C40B7D" w:rsidRDefault="00DC5515" w:rsidP="00DC5515"/>
    <w:p w14:paraId="66AF3EE4" w14:textId="175DC918" w:rsidR="00DC5515" w:rsidRPr="00C40B7D" w:rsidRDefault="00E12369" w:rsidP="00DC5515">
      <w:r>
        <w:rPr>
          <w:rFonts w:eastAsia="Arial"/>
          <w:szCs w:val="22"/>
        </w:rPr>
        <w:t>No obstante, no basta con tener un buen producto. Es necesario convencer a los clientes de que lo compren. En un mercado competitivo en el que muchos productos similares se disputan el interés</w:t>
      </w:r>
      <w:r w:rsidR="00EA4FF9">
        <w:rPr>
          <w:rFonts w:eastAsia="Arial"/>
          <w:szCs w:val="22"/>
        </w:rPr>
        <w:t xml:space="preserve"> de los clientes</w:t>
      </w:r>
      <w:r>
        <w:rPr>
          <w:rFonts w:eastAsia="Arial"/>
          <w:szCs w:val="22"/>
        </w:rPr>
        <w:t xml:space="preserve">, la empresa tiene que idear formas creativas de </w:t>
      </w:r>
      <w:r w:rsidR="00EA4FF9">
        <w:rPr>
          <w:rFonts w:eastAsia="Arial"/>
          <w:szCs w:val="22"/>
        </w:rPr>
        <w:t>atraerlos</w:t>
      </w:r>
      <w:r>
        <w:rPr>
          <w:rFonts w:eastAsia="Arial"/>
          <w:szCs w:val="22"/>
        </w:rPr>
        <w:t xml:space="preserve"> hacia </w:t>
      </w:r>
      <w:r w:rsidR="00E349D9">
        <w:rPr>
          <w:rFonts w:eastAsia="Arial"/>
          <w:szCs w:val="22"/>
        </w:rPr>
        <w:t>sus</w:t>
      </w:r>
      <w:r>
        <w:rPr>
          <w:rFonts w:eastAsia="Arial"/>
          <w:szCs w:val="22"/>
        </w:rPr>
        <w:t xml:space="preserve"> producto</w:t>
      </w:r>
      <w:r w:rsidR="00E349D9">
        <w:rPr>
          <w:rFonts w:eastAsia="Arial"/>
          <w:szCs w:val="22"/>
        </w:rPr>
        <w:t>s</w:t>
      </w:r>
      <w:r>
        <w:rPr>
          <w:rFonts w:eastAsia="Arial"/>
          <w:szCs w:val="22"/>
        </w:rPr>
        <w:t xml:space="preserve"> y alejarlos de los de sus competidores. A este respecto, la sección titulada "Distinguir su producto en el mercado" habla de logotipos, diseños y otros aspectos creativos que se utilizan para crear un producto distintivo y atractivo y de cómo pueden protegerse gracias a los </w:t>
      </w:r>
      <w:r w:rsidRPr="00833256">
        <w:rPr>
          <w:rFonts w:eastAsia="Arial"/>
          <w:szCs w:val="22"/>
        </w:rPr>
        <w:t>derechos de marcas, de diseño y de autor.</w:t>
      </w:r>
    </w:p>
    <w:p w14:paraId="6C0C92D5" w14:textId="77777777" w:rsidR="00DC5515" w:rsidRPr="00C40B7D" w:rsidRDefault="00DC5515" w:rsidP="00DC5515"/>
    <w:p w14:paraId="3969E5B2" w14:textId="03F86787" w:rsidR="00DC5515" w:rsidRPr="00C40B7D" w:rsidRDefault="00E12369" w:rsidP="00DC5515">
      <w:r>
        <w:rPr>
          <w:rFonts w:eastAsia="Arial"/>
          <w:szCs w:val="22"/>
        </w:rPr>
        <w:t>En la sección “Expandirse internacionalmente”</w:t>
      </w:r>
      <w:r w:rsidR="00B86D2B">
        <w:rPr>
          <w:rFonts w:eastAsia="Arial"/>
          <w:szCs w:val="22"/>
        </w:rPr>
        <w:t>,</w:t>
      </w:r>
      <w:r>
        <w:rPr>
          <w:rFonts w:eastAsia="Arial"/>
          <w:szCs w:val="22"/>
        </w:rPr>
        <w:t xml:space="preserve"> se prepara a la empresa emergente para su expansión internacional. </w:t>
      </w:r>
      <w:r w:rsidR="00EB40A3">
        <w:rPr>
          <w:rFonts w:eastAsia="Arial"/>
          <w:szCs w:val="22"/>
        </w:rPr>
        <w:t xml:space="preserve">A partir </w:t>
      </w:r>
      <w:r>
        <w:rPr>
          <w:rFonts w:eastAsia="Arial"/>
          <w:szCs w:val="22"/>
        </w:rPr>
        <w:t>del principio fundamental de territorialidad, que establece que los derechos de PI se circunscriben al territorio en el que se han obtenido, en este capítulo se analizan las oportunidades que ofrecen los sistemas que administra la OMPI para la presentación de solicitudes a escala internacional. Se detalla, por ende, la posibilidad de solicitar protección en varios países a través del Tratado de Cooperación en materia de Patentes (PCT), el Sistema de Madrid y el Sistema de La Haya.</w:t>
      </w:r>
    </w:p>
    <w:p w14:paraId="2E9DC24B" w14:textId="77777777" w:rsidR="00DC5515" w:rsidRPr="00C40B7D" w:rsidRDefault="00DC5515" w:rsidP="00DC5515"/>
    <w:p w14:paraId="75338EE9" w14:textId="6D374A59" w:rsidR="00DC5515" w:rsidRPr="00C40B7D" w:rsidRDefault="00E12369" w:rsidP="00DC5515">
      <w:r>
        <w:rPr>
          <w:rFonts w:eastAsia="Arial"/>
          <w:szCs w:val="22"/>
        </w:rPr>
        <w:t xml:space="preserve">En “Otras estrategias para explotar la PI”, se exponen las diferentes opciones para utilizar los derechos de PI, que </w:t>
      </w:r>
      <w:r w:rsidR="005D6242">
        <w:rPr>
          <w:rFonts w:eastAsia="Arial"/>
          <w:szCs w:val="22"/>
        </w:rPr>
        <w:t>en</w:t>
      </w:r>
      <w:r w:rsidR="00B86D2B">
        <w:rPr>
          <w:rFonts w:eastAsia="Arial"/>
          <w:szCs w:val="22"/>
        </w:rPr>
        <w:t xml:space="preserve"> este punto ya</w:t>
      </w:r>
      <w:r>
        <w:rPr>
          <w:rFonts w:eastAsia="Arial"/>
          <w:szCs w:val="22"/>
        </w:rPr>
        <w:t xml:space="preserve"> son activos empresariales</w:t>
      </w:r>
      <w:r w:rsidR="00B86D2B">
        <w:rPr>
          <w:rFonts w:eastAsia="Arial"/>
          <w:szCs w:val="22"/>
        </w:rPr>
        <w:t>,</w:t>
      </w:r>
      <w:r>
        <w:rPr>
          <w:rFonts w:eastAsia="Arial"/>
          <w:szCs w:val="22"/>
        </w:rPr>
        <w:t xml:space="preserve"> </w:t>
      </w:r>
      <w:r w:rsidR="00AC4BCA">
        <w:rPr>
          <w:rFonts w:eastAsia="Arial"/>
          <w:szCs w:val="22"/>
        </w:rPr>
        <w:t xml:space="preserve">al objeto de </w:t>
      </w:r>
      <w:r>
        <w:rPr>
          <w:rFonts w:eastAsia="Arial"/>
          <w:szCs w:val="22"/>
        </w:rPr>
        <w:t>aumentar los ingresos mediante la</w:t>
      </w:r>
      <w:r w:rsidR="00AC4BCA">
        <w:rPr>
          <w:rFonts w:eastAsia="Arial"/>
          <w:szCs w:val="22"/>
        </w:rPr>
        <w:t xml:space="preserve"> venta y la</w:t>
      </w:r>
      <w:r>
        <w:rPr>
          <w:rFonts w:eastAsia="Arial"/>
          <w:szCs w:val="22"/>
        </w:rPr>
        <w:t xml:space="preserve"> concesión de licencias, </w:t>
      </w:r>
      <w:r w:rsidR="00B86D2B">
        <w:rPr>
          <w:rFonts w:eastAsia="Arial"/>
          <w:szCs w:val="22"/>
        </w:rPr>
        <w:t>para</w:t>
      </w:r>
      <w:r>
        <w:rPr>
          <w:rFonts w:eastAsia="Arial"/>
          <w:szCs w:val="22"/>
        </w:rPr>
        <w:t xml:space="preserve"> obtener financiación y</w:t>
      </w:r>
      <w:r w:rsidR="00B86D2B">
        <w:rPr>
          <w:rFonts w:eastAsia="Arial"/>
          <w:szCs w:val="22"/>
        </w:rPr>
        <w:t xml:space="preserve"> </w:t>
      </w:r>
      <w:r>
        <w:rPr>
          <w:rFonts w:eastAsia="Arial"/>
          <w:szCs w:val="22"/>
        </w:rPr>
        <w:t>captar socios y colaboradores.</w:t>
      </w:r>
    </w:p>
    <w:p w14:paraId="55FE6E6A" w14:textId="77777777" w:rsidR="00DC5515" w:rsidRPr="00C40B7D" w:rsidRDefault="00DC5515" w:rsidP="00DC5515"/>
    <w:p w14:paraId="1CDEB665" w14:textId="3DBD2A03" w:rsidR="00DC5515" w:rsidRPr="00C40B7D" w:rsidRDefault="00E12369" w:rsidP="00DC5515">
      <w:r>
        <w:rPr>
          <w:rFonts w:eastAsia="Arial"/>
          <w:szCs w:val="22"/>
        </w:rPr>
        <w:t xml:space="preserve">La PI </w:t>
      </w:r>
      <w:r w:rsidR="005941B4">
        <w:rPr>
          <w:rFonts w:eastAsia="Arial"/>
          <w:szCs w:val="22"/>
        </w:rPr>
        <w:t xml:space="preserve">es </w:t>
      </w:r>
      <w:r w:rsidR="00D71339">
        <w:rPr>
          <w:rFonts w:eastAsia="Arial"/>
          <w:szCs w:val="22"/>
        </w:rPr>
        <w:t xml:space="preserve">también </w:t>
      </w:r>
      <w:r w:rsidR="005941B4">
        <w:rPr>
          <w:rFonts w:eastAsia="Arial"/>
          <w:szCs w:val="22"/>
        </w:rPr>
        <w:t xml:space="preserve">una cuestión </w:t>
      </w:r>
      <w:r w:rsidR="00835DAD">
        <w:rPr>
          <w:rFonts w:eastAsia="Arial"/>
          <w:szCs w:val="22"/>
        </w:rPr>
        <w:t>esencial en materia de</w:t>
      </w:r>
      <w:r w:rsidR="00D71339">
        <w:rPr>
          <w:rFonts w:eastAsia="Arial"/>
          <w:szCs w:val="22"/>
        </w:rPr>
        <w:t xml:space="preserve"> gestión de riesgos</w:t>
      </w:r>
      <w:r>
        <w:rPr>
          <w:rFonts w:eastAsia="Arial"/>
          <w:szCs w:val="22"/>
        </w:rPr>
        <w:t xml:space="preserve">. Aunque una empresa emergente considere que el sistema de PI no le aporta ningún valor, es preciso </w:t>
      </w:r>
      <w:r w:rsidR="00835DAD">
        <w:rPr>
          <w:rFonts w:eastAsia="Arial"/>
          <w:szCs w:val="22"/>
        </w:rPr>
        <w:t xml:space="preserve">que sepa </w:t>
      </w:r>
      <w:r>
        <w:rPr>
          <w:rFonts w:eastAsia="Arial"/>
          <w:szCs w:val="22"/>
        </w:rPr>
        <w:t xml:space="preserve">cómo </w:t>
      </w:r>
      <w:r w:rsidR="00D71339">
        <w:rPr>
          <w:rFonts w:eastAsia="Arial"/>
          <w:szCs w:val="22"/>
        </w:rPr>
        <w:lastRenderedPageBreak/>
        <w:t>este</w:t>
      </w:r>
      <w:r>
        <w:rPr>
          <w:rFonts w:eastAsia="Arial"/>
          <w:szCs w:val="22"/>
        </w:rPr>
        <w:t xml:space="preserve"> puede afectar</w:t>
      </w:r>
      <w:r w:rsidR="00D71339">
        <w:rPr>
          <w:rFonts w:eastAsia="Arial"/>
          <w:szCs w:val="22"/>
        </w:rPr>
        <w:t xml:space="preserve">le </w:t>
      </w:r>
      <w:r w:rsidR="00947AF8">
        <w:rPr>
          <w:rFonts w:eastAsia="Arial"/>
          <w:szCs w:val="22"/>
        </w:rPr>
        <w:t>en lo que respecta a</w:t>
      </w:r>
      <w:r>
        <w:rPr>
          <w:rFonts w:eastAsia="Arial"/>
          <w:szCs w:val="22"/>
        </w:rPr>
        <w:t xml:space="preserve"> la gestión de riesgos. En la sección “Gestión de riesgos” se profundiza en este tema.</w:t>
      </w:r>
    </w:p>
    <w:p w14:paraId="27080B06" w14:textId="77777777" w:rsidR="00DC5515" w:rsidRPr="00C40B7D" w:rsidRDefault="00DC5515" w:rsidP="00DC5515"/>
    <w:p w14:paraId="7A9B9FD8" w14:textId="1275B978" w:rsidR="00DC5515" w:rsidRPr="00C40B7D" w:rsidRDefault="00E12369" w:rsidP="00DC5515">
      <w:r>
        <w:rPr>
          <w:rFonts w:eastAsia="Arial"/>
          <w:szCs w:val="22"/>
        </w:rPr>
        <w:t xml:space="preserve">La guía también aborda dos </w:t>
      </w:r>
      <w:r w:rsidR="00C93B75">
        <w:rPr>
          <w:rFonts w:eastAsia="Arial"/>
          <w:szCs w:val="22"/>
        </w:rPr>
        <w:t>ámbitos</w:t>
      </w:r>
      <w:r>
        <w:rPr>
          <w:rFonts w:eastAsia="Arial"/>
          <w:szCs w:val="22"/>
        </w:rPr>
        <w:t xml:space="preserve"> transversales</w:t>
      </w:r>
      <w:r w:rsidR="00C93B75">
        <w:rPr>
          <w:rFonts w:eastAsia="Arial"/>
          <w:szCs w:val="22"/>
        </w:rPr>
        <w:t xml:space="preserve"> de gran envergadura</w:t>
      </w:r>
      <w:r>
        <w:rPr>
          <w:rFonts w:eastAsia="Arial"/>
          <w:szCs w:val="22"/>
        </w:rPr>
        <w:t xml:space="preserve">, a saber, la ejecución de una auditoría de PI y las bases de datos de PI. La auditoría de PI puede ser pertinente en diferentes etapas de una empresa y estar motivada por diferentes circunstancias. Asimismo, las bases de datos de PI son un recurso extraordinario que proporciona a las empresas emergentes información </w:t>
      </w:r>
      <w:r w:rsidR="00947AF8">
        <w:rPr>
          <w:rFonts w:eastAsia="Arial"/>
          <w:szCs w:val="22"/>
        </w:rPr>
        <w:t>susceptible de</w:t>
      </w:r>
      <w:r>
        <w:rPr>
          <w:rFonts w:eastAsia="Arial"/>
          <w:szCs w:val="22"/>
        </w:rPr>
        <w:t xml:space="preserve"> servirles de inspiración, ayudarles a evitar infracciones, comprender las tendencias y encontrar socios, entre otras cosas. Las dos últimas secciones tratan estos temas.</w:t>
      </w:r>
    </w:p>
    <w:p w14:paraId="3F502A4A" w14:textId="77777777" w:rsidR="00DC5515" w:rsidRPr="00C40B7D" w:rsidRDefault="00DC5515" w:rsidP="00DC5515"/>
    <w:p w14:paraId="01732670" w14:textId="758531ED" w:rsidR="00DC5515" w:rsidRPr="00C40B7D" w:rsidRDefault="00E12369" w:rsidP="00DC5515">
      <w:r>
        <w:rPr>
          <w:rFonts w:eastAsia="Arial"/>
          <w:szCs w:val="22"/>
        </w:rPr>
        <w:t xml:space="preserve">Por último, la guía presenta estudios de casos de empresarias de éxito de todo el mundo </w:t>
      </w:r>
      <w:r w:rsidR="00947AF8">
        <w:rPr>
          <w:rFonts w:eastAsia="Arial"/>
          <w:szCs w:val="22"/>
        </w:rPr>
        <w:t xml:space="preserve">e </w:t>
      </w:r>
      <w:r>
        <w:rPr>
          <w:rFonts w:eastAsia="Arial"/>
          <w:szCs w:val="22"/>
        </w:rPr>
        <w:t xml:space="preserve">ilustra cómo </w:t>
      </w:r>
      <w:r w:rsidR="00947AF8">
        <w:rPr>
          <w:rFonts w:eastAsia="Arial"/>
          <w:szCs w:val="22"/>
        </w:rPr>
        <w:t xml:space="preserve">estas </w:t>
      </w:r>
      <w:r>
        <w:rPr>
          <w:rFonts w:eastAsia="Arial"/>
          <w:szCs w:val="22"/>
        </w:rPr>
        <w:t>utilizan el sistema de PI para consolidar sus empresas.</w:t>
      </w:r>
    </w:p>
    <w:p w14:paraId="39964A17" w14:textId="77777777" w:rsidR="00DC5515" w:rsidRPr="00C40B7D" w:rsidRDefault="00DC5515" w:rsidP="00DC5515"/>
    <w:p w14:paraId="55A51F0F" w14:textId="3A070216" w:rsidR="00DC5515" w:rsidRPr="00C40B7D" w:rsidRDefault="00E12369" w:rsidP="00DC5515">
      <w:pPr>
        <w:spacing w:after="600"/>
      </w:pPr>
      <w:r>
        <w:rPr>
          <w:rFonts w:eastAsia="Arial"/>
          <w:szCs w:val="22"/>
        </w:rPr>
        <w:t xml:space="preserve">La guía está disponible en árabe, chino, español, francés, inglés, ruso y japonés. Se puede acceder a ella en: </w:t>
      </w:r>
      <w:hyperlink r:id="rId13" w:history="1">
        <w:r>
          <w:rPr>
            <w:rFonts w:eastAsia="Arial"/>
            <w:color w:val="0000FF"/>
            <w:szCs w:val="22"/>
            <w:u w:val="single"/>
          </w:rPr>
          <w:t>https://www.wipo.int/publications/es/details.jsp?id=4545</w:t>
        </w:r>
      </w:hyperlink>
      <w:r>
        <w:rPr>
          <w:rFonts w:eastAsia="Arial"/>
          <w:szCs w:val="22"/>
        </w:rPr>
        <w:t>.</w:t>
      </w:r>
    </w:p>
    <w:p w14:paraId="3AA56B6D" w14:textId="77777777" w:rsidR="00152CEA" w:rsidRPr="00C40B7D" w:rsidRDefault="00E12369" w:rsidP="00DC5515">
      <w:pPr>
        <w:pStyle w:val="Endofdocument-Annex"/>
        <w:ind w:left="5533"/>
        <w:rPr>
          <w:lang w:val="es-ES"/>
        </w:rPr>
      </w:pPr>
      <w:r>
        <w:rPr>
          <w:rFonts w:eastAsia="Arial"/>
          <w:szCs w:val="22"/>
          <w:lang w:val="es-ES"/>
        </w:rPr>
        <w:t>[Fin del Anexo y del documento]</w:t>
      </w:r>
    </w:p>
    <w:sectPr w:rsidR="00152CEA" w:rsidRPr="00C40B7D" w:rsidSect="00DC5515">
      <w:headerReference w:type="default" r:id="rId14"/>
      <w:headerReference w:type="first" r:id="rId15"/>
      <w:pgSz w:w="11907" w:h="16840" w:code="9"/>
      <w:pgMar w:top="567" w:right="1134" w:bottom="1418" w:left="1418" w:header="510" w:footer="1021"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6190" w16cex:dateUtc="2022-04-27T04:30:00Z"/>
  <w16cex:commentExtensible w16cex:durableId="2611A3E9" w16cex:dateUtc="2022-04-25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195148" w16cid:durableId="26136190"/>
  <w16cid:commentId w16cid:paraId="6904CEF8" w16cid:durableId="2611A3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C3D25" w14:textId="77777777" w:rsidR="00183B03" w:rsidRDefault="00183B03">
      <w:r>
        <w:separator/>
      </w:r>
    </w:p>
  </w:endnote>
  <w:endnote w:type="continuationSeparator" w:id="0">
    <w:p w14:paraId="45A56FE8" w14:textId="77777777" w:rsidR="00183B03" w:rsidRDefault="0018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458C7" w14:textId="77777777" w:rsidR="00DC5515" w:rsidRDefault="00DC5515" w:rsidP="008934B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4EE54" w14:textId="77777777" w:rsidR="00183B03" w:rsidRDefault="00183B03">
      <w:r>
        <w:separator/>
      </w:r>
    </w:p>
  </w:footnote>
  <w:footnote w:type="continuationSeparator" w:id="0">
    <w:p w14:paraId="6DCF4B43" w14:textId="77777777" w:rsidR="00183B03" w:rsidRPr="009D30E6" w:rsidRDefault="00183B03" w:rsidP="007E663E">
      <w:pPr>
        <w:rPr>
          <w:sz w:val="17"/>
          <w:szCs w:val="17"/>
        </w:rPr>
      </w:pPr>
      <w:r w:rsidRPr="009D30E6">
        <w:rPr>
          <w:sz w:val="17"/>
          <w:szCs w:val="17"/>
        </w:rPr>
        <w:separator/>
      </w:r>
    </w:p>
    <w:p w14:paraId="44874C8A" w14:textId="77777777" w:rsidR="00183B03" w:rsidRPr="007E663E" w:rsidRDefault="00183B03" w:rsidP="007E663E">
      <w:pPr>
        <w:spacing w:after="60"/>
        <w:rPr>
          <w:sz w:val="17"/>
          <w:szCs w:val="17"/>
        </w:rPr>
      </w:pPr>
      <w:r>
        <w:rPr>
          <w:sz w:val="17"/>
        </w:rPr>
        <w:t>[Continuación de la nota de la página anterior]</w:t>
      </w:r>
    </w:p>
  </w:footnote>
  <w:footnote w:type="continuationNotice" w:id="1">
    <w:p w14:paraId="56115582" w14:textId="77777777" w:rsidR="00183B03" w:rsidRPr="007E663E" w:rsidRDefault="00183B03" w:rsidP="007E663E">
      <w:pPr>
        <w:spacing w:before="60"/>
        <w:jc w:val="right"/>
        <w:rPr>
          <w:sz w:val="17"/>
          <w:szCs w:val="17"/>
        </w:rPr>
      </w:pPr>
      <w:r w:rsidRPr="007E663E">
        <w:rPr>
          <w:sz w:val="17"/>
          <w:szCs w:val="17"/>
        </w:rPr>
        <w:t>[Sigue la nota en la página siguiente]</w:t>
      </w:r>
    </w:p>
  </w:footnote>
  <w:footnote w:id="2">
    <w:p w14:paraId="57640EBD" w14:textId="356AF1AF" w:rsidR="00DC5515" w:rsidRPr="00C40B7D" w:rsidRDefault="00E12369" w:rsidP="00DC5515">
      <w:pPr>
        <w:pStyle w:val="FootnoteText"/>
      </w:pPr>
      <w:r>
        <w:rPr>
          <w:rStyle w:val="FootnoteReference"/>
        </w:rPr>
        <w:footnoteRef/>
      </w:r>
      <w:r>
        <w:rPr>
          <w:rFonts w:eastAsia="Arial"/>
          <w:szCs w:val="18"/>
        </w:rPr>
        <w:t xml:space="preserve"> Esta guía se ha elaborado en el </w:t>
      </w:r>
      <w:r w:rsidR="00931251">
        <w:rPr>
          <w:rFonts w:eastAsia="Arial"/>
          <w:szCs w:val="18"/>
        </w:rPr>
        <w:t xml:space="preserve">marco </w:t>
      </w:r>
      <w:r>
        <w:rPr>
          <w:rFonts w:eastAsia="Arial"/>
          <w:szCs w:val="18"/>
        </w:rPr>
        <w:t xml:space="preserve">del proyecto de la Agenda para el Desarrollo sobre </w:t>
      </w:r>
      <w:hyperlink r:id="rId1" w:history="1">
        <w:r>
          <w:rPr>
            <w:rFonts w:eastAsia="Arial"/>
            <w:color w:val="0000FF"/>
            <w:szCs w:val="18"/>
          </w:rPr>
          <w:t>“</w:t>
        </w:r>
        <w:r>
          <w:rPr>
            <w:rFonts w:eastAsia="Arial"/>
            <w:color w:val="0000FF"/>
            <w:szCs w:val="18"/>
            <w:u w:val="single"/>
          </w:rPr>
          <w:t>Fortalecimiento del papel de las mujeres en la innovación y el emprendimiento: Alentar a las mujeres de países en desarrollo a utilizar el sistema de propiedad intelectual</w:t>
        </w:r>
        <w:r>
          <w:rPr>
            <w:rFonts w:eastAsia="Arial"/>
            <w:color w:val="0000FF"/>
            <w:szCs w:val="18"/>
          </w:rPr>
          <w:t>”</w:t>
        </w:r>
      </w:hyperlink>
      <w:r>
        <w:rPr>
          <w:rFonts w:eastAsia="Arial"/>
          <w:szCs w:val="18"/>
        </w:rPr>
        <w:t>.</w:t>
      </w:r>
    </w:p>
  </w:footnote>
  <w:footnote w:id="3">
    <w:p w14:paraId="34965336" w14:textId="59C57D10" w:rsidR="00DC5515" w:rsidRPr="00C40B7D" w:rsidRDefault="00E12369" w:rsidP="00DC5515">
      <w:pPr>
        <w:pStyle w:val="FootnoteText"/>
      </w:pPr>
      <w:r>
        <w:rPr>
          <w:rStyle w:val="FootnoteReference"/>
        </w:rPr>
        <w:footnoteRef/>
      </w:r>
      <w:r>
        <w:rPr>
          <w:rFonts w:eastAsia="Arial"/>
          <w:szCs w:val="18"/>
        </w:rPr>
        <w:t xml:space="preserve"> El primer proyecto de la guía fue </w:t>
      </w:r>
      <w:r w:rsidR="00743CD1">
        <w:rPr>
          <w:rFonts w:eastAsia="Arial"/>
          <w:szCs w:val="18"/>
        </w:rPr>
        <w:t xml:space="preserve">redactado </w:t>
      </w:r>
      <w:r>
        <w:rPr>
          <w:rFonts w:eastAsia="Arial"/>
          <w:szCs w:val="18"/>
        </w:rPr>
        <w:t>por el Sr. Omer Hiziroglu, socio gerente de TLS.IP, con sede en Estambul (Turquía).</w:t>
      </w:r>
      <w:r w:rsidR="00931251">
        <w:rPr>
          <w:rFonts w:eastAsia="Arial"/>
          <w:szCs w:val="18"/>
        </w:rPr>
        <w:t xml:space="preserve"> </w:t>
      </w:r>
      <w:r w:rsidR="00743CD1">
        <w:rPr>
          <w:rFonts w:eastAsia="Arial"/>
          <w:szCs w:val="18"/>
        </w:rPr>
        <w:t>La elaboración de la guía se basó en el concepto aportado por la</w:t>
      </w:r>
      <w:r>
        <w:rPr>
          <w:rFonts w:eastAsia="Arial"/>
          <w:szCs w:val="18"/>
        </w:rPr>
        <w:t xml:space="preserve"> Sra. Tamara Nanayakkara, asesora de la División de PI para las Empresas</w:t>
      </w:r>
      <w:r w:rsidR="00931251">
        <w:rPr>
          <w:rFonts w:eastAsia="Arial"/>
          <w:szCs w:val="18"/>
        </w:rPr>
        <w:t xml:space="preserve">, </w:t>
      </w:r>
      <w:r w:rsidR="00743CD1">
        <w:rPr>
          <w:rFonts w:eastAsia="Arial"/>
          <w:szCs w:val="18"/>
        </w:rPr>
        <w:t xml:space="preserve">quien </w:t>
      </w:r>
      <w:r w:rsidR="00931251">
        <w:rPr>
          <w:rFonts w:eastAsia="Arial"/>
          <w:szCs w:val="18"/>
        </w:rPr>
        <w:t xml:space="preserve">asumió la gestión </w:t>
      </w:r>
      <w:r w:rsidR="00743CD1">
        <w:rPr>
          <w:rFonts w:eastAsia="Arial"/>
          <w:szCs w:val="18"/>
        </w:rPr>
        <w:t xml:space="preserve">y la coordinación </w:t>
      </w:r>
      <w:r w:rsidR="00931251">
        <w:rPr>
          <w:rFonts w:eastAsia="Arial"/>
          <w:szCs w:val="18"/>
        </w:rPr>
        <w:t>del proyecto</w:t>
      </w:r>
      <w:r w:rsidR="00743CD1">
        <w:rPr>
          <w:rFonts w:eastAsia="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5C0F" w14:textId="77777777" w:rsidR="00DC5515" w:rsidRDefault="00E12369" w:rsidP="00B53986">
    <w:pPr>
      <w:pStyle w:val="Header"/>
      <w:jc w:val="right"/>
    </w:pPr>
    <w:r>
      <w:rPr>
        <w:rFonts w:eastAsia="Arial"/>
        <w:szCs w:val="22"/>
      </w:rPr>
      <w:t>CDIP/28/4</w:t>
    </w:r>
  </w:p>
  <w:p w14:paraId="652C7D45" w14:textId="77777777" w:rsidR="00DC5515" w:rsidRDefault="00E12369" w:rsidP="00B53986">
    <w:pPr>
      <w:pStyle w:val="Header"/>
      <w:jc w:val="right"/>
    </w:pPr>
    <w:r>
      <w:rPr>
        <w:rFonts w:eastAsia="Arial"/>
        <w:szCs w:val="22"/>
      </w:rPr>
      <w:t xml:space="preserve">Anexo, página </w:t>
    </w:r>
    <w:sdt>
      <w:sdtPr>
        <w:id w:val="-6105142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p w14:paraId="76CEA764" w14:textId="77777777" w:rsidR="00DC5515" w:rsidRDefault="00DC5515" w:rsidP="004432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62081" w14:textId="77777777" w:rsidR="00DC5515" w:rsidRDefault="00E12369" w:rsidP="0081533E">
    <w:pPr>
      <w:pStyle w:val="Header"/>
      <w:jc w:val="right"/>
    </w:pPr>
    <w:r>
      <w:rPr>
        <w:rFonts w:eastAsia="Arial"/>
        <w:szCs w:val="22"/>
      </w:rPr>
      <w:t>CDIP/28/INF/4</w:t>
    </w:r>
  </w:p>
  <w:p w14:paraId="1C59A173" w14:textId="393CE292" w:rsidR="00DC5515" w:rsidRDefault="00E12369" w:rsidP="0081533E">
    <w:pPr>
      <w:pStyle w:val="Header"/>
      <w:jc w:val="right"/>
    </w:pPr>
    <w:r>
      <w:rPr>
        <w:rFonts w:eastAsia="Arial"/>
        <w:szCs w:val="22"/>
      </w:rPr>
      <w:t>Anexo, página</w:t>
    </w:r>
    <w:r w:rsidR="00B33960">
      <w:rPr>
        <w:rFonts w:eastAsia="Arial"/>
        <w:szCs w:val="22"/>
      </w:rPr>
      <w:t> 2</w:t>
    </w:r>
    <w:sdt>
      <w:sdtPr>
        <w:rPr>
          <w:rFonts w:eastAsia="Arial"/>
          <w:szCs w:val="22"/>
        </w:rPr>
        <w:id w:val="245234009"/>
        <w:docPartObj>
          <w:docPartGallery w:val="Page Numbers (Top of Page)"/>
          <w:docPartUnique/>
        </w:docPartObj>
      </w:sdtPr>
      <w:sdtEndPr>
        <w:rPr>
          <w:rFonts w:eastAsia="SimSun"/>
          <w:noProof/>
          <w:szCs w:val="20"/>
        </w:rPr>
      </w:sdtEndPr>
      <w:sdtContent/>
    </w:sdt>
  </w:p>
  <w:p w14:paraId="35936F2D" w14:textId="77777777" w:rsidR="00DC5515" w:rsidRDefault="00DC5515">
    <w:pPr>
      <w:pStyle w:val="Header"/>
    </w:pPr>
  </w:p>
  <w:p w14:paraId="741CE63D" w14:textId="77777777" w:rsidR="00DC5515" w:rsidRDefault="00DC5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1A88" w14:textId="77777777" w:rsidR="00AE7F20" w:rsidRPr="00EB0D93" w:rsidRDefault="00E12369" w:rsidP="00477D6B">
    <w:pPr>
      <w:jc w:val="right"/>
      <w:rPr>
        <w:caps/>
      </w:rPr>
    </w:pPr>
    <w:bookmarkStart w:id="6" w:name="Code2"/>
    <w:bookmarkEnd w:id="6"/>
    <w:r>
      <w:rPr>
        <w:rFonts w:eastAsia="Arial"/>
        <w:caps/>
        <w:szCs w:val="22"/>
      </w:rPr>
      <w:t>CDIP/28/INF/4</w:t>
    </w:r>
  </w:p>
  <w:p w14:paraId="791BB0B0" w14:textId="4AA4B0D9" w:rsidR="00AE7F20" w:rsidRDefault="00E12369" w:rsidP="00477D6B">
    <w:pPr>
      <w:jc w:val="right"/>
    </w:pPr>
    <w:r>
      <w:rPr>
        <w:rFonts w:eastAsia="Arial"/>
        <w:szCs w:val="22"/>
      </w:rPr>
      <w:t>Anexo, página</w:t>
    </w:r>
    <w:r w:rsidR="00F16982">
      <w:rPr>
        <w:rFonts w:eastAsia="Arial"/>
        <w:szCs w:val="22"/>
      </w:rPr>
      <w:t xml:space="preserve"> </w:t>
    </w:r>
    <w:r w:rsidR="00B33960">
      <w:rPr>
        <w:rFonts w:eastAsia="Arial"/>
        <w:szCs w:val="22"/>
      </w:rPr>
      <w:t>2</w:t>
    </w:r>
  </w:p>
  <w:p w14:paraId="3656559C" w14:textId="77777777" w:rsidR="00EC1AA7" w:rsidRDefault="00EC1AA7"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43F29" w14:textId="77777777" w:rsidR="00DC5515" w:rsidRPr="00EB0D93" w:rsidRDefault="00E12369" w:rsidP="00DC5515">
    <w:pPr>
      <w:jc w:val="right"/>
      <w:rPr>
        <w:caps/>
      </w:rPr>
    </w:pPr>
    <w:r>
      <w:rPr>
        <w:rFonts w:eastAsia="Arial"/>
        <w:caps/>
        <w:szCs w:val="22"/>
      </w:rPr>
      <w:t>CDIP/28/INF/4</w:t>
    </w:r>
  </w:p>
  <w:p w14:paraId="02E7CB1C" w14:textId="77777777" w:rsidR="00DC5515" w:rsidRDefault="00E12369" w:rsidP="00DC5515">
    <w:pPr>
      <w:pStyle w:val="Header"/>
      <w:jc w:val="right"/>
    </w:pPr>
    <w:r>
      <w:rPr>
        <w:rFonts w:eastAsia="Arial"/>
        <w:szCs w:val="22"/>
      </w:rPr>
      <w:t>ANEXO</w:t>
    </w:r>
  </w:p>
  <w:p w14:paraId="1167A207" w14:textId="77777777" w:rsidR="00DC5515" w:rsidRDefault="00DC5515" w:rsidP="00DC5515">
    <w:pPr>
      <w:pStyle w:val="Header"/>
      <w:jc w:val="right"/>
    </w:pPr>
  </w:p>
  <w:p w14:paraId="4FBFAA81" w14:textId="77777777" w:rsidR="00DC5515" w:rsidRDefault="00DC5515" w:rsidP="00DC55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C388A9A6">
      <w:start w:val="1"/>
      <w:numFmt w:val="decimal"/>
      <w:pStyle w:val="ListNumber"/>
      <w:lvlText w:val="03.%1."/>
      <w:lvlJc w:val="left"/>
      <w:pPr>
        <w:tabs>
          <w:tab w:val="num" w:pos="567"/>
        </w:tabs>
        <w:ind w:left="0" w:firstLine="0"/>
      </w:pPr>
      <w:rPr>
        <w:rFonts w:hint="default"/>
      </w:rPr>
    </w:lvl>
    <w:lvl w:ilvl="1" w:tplc="B734BDD2" w:tentative="1">
      <w:start w:val="1"/>
      <w:numFmt w:val="lowerLetter"/>
      <w:lvlText w:val="%2."/>
      <w:lvlJc w:val="left"/>
      <w:pPr>
        <w:tabs>
          <w:tab w:val="num" w:pos="1440"/>
        </w:tabs>
        <w:ind w:left="1440" w:hanging="360"/>
      </w:pPr>
    </w:lvl>
    <w:lvl w:ilvl="2" w:tplc="99A845A8" w:tentative="1">
      <w:start w:val="1"/>
      <w:numFmt w:val="lowerRoman"/>
      <w:lvlText w:val="%3."/>
      <w:lvlJc w:val="right"/>
      <w:pPr>
        <w:tabs>
          <w:tab w:val="num" w:pos="2160"/>
        </w:tabs>
        <w:ind w:left="2160" w:hanging="180"/>
      </w:pPr>
    </w:lvl>
    <w:lvl w:ilvl="3" w:tplc="D23A9666" w:tentative="1">
      <w:start w:val="1"/>
      <w:numFmt w:val="decimal"/>
      <w:lvlText w:val="%4."/>
      <w:lvlJc w:val="left"/>
      <w:pPr>
        <w:tabs>
          <w:tab w:val="num" w:pos="2880"/>
        </w:tabs>
        <w:ind w:left="2880" w:hanging="360"/>
      </w:pPr>
    </w:lvl>
    <w:lvl w:ilvl="4" w:tplc="6C3E0AB0" w:tentative="1">
      <w:start w:val="1"/>
      <w:numFmt w:val="lowerLetter"/>
      <w:lvlText w:val="%5."/>
      <w:lvlJc w:val="left"/>
      <w:pPr>
        <w:tabs>
          <w:tab w:val="num" w:pos="3600"/>
        </w:tabs>
        <w:ind w:left="3600" w:hanging="360"/>
      </w:pPr>
    </w:lvl>
    <w:lvl w:ilvl="5" w:tplc="6C28A40C" w:tentative="1">
      <w:start w:val="1"/>
      <w:numFmt w:val="lowerRoman"/>
      <w:lvlText w:val="%6."/>
      <w:lvlJc w:val="right"/>
      <w:pPr>
        <w:tabs>
          <w:tab w:val="num" w:pos="4320"/>
        </w:tabs>
        <w:ind w:left="4320" w:hanging="180"/>
      </w:pPr>
    </w:lvl>
    <w:lvl w:ilvl="6" w:tplc="D70211B8" w:tentative="1">
      <w:start w:val="1"/>
      <w:numFmt w:val="decimal"/>
      <w:lvlText w:val="%7."/>
      <w:lvlJc w:val="left"/>
      <w:pPr>
        <w:tabs>
          <w:tab w:val="num" w:pos="5040"/>
        </w:tabs>
        <w:ind w:left="5040" w:hanging="360"/>
      </w:pPr>
    </w:lvl>
    <w:lvl w:ilvl="7" w:tplc="FC4486F2" w:tentative="1">
      <w:start w:val="1"/>
      <w:numFmt w:val="lowerLetter"/>
      <w:lvlText w:val="%8."/>
      <w:lvlJc w:val="left"/>
      <w:pPr>
        <w:tabs>
          <w:tab w:val="num" w:pos="5760"/>
        </w:tabs>
        <w:ind w:left="5760" w:hanging="360"/>
      </w:pPr>
    </w:lvl>
    <w:lvl w:ilvl="8" w:tplc="70E6BF84"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15"/>
    <w:rsid w:val="00010686"/>
    <w:rsid w:val="00052915"/>
    <w:rsid w:val="000B6067"/>
    <w:rsid w:val="000E3BB3"/>
    <w:rsid w:val="000F5E56"/>
    <w:rsid w:val="000F7A05"/>
    <w:rsid w:val="00106F07"/>
    <w:rsid w:val="00116F4A"/>
    <w:rsid w:val="001362EE"/>
    <w:rsid w:val="00152CEA"/>
    <w:rsid w:val="001818AF"/>
    <w:rsid w:val="001832A6"/>
    <w:rsid w:val="00183B03"/>
    <w:rsid w:val="002634C4"/>
    <w:rsid w:val="00281646"/>
    <w:rsid w:val="00281C94"/>
    <w:rsid w:val="002C2E2F"/>
    <w:rsid w:val="002C7768"/>
    <w:rsid w:val="002D23B5"/>
    <w:rsid w:val="002E0F47"/>
    <w:rsid w:val="002F4E68"/>
    <w:rsid w:val="00310826"/>
    <w:rsid w:val="00354647"/>
    <w:rsid w:val="00377273"/>
    <w:rsid w:val="003845C1"/>
    <w:rsid w:val="00387287"/>
    <w:rsid w:val="003E48F1"/>
    <w:rsid w:val="003F347A"/>
    <w:rsid w:val="00423E3E"/>
    <w:rsid w:val="00427AF4"/>
    <w:rsid w:val="004432ED"/>
    <w:rsid w:val="0045231F"/>
    <w:rsid w:val="00460B70"/>
    <w:rsid w:val="004647DA"/>
    <w:rsid w:val="0046793F"/>
    <w:rsid w:val="00472A6E"/>
    <w:rsid w:val="00477808"/>
    <w:rsid w:val="00477D6B"/>
    <w:rsid w:val="004907DF"/>
    <w:rsid w:val="004A6C37"/>
    <w:rsid w:val="004E297D"/>
    <w:rsid w:val="00531B02"/>
    <w:rsid w:val="005332F0"/>
    <w:rsid w:val="005420E7"/>
    <w:rsid w:val="0055013B"/>
    <w:rsid w:val="00571B99"/>
    <w:rsid w:val="005941B4"/>
    <w:rsid w:val="005D6242"/>
    <w:rsid w:val="00605827"/>
    <w:rsid w:val="00671BA5"/>
    <w:rsid w:val="00675021"/>
    <w:rsid w:val="006A06C6"/>
    <w:rsid w:val="006D6610"/>
    <w:rsid w:val="006F3A52"/>
    <w:rsid w:val="0070246D"/>
    <w:rsid w:val="007224C8"/>
    <w:rsid w:val="00743CD1"/>
    <w:rsid w:val="00794BE2"/>
    <w:rsid w:val="007A5581"/>
    <w:rsid w:val="007A7D8F"/>
    <w:rsid w:val="007B71FE"/>
    <w:rsid w:val="007C7F82"/>
    <w:rsid w:val="007D51D0"/>
    <w:rsid w:val="007D5360"/>
    <w:rsid w:val="007D781E"/>
    <w:rsid w:val="007E663E"/>
    <w:rsid w:val="00800610"/>
    <w:rsid w:val="00815082"/>
    <w:rsid w:val="0081533E"/>
    <w:rsid w:val="00833256"/>
    <w:rsid w:val="00835DAD"/>
    <w:rsid w:val="0088395E"/>
    <w:rsid w:val="008934BE"/>
    <w:rsid w:val="008B2CC1"/>
    <w:rsid w:val="008E6722"/>
    <w:rsid w:val="008E6BD6"/>
    <w:rsid w:val="0090731E"/>
    <w:rsid w:val="00931251"/>
    <w:rsid w:val="00947AF8"/>
    <w:rsid w:val="00966A22"/>
    <w:rsid w:val="00972F03"/>
    <w:rsid w:val="0098367F"/>
    <w:rsid w:val="009A0C8B"/>
    <w:rsid w:val="009A20CD"/>
    <w:rsid w:val="009B1FCF"/>
    <w:rsid w:val="009B6241"/>
    <w:rsid w:val="009E753F"/>
    <w:rsid w:val="00A006FF"/>
    <w:rsid w:val="00A10C15"/>
    <w:rsid w:val="00A16DB2"/>
    <w:rsid w:val="00A16FC0"/>
    <w:rsid w:val="00A32C9E"/>
    <w:rsid w:val="00AB613D"/>
    <w:rsid w:val="00AC4BCA"/>
    <w:rsid w:val="00AE7F20"/>
    <w:rsid w:val="00B26E6C"/>
    <w:rsid w:val="00B33960"/>
    <w:rsid w:val="00B52C22"/>
    <w:rsid w:val="00B534D5"/>
    <w:rsid w:val="00B53986"/>
    <w:rsid w:val="00B65A0A"/>
    <w:rsid w:val="00B67CDC"/>
    <w:rsid w:val="00B72D36"/>
    <w:rsid w:val="00B757AD"/>
    <w:rsid w:val="00B86D2B"/>
    <w:rsid w:val="00BB508A"/>
    <w:rsid w:val="00BC4164"/>
    <w:rsid w:val="00BD1BB0"/>
    <w:rsid w:val="00BD2DCC"/>
    <w:rsid w:val="00BF5A8E"/>
    <w:rsid w:val="00C40B7D"/>
    <w:rsid w:val="00C76BD5"/>
    <w:rsid w:val="00C90559"/>
    <w:rsid w:val="00C9192B"/>
    <w:rsid w:val="00C93B75"/>
    <w:rsid w:val="00CA0500"/>
    <w:rsid w:val="00CA2251"/>
    <w:rsid w:val="00D56C7C"/>
    <w:rsid w:val="00D71339"/>
    <w:rsid w:val="00D71B4D"/>
    <w:rsid w:val="00D90289"/>
    <w:rsid w:val="00D93D55"/>
    <w:rsid w:val="00DA79F4"/>
    <w:rsid w:val="00DC4C60"/>
    <w:rsid w:val="00DC5515"/>
    <w:rsid w:val="00DD6CF4"/>
    <w:rsid w:val="00E0079A"/>
    <w:rsid w:val="00E12369"/>
    <w:rsid w:val="00E349D9"/>
    <w:rsid w:val="00E444DA"/>
    <w:rsid w:val="00E45C84"/>
    <w:rsid w:val="00E504E5"/>
    <w:rsid w:val="00EA4FF9"/>
    <w:rsid w:val="00EA5F37"/>
    <w:rsid w:val="00EB0D93"/>
    <w:rsid w:val="00EB261B"/>
    <w:rsid w:val="00EB40A3"/>
    <w:rsid w:val="00EB7A3E"/>
    <w:rsid w:val="00EC1AA7"/>
    <w:rsid w:val="00EC401A"/>
    <w:rsid w:val="00EF530A"/>
    <w:rsid w:val="00EF6622"/>
    <w:rsid w:val="00EF78A9"/>
    <w:rsid w:val="00F16982"/>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A6550"/>
  <w15:docId w15:val="{57699F27-7BB1-487F-A221-947DA327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281646"/>
    <w:rPr>
      <w:rFonts w:ascii="Arial" w:eastAsia="SimSun" w:hAnsi="Arial" w:cs="Arial"/>
      <w:b/>
      <w:bCs/>
      <w:caps/>
      <w:kern w:val="32"/>
      <w:sz w:val="22"/>
      <w:szCs w:val="32"/>
      <w:lang w:val="es-ES" w:eastAsia="zh-CN"/>
    </w:rPr>
  </w:style>
  <w:style w:type="character" w:styleId="Hyperlink">
    <w:name w:val="Hyperlink"/>
    <w:basedOn w:val="DefaultParagraphFont"/>
    <w:uiPriority w:val="99"/>
    <w:unhideWhenUsed/>
    <w:rsid w:val="00DC5515"/>
    <w:rPr>
      <w:color w:val="0000FF" w:themeColor="hyperlink"/>
      <w:u w:val="single"/>
    </w:rPr>
  </w:style>
  <w:style w:type="character" w:customStyle="1" w:styleId="HeaderChar">
    <w:name w:val="Header Char"/>
    <w:basedOn w:val="DefaultParagraphFont"/>
    <w:link w:val="Header"/>
    <w:rsid w:val="00DC5515"/>
    <w:rPr>
      <w:rFonts w:ascii="Arial" w:eastAsia="SimSun" w:hAnsi="Arial" w:cs="Arial"/>
      <w:sz w:val="22"/>
      <w:lang w:val="es-ES" w:eastAsia="zh-CN"/>
    </w:rPr>
  </w:style>
  <w:style w:type="paragraph" w:customStyle="1" w:styleId="Endofdocument">
    <w:name w:val="End of document"/>
    <w:basedOn w:val="Normal"/>
    <w:rsid w:val="00DC5515"/>
    <w:pPr>
      <w:spacing w:line="260" w:lineRule="atLeast"/>
      <w:ind w:left="5534"/>
    </w:pPr>
    <w:rPr>
      <w:rFonts w:eastAsia="Times New Roman" w:cs="Times New Roman"/>
      <w:lang w:val="en-US" w:eastAsia="en-US"/>
    </w:rPr>
  </w:style>
  <w:style w:type="paragraph" w:customStyle="1" w:styleId="Default">
    <w:name w:val="Default"/>
    <w:rsid w:val="00DC5515"/>
    <w:pPr>
      <w:autoSpaceDE w:val="0"/>
      <w:autoSpaceDN w:val="0"/>
      <w:adjustRightInd w:val="0"/>
    </w:pPr>
    <w:rPr>
      <w:rFonts w:eastAsia="Batang"/>
      <w:color w:val="000000"/>
      <w:sz w:val="24"/>
      <w:szCs w:val="24"/>
      <w:lang w:val="en-US" w:eastAsia="ko-KR"/>
    </w:rPr>
  </w:style>
  <w:style w:type="character" w:customStyle="1" w:styleId="Endofdocument-AnnexChar">
    <w:name w:val="[End of document - Annex] Char"/>
    <w:link w:val="Endofdocument-Annex"/>
    <w:rsid w:val="00DC5515"/>
    <w:rPr>
      <w:rFonts w:ascii="Arial" w:eastAsia="SimSun" w:hAnsi="Arial" w:cs="Arial"/>
      <w:sz w:val="22"/>
      <w:lang w:val="en-US" w:eastAsia="zh-CN"/>
    </w:rPr>
  </w:style>
  <w:style w:type="character" w:styleId="FootnoteReference">
    <w:name w:val="footnote reference"/>
    <w:rsid w:val="00DC5515"/>
    <w:rPr>
      <w:rFonts w:cs="Times New Roman"/>
      <w:vertAlign w:val="superscript"/>
    </w:rPr>
  </w:style>
  <w:style w:type="character" w:styleId="CommentReference">
    <w:name w:val="annotation reference"/>
    <w:basedOn w:val="DefaultParagraphFont"/>
    <w:semiHidden/>
    <w:unhideWhenUsed/>
    <w:rsid w:val="00C40B7D"/>
    <w:rPr>
      <w:sz w:val="16"/>
      <w:szCs w:val="16"/>
    </w:rPr>
  </w:style>
  <w:style w:type="paragraph" w:styleId="CommentSubject">
    <w:name w:val="annotation subject"/>
    <w:basedOn w:val="CommentText"/>
    <w:next w:val="CommentText"/>
    <w:link w:val="CommentSubjectChar"/>
    <w:semiHidden/>
    <w:unhideWhenUsed/>
    <w:rsid w:val="00C40B7D"/>
    <w:rPr>
      <w:b/>
      <w:bCs/>
      <w:sz w:val="20"/>
    </w:rPr>
  </w:style>
  <w:style w:type="character" w:customStyle="1" w:styleId="CommentTextChar">
    <w:name w:val="Comment Text Char"/>
    <w:basedOn w:val="DefaultParagraphFont"/>
    <w:link w:val="CommentText"/>
    <w:semiHidden/>
    <w:rsid w:val="00C40B7D"/>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C40B7D"/>
    <w:rPr>
      <w:rFonts w:ascii="Arial" w:eastAsia="SimSun" w:hAnsi="Arial" w:cs="Arial"/>
      <w:b/>
      <w:bCs/>
      <w:sz w:val="18"/>
      <w:lang w:val="es-ES" w:eastAsia="zh-CN"/>
    </w:rPr>
  </w:style>
  <w:style w:type="character" w:customStyle="1" w:styleId="UnresolvedMention">
    <w:name w:val="Unresolved Mention"/>
    <w:basedOn w:val="DefaultParagraphFont"/>
    <w:uiPriority w:val="99"/>
    <w:semiHidden/>
    <w:unhideWhenUsed/>
    <w:rsid w:val="008E6722"/>
    <w:rPr>
      <w:color w:val="605E5C"/>
      <w:shd w:val="clear" w:color="auto" w:fill="E1DFDD"/>
    </w:rPr>
  </w:style>
  <w:style w:type="paragraph" w:styleId="BalloonText">
    <w:name w:val="Balloon Text"/>
    <w:basedOn w:val="Normal"/>
    <w:link w:val="BalloonTextChar"/>
    <w:semiHidden/>
    <w:unhideWhenUsed/>
    <w:rsid w:val="007D51D0"/>
    <w:rPr>
      <w:rFonts w:ascii="Segoe UI" w:hAnsi="Segoe UI" w:cs="Segoe UI"/>
      <w:sz w:val="18"/>
      <w:szCs w:val="18"/>
    </w:rPr>
  </w:style>
  <w:style w:type="character" w:customStyle="1" w:styleId="BalloonTextChar">
    <w:name w:val="Balloon Text Char"/>
    <w:basedOn w:val="DefaultParagraphFont"/>
    <w:link w:val="BalloonText"/>
    <w:semiHidden/>
    <w:rsid w:val="007D51D0"/>
    <w:rPr>
      <w:rFonts w:ascii="Segoe UI" w:eastAsia="SimSun" w:hAnsi="Segoe UI" w:cs="Segoe UI"/>
      <w:sz w:val="18"/>
      <w:szCs w:val="18"/>
      <w:lang w:val="es-ES" w:eastAsia="zh-CN"/>
    </w:rPr>
  </w:style>
  <w:style w:type="character" w:styleId="FollowedHyperlink">
    <w:name w:val="FollowedHyperlink"/>
    <w:basedOn w:val="DefaultParagraphFont"/>
    <w:semiHidden/>
    <w:unhideWhenUsed/>
    <w:rsid w:val="007D5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publications/es/details.jsp?id=4545" TargetMode="Externa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wipo.int/publications/es/details.jsp?id=454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s/doc_details.jsp?doc_id=406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F520E-5EBA-41B5-BEE5-7112B713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4672</Characters>
  <Application>Microsoft Office Word</Application>
  <DocSecurity>0</DocSecurity>
  <Lines>38</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CDIP/28/INF/4</vt:lpstr>
      <vt:lpstr>CDIP/28/INF/4</vt:lpstr>
    </vt:vector>
  </TitlesOfParts>
  <Company>WIPO</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CDIP/28/INF/4</dc:title>
  <dc:creator>BOU LLORET Amparo</dc:creator>
  <cp:lastModifiedBy>BOU LLORET Amparo</cp:lastModifiedBy>
  <cp:revision>2</cp:revision>
  <dcterms:created xsi:type="dcterms:W3CDTF">2022-04-27T09:43:00Z</dcterms:created>
  <dcterms:modified xsi:type="dcterms:W3CDTF">2022-04-27T09:43:00Z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ignment">
    <vt:lpwstr>Centre</vt:lpwstr>
  </property>
  <property fmtid="{D5CDD505-2E9C-101B-9397-08002B2CF9AE}" pid="3" name="Classification">
    <vt:lpwstr>For Official Use Only</vt:lpwstr>
  </property>
  <property fmtid="{D5CDD505-2E9C-101B-9397-08002B2CF9AE}" pid="4" name="Language">
    <vt:lpwstr>English</vt:lpwstr>
  </property>
  <property fmtid="{D5CDD505-2E9C-101B-9397-08002B2CF9AE}" pid="5" name="TitusGUID">
    <vt:lpwstr>7356a6d3-005f-4f64-a8f3-36699f379519</vt:lpwstr>
  </property>
  <property fmtid="{D5CDD505-2E9C-101B-9397-08002B2CF9AE}" pid="6" name="VisualMarkings">
    <vt:lpwstr>Footer</vt:lpwstr>
  </property>
</Properties>
</file>