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AE7C0" w14:textId="77777777" w:rsidR="008B2CC1" w:rsidRPr="00862453" w:rsidRDefault="00472A6E" w:rsidP="000F7A05">
      <w:pPr>
        <w:pBdr>
          <w:bottom w:val="single" w:sz="4" w:space="11" w:color="auto"/>
        </w:pBdr>
        <w:spacing w:after="120"/>
        <w:ind w:right="-57"/>
        <w:jc w:val="right"/>
        <w:rPr>
          <w:lang w:val="es-419"/>
        </w:rPr>
      </w:pPr>
      <w:r w:rsidRPr="00862453">
        <w:rPr>
          <w:noProof/>
          <w:lang w:val="en-US" w:eastAsia="en-US"/>
        </w:rPr>
        <w:drawing>
          <wp:inline distT="0" distB="0" distL="0" distR="0" wp14:anchorId="74668E5E" wp14:editId="1D709E7E">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48A9704A" w14:textId="77777777" w:rsidR="00472A6E" w:rsidRPr="00862453" w:rsidRDefault="009B1FCF" w:rsidP="00472A6E">
      <w:pPr>
        <w:jc w:val="right"/>
        <w:rPr>
          <w:rFonts w:ascii="Arial Black" w:hAnsi="Arial Black"/>
          <w:caps/>
          <w:sz w:val="15"/>
          <w:lang w:val="es-419"/>
        </w:rPr>
      </w:pPr>
      <w:r w:rsidRPr="00862453">
        <w:rPr>
          <w:rFonts w:ascii="Arial Black" w:hAnsi="Arial Black"/>
          <w:caps/>
          <w:sz w:val="15"/>
          <w:lang w:val="es-419"/>
        </w:rPr>
        <w:t>cdip/2</w:t>
      </w:r>
      <w:r w:rsidR="00671BA5" w:rsidRPr="00862453">
        <w:rPr>
          <w:rFonts w:ascii="Arial Black" w:hAnsi="Arial Black"/>
          <w:caps/>
          <w:sz w:val="15"/>
          <w:lang w:val="es-419"/>
        </w:rPr>
        <w:t>8</w:t>
      </w:r>
      <w:r w:rsidR="00B757AD" w:rsidRPr="00862453">
        <w:rPr>
          <w:rFonts w:ascii="Arial Black" w:hAnsi="Arial Black"/>
          <w:caps/>
          <w:sz w:val="15"/>
          <w:lang w:val="es-419"/>
        </w:rPr>
        <w:t>/</w:t>
      </w:r>
      <w:bookmarkStart w:id="0" w:name="Code"/>
      <w:bookmarkEnd w:id="0"/>
      <w:r w:rsidR="00797F34" w:rsidRPr="00862453">
        <w:rPr>
          <w:rFonts w:ascii="Arial Black" w:hAnsi="Arial Black"/>
          <w:caps/>
          <w:sz w:val="15"/>
          <w:lang w:val="es-419"/>
        </w:rPr>
        <w:t>7</w:t>
      </w:r>
    </w:p>
    <w:p w14:paraId="2745A1EC" w14:textId="333BC3FD" w:rsidR="008B2CC1" w:rsidRPr="00862453" w:rsidRDefault="00ED0AE8" w:rsidP="00472A6E">
      <w:pPr>
        <w:jc w:val="right"/>
        <w:rPr>
          <w:lang w:val="es-419"/>
        </w:rPr>
      </w:pPr>
      <w:bookmarkStart w:id="1" w:name="Original"/>
      <w:r w:rsidRPr="00862453">
        <w:rPr>
          <w:rFonts w:ascii="Arial Black" w:hAnsi="Arial Black"/>
          <w:caps/>
          <w:sz w:val="15"/>
          <w:lang w:val="es-419"/>
        </w:rPr>
        <w:t>ORIGINAL: INGLÉS</w:t>
      </w:r>
    </w:p>
    <w:bookmarkEnd w:id="1"/>
    <w:p w14:paraId="3561A8D0" w14:textId="43DD3BC9" w:rsidR="008B2CC1" w:rsidRPr="00862453" w:rsidRDefault="00472A6E" w:rsidP="00472A6E">
      <w:pPr>
        <w:spacing w:after="1200"/>
        <w:jc w:val="right"/>
        <w:rPr>
          <w:lang w:val="es-419"/>
        </w:rPr>
      </w:pPr>
      <w:r w:rsidRPr="00862453">
        <w:rPr>
          <w:rFonts w:ascii="Arial Black" w:hAnsi="Arial Black"/>
          <w:caps/>
          <w:sz w:val="15"/>
          <w:lang w:val="es-419"/>
        </w:rPr>
        <w:t>fecha:</w:t>
      </w:r>
      <w:bookmarkStart w:id="2" w:name="Date"/>
      <w:r w:rsidR="006F406C">
        <w:rPr>
          <w:rFonts w:ascii="Arial Black" w:hAnsi="Arial Black"/>
          <w:caps/>
          <w:sz w:val="15"/>
          <w:lang w:val="es-419"/>
        </w:rPr>
        <w:t xml:space="preserve"> 22</w:t>
      </w:r>
      <w:r w:rsidR="00797F34" w:rsidRPr="00862453">
        <w:rPr>
          <w:rFonts w:ascii="Arial Black" w:hAnsi="Arial Black"/>
          <w:caps/>
          <w:sz w:val="15"/>
          <w:lang w:val="es-419"/>
        </w:rPr>
        <w:t xml:space="preserve"> DE MARZO DE 2022</w:t>
      </w:r>
    </w:p>
    <w:bookmarkEnd w:id="2"/>
    <w:p w14:paraId="7E95F160" w14:textId="77777777" w:rsidR="00281646" w:rsidRPr="00862453" w:rsidRDefault="00281646" w:rsidP="00671BA5">
      <w:pPr>
        <w:pStyle w:val="Heading1"/>
        <w:spacing w:before="0" w:after="600"/>
        <w:rPr>
          <w:sz w:val="28"/>
          <w:lang w:val="es-419"/>
        </w:rPr>
      </w:pPr>
      <w:r w:rsidRPr="00862453">
        <w:rPr>
          <w:caps w:val="0"/>
          <w:sz w:val="28"/>
          <w:lang w:val="es-419"/>
        </w:rPr>
        <w:t>Comité de Desarrollo y Propiedad Intelectual</w:t>
      </w:r>
      <w:r w:rsidRPr="00862453">
        <w:rPr>
          <w:sz w:val="28"/>
          <w:szCs w:val="28"/>
          <w:lang w:val="es-419"/>
        </w:rPr>
        <w:t xml:space="preserve"> (CDIP)</w:t>
      </w:r>
    </w:p>
    <w:p w14:paraId="5959EA75" w14:textId="77777777" w:rsidR="000F7A05" w:rsidRPr="00862453" w:rsidRDefault="00671BA5" w:rsidP="000F7A05">
      <w:pPr>
        <w:spacing w:after="720"/>
        <w:outlineLvl w:val="1"/>
        <w:rPr>
          <w:b/>
          <w:sz w:val="24"/>
          <w:szCs w:val="24"/>
          <w:lang w:val="es-419"/>
        </w:rPr>
      </w:pPr>
      <w:r w:rsidRPr="00862453">
        <w:rPr>
          <w:b/>
          <w:color w:val="000000"/>
          <w:sz w:val="24"/>
          <w:szCs w:val="24"/>
          <w:shd w:val="clear" w:color="auto" w:fill="FFFFFF"/>
          <w:lang w:val="es-419"/>
        </w:rPr>
        <w:t>Vigesimoctava sesión</w:t>
      </w:r>
      <w:r w:rsidR="000F7A05" w:rsidRPr="00862453">
        <w:rPr>
          <w:b/>
          <w:sz w:val="24"/>
          <w:szCs w:val="24"/>
          <w:lang w:val="es-419"/>
        </w:rPr>
        <w:br/>
      </w:r>
      <w:r w:rsidRPr="00862453">
        <w:rPr>
          <w:b/>
          <w:sz w:val="24"/>
          <w:szCs w:val="24"/>
          <w:lang w:val="es-419"/>
        </w:rPr>
        <w:t xml:space="preserve">Ginebra, </w:t>
      </w:r>
      <w:r w:rsidRPr="00862453">
        <w:rPr>
          <w:b/>
          <w:bCs/>
          <w:sz w:val="24"/>
          <w:szCs w:val="24"/>
          <w:lang w:val="es-419"/>
        </w:rPr>
        <w:t>16 a 20 de mayo de 2022</w:t>
      </w:r>
    </w:p>
    <w:p w14:paraId="69846AA2" w14:textId="5C16646A" w:rsidR="008B2CC1" w:rsidRPr="00862453" w:rsidRDefault="00F70DB5" w:rsidP="007A7D8F">
      <w:pPr>
        <w:spacing w:after="360"/>
        <w:rPr>
          <w:caps/>
          <w:sz w:val="24"/>
          <w:lang w:val="es-419"/>
        </w:rPr>
      </w:pPr>
      <w:bookmarkStart w:id="3" w:name="TitleOfDoc"/>
      <w:bookmarkEnd w:id="3"/>
      <w:r w:rsidRPr="00862453">
        <w:rPr>
          <w:sz w:val="24"/>
          <w:szCs w:val="24"/>
          <w:lang w:val="es-419"/>
        </w:rPr>
        <w:t xml:space="preserve">INFORME DE FINALIZACIÓN DEL PROYECTO SOBRE INTENSIFICACIÓN DEL USO DE LA PROPIEDAD INTELECTUAL PARA LAS APLICACIONES MÓVILES EN EL SECTOR DEL </w:t>
      </w:r>
      <w:r w:rsidRPr="00862453">
        <w:rPr>
          <w:i/>
          <w:iCs/>
          <w:sz w:val="24"/>
          <w:szCs w:val="24"/>
          <w:lang w:val="es-419"/>
        </w:rPr>
        <w:t>SOFTWARE</w:t>
      </w:r>
    </w:p>
    <w:p w14:paraId="17FBCAC8" w14:textId="34E0E51D" w:rsidR="008B2CC1" w:rsidRPr="00862453" w:rsidRDefault="00A80916" w:rsidP="00EA5F37">
      <w:pPr>
        <w:spacing w:after="960"/>
        <w:rPr>
          <w:i/>
          <w:lang w:val="es-419"/>
        </w:rPr>
      </w:pPr>
      <w:bookmarkStart w:id="4" w:name="Prepared"/>
      <w:bookmarkEnd w:id="4"/>
      <w:r w:rsidRPr="00862453">
        <w:rPr>
          <w:i/>
          <w:lang w:val="es-419"/>
        </w:rPr>
        <w:t>p</w:t>
      </w:r>
      <w:r w:rsidR="00F70DB5" w:rsidRPr="00862453">
        <w:rPr>
          <w:i/>
          <w:lang w:val="es-419"/>
        </w:rPr>
        <w:t>reparado por la Secretaría</w:t>
      </w:r>
    </w:p>
    <w:p w14:paraId="4403D432" w14:textId="2B302E05" w:rsidR="00F70DB5" w:rsidRPr="00862453" w:rsidRDefault="004304CA" w:rsidP="004304CA">
      <w:pPr>
        <w:pStyle w:val="Default"/>
        <w:spacing w:after="240"/>
        <w:rPr>
          <w:rFonts w:ascii="Arial" w:hAnsi="Arial" w:cs="Arial"/>
          <w:color w:val="auto"/>
          <w:sz w:val="22"/>
          <w:szCs w:val="22"/>
          <w:lang w:val="es-419"/>
        </w:rPr>
      </w:pPr>
      <w:r w:rsidRPr="00862453">
        <w:rPr>
          <w:rFonts w:ascii="Arial" w:hAnsi="Arial" w:cs="Arial"/>
          <w:color w:val="auto"/>
          <w:sz w:val="22"/>
          <w:szCs w:val="22"/>
          <w:lang w:val="es-419"/>
        </w:rPr>
        <w:fldChar w:fldCharType="begin"/>
      </w:r>
      <w:r w:rsidRPr="00862453">
        <w:rPr>
          <w:rFonts w:ascii="Arial" w:hAnsi="Arial" w:cs="Arial"/>
          <w:color w:val="auto"/>
          <w:sz w:val="22"/>
          <w:szCs w:val="22"/>
          <w:lang w:val="es-419"/>
        </w:rPr>
        <w:instrText xml:space="preserve"> AUTONUM  </w:instrText>
      </w:r>
      <w:r w:rsidRPr="00862453">
        <w:rPr>
          <w:rFonts w:ascii="Arial" w:hAnsi="Arial" w:cs="Arial"/>
          <w:color w:val="auto"/>
          <w:sz w:val="22"/>
          <w:szCs w:val="22"/>
          <w:lang w:val="es-419"/>
        </w:rPr>
        <w:fldChar w:fldCharType="end"/>
      </w:r>
      <w:r w:rsidRPr="00862453">
        <w:rPr>
          <w:rFonts w:ascii="Arial" w:hAnsi="Arial" w:cs="Arial"/>
          <w:color w:val="auto"/>
          <w:sz w:val="22"/>
          <w:szCs w:val="22"/>
          <w:lang w:val="es-419"/>
        </w:rPr>
        <w:tab/>
      </w:r>
      <w:r w:rsidR="00F70DB5" w:rsidRPr="00862453">
        <w:rPr>
          <w:rFonts w:ascii="Arial" w:hAnsi="Arial" w:cs="Arial"/>
          <w:color w:val="auto"/>
          <w:sz w:val="22"/>
          <w:szCs w:val="22"/>
          <w:lang w:val="es-419"/>
        </w:rPr>
        <w:t xml:space="preserve">En el anexo al presente documento figura el informe de finalización del proyecto de la Agenda para el Desarrollo (AD) sobre la intensificación del uso de la propiedad intelectual </w:t>
      </w:r>
      <w:r w:rsidR="00BD2A45" w:rsidRPr="00862453">
        <w:rPr>
          <w:rFonts w:ascii="Arial" w:hAnsi="Arial" w:cs="Arial"/>
          <w:color w:val="auto"/>
          <w:sz w:val="22"/>
          <w:szCs w:val="22"/>
          <w:lang w:val="es-419"/>
        </w:rPr>
        <w:t xml:space="preserve">(PI) </w:t>
      </w:r>
      <w:r w:rsidR="00F70DB5" w:rsidRPr="00862453">
        <w:rPr>
          <w:rFonts w:ascii="Arial" w:hAnsi="Arial" w:cs="Arial"/>
          <w:color w:val="auto"/>
          <w:sz w:val="22"/>
          <w:szCs w:val="22"/>
          <w:lang w:val="es-419"/>
        </w:rPr>
        <w:t xml:space="preserve">para las aplicaciones móviles en el sector del </w:t>
      </w:r>
      <w:r w:rsidR="00F70DB5" w:rsidRPr="00862453">
        <w:rPr>
          <w:rFonts w:ascii="Arial" w:hAnsi="Arial" w:cs="Arial"/>
          <w:i/>
          <w:iCs/>
          <w:color w:val="auto"/>
          <w:sz w:val="22"/>
          <w:szCs w:val="22"/>
          <w:lang w:val="es-419"/>
        </w:rPr>
        <w:t>software</w:t>
      </w:r>
      <w:r w:rsidR="00F70DB5" w:rsidRPr="00862453">
        <w:rPr>
          <w:rFonts w:ascii="Arial" w:hAnsi="Arial" w:cs="Arial"/>
          <w:color w:val="auto"/>
          <w:sz w:val="22"/>
          <w:szCs w:val="22"/>
          <w:lang w:val="es-419"/>
        </w:rPr>
        <w:t>.</w:t>
      </w:r>
      <w:r w:rsidR="00A80916" w:rsidRPr="00862453">
        <w:rPr>
          <w:rFonts w:ascii="Arial" w:hAnsi="Arial" w:cs="Arial"/>
          <w:color w:val="auto"/>
          <w:sz w:val="22"/>
          <w:szCs w:val="22"/>
          <w:lang w:val="es-419"/>
        </w:rPr>
        <w:t xml:space="preserve"> El informe abarca el período completo de ejecución del proyecto, es decir, desde enero de 2019 a diciembre de 2021.</w:t>
      </w:r>
    </w:p>
    <w:p w14:paraId="3DBA425A" w14:textId="78520DF0" w:rsidR="004304CA" w:rsidRPr="00862453" w:rsidRDefault="004304CA" w:rsidP="004304CA">
      <w:pPr>
        <w:pStyle w:val="Endofdocument"/>
        <w:spacing w:after="360"/>
        <w:ind w:left="5530"/>
        <w:rPr>
          <w:i/>
          <w:iCs/>
          <w:szCs w:val="22"/>
          <w:lang w:val="es-419"/>
        </w:rPr>
      </w:pPr>
      <w:r w:rsidRPr="00862453">
        <w:rPr>
          <w:lang w:val="es-419"/>
        </w:rPr>
        <w:fldChar w:fldCharType="begin"/>
      </w:r>
      <w:r w:rsidRPr="00862453">
        <w:rPr>
          <w:lang w:val="es-419"/>
        </w:rPr>
        <w:instrText xml:space="preserve"> AUTONUM  </w:instrText>
      </w:r>
      <w:r w:rsidRPr="00862453">
        <w:rPr>
          <w:lang w:val="es-419"/>
        </w:rPr>
        <w:fldChar w:fldCharType="end"/>
      </w:r>
      <w:r w:rsidRPr="00862453">
        <w:rPr>
          <w:i/>
          <w:iCs/>
          <w:szCs w:val="22"/>
          <w:lang w:val="es-419"/>
        </w:rPr>
        <w:tab/>
      </w:r>
      <w:r w:rsidR="00F70DB5" w:rsidRPr="00862453">
        <w:rPr>
          <w:i/>
          <w:iCs/>
          <w:szCs w:val="22"/>
          <w:lang w:val="es-419"/>
        </w:rPr>
        <w:t xml:space="preserve">Se invita al CDIP a tomar nota de </w:t>
      </w:r>
      <w:r w:rsidR="008F48D9" w:rsidRPr="00862453">
        <w:rPr>
          <w:i/>
          <w:iCs/>
          <w:szCs w:val="22"/>
          <w:lang w:val="es-419"/>
        </w:rPr>
        <w:t>la información contenida en el A</w:t>
      </w:r>
      <w:r w:rsidR="00F70DB5" w:rsidRPr="00862453">
        <w:rPr>
          <w:i/>
          <w:iCs/>
          <w:szCs w:val="22"/>
          <w:lang w:val="es-419"/>
        </w:rPr>
        <w:t>nexo al presente documento</w:t>
      </w:r>
      <w:r w:rsidRPr="00862453">
        <w:rPr>
          <w:i/>
          <w:iCs/>
          <w:szCs w:val="22"/>
          <w:lang w:val="es-419"/>
        </w:rPr>
        <w:t>.</w:t>
      </w:r>
    </w:p>
    <w:p w14:paraId="2D904D8A" w14:textId="511B6D65" w:rsidR="004304CA" w:rsidRPr="00862453" w:rsidRDefault="004304CA" w:rsidP="004304CA">
      <w:pPr>
        <w:spacing w:before="65"/>
        <w:ind w:left="5533"/>
        <w:rPr>
          <w:lang w:val="es-419"/>
        </w:rPr>
        <w:sectPr w:rsidR="004304CA" w:rsidRPr="00862453" w:rsidSect="004304CA">
          <w:headerReference w:type="even" r:id="rId9"/>
          <w:headerReference w:type="default" r:id="rId10"/>
          <w:footerReference w:type="even" r:id="rId11"/>
          <w:footerReference w:type="default" r:id="rId12"/>
          <w:headerReference w:type="first" r:id="rId13"/>
          <w:footerReference w:type="first" r:id="rId14"/>
          <w:pgSz w:w="11907" w:h="16840" w:code="9"/>
          <w:pgMar w:top="851" w:right="1417" w:bottom="1417" w:left="1417" w:header="709" w:footer="709" w:gutter="0"/>
          <w:pgNumType w:start="0"/>
          <w:cols w:space="720"/>
          <w:titlePg/>
          <w:docGrid w:linePitch="299"/>
        </w:sectPr>
      </w:pPr>
      <w:r w:rsidRPr="00862453">
        <w:rPr>
          <w:lang w:val="es-419"/>
        </w:rPr>
        <w:t>[</w:t>
      </w:r>
      <w:r w:rsidR="00F70DB5" w:rsidRPr="00862453">
        <w:rPr>
          <w:rStyle w:val="Endofdocument-AnnexChar"/>
          <w:lang w:val="es-419"/>
        </w:rPr>
        <w:t>Sigue el Anexo</w:t>
      </w:r>
      <w:r w:rsidRPr="00862453">
        <w:rPr>
          <w:lang w:val="es-419"/>
        </w:rPr>
        <w:t>]</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6889"/>
      </w:tblGrid>
      <w:tr w:rsidR="004304CA" w:rsidRPr="00862453" w14:paraId="2FCF61D1" w14:textId="77777777" w:rsidTr="00F300C4">
        <w:trPr>
          <w:trHeight w:val="431"/>
        </w:trPr>
        <w:tc>
          <w:tcPr>
            <w:tcW w:w="9290" w:type="dxa"/>
            <w:gridSpan w:val="2"/>
          </w:tcPr>
          <w:p w14:paraId="13FB6E9E" w14:textId="696F8EA0" w:rsidR="004304CA" w:rsidRPr="00862453" w:rsidRDefault="004B7E75" w:rsidP="00F300C4">
            <w:pPr>
              <w:pStyle w:val="TableParagraph"/>
              <w:spacing w:before="88"/>
              <w:ind w:left="110"/>
              <w:rPr>
                <w:lang w:val="es-419"/>
              </w:rPr>
            </w:pPr>
            <w:r w:rsidRPr="00862453">
              <w:rPr>
                <w:lang w:val="es-419"/>
              </w:rPr>
              <w:lastRenderedPageBreak/>
              <w:t>RESUMEN DEL PROYECTO</w:t>
            </w:r>
          </w:p>
        </w:tc>
      </w:tr>
      <w:tr w:rsidR="004304CA" w:rsidRPr="00862453" w14:paraId="3D3EAB94" w14:textId="77777777" w:rsidTr="00F300C4">
        <w:trPr>
          <w:trHeight w:val="414"/>
        </w:trPr>
        <w:tc>
          <w:tcPr>
            <w:tcW w:w="2401" w:type="dxa"/>
            <w:shd w:val="clear" w:color="auto" w:fill="C6D9F1" w:themeFill="text2" w:themeFillTint="33"/>
          </w:tcPr>
          <w:p w14:paraId="41E84E2A" w14:textId="582E0D73" w:rsidR="004304CA" w:rsidRPr="00862453" w:rsidRDefault="004B7E75" w:rsidP="00F300C4">
            <w:pPr>
              <w:pStyle w:val="TableParagraph"/>
              <w:ind w:left="110"/>
              <w:rPr>
                <w:lang w:val="es-419"/>
              </w:rPr>
            </w:pPr>
            <w:r w:rsidRPr="00862453">
              <w:rPr>
                <w:u w:val="single"/>
                <w:lang w:val="es-419"/>
              </w:rPr>
              <w:t>Código del proyecto</w:t>
            </w:r>
          </w:p>
        </w:tc>
        <w:tc>
          <w:tcPr>
            <w:tcW w:w="6889" w:type="dxa"/>
          </w:tcPr>
          <w:p w14:paraId="080B86CA" w14:textId="77777777" w:rsidR="004304CA" w:rsidRPr="00862453" w:rsidRDefault="004304CA" w:rsidP="00F300C4">
            <w:pPr>
              <w:pStyle w:val="TableParagraph"/>
              <w:rPr>
                <w:iCs/>
                <w:lang w:val="es-419"/>
              </w:rPr>
            </w:pPr>
            <w:r w:rsidRPr="00862453">
              <w:rPr>
                <w:iCs/>
                <w:lang w:val="es-419"/>
              </w:rPr>
              <w:t>DA_4_11_23_24_27_01</w:t>
            </w:r>
          </w:p>
        </w:tc>
      </w:tr>
      <w:tr w:rsidR="004304CA" w:rsidRPr="00862453" w14:paraId="21DE1AAC" w14:textId="77777777" w:rsidTr="00F300C4">
        <w:trPr>
          <w:trHeight w:val="342"/>
        </w:trPr>
        <w:tc>
          <w:tcPr>
            <w:tcW w:w="2401" w:type="dxa"/>
            <w:shd w:val="clear" w:color="auto" w:fill="C6D9F1" w:themeFill="text2" w:themeFillTint="33"/>
          </w:tcPr>
          <w:p w14:paraId="28492F73" w14:textId="32E88142" w:rsidR="004304CA" w:rsidRPr="00862453" w:rsidRDefault="004304CA" w:rsidP="00F300C4">
            <w:pPr>
              <w:pStyle w:val="TableParagraph"/>
              <w:spacing w:before="1"/>
              <w:ind w:left="110"/>
              <w:rPr>
                <w:lang w:val="es-419"/>
              </w:rPr>
            </w:pPr>
            <w:r w:rsidRPr="00862453">
              <w:rPr>
                <w:u w:val="single"/>
                <w:lang w:val="es-419"/>
              </w:rPr>
              <w:t>T</w:t>
            </w:r>
            <w:r w:rsidR="004B7E75" w:rsidRPr="00862453">
              <w:rPr>
                <w:u w:val="single"/>
                <w:lang w:val="es-419"/>
              </w:rPr>
              <w:t>ítulo</w:t>
            </w:r>
          </w:p>
        </w:tc>
        <w:tc>
          <w:tcPr>
            <w:tcW w:w="6889" w:type="dxa"/>
          </w:tcPr>
          <w:p w14:paraId="1AAE0AB9" w14:textId="11CB7132" w:rsidR="004304CA" w:rsidRPr="00862453" w:rsidRDefault="004B7E75" w:rsidP="00F300C4">
            <w:pPr>
              <w:rPr>
                <w:iCs/>
                <w:lang w:val="es-419"/>
              </w:rPr>
            </w:pPr>
            <w:r w:rsidRPr="00862453">
              <w:rPr>
                <w:szCs w:val="22"/>
                <w:lang w:val="es-419"/>
              </w:rPr>
              <w:t xml:space="preserve">Intensificación del uso de la propiedad intelectual para las aplicaciones móviles en el sector del </w:t>
            </w:r>
            <w:r w:rsidRPr="00862453">
              <w:rPr>
                <w:i/>
                <w:iCs/>
                <w:szCs w:val="22"/>
                <w:lang w:val="es-419"/>
              </w:rPr>
              <w:t>software</w:t>
            </w:r>
          </w:p>
        </w:tc>
      </w:tr>
      <w:tr w:rsidR="004304CA" w:rsidRPr="00862453" w14:paraId="38E5FFD3" w14:textId="77777777" w:rsidTr="00F300C4">
        <w:trPr>
          <w:trHeight w:val="621"/>
        </w:trPr>
        <w:tc>
          <w:tcPr>
            <w:tcW w:w="2401" w:type="dxa"/>
            <w:shd w:val="clear" w:color="auto" w:fill="C6D9F1" w:themeFill="text2" w:themeFillTint="33"/>
          </w:tcPr>
          <w:p w14:paraId="60B20C8D" w14:textId="47AC65BF" w:rsidR="004304CA" w:rsidRPr="00862453" w:rsidRDefault="004B7E75" w:rsidP="00F300C4">
            <w:pPr>
              <w:pStyle w:val="TableParagraph"/>
              <w:ind w:left="110" w:right="121"/>
              <w:rPr>
                <w:lang w:val="es-419"/>
              </w:rPr>
            </w:pPr>
            <w:r w:rsidRPr="00862453">
              <w:rPr>
                <w:u w:val="single"/>
                <w:lang w:val="es-419"/>
              </w:rPr>
              <w:t>Recomendaciones de la Agenda para el Desarrollo</w:t>
            </w:r>
          </w:p>
        </w:tc>
        <w:tc>
          <w:tcPr>
            <w:tcW w:w="6889" w:type="dxa"/>
          </w:tcPr>
          <w:p w14:paraId="299875C9" w14:textId="7272F667" w:rsidR="004304CA" w:rsidRPr="00862453" w:rsidRDefault="00455758" w:rsidP="00F300C4">
            <w:pPr>
              <w:pStyle w:val="TableParagraph"/>
              <w:ind w:right="880"/>
              <w:rPr>
                <w:lang w:val="es-419"/>
              </w:rPr>
            </w:pPr>
            <w:r w:rsidRPr="00862453">
              <w:rPr>
                <w:i/>
                <w:iCs/>
                <w:lang w:val="es-419"/>
              </w:rPr>
              <w:t>Recomendación</w:t>
            </w:r>
            <w:r w:rsidR="004304CA" w:rsidRPr="00862453">
              <w:rPr>
                <w:i/>
                <w:iCs/>
                <w:lang w:val="es-419"/>
              </w:rPr>
              <w:t xml:space="preserve"> 4</w:t>
            </w:r>
            <w:r w:rsidR="004304CA" w:rsidRPr="00862453">
              <w:rPr>
                <w:lang w:val="es-419"/>
              </w:rPr>
              <w:t>:</w:t>
            </w:r>
            <w:r w:rsidR="008F48D9" w:rsidRPr="00862453">
              <w:rPr>
                <w:lang w:val="es-419"/>
              </w:rPr>
              <w:t xml:space="preserve"> </w:t>
            </w:r>
            <w:r w:rsidRPr="00862453">
              <w:rPr>
                <w:lang w:val="es-419"/>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r w:rsidR="004304CA" w:rsidRPr="00862453">
              <w:rPr>
                <w:lang w:val="es-419"/>
              </w:rPr>
              <w:t>.</w:t>
            </w:r>
          </w:p>
          <w:p w14:paraId="58EB5D76" w14:textId="77777777" w:rsidR="004304CA" w:rsidRPr="00862453" w:rsidRDefault="004304CA" w:rsidP="00F300C4">
            <w:pPr>
              <w:pStyle w:val="TableParagraph"/>
              <w:ind w:left="109" w:right="880"/>
              <w:rPr>
                <w:lang w:val="es-419"/>
              </w:rPr>
            </w:pPr>
          </w:p>
          <w:p w14:paraId="586D4F9B" w14:textId="6F9902EF" w:rsidR="004304CA" w:rsidRPr="00862453" w:rsidRDefault="00455758" w:rsidP="00F300C4">
            <w:pPr>
              <w:pStyle w:val="TableParagraph"/>
              <w:ind w:right="880"/>
              <w:rPr>
                <w:lang w:val="es-419"/>
              </w:rPr>
            </w:pPr>
            <w:r w:rsidRPr="00862453">
              <w:rPr>
                <w:i/>
                <w:iCs/>
                <w:lang w:val="es-419"/>
              </w:rPr>
              <w:t>Recomendación</w:t>
            </w:r>
            <w:r w:rsidR="004304CA" w:rsidRPr="00862453">
              <w:rPr>
                <w:i/>
                <w:iCs/>
                <w:lang w:val="es-419"/>
              </w:rPr>
              <w:t xml:space="preserve"> 11</w:t>
            </w:r>
            <w:r w:rsidR="004304CA" w:rsidRPr="00862453">
              <w:rPr>
                <w:lang w:val="es-419"/>
              </w:rPr>
              <w:t xml:space="preserve">: </w:t>
            </w:r>
            <w:r w:rsidRPr="00862453">
              <w:rPr>
                <w:shd w:val="clear" w:color="auto" w:fill="FAFAFA"/>
                <w:lang w:val="es-419"/>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r w:rsidR="004304CA" w:rsidRPr="00862453">
              <w:rPr>
                <w:lang w:val="es-419"/>
              </w:rPr>
              <w:t xml:space="preserve">. </w:t>
            </w:r>
          </w:p>
          <w:p w14:paraId="7493E20B" w14:textId="77777777" w:rsidR="004304CA" w:rsidRPr="00862453" w:rsidRDefault="004304CA" w:rsidP="00F300C4">
            <w:pPr>
              <w:pStyle w:val="TableParagraph"/>
              <w:ind w:left="109" w:right="880"/>
              <w:rPr>
                <w:lang w:val="es-419"/>
              </w:rPr>
            </w:pPr>
            <w:r w:rsidRPr="00862453">
              <w:rPr>
                <w:lang w:val="es-419"/>
              </w:rPr>
              <w:t xml:space="preserve"> </w:t>
            </w:r>
          </w:p>
          <w:p w14:paraId="6853C00C" w14:textId="5CBE3F5A" w:rsidR="004304CA" w:rsidRPr="00862453" w:rsidRDefault="00455758" w:rsidP="00F300C4">
            <w:pPr>
              <w:pStyle w:val="TableParagraph"/>
              <w:ind w:right="880"/>
              <w:rPr>
                <w:lang w:val="es-419"/>
              </w:rPr>
            </w:pPr>
            <w:r w:rsidRPr="00862453">
              <w:rPr>
                <w:i/>
                <w:iCs/>
                <w:lang w:val="es-419"/>
              </w:rPr>
              <w:t>Recomendación</w:t>
            </w:r>
            <w:r w:rsidR="004304CA" w:rsidRPr="00862453">
              <w:rPr>
                <w:i/>
                <w:iCs/>
                <w:lang w:val="es-419"/>
              </w:rPr>
              <w:t xml:space="preserve"> 23</w:t>
            </w:r>
            <w:r w:rsidR="00F65B46" w:rsidRPr="00862453">
              <w:rPr>
                <w:i/>
                <w:iCs/>
                <w:lang w:val="es-419"/>
              </w:rPr>
              <w:t>:</w:t>
            </w:r>
            <w:r w:rsidR="00F65B46" w:rsidRPr="00862453">
              <w:rPr>
                <w:i/>
                <w:lang w:val="es-419"/>
              </w:rPr>
              <w:t xml:space="preserve"> </w:t>
            </w:r>
            <w:r w:rsidR="00F65B46" w:rsidRPr="00862453">
              <w:rPr>
                <w:shd w:val="clear" w:color="auto" w:fill="FAFAFA"/>
                <w:lang w:val="es-419"/>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p w14:paraId="6FFB7688" w14:textId="77777777" w:rsidR="004304CA" w:rsidRPr="00862453" w:rsidRDefault="004304CA" w:rsidP="00F300C4">
            <w:pPr>
              <w:pStyle w:val="TableParagraph"/>
              <w:ind w:left="109" w:right="880"/>
              <w:rPr>
                <w:lang w:val="es-419"/>
              </w:rPr>
            </w:pPr>
            <w:r w:rsidRPr="00862453">
              <w:rPr>
                <w:lang w:val="es-419"/>
              </w:rPr>
              <w:t xml:space="preserve"> </w:t>
            </w:r>
          </w:p>
          <w:p w14:paraId="77BB34E8" w14:textId="77777777" w:rsidR="00861DF6" w:rsidRPr="00862453" w:rsidRDefault="00455758" w:rsidP="00861DF6">
            <w:pPr>
              <w:rPr>
                <w:szCs w:val="22"/>
                <w:shd w:val="clear" w:color="auto" w:fill="FAFAFA"/>
                <w:lang w:val="es-419"/>
              </w:rPr>
            </w:pPr>
            <w:r w:rsidRPr="00862453">
              <w:rPr>
                <w:i/>
                <w:iCs/>
                <w:lang w:val="es-419"/>
              </w:rPr>
              <w:t>Recomendación</w:t>
            </w:r>
            <w:r w:rsidR="004304CA" w:rsidRPr="00862453">
              <w:rPr>
                <w:i/>
                <w:iCs/>
                <w:lang w:val="es-419"/>
              </w:rPr>
              <w:t xml:space="preserve"> 24</w:t>
            </w:r>
            <w:r w:rsidR="004304CA" w:rsidRPr="00862453">
              <w:rPr>
                <w:lang w:val="es-419"/>
              </w:rPr>
              <w:t xml:space="preserve">: </w:t>
            </w:r>
            <w:r w:rsidR="00861DF6" w:rsidRPr="00862453">
              <w:rPr>
                <w:szCs w:val="22"/>
                <w:shd w:val="clear" w:color="auto" w:fill="FAFAFA"/>
                <w:lang w:val="es-419"/>
              </w:rPr>
              <w:t>Solicitar a la OMPI que, con arreglo a su mandato, amplíe el alcance de sus actividades destinadas a colmar la brecha digital, de conformidad con los efectos de la Cumbre Mundial sobre la Sociedad de la Información (CMSI), y teniendo en cuenta la importancia del fondo de solidaridad digital.</w:t>
            </w:r>
          </w:p>
          <w:p w14:paraId="03AE9E16" w14:textId="7DDCDD4F" w:rsidR="004304CA" w:rsidRPr="00862453" w:rsidRDefault="004304CA" w:rsidP="00F300C4">
            <w:pPr>
              <w:pStyle w:val="TableParagraph"/>
              <w:ind w:left="109" w:right="880"/>
              <w:rPr>
                <w:lang w:val="es-419"/>
              </w:rPr>
            </w:pPr>
          </w:p>
          <w:p w14:paraId="5CF35ECC" w14:textId="375D2960" w:rsidR="004304CA" w:rsidRPr="00862453" w:rsidRDefault="00455758" w:rsidP="00F300C4">
            <w:pPr>
              <w:pStyle w:val="TableParagraph"/>
              <w:ind w:right="880"/>
              <w:rPr>
                <w:lang w:val="es-419"/>
              </w:rPr>
            </w:pPr>
            <w:r w:rsidRPr="00862453">
              <w:rPr>
                <w:i/>
                <w:iCs/>
                <w:lang w:val="es-419"/>
              </w:rPr>
              <w:t>Recomendación</w:t>
            </w:r>
            <w:r w:rsidR="004304CA" w:rsidRPr="00862453">
              <w:rPr>
                <w:i/>
                <w:iCs/>
                <w:lang w:val="es-419"/>
              </w:rPr>
              <w:t xml:space="preserve"> 27</w:t>
            </w:r>
            <w:r w:rsidR="004304CA" w:rsidRPr="00862453">
              <w:rPr>
                <w:lang w:val="es-419"/>
              </w:rPr>
              <w:t xml:space="preserve">: </w:t>
            </w:r>
            <w:r w:rsidR="00F65B46" w:rsidRPr="00862453">
              <w:rPr>
                <w:shd w:val="clear" w:color="auto" w:fill="FAFAFA"/>
                <w:lang w:val="es-419"/>
              </w:rPr>
              <w:t>Determinar los aspectos de las TIC relacionados con la PI que favorecen el crecimiento y el desarrollo: 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r w:rsidR="004304CA" w:rsidRPr="00862453">
              <w:rPr>
                <w:lang w:val="es-419"/>
              </w:rPr>
              <w:t xml:space="preserve">. </w:t>
            </w:r>
          </w:p>
          <w:p w14:paraId="7F88A9C6" w14:textId="77777777" w:rsidR="004304CA" w:rsidRPr="00862453" w:rsidRDefault="004304CA" w:rsidP="00F300C4">
            <w:pPr>
              <w:pStyle w:val="TableParagraph"/>
              <w:ind w:left="109" w:right="880"/>
              <w:rPr>
                <w:lang w:val="es-419"/>
              </w:rPr>
            </w:pPr>
          </w:p>
        </w:tc>
      </w:tr>
      <w:tr w:rsidR="004304CA" w:rsidRPr="00862453" w14:paraId="0F2AA339" w14:textId="77777777" w:rsidTr="00F300C4">
        <w:trPr>
          <w:trHeight w:val="531"/>
        </w:trPr>
        <w:tc>
          <w:tcPr>
            <w:tcW w:w="2401" w:type="dxa"/>
            <w:shd w:val="clear" w:color="auto" w:fill="C6D9F1" w:themeFill="text2" w:themeFillTint="33"/>
          </w:tcPr>
          <w:p w14:paraId="5CAD389A" w14:textId="77777777" w:rsidR="00F65B46" w:rsidRPr="00862453" w:rsidRDefault="00F65B46" w:rsidP="00F65B46">
            <w:pPr>
              <w:ind w:left="134"/>
              <w:rPr>
                <w:szCs w:val="22"/>
                <w:lang w:val="es-419"/>
              </w:rPr>
            </w:pPr>
            <w:r w:rsidRPr="00862453">
              <w:rPr>
                <w:bCs/>
                <w:szCs w:val="22"/>
                <w:u w:val="single"/>
                <w:lang w:val="es-419"/>
              </w:rPr>
              <w:t>Presupuesto del proyecto</w:t>
            </w:r>
          </w:p>
          <w:p w14:paraId="6A9414E5" w14:textId="3195D8DC" w:rsidR="004304CA" w:rsidRPr="00862453" w:rsidRDefault="004304CA" w:rsidP="00F65B46">
            <w:pPr>
              <w:pStyle w:val="TableParagraph"/>
              <w:ind w:left="134"/>
              <w:rPr>
                <w:lang w:val="es-419"/>
              </w:rPr>
            </w:pPr>
          </w:p>
        </w:tc>
        <w:tc>
          <w:tcPr>
            <w:tcW w:w="6889" w:type="dxa"/>
          </w:tcPr>
          <w:p w14:paraId="4DF28DD3" w14:textId="52331EE1" w:rsidR="004304CA" w:rsidRPr="00862453" w:rsidRDefault="00CF60AD" w:rsidP="00CF60AD">
            <w:pPr>
              <w:rPr>
                <w:iCs/>
                <w:lang w:val="es-419"/>
              </w:rPr>
            </w:pPr>
            <w:r w:rsidRPr="00862453">
              <w:rPr>
                <w:iCs/>
                <w:lang w:val="es-419"/>
              </w:rPr>
              <w:t>Gastos no relativos al personal:</w:t>
            </w:r>
            <w:r w:rsidR="00CB22DE" w:rsidRPr="00862453">
              <w:rPr>
                <w:iCs/>
                <w:lang w:val="es-419"/>
              </w:rPr>
              <w:t> </w:t>
            </w:r>
            <w:r w:rsidRPr="00862453">
              <w:rPr>
                <w:iCs/>
                <w:lang w:val="es-419"/>
              </w:rPr>
              <w:t>361.000 francos suizos</w:t>
            </w:r>
          </w:p>
          <w:p w14:paraId="6D37C26C" w14:textId="77777777" w:rsidR="004304CA" w:rsidRPr="00862453" w:rsidRDefault="004304CA" w:rsidP="00F300C4">
            <w:pPr>
              <w:pStyle w:val="TableParagraph"/>
              <w:ind w:left="109" w:right="255"/>
              <w:rPr>
                <w:iCs/>
                <w:lang w:val="es-419"/>
              </w:rPr>
            </w:pPr>
          </w:p>
        </w:tc>
      </w:tr>
      <w:tr w:rsidR="004304CA" w:rsidRPr="00862453" w14:paraId="4BF40A1C" w14:textId="77777777" w:rsidTr="00F300C4">
        <w:trPr>
          <w:trHeight w:val="441"/>
        </w:trPr>
        <w:tc>
          <w:tcPr>
            <w:tcW w:w="2401" w:type="dxa"/>
            <w:shd w:val="clear" w:color="auto" w:fill="C6D9F1" w:themeFill="text2" w:themeFillTint="33"/>
          </w:tcPr>
          <w:p w14:paraId="01488D60" w14:textId="21275811" w:rsidR="00F65B46" w:rsidRPr="00862453" w:rsidRDefault="00F65B46" w:rsidP="00F65B46">
            <w:pPr>
              <w:ind w:left="134"/>
              <w:rPr>
                <w:szCs w:val="22"/>
                <w:lang w:val="es-419"/>
              </w:rPr>
            </w:pPr>
            <w:r w:rsidRPr="00862453">
              <w:rPr>
                <w:bCs/>
                <w:szCs w:val="22"/>
                <w:u w:val="single"/>
                <w:lang w:val="es-419"/>
              </w:rPr>
              <w:t>Duración del proyecto</w:t>
            </w:r>
          </w:p>
          <w:p w14:paraId="71C46A17" w14:textId="57645F89" w:rsidR="004304CA" w:rsidRPr="00862453" w:rsidRDefault="004304CA" w:rsidP="00F65B46">
            <w:pPr>
              <w:pStyle w:val="TableParagraph"/>
              <w:spacing w:before="1"/>
              <w:ind w:left="134"/>
              <w:rPr>
                <w:lang w:val="es-419"/>
              </w:rPr>
            </w:pPr>
          </w:p>
        </w:tc>
        <w:tc>
          <w:tcPr>
            <w:tcW w:w="6889" w:type="dxa"/>
          </w:tcPr>
          <w:p w14:paraId="1726F0E4" w14:textId="4A03A9DD" w:rsidR="004304CA" w:rsidRPr="00862453" w:rsidRDefault="00F65B46" w:rsidP="00F300C4">
            <w:pPr>
              <w:pStyle w:val="TableParagraph"/>
              <w:spacing w:before="1"/>
              <w:ind w:left="109"/>
              <w:rPr>
                <w:lang w:val="es-419"/>
              </w:rPr>
            </w:pPr>
            <w:r w:rsidRPr="00862453">
              <w:rPr>
                <w:lang w:val="es-419"/>
              </w:rPr>
              <w:t>36 meses</w:t>
            </w:r>
          </w:p>
        </w:tc>
      </w:tr>
      <w:tr w:rsidR="004304CA" w:rsidRPr="00862453" w14:paraId="25926F7B" w14:textId="77777777" w:rsidTr="00F300C4">
        <w:trPr>
          <w:trHeight w:val="891"/>
        </w:trPr>
        <w:tc>
          <w:tcPr>
            <w:tcW w:w="2401" w:type="dxa"/>
            <w:shd w:val="clear" w:color="auto" w:fill="C6D9F1" w:themeFill="text2" w:themeFillTint="33"/>
          </w:tcPr>
          <w:p w14:paraId="6C349F3F" w14:textId="1CF201AC" w:rsidR="004304CA" w:rsidRPr="00862453" w:rsidRDefault="00103B9D" w:rsidP="00F300C4">
            <w:pPr>
              <w:pStyle w:val="TableParagraph"/>
              <w:spacing w:line="252" w:lineRule="exact"/>
              <w:ind w:left="110"/>
              <w:rPr>
                <w:lang w:val="es-419"/>
              </w:rPr>
            </w:pPr>
            <w:r w:rsidRPr="00862453">
              <w:rPr>
                <w:u w:val="single"/>
                <w:lang w:val="es-419"/>
              </w:rPr>
              <w:t>Principales sectores/ámbitos de la OMPI que participan en la ejecución del proyecto</w:t>
            </w:r>
          </w:p>
        </w:tc>
        <w:tc>
          <w:tcPr>
            <w:tcW w:w="6889" w:type="dxa"/>
          </w:tcPr>
          <w:p w14:paraId="39CE343D" w14:textId="7CA658B6" w:rsidR="004304CA" w:rsidRPr="00862453" w:rsidRDefault="008B2106" w:rsidP="00F300C4">
            <w:pPr>
              <w:spacing w:line="237" w:lineRule="auto"/>
              <w:rPr>
                <w:lang w:val="es-419"/>
              </w:rPr>
            </w:pPr>
            <w:r w:rsidRPr="00862453">
              <w:rPr>
                <w:lang w:val="es-419"/>
              </w:rPr>
              <w:t>Sector de Derecho de Autor e Industrias Creativas</w:t>
            </w:r>
            <w:r w:rsidR="004304CA" w:rsidRPr="00862453">
              <w:rPr>
                <w:lang w:val="es-419"/>
              </w:rPr>
              <w:t xml:space="preserve"> </w:t>
            </w:r>
          </w:p>
          <w:p w14:paraId="36B6E7D8" w14:textId="77777777" w:rsidR="004304CA" w:rsidRPr="00862453" w:rsidRDefault="004304CA" w:rsidP="00F300C4">
            <w:pPr>
              <w:spacing w:line="237" w:lineRule="auto"/>
              <w:rPr>
                <w:lang w:val="es-419"/>
              </w:rPr>
            </w:pPr>
          </w:p>
          <w:p w14:paraId="21E92196" w14:textId="723EA53B" w:rsidR="004304CA" w:rsidRPr="00862453" w:rsidRDefault="004304CA" w:rsidP="00F300C4">
            <w:pPr>
              <w:spacing w:line="256" w:lineRule="auto"/>
              <w:rPr>
                <w:lang w:val="es-419"/>
              </w:rPr>
            </w:pPr>
            <w:r w:rsidRPr="00862453">
              <w:rPr>
                <w:lang w:val="es-419"/>
              </w:rPr>
              <w:t>Program</w:t>
            </w:r>
            <w:r w:rsidR="008B2106" w:rsidRPr="00862453">
              <w:rPr>
                <w:lang w:val="es-419"/>
              </w:rPr>
              <w:t>a</w:t>
            </w:r>
            <w:r w:rsidRPr="00862453">
              <w:rPr>
                <w:lang w:val="es-419"/>
              </w:rPr>
              <w:t>s</w:t>
            </w:r>
            <w:r w:rsidR="00CB22DE" w:rsidRPr="00862453">
              <w:rPr>
                <w:lang w:val="es-419"/>
              </w:rPr>
              <w:t> </w:t>
            </w:r>
            <w:r w:rsidRPr="00862453">
              <w:rPr>
                <w:lang w:val="es-419"/>
              </w:rPr>
              <w:t xml:space="preserve">1; 2; 3; 7; 11; 17 </w:t>
            </w:r>
            <w:r w:rsidR="008B2106" w:rsidRPr="00862453">
              <w:rPr>
                <w:lang w:val="es-419"/>
              </w:rPr>
              <w:t>y</w:t>
            </w:r>
            <w:r w:rsidRPr="00862453">
              <w:rPr>
                <w:lang w:val="es-419"/>
              </w:rPr>
              <w:t xml:space="preserve"> 30 </w:t>
            </w:r>
            <w:r w:rsidR="008B2106" w:rsidRPr="00862453">
              <w:rPr>
                <w:lang w:val="es-419"/>
              </w:rPr>
              <w:t xml:space="preserve">del presupuesto por programas para el bienio </w:t>
            </w:r>
            <w:r w:rsidRPr="00862453">
              <w:rPr>
                <w:lang w:val="es-419"/>
              </w:rPr>
              <w:t>2020</w:t>
            </w:r>
            <w:r w:rsidR="00CB22DE" w:rsidRPr="00862453">
              <w:rPr>
                <w:lang w:val="es-419"/>
              </w:rPr>
              <w:t>-20</w:t>
            </w:r>
            <w:r w:rsidRPr="00862453">
              <w:rPr>
                <w:lang w:val="es-419"/>
              </w:rPr>
              <w:t>21.</w:t>
            </w:r>
            <w:r w:rsidR="008F48D9" w:rsidRPr="00862453">
              <w:rPr>
                <w:lang w:val="es-419"/>
              </w:rPr>
              <w:t xml:space="preserve"> </w:t>
            </w:r>
          </w:p>
          <w:p w14:paraId="07BA4259" w14:textId="77777777" w:rsidR="004304CA" w:rsidRPr="00862453" w:rsidRDefault="004304CA" w:rsidP="00F300C4">
            <w:pPr>
              <w:spacing w:line="256" w:lineRule="auto"/>
              <w:rPr>
                <w:lang w:val="es-419"/>
              </w:rPr>
            </w:pPr>
          </w:p>
          <w:p w14:paraId="0F90156B" w14:textId="77777777" w:rsidR="004304CA" w:rsidRPr="00862453" w:rsidRDefault="004304CA" w:rsidP="00F300C4">
            <w:pPr>
              <w:pStyle w:val="TableParagraph"/>
              <w:ind w:right="531"/>
              <w:rPr>
                <w:lang w:val="es-419"/>
              </w:rPr>
            </w:pPr>
            <w:r w:rsidRPr="00862453">
              <w:rPr>
                <w:lang w:val="es-419"/>
              </w:rPr>
              <w:t>DA_7_23_ 32_01; DA_19_24_27_01; DA_1_2_4_10_11_01; DA_1_2_4_10_11_02.</w:t>
            </w:r>
          </w:p>
        </w:tc>
      </w:tr>
      <w:tr w:rsidR="004304CA" w:rsidRPr="00862453" w14:paraId="19B8F6C1" w14:textId="77777777" w:rsidTr="00F300C4">
        <w:trPr>
          <w:trHeight w:val="621"/>
        </w:trPr>
        <w:tc>
          <w:tcPr>
            <w:tcW w:w="2401" w:type="dxa"/>
            <w:shd w:val="clear" w:color="auto" w:fill="C6D9F1" w:themeFill="text2" w:themeFillTint="33"/>
          </w:tcPr>
          <w:p w14:paraId="7DCB91B4" w14:textId="5C46D99F" w:rsidR="004304CA" w:rsidRPr="00862453" w:rsidRDefault="008B2106" w:rsidP="00F300C4">
            <w:pPr>
              <w:pStyle w:val="TableParagraph"/>
              <w:spacing w:before="1"/>
              <w:ind w:left="110" w:right="378"/>
              <w:rPr>
                <w:lang w:val="es-419"/>
              </w:rPr>
            </w:pPr>
            <w:r w:rsidRPr="00862453">
              <w:rPr>
                <w:u w:val="single"/>
                <w:lang w:val="es-419"/>
              </w:rPr>
              <w:t>Breve descripción del proyecto</w:t>
            </w:r>
          </w:p>
        </w:tc>
        <w:tc>
          <w:tcPr>
            <w:tcW w:w="6889" w:type="dxa"/>
          </w:tcPr>
          <w:p w14:paraId="774F21E8" w14:textId="2A8904FD" w:rsidR="00D24022" w:rsidRPr="00862453" w:rsidRDefault="00D24022" w:rsidP="00F300C4">
            <w:pPr>
              <w:pStyle w:val="TableParagraph"/>
              <w:spacing w:before="1"/>
              <w:rPr>
                <w:lang w:val="es-419"/>
              </w:rPr>
            </w:pPr>
            <w:r w:rsidRPr="00862453">
              <w:rPr>
                <w:lang w:val="es-419"/>
              </w:rPr>
              <w:t xml:space="preserve">El proyecto tenía por </w:t>
            </w:r>
            <w:r w:rsidR="00953F05" w:rsidRPr="00862453">
              <w:rPr>
                <w:lang w:val="es-419"/>
              </w:rPr>
              <w:t>objeto</w:t>
            </w:r>
            <w:r w:rsidRPr="00862453">
              <w:rPr>
                <w:lang w:val="es-419"/>
              </w:rPr>
              <w:t xml:space="preserve"> la intensificación del uso de la PI en el sector </w:t>
            </w:r>
            <w:r w:rsidR="00251C90" w:rsidRPr="00862453">
              <w:rPr>
                <w:lang w:val="es-419"/>
              </w:rPr>
              <w:t xml:space="preserve">del </w:t>
            </w:r>
            <w:r w:rsidR="00251C90" w:rsidRPr="00862453">
              <w:rPr>
                <w:i/>
                <w:iCs/>
                <w:lang w:val="es-419"/>
              </w:rPr>
              <w:t>software</w:t>
            </w:r>
            <w:r w:rsidRPr="00862453">
              <w:rPr>
                <w:lang w:val="es-419"/>
              </w:rPr>
              <w:t xml:space="preserve"> en relación con las aplicaciones móviles, </w:t>
            </w:r>
            <w:r w:rsidR="0071132E" w:rsidRPr="00862453">
              <w:rPr>
                <w:lang w:val="es-419"/>
              </w:rPr>
              <w:t xml:space="preserve">en particular, mediante la puesta a disposición de </w:t>
            </w:r>
            <w:r w:rsidRPr="00862453">
              <w:rPr>
                <w:lang w:val="es-419"/>
              </w:rPr>
              <w:t xml:space="preserve">un conjunto de herramientas </w:t>
            </w:r>
            <w:r w:rsidR="0071132E" w:rsidRPr="00862453">
              <w:rPr>
                <w:lang w:val="es-419"/>
              </w:rPr>
              <w:t>susceptibles de fomentar</w:t>
            </w:r>
            <w:r w:rsidRPr="00862453">
              <w:rPr>
                <w:lang w:val="es-419"/>
              </w:rPr>
              <w:t xml:space="preserve"> el </w:t>
            </w:r>
            <w:r w:rsidR="00953F05" w:rsidRPr="00862453">
              <w:rPr>
                <w:lang w:val="es-419"/>
              </w:rPr>
              <w:t xml:space="preserve">futuro </w:t>
            </w:r>
            <w:r w:rsidRPr="00862453">
              <w:rPr>
                <w:lang w:val="es-419"/>
              </w:rPr>
              <w:t>crecimiento económico en los tres países beneficiarios</w:t>
            </w:r>
            <w:r w:rsidR="004335F0" w:rsidRPr="00862453">
              <w:rPr>
                <w:lang w:val="es-419"/>
              </w:rPr>
              <w:t>.</w:t>
            </w:r>
          </w:p>
          <w:p w14:paraId="2575677C" w14:textId="03687138" w:rsidR="004304CA" w:rsidRPr="00862453" w:rsidRDefault="004304CA" w:rsidP="00F300C4">
            <w:pPr>
              <w:pStyle w:val="TableParagraph"/>
              <w:spacing w:before="1"/>
              <w:ind w:left="109"/>
              <w:rPr>
                <w:lang w:val="es-419"/>
              </w:rPr>
            </w:pPr>
          </w:p>
          <w:p w14:paraId="240FCA87" w14:textId="6612FBD0" w:rsidR="004304CA" w:rsidRPr="00862453" w:rsidRDefault="00953F05" w:rsidP="00F300C4">
            <w:pPr>
              <w:pStyle w:val="TableParagraph"/>
              <w:spacing w:before="1"/>
              <w:rPr>
                <w:lang w:val="es-419"/>
              </w:rPr>
            </w:pPr>
            <w:r w:rsidRPr="00862453">
              <w:rPr>
                <w:lang w:val="es-419"/>
              </w:rPr>
              <w:t>Gracias a</w:t>
            </w:r>
            <w:r w:rsidR="009F1F7F" w:rsidRPr="00862453">
              <w:rPr>
                <w:lang w:val="es-419"/>
              </w:rPr>
              <w:t xml:space="preserve"> sus actividades y aportes concretos, el proyecto </w:t>
            </w:r>
            <w:r w:rsidRPr="00862453">
              <w:rPr>
                <w:lang w:val="es-419"/>
              </w:rPr>
              <w:t>fortaleció</w:t>
            </w:r>
            <w:r w:rsidR="009F1F7F" w:rsidRPr="00862453">
              <w:rPr>
                <w:lang w:val="es-419"/>
              </w:rPr>
              <w:t xml:space="preserve"> los conocimientos y la experiencia </w:t>
            </w:r>
            <w:r w:rsidR="00175BC2" w:rsidRPr="00862453">
              <w:rPr>
                <w:lang w:val="es-419"/>
              </w:rPr>
              <w:t xml:space="preserve">de las partes interesadas </w:t>
            </w:r>
            <w:r w:rsidR="009F1F7F" w:rsidRPr="00862453">
              <w:rPr>
                <w:lang w:val="es-419"/>
              </w:rPr>
              <w:t xml:space="preserve">en lo relativo al sector de las aplicaciones para móviles y sobre cuándo y cómo emplear diversas herramientas de PI para </w:t>
            </w:r>
            <w:r w:rsidR="004335F0" w:rsidRPr="00862453">
              <w:rPr>
                <w:lang w:val="es-419"/>
              </w:rPr>
              <w:t>potenciar</w:t>
            </w:r>
            <w:r w:rsidR="009F1F7F" w:rsidRPr="00862453">
              <w:rPr>
                <w:lang w:val="es-419"/>
              </w:rPr>
              <w:t xml:space="preserve"> el desarrollo y la comercialización de estas aplicaciones.</w:t>
            </w:r>
          </w:p>
          <w:p w14:paraId="0CD965A7" w14:textId="72AE3442" w:rsidR="004304CA" w:rsidRPr="00862453" w:rsidRDefault="004304CA" w:rsidP="00251C90">
            <w:pPr>
              <w:pStyle w:val="TableParagraph"/>
              <w:spacing w:before="1"/>
              <w:rPr>
                <w:lang w:val="es-419"/>
              </w:rPr>
            </w:pPr>
          </w:p>
          <w:p w14:paraId="28AC649D" w14:textId="3BEE6973" w:rsidR="00D24022" w:rsidRPr="00862453" w:rsidRDefault="00DB02B6" w:rsidP="00F300C4">
            <w:pPr>
              <w:pStyle w:val="TableParagraph"/>
              <w:spacing w:before="1"/>
              <w:rPr>
                <w:lang w:val="es-419"/>
              </w:rPr>
            </w:pPr>
            <w:r w:rsidRPr="00862453">
              <w:rPr>
                <w:lang w:val="es-419"/>
              </w:rPr>
              <w:t>El proyecto creó vínculos entre los países beneficiarios y, en el seno de estos, entre las oficinas de PI, los centros creativos, las instituciones de investigación y la industria.</w:t>
            </w:r>
          </w:p>
          <w:p w14:paraId="02B29B78" w14:textId="1DFD9F5C" w:rsidR="004304CA" w:rsidRPr="00862453" w:rsidRDefault="004304CA" w:rsidP="00F300C4">
            <w:pPr>
              <w:pStyle w:val="TableParagraph"/>
              <w:spacing w:before="1"/>
              <w:ind w:left="109"/>
              <w:rPr>
                <w:lang w:val="es-419"/>
              </w:rPr>
            </w:pPr>
          </w:p>
          <w:p w14:paraId="2571CC57" w14:textId="13DC47E6" w:rsidR="004304CA" w:rsidRPr="00862453" w:rsidRDefault="000C1BF2" w:rsidP="00456515">
            <w:pPr>
              <w:rPr>
                <w:szCs w:val="22"/>
                <w:lang w:val="es-419"/>
              </w:rPr>
            </w:pPr>
            <w:r w:rsidRPr="00862453">
              <w:rPr>
                <w:color w:val="000000" w:themeColor="text1"/>
                <w:lang w:val="es-419"/>
              </w:rPr>
              <w:t>P</w:t>
            </w:r>
            <w:r w:rsidR="0071132E" w:rsidRPr="00862453">
              <w:rPr>
                <w:lang w:val="es-419"/>
              </w:rPr>
              <w:t xml:space="preserve">ropuesto inicialmente por </w:t>
            </w:r>
            <w:r w:rsidR="00D54E8F">
              <w:rPr>
                <w:lang w:val="es-419"/>
              </w:rPr>
              <w:t>Keny</w:t>
            </w:r>
            <w:r w:rsidR="00C40DFF" w:rsidRPr="00862453">
              <w:rPr>
                <w:lang w:val="es-419"/>
              </w:rPr>
              <w:t>a</w:t>
            </w:r>
            <w:r w:rsidR="0071132E" w:rsidRPr="00862453">
              <w:rPr>
                <w:lang w:val="es-419"/>
              </w:rPr>
              <w:t xml:space="preserve"> durante la vigesimoprimera sesión del CDIP (documento CDIP/21/7), </w:t>
            </w:r>
            <w:r w:rsidRPr="00862453">
              <w:rPr>
                <w:lang w:val="es-419"/>
              </w:rPr>
              <w:t>el proyecto fue ampliado</w:t>
            </w:r>
            <w:r w:rsidR="0071132E" w:rsidRPr="00862453">
              <w:rPr>
                <w:lang w:val="es-419"/>
              </w:rPr>
              <w:t xml:space="preserve"> en respuesta a los comentarios formulados por los Estados miembros durante esa sesión. </w:t>
            </w:r>
            <w:r w:rsidR="00456515" w:rsidRPr="00862453">
              <w:rPr>
                <w:lang w:val="es-419"/>
              </w:rPr>
              <w:t xml:space="preserve">Por ende, </w:t>
            </w:r>
            <w:r w:rsidR="00456515" w:rsidRPr="00862453">
              <w:rPr>
                <w:color w:val="000000" w:themeColor="text1"/>
                <w:lang w:val="es-419"/>
              </w:rPr>
              <w:t>el CDIP examinó y aprobó una versión revisada en su vigesimosegunda sesión.</w:t>
            </w:r>
          </w:p>
        </w:tc>
      </w:tr>
      <w:tr w:rsidR="004304CA" w:rsidRPr="00862453" w14:paraId="42BCF14E" w14:textId="77777777" w:rsidTr="00F300C4">
        <w:trPr>
          <w:trHeight w:val="441"/>
        </w:trPr>
        <w:tc>
          <w:tcPr>
            <w:tcW w:w="2401" w:type="dxa"/>
            <w:shd w:val="clear" w:color="auto" w:fill="C6D9F1" w:themeFill="text2" w:themeFillTint="33"/>
          </w:tcPr>
          <w:p w14:paraId="67DF1916" w14:textId="7127DAB9" w:rsidR="004304CA" w:rsidRPr="00862453" w:rsidRDefault="00CF60AD" w:rsidP="00F300C4">
            <w:pPr>
              <w:pStyle w:val="TableParagraph"/>
              <w:ind w:left="110"/>
              <w:rPr>
                <w:lang w:val="es-419"/>
              </w:rPr>
            </w:pPr>
            <w:r w:rsidRPr="00862453">
              <w:rPr>
                <w:u w:val="single"/>
                <w:lang w:val="es-419"/>
              </w:rPr>
              <w:t>Director del proyecto</w:t>
            </w:r>
          </w:p>
        </w:tc>
        <w:tc>
          <w:tcPr>
            <w:tcW w:w="6889" w:type="dxa"/>
          </w:tcPr>
          <w:p w14:paraId="74D24C10" w14:textId="47A384FD" w:rsidR="004304CA" w:rsidRPr="00862453" w:rsidRDefault="00CF60AD" w:rsidP="00F300C4">
            <w:pPr>
              <w:pStyle w:val="TableParagraph"/>
              <w:ind w:left="109"/>
              <w:rPr>
                <w:lang w:val="es-419"/>
              </w:rPr>
            </w:pPr>
            <w:r w:rsidRPr="00862453">
              <w:rPr>
                <w:lang w:val="es-419"/>
              </w:rPr>
              <w:t>Sr</w:t>
            </w:r>
            <w:r w:rsidR="004304CA" w:rsidRPr="00862453">
              <w:rPr>
                <w:lang w:val="es-419"/>
              </w:rPr>
              <w:t>.</w:t>
            </w:r>
            <w:r w:rsidRPr="00862453">
              <w:rPr>
                <w:lang w:val="es-419"/>
              </w:rPr>
              <w:t> </w:t>
            </w:r>
            <w:r w:rsidR="004304CA" w:rsidRPr="00862453">
              <w:rPr>
                <w:lang w:val="es-419"/>
              </w:rPr>
              <w:t xml:space="preserve">Dimiter Gantchev, </w:t>
            </w:r>
            <w:r w:rsidRPr="00862453">
              <w:rPr>
                <w:lang w:val="es-419"/>
              </w:rPr>
              <w:t xml:space="preserve">director adjunto y </w:t>
            </w:r>
            <w:r w:rsidR="008D403D" w:rsidRPr="00862453">
              <w:rPr>
                <w:lang w:val="es-419"/>
              </w:rPr>
              <w:t>director principal</w:t>
            </w:r>
            <w:r w:rsidR="004304CA" w:rsidRPr="00862453">
              <w:rPr>
                <w:lang w:val="es-419"/>
              </w:rPr>
              <w:t xml:space="preserve">, </w:t>
            </w:r>
            <w:r w:rsidR="000E1522" w:rsidRPr="00862453">
              <w:rPr>
                <w:lang w:val="es-419"/>
              </w:rPr>
              <w:t>División de Información y Difusión por Medios Digitales</w:t>
            </w:r>
            <w:r w:rsidR="004304CA" w:rsidRPr="00862453">
              <w:rPr>
                <w:lang w:val="es-419"/>
              </w:rPr>
              <w:t xml:space="preserve">, </w:t>
            </w:r>
            <w:r w:rsidR="000E1522" w:rsidRPr="00862453">
              <w:rPr>
                <w:lang w:val="es-419"/>
              </w:rPr>
              <w:t>Sector de Derecho de Autor e Industrias Creativas.</w:t>
            </w:r>
          </w:p>
        </w:tc>
      </w:tr>
      <w:tr w:rsidR="004304CA" w:rsidRPr="00862453" w14:paraId="6A68F1E1" w14:textId="77777777" w:rsidTr="00F300C4">
        <w:trPr>
          <w:trHeight w:val="792"/>
        </w:trPr>
        <w:tc>
          <w:tcPr>
            <w:tcW w:w="2401" w:type="dxa"/>
            <w:shd w:val="clear" w:color="auto" w:fill="C6D9F1" w:themeFill="text2" w:themeFillTint="33"/>
          </w:tcPr>
          <w:p w14:paraId="658221F6" w14:textId="0EC7748B" w:rsidR="004304CA" w:rsidRPr="00862453" w:rsidRDefault="00CB22DE" w:rsidP="00F300C4">
            <w:pPr>
              <w:pStyle w:val="TableParagraph"/>
              <w:ind w:left="110" w:right="221"/>
              <w:rPr>
                <w:lang w:val="es-419"/>
              </w:rPr>
            </w:pPr>
            <w:r w:rsidRPr="00862453">
              <w:rPr>
                <w:u w:val="single"/>
                <w:lang w:val="es-419"/>
              </w:rPr>
              <w:t>Vínculos con los resultados previstos en el presupuesto por programas (2020-2021)</w:t>
            </w:r>
          </w:p>
        </w:tc>
        <w:tc>
          <w:tcPr>
            <w:tcW w:w="6889" w:type="dxa"/>
          </w:tcPr>
          <w:p w14:paraId="4C5DD865" w14:textId="68806A4B" w:rsidR="004304CA" w:rsidRPr="00862453" w:rsidRDefault="00CB22DE" w:rsidP="00F300C4">
            <w:pPr>
              <w:pStyle w:val="TableParagraph"/>
              <w:ind w:left="109" w:right="109"/>
              <w:rPr>
                <w:lang w:val="es-419"/>
              </w:rPr>
            </w:pPr>
            <w:r w:rsidRPr="00862453">
              <w:rPr>
                <w:lang w:val="es-419"/>
              </w:rPr>
              <w:t>Resultado previsto</w:t>
            </w:r>
            <w:r w:rsidR="004304CA" w:rsidRPr="00862453">
              <w:rPr>
                <w:lang w:val="es-419"/>
              </w:rPr>
              <w:t xml:space="preserve"> III.2 </w:t>
            </w:r>
            <w:r w:rsidR="009D3B1D" w:rsidRPr="00862453">
              <w:rPr>
                <w:lang w:val="es-419"/>
              </w:rPr>
              <w:t>Aumento de las capacidades en recursos humanos para hacer frente a la gran diversidad de exigencias que supone la utilización eficaz de la PI para fomentar el desarrollo en los países en desarrollo, PMA y países con economías en transición</w:t>
            </w:r>
            <w:r w:rsidR="004304CA" w:rsidRPr="00862453">
              <w:rPr>
                <w:lang w:val="es-419"/>
              </w:rPr>
              <w:t xml:space="preserve">. </w:t>
            </w:r>
          </w:p>
          <w:p w14:paraId="47438876" w14:textId="77777777" w:rsidR="004304CA" w:rsidRPr="00862453" w:rsidRDefault="004304CA" w:rsidP="00F300C4">
            <w:pPr>
              <w:pStyle w:val="TableParagraph"/>
              <w:ind w:left="109" w:right="109"/>
              <w:rPr>
                <w:lang w:val="es-419"/>
              </w:rPr>
            </w:pPr>
          </w:p>
          <w:p w14:paraId="04D6F4AE" w14:textId="7C124FB8" w:rsidR="004304CA" w:rsidRPr="00862453" w:rsidRDefault="00CB22DE" w:rsidP="00F300C4">
            <w:pPr>
              <w:pStyle w:val="TableParagraph"/>
              <w:ind w:left="109" w:right="109"/>
              <w:rPr>
                <w:lang w:val="es-419"/>
              </w:rPr>
            </w:pPr>
            <w:r w:rsidRPr="00862453">
              <w:rPr>
                <w:lang w:val="es-419"/>
              </w:rPr>
              <w:t>Resultado previsto</w:t>
            </w:r>
            <w:r w:rsidR="004304CA" w:rsidRPr="00862453">
              <w:rPr>
                <w:lang w:val="es-419"/>
              </w:rPr>
              <w:t xml:space="preserve"> IV.2 </w:t>
            </w:r>
            <w:r w:rsidR="009D3B1D" w:rsidRPr="00862453">
              <w:rPr>
                <w:lang w:val="es-419"/>
              </w:rPr>
              <w:t>Mejora del acceso y uso de información de PI por parte de instituciones de PI y el público para fomentar la innovación y la creatividad</w:t>
            </w:r>
            <w:r w:rsidR="004304CA" w:rsidRPr="00862453">
              <w:rPr>
                <w:lang w:val="es-419"/>
              </w:rPr>
              <w:t xml:space="preserve">. </w:t>
            </w:r>
          </w:p>
          <w:p w14:paraId="45757A92" w14:textId="77777777" w:rsidR="004304CA" w:rsidRPr="00862453" w:rsidRDefault="004304CA" w:rsidP="00F300C4">
            <w:pPr>
              <w:pStyle w:val="TableParagraph"/>
              <w:ind w:left="109" w:right="109"/>
              <w:rPr>
                <w:lang w:val="es-419"/>
              </w:rPr>
            </w:pPr>
          </w:p>
          <w:p w14:paraId="46EC1831" w14:textId="12F92CD6" w:rsidR="004304CA" w:rsidRPr="00862453" w:rsidRDefault="00CB22DE" w:rsidP="00F300C4">
            <w:pPr>
              <w:pStyle w:val="TableParagraph"/>
              <w:ind w:left="109" w:right="109"/>
              <w:rPr>
                <w:lang w:val="es-419"/>
              </w:rPr>
            </w:pPr>
            <w:r w:rsidRPr="00862453">
              <w:rPr>
                <w:lang w:val="es-419"/>
              </w:rPr>
              <w:t>Resultado previsto</w:t>
            </w:r>
            <w:r w:rsidR="004304CA" w:rsidRPr="00862453">
              <w:rPr>
                <w:lang w:val="es-419"/>
              </w:rPr>
              <w:t xml:space="preserve"> III.6. </w:t>
            </w:r>
            <w:r w:rsidR="009D3B1D" w:rsidRPr="00862453">
              <w:rPr>
                <w:lang w:val="es-419"/>
              </w:rPr>
              <w:t>Mayor capacidad de las pymes, las universidades y las instituciones de investigación para utilizar eficazmente la PI con el fin de apoyar la innovación</w:t>
            </w:r>
            <w:r w:rsidR="004304CA" w:rsidRPr="00862453">
              <w:rPr>
                <w:lang w:val="es-419"/>
              </w:rPr>
              <w:t>.</w:t>
            </w:r>
          </w:p>
        </w:tc>
      </w:tr>
      <w:tr w:rsidR="004304CA" w:rsidRPr="00862453" w14:paraId="5377BD39" w14:textId="77777777" w:rsidTr="00F300C4">
        <w:trPr>
          <w:trHeight w:val="801"/>
        </w:trPr>
        <w:tc>
          <w:tcPr>
            <w:tcW w:w="2401" w:type="dxa"/>
            <w:shd w:val="clear" w:color="auto" w:fill="C6D9F1" w:themeFill="text2" w:themeFillTint="33"/>
          </w:tcPr>
          <w:p w14:paraId="57143C06" w14:textId="334D1123" w:rsidR="004304CA" w:rsidRPr="00862453" w:rsidRDefault="002C76FC" w:rsidP="00F300C4">
            <w:pPr>
              <w:pStyle w:val="TableParagraph"/>
              <w:ind w:left="110"/>
              <w:rPr>
                <w:lang w:val="es-419"/>
              </w:rPr>
            </w:pPr>
            <w:r w:rsidRPr="00862453">
              <w:rPr>
                <w:u w:val="single"/>
                <w:lang w:val="es-419"/>
              </w:rPr>
              <w:t>Visión de conjunto</w:t>
            </w:r>
            <w:r w:rsidR="000D79A1" w:rsidRPr="00862453">
              <w:rPr>
                <w:u w:val="single"/>
                <w:lang w:val="es-419"/>
              </w:rPr>
              <w:t xml:space="preserve"> de la ejecución del proyecto</w:t>
            </w:r>
          </w:p>
        </w:tc>
        <w:tc>
          <w:tcPr>
            <w:tcW w:w="6889" w:type="dxa"/>
          </w:tcPr>
          <w:p w14:paraId="3E4F929D" w14:textId="75293FF6" w:rsidR="004304CA" w:rsidRPr="00862453" w:rsidRDefault="00570182" w:rsidP="00F300C4">
            <w:pPr>
              <w:pStyle w:val="TableParagraph"/>
              <w:spacing w:before="1"/>
              <w:ind w:right="390"/>
              <w:rPr>
                <w:lang w:val="es-419"/>
              </w:rPr>
            </w:pPr>
            <w:r w:rsidRPr="00862453">
              <w:rPr>
                <w:lang w:val="es-419"/>
              </w:rPr>
              <w:t xml:space="preserve">El </w:t>
            </w:r>
            <w:r w:rsidR="00A11E86" w:rsidRPr="00862453">
              <w:rPr>
                <w:lang w:val="es-419"/>
              </w:rPr>
              <w:t>p</w:t>
            </w:r>
            <w:r w:rsidRPr="00862453">
              <w:rPr>
                <w:lang w:val="es-419"/>
              </w:rPr>
              <w:t xml:space="preserve">royecto se ejecutó en tres fases </w:t>
            </w:r>
            <w:r w:rsidR="007F3F52" w:rsidRPr="00862453">
              <w:rPr>
                <w:lang w:val="es-419"/>
              </w:rPr>
              <w:t>estructuradas e interrelacionadas</w:t>
            </w:r>
            <w:r w:rsidRPr="00862453">
              <w:rPr>
                <w:lang w:val="es-419"/>
              </w:rPr>
              <w:t>, a saber</w:t>
            </w:r>
            <w:r w:rsidR="004304CA" w:rsidRPr="00862453">
              <w:rPr>
                <w:lang w:val="es-419"/>
              </w:rPr>
              <w:t>:</w:t>
            </w:r>
          </w:p>
          <w:p w14:paraId="0DB8621C" w14:textId="77777777" w:rsidR="004304CA" w:rsidRPr="00862453" w:rsidRDefault="004304CA" w:rsidP="00F300C4">
            <w:pPr>
              <w:pStyle w:val="TableParagraph"/>
              <w:spacing w:before="1"/>
              <w:ind w:left="109" w:right="390"/>
              <w:rPr>
                <w:lang w:val="es-419"/>
              </w:rPr>
            </w:pPr>
          </w:p>
          <w:p w14:paraId="26858FF4" w14:textId="6ACC2001" w:rsidR="00A94A72" w:rsidRPr="00862453" w:rsidRDefault="00263760" w:rsidP="00F300C4">
            <w:pPr>
              <w:pStyle w:val="TableParagraph"/>
              <w:spacing w:before="1"/>
              <w:ind w:right="390"/>
              <w:rPr>
                <w:lang w:val="es-419"/>
              </w:rPr>
            </w:pPr>
            <w:r w:rsidRPr="00862453">
              <w:rPr>
                <w:lang w:val="es-419"/>
              </w:rPr>
              <w:t>Fase</w:t>
            </w:r>
            <w:r w:rsidR="004304CA" w:rsidRPr="00862453">
              <w:rPr>
                <w:lang w:val="es-419"/>
              </w:rPr>
              <w:t xml:space="preserve"> 1: </w:t>
            </w:r>
            <w:r w:rsidR="00A94A72" w:rsidRPr="00862453">
              <w:rPr>
                <w:lang w:val="es-419"/>
              </w:rPr>
              <w:t xml:space="preserve">Durante la primera fase de ejecución del proyecto, se </w:t>
            </w:r>
            <w:r w:rsidR="007F3F52" w:rsidRPr="00862453">
              <w:rPr>
                <w:lang w:val="es-419"/>
              </w:rPr>
              <w:t>definió su</w:t>
            </w:r>
            <w:r w:rsidR="00A94A72" w:rsidRPr="00862453">
              <w:rPr>
                <w:lang w:val="es-419"/>
              </w:rPr>
              <w:t xml:space="preserve"> estructura organizativa. </w:t>
            </w:r>
            <w:r w:rsidR="007F3F52" w:rsidRPr="00862453">
              <w:rPr>
                <w:lang w:val="es-419"/>
              </w:rPr>
              <w:t>Entre otros aspectos</w:t>
            </w:r>
            <w:r w:rsidR="000C1BF2" w:rsidRPr="00862453">
              <w:rPr>
                <w:lang w:val="es-419"/>
              </w:rPr>
              <w:t>,</w:t>
            </w:r>
            <w:r w:rsidR="007F3F52" w:rsidRPr="00862453">
              <w:rPr>
                <w:lang w:val="es-419"/>
              </w:rPr>
              <w:t xml:space="preserve"> se concretaron</w:t>
            </w:r>
            <w:r w:rsidR="00A94A72" w:rsidRPr="00862453">
              <w:rPr>
                <w:lang w:val="es-419"/>
              </w:rPr>
              <w:t xml:space="preserve">: el establecimiento de líneas </w:t>
            </w:r>
            <w:r w:rsidR="005903BD" w:rsidRPr="00862453">
              <w:rPr>
                <w:lang w:val="es-419"/>
              </w:rPr>
              <w:t>jerárquicas</w:t>
            </w:r>
            <w:r w:rsidR="00A94A72" w:rsidRPr="00862453">
              <w:rPr>
                <w:lang w:val="es-419"/>
              </w:rPr>
              <w:t xml:space="preserve"> y la designación de </w:t>
            </w:r>
            <w:r w:rsidR="007F3F52" w:rsidRPr="00862453">
              <w:rPr>
                <w:lang w:val="es-419"/>
              </w:rPr>
              <w:t>coordinadores</w:t>
            </w:r>
            <w:r w:rsidR="00A94A72" w:rsidRPr="00862453">
              <w:rPr>
                <w:lang w:val="es-419"/>
              </w:rPr>
              <w:t xml:space="preserve"> nacionales; la realización de un estudio </w:t>
            </w:r>
            <w:r w:rsidR="007F3F52" w:rsidRPr="00862453">
              <w:rPr>
                <w:lang w:val="es-419"/>
              </w:rPr>
              <w:t>exploratorio</w:t>
            </w:r>
            <w:r w:rsidR="00A94A72" w:rsidRPr="00862453">
              <w:rPr>
                <w:lang w:val="es-419"/>
              </w:rPr>
              <w:t xml:space="preserve"> </w:t>
            </w:r>
            <w:r w:rsidR="007F3F52" w:rsidRPr="00862453">
              <w:rPr>
                <w:lang w:val="es-419"/>
              </w:rPr>
              <w:t>con el fin de</w:t>
            </w:r>
            <w:r w:rsidR="00A94A72" w:rsidRPr="00862453">
              <w:rPr>
                <w:lang w:val="es-419"/>
              </w:rPr>
              <w:t xml:space="preserve"> identificar problemas específicos en los países beneficiarios; la </w:t>
            </w:r>
            <w:r w:rsidR="005903BD" w:rsidRPr="00862453">
              <w:rPr>
                <w:lang w:val="es-419"/>
              </w:rPr>
              <w:t>impartición</w:t>
            </w:r>
            <w:r w:rsidR="00A94A72" w:rsidRPr="00862453">
              <w:rPr>
                <w:lang w:val="es-419"/>
              </w:rPr>
              <w:t xml:space="preserve"> de los primeros talleres en los países beneficiarios </w:t>
            </w:r>
            <w:r w:rsidR="005903BD" w:rsidRPr="00862453">
              <w:rPr>
                <w:lang w:val="es-419"/>
              </w:rPr>
              <w:t>al objeto de</w:t>
            </w:r>
            <w:r w:rsidR="00A94A72" w:rsidRPr="00862453">
              <w:rPr>
                <w:lang w:val="es-419"/>
              </w:rPr>
              <w:t xml:space="preserve"> proporcionar </w:t>
            </w:r>
            <w:r w:rsidR="005727F3" w:rsidRPr="00862453">
              <w:rPr>
                <w:lang w:val="es-419"/>
              </w:rPr>
              <w:t xml:space="preserve">una visión de conjunto </w:t>
            </w:r>
            <w:r w:rsidR="000C1BF2" w:rsidRPr="00862453">
              <w:rPr>
                <w:lang w:val="es-419"/>
              </w:rPr>
              <w:t xml:space="preserve">respecto </w:t>
            </w:r>
            <w:r w:rsidR="00A94A72" w:rsidRPr="00862453">
              <w:rPr>
                <w:lang w:val="es-419"/>
              </w:rPr>
              <w:t xml:space="preserve">de las cuestiones de </w:t>
            </w:r>
            <w:r w:rsidR="005903BD" w:rsidRPr="00862453">
              <w:rPr>
                <w:lang w:val="es-419"/>
              </w:rPr>
              <w:t>PI</w:t>
            </w:r>
            <w:r w:rsidR="00A94A72" w:rsidRPr="00862453">
              <w:rPr>
                <w:lang w:val="es-419"/>
              </w:rPr>
              <w:t xml:space="preserve"> </w:t>
            </w:r>
            <w:r w:rsidR="005903BD" w:rsidRPr="00862453">
              <w:rPr>
                <w:lang w:val="es-419"/>
              </w:rPr>
              <w:t>relacionad</w:t>
            </w:r>
            <w:r w:rsidR="001818DD" w:rsidRPr="00862453">
              <w:rPr>
                <w:lang w:val="es-419"/>
              </w:rPr>
              <w:t>a</w:t>
            </w:r>
            <w:r w:rsidR="005903BD" w:rsidRPr="00862453">
              <w:rPr>
                <w:lang w:val="es-419"/>
              </w:rPr>
              <w:t xml:space="preserve">s </w:t>
            </w:r>
            <w:r w:rsidR="00A94A72" w:rsidRPr="00862453">
              <w:rPr>
                <w:lang w:val="es-419"/>
              </w:rPr>
              <w:t xml:space="preserve">con las aplicaciones móviles; la presentación de </w:t>
            </w:r>
            <w:r w:rsidR="001818DD" w:rsidRPr="00862453">
              <w:rPr>
                <w:lang w:val="es-419"/>
              </w:rPr>
              <w:t>esas</w:t>
            </w:r>
            <w:r w:rsidR="00A94A72" w:rsidRPr="00862453">
              <w:rPr>
                <w:lang w:val="es-419"/>
              </w:rPr>
              <w:t xml:space="preserve"> cuestiones a las partes interesadas; y </w:t>
            </w:r>
            <w:r w:rsidR="001818DD" w:rsidRPr="00862453">
              <w:rPr>
                <w:lang w:val="es-419"/>
              </w:rPr>
              <w:t>la instauración</w:t>
            </w:r>
            <w:r w:rsidR="00A94A72" w:rsidRPr="00862453">
              <w:rPr>
                <w:lang w:val="es-419"/>
              </w:rPr>
              <w:t xml:space="preserve"> de un diálogo con </w:t>
            </w:r>
            <w:r w:rsidR="001818DD" w:rsidRPr="00862453">
              <w:rPr>
                <w:lang w:val="es-419"/>
              </w:rPr>
              <w:t>dichas partes</w:t>
            </w:r>
            <w:r w:rsidR="00A94A72" w:rsidRPr="00862453">
              <w:rPr>
                <w:lang w:val="es-419"/>
              </w:rPr>
              <w:t>.</w:t>
            </w:r>
          </w:p>
          <w:p w14:paraId="7979718A" w14:textId="77777777" w:rsidR="004304CA" w:rsidRPr="00862453" w:rsidRDefault="004304CA" w:rsidP="001818DD">
            <w:pPr>
              <w:pStyle w:val="TableParagraph"/>
              <w:spacing w:before="1"/>
              <w:ind w:right="390"/>
              <w:rPr>
                <w:lang w:val="es-419"/>
              </w:rPr>
            </w:pPr>
          </w:p>
          <w:p w14:paraId="7523A8B6" w14:textId="1713B9BC" w:rsidR="00A94A72" w:rsidRPr="00862453" w:rsidRDefault="00263760" w:rsidP="00F300C4">
            <w:pPr>
              <w:pStyle w:val="TableParagraph"/>
              <w:spacing w:before="1"/>
              <w:ind w:right="390"/>
              <w:rPr>
                <w:lang w:val="es-419"/>
              </w:rPr>
            </w:pPr>
            <w:r w:rsidRPr="00862453">
              <w:rPr>
                <w:lang w:val="es-419"/>
              </w:rPr>
              <w:t>Fase</w:t>
            </w:r>
            <w:r w:rsidR="004304CA" w:rsidRPr="00862453">
              <w:rPr>
                <w:lang w:val="es-419"/>
              </w:rPr>
              <w:t xml:space="preserve"> 2: </w:t>
            </w:r>
            <w:r w:rsidR="00A94A72" w:rsidRPr="00862453">
              <w:rPr>
                <w:lang w:val="es-419"/>
              </w:rPr>
              <w:t xml:space="preserve">La segunda fase se dedicó a la elaboración de las herramientas previstas en el documento del proyecto; la preparación de la plataforma de comunicación entre las partes interesadas; la puesta en marcha del sitio web del proyecto; y la </w:t>
            </w:r>
            <w:r w:rsidR="00452411" w:rsidRPr="00862453">
              <w:rPr>
                <w:lang w:val="es-419"/>
              </w:rPr>
              <w:t>formulación</w:t>
            </w:r>
            <w:r w:rsidR="00A94A72" w:rsidRPr="00862453">
              <w:rPr>
                <w:lang w:val="es-419"/>
              </w:rPr>
              <w:t xml:space="preserve"> de estrategias </w:t>
            </w:r>
            <w:r w:rsidR="00452411" w:rsidRPr="00862453">
              <w:rPr>
                <w:lang w:val="es-419"/>
              </w:rPr>
              <w:t>para hacer frente a</w:t>
            </w:r>
            <w:r w:rsidR="00A94A72" w:rsidRPr="00862453">
              <w:rPr>
                <w:lang w:val="es-419"/>
              </w:rPr>
              <w:t xml:space="preserve"> </w:t>
            </w:r>
            <w:r w:rsidR="00771162" w:rsidRPr="00862453">
              <w:rPr>
                <w:lang w:val="es-419"/>
              </w:rPr>
              <w:t>las repercusiones</w:t>
            </w:r>
            <w:r w:rsidR="00A94A72" w:rsidRPr="00862453">
              <w:rPr>
                <w:lang w:val="es-419"/>
              </w:rPr>
              <w:t xml:space="preserve"> de la pandemia en la ejecución del proyecto. Durante esta fase, </w:t>
            </w:r>
            <w:r w:rsidR="00452411" w:rsidRPr="00862453">
              <w:rPr>
                <w:lang w:val="es-419"/>
              </w:rPr>
              <w:t xml:space="preserve">habida cuenta de la imposibilidad de llevar a cabo las actividades sobre el terreno, </w:t>
            </w:r>
            <w:r w:rsidR="00A94A72" w:rsidRPr="00862453">
              <w:rPr>
                <w:lang w:val="es-419"/>
              </w:rPr>
              <w:t xml:space="preserve">los países beneficiarios solicitaron </w:t>
            </w:r>
            <w:r w:rsidR="00771162" w:rsidRPr="00862453">
              <w:rPr>
                <w:lang w:val="es-419"/>
              </w:rPr>
              <w:t>el desarrollo</w:t>
            </w:r>
            <w:r w:rsidR="00A94A72" w:rsidRPr="00862453">
              <w:rPr>
                <w:lang w:val="es-419"/>
              </w:rPr>
              <w:t xml:space="preserve"> de herramientas</w:t>
            </w:r>
            <w:r w:rsidR="00A11E86" w:rsidRPr="00862453">
              <w:rPr>
                <w:lang w:val="es-419"/>
              </w:rPr>
              <w:t xml:space="preserve"> suplementarias</w:t>
            </w:r>
            <w:r w:rsidR="00A94A72" w:rsidRPr="00862453">
              <w:rPr>
                <w:lang w:val="es-419"/>
              </w:rPr>
              <w:t xml:space="preserve">. Se han </w:t>
            </w:r>
            <w:r w:rsidR="00452411" w:rsidRPr="00862453">
              <w:rPr>
                <w:lang w:val="es-419"/>
              </w:rPr>
              <w:t>preparado</w:t>
            </w:r>
            <w:r w:rsidR="00A94A72" w:rsidRPr="00862453">
              <w:rPr>
                <w:lang w:val="es-419"/>
              </w:rPr>
              <w:t xml:space="preserve"> cinco módulos educativos sobre la </w:t>
            </w:r>
            <w:r w:rsidR="00452411" w:rsidRPr="00862453">
              <w:rPr>
                <w:lang w:val="es-419"/>
              </w:rPr>
              <w:t>pertinencia</w:t>
            </w:r>
            <w:r w:rsidR="00A94A72" w:rsidRPr="00862453">
              <w:rPr>
                <w:lang w:val="es-419"/>
              </w:rPr>
              <w:t xml:space="preserve"> de la PI </w:t>
            </w:r>
            <w:r w:rsidR="00452411" w:rsidRPr="00862453">
              <w:rPr>
                <w:lang w:val="es-419"/>
              </w:rPr>
              <w:t>que se pusieron</w:t>
            </w:r>
            <w:r w:rsidR="00A94A72" w:rsidRPr="00862453">
              <w:rPr>
                <w:lang w:val="es-419"/>
              </w:rPr>
              <w:t xml:space="preserve"> a disposición de los estudiantes y </w:t>
            </w:r>
            <w:r w:rsidR="00A11E86" w:rsidRPr="00862453">
              <w:rPr>
                <w:lang w:val="es-419"/>
              </w:rPr>
              <w:t xml:space="preserve">los </w:t>
            </w:r>
            <w:r w:rsidR="00452411" w:rsidRPr="00862453">
              <w:rPr>
                <w:lang w:val="es-419"/>
              </w:rPr>
              <w:t>desarrolladores</w:t>
            </w:r>
            <w:r w:rsidR="00A94A72" w:rsidRPr="00862453">
              <w:rPr>
                <w:lang w:val="es-419"/>
              </w:rPr>
              <w:t xml:space="preserve"> en </w:t>
            </w:r>
            <w:hyperlink r:id="rId15" w:history="1">
              <w:r w:rsidR="00A94A72" w:rsidRPr="00862453">
                <w:rPr>
                  <w:rStyle w:val="Hyperlink"/>
                  <w:lang w:val="es-419"/>
                </w:rPr>
                <w:t>el sitio web</w:t>
              </w:r>
            </w:hyperlink>
            <w:r w:rsidR="00A11E86" w:rsidRPr="00862453">
              <w:rPr>
                <w:lang w:val="es-419"/>
              </w:rPr>
              <w:t xml:space="preserve"> del proyecto</w:t>
            </w:r>
            <w:r w:rsidR="00A94A72" w:rsidRPr="00862453">
              <w:rPr>
                <w:lang w:val="es-419"/>
              </w:rPr>
              <w:t>. Además, durante esta fase</w:t>
            </w:r>
            <w:r w:rsidR="00452411" w:rsidRPr="00862453">
              <w:rPr>
                <w:lang w:val="es-419"/>
              </w:rPr>
              <w:t>,</w:t>
            </w:r>
            <w:r w:rsidR="00A94A72" w:rsidRPr="00862453">
              <w:rPr>
                <w:lang w:val="es-419"/>
              </w:rPr>
              <w:t xml:space="preserve"> se intensificó la cooperación con </w:t>
            </w:r>
            <w:r w:rsidR="00452411" w:rsidRPr="00862453">
              <w:rPr>
                <w:lang w:val="es-419"/>
              </w:rPr>
              <w:t>los a</w:t>
            </w:r>
            <w:r w:rsidR="00A94A72" w:rsidRPr="00862453">
              <w:rPr>
                <w:lang w:val="es-419"/>
              </w:rPr>
              <w:t>soci</w:t>
            </w:r>
            <w:r w:rsidR="00452411" w:rsidRPr="00862453">
              <w:rPr>
                <w:lang w:val="es-419"/>
              </w:rPr>
              <w:t>ados</w:t>
            </w:r>
            <w:r w:rsidR="00A94A72" w:rsidRPr="00862453">
              <w:rPr>
                <w:lang w:val="es-419"/>
              </w:rPr>
              <w:t xml:space="preserve"> internacionales, en particular </w:t>
            </w:r>
            <w:r w:rsidR="00452411" w:rsidRPr="00862453">
              <w:rPr>
                <w:lang w:val="es-419"/>
              </w:rPr>
              <w:t>en lo referente a la oferta de</w:t>
            </w:r>
            <w:r w:rsidR="00A94A72" w:rsidRPr="00862453">
              <w:rPr>
                <w:lang w:val="es-419"/>
              </w:rPr>
              <w:t xml:space="preserve"> posibilidades de </w:t>
            </w:r>
            <w:r w:rsidR="005727F3" w:rsidRPr="00862453">
              <w:rPr>
                <w:lang w:val="es-419"/>
              </w:rPr>
              <w:t>actividades de orientación</w:t>
            </w:r>
            <w:r w:rsidR="00A94A72" w:rsidRPr="00862453">
              <w:rPr>
                <w:lang w:val="es-419"/>
              </w:rPr>
              <w:t>.</w:t>
            </w:r>
          </w:p>
          <w:p w14:paraId="4B61417A" w14:textId="77777777" w:rsidR="004304CA" w:rsidRPr="00862453" w:rsidRDefault="004304CA" w:rsidP="00452411">
            <w:pPr>
              <w:pStyle w:val="TableParagraph"/>
              <w:spacing w:before="1"/>
              <w:ind w:right="390"/>
              <w:rPr>
                <w:lang w:val="es-419"/>
              </w:rPr>
            </w:pPr>
          </w:p>
          <w:p w14:paraId="2F387351" w14:textId="55A2A190" w:rsidR="00A94A72" w:rsidRPr="00862453" w:rsidRDefault="00263760" w:rsidP="00F300C4">
            <w:pPr>
              <w:pStyle w:val="TableParagraph"/>
              <w:spacing w:before="1"/>
              <w:ind w:right="390"/>
              <w:rPr>
                <w:lang w:val="es-419"/>
              </w:rPr>
            </w:pPr>
            <w:r w:rsidRPr="00862453">
              <w:rPr>
                <w:lang w:val="es-419"/>
              </w:rPr>
              <w:t>Fase</w:t>
            </w:r>
            <w:r w:rsidR="004304CA" w:rsidRPr="00862453">
              <w:rPr>
                <w:lang w:val="es-419"/>
              </w:rPr>
              <w:t xml:space="preserve"> 3: </w:t>
            </w:r>
            <w:r w:rsidR="00452411" w:rsidRPr="00862453">
              <w:rPr>
                <w:lang w:val="es-419"/>
              </w:rPr>
              <w:t>S</w:t>
            </w:r>
            <w:r w:rsidR="00A94A72" w:rsidRPr="00862453">
              <w:rPr>
                <w:lang w:val="es-419"/>
              </w:rPr>
              <w:t xml:space="preserve">e </w:t>
            </w:r>
            <w:r w:rsidR="00ED5F1A" w:rsidRPr="00862453">
              <w:rPr>
                <w:lang w:val="es-419"/>
              </w:rPr>
              <w:t>completaron</w:t>
            </w:r>
            <w:r w:rsidR="00A94A72" w:rsidRPr="00862453">
              <w:rPr>
                <w:lang w:val="es-419"/>
              </w:rPr>
              <w:t xml:space="preserve"> todas las herramientas previstas en el documento del proyecto. </w:t>
            </w:r>
            <w:r w:rsidR="00A11E86" w:rsidRPr="00862453">
              <w:rPr>
                <w:lang w:val="es-419"/>
              </w:rPr>
              <w:t>Asimismo</w:t>
            </w:r>
            <w:r w:rsidR="00A94A72" w:rsidRPr="00862453">
              <w:rPr>
                <w:lang w:val="es-419"/>
              </w:rPr>
              <w:t xml:space="preserve">, </w:t>
            </w:r>
            <w:r w:rsidR="00ED5F1A" w:rsidRPr="00862453">
              <w:rPr>
                <w:lang w:val="es-419"/>
              </w:rPr>
              <w:t xml:space="preserve">durante la ejecución </w:t>
            </w:r>
            <w:r w:rsidR="00A11E86" w:rsidRPr="00862453">
              <w:rPr>
                <w:lang w:val="es-419"/>
              </w:rPr>
              <w:t>de este</w:t>
            </w:r>
            <w:r w:rsidR="00ED5F1A" w:rsidRPr="00862453">
              <w:rPr>
                <w:lang w:val="es-419"/>
              </w:rPr>
              <w:t xml:space="preserve">, </w:t>
            </w:r>
            <w:r w:rsidR="00A94A72" w:rsidRPr="00862453">
              <w:rPr>
                <w:lang w:val="es-419"/>
              </w:rPr>
              <w:t>se desarrollaron tres herramientas adicionales</w:t>
            </w:r>
            <w:r w:rsidR="00ED5F1A" w:rsidRPr="00862453">
              <w:rPr>
                <w:lang w:val="es-419"/>
              </w:rPr>
              <w:t xml:space="preserve"> a petición de los países beneficiarios y </w:t>
            </w:r>
            <w:r w:rsidR="00760F48" w:rsidRPr="00862453">
              <w:rPr>
                <w:lang w:val="es-419"/>
              </w:rPr>
              <w:t>con arreglo a</w:t>
            </w:r>
            <w:r w:rsidR="00ED5F1A" w:rsidRPr="00862453">
              <w:rPr>
                <w:lang w:val="es-419"/>
              </w:rPr>
              <w:t xml:space="preserve"> sus necesidades</w:t>
            </w:r>
            <w:r w:rsidR="00A94A72" w:rsidRPr="00862453">
              <w:rPr>
                <w:lang w:val="es-419"/>
              </w:rPr>
              <w:t xml:space="preserve">. </w:t>
            </w:r>
            <w:r w:rsidR="00A11E86" w:rsidRPr="00862453">
              <w:rPr>
                <w:lang w:val="es-419"/>
              </w:rPr>
              <w:t>S</w:t>
            </w:r>
            <w:r w:rsidR="00A94A72" w:rsidRPr="00862453">
              <w:rPr>
                <w:lang w:val="es-419"/>
              </w:rPr>
              <w:t xml:space="preserve">e organizaron numerosos seminarios web en </w:t>
            </w:r>
            <w:r w:rsidR="00ED5F1A" w:rsidRPr="00862453">
              <w:rPr>
                <w:lang w:val="es-419"/>
              </w:rPr>
              <w:t xml:space="preserve">esos </w:t>
            </w:r>
            <w:r w:rsidR="00A94A72" w:rsidRPr="00862453">
              <w:rPr>
                <w:lang w:val="es-419"/>
              </w:rPr>
              <w:t xml:space="preserve">países sobre todos los temas </w:t>
            </w:r>
            <w:r w:rsidR="00ED5F1A" w:rsidRPr="00862453">
              <w:rPr>
                <w:lang w:val="es-419"/>
              </w:rPr>
              <w:t>relacionados con</w:t>
            </w:r>
            <w:r w:rsidR="00A94A72" w:rsidRPr="00862453">
              <w:rPr>
                <w:lang w:val="es-419"/>
              </w:rPr>
              <w:t xml:space="preserve"> las herramientas (comercialización de la propiedad intelectual, solución </w:t>
            </w:r>
            <w:r w:rsidR="008F48D9" w:rsidRPr="00862453">
              <w:rPr>
                <w:lang w:val="es-419"/>
              </w:rPr>
              <w:t xml:space="preserve">alternativa </w:t>
            </w:r>
            <w:r w:rsidR="00A94A72" w:rsidRPr="00862453">
              <w:rPr>
                <w:lang w:val="es-419"/>
              </w:rPr>
              <w:t xml:space="preserve">de </w:t>
            </w:r>
            <w:r w:rsidR="00ED5F1A" w:rsidRPr="00862453">
              <w:rPr>
                <w:lang w:val="es-419"/>
              </w:rPr>
              <w:t>controversias</w:t>
            </w:r>
            <w:r w:rsidR="00A94A72" w:rsidRPr="00862453">
              <w:rPr>
                <w:lang w:val="es-419"/>
              </w:rPr>
              <w:t xml:space="preserve">, etc.). Se puso en </w:t>
            </w:r>
            <w:r w:rsidR="00ED5F1A" w:rsidRPr="00862453">
              <w:rPr>
                <w:lang w:val="es-419"/>
              </w:rPr>
              <w:t>marcha</w:t>
            </w:r>
            <w:r w:rsidR="00A94A72" w:rsidRPr="00862453">
              <w:rPr>
                <w:lang w:val="es-419"/>
              </w:rPr>
              <w:t xml:space="preserve"> la plataforma de intercambios entre las partes interesadas y se iniciaron </w:t>
            </w:r>
            <w:r w:rsidR="00ED5F1A" w:rsidRPr="00862453">
              <w:rPr>
                <w:lang w:val="es-419"/>
              </w:rPr>
              <w:t>estos intercambios en los países beneficiarios</w:t>
            </w:r>
            <w:r w:rsidR="00A94A72" w:rsidRPr="00862453">
              <w:rPr>
                <w:lang w:val="es-419"/>
              </w:rPr>
              <w:t>.</w:t>
            </w:r>
          </w:p>
          <w:p w14:paraId="0DD60FF1" w14:textId="77777777" w:rsidR="004304CA" w:rsidRPr="00862453" w:rsidRDefault="004304CA" w:rsidP="00ED5F1A">
            <w:pPr>
              <w:pStyle w:val="TableParagraph"/>
              <w:spacing w:before="1"/>
              <w:ind w:right="390"/>
              <w:rPr>
                <w:lang w:val="es-419"/>
              </w:rPr>
            </w:pPr>
          </w:p>
          <w:p w14:paraId="094DFF35" w14:textId="36260C2A" w:rsidR="007F3F52" w:rsidRPr="00862453" w:rsidRDefault="007F3F52" w:rsidP="00F300C4">
            <w:pPr>
              <w:pStyle w:val="TableParagraph"/>
              <w:spacing w:before="1"/>
              <w:ind w:right="390"/>
              <w:rPr>
                <w:lang w:val="es-419"/>
              </w:rPr>
            </w:pPr>
            <w:r w:rsidRPr="00862453">
              <w:rPr>
                <w:lang w:val="es-419"/>
              </w:rPr>
              <w:t xml:space="preserve">Se celebraron importantes </w:t>
            </w:r>
            <w:r w:rsidR="001948DD" w:rsidRPr="00862453">
              <w:rPr>
                <w:lang w:val="es-419"/>
              </w:rPr>
              <w:t>encuentros</w:t>
            </w:r>
            <w:r w:rsidRPr="00862453">
              <w:rPr>
                <w:lang w:val="es-419"/>
              </w:rPr>
              <w:t xml:space="preserve"> en cada país con aportaciones </w:t>
            </w:r>
            <w:r w:rsidR="001948DD" w:rsidRPr="00862453">
              <w:rPr>
                <w:lang w:val="es-419"/>
              </w:rPr>
              <w:t>por Internet</w:t>
            </w:r>
            <w:r w:rsidRPr="00862453">
              <w:rPr>
                <w:lang w:val="es-419"/>
              </w:rPr>
              <w:t xml:space="preserve"> y participación de </w:t>
            </w:r>
            <w:r w:rsidR="002A1553" w:rsidRPr="00862453">
              <w:rPr>
                <w:lang w:val="es-419"/>
              </w:rPr>
              <w:t>asociados</w:t>
            </w:r>
            <w:r w:rsidRPr="00862453">
              <w:rPr>
                <w:lang w:val="es-419"/>
              </w:rPr>
              <w:t xml:space="preserve"> internacionales. </w:t>
            </w:r>
            <w:r w:rsidR="00F57FFD" w:rsidRPr="00862453">
              <w:rPr>
                <w:lang w:val="es-419"/>
              </w:rPr>
              <w:t xml:space="preserve">Se ha registrado un uso activo de las infografías y </w:t>
            </w:r>
            <w:r w:rsidR="000E7463" w:rsidRPr="00862453">
              <w:rPr>
                <w:lang w:val="es-419"/>
              </w:rPr>
              <w:t>e</w:t>
            </w:r>
            <w:r w:rsidRPr="00862453">
              <w:rPr>
                <w:lang w:val="es-419"/>
              </w:rPr>
              <w:t xml:space="preserve">l sitio web </w:t>
            </w:r>
            <w:r w:rsidR="00F57FFD" w:rsidRPr="00862453">
              <w:rPr>
                <w:lang w:val="es-419"/>
              </w:rPr>
              <w:t>preparados</w:t>
            </w:r>
            <w:r w:rsidRPr="00862453">
              <w:rPr>
                <w:lang w:val="es-419"/>
              </w:rPr>
              <w:t xml:space="preserve"> en el marco del proyecto. </w:t>
            </w:r>
            <w:r w:rsidR="0087220E" w:rsidRPr="00862453">
              <w:rPr>
                <w:lang w:val="es-419"/>
              </w:rPr>
              <w:t>En los países beneficiarios, s</w:t>
            </w:r>
            <w:r w:rsidR="00F57FFD" w:rsidRPr="00862453">
              <w:rPr>
                <w:lang w:val="es-419"/>
              </w:rPr>
              <w:t xml:space="preserve">e realizaron </w:t>
            </w:r>
            <w:r w:rsidRPr="00862453">
              <w:rPr>
                <w:lang w:val="es-419"/>
              </w:rPr>
              <w:t xml:space="preserve">actividades </w:t>
            </w:r>
            <w:r w:rsidR="00F57FFD" w:rsidRPr="00862453">
              <w:rPr>
                <w:lang w:val="es-419"/>
              </w:rPr>
              <w:t>destinadas</w:t>
            </w:r>
            <w:r w:rsidR="001948DD" w:rsidRPr="00862453">
              <w:rPr>
                <w:lang w:val="es-419"/>
              </w:rPr>
              <w:t xml:space="preserve"> a respaldar</w:t>
            </w:r>
            <w:r w:rsidRPr="00862453">
              <w:rPr>
                <w:lang w:val="es-419"/>
              </w:rPr>
              <w:t xml:space="preserve"> los esfuerzos organizativos </w:t>
            </w:r>
            <w:r w:rsidR="001948DD" w:rsidRPr="00862453">
              <w:rPr>
                <w:lang w:val="es-419"/>
              </w:rPr>
              <w:t xml:space="preserve">en representación de </w:t>
            </w:r>
            <w:r w:rsidRPr="00862453">
              <w:rPr>
                <w:lang w:val="es-419"/>
              </w:rPr>
              <w:t>los intereses de los desarrolladores de aplicaciones móviles.</w:t>
            </w:r>
          </w:p>
          <w:p w14:paraId="5541AC31" w14:textId="77777777" w:rsidR="004304CA" w:rsidRPr="00862453" w:rsidRDefault="004304CA" w:rsidP="00F300C4">
            <w:pPr>
              <w:pStyle w:val="TableParagraph"/>
              <w:spacing w:before="1"/>
              <w:ind w:right="390"/>
              <w:rPr>
                <w:lang w:val="es-419"/>
              </w:rPr>
            </w:pPr>
          </w:p>
        </w:tc>
      </w:tr>
      <w:tr w:rsidR="004304CA" w:rsidRPr="00862453" w14:paraId="02AE791D" w14:textId="77777777" w:rsidTr="00F300C4">
        <w:trPr>
          <w:trHeight w:val="801"/>
        </w:trPr>
        <w:tc>
          <w:tcPr>
            <w:tcW w:w="2401" w:type="dxa"/>
            <w:shd w:val="clear" w:color="auto" w:fill="C6D9F1" w:themeFill="text2" w:themeFillTint="33"/>
          </w:tcPr>
          <w:p w14:paraId="33A3235A" w14:textId="03B0A0E6" w:rsidR="004304CA" w:rsidRPr="00862453" w:rsidRDefault="00D8053F" w:rsidP="00F300C4">
            <w:pPr>
              <w:pStyle w:val="TableParagraph"/>
              <w:spacing w:line="242" w:lineRule="auto"/>
              <w:ind w:left="110" w:right="235"/>
              <w:rPr>
                <w:lang w:val="es-419"/>
              </w:rPr>
            </w:pPr>
            <w:r w:rsidRPr="00862453">
              <w:rPr>
                <w:u w:val="single"/>
                <w:lang w:val="es-419"/>
              </w:rPr>
              <w:t>Resultados principales e incidencia del proyecto</w:t>
            </w:r>
          </w:p>
        </w:tc>
        <w:tc>
          <w:tcPr>
            <w:tcW w:w="6889" w:type="dxa"/>
          </w:tcPr>
          <w:p w14:paraId="148FFFE6" w14:textId="56E786DB" w:rsidR="004304CA" w:rsidRPr="00862453" w:rsidRDefault="002E3BD5" w:rsidP="00F300C4">
            <w:pPr>
              <w:pStyle w:val="TableParagraph"/>
              <w:spacing w:before="74"/>
              <w:ind w:right="805"/>
              <w:rPr>
                <w:lang w:val="es-419"/>
              </w:rPr>
            </w:pPr>
            <w:r w:rsidRPr="00862453">
              <w:rPr>
                <w:lang w:val="es-419"/>
              </w:rPr>
              <w:t>Los resultados principales dimanantes de la ejecución del proyecto son los siguientes:</w:t>
            </w:r>
          </w:p>
          <w:p w14:paraId="7358E9FA" w14:textId="20709188" w:rsidR="004304CA" w:rsidRPr="00862453" w:rsidRDefault="000B6CC4" w:rsidP="000B6CC4">
            <w:pPr>
              <w:pStyle w:val="TableParagraph"/>
              <w:numPr>
                <w:ilvl w:val="0"/>
                <w:numId w:val="27"/>
              </w:numPr>
              <w:spacing w:before="74"/>
              <w:ind w:right="805"/>
              <w:rPr>
                <w:lang w:val="es-419"/>
              </w:rPr>
            </w:pPr>
            <w:r w:rsidRPr="00862453">
              <w:rPr>
                <w:lang w:val="es-419"/>
              </w:rPr>
              <w:t>L</w:t>
            </w:r>
            <w:r w:rsidR="00DF6A21" w:rsidRPr="00862453">
              <w:rPr>
                <w:lang w:val="es-419"/>
              </w:rPr>
              <w:t xml:space="preserve">os desarrolladores de aplicaciones </w:t>
            </w:r>
            <w:r w:rsidR="005F4E8D" w:rsidRPr="00862453">
              <w:rPr>
                <w:lang w:val="es-419"/>
              </w:rPr>
              <w:t xml:space="preserve">de </w:t>
            </w:r>
            <w:r w:rsidR="00DF6A21" w:rsidRPr="00862453">
              <w:rPr>
                <w:lang w:val="es-419"/>
              </w:rPr>
              <w:t xml:space="preserve">los países </w:t>
            </w:r>
            <w:r w:rsidR="005F4E8D" w:rsidRPr="00862453">
              <w:rPr>
                <w:lang w:val="es-419"/>
              </w:rPr>
              <w:t>participantes</w:t>
            </w:r>
            <w:r w:rsidR="00DF6A21" w:rsidRPr="00862453">
              <w:rPr>
                <w:lang w:val="es-419"/>
              </w:rPr>
              <w:t xml:space="preserve"> </w:t>
            </w:r>
            <w:r w:rsidRPr="00862453">
              <w:rPr>
                <w:lang w:val="es-419"/>
              </w:rPr>
              <w:t>pudieron entender</w:t>
            </w:r>
            <w:r w:rsidR="005F4E8D" w:rsidRPr="00862453">
              <w:rPr>
                <w:lang w:val="es-419"/>
              </w:rPr>
              <w:t xml:space="preserve"> mejor </w:t>
            </w:r>
            <w:r w:rsidR="00DF6A21" w:rsidRPr="00862453">
              <w:rPr>
                <w:lang w:val="es-419"/>
              </w:rPr>
              <w:t xml:space="preserve">la importancia y los beneficios </w:t>
            </w:r>
            <w:r w:rsidR="005F4E8D" w:rsidRPr="00862453">
              <w:rPr>
                <w:lang w:val="es-419"/>
              </w:rPr>
              <w:t>inherentes al uso de la PI para proteger su trabajo</w:t>
            </w:r>
            <w:r w:rsidR="00DF6A21" w:rsidRPr="00862453">
              <w:rPr>
                <w:lang w:val="es-419"/>
              </w:rPr>
              <w:t>. El</w:t>
            </w:r>
            <w:r w:rsidR="005F4E8D" w:rsidRPr="00862453">
              <w:rPr>
                <w:lang w:val="es-419"/>
              </w:rPr>
              <w:t> </w:t>
            </w:r>
            <w:r w:rsidR="00DF6A21" w:rsidRPr="00862453">
              <w:rPr>
                <w:lang w:val="es-419"/>
              </w:rPr>
              <w:t>98% de los participantes valoró positivamente el proyecto y el</w:t>
            </w:r>
            <w:r w:rsidR="005F4E8D" w:rsidRPr="00862453">
              <w:rPr>
                <w:lang w:val="es-419"/>
              </w:rPr>
              <w:t> </w:t>
            </w:r>
            <w:r w:rsidR="00DF6A21" w:rsidRPr="00862453">
              <w:rPr>
                <w:lang w:val="es-419"/>
              </w:rPr>
              <w:t>93% consideró que había alcanzado sus objetivos, mientras que el</w:t>
            </w:r>
            <w:r w:rsidR="005F4E8D" w:rsidRPr="00862453">
              <w:rPr>
                <w:lang w:val="es-419"/>
              </w:rPr>
              <w:t> </w:t>
            </w:r>
            <w:r w:rsidR="00DF6A21" w:rsidRPr="00862453">
              <w:rPr>
                <w:lang w:val="es-419"/>
              </w:rPr>
              <w:t>92% lo consideró útil para su ámbito de trabajo.</w:t>
            </w:r>
            <w:r w:rsidR="004304CA" w:rsidRPr="00862453">
              <w:rPr>
                <w:lang w:val="es-419"/>
              </w:rPr>
              <w:t xml:space="preserve"> </w:t>
            </w:r>
          </w:p>
          <w:p w14:paraId="35150A57" w14:textId="7B11CF01" w:rsidR="004304CA" w:rsidRPr="00862453" w:rsidRDefault="00B96542" w:rsidP="000B6CC4">
            <w:pPr>
              <w:pStyle w:val="TableParagraph"/>
              <w:numPr>
                <w:ilvl w:val="0"/>
                <w:numId w:val="27"/>
              </w:numPr>
              <w:spacing w:before="74"/>
              <w:ind w:right="805"/>
              <w:rPr>
                <w:lang w:val="es-419"/>
              </w:rPr>
            </w:pPr>
            <w:r w:rsidRPr="00862453">
              <w:rPr>
                <w:lang w:val="es-419"/>
              </w:rPr>
              <w:t>Se produjeron y pusieron</w:t>
            </w:r>
            <w:r w:rsidR="00DF6A21" w:rsidRPr="00862453">
              <w:rPr>
                <w:lang w:val="es-419"/>
              </w:rPr>
              <w:t xml:space="preserve"> a disposición </w:t>
            </w:r>
            <w:r w:rsidRPr="00862453">
              <w:rPr>
                <w:lang w:val="es-419"/>
              </w:rPr>
              <w:t xml:space="preserve">las </w:t>
            </w:r>
            <w:r w:rsidR="00DF6A21" w:rsidRPr="00862453">
              <w:rPr>
                <w:lang w:val="es-419"/>
              </w:rPr>
              <w:t>herramientas prácticas</w:t>
            </w:r>
            <w:r w:rsidRPr="00862453">
              <w:rPr>
                <w:lang w:val="es-419"/>
              </w:rPr>
              <w:t xml:space="preserve"> y,</w:t>
            </w:r>
            <w:r w:rsidR="00DF6A21" w:rsidRPr="00862453">
              <w:rPr>
                <w:lang w:val="es-419"/>
              </w:rPr>
              <w:t xml:space="preserve"> a finales de febrero, </w:t>
            </w:r>
            <w:r w:rsidR="000B6CC4" w:rsidRPr="00862453">
              <w:rPr>
                <w:lang w:val="es-419"/>
              </w:rPr>
              <w:t>se registraban </w:t>
            </w:r>
            <w:r w:rsidR="00DF6A21" w:rsidRPr="00862453">
              <w:rPr>
                <w:lang w:val="es-419"/>
              </w:rPr>
              <w:t xml:space="preserve">17.922 descargas totales de </w:t>
            </w:r>
            <w:r w:rsidRPr="00862453">
              <w:rPr>
                <w:lang w:val="es-419"/>
              </w:rPr>
              <w:t>estas</w:t>
            </w:r>
            <w:r w:rsidR="00DF6A21" w:rsidRPr="00862453">
              <w:rPr>
                <w:lang w:val="es-419"/>
              </w:rPr>
              <w:t xml:space="preserve"> herramientas y </w:t>
            </w:r>
            <w:r w:rsidRPr="00862453">
              <w:rPr>
                <w:lang w:val="es-419"/>
              </w:rPr>
              <w:t xml:space="preserve">de los </w:t>
            </w:r>
            <w:r w:rsidR="00DF6A21" w:rsidRPr="00862453">
              <w:rPr>
                <w:lang w:val="es-419"/>
              </w:rPr>
              <w:t xml:space="preserve">materiales </w:t>
            </w:r>
            <w:r w:rsidRPr="00862453">
              <w:rPr>
                <w:lang w:val="es-419"/>
              </w:rPr>
              <w:t>preparados</w:t>
            </w:r>
            <w:r w:rsidR="00DF6A21" w:rsidRPr="00862453">
              <w:rPr>
                <w:lang w:val="es-419"/>
              </w:rPr>
              <w:t xml:space="preserve"> </w:t>
            </w:r>
            <w:r w:rsidR="000B6CC4" w:rsidRPr="00862453">
              <w:rPr>
                <w:lang w:val="es-419"/>
              </w:rPr>
              <w:t>en el marco</w:t>
            </w:r>
            <w:r w:rsidR="00DF6A21" w:rsidRPr="00862453">
              <w:rPr>
                <w:lang w:val="es-419"/>
              </w:rPr>
              <w:t xml:space="preserve"> del proyecto.</w:t>
            </w:r>
            <w:r w:rsidR="004304CA" w:rsidRPr="00862453">
              <w:rPr>
                <w:lang w:val="es-419"/>
              </w:rPr>
              <w:t xml:space="preserve"> </w:t>
            </w:r>
          </w:p>
          <w:p w14:paraId="033A8274" w14:textId="7D959142" w:rsidR="004304CA" w:rsidRPr="00862453" w:rsidRDefault="00DF6A21" w:rsidP="004304CA">
            <w:pPr>
              <w:pStyle w:val="TableParagraph"/>
              <w:numPr>
                <w:ilvl w:val="0"/>
                <w:numId w:val="27"/>
              </w:numPr>
              <w:spacing w:before="74"/>
              <w:ind w:right="805"/>
              <w:rPr>
                <w:lang w:val="es-419"/>
              </w:rPr>
            </w:pPr>
            <w:r w:rsidRPr="00862453">
              <w:rPr>
                <w:lang w:val="es-419"/>
              </w:rPr>
              <w:t>El</w:t>
            </w:r>
            <w:r w:rsidR="000B6CC4" w:rsidRPr="00862453">
              <w:rPr>
                <w:lang w:val="es-419"/>
              </w:rPr>
              <w:t> </w:t>
            </w:r>
            <w:r w:rsidRPr="00862453">
              <w:rPr>
                <w:lang w:val="es-419"/>
              </w:rPr>
              <w:t>92% de los participantes valoró positivamente los productos del proyecto, que incorpora</w:t>
            </w:r>
            <w:r w:rsidR="00373769" w:rsidRPr="00862453">
              <w:rPr>
                <w:lang w:val="es-419"/>
              </w:rPr>
              <w:t>n</w:t>
            </w:r>
            <w:r w:rsidRPr="00862453">
              <w:rPr>
                <w:lang w:val="es-419"/>
              </w:rPr>
              <w:t xml:space="preserve"> las mejores prácticas de todo el mundo. Este alto porcentaje es un indicio de la sostenibilidad de los productos del proyecto. </w:t>
            </w:r>
          </w:p>
          <w:p w14:paraId="76AB3D42" w14:textId="77777777" w:rsidR="004304CA" w:rsidRPr="00862453" w:rsidRDefault="004304CA" w:rsidP="00F300C4">
            <w:pPr>
              <w:pStyle w:val="TableParagraph"/>
              <w:spacing w:before="74"/>
              <w:ind w:left="469" w:right="805"/>
              <w:rPr>
                <w:lang w:val="es-419"/>
              </w:rPr>
            </w:pPr>
          </w:p>
          <w:p w14:paraId="2259F1C2" w14:textId="5CA9AAC0" w:rsidR="004304CA" w:rsidRPr="00862453" w:rsidRDefault="00B245D2" w:rsidP="00F300C4">
            <w:pPr>
              <w:pStyle w:val="TableParagraph"/>
              <w:spacing w:before="74"/>
              <w:ind w:right="805"/>
              <w:rPr>
                <w:lang w:val="es-419"/>
              </w:rPr>
            </w:pPr>
            <w:r w:rsidRPr="00862453">
              <w:rPr>
                <w:lang w:val="es-419"/>
              </w:rPr>
              <w:t xml:space="preserve">Asimismo, cabe destacar los siguientes </w:t>
            </w:r>
            <w:r w:rsidRPr="00862453">
              <w:rPr>
                <w:u w:val="single"/>
                <w:lang w:val="es-419"/>
              </w:rPr>
              <w:t>resultados principales por producto</w:t>
            </w:r>
            <w:r w:rsidRPr="00862453">
              <w:rPr>
                <w:lang w:val="es-419"/>
              </w:rPr>
              <w:t xml:space="preserve">: </w:t>
            </w:r>
          </w:p>
          <w:p w14:paraId="6F9C75B7" w14:textId="77777777" w:rsidR="004304CA" w:rsidRPr="00862453" w:rsidRDefault="004304CA" w:rsidP="00F300C4">
            <w:pPr>
              <w:pStyle w:val="TableParagraph"/>
              <w:spacing w:before="74"/>
              <w:ind w:right="805"/>
              <w:rPr>
                <w:lang w:val="es-419"/>
              </w:rPr>
            </w:pPr>
          </w:p>
          <w:p w14:paraId="6D362C23" w14:textId="6AC90FC0" w:rsidR="00113891" w:rsidRPr="00862453" w:rsidRDefault="00F76C40" w:rsidP="00113891">
            <w:pPr>
              <w:pStyle w:val="TableParagraph"/>
              <w:numPr>
                <w:ilvl w:val="0"/>
                <w:numId w:val="30"/>
              </w:numPr>
              <w:spacing w:before="74"/>
              <w:ind w:right="805"/>
              <w:rPr>
                <w:lang w:val="es-419"/>
              </w:rPr>
            </w:pPr>
            <w:r w:rsidRPr="00862453">
              <w:rPr>
                <w:lang w:val="es-419"/>
              </w:rPr>
              <w:t xml:space="preserve">El </w:t>
            </w:r>
            <w:hyperlink r:id="rId16" w:history="1">
              <w:r w:rsidRPr="00862453">
                <w:rPr>
                  <w:rStyle w:val="Hyperlink"/>
                  <w:lang w:val="es-419"/>
                </w:rPr>
                <w:t>estudio exploratorio</w:t>
              </w:r>
            </w:hyperlink>
            <w:r w:rsidRPr="00862453">
              <w:rPr>
                <w:lang w:val="es-419"/>
              </w:rPr>
              <w:t xml:space="preserve"> sobre las herramientas de PI para las aplicaciones móviles y su disponibilidad</w:t>
            </w:r>
            <w:r w:rsidR="00113891" w:rsidRPr="00862453">
              <w:rPr>
                <w:lang w:val="es-419"/>
              </w:rPr>
              <w:t xml:space="preserve"> en los países beneficiarios </w:t>
            </w:r>
            <w:r w:rsidRPr="00862453">
              <w:rPr>
                <w:lang w:val="es-419"/>
              </w:rPr>
              <w:t>facilitó</w:t>
            </w:r>
            <w:r w:rsidR="00113891" w:rsidRPr="00862453">
              <w:rPr>
                <w:lang w:val="es-419"/>
              </w:rPr>
              <w:t xml:space="preserve"> un punto de partida </w:t>
            </w:r>
            <w:r w:rsidRPr="00862453">
              <w:rPr>
                <w:lang w:val="es-419"/>
              </w:rPr>
              <w:t>fundamental</w:t>
            </w:r>
            <w:r w:rsidR="00113891" w:rsidRPr="00862453">
              <w:rPr>
                <w:lang w:val="es-419"/>
              </w:rPr>
              <w:t xml:space="preserve"> </w:t>
            </w:r>
            <w:r w:rsidRPr="00862453">
              <w:rPr>
                <w:lang w:val="es-419"/>
              </w:rPr>
              <w:t>para</w:t>
            </w:r>
            <w:r w:rsidR="00113891" w:rsidRPr="00862453">
              <w:rPr>
                <w:lang w:val="es-419"/>
              </w:rPr>
              <w:t xml:space="preserve"> la ejecución del proyecto. Reveló que la comunidad de desarrolladores de aplicaciones en los tres países beneficiarios no estaba bien organizada, y que muchos de los desarrolladores no recurrían a la protección de la PI. </w:t>
            </w:r>
            <w:r w:rsidR="004D084D" w:rsidRPr="00862453">
              <w:rPr>
                <w:lang w:val="es-419"/>
              </w:rPr>
              <w:t>Asimismo, reflejó una gran escasez de datos relevantes para el proyecto. Con posterioridad, se utilizaron l</w:t>
            </w:r>
            <w:r w:rsidR="00113891" w:rsidRPr="00862453">
              <w:rPr>
                <w:lang w:val="es-419"/>
              </w:rPr>
              <w:t xml:space="preserve">as conclusiones del estudio </w:t>
            </w:r>
            <w:r w:rsidR="004D084D" w:rsidRPr="00862453">
              <w:rPr>
                <w:lang w:val="es-419"/>
              </w:rPr>
              <w:t>durante</w:t>
            </w:r>
            <w:r w:rsidR="00113891" w:rsidRPr="00862453">
              <w:rPr>
                <w:lang w:val="es-419"/>
              </w:rPr>
              <w:t xml:space="preserve"> la ejecución del proyecto.</w:t>
            </w:r>
          </w:p>
          <w:p w14:paraId="15544897" w14:textId="732A3EA1" w:rsidR="00113891" w:rsidRPr="00862453" w:rsidRDefault="00373769" w:rsidP="00113891">
            <w:pPr>
              <w:pStyle w:val="TableParagraph"/>
              <w:spacing w:before="74"/>
              <w:ind w:left="709" w:right="805"/>
              <w:rPr>
                <w:lang w:val="es-419"/>
              </w:rPr>
            </w:pPr>
            <w:r w:rsidRPr="00862453">
              <w:rPr>
                <w:lang w:val="es-419"/>
              </w:rPr>
              <w:t xml:space="preserve">El sitio web del proyecto </w:t>
            </w:r>
            <w:r w:rsidR="008D4B75" w:rsidRPr="00862453">
              <w:rPr>
                <w:lang w:val="es-419"/>
              </w:rPr>
              <w:t>ha registrado</w:t>
            </w:r>
            <w:r w:rsidR="004D084D" w:rsidRPr="00862453">
              <w:rPr>
                <w:lang w:val="es-419"/>
              </w:rPr>
              <w:t> </w:t>
            </w:r>
            <w:r w:rsidR="00113891" w:rsidRPr="00862453">
              <w:rPr>
                <w:lang w:val="es-419"/>
              </w:rPr>
              <w:t xml:space="preserve">4.792 descargas </w:t>
            </w:r>
            <w:r w:rsidRPr="00862453">
              <w:rPr>
                <w:lang w:val="es-419"/>
              </w:rPr>
              <w:t>del estudio</w:t>
            </w:r>
            <w:r w:rsidR="00113891" w:rsidRPr="00862453">
              <w:rPr>
                <w:lang w:val="es-419"/>
              </w:rPr>
              <w:t xml:space="preserve">. </w:t>
            </w:r>
            <w:r w:rsidRPr="00862453">
              <w:rPr>
                <w:lang w:val="es-419"/>
              </w:rPr>
              <w:t>Este h</w:t>
            </w:r>
            <w:r w:rsidR="004D084D" w:rsidRPr="00862453">
              <w:rPr>
                <w:lang w:val="es-419"/>
              </w:rPr>
              <w:t>a seguido</w:t>
            </w:r>
            <w:r w:rsidR="00113891" w:rsidRPr="00862453">
              <w:rPr>
                <w:lang w:val="es-419"/>
              </w:rPr>
              <w:t xml:space="preserve"> generando interés durante todo el per</w:t>
            </w:r>
            <w:r w:rsidR="004D084D" w:rsidRPr="00862453">
              <w:rPr>
                <w:lang w:val="es-419"/>
              </w:rPr>
              <w:t>í</w:t>
            </w:r>
            <w:r w:rsidR="00113891" w:rsidRPr="00862453">
              <w:rPr>
                <w:lang w:val="es-419"/>
              </w:rPr>
              <w:t>odo de ejecución.</w:t>
            </w:r>
          </w:p>
          <w:p w14:paraId="6E7C9830" w14:textId="77777777" w:rsidR="004304CA" w:rsidRPr="00862453" w:rsidRDefault="004304CA" w:rsidP="00F300C4">
            <w:pPr>
              <w:pStyle w:val="TableParagraph"/>
              <w:spacing w:before="74"/>
              <w:ind w:right="805"/>
              <w:rPr>
                <w:lang w:val="es-419"/>
              </w:rPr>
            </w:pPr>
          </w:p>
          <w:p w14:paraId="53BEB2E8" w14:textId="3E6E2A44" w:rsidR="00AB314B" w:rsidRPr="00862453" w:rsidRDefault="00AB314B" w:rsidP="00AB314B">
            <w:pPr>
              <w:pStyle w:val="TableParagraph"/>
              <w:numPr>
                <w:ilvl w:val="0"/>
                <w:numId w:val="30"/>
              </w:numPr>
              <w:spacing w:before="74"/>
              <w:ind w:right="805"/>
              <w:rPr>
                <w:lang w:val="es-419"/>
              </w:rPr>
            </w:pPr>
            <w:r w:rsidRPr="00862453">
              <w:rPr>
                <w:lang w:val="es-419"/>
              </w:rPr>
              <w:t xml:space="preserve">El </w:t>
            </w:r>
            <w:hyperlink r:id="rId17" w:history="1">
              <w:r w:rsidRPr="00862453">
                <w:rPr>
                  <w:rStyle w:val="Hyperlink"/>
                  <w:lang w:val="es-419"/>
                </w:rPr>
                <w:t>Estudio sobre PI y las aplicaciones móviles</w:t>
              </w:r>
            </w:hyperlink>
            <w:r w:rsidR="000E7985" w:rsidRPr="00862453">
              <w:rPr>
                <w:lang w:val="es-419"/>
              </w:rPr>
              <w:t xml:space="preserve"> </w:t>
            </w:r>
            <w:r w:rsidRPr="00862453">
              <w:rPr>
                <w:lang w:val="es-419"/>
              </w:rPr>
              <w:t>se puso a disposición como documento en una fase temprana de la ejecución, y se convirtió en material de referencia para todas las actividades</w:t>
            </w:r>
            <w:r w:rsidR="00373769" w:rsidRPr="00862453">
              <w:rPr>
                <w:lang w:val="es-419"/>
              </w:rPr>
              <w:t xml:space="preserve"> del proyecto</w:t>
            </w:r>
            <w:r w:rsidRPr="00862453">
              <w:rPr>
                <w:lang w:val="es-419"/>
              </w:rPr>
              <w:t>.</w:t>
            </w:r>
          </w:p>
          <w:p w14:paraId="37D079FB" w14:textId="0DC1E642" w:rsidR="00AB314B" w:rsidRPr="00862453" w:rsidRDefault="00AB314B" w:rsidP="00AB314B">
            <w:pPr>
              <w:pStyle w:val="TableParagraph"/>
              <w:spacing w:before="74"/>
              <w:ind w:left="709" w:right="805"/>
              <w:rPr>
                <w:lang w:val="es-419"/>
              </w:rPr>
            </w:pPr>
            <w:r w:rsidRPr="00862453">
              <w:rPr>
                <w:lang w:val="es-419"/>
              </w:rPr>
              <w:t xml:space="preserve">Más adelante, se </w:t>
            </w:r>
            <w:r w:rsidR="00AE6139" w:rsidRPr="00862453">
              <w:rPr>
                <w:lang w:val="es-419"/>
              </w:rPr>
              <w:t>difundió</w:t>
            </w:r>
            <w:r w:rsidRPr="00862453">
              <w:rPr>
                <w:lang w:val="es-419"/>
              </w:rPr>
              <w:t xml:space="preserve"> como una publicación oficial de la OMPI </w:t>
            </w:r>
            <w:r w:rsidR="000E7985" w:rsidRPr="00862453">
              <w:rPr>
                <w:lang w:val="es-419"/>
              </w:rPr>
              <w:t>que tuvo</w:t>
            </w:r>
            <w:r w:rsidRPr="00862453">
              <w:rPr>
                <w:lang w:val="es-419"/>
              </w:rPr>
              <w:t> 958 descargas</w:t>
            </w:r>
            <w:r w:rsidR="006D4DFB" w:rsidRPr="00862453">
              <w:rPr>
                <w:lang w:val="es-419"/>
              </w:rPr>
              <w:t xml:space="preserve"> en el período comprendido entre abril y diciembre de 2021</w:t>
            </w:r>
            <w:r w:rsidRPr="00862453">
              <w:rPr>
                <w:lang w:val="es-419"/>
              </w:rPr>
              <w:t>. El</w:t>
            </w:r>
            <w:r w:rsidR="006D4DFB" w:rsidRPr="00862453">
              <w:rPr>
                <w:lang w:val="es-419"/>
              </w:rPr>
              <w:t> </w:t>
            </w:r>
            <w:r w:rsidRPr="00862453">
              <w:rPr>
                <w:lang w:val="es-419"/>
              </w:rPr>
              <w:t xml:space="preserve">96% de los usuarios consideraron que la publicación era útil y que </w:t>
            </w:r>
            <w:r w:rsidR="000E7985" w:rsidRPr="00862453">
              <w:rPr>
                <w:lang w:val="es-419"/>
              </w:rPr>
              <w:t>existía demanda al respecto</w:t>
            </w:r>
            <w:r w:rsidRPr="00862453">
              <w:rPr>
                <w:lang w:val="es-419"/>
              </w:rPr>
              <w:t xml:space="preserve"> fuera de los países beneficiarios. </w:t>
            </w:r>
            <w:r w:rsidR="006D4DFB" w:rsidRPr="00862453">
              <w:rPr>
                <w:lang w:val="es-419"/>
              </w:rPr>
              <w:t>En estos momento</w:t>
            </w:r>
            <w:r w:rsidR="000E7985" w:rsidRPr="00862453">
              <w:rPr>
                <w:lang w:val="es-419"/>
              </w:rPr>
              <w:t>s</w:t>
            </w:r>
            <w:r w:rsidR="006D4DFB" w:rsidRPr="00862453">
              <w:rPr>
                <w:lang w:val="es-419"/>
              </w:rPr>
              <w:t xml:space="preserve"> está en curso su traducción</w:t>
            </w:r>
            <w:r w:rsidRPr="00862453">
              <w:rPr>
                <w:lang w:val="es-419"/>
              </w:rPr>
              <w:t xml:space="preserve"> a los 6 idiomas oficiales de </w:t>
            </w:r>
            <w:r w:rsidR="006D4DFB" w:rsidRPr="00862453">
              <w:rPr>
                <w:lang w:val="es-419"/>
              </w:rPr>
              <w:t>las Naciones Unidas</w:t>
            </w:r>
            <w:r w:rsidRPr="00862453">
              <w:rPr>
                <w:lang w:val="es-419"/>
              </w:rPr>
              <w:t>.</w:t>
            </w:r>
          </w:p>
          <w:p w14:paraId="62AB297F" w14:textId="77777777" w:rsidR="00B43DDA" w:rsidRPr="00862453" w:rsidRDefault="00B43DDA" w:rsidP="00AB314B">
            <w:pPr>
              <w:pStyle w:val="TableParagraph"/>
              <w:spacing w:before="74"/>
              <w:ind w:left="709" w:right="805"/>
              <w:rPr>
                <w:lang w:val="es-419"/>
              </w:rPr>
            </w:pPr>
          </w:p>
          <w:p w14:paraId="58D8A372" w14:textId="5650076D" w:rsidR="004304CA" w:rsidRPr="00862453" w:rsidRDefault="00204A48" w:rsidP="00025A72">
            <w:pPr>
              <w:pStyle w:val="TableParagraph"/>
              <w:numPr>
                <w:ilvl w:val="0"/>
                <w:numId w:val="30"/>
              </w:numPr>
              <w:spacing w:before="74"/>
              <w:ind w:right="805"/>
              <w:rPr>
                <w:lang w:val="es-419"/>
              </w:rPr>
            </w:pPr>
            <w:r w:rsidRPr="00862453">
              <w:rPr>
                <w:lang w:val="es-419"/>
              </w:rPr>
              <w:t xml:space="preserve">Los gráficos, que ofrecen una perspectiva general de la tipología de los derechos de PI disponibles para los desarrolladores, se prepararon en las primeras fases del proyecto. Más adelante, se enriquecieron con algunas infografías centradas en </w:t>
            </w:r>
            <w:r w:rsidR="00D926E9" w:rsidRPr="00862453">
              <w:rPr>
                <w:lang w:val="es-419"/>
              </w:rPr>
              <w:t>las funciones</w:t>
            </w:r>
            <w:r w:rsidRPr="00862453">
              <w:rPr>
                <w:lang w:val="es-419"/>
              </w:rPr>
              <w:t xml:space="preserve"> de los derechos de autor y las marcas </w:t>
            </w:r>
            <w:r w:rsidR="00201006" w:rsidRPr="00862453">
              <w:rPr>
                <w:lang w:val="es-419"/>
              </w:rPr>
              <w:t>que más interesan a la comunidad</w:t>
            </w:r>
            <w:r w:rsidRPr="00862453">
              <w:rPr>
                <w:lang w:val="es-419"/>
              </w:rPr>
              <w:t xml:space="preserve"> </w:t>
            </w:r>
            <w:r w:rsidR="00D926E9" w:rsidRPr="00862453">
              <w:rPr>
                <w:lang w:val="es-419"/>
              </w:rPr>
              <w:t xml:space="preserve">de </w:t>
            </w:r>
            <w:r w:rsidRPr="00862453">
              <w:rPr>
                <w:lang w:val="es-419"/>
              </w:rPr>
              <w:t>los desarrolladores de aplicac</w:t>
            </w:r>
            <w:r w:rsidR="00201006" w:rsidRPr="00862453">
              <w:rPr>
                <w:lang w:val="es-419"/>
              </w:rPr>
              <w:t>iones</w:t>
            </w:r>
            <w:r w:rsidRPr="00862453">
              <w:rPr>
                <w:lang w:val="es-419"/>
              </w:rPr>
              <w:t>.</w:t>
            </w:r>
            <w:r w:rsidR="00D926E9" w:rsidRPr="00862453">
              <w:rPr>
                <w:lang w:val="es-419"/>
              </w:rPr>
              <w:t xml:space="preserve"> </w:t>
            </w:r>
            <w:r w:rsidRPr="00862453">
              <w:rPr>
                <w:lang w:val="es-419"/>
              </w:rPr>
              <w:t>El</w:t>
            </w:r>
            <w:r w:rsidR="00201006" w:rsidRPr="00862453">
              <w:rPr>
                <w:lang w:val="es-419"/>
              </w:rPr>
              <w:t> </w:t>
            </w:r>
            <w:r w:rsidRPr="00862453">
              <w:rPr>
                <w:lang w:val="es-419"/>
              </w:rPr>
              <w:t xml:space="preserve">96% de los </w:t>
            </w:r>
            <w:r w:rsidR="00E67F7C" w:rsidRPr="00862453">
              <w:rPr>
                <w:lang w:val="es-419"/>
              </w:rPr>
              <w:t xml:space="preserve">encuestados calificaron estas herramientas como </w:t>
            </w:r>
            <w:r w:rsidRPr="00862453">
              <w:rPr>
                <w:lang w:val="es-419"/>
              </w:rPr>
              <w:t xml:space="preserve">útiles. Los gráficos tuvieron 1.367 descargas. </w:t>
            </w:r>
          </w:p>
          <w:p w14:paraId="0A032296" w14:textId="77777777" w:rsidR="004304CA" w:rsidRPr="00862453" w:rsidRDefault="004304CA" w:rsidP="00F300C4">
            <w:pPr>
              <w:pStyle w:val="TableParagraph"/>
              <w:spacing w:before="74"/>
              <w:ind w:right="805"/>
              <w:rPr>
                <w:lang w:val="es-419"/>
              </w:rPr>
            </w:pPr>
          </w:p>
          <w:p w14:paraId="6B4B8EA5" w14:textId="235853BD" w:rsidR="00961052" w:rsidRPr="00862453" w:rsidRDefault="00961052" w:rsidP="00961052">
            <w:pPr>
              <w:pStyle w:val="TableParagraph"/>
              <w:numPr>
                <w:ilvl w:val="0"/>
                <w:numId w:val="30"/>
              </w:numPr>
              <w:spacing w:before="74"/>
              <w:ind w:right="805"/>
              <w:rPr>
                <w:lang w:val="es-419"/>
              </w:rPr>
            </w:pPr>
            <w:r w:rsidRPr="00862453">
              <w:rPr>
                <w:lang w:val="es-419"/>
              </w:rPr>
              <w:t xml:space="preserve">La herramienta de formación sobre </w:t>
            </w:r>
            <w:hyperlink r:id="rId18" w:history="1">
              <w:r w:rsidR="00CE2EAA" w:rsidRPr="00862453">
                <w:rPr>
                  <w:rStyle w:val="Hyperlink"/>
                  <w:lang w:val="es-419"/>
                </w:rPr>
                <w:t>e</w:t>
              </w:r>
              <w:r w:rsidR="00717292" w:rsidRPr="00862453">
                <w:rPr>
                  <w:rStyle w:val="Hyperlink"/>
                  <w:lang w:val="es-419"/>
                </w:rPr>
                <w:t xml:space="preserve">l papel de los derechos de </w:t>
              </w:r>
              <w:r w:rsidR="002D7A86" w:rsidRPr="00862453">
                <w:rPr>
                  <w:rStyle w:val="Hyperlink"/>
                  <w:lang w:val="es-419"/>
                </w:rPr>
                <w:t>PI</w:t>
              </w:r>
              <w:r w:rsidR="00717292" w:rsidRPr="00862453">
                <w:rPr>
                  <w:rStyle w:val="Hyperlink"/>
                  <w:lang w:val="es-419"/>
                </w:rPr>
                <w:t xml:space="preserve"> en el desarrollo y la comercialización de las aplicaciones móviles</w:t>
              </w:r>
            </w:hyperlink>
            <w:r w:rsidR="00717292" w:rsidRPr="00862453">
              <w:rPr>
                <w:lang w:val="es-419"/>
              </w:rPr>
              <w:t xml:space="preserve"> </w:t>
            </w:r>
            <w:r w:rsidRPr="00862453">
              <w:rPr>
                <w:lang w:val="es-419"/>
              </w:rPr>
              <w:t xml:space="preserve">fue uno de los </w:t>
            </w:r>
            <w:r w:rsidR="00717292" w:rsidRPr="00862453">
              <w:rPr>
                <w:lang w:val="es-419"/>
              </w:rPr>
              <w:t xml:space="preserve">elementos </w:t>
            </w:r>
            <w:r w:rsidR="00201006" w:rsidRPr="00862453">
              <w:rPr>
                <w:lang w:val="es-419"/>
              </w:rPr>
              <w:t>que más éxito cosechó entre</w:t>
            </w:r>
            <w:r w:rsidRPr="00862453">
              <w:rPr>
                <w:lang w:val="es-419"/>
              </w:rPr>
              <w:t xml:space="preserve"> los participantes en muchos de los seminarios web y actividades de fortalecimiento de capacidades que se organizaron en el </w:t>
            </w:r>
            <w:r w:rsidR="00717292" w:rsidRPr="00862453">
              <w:rPr>
                <w:lang w:val="es-419"/>
              </w:rPr>
              <w:t>marco</w:t>
            </w:r>
            <w:r w:rsidRPr="00862453">
              <w:rPr>
                <w:lang w:val="es-419"/>
              </w:rPr>
              <w:t xml:space="preserve"> del proyecto. La herramienta se </w:t>
            </w:r>
            <w:r w:rsidR="00717292" w:rsidRPr="00862453">
              <w:rPr>
                <w:lang w:val="es-419"/>
              </w:rPr>
              <w:t>centra</w:t>
            </w:r>
            <w:r w:rsidRPr="00862453">
              <w:rPr>
                <w:lang w:val="es-419"/>
              </w:rPr>
              <w:t xml:space="preserve"> en el ciclo de vida de una aplicación </w:t>
            </w:r>
            <w:r w:rsidR="00717292" w:rsidRPr="00862453">
              <w:rPr>
                <w:lang w:val="es-419"/>
              </w:rPr>
              <w:t>y demuestra</w:t>
            </w:r>
            <w:r w:rsidRPr="00862453">
              <w:rPr>
                <w:lang w:val="es-419"/>
              </w:rPr>
              <w:t xml:space="preserve"> la aplicabilidad de la PI en cada etapa.</w:t>
            </w:r>
          </w:p>
          <w:p w14:paraId="39904E44" w14:textId="6ED65AB3" w:rsidR="004304CA" w:rsidRPr="00862453" w:rsidRDefault="00CE2EAA" w:rsidP="00CE2EAA">
            <w:pPr>
              <w:pStyle w:val="TableParagraph"/>
              <w:spacing w:before="74"/>
              <w:ind w:left="713" w:right="805"/>
              <w:rPr>
                <w:lang w:val="es-419"/>
              </w:rPr>
            </w:pPr>
            <w:r w:rsidRPr="00862453">
              <w:rPr>
                <w:lang w:val="es-419"/>
              </w:rPr>
              <w:t>E</w:t>
            </w:r>
            <w:r w:rsidR="00961052" w:rsidRPr="00862453">
              <w:rPr>
                <w:lang w:val="es-419"/>
              </w:rPr>
              <w:t>l</w:t>
            </w:r>
            <w:r w:rsidRPr="00862453">
              <w:rPr>
                <w:lang w:val="es-419"/>
              </w:rPr>
              <w:t> </w:t>
            </w:r>
            <w:r w:rsidR="00961052" w:rsidRPr="00862453">
              <w:rPr>
                <w:lang w:val="es-419"/>
              </w:rPr>
              <w:t xml:space="preserve">96% de los encuestados </w:t>
            </w:r>
            <w:r w:rsidRPr="00862453">
              <w:rPr>
                <w:lang w:val="es-419"/>
              </w:rPr>
              <w:t>sobre las actividades del proyecto emitió una valoración positiva</w:t>
            </w:r>
            <w:r w:rsidR="00961052" w:rsidRPr="00862453">
              <w:rPr>
                <w:lang w:val="es-419"/>
              </w:rPr>
              <w:t xml:space="preserve"> y </w:t>
            </w:r>
            <w:r w:rsidR="00AC3356" w:rsidRPr="00862453">
              <w:rPr>
                <w:lang w:val="es-419"/>
              </w:rPr>
              <w:t xml:space="preserve">la herramienta </w:t>
            </w:r>
            <w:r w:rsidR="00961052" w:rsidRPr="00862453">
              <w:rPr>
                <w:lang w:val="es-419"/>
              </w:rPr>
              <w:t>tuvo</w:t>
            </w:r>
            <w:r w:rsidRPr="00862453">
              <w:rPr>
                <w:lang w:val="es-419"/>
              </w:rPr>
              <w:t> </w:t>
            </w:r>
            <w:r w:rsidR="00961052" w:rsidRPr="00862453">
              <w:rPr>
                <w:lang w:val="es-419"/>
              </w:rPr>
              <w:t>880 descargas.</w:t>
            </w:r>
          </w:p>
          <w:p w14:paraId="701768EE" w14:textId="77777777" w:rsidR="004304CA" w:rsidRPr="00862453" w:rsidRDefault="004304CA" w:rsidP="00F300C4">
            <w:pPr>
              <w:pStyle w:val="TableParagraph"/>
              <w:spacing w:before="74"/>
              <w:ind w:right="805"/>
              <w:rPr>
                <w:lang w:val="es-419"/>
              </w:rPr>
            </w:pPr>
          </w:p>
          <w:p w14:paraId="73BD5969" w14:textId="0E9135C2" w:rsidR="00CD06AB" w:rsidRPr="00862453" w:rsidRDefault="00CD06AB" w:rsidP="00CD06AB">
            <w:pPr>
              <w:pStyle w:val="TableParagraph"/>
              <w:numPr>
                <w:ilvl w:val="0"/>
                <w:numId w:val="30"/>
              </w:numPr>
              <w:spacing w:before="74"/>
              <w:ind w:right="805"/>
              <w:rPr>
                <w:lang w:val="es-419"/>
              </w:rPr>
            </w:pPr>
            <w:r w:rsidRPr="00862453">
              <w:rPr>
                <w:lang w:val="es-419"/>
              </w:rPr>
              <w:t xml:space="preserve">El módulo de formación sobre </w:t>
            </w:r>
            <w:hyperlink r:id="rId19" w:history="1">
              <w:r w:rsidRPr="00862453">
                <w:rPr>
                  <w:rStyle w:val="Hyperlink"/>
                  <w:lang w:val="es-419"/>
                </w:rPr>
                <w:t>los principales contratos del ámbito de las aplicaciones móviles</w:t>
              </w:r>
            </w:hyperlink>
            <w:r w:rsidRPr="00862453">
              <w:rPr>
                <w:lang w:val="es-419"/>
              </w:rPr>
              <w:t xml:space="preserve"> desde la perspectiva del desarrollador</w:t>
            </w:r>
            <w:r w:rsidR="000D6482" w:rsidRPr="00862453">
              <w:rPr>
                <w:lang w:val="es-419"/>
              </w:rPr>
              <w:t xml:space="preserve"> </w:t>
            </w:r>
            <w:r w:rsidRPr="00862453">
              <w:rPr>
                <w:lang w:val="es-419"/>
              </w:rPr>
              <w:t xml:space="preserve">es un compendio de consejos prácticos </w:t>
            </w:r>
            <w:r w:rsidR="000D6482" w:rsidRPr="00862453">
              <w:rPr>
                <w:lang w:val="es-419"/>
              </w:rPr>
              <w:t>dirigido a los creadores de aplicaciones para que sepan</w:t>
            </w:r>
            <w:r w:rsidRPr="00862453">
              <w:rPr>
                <w:lang w:val="es-419"/>
              </w:rPr>
              <w:t xml:space="preserve"> cómo </w:t>
            </w:r>
            <w:r w:rsidR="000D6482" w:rsidRPr="00862453">
              <w:rPr>
                <w:lang w:val="es-419"/>
              </w:rPr>
              <w:t>velar por que se respeten</w:t>
            </w:r>
            <w:r w:rsidRPr="00862453">
              <w:rPr>
                <w:lang w:val="es-419"/>
              </w:rPr>
              <w:t xml:space="preserve"> sus intereses en el proceso de desarrollo.</w:t>
            </w:r>
            <w:r w:rsidR="008F48D9" w:rsidRPr="00862453">
              <w:rPr>
                <w:lang w:val="es-419"/>
              </w:rPr>
              <w:t xml:space="preserve"> </w:t>
            </w:r>
          </w:p>
          <w:p w14:paraId="6F0D807E" w14:textId="55FE672C" w:rsidR="00CD06AB" w:rsidRPr="00862453" w:rsidRDefault="00CD06AB" w:rsidP="00CD06AB">
            <w:pPr>
              <w:pStyle w:val="TableParagraph"/>
              <w:spacing w:before="74"/>
              <w:ind w:left="709" w:right="805"/>
              <w:rPr>
                <w:lang w:val="es-419"/>
              </w:rPr>
            </w:pPr>
            <w:r w:rsidRPr="00862453">
              <w:rPr>
                <w:lang w:val="es-419"/>
              </w:rPr>
              <w:t xml:space="preserve">El módulo, que finalmente se convirtió en un </w:t>
            </w:r>
            <w:r w:rsidR="000D6482" w:rsidRPr="00862453">
              <w:rPr>
                <w:lang w:val="es-419"/>
              </w:rPr>
              <w:t>m</w:t>
            </w:r>
            <w:r w:rsidRPr="00862453">
              <w:rPr>
                <w:lang w:val="es-419"/>
              </w:rPr>
              <w:t>anual, fue considerado muy útil por el</w:t>
            </w:r>
            <w:r w:rsidR="000D6482" w:rsidRPr="00862453">
              <w:rPr>
                <w:lang w:val="es-419"/>
              </w:rPr>
              <w:t> </w:t>
            </w:r>
            <w:r w:rsidRPr="00862453">
              <w:rPr>
                <w:lang w:val="es-419"/>
              </w:rPr>
              <w:t>94% de los participantes en las actividades del proyecto y tuvo</w:t>
            </w:r>
            <w:r w:rsidR="000D6482" w:rsidRPr="00862453">
              <w:rPr>
                <w:lang w:val="es-419"/>
              </w:rPr>
              <w:t> </w:t>
            </w:r>
            <w:r w:rsidRPr="00862453">
              <w:rPr>
                <w:lang w:val="es-419"/>
              </w:rPr>
              <w:t xml:space="preserve">3.841 descargas. </w:t>
            </w:r>
          </w:p>
          <w:p w14:paraId="52088CC4" w14:textId="77777777" w:rsidR="004304CA" w:rsidRPr="00862453" w:rsidRDefault="004304CA" w:rsidP="00F300C4">
            <w:pPr>
              <w:pStyle w:val="TableParagraph"/>
              <w:spacing w:before="74"/>
              <w:ind w:right="805"/>
              <w:rPr>
                <w:bCs/>
                <w:lang w:val="es-419"/>
              </w:rPr>
            </w:pPr>
          </w:p>
          <w:p w14:paraId="797742B2" w14:textId="73C7FA83" w:rsidR="004D5716" w:rsidRPr="00862453" w:rsidRDefault="004D5716" w:rsidP="004D5716">
            <w:pPr>
              <w:pStyle w:val="TableParagraph"/>
              <w:numPr>
                <w:ilvl w:val="0"/>
                <w:numId w:val="30"/>
              </w:numPr>
              <w:spacing w:before="74"/>
              <w:ind w:right="805"/>
              <w:rPr>
                <w:bCs/>
                <w:lang w:val="es-419"/>
              </w:rPr>
            </w:pPr>
            <w:r w:rsidRPr="00862453">
              <w:rPr>
                <w:bCs/>
                <w:lang w:val="es-419"/>
              </w:rPr>
              <w:t xml:space="preserve">En un principio, la </w:t>
            </w:r>
            <w:hyperlink r:id="rId20" w:history="1">
              <w:r w:rsidR="00203DCD" w:rsidRPr="00862453">
                <w:rPr>
                  <w:rStyle w:val="Hyperlink"/>
                  <w:bCs/>
                  <w:lang w:val="es-419"/>
                </w:rPr>
                <w:t xml:space="preserve">Guía sobre solución </w:t>
              </w:r>
              <w:r w:rsidR="008F48D9" w:rsidRPr="00862453">
                <w:rPr>
                  <w:rStyle w:val="Hyperlink"/>
                  <w:bCs/>
                  <w:lang w:val="es-419"/>
                </w:rPr>
                <w:t>alternativa</w:t>
              </w:r>
              <w:r w:rsidR="00203DCD" w:rsidRPr="00862453">
                <w:rPr>
                  <w:rStyle w:val="Hyperlink"/>
                  <w:bCs/>
                  <w:lang w:val="es-419"/>
                </w:rPr>
                <w:t xml:space="preserve"> de controversias </w:t>
              </w:r>
              <w:r w:rsidR="00F0095E" w:rsidRPr="00862453">
                <w:rPr>
                  <w:rStyle w:val="Hyperlink"/>
                  <w:bCs/>
                  <w:lang w:val="es-419"/>
                </w:rPr>
                <w:t>y mediación</w:t>
              </w:r>
            </w:hyperlink>
            <w:r w:rsidR="00F0095E" w:rsidRPr="00862453">
              <w:rPr>
                <w:bCs/>
                <w:lang w:val="es-419"/>
              </w:rPr>
              <w:t xml:space="preserve"> </w:t>
            </w:r>
            <w:r w:rsidR="00203DCD" w:rsidRPr="00862453">
              <w:rPr>
                <w:bCs/>
                <w:lang w:val="es-419"/>
              </w:rPr>
              <w:t>respecto de aplicaciones móviles</w:t>
            </w:r>
            <w:r w:rsidRPr="00862453">
              <w:rPr>
                <w:bCs/>
                <w:lang w:val="es-419"/>
              </w:rPr>
              <w:t xml:space="preserve"> </w:t>
            </w:r>
            <w:r w:rsidR="00F0095E" w:rsidRPr="00862453">
              <w:rPr>
                <w:bCs/>
                <w:lang w:val="es-419"/>
              </w:rPr>
              <w:t>estaba destinada</w:t>
            </w:r>
            <w:r w:rsidRPr="00862453">
              <w:rPr>
                <w:bCs/>
                <w:lang w:val="es-419"/>
              </w:rPr>
              <w:t xml:space="preserve"> a dos tipos diferentes de usuarios. En el transcurso del proyecto, se acordó con los beneficiarios presentar el material como una sola herramienta, lo que permitió </w:t>
            </w:r>
            <w:r w:rsidR="00F0095E" w:rsidRPr="00862453">
              <w:rPr>
                <w:bCs/>
                <w:lang w:val="es-419"/>
              </w:rPr>
              <w:t xml:space="preserve">abordar la cuestión con </w:t>
            </w:r>
            <w:r w:rsidRPr="00862453">
              <w:rPr>
                <w:bCs/>
                <w:lang w:val="es-419"/>
              </w:rPr>
              <w:t xml:space="preserve">un enfoque más </w:t>
            </w:r>
            <w:r w:rsidR="00F0095E" w:rsidRPr="00862453">
              <w:rPr>
                <w:bCs/>
                <w:lang w:val="es-419"/>
              </w:rPr>
              <w:t>cabal</w:t>
            </w:r>
            <w:r w:rsidRPr="00862453">
              <w:rPr>
                <w:bCs/>
                <w:lang w:val="es-419"/>
              </w:rPr>
              <w:t>.</w:t>
            </w:r>
          </w:p>
          <w:p w14:paraId="0BBFA74D" w14:textId="71D4516E" w:rsidR="004D5716" w:rsidRPr="00862453" w:rsidRDefault="004D5716" w:rsidP="004D5716">
            <w:pPr>
              <w:pStyle w:val="TableParagraph"/>
              <w:spacing w:before="74"/>
              <w:ind w:left="709" w:right="805"/>
              <w:rPr>
                <w:bCs/>
                <w:lang w:val="es-419"/>
              </w:rPr>
            </w:pPr>
            <w:r w:rsidRPr="00862453">
              <w:rPr>
                <w:bCs/>
                <w:lang w:val="es-419"/>
              </w:rPr>
              <w:t xml:space="preserve">La Guía </w:t>
            </w:r>
            <w:r w:rsidR="00F0095E" w:rsidRPr="00862453">
              <w:rPr>
                <w:bCs/>
                <w:lang w:val="es-419"/>
              </w:rPr>
              <w:t xml:space="preserve">sobre solución </w:t>
            </w:r>
            <w:r w:rsidR="008F48D9" w:rsidRPr="00862453">
              <w:rPr>
                <w:bCs/>
                <w:lang w:val="es-419"/>
              </w:rPr>
              <w:t xml:space="preserve">alternativa </w:t>
            </w:r>
            <w:r w:rsidR="00F0095E" w:rsidRPr="00862453">
              <w:rPr>
                <w:bCs/>
                <w:lang w:val="es-419"/>
              </w:rPr>
              <w:t xml:space="preserve">de controversias </w:t>
            </w:r>
            <w:r w:rsidRPr="00862453">
              <w:rPr>
                <w:bCs/>
                <w:lang w:val="es-419"/>
              </w:rPr>
              <w:t>tuvo</w:t>
            </w:r>
            <w:r w:rsidR="00F0095E" w:rsidRPr="00862453">
              <w:rPr>
                <w:bCs/>
                <w:lang w:val="es-419"/>
              </w:rPr>
              <w:t> </w:t>
            </w:r>
            <w:r w:rsidRPr="00862453">
              <w:rPr>
                <w:bCs/>
                <w:lang w:val="es-419"/>
              </w:rPr>
              <w:t xml:space="preserve">1.475 descargas y se utilizó </w:t>
            </w:r>
            <w:r w:rsidR="001A2007" w:rsidRPr="00862453">
              <w:rPr>
                <w:bCs/>
                <w:lang w:val="es-419"/>
              </w:rPr>
              <w:t>intensamente</w:t>
            </w:r>
            <w:r w:rsidRPr="00862453">
              <w:rPr>
                <w:bCs/>
                <w:lang w:val="es-419"/>
              </w:rPr>
              <w:t xml:space="preserve"> durante la ejecución del proyecto.</w:t>
            </w:r>
          </w:p>
          <w:p w14:paraId="6F1925DB" w14:textId="77777777" w:rsidR="004304CA" w:rsidRPr="00862453" w:rsidRDefault="004304CA" w:rsidP="00F300C4">
            <w:pPr>
              <w:pStyle w:val="TableParagraph"/>
              <w:spacing w:before="74"/>
              <w:ind w:right="805"/>
              <w:rPr>
                <w:bCs/>
                <w:lang w:val="es-419"/>
              </w:rPr>
            </w:pPr>
          </w:p>
          <w:p w14:paraId="32CE2B03" w14:textId="375827AB" w:rsidR="004304CA" w:rsidRPr="00862453" w:rsidRDefault="001A2007" w:rsidP="005132D3">
            <w:pPr>
              <w:pStyle w:val="TableParagraph"/>
              <w:numPr>
                <w:ilvl w:val="0"/>
                <w:numId w:val="30"/>
              </w:numPr>
              <w:spacing w:before="74"/>
              <w:ind w:right="805"/>
              <w:rPr>
                <w:bCs/>
                <w:lang w:val="es-419"/>
              </w:rPr>
            </w:pPr>
            <w:r w:rsidRPr="00862453">
              <w:rPr>
                <w:bCs/>
                <w:lang w:val="es-419"/>
              </w:rPr>
              <w:t xml:space="preserve">Cada país beneficiario inició un diálogo por separado con las instituciones financieras, los agentes de capital de riesgo y los inversores. Mientras que en algunos hubo apoyo político para utilizar </w:t>
            </w:r>
            <w:r w:rsidR="005132D3" w:rsidRPr="00862453">
              <w:rPr>
                <w:bCs/>
                <w:lang w:val="es-419"/>
              </w:rPr>
              <w:t>los sistemas</w:t>
            </w:r>
            <w:r w:rsidRPr="00862453">
              <w:rPr>
                <w:bCs/>
                <w:lang w:val="es-419"/>
              </w:rPr>
              <w:t xml:space="preserve"> de financiación disponibles, en otros </w:t>
            </w:r>
            <w:r w:rsidR="005132D3" w:rsidRPr="00862453">
              <w:rPr>
                <w:bCs/>
                <w:lang w:val="es-419"/>
              </w:rPr>
              <w:t>las conversaciones se centraron sobre todo en el respaldo</w:t>
            </w:r>
            <w:r w:rsidRPr="00862453">
              <w:rPr>
                <w:bCs/>
                <w:lang w:val="es-419"/>
              </w:rPr>
              <w:t xml:space="preserve"> </w:t>
            </w:r>
            <w:r w:rsidR="005132D3" w:rsidRPr="00862453">
              <w:rPr>
                <w:bCs/>
                <w:lang w:val="es-419"/>
              </w:rPr>
              <w:t>a</w:t>
            </w:r>
            <w:r w:rsidRPr="00862453">
              <w:rPr>
                <w:bCs/>
                <w:lang w:val="es-419"/>
              </w:rPr>
              <w:t xml:space="preserve"> proyectos individuales en el futuro. Las restricciones impuestas por la pandemia de COVID-19 durante la mayor parte del período de ejecución del proyecto impidieron la organización de reuniones presenciales que habrían permitido presentar el proyecto a importantes </w:t>
            </w:r>
            <w:r w:rsidR="005132D3" w:rsidRPr="00862453">
              <w:rPr>
                <w:bCs/>
                <w:lang w:val="es-419"/>
              </w:rPr>
              <w:t>asociados</w:t>
            </w:r>
            <w:r w:rsidRPr="00862453">
              <w:rPr>
                <w:bCs/>
                <w:lang w:val="es-419"/>
              </w:rPr>
              <w:t xml:space="preserve"> </w:t>
            </w:r>
            <w:r w:rsidR="0079749E" w:rsidRPr="00862453">
              <w:rPr>
                <w:bCs/>
                <w:lang w:val="es-419"/>
              </w:rPr>
              <w:t>patrocinadores</w:t>
            </w:r>
            <w:r w:rsidRPr="00862453">
              <w:rPr>
                <w:bCs/>
                <w:lang w:val="es-419"/>
              </w:rPr>
              <w:t xml:space="preserve"> del sector privado.</w:t>
            </w:r>
          </w:p>
          <w:p w14:paraId="2A54CDA9" w14:textId="77777777" w:rsidR="004304CA" w:rsidRPr="00862453" w:rsidRDefault="004304CA" w:rsidP="00F300C4">
            <w:pPr>
              <w:pStyle w:val="TableParagraph"/>
              <w:spacing w:before="74"/>
              <w:ind w:right="805"/>
              <w:rPr>
                <w:lang w:val="es-419"/>
              </w:rPr>
            </w:pPr>
          </w:p>
          <w:p w14:paraId="27EF6E1C" w14:textId="05B15826" w:rsidR="00E2090B" w:rsidRPr="00862453" w:rsidRDefault="00E2090B" w:rsidP="004304CA">
            <w:pPr>
              <w:pStyle w:val="TableParagraph"/>
              <w:numPr>
                <w:ilvl w:val="0"/>
                <w:numId w:val="30"/>
              </w:numPr>
              <w:spacing w:before="74"/>
              <w:ind w:right="805"/>
              <w:rPr>
                <w:lang w:val="es-419"/>
              </w:rPr>
            </w:pPr>
            <w:r w:rsidRPr="00862453">
              <w:rPr>
                <w:lang w:val="es-419"/>
              </w:rPr>
              <w:t xml:space="preserve">La </w:t>
            </w:r>
            <w:r w:rsidR="00AE1D4B" w:rsidRPr="00862453">
              <w:rPr>
                <w:lang w:val="es-419"/>
              </w:rPr>
              <w:t>toma de contacto con</w:t>
            </w:r>
            <w:r w:rsidRPr="00862453">
              <w:rPr>
                <w:lang w:val="es-419"/>
              </w:rPr>
              <w:t xml:space="preserve"> los centros de TIC de los países beneficiarios se </w:t>
            </w:r>
            <w:r w:rsidR="00AE1D4B" w:rsidRPr="00862453">
              <w:rPr>
                <w:lang w:val="es-419"/>
              </w:rPr>
              <w:t>fundamentó</w:t>
            </w:r>
            <w:r w:rsidRPr="00862453">
              <w:rPr>
                <w:lang w:val="es-419"/>
              </w:rPr>
              <w:t xml:space="preserve"> en el supuesto de que estarían muy interesados en participar en el proyecto y se comprometerían con las actividades. Se descubrió que </w:t>
            </w:r>
            <w:r w:rsidR="00AE1D4B" w:rsidRPr="00862453">
              <w:rPr>
                <w:lang w:val="es-419"/>
              </w:rPr>
              <w:t xml:space="preserve">estos </w:t>
            </w:r>
            <w:r w:rsidRPr="00862453">
              <w:rPr>
                <w:lang w:val="es-419"/>
              </w:rPr>
              <w:t xml:space="preserve">centros, cuando </w:t>
            </w:r>
            <w:r w:rsidR="00AE1D4B" w:rsidRPr="00862453">
              <w:rPr>
                <w:lang w:val="es-419"/>
              </w:rPr>
              <w:t>existían</w:t>
            </w:r>
            <w:r w:rsidRPr="00862453">
              <w:rPr>
                <w:lang w:val="es-419"/>
              </w:rPr>
              <w:t xml:space="preserve">, se centraban sobre todo en cuestiones de TI, </w:t>
            </w:r>
            <w:r w:rsidR="00AE1D4B" w:rsidRPr="00862453">
              <w:rPr>
                <w:lang w:val="es-419"/>
              </w:rPr>
              <w:t xml:space="preserve">y </w:t>
            </w:r>
            <w:r w:rsidRPr="00862453">
              <w:rPr>
                <w:lang w:val="es-419"/>
              </w:rPr>
              <w:t xml:space="preserve">que la PI </w:t>
            </w:r>
            <w:r w:rsidR="00AE1D4B" w:rsidRPr="00862453">
              <w:rPr>
                <w:lang w:val="es-419"/>
              </w:rPr>
              <w:t xml:space="preserve">era un tema que </w:t>
            </w:r>
            <w:r w:rsidRPr="00862453">
              <w:rPr>
                <w:lang w:val="es-419"/>
              </w:rPr>
              <w:t xml:space="preserve">no les interesaba demasiado. Debido a la gran diferencia de husos horarios </w:t>
            </w:r>
            <w:r w:rsidR="00AE1D4B" w:rsidRPr="00862453">
              <w:rPr>
                <w:lang w:val="es-419"/>
              </w:rPr>
              <w:t>entr</w:t>
            </w:r>
            <w:r w:rsidRPr="00862453">
              <w:rPr>
                <w:lang w:val="es-419"/>
              </w:rPr>
              <w:t>e los países beneficiarios, durante la ejecución del proyecto s</w:t>
            </w:r>
            <w:r w:rsidR="00AE1D4B" w:rsidRPr="00862453">
              <w:rPr>
                <w:lang w:val="es-419"/>
              </w:rPr>
              <w:t>o</w:t>
            </w:r>
            <w:r w:rsidRPr="00862453">
              <w:rPr>
                <w:lang w:val="es-419"/>
              </w:rPr>
              <w:t xml:space="preserve">lo se </w:t>
            </w:r>
            <w:r w:rsidR="00AE1D4B" w:rsidRPr="00862453">
              <w:rPr>
                <w:lang w:val="es-419"/>
              </w:rPr>
              <w:t>pudo organizar un encuentro en el que participaron</w:t>
            </w:r>
            <w:r w:rsidRPr="00862453">
              <w:rPr>
                <w:lang w:val="es-419"/>
              </w:rPr>
              <w:t xml:space="preserve"> todos </w:t>
            </w:r>
            <w:r w:rsidR="00773F7C" w:rsidRPr="00862453">
              <w:rPr>
                <w:lang w:val="es-419"/>
              </w:rPr>
              <w:t>ellos</w:t>
            </w:r>
            <w:r w:rsidRPr="00862453">
              <w:rPr>
                <w:lang w:val="es-419"/>
              </w:rPr>
              <w:t xml:space="preserve">. El objetivo era proporcionar una plataforma para el intercambio de perspectivas y experiencias específicas de cada país beneficiario, incluidas las de las partes interesadas del sector de las TI. Sin embargo, </w:t>
            </w:r>
            <w:r w:rsidR="00B12BFD" w:rsidRPr="00862453">
              <w:rPr>
                <w:lang w:val="es-419"/>
              </w:rPr>
              <w:t>todas las</w:t>
            </w:r>
            <w:r w:rsidR="00773F7C" w:rsidRPr="00862453">
              <w:rPr>
                <w:lang w:val="es-419"/>
              </w:rPr>
              <w:t xml:space="preserve"> actividad</w:t>
            </w:r>
            <w:r w:rsidR="00B12BFD" w:rsidRPr="00862453">
              <w:rPr>
                <w:lang w:val="es-419"/>
              </w:rPr>
              <w:t>es</w:t>
            </w:r>
            <w:r w:rsidR="00773F7C" w:rsidRPr="00862453">
              <w:rPr>
                <w:lang w:val="es-419"/>
              </w:rPr>
              <w:t xml:space="preserve"> basada</w:t>
            </w:r>
            <w:r w:rsidR="00B12BFD" w:rsidRPr="00862453">
              <w:rPr>
                <w:lang w:val="es-419"/>
              </w:rPr>
              <w:t>s</w:t>
            </w:r>
            <w:r w:rsidR="00773F7C" w:rsidRPr="00862453">
              <w:rPr>
                <w:lang w:val="es-419"/>
              </w:rPr>
              <w:t xml:space="preserve"> en Internet se anunci</w:t>
            </w:r>
            <w:r w:rsidR="00B12BFD" w:rsidRPr="00862453">
              <w:rPr>
                <w:lang w:val="es-419"/>
              </w:rPr>
              <w:t>aron</w:t>
            </w:r>
            <w:r w:rsidR="00773F7C" w:rsidRPr="00862453">
              <w:rPr>
                <w:lang w:val="es-419"/>
              </w:rPr>
              <w:t xml:space="preserve"> en los demás países beneficiarios y </w:t>
            </w:r>
            <w:r w:rsidR="00B12BFD" w:rsidRPr="00862453">
              <w:rPr>
                <w:lang w:val="es-419"/>
              </w:rPr>
              <w:t xml:space="preserve">se registró </w:t>
            </w:r>
            <w:r w:rsidR="00773F7C" w:rsidRPr="00862453">
              <w:rPr>
                <w:lang w:val="es-419"/>
              </w:rPr>
              <w:t xml:space="preserve">su participación en cada </w:t>
            </w:r>
            <w:r w:rsidR="00B12BFD" w:rsidRPr="00862453">
              <w:rPr>
                <w:lang w:val="es-419"/>
              </w:rPr>
              <w:t xml:space="preserve">una de ellas </w:t>
            </w:r>
            <w:r w:rsidR="00773F7C" w:rsidRPr="00862453">
              <w:rPr>
                <w:lang w:val="es-419"/>
              </w:rPr>
              <w:t>durante todo proyecto</w:t>
            </w:r>
            <w:r w:rsidRPr="00862453">
              <w:rPr>
                <w:lang w:val="es-419"/>
              </w:rPr>
              <w:t>.</w:t>
            </w:r>
          </w:p>
          <w:p w14:paraId="6A2364E9" w14:textId="77777777" w:rsidR="004304CA" w:rsidRPr="00862453" w:rsidRDefault="004304CA" w:rsidP="00F300C4">
            <w:pPr>
              <w:pStyle w:val="TableParagraph"/>
              <w:spacing w:before="74"/>
              <w:ind w:left="720" w:right="805"/>
              <w:rPr>
                <w:lang w:val="es-419"/>
              </w:rPr>
            </w:pPr>
          </w:p>
          <w:p w14:paraId="56DDEEA3" w14:textId="59E265C8" w:rsidR="00DB2385" w:rsidRPr="00862453" w:rsidRDefault="00DB2385" w:rsidP="00DB2385">
            <w:pPr>
              <w:pStyle w:val="TableParagraph"/>
              <w:numPr>
                <w:ilvl w:val="0"/>
                <w:numId w:val="30"/>
              </w:numPr>
              <w:spacing w:before="74"/>
              <w:ind w:right="805"/>
              <w:rPr>
                <w:bCs/>
                <w:lang w:val="es-419"/>
              </w:rPr>
            </w:pPr>
            <w:r w:rsidRPr="00862453">
              <w:rPr>
                <w:bCs/>
                <w:lang w:val="es-419"/>
              </w:rPr>
              <w:t xml:space="preserve">El material de sensibilización sobre </w:t>
            </w:r>
            <w:r w:rsidR="00F70D62" w:rsidRPr="00862453">
              <w:rPr>
                <w:bCs/>
                <w:lang w:val="es-419"/>
              </w:rPr>
              <w:t>PI elaborado para</w:t>
            </w:r>
            <w:r w:rsidRPr="00862453">
              <w:rPr>
                <w:bCs/>
                <w:lang w:val="es-419"/>
              </w:rPr>
              <w:t xml:space="preserve"> los estudiantes se </w:t>
            </w:r>
            <w:r w:rsidR="00F70D62" w:rsidRPr="00862453">
              <w:rPr>
                <w:bCs/>
                <w:lang w:val="es-419"/>
              </w:rPr>
              <w:t>compone de</w:t>
            </w:r>
            <w:r w:rsidRPr="00862453">
              <w:rPr>
                <w:bCs/>
                <w:lang w:val="es-419"/>
              </w:rPr>
              <w:t xml:space="preserve"> </w:t>
            </w:r>
            <w:hyperlink r:id="rId21" w:history="1">
              <w:r w:rsidRPr="00862453">
                <w:rPr>
                  <w:rStyle w:val="Hyperlink"/>
                  <w:bCs/>
                  <w:lang w:val="es-419"/>
                </w:rPr>
                <w:t>cinco módulos</w:t>
              </w:r>
            </w:hyperlink>
            <w:r w:rsidRPr="00862453">
              <w:rPr>
                <w:bCs/>
                <w:lang w:val="es-419"/>
              </w:rPr>
              <w:t xml:space="preserve"> </w:t>
            </w:r>
            <w:r w:rsidR="00F70D62" w:rsidRPr="00862453">
              <w:rPr>
                <w:bCs/>
                <w:lang w:val="es-419"/>
              </w:rPr>
              <w:t>puestos</w:t>
            </w:r>
            <w:r w:rsidRPr="00862453">
              <w:rPr>
                <w:bCs/>
                <w:lang w:val="es-419"/>
              </w:rPr>
              <w:t xml:space="preserve"> a disposición </w:t>
            </w:r>
            <w:r w:rsidR="00F70D62" w:rsidRPr="00862453">
              <w:rPr>
                <w:bCs/>
                <w:lang w:val="es-419"/>
              </w:rPr>
              <w:t>en el</w:t>
            </w:r>
            <w:r w:rsidRPr="00862453">
              <w:rPr>
                <w:bCs/>
                <w:lang w:val="es-419"/>
              </w:rPr>
              <w:t xml:space="preserve"> sitio web de la OMPI.</w:t>
            </w:r>
          </w:p>
          <w:p w14:paraId="2981CCEE" w14:textId="3335AFAC" w:rsidR="004304CA" w:rsidRPr="00862453" w:rsidRDefault="00DB2385" w:rsidP="00F70D62">
            <w:pPr>
              <w:pStyle w:val="TableParagraph"/>
              <w:spacing w:before="74"/>
              <w:ind w:left="713" w:right="805"/>
              <w:rPr>
                <w:lang w:val="es-419"/>
              </w:rPr>
            </w:pPr>
            <w:r w:rsidRPr="00862453">
              <w:rPr>
                <w:bCs/>
                <w:lang w:val="es-419"/>
              </w:rPr>
              <w:t>Los recursos de aprendizaje tuvieron</w:t>
            </w:r>
            <w:r w:rsidR="00F70D62" w:rsidRPr="00862453">
              <w:rPr>
                <w:bCs/>
                <w:lang w:val="es-419"/>
              </w:rPr>
              <w:t> </w:t>
            </w:r>
            <w:r w:rsidRPr="00862453">
              <w:rPr>
                <w:bCs/>
                <w:lang w:val="es-419"/>
              </w:rPr>
              <w:t xml:space="preserve">3.171 descargas y fueron ampliamente utilizados por </w:t>
            </w:r>
            <w:r w:rsidR="00F70D62" w:rsidRPr="00862453">
              <w:rPr>
                <w:bCs/>
                <w:lang w:val="es-419"/>
              </w:rPr>
              <w:t>el sector académico</w:t>
            </w:r>
            <w:r w:rsidRPr="00862453">
              <w:rPr>
                <w:bCs/>
                <w:lang w:val="es-419"/>
              </w:rPr>
              <w:t xml:space="preserve"> y otras instituciones de formación </w:t>
            </w:r>
            <w:r w:rsidR="001D6C39" w:rsidRPr="00862453">
              <w:rPr>
                <w:bCs/>
                <w:lang w:val="es-419"/>
              </w:rPr>
              <w:t>de</w:t>
            </w:r>
            <w:r w:rsidRPr="00862453">
              <w:rPr>
                <w:bCs/>
                <w:lang w:val="es-419"/>
              </w:rPr>
              <w:t xml:space="preserve"> los países beneficiarios. El</w:t>
            </w:r>
            <w:r w:rsidR="00F70D62" w:rsidRPr="00862453">
              <w:rPr>
                <w:bCs/>
                <w:lang w:val="es-419"/>
              </w:rPr>
              <w:t> </w:t>
            </w:r>
            <w:r w:rsidRPr="00862453">
              <w:rPr>
                <w:bCs/>
                <w:lang w:val="es-419"/>
              </w:rPr>
              <w:t>96% de los usuarios valoraron positivamente e</w:t>
            </w:r>
            <w:r w:rsidR="001D6C39" w:rsidRPr="00862453">
              <w:rPr>
                <w:bCs/>
                <w:lang w:val="es-419"/>
              </w:rPr>
              <w:t>ste</w:t>
            </w:r>
            <w:r w:rsidRPr="00862453">
              <w:rPr>
                <w:bCs/>
                <w:lang w:val="es-419"/>
              </w:rPr>
              <w:t xml:space="preserve"> material de sensibilización.</w:t>
            </w:r>
            <w:r w:rsidR="004304CA" w:rsidRPr="00862453">
              <w:rPr>
                <w:bCs/>
                <w:lang w:val="es-419"/>
              </w:rPr>
              <w:t xml:space="preserve"> </w:t>
            </w:r>
          </w:p>
          <w:p w14:paraId="739F9236" w14:textId="77777777" w:rsidR="004304CA" w:rsidRPr="00862453" w:rsidRDefault="004304CA" w:rsidP="00F300C4">
            <w:pPr>
              <w:pStyle w:val="TableParagraph"/>
              <w:spacing w:before="74"/>
              <w:ind w:right="805"/>
              <w:rPr>
                <w:bCs/>
                <w:lang w:val="es-419"/>
              </w:rPr>
            </w:pPr>
          </w:p>
          <w:p w14:paraId="52C380E9" w14:textId="2D16CC69" w:rsidR="0019063F" w:rsidRPr="00862453" w:rsidRDefault="0019063F" w:rsidP="0019063F">
            <w:pPr>
              <w:pStyle w:val="TableParagraph"/>
              <w:numPr>
                <w:ilvl w:val="0"/>
                <w:numId w:val="30"/>
              </w:numPr>
              <w:spacing w:before="74"/>
              <w:ind w:right="805"/>
              <w:rPr>
                <w:bCs/>
                <w:lang w:val="es-419"/>
              </w:rPr>
            </w:pPr>
            <w:r w:rsidRPr="00862453">
              <w:rPr>
                <w:bCs/>
                <w:lang w:val="es-419"/>
              </w:rPr>
              <w:t xml:space="preserve">Los programas de </w:t>
            </w:r>
            <w:r w:rsidR="001338AC" w:rsidRPr="00862453">
              <w:rPr>
                <w:bCs/>
                <w:lang w:val="es-419"/>
              </w:rPr>
              <w:t>orientación</w:t>
            </w:r>
            <w:r w:rsidRPr="00862453">
              <w:rPr>
                <w:bCs/>
                <w:lang w:val="es-419"/>
              </w:rPr>
              <w:t xml:space="preserve"> adoptaron tres formas, a saber: a) </w:t>
            </w:r>
            <w:r w:rsidR="00756A8C" w:rsidRPr="00862453">
              <w:rPr>
                <w:bCs/>
                <w:lang w:val="es-419"/>
              </w:rPr>
              <w:t xml:space="preserve">la </w:t>
            </w:r>
            <w:r w:rsidRPr="00862453">
              <w:rPr>
                <w:bCs/>
                <w:lang w:val="es-419"/>
              </w:rPr>
              <w:t xml:space="preserve">participación en las actividades del proyecto de desarrolladores experimentados procedentes de países con economías desarrolladas; b) </w:t>
            </w:r>
            <w:r w:rsidR="003B48BB" w:rsidRPr="00862453">
              <w:rPr>
                <w:bCs/>
                <w:lang w:val="es-419"/>
              </w:rPr>
              <w:t xml:space="preserve">la </w:t>
            </w:r>
            <w:r w:rsidRPr="00862453">
              <w:rPr>
                <w:bCs/>
                <w:lang w:val="es-419"/>
              </w:rPr>
              <w:t xml:space="preserve">interacción directa de los participantes </w:t>
            </w:r>
            <w:r w:rsidR="003B48BB" w:rsidRPr="00862453">
              <w:rPr>
                <w:bCs/>
                <w:lang w:val="es-419"/>
              </w:rPr>
              <w:t xml:space="preserve">para </w:t>
            </w:r>
            <w:r w:rsidR="0070196D" w:rsidRPr="00862453">
              <w:rPr>
                <w:bCs/>
                <w:lang w:val="es-419"/>
              </w:rPr>
              <w:t>resolver las cuestiones prácticas</w:t>
            </w:r>
            <w:r w:rsidRPr="00862453">
              <w:rPr>
                <w:bCs/>
                <w:lang w:val="es-419"/>
              </w:rPr>
              <w:t xml:space="preserve">; c) </w:t>
            </w:r>
            <w:r w:rsidR="003B48BB" w:rsidRPr="00862453">
              <w:rPr>
                <w:bCs/>
                <w:lang w:val="es-419"/>
              </w:rPr>
              <w:t>la elaboración de</w:t>
            </w:r>
            <w:r w:rsidRPr="00862453">
              <w:rPr>
                <w:bCs/>
                <w:lang w:val="es-419"/>
              </w:rPr>
              <w:t xml:space="preserve"> una lista con proyectos y beneficiarios interesados en participar en otros intercambios, que se presentó a los posibles mentores. Tres empresas y una asociación que representa a </w:t>
            </w:r>
            <w:r w:rsidR="004870DF" w:rsidRPr="00862453">
              <w:rPr>
                <w:bCs/>
                <w:lang w:val="es-419"/>
              </w:rPr>
              <w:t>numerosas</w:t>
            </w:r>
            <w:r w:rsidRPr="00862453">
              <w:rPr>
                <w:bCs/>
                <w:lang w:val="es-419"/>
              </w:rPr>
              <w:t xml:space="preserve"> </w:t>
            </w:r>
            <w:r w:rsidR="001338AC" w:rsidRPr="00862453">
              <w:rPr>
                <w:bCs/>
                <w:lang w:val="es-419"/>
              </w:rPr>
              <w:t>compañías</w:t>
            </w:r>
            <w:r w:rsidRPr="00862453">
              <w:rPr>
                <w:bCs/>
                <w:lang w:val="es-419"/>
              </w:rPr>
              <w:t xml:space="preserve"> de todo el mundo participaron </w:t>
            </w:r>
            <w:r w:rsidR="004870DF" w:rsidRPr="00862453">
              <w:rPr>
                <w:bCs/>
                <w:lang w:val="es-419"/>
              </w:rPr>
              <w:t>con dedicación</w:t>
            </w:r>
            <w:r w:rsidRPr="00862453">
              <w:rPr>
                <w:bCs/>
                <w:lang w:val="es-419"/>
              </w:rPr>
              <w:t xml:space="preserve"> en el intercambio. </w:t>
            </w:r>
          </w:p>
          <w:p w14:paraId="64CD4C7E" w14:textId="30241F46" w:rsidR="0019063F" w:rsidRPr="00862453" w:rsidRDefault="0019063F" w:rsidP="00756A8C">
            <w:pPr>
              <w:pStyle w:val="TableParagraph"/>
              <w:spacing w:before="74"/>
              <w:ind w:left="713" w:right="805"/>
              <w:rPr>
                <w:bCs/>
                <w:lang w:val="es-419"/>
              </w:rPr>
            </w:pPr>
            <w:r w:rsidRPr="00862453">
              <w:rPr>
                <w:bCs/>
                <w:lang w:val="es-419"/>
              </w:rPr>
              <w:t>Gracias a la facilitación, se iniciaron varios intercambios positivos y el</w:t>
            </w:r>
            <w:r w:rsidR="004870DF" w:rsidRPr="00862453">
              <w:rPr>
                <w:bCs/>
                <w:lang w:val="es-419"/>
              </w:rPr>
              <w:t> </w:t>
            </w:r>
            <w:r w:rsidRPr="00862453">
              <w:rPr>
                <w:bCs/>
                <w:lang w:val="es-419"/>
              </w:rPr>
              <w:t xml:space="preserve">89% de los participantes </w:t>
            </w:r>
            <w:r w:rsidR="004870DF" w:rsidRPr="00862453">
              <w:rPr>
                <w:bCs/>
                <w:lang w:val="es-419"/>
              </w:rPr>
              <w:t>manifestó</w:t>
            </w:r>
            <w:r w:rsidRPr="00862453">
              <w:rPr>
                <w:bCs/>
                <w:lang w:val="es-419"/>
              </w:rPr>
              <w:t xml:space="preserve"> su interés </w:t>
            </w:r>
            <w:r w:rsidR="004870DF" w:rsidRPr="00862453">
              <w:rPr>
                <w:bCs/>
                <w:lang w:val="es-419"/>
              </w:rPr>
              <w:t>por</w:t>
            </w:r>
            <w:r w:rsidRPr="00862453">
              <w:rPr>
                <w:bCs/>
                <w:lang w:val="es-419"/>
              </w:rPr>
              <w:t xml:space="preserve"> </w:t>
            </w:r>
            <w:r w:rsidR="001338AC" w:rsidRPr="00862453">
              <w:rPr>
                <w:bCs/>
                <w:lang w:val="es-419"/>
              </w:rPr>
              <w:t>intervenir</w:t>
            </w:r>
            <w:r w:rsidRPr="00862453">
              <w:rPr>
                <w:bCs/>
                <w:lang w:val="es-419"/>
              </w:rPr>
              <w:t xml:space="preserve"> en </w:t>
            </w:r>
            <w:r w:rsidR="001338AC" w:rsidRPr="00862453">
              <w:rPr>
                <w:bCs/>
                <w:lang w:val="es-419"/>
              </w:rPr>
              <w:t xml:space="preserve">el futuro en </w:t>
            </w:r>
            <w:r w:rsidRPr="00862453">
              <w:rPr>
                <w:bCs/>
                <w:lang w:val="es-419"/>
              </w:rPr>
              <w:t xml:space="preserve">programas y actividades de </w:t>
            </w:r>
            <w:r w:rsidR="001338AC" w:rsidRPr="00862453">
              <w:rPr>
                <w:bCs/>
                <w:lang w:val="es-419"/>
              </w:rPr>
              <w:t>orientación</w:t>
            </w:r>
            <w:r w:rsidRPr="00862453">
              <w:rPr>
                <w:bCs/>
                <w:lang w:val="es-419"/>
              </w:rPr>
              <w:t>.</w:t>
            </w:r>
          </w:p>
          <w:p w14:paraId="25B3D2F9" w14:textId="17C73AD5" w:rsidR="004304CA" w:rsidRPr="00862453" w:rsidRDefault="004304CA" w:rsidP="001338AC">
            <w:pPr>
              <w:pStyle w:val="TableParagraph"/>
              <w:spacing w:before="74"/>
              <w:ind w:left="720" w:right="805"/>
              <w:rPr>
                <w:bCs/>
                <w:lang w:val="es-419"/>
              </w:rPr>
            </w:pPr>
          </w:p>
          <w:p w14:paraId="1462A896" w14:textId="5D677C9A" w:rsidR="00A276CB" w:rsidRPr="00862453" w:rsidRDefault="00A276CB" w:rsidP="00A276CB">
            <w:pPr>
              <w:pStyle w:val="TableParagraph"/>
              <w:numPr>
                <w:ilvl w:val="0"/>
                <w:numId w:val="30"/>
              </w:numPr>
              <w:spacing w:before="74"/>
              <w:ind w:right="805"/>
              <w:rPr>
                <w:bCs/>
                <w:lang w:val="es-419"/>
              </w:rPr>
            </w:pPr>
            <w:r w:rsidRPr="00862453">
              <w:rPr>
                <w:bCs/>
                <w:lang w:val="es-419"/>
              </w:rPr>
              <w:t xml:space="preserve">La </w:t>
            </w:r>
            <w:hyperlink r:id="rId22" w:history="1">
              <w:r w:rsidR="003D00F3" w:rsidRPr="00862453">
                <w:rPr>
                  <w:rStyle w:val="Hyperlink"/>
                  <w:bCs/>
                  <w:lang w:val="es-419"/>
                </w:rPr>
                <w:t>Guía sobre PI para desarrolladores de aplicaciones móviles</w:t>
              </w:r>
            </w:hyperlink>
            <w:r w:rsidR="003D00F3" w:rsidRPr="00862453">
              <w:rPr>
                <w:bCs/>
                <w:lang w:val="es-419"/>
              </w:rPr>
              <w:t xml:space="preserve"> </w:t>
            </w:r>
            <w:r w:rsidRPr="00862453">
              <w:rPr>
                <w:bCs/>
                <w:lang w:val="es-419"/>
              </w:rPr>
              <w:t xml:space="preserve">se </w:t>
            </w:r>
            <w:r w:rsidR="003D00F3" w:rsidRPr="00862453">
              <w:rPr>
                <w:bCs/>
                <w:lang w:val="es-419"/>
              </w:rPr>
              <w:t xml:space="preserve">concibió </w:t>
            </w:r>
            <w:r w:rsidRPr="00862453">
              <w:rPr>
                <w:bCs/>
                <w:lang w:val="es-419"/>
              </w:rPr>
              <w:t xml:space="preserve">como una herramienta </w:t>
            </w:r>
            <w:r w:rsidR="00727BF0" w:rsidRPr="00862453">
              <w:rPr>
                <w:bCs/>
                <w:lang w:val="es-419"/>
              </w:rPr>
              <w:t>integral</w:t>
            </w:r>
            <w:r w:rsidRPr="00862453">
              <w:rPr>
                <w:bCs/>
                <w:lang w:val="es-419"/>
              </w:rPr>
              <w:t xml:space="preserve"> con opciones </w:t>
            </w:r>
            <w:r w:rsidR="003D00F3" w:rsidRPr="00862453">
              <w:rPr>
                <w:bCs/>
                <w:lang w:val="es-419"/>
              </w:rPr>
              <w:t>jurídicas</w:t>
            </w:r>
            <w:r w:rsidRPr="00862453">
              <w:rPr>
                <w:bCs/>
                <w:lang w:val="es-419"/>
              </w:rPr>
              <w:t xml:space="preserve">. Su carácter introductorio y representativo permitió </w:t>
            </w:r>
            <w:r w:rsidR="003D00F3" w:rsidRPr="00862453">
              <w:rPr>
                <w:bCs/>
                <w:lang w:val="es-419"/>
              </w:rPr>
              <w:t>que se usara para abordar diversos temas en las</w:t>
            </w:r>
            <w:r w:rsidRPr="00862453">
              <w:rPr>
                <w:bCs/>
                <w:lang w:val="es-419"/>
              </w:rPr>
              <w:t xml:space="preserve"> diferentes actividades </w:t>
            </w:r>
            <w:r w:rsidR="003D00F3" w:rsidRPr="00862453">
              <w:rPr>
                <w:bCs/>
                <w:lang w:val="es-419"/>
              </w:rPr>
              <w:t>que se llevaron a cabo en el marco del proyecto</w:t>
            </w:r>
            <w:r w:rsidRPr="00862453">
              <w:rPr>
                <w:bCs/>
                <w:lang w:val="es-419"/>
              </w:rPr>
              <w:t>.</w:t>
            </w:r>
          </w:p>
          <w:p w14:paraId="560C30CF" w14:textId="77CFB41C" w:rsidR="00A276CB" w:rsidRPr="00862453" w:rsidRDefault="003D00F3" w:rsidP="003D00F3">
            <w:pPr>
              <w:pStyle w:val="TableParagraph"/>
              <w:spacing w:before="74"/>
              <w:ind w:left="713" w:right="805"/>
              <w:rPr>
                <w:bCs/>
                <w:lang w:val="es-419"/>
              </w:rPr>
            </w:pPr>
            <w:r w:rsidRPr="00862453">
              <w:rPr>
                <w:bCs/>
                <w:lang w:val="es-419"/>
              </w:rPr>
              <w:t>Est</w:t>
            </w:r>
            <w:r w:rsidR="00A276CB" w:rsidRPr="00862453">
              <w:rPr>
                <w:bCs/>
                <w:lang w:val="es-419"/>
              </w:rPr>
              <w:t xml:space="preserve">a herramienta </w:t>
            </w:r>
            <w:r w:rsidRPr="00862453">
              <w:rPr>
                <w:bCs/>
                <w:lang w:val="es-419"/>
              </w:rPr>
              <w:t>registró 1.241 descargas y recibió una valoración positiva del </w:t>
            </w:r>
            <w:r w:rsidR="00A276CB" w:rsidRPr="00862453">
              <w:rPr>
                <w:bCs/>
                <w:lang w:val="es-419"/>
              </w:rPr>
              <w:t xml:space="preserve">96% de los participantes. </w:t>
            </w:r>
          </w:p>
          <w:p w14:paraId="05499F12" w14:textId="77777777" w:rsidR="004304CA" w:rsidRPr="00862453" w:rsidRDefault="004304CA" w:rsidP="00F300C4">
            <w:pPr>
              <w:pStyle w:val="TableParagraph"/>
              <w:spacing w:before="74"/>
              <w:ind w:left="720" w:right="805"/>
              <w:rPr>
                <w:bCs/>
                <w:lang w:val="es-419"/>
              </w:rPr>
            </w:pPr>
          </w:p>
          <w:p w14:paraId="5F15E386" w14:textId="6623FCB4" w:rsidR="003C6848" w:rsidRPr="00862453" w:rsidRDefault="003C6848" w:rsidP="004304CA">
            <w:pPr>
              <w:pStyle w:val="TableParagraph"/>
              <w:numPr>
                <w:ilvl w:val="0"/>
                <w:numId w:val="30"/>
              </w:numPr>
              <w:spacing w:before="74"/>
              <w:ind w:right="805"/>
              <w:rPr>
                <w:bCs/>
                <w:lang w:val="es-419"/>
              </w:rPr>
            </w:pPr>
            <w:r w:rsidRPr="00862453">
              <w:rPr>
                <w:bCs/>
                <w:lang w:val="es-419"/>
              </w:rPr>
              <w:t xml:space="preserve">La </w:t>
            </w:r>
            <w:hyperlink r:id="rId23" w:history="1">
              <w:r w:rsidRPr="00862453">
                <w:rPr>
                  <w:rStyle w:val="Hyperlink"/>
                  <w:bCs/>
                  <w:lang w:val="es-419"/>
                </w:rPr>
                <w:t>plataforma en línea</w:t>
              </w:r>
            </w:hyperlink>
            <w:r w:rsidRPr="00862453">
              <w:rPr>
                <w:bCs/>
                <w:lang w:val="es-419"/>
              </w:rPr>
              <w:t xml:space="preserve"> se puso a disposición de los desarrolladores de los países beneficiarios y seguirá sirviendo de foro de debate sobre aspectos </w:t>
            </w:r>
            <w:r w:rsidR="00D74028" w:rsidRPr="00862453">
              <w:rPr>
                <w:bCs/>
                <w:lang w:val="es-419"/>
              </w:rPr>
              <w:t>que interesan a</w:t>
            </w:r>
            <w:r w:rsidRPr="00862453">
              <w:rPr>
                <w:bCs/>
                <w:lang w:val="es-419"/>
              </w:rPr>
              <w:t xml:space="preserve"> la comunidad de aplicaciones móviles</w:t>
            </w:r>
            <w:r w:rsidR="00D74028" w:rsidRPr="00862453">
              <w:rPr>
                <w:bCs/>
                <w:lang w:val="es-419"/>
              </w:rPr>
              <w:t>,</w:t>
            </w:r>
            <w:r w:rsidRPr="00862453">
              <w:rPr>
                <w:bCs/>
                <w:lang w:val="es-419"/>
              </w:rPr>
              <w:t xml:space="preserve"> incluso </w:t>
            </w:r>
            <w:r w:rsidR="00D74028" w:rsidRPr="00862453">
              <w:rPr>
                <w:bCs/>
                <w:lang w:val="es-419"/>
              </w:rPr>
              <w:t>una vez finalizado el</w:t>
            </w:r>
            <w:r w:rsidRPr="00862453">
              <w:rPr>
                <w:bCs/>
                <w:lang w:val="es-419"/>
              </w:rPr>
              <w:t xml:space="preserve"> proyecto. El</w:t>
            </w:r>
            <w:r w:rsidR="0032795C" w:rsidRPr="00862453">
              <w:rPr>
                <w:bCs/>
                <w:lang w:val="es-419"/>
              </w:rPr>
              <w:t> </w:t>
            </w:r>
            <w:r w:rsidRPr="00862453">
              <w:rPr>
                <w:bCs/>
                <w:lang w:val="es-419"/>
              </w:rPr>
              <w:t xml:space="preserve">95% de los participantes valoró positivamente la plataforma. </w:t>
            </w:r>
          </w:p>
          <w:p w14:paraId="5B4ACC81" w14:textId="77777777" w:rsidR="004304CA" w:rsidRPr="00862453" w:rsidRDefault="004304CA" w:rsidP="00F300C4">
            <w:pPr>
              <w:pStyle w:val="TableParagraph"/>
              <w:spacing w:before="74"/>
              <w:ind w:right="805"/>
              <w:rPr>
                <w:bCs/>
                <w:lang w:val="es-419"/>
              </w:rPr>
            </w:pPr>
          </w:p>
          <w:p w14:paraId="0E19579A" w14:textId="3F5B61EA" w:rsidR="00392F69" w:rsidRPr="00862453" w:rsidRDefault="00E72224" w:rsidP="00392F69">
            <w:pPr>
              <w:pStyle w:val="TableParagraph"/>
              <w:numPr>
                <w:ilvl w:val="0"/>
                <w:numId w:val="30"/>
              </w:numPr>
              <w:spacing w:before="74"/>
              <w:ind w:right="805"/>
              <w:rPr>
                <w:bCs/>
                <w:lang w:val="es-419"/>
              </w:rPr>
            </w:pPr>
            <w:r w:rsidRPr="00862453">
              <w:rPr>
                <w:bCs/>
                <w:lang w:val="es-419"/>
              </w:rPr>
              <w:t>En</w:t>
            </w:r>
            <w:r w:rsidR="00392F69" w:rsidRPr="00862453">
              <w:rPr>
                <w:bCs/>
                <w:lang w:val="es-419"/>
              </w:rPr>
              <w:t xml:space="preserve"> el primer año del proyecto se celebraron tres talleres </w:t>
            </w:r>
            <w:r w:rsidR="00F304F3" w:rsidRPr="00862453">
              <w:rPr>
                <w:bCs/>
                <w:lang w:val="es-419"/>
              </w:rPr>
              <w:t xml:space="preserve">presenciales </w:t>
            </w:r>
            <w:r w:rsidR="00392F69" w:rsidRPr="00862453">
              <w:rPr>
                <w:bCs/>
                <w:lang w:val="es-419"/>
              </w:rPr>
              <w:t xml:space="preserve">en los países beneficiarios. </w:t>
            </w:r>
            <w:r w:rsidRPr="00862453">
              <w:rPr>
                <w:bCs/>
                <w:lang w:val="es-419"/>
              </w:rPr>
              <w:t>Durante el resto del período de ejecución, las actividades se llevaron a cabo por Internet, habida cuenta de</w:t>
            </w:r>
            <w:r w:rsidR="00392F69" w:rsidRPr="00862453">
              <w:rPr>
                <w:bCs/>
                <w:lang w:val="es-419"/>
              </w:rPr>
              <w:t xml:space="preserve"> las restricciones de viaje</w:t>
            </w:r>
            <w:r w:rsidRPr="00862453">
              <w:rPr>
                <w:bCs/>
                <w:lang w:val="es-419"/>
              </w:rPr>
              <w:t>.</w:t>
            </w:r>
          </w:p>
          <w:p w14:paraId="7D427A78" w14:textId="03EA4078" w:rsidR="00392F69" w:rsidRPr="00862453" w:rsidRDefault="00392F69" w:rsidP="00392F69">
            <w:pPr>
              <w:pStyle w:val="TableParagraph"/>
              <w:spacing w:before="74"/>
              <w:ind w:left="713" w:right="805"/>
              <w:rPr>
                <w:bCs/>
                <w:lang w:val="es-419"/>
              </w:rPr>
            </w:pPr>
            <w:r w:rsidRPr="00862453">
              <w:rPr>
                <w:bCs/>
                <w:lang w:val="es-419"/>
              </w:rPr>
              <w:t xml:space="preserve">El número total de talleres y seminarios web por país beneficiario fue: </w:t>
            </w:r>
            <w:r w:rsidR="00E72224" w:rsidRPr="00862453">
              <w:rPr>
                <w:bCs/>
                <w:lang w:val="es-419"/>
              </w:rPr>
              <w:t xml:space="preserve">cinco </w:t>
            </w:r>
            <w:r w:rsidRPr="00862453">
              <w:rPr>
                <w:bCs/>
                <w:lang w:val="es-419"/>
              </w:rPr>
              <w:t>en Ken</w:t>
            </w:r>
            <w:r w:rsidR="00D54E8F">
              <w:rPr>
                <w:bCs/>
                <w:lang w:val="es-419"/>
              </w:rPr>
              <w:t>y</w:t>
            </w:r>
            <w:r w:rsidRPr="00862453">
              <w:rPr>
                <w:bCs/>
                <w:lang w:val="es-419"/>
              </w:rPr>
              <w:t xml:space="preserve">a; </w:t>
            </w:r>
            <w:r w:rsidR="00E72224" w:rsidRPr="00862453">
              <w:rPr>
                <w:bCs/>
                <w:lang w:val="es-419"/>
              </w:rPr>
              <w:t xml:space="preserve">siete </w:t>
            </w:r>
            <w:r w:rsidRPr="00862453">
              <w:rPr>
                <w:bCs/>
                <w:lang w:val="es-419"/>
              </w:rPr>
              <w:t xml:space="preserve">en Filipinas; y </w:t>
            </w:r>
            <w:r w:rsidR="00E72224" w:rsidRPr="00862453">
              <w:rPr>
                <w:bCs/>
                <w:lang w:val="es-419"/>
              </w:rPr>
              <w:t xml:space="preserve">cuatro </w:t>
            </w:r>
            <w:r w:rsidRPr="00862453">
              <w:rPr>
                <w:bCs/>
                <w:lang w:val="es-419"/>
              </w:rPr>
              <w:t xml:space="preserve">en Trinidad y </w:t>
            </w:r>
            <w:r w:rsidR="00C40DFF" w:rsidRPr="00862453">
              <w:rPr>
                <w:bCs/>
                <w:lang w:val="es-419"/>
              </w:rPr>
              <w:t>Tobago</w:t>
            </w:r>
            <w:r w:rsidRPr="00862453">
              <w:rPr>
                <w:bCs/>
                <w:lang w:val="es-419"/>
              </w:rPr>
              <w:t>.</w:t>
            </w:r>
          </w:p>
          <w:p w14:paraId="2A82C914" w14:textId="7CC42D4F" w:rsidR="004304CA" w:rsidRPr="00862453" w:rsidRDefault="00A125AE" w:rsidP="00E72224">
            <w:pPr>
              <w:pStyle w:val="TableParagraph"/>
              <w:spacing w:before="74"/>
              <w:ind w:left="713" w:right="805"/>
              <w:rPr>
                <w:bCs/>
                <w:lang w:val="es-419"/>
              </w:rPr>
            </w:pPr>
            <w:r w:rsidRPr="00862453">
              <w:rPr>
                <w:bCs/>
                <w:lang w:val="es-419"/>
              </w:rPr>
              <w:t>Las mujeres representaron el</w:t>
            </w:r>
            <w:r w:rsidR="00E72224" w:rsidRPr="00862453">
              <w:rPr>
                <w:bCs/>
                <w:lang w:val="es-419"/>
              </w:rPr>
              <w:t> </w:t>
            </w:r>
            <w:r w:rsidR="00392F69" w:rsidRPr="00862453">
              <w:rPr>
                <w:bCs/>
                <w:lang w:val="es-419"/>
              </w:rPr>
              <w:t>54,67% de los participantes en estas actividades</w:t>
            </w:r>
            <w:r w:rsidRPr="00862453">
              <w:rPr>
                <w:bCs/>
                <w:lang w:val="es-419"/>
              </w:rPr>
              <w:t>,</w:t>
            </w:r>
            <w:r w:rsidR="00392F69" w:rsidRPr="00862453">
              <w:rPr>
                <w:bCs/>
                <w:lang w:val="es-419"/>
              </w:rPr>
              <w:t xml:space="preserve"> y el</w:t>
            </w:r>
            <w:r w:rsidR="00E72224" w:rsidRPr="00862453">
              <w:rPr>
                <w:bCs/>
                <w:lang w:val="es-419"/>
              </w:rPr>
              <w:t> </w:t>
            </w:r>
            <w:r w:rsidR="00392F69" w:rsidRPr="00862453">
              <w:rPr>
                <w:bCs/>
                <w:lang w:val="es-419"/>
              </w:rPr>
              <w:t xml:space="preserve">91% de </w:t>
            </w:r>
            <w:r w:rsidRPr="00862453">
              <w:rPr>
                <w:bCs/>
                <w:lang w:val="es-419"/>
              </w:rPr>
              <w:t>estos</w:t>
            </w:r>
            <w:r w:rsidR="00392F69" w:rsidRPr="00862453">
              <w:rPr>
                <w:bCs/>
                <w:lang w:val="es-419"/>
              </w:rPr>
              <w:t xml:space="preserve"> valor</w:t>
            </w:r>
            <w:r w:rsidR="00F304F3" w:rsidRPr="00862453">
              <w:rPr>
                <w:bCs/>
                <w:lang w:val="es-419"/>
              </w:rPr>
              <w:t>ó</w:t>
            </w:r>
            <w:r w:rsidR="00392F69" w:rsidRPr="00862453">
              <w:rPr>
                <w:bCs/>
                <w:lang w:val="es-419"/>
              </w:rPr>
              <w:t xml:space="preserve"> positivamente </w:t>
            </w:r>
            <w:r w:rsidR="00E72224" w:rsidRPr="00862453">
              <w:rPr>
                <w:bCs/>
                <w:lang w:val="es-419"/>
              </w:rPr>
              <w:t>los talleres y los seminarios web</w:t>
            </w:r>
            <w:r w:rsidR="004304CA" w:rsidRPr="00862453">
              <w:rPr>
                <w:bCs/>
                <w:lang w:val="es-419"/>
              </w:rPr>
              <w:t>.</w:t>
            </w:r>
          </w:p>
          <w:p w14:paraId="7668CF7E" w14:textId="77777777" w:rsidR="004304CA" w:rsidRPr="00862453" w:rsidRDefault="004304CA" w:rsidP="00F300C4">
            <w:pPr>
              <w:pStyle w:val="TableParagraph"/>
              <w:spacing w:before="74"/>
              <w:ind w:left="720" w:right="805"/>
              <w:rPr>
                <w:bCs/>
                <w:lang w:val="es-419"/>
              </w:rPr>
            </w:pPr>
          </w:p>
          <w:p w14:paraId="437901BF" w14:textId="0D0B348D" w:rsidR="00392F69" w:rsidRPr="00862453" w:rsidRDefault="00BD4D2C" w:rsidP="00F300C4">
            <w:pPr>
              <w:pStyle w:val="TableParagraph"/>
              <w:spacing w:before="74"/>
              <w:ind w:right="805"/>
              <w:rPr>
                <w:bCs/>
                <w:lang w:val="es-419"/>
              </w:rPr>
            </w:pPr>
            <w:r w:rsidRPr="00862453">
              <w:rPr>
                <w:bCs/>
                <w:lang w:val="es-419"/>
              </w:rPr>
              <w:t>Los coordinadores celebraron</w:t>
            </w:r>
            <w:r w:rsidR="00EC657B" w:rsidRPr="00862453">
              <w:rPr>
                <w:bCs/>
                <w:lang w:val="es-419"/>
              </w:rPr>
              <w:t xml:space="preserve"> una única reunión de coordinación</w:t>
            </w:r>
            <w:r w:rsidRPr="00862453">
              <w:rPr>
                <w:bCs/>
                <w:lang w:val="es-419"/>
              </w:rPr>
              <w:t xml:space="preserve">, </w:t>
            </w:r>
            <w:r w:rsidR="00EC657B" w:rsidRPr="00862453">
              <w:rPr>
                <w:bCs/>
                <w:lang w:val="es-419"/>
              </w:rPr>
              <w:t xml:space="preserve">en Ginebra, </w:t>
            </w:r>
            <w:r w:rsidR="00392F69" w:rsidRPr="00862453">
              <w:rPr>
                <w:bCs/>
                <w:lang w:val="es-419"/>
              </w:rPr>
              <w:t xml:space="preserve">en 2019. A lo largo de la ejecución del proyecto, </w:t>
            </w:r>
            <w:r w:rsidR="003130BD" w:rsidRPr="00862453">
              <w:rPr>
                <w:bCs/>
                <w:lang w:val="es-419"/>
              </w:rPr>
              <w:t>se celebraron</w:t>
            </w:r>
            <w:r w:rsidR="00392F69" w:rsidRPr="00862453">
              <w:rPr>
                <w:bCs/>
                <w:lang w:val="es-419"/>
              </w:rPr>
              <w:t xml:space="preserve"> </w:t>
            </w:r>
            <w:r w:rsidR="003130BD" w:rsidRPr="00862453">
              <w:rPr>
                <w:bCs/>
                <w:lang w:val="es-419"/>
              </w:rPr>
              <w:t xml:space="preserve">con regularidad (una vez al mes o cada dos meses) </w:t>
            </w:r>
            <w:r w:rsidR="00392F69" w:rsidRPr="00862453">
              <w:rPr>
                <w:bCs/>
                <w:lang w:val="es-419"/>
              </w:rPr>
              <w:t xml:space="preserve">reuniones de coordinación </w:t>
            </w:r>
            <w:r w:rsidR="00ED43AD" w:rsidRPr="00862453">
              <w:rPr>
                <w:bCs/>
                <w:lang w:val="es-419"/>
              </w:rPr>
              <w:t>o para</w:t>
            </w:r>
            <w:r w:rsidR="003130BD" w:rsidRPr="00862453">
              <w:rPr>
                <w:bCs/>
                <w:lang w:val="es-419"/>
              </w:rPr>
              <w:t xml:space="preserve"> examinar</w:t>
            </w:r>
            <w:r w:rsidR="00392F69" w:rsidRPr="00862453">
              <w:rPr>
                <w:bCs/>
                <w:lang w:val="es-419"/>
              </w:rPr>
              <w:t xml:space="preserve"> </w:t>
            </w:r>
            <w:r w:rsidR="003130BD" w:rsidRPr="00862453">
              <w:rPr>
                <w:bCs/>
                <w:lang w:val="es-419"/>
              </w:rPr>
              <w:t>las actividades subsiguientes</w:t>
            </w:r>
            <w:r w:rsidR="00392F69" w:rsidRPr="00862453">
              <w:rPr>
                <w:bCs/>
                <w:lang w:val="es-419"/>
              </w:rPr>
              <w:t xml:space="preserve">. </w:t>
            </w:r>
            <w:r w:rsidR="00ED43AD" w:rsidRPr="00862453">
              <w:rPr>
                <w:bCs/>
                <w:lang w:val="es-419"/>
              </w:rPr>
              <w:t>Est</w:t>
            </w:r>
            <w:r w:rsidR="00392F69" w:rsidRPr="00862453">
              <w:rPr>
                <w:bCs/>
                <w:lang w:val="es-419"/>
              </w:rPr>
              <w:t xml:space="preserve">as reuniones </w:t>
            </w:r>
            <w:r w:rsidR="003130BD" w:rsidRPr="00862453">
              <w:rPr>
                <w:bCs/>
                <w:lang w:val="es-419"/>
              </w:rPr>
              <w:t>resultaron productivas</w:t>
            </w:r>
            <w:r w:rsidR="00392F69" w:rsidRPr="00862453">
              <w:rPr>
                <w:bCs/>
                <w:lang w:val="es-419"/>
              </w:rPr>
              <w:t xml:space="preserve"> y </w:t>
            </w:r>
            <w:r w:rsidR="003130BD" w:rsidRPr="00862453">
              <w:rPr>
                <w:bCs/>
                <w:lang w:val="es-419"/>
              </w:rPr>
              <w:t xml:space="preserve">facilitaron la rápida adopción de </w:t>
            </w:r>
            <w:r w:rsidR="00392F69" w:rsidRPr="00862453">
              <w:rPr>
                <w:bCs/>
                <w:lang w:val="es-419"/>
              </w:rPr>
              <w:t xml:space="preserve">decisiones </w:t>
            </w:r>
            <w:r w:rsidR="003130BD" w:rsidRPr="00862453">
              <w:rPr>
                <w:bCs/>
                <w:lang w:val="es-419"/>
              </w:rPr>
              <w:t>respecto de</w:t>
            </w:r>
            <w:r w:rsidR="00392F69" w:rsidRPr="00862453">
              <w:rPr>
                <w:bCs/>
                <w:lang w:val="es-419"/>
              </w:rPr>
              <w:t xml:space="preserve"> la ejecución del proyecto. </w:t>
            </w:r>
            <w:r w:rsidR="00ED43AD" w:rsidRPr="00862453">
              <w:rPr>
                <w:bCs/>
                <w:lang w:val="es-419"/>
              </w:rPr>
              <w:t xml:space="preserve">Durante </w:t>
            </w:r>
            <w:r w:rsidR="006014DE" w:rsidRPr="00862453">
              <w:rPr>
                <w:bCs/>
                <w:lang w:val="es-419"/>
              </w:rPr>
              <w:t>todo ese tiempo</w:t>
            </w:r>
            <w:r w:rsidR="00ED43AD" w:rsidRPr="00862453">
              <w:rPr>
                <w:bCs/>
                <w:lang w:val="es-419"/>
              </w:rPr>
              <w:t>, l</w:t>
            </w:r>
            <w:r w:rsidRPr="00862453">
              <w:rPr>
                <w:bCs/>
                <w:lang w:val="es-419"/>
              </w:rPr>
              <w:t xml:space="preserve">a participación femenina </w:t>
            </w:r>
            <w:r w:rsidR="00ED43AD" w:rsidRPr="00862453">
              <w:rPr>
                <w:bCs/>
                <w:lang w:val="es-419"/>
              </w:rPr>
              <w:t xml:space="preserve">en dichas reuniones </w:t>
            </w:r>
            <w:r w:rsidRPr="00862453">
              <w:rPr>
                <w:bCs/>
                <w:lang w:val="es-419"/>
              </w:rPr>
              <w:t>fue de un </w:t>
            </w:r>
            <w:r w:rsidR="003130BD" w:rsidRPr="00862453">
              <w:rPr>
                <w:bCs/>
                <w:lang w:val="es-419"/>
              </w:rPr>
              <w:t>30%</w:t>
            </w:r>
            <w:r w:rsidRPr="00862453">
              <w:rPr>
                <w:bCs/>
                <w:lang w:val="es-419"/>
              </w:rPr>
              <w:t>, en promedio.</w:t>
            </w:r>
          </w:p>
          <w:p w14:paraId="77A73677" w14:textId="77777777" w:rsidR="004304CA" w:rsidRPr="00862453" w:rsidRDefault="004304CA" w:rsidP="00F300C4">
            <w:pPr>
              <w:pStyle w:val="TableParagraph"/>
              <w:spacing w:before="74"/>
              <w:ind w:right="805"/>
              <w:rPr>
                <w:bCs/>
                <w:lang w:val="es-419"/>
              </w:rPr>
            </w:pPr>
          </w:p>
          <w:p w14:paraId="11DB5ED2" w14:textId="45BDA661" w:rsidR="00392F69" w:rsidRPr="00862453" w:rsidRDefault="00392F69" w:rsidP="00F300C4">
            <w:pPr>
              <w:pStyle w:val="TableParagraph"/>
              <w:spacing w:before="74"/>
              <w:ind w:right="805"/>
              <w:rPr>
                <w:bCs/>
                <w:lang w:val="es-419"/>
              </w:rPr>
            </w:pPr>
            <w:r w:rsidRPr="00862453">
              <w:rPr>
                <w:bCs/>
                <w:lang w:val="es-419"/>
              </w:rPr>
              <w:t xml:space="preserve">Además de los </w:t>
            </w:r>
            <w:r w:rsidR="006014DE" w:rsidRPr="00862453">
              <w:rPr>
                <w:bCs/>
                <w:lang w:val="es-419"/>
              </w:rPr>
              <w:t>productos</w:t>
            </w:r>
            <w:r w:rsidRPr="00862453">
              <w:rPr>
                <w:bCs/>
                <w:lang w:val="es-419"/>
              </w:rPr>
              <w:t xml:space="preserve"> previstos y con el fin de optimizar el uso de los recursos, durante el proyecto se desarrollaron tres herramientas adicionales</w:t>
            </w:r>
            <w:r w:rsidR="006014DE" w:rsidRPr="00862453">
              <w:rPr>
                <w:bCs/>
                <w:lang w:val="es-419"/>
              </w:rPr>
              <w:t>,</w:t>
            </w:r>
            <w:r w:rsidR="0029422B" w:rsidRPr="00862453">
              <w:rPr>
                <w:bCs/>
                <w:lang w:val="es-419"/>
              </w:rPr>
              <w:t xml:space="preserve"> </w:t>
            </w:r>
            <w:r w:rsidR="006014DE" w:rsidRPr="00862453">
              <w:rPr>
                <w:bCs/>
                <w:lang w:val="es-419"/>
              </w:rPr>
              <w:t>de conformidad con los deseos expresados por los beneficiarios,</w:t>
            </w:r>
            <w:r w:rsidRPr="00862453">
              <w:rPr>
                <w:bCs/>
                <w:lang w:val="es-419"/>
              </w:rPr>
              <w:t xml:space="preserve"> a saber</w:t>
            </w:r>
            <w:r w:rsidR="006014DE" w:rsidRPr="00862453">
              <w:rPr>
                <w:bCs/>
                <w:lang w:val="es-419"/>
              </w:rPr>
              <w:t>:</w:t>
            </w:r>
          </w:p>
          <w:p w14:paraId="37F0DCD4" w14:textId="77777777" w:rsidR="004304CA" w:rsidRPr="00862453" w:rsidRDefault="004304CA" w:rsidP="00F300C4">
            <w:pPr>
              <w:pStyle w:val="TableParagraph"/>
              <w:spacing w:before="74"/>
              <w:ind w:right="805"/>
              <w:rPr>
                <w:bCs/>
                <w:lang w:val="es-419"/>
              </w:rPr>
            </w:pPr>
          </w:p>
          <w:p w14:paraId="2E548131" w14:textId="0DA280A7" w:rsidR="004304CA" w:rsidRPr="00862453" w:rsidRDefault="00496DF5" w:rsidP="004304CA">
            <w:pPr>
              <w:pStyle w:val="TableParagraph"/>
              <w:numPr>
                <w:ilvl w:val="0"/>
                <w:numId w:val="33"/>
              </w:numPr>
              <w:spacing w:before="74"/>
              <w:ind w:right="805"/>
              <w:rPr>
                <w:bCs/>
                <w:lang w:val="es-419"/>
              </w:rPr>
            </w:pPr>
            <w:r w:rsidRPr="00862453">
              <w:rPr>
                <w:bCs/>
                <w:lang w:val="es-419"/>
              </w:rPr>
              <w:t>u</w:t>
            </w:r>
            <w:r w:rsidR="006014DE" w:rsidRPr="00862453">
              <w:rPr>
                <w:bCs/>
                <w:lang w:val="es-419"/>
              </w:rPr>
              <w:t xml:space="preserve">na </w:t>
            </w:r>
            <w:hyperlink r:id="rId24" w:history="1">
              <w:r w:rsidRPr="00862453">
                <w:rPr>
                  <w:rStyle w:val="Hyperlink"/>
                  <w:bCs/>
                  <w:lang w:val="es-419"/>
                </w:rPr>
                <w:t>herramienta</w:t>
              </w:r>
              <w:r w:rsidR="006014DE" w:rsidRPr="00862453">
                <w:rPr>
                  <w:rStyle w:val="Hyperlink"/>
                  <w:bCs/>
                  <w:lang w:val="es-419"/>
                </w:rPr>
                <w:t xml:space="preserve"> sobre la financiación de aplicaciones móviles basadas en la propiedad intelectual</w:t>
              </w:r>
            </w:hyperlink>
            <w:r w:rsidR="006014DE" w:rsidRPr="00862453">
              <w:rPr>
                <w:bCs/>
                <w:lang w:val="es-419"/>
              </w:rPr>
              <w:t>;</w:t>
            </w:r>
          </w:p>
          <w:p w14:paraId="7AECF5E9" w14:textId="2E2E326D" w:rsidR="004304CA" w:rsidRPr="00862453" w:rsidRDefault="00496DF5" w:rsidP="004304CA">
            <w:pPr>
              <w:pStyle w:val="TableParagraph"/>
              <w:numPr>
                <w:ilvl w:val="0"/>
                <w:numId w:val="33"/>
              </w:numPr>
              <w:spacing w:before="74"/>
              <w:ind w:right="805"/>
              <w:rPr>
                <w:bCs/>
                <w:lang w:val="es-419"/>
              </w:rPr>
            </w:pPr>
            <w:r w:rsidRPr="00862453">
              <w:rPr>
                <w:bCs/>
                <w:lang w:val="es-419"/>
              </w:rPr>
              <w:t xml:space="preserve">una </w:t>
            </w:r>
            <w:hyperlink r:id="rId25" w:history="1">
              <w:r w:rsidRPr="00862453">
                <w:rPr>
                  <w:rStyle w:val="Hyperlink"/>
                  <w:bCs/>
                  <w:lang w:val="es-419"/>
                </w:rPr>
                <w:t>herramienta sobre programas de código abierto para aplicaciones móviles</w:t>
              </w:r>
            </w:hyperlink>
            <w:r w:rsidRPr="00862453">
              <w:rPr>
                <w:bCs/>
                <w:lang w:val="es-419"/>
              </w:rPr>
              <w:t>; y</w:t>
            </w:r>
            <w:r w:rsidR="004304CA" w:rsidRPr="00862453">
              <w:rPr>
                <w:bCs/>
                <w:lang w:val="es-419"/>
              </w:rPr>
              <w:t xml:space="preserve"> </w:t>
            </w:r>
          </w:p>
          <w:p w14:paraId="575B9FB8" w14:textId="3D515C6F" w:rsidR="004304CA" w:rsidRPr="00862453" w:rsidRDefault="00496DF5" w:rsidP="00662293">
            <w:pPr>
              <w:pStyle w:val="TableParagraph"/>
              <w:numPr>
                <w:ilvl w:val="0"/>
                <w:numId w:val="33"/>
              </w:numPr>
              <w:spacing w:before="74"/>
              <w:ind w:right="805"/>
              <w:rPr>
                <w:bCs/>
                <w:lang w:val="es-419"/>
              </w:rPr>
            </w:pPr>
            <w:r w:rsidRPr="00862453">
              <w:rPr>
                <w:bCs/>
                <w:lang w:val="es-419"/>
              </w:rPr>
              <w:t xml:space="preserve">una </w:t>
            </w:r>
            <w:hyperlink r:id="rId26" w:history="1">
              <w:r w:rsidRPr="00862453">
                <w:rPr>
                  <w:rStyle w:val="Hyperlink"/>
                  <w:bCs/>
                  <w:lang w:val="es-419"/>
                </w:rPr>
                <w:t>guía sobre la protección de datos en las aplicaciones móviles</w:t>
              </w:r>
            </w:hyperlink>
            <w:r w:rsidRPr="00862453">
              <w:rPr>
                <w:bCs/>
                <w:lang w:val="es-419"/>
              </w:rPr>
              <w:t>.</w:t>
            </w:r>
            <w:r w:rsidR="004304CA" w:rsidRPr="00862453">
              <w:rPr>
                <w:bCs/>
                <w:lang w:val="es-419"/>
              </w:rPr>
              <w:t xml:space="preserve"> </w:t>
            </w:r>
          </w:p>
          <w:p w14:paraId="2E73D47F" w14:textId="77777777" w:rsidR="00496DF5" w:rsidRPr="00862453" w:rsidRDefault="00496DF5" w:rsidP="00496DF5">
            <w:pPr>
              <w:pStyle w:val="TableParagraph"/>
              <w:spacing w:before="74"/>
              <w:ind w:right="805"/>
              <w:rPr>
                <w:bCs/>
                <w:lang w:val="es-419"/>
              </w:rPr>
            </w:pPr>
          </w:p>
          <w:p w14:paraId="43323D52" w14:textId="0E81FB4A" w:rsidR="00FD0C24" w:rsidRPr="00862453" w:rsidRDefault="00FD0C24" w:rsidP="00FD0C24">
            <w:pPr>
              <w:pStyle w:val="TableParagraph"/>
              <w:spacing w:before="74"/>
              <w:ind w:right="805"/>
              <w:rPr>
                <w:bCs/>
                <w:lang w:val="es-419"/>
              </w:rPr>
            </w:pPr>
            <w:r w:rsidRPr="00862453">
              <w:rPr>
                <w:bCs/>
                <w:lang w:val="es-419"/>
              </w:rPr>
              <w:t xml:space="preserve">Las tres herramientas abordan cuestiones de </w:t>
            </w:r>
            <w:r w:rsidR="00496DF5" w:rsidRPr="00862453">
              <w:rPr>
                <w:bCs/>
                <w:lang w:val="es-419"/>
              </w:rPr>
              <w:t>suma transcendencia</w:t>
            </w:r>
            <w:r w:rsidRPr="00862453">
              <w:rPr>
                <w:bCs/>
                <w:lang w:val="es-419"/>
              </w:rPr>
              <w:t xml:space="preserve"> para los desarrolladores de aplicaciones y fueron </w:t>
            </w:r>
            <w:r w:rsidR="00496DF5" w:rsidRPr="00862453">
              <w:rPr>
                <w:bCs/>
                <w:lang w:val="es-419"/>
              </w:rPr>
              <w:t>valoradas positivamente</w:t>
            </w:r>
            <w:r w:rsidRPr="00862453">
              <w:rPr>
                <w:bCs/>
                <w:lang w:val="es-419"/>
              </w:rPr>
              <w:t xml:space="preserve"> por el</w:t>
            </w:r>
            <w:r w:rsidR="00496DF5" w:rsidRPr="00862453">
              <w:rPr>
                <w:bCs/>
                <w:lang w:val="es-419"/>
              </w:rPr>
              <w:t> </w:t>
            </w:r>
            <w:r w:rsidRPr="00862453">
              <w:rPr>
                <w:bCs/>
                <w:lang w:val="es-419"/>
              </w:rPr>
              <w:t>93% de los participantes.</w:t>
            </w:r>
          </w:p>
          <w:p w14:paraId="7ABE6033" w14:textId="37FB111A" w:rsidR="00FD0C24" w:rsidRPr="00862453" w:rsidRDefault="00FD0C24" w:rsidP="00FD0C24">
            <w:pPr>
              <w:pStyle w:val="TableParagraph"/>
              <w:spacing w:before="74"/>
              <w:ind w:right="805"/>
              <w:rPr>
                <w:bCs/>
                <w:lang w:val="es-419"/>
              </w:rPr>
            </w:pPr>
            <w:r w:rsidRPr="00862453">
              <w:rPr>
                <w:bCs/>
                <w:lang w:val="es-419"/>
              </w:rPr>
              <w:t xml:space="preserve">En </w:t>
            </w:r>
            <w:r w:rsidR="00140096" w:rsidRPr="00862453">
              <w:rPr>
                <w:bCs/>
                <w:lang w:val="es-419"/>
              </w:rPr>
              <w:t>lo referente</w:t>
            </w:r>
            <w:r w:rsidRPr="00862453">
              <w:rPr>
                <w:bCs/>
                <w:lang w:val="es-419"/>
              </w:rPr>
              <w:t xml:space="preserve"> a los </w:t>
            </w:r>
            <w:r w:rsidRPr="00862453">
              <w:rPr>
                <w:bCs/>
                <w:u w:val="single"/>
                <w:lang w:val="es-419"/>
              </w:rPr>
              <w:t xml:space="preserve">indicadores de </w:t>
            </w:r>
            <w:r w:rsidR="00140096" w:rsidRPr="00862453">
              <w:rPr>
                <w:bCs/>
                <w:u w:val="single"/>
                <w:lang w:val="es-419"/>
              </w:rPr>
              <w:t>efectos</w:t>
            </w:r>
            <w:r w:rsidRPr="00862453">
              <w:rPr>
                <w:bCs/>
                <w:lang w:val="es-419"/>
              </w:rPr>
              <w:t xml:space="preserve">, el proyecto contribuyó a poner </w:t>
            </w:r>
            <w:r w:rsidR="00140096" w:rsidRPr="00862453">
              <w:rPr>
                <w:bCs/>
                <w:lang w:val="es-419"/>
              </w:rPr>
              <w:t>el acento sobre</w:t>
            </w:r>
            <w:r w:rsidRPr="00862453">
              <w:rPr>
                <w:bCs/>
                <w:lang w:val="es-419"/>
              </w:rPr>
              <w:t xml:space="preserve"> la importancia </w:t>
            </w:r>
            <w:r w:rsidR="00140096" w:rsidRPr="00862453">
              <w:rPr>
                <w:bCs/>
                <w:lang w:val="es-419"/>
              </w:rPr>
              <w:t>que revisten</w:t>
            </w:r>
            <w:r w:rsidRPr="00862453">
              <w:rPr>
                <w:bCs/>
                <w:lang w:val="es-419"/>
              </w:rPr>
              <w:t xml:space="preserve"> las cuestiones de </w:t>
            </w:r>
            <w:r w:rsidR="00140096" w:rsidRPr="00862453">
              <w:rPr>
                <w:bCs/>
                <w:lang w:val="es-419"/>
              </w:rPr>
              <w:t>PI</w:t>
            </w:r>
            <w:r w:rsidRPr="00862453">
              <w:rPr>
                <w:bCs/>
                <w:lang w:val="es-419"/>
              </w:rPr>
              <w:t xml:space="preserve"> </w:t>
            </w:r>
            <w:r w:rsidR="00140096" w:rsidRPr="00862453">
              <w:rPr>
                <w:bCs/>
                <w:lang w:val="es-419"/>
              </w:rPr>
              <w:t>para</w:t>
            </w:r>
            <w:r w:rsidRPr="00862453">
              <w:rPr>
                <w:bCs/>
                <w:lang w:val="es-419"/>
              </w:rPr>
              <w:t xml:space="preserve"> las comunidades de aplicaciones en los países beneficiarios. </w:t>
            </w:r>
            <w:r w:rsidR="00140096" w:rsidRPr="00862453">
              <w:rPr>
                <w:bCs/>
                <w:lang w:val="es-419"/>
              </w:rPr>
              <w:t>En concreto</w:t>
            </w:r>
            <w:r w:rsidRPr="00862453">
              <w:rPr>
                <w:bCs/>
                <w:lang w:val="es-419"/>
              </w:rPr>
              <w:t>:</w:t>
            </w:r>
          </w:p>
          <w:p w14:paraId="737F1DBF" w14:textId="77777777" w:rsidR="004304CA" w:rsidRPr="00862453" w:rsidRDefault="004304CA" w:rsidP="00F300C4">
            <w:pPr>
              <w:pStyle w:val="TableParagraph"/>
              <w:spacing w:before="74"/>
              <w:ind w:right="805"/>
              <w:rPr>
                <w:bCs/>
                <w:lang w:val="es-419"/>
              </w:rPr>
            </w:pPr>
          </w:p>
          <w:p w14:paraId="3D7592A9" w14:textId="3708E947" w:rsidR="008743F2" w:rsidRPr="00862453" w:rsidRDefault="008743F2" w:rsidP="004304CA">
            <w:pPr>
              <w:pStyle w:val="TableParagraph"/>
              <w:numPr>
                <w:ilvl w:val="0"/>
                <w:numId w:val="34"/>
              </w:numPr>
              <w:spacing w:before="74"/>
              <w:ind w:right="805"/>
              <w:rPr>
                <w:bCs/>
                <w:lang w:val="es-419"/>
              </w:rPr>
            </w:pPr>
            <w:r w:rsidRPr="00862453">
              <w:rPr>
                <w:bCs/>
                <w:lang w:val="es-419"/>
              </w:rPr>
              <w:t xml:space="preserve">En los tres países </w:t>
            </w:r>
            <w:r w:rsidR="00A125AE" w:rsidRPr="00862453">
              <w:rPr>
                <w:bCs/>
                <w:lang w:val="es-419"/>
              </w:rPr>
              <w:t>participantes</w:t>
            </w:r>
            <w:r w:rsidRPr="00862453">
              <w:rPr>
                <w:bCs/>
                <w:lang w:val="es-419"/>
              </w:rPr>
              <w:t xml:space="preserve"> hubo empresas que se beneficiaron del proyecto y compartieron sus experiencias positivas en las actividades realizadas </w:t>
            </w:r>
            <w:r w:rsidR="00140096" w:rsidRPr="00862453">
              <w:rPr>
                <w:bCs/>
                <w:lang w:val="es-419"/>
              </w:rPr>
              <w:t>en el marco de su ejecución</w:t>
            </w:r>
            <w:r w:rsidRPr="00862453">
              <w:rPr>
                <w:bCs/>
                <w:lang w:val="es-419"/>
              </w:rPr>
              <w:t>. Entre estas empresas se enc</w:t>
            </w:r>
            <w:r w:rsidR="00140096" w:rsidRPr="00862453">
              <w:rPr>
                <w:bCs/>
                <w:lang w:val="es-419"/>
              </w:rPr>
              <w:t>ontraban</w:t>
            </w:r>
            <w:r w:rsidRPr="00862453">
              <w:rPr>
                <w:bCs/>
                <w:lang w:val="es-419"/>
              </w:rPr>
              <w:t xml:space="preserve"> Bwala Africa (Ken</w:t>
            </w:r>
            <w:r w:rsidR="00D54E8F">
              <w:rPr>
                <w:bCs/>
                <w:lang w:val="es-419"/>
              </w:rPr>
              <w:t>y</w:t>
            </w:r>
            <w:r w:rsidRPr="00862453">
              <w:rPr>
                <w:bCs/>
                <w:lang w:val="es-419"/>
              </w:rPr>
              <w:t>a), De Junction (</w:t>
            </w:r>
            <w:bookmarkStart w:id="5" w:name="_GoBack"/>
            <w:r w:rsidRPr="00862453">
              <w:rPr>
                <w:bCs/>
                <w:lang w:val="es-419"/>
              </w:rPr>
              <w:t>Trinidad</w:t>
            </w:r>
            <w:bookmarkEnd w:id="5"/>
            <w:r w:rsidRPr="00862453">
              <w:rPr>
                <w:bCs/>
                <w:lang w:val="es-419"/>
              </w:rPr>
              <w:t xml:space="preserve"> y </w:t>
            </w:r>
            <w:r w:rsidR="00C40DFF" w:rsidRPr="00862453">
              <w:rPr>
                <w:bCs/>
                <w:lang w:val="es-419"/>
              </w:rPr>
              <w:t>Tobago</w:t>
            </w:r>
            <w:r w:rsidRPr="00862453">
              <w:rPr>
                <w:bCs/>
                <w:lang w:val="es-419"/>
              </w:rPr>
              <w:t>), Hivelabs Technologies y Saklawig (Filipinas).</w:t>
            </w:r>
          </w:p>
          <w:p w14:paraId="5823B9FA" w14:textId="513D5B5B" w:rsidR="008743F2" w:rsidRPr="00862453" w:rsidRDefault="0019528B" w:rsidP="004304CA">
            <w:pPr>
              <w:pStyle w:val="TableParagraph"/>
              <w:numPr>
                <w:ilvl w:val="0"/>
                <w:numId w:val="34"/>
              </w:numPr>
              <w:spacing w:before="74"/>
              <w:ind w:right="805"/>
              <w:rPr>
                <w:bCs/>
                <w:lang w:val="es-419"/>
              </w:rPr>
            </w:pPr>
            <w:r w:rsidRPr="00862453">
              <w:rPr>
                <w:bCs/>
                <w:lang w:val="es-419"/>
              </w:rPr>
              <w:t>Las partes interesadas de los países beneficiarios han expresado a los coordinadores</w:t>
            </w:r>
            <w:r w:rsidR="008743F2" w:rsidRPr="00862453">
              <w:rPr>
                <w:bCs/>
                <w:lang w:val="es-419"/>
              </w:rPr>
              <w:t xml:space="preserve"> </w:t>
            </w:r>
            <w:r w:rsidRPr="00862453">
              <w:rPr>
                <w:bCs/>
                <w:lang w:val="es-419"/>
              </w:rPr>
              <w:t xml:space="preserve">su interés por </w:t>
            </w:r>
            <w:r w:rsidR="00B43175" w:rsidRPr="00862453">
              <w:rPr>
                <w:bCs/>
                <w:lang w:val="es-419"/>
              </w:rPr>
              <w:t>proseguir con la colaboración con otros asociados</w:t>
            </w:r>
            <w:r w:rsidR="00340C3D" w:rsidRPr="00862453">
              <w:rPr>
                <w:bCs/>
                <w:lang w:val="es-419"/>
              </w:rPr>
              <w:t xml:space="preserve"> en ese ámbito</w:t>
            </w:r>
            <w:r w:rsidR="00B43175" w:rsidRPr="00862453">
              <w:rPr>
                <w:bCs/>
                <w:lang w:val="es-419"/>
              </w:rPr>
              <w:t>.</w:t>
            </w:r>
            <w:r w:rsidR="008743F2" w:rsidRPr="00862453">
              <w:rPr>
                <w:bCs/>
                <w:lang w:val="es-419"/>
              </w:rPr>
              <w:t xml:space="preserve"> El </w:t>
            </w:r>
            <w:r w:rsidR="00B43175" w:rsidRPr="00862453">
              <w:rPr>
                <w:bCs/>
                <w:lang w:val="es-419"/>
              </w:rPr>
              <w:t>elevado</w:t>
            </w:r>
            <w:r w:rsidR="008743F2" w:rsidRPr="00862453">
              <w:rPr>
                <w:bCs/>
                <w:lang w:val="es-419"/>
              </w:rPr>
              <w:t xml:space="preserve"> </w:t>
            </w:r>
            <w:r w:rsidR="00B43175" w:rsidRPr="00862453">
              <w:rPr>
                <w:bCs/>
                <w:lang w:val="es-419"/>
              </w:rPr>
              <w:t>índice</w:t>
            </w:r>
            <w:r w:rsidR="008743F2" w:rsidRPr="00862453">
              <w:rPr>
                <w:bCs/>
                <w:lang w:val="es-419"/>
              </w:rPr>
              <w:t xml:space="preserve"> de asistencia a los talleres y seminarios web </w:t>
            </w:r>
            <w:r w:rsidR="00B43175" w:rsidRPr="00862453">
              <w:rPr>
                <w:bCs/>
                <w:lang w:val="es-419"/>
              </w:rPr>
              <w:t>propició</w:t>
            </w:r>
            <w:r w:rsidR="008743F2" w:rsidRPr="00862453">
              <w:rPr>
                <w:bCs/>
                <w:lang w:val="es-419"/>
              </w:rPr>
              <w:t xml:space="preserve"> los debates sobre la formación de asociaciones de aplicaciones móviles en dos de los países beneficiarios. Esto </w:t>
            </w:r>
            <w:r w:rsidR="00340C3D" w:rsidRPr="00862453">
              <w:rPr>
                <w:bCs/>
                <w:lang w:val="es-419"/>
              </w:rPr>
              <w:t>pone de manifiesto</w:t>
            </w:r>
            <w:r w:rsidR="008743F2" w:rsidRPr="00862453">
              <w:rPr>
                <w:bCs/>
                <w:lang w:val="es-419"/>
              </w:rPr>
              <w:t xml:space="preserve"> la necesidad de hacer un seguimiento</w:t>
            </w:r>
            <w:r w:rsidR="00340C3D" w:rsidRPr="00862453">
              <w:rPr>
                <w:bCs/>
                <w:lang w:val="es-419"/>
              </w:rPr>
              <w:t>,</w:t>
            </w:r>
            <w:r w:rsidR="008743F2" w:rsidRPr="00862453">
              <w:rPr>
                <w:bCs/>
                <w:lang w:val="es-419"/>
              </w:rPr>
              <w:t xml:space="preserve"> </w:t>
            </w:r>
            <w:r w:rsidR="00B43175" w:rsidRPr="00862453">
              <w:rPr>
                <w:bCs/>
                <w:lang w:val="es-419"/>
              </w:rPr>
              <w:t>al objeto de</w:t>
            </w:r>
            <w:r w:rsidR="008743F2" w:rsidRPr="00862453">
              <w:rPr>
                <w:bCs/>
                <w:lang w:val="es-419"/>
              </w:rPr>
              <w:t xml:space="preserve"> </w:t>
            </w:r>
            <w:r w:rsidR="00DB4647" w:rsidRPr="00862453">
              <w:rPr>
                <w:bCs/>
                <w:lang w:val="es-419"/>
              </w:rPr>
              <w:t>asegurar</w:t>
            </w:r>
            <w:r w:rsidR="008743F2" w:rsidRPr="00862453">
              <w:rPr>
                <w:bCs/>
                <w:lang w:val="es-419"/>
              </w:rPr>
              <w:t xml:space="preserve"> la sostenibilidad de los </w:t>
            </w:r>
            <w:r w:rsidR="00B43175" w:rsidRPr="00862453">
              <w:rPr>
                <w:bCs/>
                <w:lang w:val="es-419"/>
              </w:rPr>
              <w:t>efectos</w:t>
            </w:r>
            <w:r w:rsidR="008743F2" w:rsidRPr="00862453">
              <w:rPr>
                <w:bCs/>
                <w:lang w:val="es-419"/>
              </w:rPr>
              <w:t xml:space="preserve"> del proyecto.</w:t>
            </w:r>
          </w:p>
          <w:p w14:paraId="1BC3C36A" w14:textId="4F5B1BD6" w:rsidR="004304CA" w:rsidRPr="00862453" w:rsidRDefault="008743F2" w:rsidP="00DB4647">
            <w:pPr>
              <w:pStyle w:val="TableParagraph"/>
              <w:numPr>
                <w:ilvl w:val="0"/>
                <w:numId w:val="34"/>
              </w:numPr>
              <w:spacing w:before="74"/>
              <w:ind w:right="805"/>
              <w:rPr>
                <w:bCs/>
                <w:lang w:val="es-419"/>
              </w:rPr>
            </w:pPr>
            <w:r w:rsidRPr="00862453">
              <w:rPr>
                <w:lang w:val="es-419"/>
              </w:rPr>
              <w:t xml:space="preserve">Los tres países beneficiarios han registrado un aumento en el uso de aplicaciones móviles, lo que sugiere que existe un margen para mejorar el uso de la </w:t>
            </w:r>
            <w:r w:rsidR="00DB4647" w:rsidRPr="00862453">
              <w:rPr>
                <w:lang w:val="es-419"/>
              </w:rPr>
              <w:t>PI</w:t>
            </w:r>
            <w:r w:rsidRPr="00862453">
              <w:rPr>
                <w:lang w:val="es-419"/>
              </w:rPr>
              <w:t xml:space="preserve"> en sus actividades.</w:t>
            </w:r>
          </w:p>
          <w:p w14:paraId="402C686A" w14:textId="77777777" w:rsidR="004304CA" w:rsidRPr="00862453" w:rsidRDefault="004304CA" w:rsidP="00F300C4">
            <w:pPr>
              <w:pStyle w:val="TableParagraph"/>
              <w:spacing w:before="74"/>
              <w:ind w:right="805"/>
              <w:rPr>
                <w:lang w:val="es-419"/>
              </w:rPr>
            </w:pPr>
          </w:p>
        </w:tc>
      </w:tr>
      <w:tr w:rsidR="004304CA" w:rsidRPr="00862453" w14:paraId="38CA1146" w14:textId="77777777" w:rsidTr="00F300C4">
        <w:trPr>
          <w:trHeight w:val="711"/>
        </w:trPr>
        <w:tc>
          <w:tcPr>
            <w:tcW w:w="2401" w:type="dxa"/>
            <w:shd w:val="clear" w:color="auto" w:fill="C6D9F1" w:themeFill="text2" w:themeFillTint="33"/>
          </w:tcPr>
          <w:p w14:paraId="7A68EF66" w14:textId="63725954" w:rsidR="004304CA" w:rsidRPr="00862453" w:rsidRDefault="002C76FC" w:rsidP="00F300C4">
            <w:pPr>
              <w:pStyle w:val="TableParagraph"/>
              <w:spacing w:before="1"/>
              <w:ind w:left="110" w:right="279"/>
              <w:rPr>
                <w:lang w:val="es-419"/>
              </w:rPr>
            </w:pPr>
            <w:r w:rsidRPr="00862453">
              <w:rPr>
                <w:u w:val="single"/>
                <w:lang w:val="es-419"/>
              </w:rPr>
              <w:t>Experiencia adquirida y enseñanzas extraídas</w:t>
            </w:r>
          </w:p>
        </w:tc>
        <w:tc>
          <w:tcPr>
            <w:tcW w:w="6889" w:type="dxa"/>
          </w:tcPr>
          <w:p w14:paraId="4537A874" w14:textId="44136A2D" w:rsidR="008743F2" w:rsidRPr="00862453" w:rsidRDefault="008743F2" w:rsidP="00F300C4">
            <w:pPr>
              <w:pStyle w:val="TableParagraph"/>
              <w:spacing w:before="74"/>
              <w:ind w:right="805"/>
              <w:rPr>
                <w:lang w:val="es-419"/>
              </w:rPr>
            </w:pPr>
            <w:r w:rsidRPr="00862453">
              <w:rPr>
                <w:lang w:val="es-419"/>
              </w:rPr>
              <w:t>A continuación</w:t>
            </w:r>
            <w:r w:rsidR="00DB4647" w:rsidRPr="00862453">
              <w:rPr>
                <w:lang w:val="es-419"/>
              </w:rPr>
              <w:t>,</w:t>
            </w:r>
            <w:r w:rsidRPr="00862453">
              <w:rPr>
                <w:lang w:val="es-419"/>
              </w:rPr>
              <w:t xml:space="preserve"> se exponen las lecciones </w:t>
            </w:r>
            <w:r w:rsidR="00DB4647" w:rsidRPr="00862453">
              <w:rPr>
                <w:lang w:val="es-419"/>
              </w:rPr>
              <w:t>extraídas</w:t>
            </w:r>
            <w:r w:rsidRPr="00862453">
              <w:rPr>
                <w:lang w:val="es-419"/>
              </w:rPr>
              <w:t xml:space="preserve"> </w:t>
            </w:r>
            <w:r w:rsidR="00DB4647" w:rsidRPr="00862453">
              <w:rPr>
                <w:lang w:val="es-419"/>
              </w:rPr>
              <w:t xml:space="preserve">que se han de tener </w:t>
            </w:r>
            <w:r w:rsidRPr="00862453">
              <w:rPr>
                <w:lang w:val="es-419"/>
              </w:rPr>
              <w:t xml:space="preserve">en cuenta </w:t>
            </w:r>
            <w:r w:rsidR="00DB4647" w:rsidRPr="00862453">
              <w:rPr>
                <w:lang w:val="es-419"/>
              </w:rPr>
              <w:t xml:space="preserve">en </w:t>
            </w:r>
            <w:r w:rsidRPr="00862453">
              <w:rPr>
                <w:lang w:val="es-419"/>
              </w:rPr>
              <w:t>futuros proyectos similares:</w:t>
            </w:r>
          </w:p>
          <w:p w14:paraId="0D9F71EE" w14:textId="77777777" w:rsidR="004304CA" w:rsidRPr="00862453" w:rsidRDefault="004304CA" w:rsidP="00F300C4">
            <w:pPr>
              <w:pStyle w:val="TableParagraph"/>
              <w:spacing w:before="74"/>
              <w:ind w:left="109" w:right="805"/>
              <w:rPr>
                <w:lang w:val="es-419"/>
              </w:rPr>
            </w:pPr>
          </w:p>
          <w:p w14:paraId="38E2714E" w14:textId="0502C350" w:rsidR="004304CA" w:rsidRPr="00862453" w:rsidRDefault="008743F2" w:rsidP="00346F42">
            <w:pPr>
              <w:pStyle w:val="TableParagraph"/>
              <w:numPr>
                <w:ilvl w:val="0"/>
                <w:numId w:val="35"/>
              </w:numPr>
              <w:spacing w:before="74"/>
              <w:ind w:left="360" w:right="805"/>
              <w:rPr>
                <w:lang w:val="es-419"/>
              </w:rPr>
            </w:pPr>
            <w:r w:rsidRPr="00862453">
              <w:rPr>
                <w:lang w:val="es-419"/>
              </w:rPr>
              <w:t xml:space="preserve">La interacción periódica con los </w:t>
            </w:r>
            <w:r w:rsidR="00346F42" w:rsidRPr="00862453">
              <w:rPr>
                <w:lang w:val="es-419"/>
              </w:rPr>
              <w:t>coordinadores</w:t>
            </w:r>
            <w:r w:rsidRPr="00862453">
              <w:rPr>
                <w:lang w:val="es-419"/>
              </w:rPr>
              <w:t xml:space="preserve"> del proyecto </w:t>
            </w:r>
            <w:r w:rsidR="00346F42" w:rsidRPr="00862453">
              <w:rPr>
                <w:lang w:val="es-419"/>
              </w:rPr>
              <w:t>reviste suma importancia</w:t>
            </w:r>
            <w:r w:rsidR="007D5746" w:rsidRPr="00862453">
              <w:rPr>
                <w:lang w:val="es-419"/>
              </w:rPr>
              <w:t>,</w:t>
            </w:r>
            <w:r w:rsidRPr="00862453">
              <w:rPr>
                <w:lang w:val="es-419"/>
              </w:rPr>
              <w:t xml:space="preserve"> </w:t>
            </w:r>
            <w:r w:rsidR="00346F42" w:rsidRPr="00862453">
              <w:rPr>
                <w:lang w:val="es-419"/>
              </w:rPr>
              <w:t>pues permite</w:t>
            </w:r>
            <w:r w:rsidRPr="00862453">
              <w:rPr>
                <w:lang w:val="es-419"/>
              </w:rPr>
              <w:t xml:space="preserve"> reaccionar </w:t>
            </w:r>
            <w:r w:rsidR="00346F42" w:rsidRPr="00862453">
              <w:rPr>
                <w:lang w:val="es-419"/>
              </w:rPr>
              <w:t>con rapidez ante</w:t>
            </w:r>
            <w:r w:rsidRPr="00862453">
              <w:rPr>
                <w:lang w:val="es-419"/>
              </w:rPr>
              <w:t xml:space="preserve"> las necesidades y </w:t>
            </w:r>
            <w:r w:rsidR="00346F42" w:rsidRPr="00862453">
              <w:rPr>
                <w:lang w:val="es-419"/>
              </w:rPr>
              <w:t xml:space="preserve">los </w:t>
            </w:r>
            <w:r w:rsidRPr="00862453">
              <w:rPr>
                <w:lang w:val="es-419"/>
              </w:rPr>
              <w:t xml:space="preserve">problemas específicos </w:t>
            </w:r>
            <w:r w:rsidR="00346F42" w:rsidRPr="00862453">
              <w:rPr>
                <w:lang w:val="es-419"/>
              </w:rPr>
              <w:t>susceptibles de</w:t>
            </w:r>
            <w:r w:rsidRPr="00862453">
              <w:rPr>
                <w:lang w:val="es-419"/>
              </w:rPr>
              <w:t xml:space="preserve"> </w:t>
            </w:r>
            <w:r w:rsidR="00346F42" w:rsidRPr="00862453">
              <w:rPr>
                <w:lang w:val="es-419"/>
              </w:rPr>
              <w:t xml:space="preserve">plantearse </w:t>
            </w:r>
            <w:r w:rsidRPr="00862453">
              <w:rPr>
                <w:lang w:val="es-419"/>
              </w:rPr>
              <w:t xml:space="preserve">durante </w:t>
            </w:r>
            <w:r w:rsidR="00346F42" w:rsidRPr="00862453">
              <w:rPr>
                <w:lang w:val="es-419"/>
              </w:rPr>
              <w:t>la ejecución d</w:t>
            </w:r>
            <w:r w:rsidRPr="00862453">
              <w:rPr>
                <w:lang w:val="es-419"/>
              </w:rPr>
              <w:t>el proyecto.</w:t>
            </w:r>
          </w:p>
          <w:p w14:paraId="354A3EE8" w14:textId="274E6198" w:rsidR="008743F2" w:rsidRPr="00862453" w:rsidRDefault="007D5746" w:rsidP="004304CA">
            <w:pPr>
              <w:pStyle w:val="TableParagraph"/>
              <w:numPr>
                <w:ilvl w:val="0"/>
                <w:numId w:val="35"/>
              </w:numPr>
              <w:spacing w:before="74"/>
              <w:ind w:left="360" w:right="805"/>
              <w:rPr>
                <w:lang w:val="es-419"/>
              </w:rPr>
            </w:pPr>
            <w:r w:rsidRPr="00862453">
              <w:rPr>
                <w:lang w:val="es-419"/>
              </w:rPr>
              <w:t>Es esencial</w:t>
            </w:r>
            <w:r w:rsidR="008743F2" w:rsidRPr="00862453">
              <w:rPr>
                <w:lang w:val="es-419"/>
              </w:rPr>
              <w:t xml:space="preserve"> dotar de flexibilidad a la estrategia de ejecución del proyecto para </w:t>
            </w:r>
            <w:r w:rsidRPr="00862453">
              <w:rPr>
                <w:lang w:val="es-419"/>
              </w:rPr>
              <w:t>posibilitar su adaptación</w:t>
            </w:r>
            <w:r w:rsidR="008743F2" w:rsidRPr="00862453">
              <w:rPr>
                <w:lang w:val="es-419"/>
              </w:rPr>
              <w:t xml:space="preserve"> a las circunstancias cambiantes y a las nuevas necesidades.</w:t>
            </w:r>
          </w:p>
          <w:p w14:paraId="7476BCCB" w14:textId="36262A08" w:rsidR="008743F2" w:rsidRPr="00862453" w:rsidRDefault="007D5746" w:rsidP="004304CA">
            <w:pPr>
              <w:pStyle w:val="TableParagraph"/>
              <w:numPr>
                <w:ilvl w:val="0"/>
                <w:numId w:val="35"/>
              </w:numPr>
              <w:spacing w:before="74"/>
              <w:ind w:left="360" w:right="805"/>
              <w:rPr>
                <w:lang w:val="es-419"/>
              </w:rPr>
            </w:pPr>
            <w:r w:rsidRPr="00862453">
              <w:rPr>
                <w:lang w:val="es-419"/>
              </w:rPr>
              <w:t>Si se mantienen</w:t>
            </w:r>
            <w:r w:rsidR="008743F2" w:rsidRPr="00862453">
              <w:rPr>
                <w:lang w:val="es-419"/>
              </w:rPr>
              <w:t xml:space="preserve"> las actividades del proyecto abiertas a la participación de otros países y partes interesadas </w:t>
            </w:r>
            <w:r w:rsidRPr="00862453">
              <w:rPr>
                <w:lang w:val="es-419"/>
              </w:rPr>
              <w:t>se pueden aprovechar</w:t>
            </w:r>
            <w:r w:rsidR="008743F2" w:rsidRPr="00862453">
              <w:rPr>
                <w:lang w:val="es-419"/>
              </w:rPr>
              <w:t xml:space="preserve"> los recursos </w:t>
            </w:r>
            <w:r w:rsidRPr="00862453">
              <w:rPr>
                <w:lang w:val="es-419"/>
              </w:rPr>
              <w:t xml:space="preserve">al máximo </w:t>
            </w:r>
            <w:r w:rsidR="008743F2" w:rsidRPr="00862453">
              <w:rPr>
                <w:lang w:val="es-419"/>
              </w:rPr>
              <w:t xml:space="preserve">y </w:t>
            </w:r>
            <w:r w:rsidRPr="00862453">
              <w:rPr>
                <w:lang w:val="es-419"/>
              </w:rPr>
              <w:t>optimizar</w:t>
            </w:r>
            <w:r w:rsidR="008743F2" w:rsidRPr="00862453">
              <w:rPr>
                <w:lang w:val="es-419"/>
              </w:rPr>
              <w:t xml:space="preserve"> </w:t>
            </w:r>
            <w:r w:rsidRPr="00862453">
              <w:rPr>
                <w:lang w:val="es-419"/>
              </w:rPr>
              <w:t xml:space="preserve">la incidencia de los productos </w:t>
            </w:r>
            <w:r w:rsidR="008743F2" w:rsidRPr="00862453">
              <w:rPr>
                <w:lang w:val="es-419"/>
              </w:rPr>
              <w:t>del proyecto.</w:t>
            </w:r>
          </w:p>
          <w:p w14:paraId="524B7386" w14:textId="4A520E86" w:rsidR="004304CA" w:rsidRPr="00862453" w:rsidRDefault="008743F2" w:rsidP="00B46FCA">
            <w:pPr>
              <w:pStyle w:val="TableParagraph"/>
              <w:numPr>
                <w:ilvl w:val="0"/>
                <w:numId w:val="35"/>
              </w:numPr>
              <w:spacing w:before="74"/>
              <w:ind w:left="360" w:right="805"/>
              <w:rPr>
                <w:lang w:val="es-419"/>
              </w:rPr>
            </w:pPr>
            <w:r w:rsidRPr="00862453">
              <w:rPr>
                <w:lang w:val="es-419"/>
              </w:rPr>
              <w:t xml:space="preserve">Los indicadores de </w:t>
            </w:r>
            <w:r w:rsidR="007D5746" w:rsidRPr="00862453">
              <w:rPr>
                <w:lang w:val="es-419"/>
              </w:rPr>
              <w:t>incidencia</w:t>
            </w:r>
            <w:r w:rsidRPr="00862453">
              <w:rPr>
                <w:lang w:val="es-419"/>
              </w:rPr>
              <w:t xml:space="preserve"> deben formularse </w:t>
            </w:r>
            <w:r w:rsidR="007D5746" w:rsidRPr="00862453">
              <w:rPr>
                <w:lang w:val="es-419"/>
              </w:rPr>
              <w:t>con realismo</w:t>
            </w:r>
            <w:r w:rsidRPr="00862453">
              <w:rPr>
                <w:lang w:val="es-419"/>
              </w:rPr>
              <w:t xml:space="preserve">, es decir, </w:t>
            </w:r>
            <w:r w:rsidR="00B46FCA" w:rsidRPr="00862453">
              <w:rPr>
                <w:lang w:val="es-419"/>
              </w:rPr>
              <w:t>atenerse a</w:t>
            </w:r>
            <w:r w:rsidRPr="00862453">
              <w:rPr>
                <w:lang w:val="es-419"/>
              </w:rPr>
              <w:t xml:space="preserve"> los recursos asignados al proyecto, el contexto de ejecución, la disponibilidad de datos y la respuesta de los grupos de beneficiarios. Deberán estar sujetos a revisiones </w:t>
            </w:r>
            <w:r w:rsidR="00B46FCA" w:rsidRPr="00862453">
              <w:rPr>
                <w:lang w:val="es-419"/>
              </w:rPr>
              <w:t xml:space="preserve">eventuales </w:t>
            </w:r>
            <w:r w:rsidRPr="00862453">
              <w:rPr>
                <w:lang w:val="es-419"/>
              </w:rPr>
              <w:t>durante la fase de ejecución.</w:t>
            </w:r>
          </w:p>
          <w:p w14:paraId="339BAF00" w14:textId="288F1918" w:rsidR="004304CA" w:rsidRPr="00862453" w:rsidRDefault="004A4A9B" w:rsidP="004A4A9B">
            <w:pPr>
              <w:pStyle w:val="TableParagraph"/>
              <w:numPr>
                <w:ilvl w:val="0"/>
                <w:numId w:val="35"/>
              </w:numPr>
              <w:spacing w:before="74"/>
              <w:ind w:left="360" w:right="805"/>
              <w:rPr>
                <w:lang w:val="es-419"/>
              </w:rPr>
            </w:pPr>
            <w:r w:rsidRPr="00862453">
              <w:rPr>
                <w:lang w:val="es-419"/>
              </w:rPr>
              <w:t>La focalización sobre</w:t>
            </w:r>
            <w:r w:rsidR="008743F2" w:rsidRPr="00862453">
              <w:rPr>
                <w:lang w:val="es-419"/>
              </w:rPr>
              <w:t xml:space="preserve"> un grupo de interesados no debe excluir la interacción con </w:t>
            </w:r>
            <w:r w:rsidR="00CC2A3C" w:rsidRPr="00862453">
              <w:rPr>
                <w:lang w:val="es-419"/>
              </w:rPr>
              <w:t>otras partes interesadas</w:t>
            </w:r>
            <w:r w:rsidR="008743F2" w:rsidRPr="00862453">
              <w:rPr>
                <w:lang w:val="es-419"/>
              </w:rPr>
              <w:t xml:space="preserve"> y puede </w:t>
            </w:r>
            <w:r w:rsidR="00CC2A3C" w:rsidRPr="00862453">
              <w:rPr>
                <w:lang w:val="es-419"/>
              </w:rPr>
              <w:t>ampliar el alcance potencial</w:t>
            </w:r>
            <w:r w:rsidR="008743F2" w:rsidRPr="00862453">
              <w:rPr>
                <w:lang w:val="es-419"/>
              </w:rPr>
              <w:t xml:space="preserve"> del proyecto.</w:t>
            </w:r>
          </w:p>
          <w:p w14:paraId="0E2B2095" w14:textId="7C15556C" w:rsidR="008743F2" w:rsidRPr="00862453" w:rsidRDefault="008743F2" w:rsidP="004304CA">
            <w:pPr>
              <w:pStyle w:val="TableParagraph"/>
              <w:numPr>
                <w:ilvl w:val="0"/>
                <w:numId w:val="35"/>
              </w:numPr>
              <w:spacing w:before="74"/>
              <w:ind w:left="360" w:right="805"/>
              <w:rPr>
                <w:lang w:val="es-419"/>
              </w:rPr>
            </w:pPr>
            <w:r w:rsidRPr="00862453">
              <w:rPr>
                <w:lang w:val="es-419"/>
              </w:rPr>
              <w:t xml:space="preserve">La preparación de material para módulos interactivos, adaptados a los diferentes grupos de beneficiarios, que incluyan la </w:t>
            </w:r>
            <w:r w:rsidR="004A4A9B" w:rsidRPr="00862453">
              <w:rPr>
                <w:lang w:val="es-419"/>
              </w:rPr>
              <w:t>formación autodidacta</w:t>
            </w:r>
            <w:r w:rsidRPr="00862453">
              <w:rPr>
                <w:lang w:val="es-419"/>
              </w:rPr>
              <w:t xml:space="preserve">, la autoevaluación y enlaces a recursos, </w:t>
            </w:r>
            <w:r w:rsidR="008075AF" w:rsidRPr="00862453">
              <w:rPr>
                <w:lang w:val="es-419"/>
              </w:rPr>
              <w:t>sería de ayuda para</w:t>
            </w:r>
            <w:r w:rsidRPr="00862453">
              <w:rPr>
                <w:lang w:val="es-419"/>
              </w:rPr>
              <w:t xml:space="preserve"> </w:t>
            </w:r>
            <w:r w:rsidR="00C15652" w:rsidRPr="00862453">
              <w:rPr>
                <w:lang w:val="es-419"/>
              </w:rPr>
              <w:t>asegurar</w:t>
            </w:r>
            <w:r w:rsidRPr="00862453">
              <w:rPr>
                <w:lang w:val="es-419"/>
              </w:rPr>
              <w:t xml:space="preserve"> la sostenibilidad de los </w:t>
            </w:r>
            <w:r w:rsidR="00C15652" w:rsidRPr="00862453">
              <w:rPr>
                <w:lang w:val="es-419"/>
              </w:rPr>
              <w:t>productos</w:t>
            </w:r>
            <w:r w:rsidRPr="00862453">
              <w:rPr>
                <w:lang w:val="es-419"/>
              </w:rPr>
              <w:t xml:space="preserve"> del proyecto. Tod</w:t>
            </w:r>
            <w:r w:rsidR="00C15652" w:rsidRPr="00862453">
              <w:rPr>
                <w:lang w:val="es-419"/>
              </w:rPr>
              <w:t>o</w:t>
            </w:r>
            <w:r w:rsidRPr="00862453">
              <w:rPr>
                <w:lang w:val="es-419"/>
              </w:rPr>
              <w:t xml:space="preserve">s </w:t>
            </w:r>
            <w:r w:rsidR="00C15652" w:rsidRPr="00862453">
              <w:rPr>
                <w:lang w:val="es-419"/>
              </w:rPr>
              <w:t xml:space="preserve">los materiales y </w:t>
            </w:r>
            <w:r w:rsidRPr="00862453">
              <w:rPr>
                <w:lang w:val="es-419"/>
              </w:rPr>
              <w:t xml:space="preserve">las herramientas </w:t>
            </w:r>
            <w:r w:rsidR="008075AF" w:rsidRPr="00862453">
              <w:rPr>
                <w:lang w:val="es-419"/>
              </w:rPr>
              <w:t>han de</w:t>
            </w:r>
            <w:r w:rsidRPr="00862453">
              <w:rPr>
                <w:lang w:val="es-419"/>
              </w:rPr>
              <w:t xml:space="preserve"> tener en cuenta las preferencias de los usuarios (por ejemplo, en algunos casos, la demanda de material impreso persiste) </w:t>
            </w:r>
          </w:p>
          <w:p w14:paraId="5D6646CF" w14:textId="77777777" w:rsidR="004304CA" w:rsidRPr="00862453" w:rsidRDefault="004304CA" w:rsidP="00F300C4">
            <w:pPr>
              <w:pStyle w:val="TableParagraph"/>
              <w:spacing w:before="74"/>
              <w:ind w:right="805"/>
              <w:rPr>
                <w:lang w:val="es-419"/>
              </w:rPr>
            </w:pPr>
          </w:p>
          <w:p w14:paraId="37B76DB5" w14:textId="2FF35447" w:rsidR="004304CA" w:rsidRPr="00862453" w:rsidRDefault="008743F2" w:rsidP="00F300C4">
            <w:pPr>
              <w:pStyle w:val="TableParagraph"/>
              <w:rPr>
                <w:lang w:val="es-419"/>
              </w:rPr>
            </w:pPr>
            <w:r w:rsidRPr="00862453">
              <w:rPr>
                <w:lang w:val="es-419"/>
              </w:rPr>
              <w:t>Algunos puntos clave</w:t>
            </w:r>
            <w:r w:rsidR="004304CA" w:rsidRPr="00862453">
              <w:rPr>
                <w:lang w:val="es-419"/>
              </w:rPr>
              <w:t>:</w:t>
            </w:r>
          </w:p>
          <w:p w14:paraId="12F891EC" w14:textId="77777777" w:rsidR="004304CA" w:rsidRPr="00862453" w:rsidRDefault="004304CA" w:rsidP="00F300C4">
            <w:pPr>
              <w:pStyle w:val="TableParagraph"/>
              <w:rPr>
                <w:lang w:val="es-419"/>
              </w:rPr>
            </w:pPr>
          </w:p>
          <w:p w14:paraId="76150545" w14:textId="3C297CBA" w:rsidR="008743F2" w:rsidRPr="00862453" w:rsidRDefault="008743F2" w:rsidP="004304CA">
            <w:pPr>
              <w:pStyle w:val="TableParagraph"/>
              <w:numPr>
                <w:ilvl w:val="0"/>
                <w:numId w:val="38"/>
              </w:numPr>
              <w:rPr>
                <w:strike/>
                <w:lang w:val="es-419"/>
              </w:rPr>
            </w:pPr>
            <w:r w:rsidRPr="00862453">
              <w:rPr>
                <w:lang w:val="es-419"/>
              </w:rPr>
              <w:t xml:space="preserve">Cuando se trate de un </w:t>
            </w:r>
            <w:r w:rsidR="008075AF" w:rsidRPr="00862453">
              <w:rPr>
                <w:lang w:val="es-419"/>
              </w:rPr>
              <w:t>ámbito</w:t>
            </w:r>
            <w:r w:rsidRPr="00862453">
              <w:rPr>
                <w:lang w:val="es-419"/>
              </w:rPr>
              <w:t xml:space="preserve"> multidisciplinar en el que </w:t>
            </w:r>
            <w:r w:rsidR="008075AF" w:rsidRPr="00862453">
              <w:rPr>
                <w:lang w:val="es-419"/>
              </w:rPr>
              <w:t xml:space="preserve">procedan y se puedan aplicar </w:t>
            </w:r>
            <w:r w:rsidRPr="00862453">
              <w:rPr>
                <w:lang w:val="es-419"/>
              </w:rPr>
              <w:t xml:space="preserve">varias formas de </w:t>
            </w:r>
            <w:r w:rsidR="008075AF" w:rsidRPr="00862453">
              <w:rPr>
                <w:lang w:val="es-419"/>
              </w:rPr>
              <w:t>PI</w:t>
            </w:r>
            <w:r w:rsidRPr="00862453">
              <w:rPr>
                <w:lang w:val="es-419"/>
              </w:rPr>
              <w:t xml:space="preserve">, el proyecto debe </w:t>
            </w:r>
            <w:r w:rsidR="008075AF" w:rsidRPr="00862453">
              <w:rPr>
                <w:lang w:val="es-419"/>
              </w:rPr>
              <w:t xml:space="preserve">garantizar </w:t>
            </w:r>
            <w:r w:rsidRPr="00862453">
              <w:rPr>
                <w:lang w:val="es-419"/>
              </w:rPr>
              <w:t xml:space="preserve">una colaboración </w:t>
            </w:r>
            <w:r w:rsidR="003A571E" w:rsidRPr="00862453">
              <w:rPr>
                <w:lang w:val="es-419"/>
              </w:rPr>
              <w:t xml:space="preserve">adecuada </w:t>
            </w:r>
            <w:r w:rsidRPr="00862453">
              <w:rPr>
                <w:lang w:val="es-419"/>
              </w:rPr>
              <w:t>entre divisiones</w:t>
            </w:r>
            <w:r w:rsidR="008075AF" w:rsidRPr="00862453">
              <w:rPr>
                <w:lang w:val="es-419"/>
              </w:rPr>
              <w:t>.</w:t>
            </w:r>
          </w:p>
          <w:p w14:paraId="36282534" w14:textId="5CEC6533" w:rsidR="004304CA" w:rsidRPr="00862453" w:rsidRDefault="003A571E" w:rsidP="00DE6009">
            <w:pPr>
              <w:pStyle w:val="TableParagraph"/>
              <w:numPr>
                <w:ilvl w:val="0"/>
                <w:numId w:val="38"/>
              </w:numPr>
              <w:rPr>
                <w:lang w:val="es-419"/>
              </w:rPr>
            </w:pPr>
            <w:r w:rsidRPr="00862453">
              <w:rPr>
                <w:lang w:val="es-419"/>
              </w:rPr>
              <w:t>L</w:t>
            </w:r>
            <w:r w:rsidR="008743F2" w:rsidRPr="00862453">
              <w:rPr>
                <w:lang w:val="es-419"/>
              </w:rPr>
              <w:t xml:space="preserve">a </w:t>
            </w:r>
            <w:r w:rsidRPr="00862453">
              <w:rPr>
                <w:lang w:val="es-419"/>
              </w:rPr>
              <w:t>OMPI</w:t>
            </w:r>
            <w:r w:rsidR="008743F2" w:rsidRPr="00862453">
              <w:rPr>
                <w:lang w:val="es-419"/>
              </w:rPr>
              <w:t xml:space="preserve"> puede </w:t>
            </w:r>
            <w:r w:rsidR="00DE6009" w:rsidRPr="00862453">
              <w:rPr>
                <w:lang w:val="es-419"/>
              </w:rPr>
              <w:t>facilitar el proceso encaminado a</w:t>
            </w:r>
            <w:r w:rsidRPr="00862453">
              <w:rPr>
                <w:lang w:val="es-419"/>
              </w:rPr>
              <w:t xml:space="preserve"> conseguir </w:t>
            </w:r>
            <w:r w:rsidR="00DE6009" w:rsidRPr="00862453">
              <w:rPr>
                <w:lang w:val="es-419"/>
              </w:rPr>
              <w:t>la participación de</w:t>
            </w:r>
            <w:r w:rsidRPr="00862453">
              <w:rPr>
                <w:lang w:val="es-419"/>
              </w:rPr>
              <w:t xml:space="preserve"> los socios privados en los programas de orientación</w:t>
            </w:r>
            <w:r w:rsidR="008743F2" w:rsidRPr="00862453">
              <w:rPr>
                <w:lang w:val="es-419"/>
              </w:rPr>
              <w:t xml:space="preserve">. El proyecto demostró la utilidad de estas asociaciones. Sin embargo, el seguimiento de las asociaciones entre empresas ("B2B") </w:t>
            </w:r>
            <w:r w:rsidR="005B7B85" w:rsidRPr="00862453">
              <w:rPr>
                <w:lang w:val="es-419"/>
              </w:rPr>
              <w:t>va más allá del</w:t>
            </w:r>
            <w:r w:rsidR="008743F2" w:rsidRPr="00862453">
              <w:rPr>
                <w:lang w:val="es-419"/>
              </w:rPr>
              <w:t xml:space="preserve"> mandato de la OMPI.</w:t>
            </w:r>
          </w:p>
          <w:p w14:paraId="3D2806BF" w14:textId="21A2C15C" w:rsidR="004304CA" w:rsidRPr="00862453" w:rsidRDefault="00AC0073" w:rsidP="00C469C6">
            <w:pPr>
              <w:pStyle w:val="TableParagraph"/>
              <w:numPr>
                <w:ilvl w:val="0"/>
                <w:numId w:val="38"/>
              </w:numPr>
              <w:rPr>
                <w:lang w:val="es-419"/>
              </w:rPr>
            </w:pPr>
            <w:r w:rsidRPr="00862453">
              <w:rPr>
                <w:lang w:val="es-419"/>
              </w:rPr>
              <w:t xml:space="preserve">Los costes relacionados con los servicios editoriales profesionales para las herramientas y los materiales </w:t>
            </w:r>
            <w:r w:rsidR="00E77FCD" w:rsidRPr="00862453">
              <w:rPr>
                <w:lang w:val="es-419"/>
              </w:rPr>
              <w:t>que se distribuirán</w:t>
            </w:r>
            <w:r w:rsidRPr="00862453">
              <w:rPr>
                <w:lang w:val="es-419"/>
              </w:rPr>
              <w:t xml:space="preserve"> deben incluirse en la estimación presupuestaria inicial del proyecto</w:t>
            </w:r>
            <w:r w:rsidR="00C469C6" w:rsidRPr="00862453">
              <w:rPr>
                <w:lang w:val="es-419"/>
              </w:rPr>
              <w:t>,</w:t>
            </w:r>
            <w:r w:rsidRPr="00862453">
              <w:rPr>
                <w:lang w:val="es-419"/>
              </w:rPr>
              <w:t xml:space="preserve"> </w:t>
            </w:r>
            <w:r w:rsidR="00C469C6" w:rsidRPr="00862453">
              <w:rPr>
                <w:lang w:val="es-419"/>
              </w:rPr>
              <w:t>al objeto de</w:t>
            </w:r>
            <w:r w:rsidRPr="00862453">
              <w:rPr>
                <w:lang w:val="es-419"/>
              </w:rPr>
              <w:t xml:space="preserve"> garantizar productos de alta calidad.</w:t>
            </w:r>
          </w:p>
          <w:p w14:paraId="43979279" w14:textId="1C33B030" w:rsidR="004304CA" w:rsidRPr="00862453" w:rsidRDefault="00AC0073" w:rsidP="00E42070">
            <w:pPr>
              <w:pStyle w:val="TableParagraph"/>
              <w:numPr>
                <w:ilvl w:val="0"/>
                <w:numId w:val="38"/>
              </w:numPr>
              <w:rPr>
                <w:lang w:val="es-419"/>
              </w:rPr>
            </w:pPr>
            <w:r w:rsidRPr="00862453">
              <w:rPr>
                <w:lang w:val="es-419"/>
              </w:rPr>
              <w:t xml:space="preserve">La </w:t>
            </w:r>
            <w:r w:rsidR="00DF2850" w:rsidRPr="00862453">
              <w:rPr>
                <w:lang w:val="es-419"/>
              </w:rPr>
              <w:t xml:space="preserve">diversidad de contenidos y formatos de la </w:t>
            </w:r>
            <w:r w:rsidRPr="00862453">
              <w:rPr>
                <w:lang w:val="es-419"/>
              </w:rPr>
              <w:t xml:space="preserve">página web del proyecto </w:t>
            </w:r>
            <w:r w:rsidR="00DF2850" w:rsidRPr="00862453">
              <w:rPr>
                <w:lang w:val="es-419"/>
              </w:rPr>
              <w:t>llamó mucho la atención</w:t>
            </w:r>
            <w:r w:rsidRPr="00862453">
              <w:rPr>
                <w:lang w:val="es-419"/>
              </w:rPr>
              <w:t xml:space="preserve">. </w:t>
            </w:r>
            <w:r w:rsidR="00E77FCD" w:rsidRPr="00862453">
              <w:rPr>
                <w:lang w:val="es-419"/>
              </w:rPr>
              <w:t>Para este tipo de proyectos de la AD, e</w:t>
            </w:r>
            <w:r w:rsidRPr="00862453">
              <w:rPr>
                <w:lang w:val="es-419"/>
              </w:rPr>
              <w:t xml:space="preserve">l desarrollo </w:t>
            </w:r>
            <w:r w:rsidR="00E77FCD" w:rsidRPr="00862453">
              <w:rPr>
                <w:lang w:val="es-419"/>
              </w:rPr>
              <w:t>de la página web</w:t>
            </w:r>
            <w:r w:rsidRPr="00862453">
              <w:rPr>
                <w:lang w:val="es-419"/>
              </w:rPr>
              <w:t xml:space="preserve"> </w:t>
            </w:r>
            <w:r w:rsidR="00DF2850" w:rsidRPr="00862453">
              <w:rPr>
                <w:lang w:val="es-419"/>
              </w:rPr>
              <w:t xml:space="preserve">siempre </w:t>
            </w:r>
            <w:r w:rsidRPr="00862453">
              <w:rPr>
                <w:lang w:val="es-419"/>
              </w:rPr>
              <w:t xml:space="preserve">debe </w:t>
            </w:r>
            <w:r w:rsidR="00DF2850" w:rsidRPr="00862453">
              <w:rPr>
                <w:lang w:val="es-419"/>
              </w:rPr>
              <w:t>iniciarse</w:t>
            </w:r>
            <w:r w:rsidRPr="00862453">
              <w:rPr>
                <w:lang w:val="es-419"/>
              </w:rPr>
              <w:t xml:space="preserve"> en una fase temprana, de modo </w:t>
            </w:r>
            <w:r w:rsidR="00DF2850" w:rsidRPr="00862453">
              <w:rPr>
                <w:lang w:val="es-419"/>
              </w:rPr>
              <w:t xml:space="preserve">a </w:t>
            </w:r>
            <w:r w:rsidR="00CC66B2" w:rsidRPr="00862453">
              <w:rPr>
                <w:lang w:val="es-419"/>
              </w:rPr>
              <w:t>generar interés a la par que se ejecuta el proyecto</w:t>
            </w:r>
            <w:r w:rsidRPr="00862453">
              <w:rPr>
                <w:lang w:val="es-419"/>
              </w:rPr>
              <w:t xml:space="preserve">. La optimización de las búsquedas puede </w:t>
            </w:r>
            <w:r w:rsidR="00CC66B2" w:rsidRPr="00862453">
              <w:rPr>
                <w:lang w:val="es-419"/>
              </w:rPr>
              <w:t xml:space="preserve">mejorar </w:t>
            </w:r>
            <w:r w:rsidRPr="00862453">
              <w:rPr>
                <w:lang w:val="es-419"/>
              </w:rPr>
              <w:t xml:space="preserve">la percepción de los resultados del proyecto y </w:t>
            </w:r>
            <w:r w:rsidR="00CC66B2" w:rsidRPr="00862453">
              <w:rPr>
                <w:lang w:val="es-419"/>
              </w:rPr>
              <w:t xml:space="preserve">conseguir una exposición </w:t>
            </w:r>
            <w:r w:rsidR="00AC2654" w:rsidRPr="00862453">
              <w:rPr>
                <w:lang w:val="es-419"/>
              </w:rPr>
              <w:t>extraordinaria</w:t>
            </w:r>
            <w:r w:rsidR="00CC66B2" w:rsidRPr="00862453">
              <w:rPr>
                <w:lang w:val="es-419"/>
              </w:rPr>
              <w:t xml:space="preserve"> de</w:t>
            </w:r>
            <w:r w:rsidRPr="00862453">
              <w:rPr>
                <w:lang w:val="es-419"/>
              </w:rPr>
              <w:t xml:space="preserve"> </w:t>
            </w:r>
            <w:r w:rsidR="00E77FCD" w:rsidRPr="00862453">
              <w:rPr>
                <w:lang w:val="es-419"/>
              </w:rPr>
              <w:t>los ámbitos</w:t>
            </w:r>
            <w:r w:rsidRPr="00862453">
              <w:rPr>
                <w:lang w:val="es-419"/>
              </w:rPr>
              <w:t xml:space="preserve"> </w:t>
            </w:r>
            <w:r w:rsidR="00CC66B2" w:rsidRPr="00862453">
              <w:rPr>
                <w:lang w:val="es-419"/>
              </w:rPr>
              <w:t>conex</w:t>
            </w:r>
            <w:r w:rsidR="00E77FCD" w:rsidRPr="00862453">
              <w:rPr>
                <w:lang w:val="es-419"/>
              </w:rPr>
              <w:t>o</w:t>
            </w:r>
            <w:r w:rsidR="00CC66B2" w:rsidRPr="00862453">
              <w:rPr>
                <w:lang w:val="es-419"/>
              </w:rPr>
              <w:t>s</w:t>
            </w:r>
            <w:r w:rsidRPr="00862453">
              <w:rPr>
                <w:lang w:val="es-419"/>
              </w:rPr>
              <w:t xml:space="preserve"> en </w:t>
            </w:r>
            <w:r w:rsidR="00CC66B2" w:rsidRPr="00862453">
              <w:rPr>
                <w:lang w:val="es-419"/>
              </w:rPr>
              <w:t>l</w:t>
            </w:r>
            <w:r w:rsidR="00E77FCD" w:rsidRPr="00862453">
              <w:rPr>
                <w:lang w:val="es-419"/>
              </w:rPr>
              <w:t>o</w:t>
            </w:r>
            <w:r w:rsidR="00CC66B2" w:rsidRPr="00862453">
              <w:rPr>
                <w:lang w:val="es-419"/>
              </w:rPr>
              <w:t>s que trabaja</w:t>
            </w:r>
            <w:r w:rsidRPr="00862453">
              <w:rPr>
                <w:lang w:val="es-419"/>
              </w:rPr>
              <w:t xml:space="preserve"> la OMPI.</w:t>
            </w:r>
          </w:p>
          <w:p w14:paraId="5BB1356B" w14:textId="640FCE77" w:rsidR="00AC0073" w:rsidRPr="00862453" w:rsidRDefault="005D55C9" w:rsidP="004304CA">
            <w:pPr>
              <w:pStyle w:val="TableParagraph"/>
              <w:numPr>
                <w:ilvl w:val="0"/>
                <w:numId w:val="38"/>
              </w:numPr>
              <w:rPr>
                <w:lang w:val="es-419"/>
              </w:rPr>
            </w:pPr>
            <w:r w:rsidRPr="00862453">
              <w:rPr>
                <w:lang w:val="es-419"/>
              </w:rPr>
              <w:t>Que triunfen</w:t>
            </w:r>
            <w:r w:rsidR="00AC0073" w:rsidRPr="00862453">
              <w:rPr>
                <w:lang w:val="es-419"/>
              </w:rPr>
              <w:t xml:space="preserve"> las actividades en </w:t>
            </w:r>
            <w:r w:rsidRPr="00862453">
              <w:rPr>
                <w:lang w:val="es-419"/>
              </w:rPr>
              <w:t>Internet depende de la excelencia de los</w:t>
            </w:r>
            <w:r w:rsidR="00AC0073" w:rsidRPr="00862453">
              <w:rPr>
                <w:lang w:val="es-419"/>
              </w:rPr>
              <w:t xml:space="preserve"> </w:t>
            </w:r>
            <w:r w:rsidRPr="00862453">
              <w:rPr>
                <w:lang w:val="es-419"/>
              </w:rPr>
              <w:t xml:space="preserve">contenidos </w:t>
            </w:r>
            <w:r w:rsidR="00AC0073" w:rsidRPr="00862453">
              <w:rPr>
                <w:lang w:val="es-419"/>
              </w:rPr>
              <w:t xml:space="preserve">y de las capacidades técnicas, como una conexión de banda </w:t>
            </w:r>
            <w:r w:rsidRPr="00862453">
              <w:rPr>
                <w:lang w:val="es-419"/>
              </w:rPr>
              <w:t>con ancho suficiente</w:t>
            </w:r>
            <w:r w:rsidR="00AC0073" w:rsidRPr="00862453">
              <w:rPr>
                <w:lang w:val="es-419"/>
              </w:rPr>
              <w:t>, la calidad del sonido y la imagen y las posibilidades de realizar sesiones interactivas.</w:t>
            </w:r>
          </w:p>
          <w:p w14:paraId="727217B2" w14:textId="090EECFA" w:rsidR="004304CA" w:rsidRPr="00862453" w:rsidRDefault="00AC0073" w:rsidP="00052906">
            <w:pPr>
              <w:pStyle w:val="ListParagraph"/>
              <w:widowControl w:val="0"/>
              <w:numPr>
                <w:ilvl w:val="0"/>
                <w:numId w:val="38"/>
              </w:numPr>
              <w:autoSpaceDE w:val="0"/>
              <w:autoSpaceDN w:val="0"/>
              <w:spacing w:line="240" w:lineRule="auto"/>
              <w:rPr>
                <w:rFonts w:cs="Arial"/>
                <w:lang w:val="es-419"/>
              </w:rPr>
            </w:pPr>
            <w:r w:rsidRPr="00862453">
              <w:rPr>
                <w:rFonts w:cs="Arial"/>
                <w:lang w:val="es-419"/>
              </w:rPr>
              <w:t xml:space="preserve">Si bien los desarrolladores de aplicaciones son los creadores originales de la </w:t>
            </w:r>
            <w:r w:rsidR="00052906" w:rsidRPr="00862453">
              <w:rPr>
                <w:rFonts w:cs="Arial"/>
                <w:lang w:val="es-419"/>
              </w:rPr>
              <w:t>PI</w:t>
            </w:r>
            <w:r w:rsidRPr="00862453">
              <w:rPr>
                <w:rFonts w:cs="Arial"/>
                <w:lang w:val="es-419"/>
              </w:rPr>
              <w:t xml:space="preserve"> y uno de los principales grupos destinatarios del proyecto, cualquier nuevo proyecto en el ámbito de la </w:t>
            </w:r>
            <w:r w:rsidR="00052906" w:rsidRPr="00862453">
              <w:rPr>
                <w:rFonts w:cs="Arial"/>
                <w:lang w:val="es-419"/>
              </w:rPr>
              <w:t>PI</w:t>
            </w:r>
            <w:r w:rsidRPr="00862453">
              <w:rPr>
                <w:rFonts w:cs="Arial"/>
                <w:lang w:val="es-419"/>
              </w:rPr>
              <w:t xml:space="preserve"> y las aplicaciones móviles debe </w:t>
            </w:r>
            <w:r w:rsidR="00052906" w:rsidRPr="00862453">
              <w:rPr>
                <w:rFonts w:cs="Arial"/>
                <w:lang w:val="es-419"/>
              </w:rPr>
              <w:t>abarcar</w:t>
            </w:r>
            <w:r w:rsidRPr="00862453">
              <w:rPr>
                <w:rFonts w:cs="Arial"/>
                <w:lang w:val="es-419"/>
              </w:rPr>
              <w:t xml:space="preserve"> el complejo ecosistema con sus </w:t>
            </w:r>
            <w:r w:rsidR="00052906" w:rsidRPr="00862453">
              <w:rPr>
                <w:rFonts w:cs="Arial"/>
                <w:lang w:val="es-419"/>
              </w:rPr>
              <w:t>diversas</w:t>
            </w:r>
            <w:r w:rsidRPr="00862453">
              <w:rPr>
                <w:rFonts w:cs="Arial"/>
                <w:lang w:val="es-419"/>
              </w:rPr>
              <w:t xml:space="preserve"> partes interesadas. </w:t>
            </w:r>
          </w:p>
          <w:p w14:paraId="746E7611" w14:textId="667CD6A8" w:rsidR="00AC0073" w:rsidRPr="00862453" w:rsidRDefault="00AC0073" w:rsidP="004304CA">
            <w:pPr>
              <w:pStyle w:val="TableParagraph"/>
              <w:numPr>
                <w:ilvl w:val="0"/>
                <w:numId w:val="39"/>
              </w:numPr>
              <w:rPr>
                <w:lang w:val="es-419"/>
              </w:rPr>
            </w:pPr>
            <w:r w:rsidRPr="00862453">
              <w:rPr>
                <w:lang w:val="es-419"/>
              </w:rPr>
              <w:t xml:space="preserve">El sistema de seguimiento de los progresos debe estar directamente vinculado </w:t>
            </w:r>
            <w:r w:rsidR="00052906" w:rsidRPr="00862453">
              <w:rPr>
                <w:lang w:val="es-419"/>
              </w:rPr>
              <w:t xml:space="preserve">a su </w:t>
            </w:r>
            <w:r w:rsidRPr="00862453">
              <w:rPr>
                <w:lang w:val="es-419"/>
              </w:rPr>
              <w:t>mecanismo de ejecución.</w:t>
            </w:r>
          </w:p>
          <w:p w14:paraId="475AE430" w14:textId="40CDC3B0" w:rsidR="00AC0073" w:rsidRPr="00862453" w:rsidRDefault="00AC0073" w:rsidP="004304CA">
            <w:pPr>
              <w:pStyle w:val="TableParagraph"/>
              <w:numPr>
                <w:ilvl w:val="0"/>
                <w:numId w:val="39"/>
              </w:numPr>
              <w:rPr>
                <w:lang w:val="es-419"/>
              </w:rPr>
            </w:pPr>
            <w:r w:rsidRPr="00862453">
              <w:rPr>
                <w:lang w:val="es-419"/>
              </w:rPr>
              <w:t xml:space="preserve">La selección de los </w:t>
            </w:r>
            <w:r w:rsidR="00113D49" w:rsidRPr="00862453">
              <w:rPr>
                <w:lang w:val="es-419"/>
              </w:rPr>
              <w:t>coordinadores</w:t>
            </w:r>
            <w:r w:rsidRPr="00862453">
              <w:rPr>
                <w:lang w:val="es-419"/>
              </w:rPr>
              <w:t xml:space="preserve"> de un proyecto es crucial, </w:t>
            </w:r>
            <w:r w:rsidR="00113D49" w:rsidRPr="00862453">
              <w:rPr>
                <w:lang w:val="es-419"/>
              </w:rPr>
              <w:t>pues</w:t>
            </w:r>
            <w:r w:rsidRPr="00862453">
              <w:rPr>
                <w:lang w:val="es-419"/>
              </w:rPr>
              <w:t xml:space="preserve"> deben ser capaces de </w:t>
            </w:r>
            <w:r w:rsidR="00113D49" w:rsidRPr="00862453">
              <w:rPr>
                <w:lang w:val="es-419"/>
              </w:rPr>
              <w:t>encauzar</w:t>
            </w:r>
            <w:r w:rsidRPr="00862453">
              <w:rPr>
                <w:lang w:val="es-419"/>
              </w:rPr>
              <w:t xml:space="preserve"> la comunicación, responder </w:t>
            </w:r>
            <w:r w:rsidR="00F94094" w:rsidRPr="00862453">
              <w:rPr>
                <w:lang w:val="es-419"/>
              </w:rPr>
              <w:t>con rapidez</w:t>
            </w:r>
            <w:r w:rsidRPr="00862453">
              <w:rPr>
                <w:lang w:val="es-419"/>
              </w:rPr>
              <w:t xml:space="preserve"> a las consultas de la OMPI, los </w:t>
            </w:r>
            <w:r w:rsidR="00F94094" w:rsidRPr="00862453">
              <w:rPr>
                <w:lang w:val="es-419"/>
              </w:rPr>
              <w:t>colaboradores</w:t>
            </w:r>
            <w:r w:rsidRPr="00862453">
              <w:rPr>
                <w:lang w:val="es-419"/>
              </w:rPr>
              <w:t xml:space="preserve"> y los beneficiarios, tener acceso a los responsables de la </w:t>
            </w:r>
            <w:r w:rsidR="00F94094" w:rsidRPr="00862453">
              <w:rPr>
                <w:lang w:val="es-419"/>
              </w:rPr>
              <w:t>adopción</w:t>
            </w:r>
            <w:r w:rsidRPr="00862453">
              <w:rPr>
                <w:lang w:val="es-419"/>
              </w:rPr>
              <w:t xml:space="preserve"> de decisiones y dominar el tema.</w:t>
            </w:r>
          </w:p>
          <w:p w14:paraId="57FBFE41" w14:textId="2B011372" w:rsidR="00AC0073" w:rsidRPr="00862453" w:rsidRDefault="00F94094" w:rsidP="004304CA">
            <w:pPr>
              <w:pStyle w:val="TableParagraph"/>
              <w:numPr>
                <w:ilvl w:val="0"/>
                <w:numId w:val="39"/>
              </w:numPr>
              <w:rPr>
                <w:lang w:val="es-419"/>
              </w:rPr>
            </w:pPr>
            <w:r w:rsidRPr="00862453">
              <w:rPr>
                <w:lang w:val="es-419"/>
              </w:rPr>
              <w:t>El fomento de la sensibilización respecto del</w:t>
            </w:r>
            <w:r w:rsidR="00AC0073" w:rsidRPr="00862453">
              <w:rPr>
                <w:lang w:val="es-419"/>
              </w:rPr>
              <w:t xml:space="preserve"> proyecto entre los miembros de la OMPI aportaría una sinergia adicional en la ejecución. Puede </w:t>
            </w:r>
            <w:r w:rsidRPr="00862453">
              <w:rPr>
                <w:lang w:val="es-419"/>
              </w:rPr>
              <w:t>dar pie a</w:t>
            </w:r>
            <w:r w:rsidR="00AC0073" w:rsidRPr="00862453">
              <w:rPr>
                <w:lang w:val="es-419"/>
              </w:rPr>
              <w:t xml:space="preserve"> nuevas ideas y </w:t>
            </w:r>
            <w:r w:rsidRPr="00862453">
              <w:rPr>
                <w:lang w:val="es-419"/>
              </w:rPr>
              <w:t>resultar de utilidad</w:t>
            </w:r>
            <w:r w:rsidR="00AC0073" w:rsidRPr="00862453">
              <w:rPr>
                <w:lang w:val="es-419"/>
              </w:rPr>
              <w:t xml:space="preserve"> para todas las partes interesadas.</w:t>
            </w:r>
          </w:p>
          <w:p w14:paraId="6451FFAA" w14:textId="4042F195" w:rsidR="004304CA" w:rsidRPr="00862453" w:rsidRDefault="0091683D" w:rsidP="0091683D">
            <w:pPr>
              <w:pStyle w:val="TableParagraph"/>
              <w:numPr>
                <w:ilvl w:val="0"/>
                <w:numId w:val="39"/>
              </w:numPr>
              <w:rPr>
                <w:lang w:val="es-419"/>
              </w:rPr>
            </w:pPr>
            <w:r w:rsidRPr="00862453">
              <w:rPr>
                <w:lang w:val="es-419"/>
              </w:rPr>
              <w:t>La</w:t>
            </w:r>
            <w:r w:rsidR="00AC0073" w:rsidRPr="00862453">
              <w:rPr>
                <w:lang w:val="es-419"/>
              </w:rPr>
              <w:t xml:space="preserve"> flexibilidad en la ejecución de los proyectos </w:t>
            </w:r>
            <w:r w:rsidRPr="00862453">
              <w:rPr>
                <w:lang w:val="es-419"/>
              </w:rPr>
              <w:t xml:space="preserve">es esencial </w:t>
            </w:r>
            <w:r w:rsidR="00AC0073" w:rsidRPr="00862453">
              <w:rPr>
                <w:lang w:val="es-419"/>
              </w:rPr>
              <w:t xml:space="preserve">para poder reaccionar </w:t>
            </w:r>
            <w:r w:rsidRPr="00862453">
              <w:rPr>
                <w:lang w:val="es-419"/>
              </w:rPr>
              <w:t>ante</w:t>
            </w:r>
            <w:r w:rsidR="00AC0073" w:rsidRPr="00862453">
              <w:rPr>
                <w:lang w:val="es-419"/>
              </w:rPr>
              <w:t xml:space="preserve"> circunstancias cambiantes y hacer frente a nuevos riesgos.</w:t>
            </w:r>
          </w:p>
        </w:tc>
      </w:tr>
      <w:tr w:rsidR="004304CA" w:rsidRPr="00862453" w14:paraId="5C370FB2" w14:textId="77777777" w:rsidTr="00F300C4">
        <w:trPr>
          <w:trHeight w:val="631"/>
        </w:trPr>
        <w:tc>
          <w:tcPr>
            <w:tcW w:w="2401" w:type="dxa"/>
            <w:shd w:val="clear" w:color="auto" w:fill="C6D9F1" w:themeFill="text2" w:themeFillTint="33"/>
          </w:tcPr>
          <w:p w14:paraId="3B056F37" w14:textId="004CA207" w:rsidR="004304CA" w:rsidRPr="00862453" w:rsidRDefault="002C76FC" w:rsidP="00F300C4">
            <w:pPr>
              <w:pStyle w:val="TableParagraph"/>
              <w:spacing w:before="1"/>
              <w:ind w:left="110"/>
              <w:rPr>
                <w:lang w:val="es-419"/>
              </w:rPr>
            </w:pPr>
            <w:r w:rsidRPr="00862453">
              <w:rPr>
                <w:u w:val="single"/>
                <w:lang w:val="es-419"/>
              </w:rPr>
              <w:t>Riesgos y medidas paliativas</w:t>
            </w:r>
          </w:p>
        </w:tc>
        <w:tc>
          <w:tcPr>
            <w:tcW w:w="6889" w:type="dxa"/>
          </w:tcPr>
          <w:p w14:paraId="5A886114" w14:textId="17A6AF0D" w:rsidR="004304CA" w:rsidRPr="00862453" w:rsidRDefault="00206C06" w:rsidP="00F300C4">
            <w:pPr>
              <w:pStyle w:val="TableParagraph"/>
              <w:spacing w:before="1"/>
              <w:ind w:right="696"/>
              <w:rPr>
                <w:lang w:val="es-419"/>
              </w:rPr>
            </w:pPr>
            <w:r w:rsidRPr="00862453">
              <w:rPr>
                <w:lang w:val="es-419"/>
              </w:rPr>
              <w:t>Al inicio del proyecto se identificaron los riesgos siguientes</w:t>
            </w:r>
            <w:r w:rsidR="004304CA" w:rsidRPr="00862453">
              <w:rPr>
                <w:lang w:val="es-419"/>
              </w:rPr>
              <w:t>:</w:t>
            </w:r>
          </w:p>
          <w:p w14:paraId="3D011CC6" w14:textId="77777777" w:rsidR="004304CA" w:rsidRPr="00862453" w:rsidRDefault="004304CA" w:rsidP="00F300C4">
            <w:pPr>
              <w:pStyle w:val="TableParagraph"/>
              <w:spacing w:before="1"/>
              <w:ind w:left="109" w:right="696"/>
              <w:rPr>
                <w:lang w:val="es-419"/>
              </w:rPr>
            </w:pPr>
          </w:p>
          <w:p w14:paraId="6EB9AFF8" w14:textId="3107AE82" w:rsidR="004304CA" w:rsidRPr="00862453" w:rsidRDefault="00206C06" w:rsidP="004304CA">
            <w:pPr>
              <w:pStyle w:val="TableParagraph"/>
              <w:numPr>
                <w:ilvl w:val="0"/>
                <w:numId w:val="28"/>
              </w:numPr>
              <w:spacing w:before="1"/>
              <w:ind w:right="696"/>
              <w:rPr>
                <w:lang w:val="es-419"/>
              </w:rPr>
            </w:pPr>
            <w:r w:rsidRPr="00862453">
              <w:rPr>
                <w:lang w:val="es-419"/>
              </w:rPr>
              <w:t xml:space="preserve">escasa </w:t>
            </w:r>
            <w:r w:rsidR="00633150" w:rsidRPr="00862453">
              <w:rPr>
                <w:lang w:val="es-419"/>
              </w:rPr>
              <w:t>apropiación</w:t>
            </w:r>
            <w:r w:rsidRPr="00862453">
              <w:rPr>
                <w:lang w:val="es-419"/>
              </w:rPr>
              <w:t xml:space="preserve"> en el ámbito local</w:t>
            </w:r>
            <w:r w:rsidR="004304CA" w:rsidRPr="00862453">
              <w:rPr>
                <w:lang w:val="es-419"/>
              </w:rPr>
              <w:t xml:space="preserve">; </w:t>
            </w:r>
            <w:r w:rsidRPr="00862453">
              <w:rPr>
                <w:lang w:val="es-419"/>
              </w:rPr>
              <w:t>y</w:t>
            </w:r>
          </w:p>
          <w:p w14:paraId="64A0A757" w14:textId="10EBFB68" w:rsidR="004304CA" w:rsidRPr="00862453" w:rsidRDefault="00206C06" w:rsidP="004304CA">
            <w:pPr>
              <w:pStyle w:val="TableParagraph"/>
              <w:numPr>
                <w:ilvl w:val="0"/>
                <w:numId w:val="28"/>
              </w:numPr>
              <w:spacing w:before="1"/>
              <w:ind w:right="696"/>
              <w:rPr>
                <w:lang w:val="es-419"/>
              </w:rPr>
            </w:pPr>
            <w:r w:rsidRPr="00862453">
              <w:rPr>
                <w:lang w:val="es-419"/>
              </w:rPr>
              <w:t xml:space="preserve">falta de interés </w:t>
            </w:r>
            <w:r w:rsidR="00633150" w:rsidRPr="00862453">
              <w:rPr>
                <w:lang w:val="es-419"/>
              </w:rPr>
              <w:t>entre</w:t>
            </w:r>
            <w:r w:rsidRPr="00862453">
              <w:rPr>
                <w:lang w:val="es-419"/>
              </w:rPr>
              <w:t xml:space="preserve"> las </w:t>
            </w:r>
            <w:r w:rsidR="00633150" w:rsidRPr="00862453">
              <w:rPr>
                <w:lang w:val="es-419"/>
              </w:rPr>
              <w:t>eventuales</w:t>
            </w:r>
            <w:r w:rsidRPr="00862453">
              <w:rPr>
                <w:lang w:val="es-419"/>
              </w:rPr>
              <w:t xml:space="preserve"> partes interesadas</w:t>
            </w:r>
            <w:r w:rsidR="009E7738" w:rsidRPr="00862453">
              <w:rPr>
                <w:lang w:val="es-419"/>
              </w:rPr>
              <w:t xml:space="preserve"> de los países beneficiarios (pymes, empresas emergentes, universidades, etc.).</w:t>
            </w:r>
          </w:p>
          <w:p w14:paraId="0240A454" w14:textId="77777777" w:rsidR="004304CA" w:rsidRPr="00862453" w:rsidRDefault="004304CA" w:rsidP="00F300C4">
            <w:pPr>
              <w:pStyle w:val="TableParagraph"/>
              <w:spacing w:before="1"/>
              <w:ind w:left="469" w:right="696"/>
              <w:rPr>
                <w:lang w:val="es-419"/>
              </w:rPr>
            </w:pPr>
          </w:p>
          <w:p w14:paraId="0833B45F" w14:textId="1E8EEA79" w:rsidR="009E7738" w:rsidRPr="00862453" w:rsidRDefault="009E7738" w:rsidP="00F300C4">
            <w:pPr>
              <w:pStyle w:val="TableParagraph"/>
              <w:spacing w:before="1"/>
              <w:ind w:right="696"/>
              <w:rPr>
                <w:lang w:val="es-419"/>
              </w:rPr>
            </w:pPr>
            <w:r w:rsidRPr="00862453">
              <w:rPr>
                <w:lang w:val="es-419"/>
              </w:rPr>
              <w:t xml:space="preserve">El primer riesgo se </w:t>
            </w:r>
            <w:r w:rsidR="00502966" w:rsidRPr="00862453">
              <w:rPr>
                <w:lang w:val="es-419"/>
              </w:rPr>
              <w:t>logró contrarrestar</w:t>
            </w:r>
            <w:r w:rsidRPr="00862453">
              <w:rPr>
                <w:lang w:val="es-419"/>
              </w:rPr>
              <w:t xml:space="preserve"> mediante el nombramiento de </w:t>
            </w:r>
            <w:r w:rsidR="00113D49" w:rsidRPr="00862453">
              <w:rPr>
                <w:lang w:val="es-419"/>
              </w:rPr>
              <w:t>coordinadores</w:t>
            </w:r>
            <w:r w:rsidRPr="00862453">
              <w:rPr>
                <w:lang w:val="es-419"/>
              </w:rPr>
              <w:t xml:space="preserve">, que </w:t>
            </w:r>
            <w:r w:rsidR="00502966" w:rsidRPr="00862453">
              <w:rPr>
                <w:lang w:val="es-419"/>
              </w:rPr>
              <w:t>velaron por</w:t>
            </w:r>
            <w:r w:rsidRPr="00862453">
              <w:rPr>
                <w:lang w:val="es-419"/>
              </w:rPr>
              <w:t xml:space="preserve"> </w:t>
            </w:r>
            <w:r w:rsidR="00E02F03" w:rsidRPr="00862453">
              <w:rPr>
                <w:lang w:val="es-419"/>
              </w:rPr>
              <w:t xml:space="preserve">allanar el camino y facilitar </w:t>
            </w:r>
            <w:r w:rsidRPr="00862453">
              <w:rPr>
                <w:lang w:val="es-419"/>
              </w:rPr>
              <w:t xml:space="preserve">la ejecución del proyecto en </w:t>
            </w:r>
            <w:r w:rsidR="00502966" w:rsidRPr="00862453">
              <w:rPr>
                <w:lang w:val="es-419"/>
              </w:rPr>
              <w:t>cada</w:t>
            </w:r>
            <w:r w:rsidRPr="00862453">
              <w:rPr>
                <w:lang w:val="es-419"/>
              </w:rPr>
              <w:t xml:space="preserve"> país.</w:t>
            </w:r>
          </w:p>
          <w:p w14:paraId="0D0D5676" w14:textId="77777777" w:rsidR="004304CA" w:rsidRPr="00862453" w:rsidRDefault="004304CA" w:rsidP="00F300C4">
            <w:pPr>
              <w:pStyle w:val="TableParagraph"/>
              <w:spacing w:before="1"/>
              <w:ind w:right="696"/>
              <w:rPr>
                <w:lang w:val="es-419"/>
              </w:rPr>
            </w:pPr>
          </w:p>
          <w:p w14:paraId="42B7D9B2" w14:textId="170DE99A" w:rsidR="009E7738" w:rsidRPr="00862453" w:rsidRDefault="009E7738" w:rsidP="00F300C4">
            <w:pPr>
              <w:pStyle w:val="TableParagraph"/>
              <w:spacing w:before="1"/>
              <w:ind w:right="696"/>
              <w:rPr>
                <w:lang w:val="es-419"/>
              </w:rPr>
            </w:pPr>
            <w:r w:rsidRPr="00862453">
              <w:rPr>
                <w:lang w:val="es-419"/>
              </w:rPr>
              <w:t xml:space="preserve">El segundo riesgo se abordó mediante </w:t>
            </w:r>
            <w:r w:rsidR="000325D2" w:rsidRPr="00862453">
              <w:rPr>
                <w:lang w:val="es-419"/>
              </w:rPr>
              <w:t>un</w:t>
            </w:r>
            <w:r w:rsidRPr="00862453">
              <w:rPr>
                <w:lang w:val="es-419"/>
              </w:rPr>
              <w:t xml:space="preserve">a comunicación </w:t>
            </w:r>
            <w:r w:rsidR="000325D2" w:rsidRPr="00862453">
              <w:rPr>
                <w:lang w:val="es-419"/>
              </w:rPr>
              <w:t>eficaz</w:t>
            </w:r>
            <w:r w:rsidRPr="00862453">
              <w:rPr>
                <w:lang w:val="es-419"/>
              </w:rPr>
              <w:t xml:space="preserve"> con los beneficiarios a través de la página web, la inclusión de los enlaces a los materiales en los sitios web y otros </w:t>
            </w:r>
            <w:r w:rsidR="00E02F03" w:rsidRPr="00862453">
              <w:rPr>
                <w:lang w:val="es-419"/>
              </w:rPr>
              <w:t xml:space="preserve">cauces </w:t>
            </w:r>
            <w:r w:rsidRPr="00862453">
              <w:rPr>
                <w:lang w:val="es-419"/>
              </w:rPr>
              <w:t xml:space="preserve">de comunicación locales, así como el envío de </w:t>
            </w:r>
            <w:r w:rsidR="00E02F03" w:rsidRPr="00862453">
              <w:rPr>
                <w:lang w:val="es-419"/>
              </w:rPr>
              <w:t>la documentación</w:t>
            </w:r>
            <w:r w:rsidRPr="00862453">
              <w:rPr>
                <w:lang w:val="es-419"/>
              </w:rPr>
              <w:t xml:space="preserve"> de referencia antes de los eventos. En algunos casos, </w:t>
            </w:r>
            <w:r w:rsidR="000F2C00" w:rsidRPr="00862453">
              <w:rPr>
                <w:lang w:val="es-419"/>
              </w:rPr>
              <w:t xml:space="preserve">se consideró adecuado enviar </w:t>
            </w:r>
            <w:r w:rsidRPr="00862453">
              <w:rPr>
                <w:lang w:val="es-419"/>
              </w:rPr>
              <w:t xml:space="preserve">la información </w:t>
            </w:r>
            <w:r w:rsidR="00B4626C" w:rsidRPr="00862453">
              <w:rPr>
                <w:lang w:val="es-419"/>
              </w:rPr>
              <w:t>por medio</w:t>
            </w:r>
            <w:r w:rsidRPr="00862453">
              <w:rPr>
                <w:lang w:val="es-419"/>
              </w:rPr>
              <w:t xml:space="preserve"> de las asociaciones disponibles (asociaciones de </w:t>
            </w:r>
            <w:r w:rsidRPr="00862453">
              <w:rPr>
                <w:i/>
                <w:iCs/>
                <w:lang w:val="es-419"/>
              </w:rPr>
              <w:t>software</w:t>
            </w:r>
            <w:r w:rsidRPr="00862453">
              <w:rPr>
                <w:lang w:val="es-419"/>
              </w:rPr>
              <w:t xml:space="preserve"> o de la industria), </w:t>
            </w:r>
            <w:r w:rsidR="000325D2" w:rsidRPr="00862453">
              <w:rPr>
                <w:lang w:val="es-419"/>
              </w:rPr>
              <w:t xml:space="preserve">las </w:t>
            </w:r>
            <w:r w:rsidRPr="00862453">
              <w:rPr>
                <w:lang w:val="es-419"/>
              </w:rPr>
              <w:t>redes universitarias y otros canales</w:t>
            </w:r>
            <w:r w:rsidR="000325D2" w:rsidRPr="00862453">
              <w:rPr>
                <w:lang w:val="es-419"/>
              </w:rPr>
              <w:t>.</w:t>
            </w:r>
          </w:p>
          <w:p w14:paraId="3A803BD4" w14:textId="77777777" w:rsidR="004304CA" w:rsidRPr="00862453" w:rsidRDefault="004304CA" w:rsidP="00F300C4">
            <w:pPr>
              <w:pStyle w:val="TableParagraph"/>
              <w:spacing w:before="1"/>
              <w:ind w:left="109" w:right="696"/>
              <w:rPr>
                <w:lang w:val="es-419"/>
              </w:rPr>
            </w:pPr>
          </w:p>
          <w:p w14:paraId="44DB9248" w14:textId="6DF4EF49" w:rsidR="009E7738" w:rsidRPr="00862453" w:rsidRDefault="009E7738" w:rsidP="00F300C4">
            <w:pPr>
              <w:pStyle w:val="TableParagraph"/>
              <w:spacing w:before="1"/>
              <w:ind w:right="696"/>
              <w:rPr>
                <w:lang w:val="es-419"/>
              </w:rPr>
            </w:pPr>
            <w:r w:rsidRPr="00862453">
              <w:rPr>
                <w:lang w:val="es-419"/>
              </w:rPr>
              <w:t xml:space="preserve">Además, durante la ejecución del proyecto se </w:t>
            </w:r>
            <w:r w:rsidR="00B4626C" w:rsidRPr="00862453">
              <w:rPr>
                <w:lang w:val="es-419"/>
              </w:rPr>
              <w:t>tuvieron</w:t>
            </w:r>
            <w:r w:rsidRPr="00862453">
              <w:rPr>
                <w:lang w:val="es-419"/>
              </w:rPr>
              <w:t xml:space="preserve"> </w:t>
            </w:r>
            <w:r w:rsidR="00DD3CE6" w:rsidRPr="00862453">
              <w:rPr>
                <w:lang w:val="es-419"/>
              </w:rPr>
              <w:t>presentes</w:t>
            </w:r>
            <w:r w:rsidRPr="00862453">
              <w:rPr>
                <w:lang w:val="es-419"/>
              </w:rPr>
              <w:t xml:space="preserve"> los retos</w:t>
            </w:r>
            <w:r w:rsidR="00B4626C" w:rsidRPr="00862453">
              <w:rPr>
                <w:lang w:val="es-419"/>
              </w:rPr>
              <w:t xml:space="preserve"> siguientes</w:t>
            </w:r>
            <w:r w:rsidRPr="00862453">
              <w:rPr>
                <w:lang w:val="es-419"/>
              </w:rPr>
              <w:t xml:space="preserve">: </w:t>
            </w:r>
          </w:p>
          <w:p w14:paraId="38DDBEB0" w14:textId="77777777" w:rsidR="004304CA" w:rsidRPr="00862453" w:rsidRDefault="004304CA" w:rsidP="00F300C4">
            <w:pPr>
              <w:pStyle w:val="TableParagraph"/>
              <w:spacing w:before="1"/>
              <w:ind w:right="696"/>
              <w:rPr>
                <w:lang w:val="es-419"/>
              </w:rPr>
            </w:pPr>
          </w:p>
          <w:p w14:paraId="4A4592A6" w14:textId="1A308265" w:rsidR="009E7738" w:rsidRPr="00862453" w:rsidRDefault="00DD3CE6" w:rsidP="004304CA">
            <w:pPr>
              <w:pStyle w:val="TableParagraph"/>
              <w:numPr>
                <w:ilvl w:val="0"/>
                <w:numId w:val="36"/>
              </w:numPr>
              <w:spacing w:before="1"/>
              <w:ind w:left="360" w:right="696"/>
              <w:rPr>
                <w:lang w:val="es-419"/>
              </w:rPr>
            </w:pPr>
            <w:r w:rsidRPr="00862453">
              <w:rPr>
                <w:lang w:val="es-419"/>
              </w:rPr>
              <w:t>La dificultad de g</w:t>
            </w:r>
            <w:r w:rsidR="009E7738" w:rsidRPr="00862453">
              <w:rPr>
                <w:lang w:val="es-419"/>
              </w:rPr>
              <w:t xml:space="preserve">arantizar </w:t>
            </w:r>
            <w:r w:rsidRPr="00862453">
              <w:rPr>
                <w:lang w:val="es-419"/>
              </w:rPr>
              <w:t>la dedicación</w:t>
            </w:r>
            <w:r w:rsidR="009E7738" w:rsidRPr="00862453">
              <w:rPr>
                <w:lang w:val="es-419"/>
              </w:rPr>
              <w:t xml:space="preserve"> de algunas partes interesadas</w:t>
            </w:r>
            <w:r w:rsidR="003550F3" w:rsidRPr="00862453">
              <w:rPr>
                <w:lang w:val="es-419"/>
              </w:rPr>
              <w:t xml:space="preserve">, </w:t>
            </w:r>
            <w:r w:rsidRPr="00862453">
              <w:rPr>
                <w:lang w:val="es-419"/>
              </w:rPr>
              <w:t>habida cuenta</w:t>
            </w:r>
            <w:r w:rsidR="009E7738" w:rsidRPr="00862453">
              <w:rPr>
                <w:lang w:val="es-419"/>
              </w:rPr>
              <w:t xml:space="preserve"> de los cost</w:t>
            </w:r>
            <w:r w:rsidRPr="00862453">
              <w:rPr>
                <w:lang w:val="es-419"/>
              </w:rPr>
              <w:t>o</w:t>
            </w:r>
            <w:r w:rsidR="009E7738" w:rsidRPr="00862453">
              <w:rPr>
                <w:lang w:val="es-419"/>
              </w:rPr>
              <w:t xml:space="preserve">s de oportunidad </w:t>
            </w:r>
            <w:r w:rsidRPr="00862453">
              <w:rPr>
                <w:lang w:val="es-419"/>
              </w:rPr>
              <w:t>u</w:t>
            </w:r>
            <w:r w:rsidR="009E7738" w:rsidRPr="00862453">
              <w:rPr>
                <w:lang w:val="es-419"/>
              </w:rPr>
              <w:t xml:space="preserve"> otros compromisos profesionales.</w:t>
            </w:r>
          </w:p>
          <w:p w14:paraId="29E1914D" w14:textId="499E8024" w:rsidR="009E7738" w:rsidRPr="00862453" w:rsidRDefault="003F5DB1" w:rsidP="004304CA">
            <w:pPr>
              <w:pStyle w:val="TableParagraph"/>
              <w:numPr>
                <w:ilvl w:val="0"/>
                <w:numId w:val="36"/>
              </w:numPr>
              <w:spacing w:before="1"/>
              <w:ind w:left="360" w:right="696"/>
              <w:rPr>
                <w:lang w:val="es-419"/>
              </w:rPr>
            </w:pPr>
            <w:r w:rsidRPr="00862453">
              <w:rPr>
                <w:lang w:val="es-419"/>
              </w:rPr>
              <w:t xml:space="preserve">La necesidad de ser realistas </w:t>
            </w:r>
            <w:r w:rsidR="00AF69EB" w:rsidRPr="00862453">
              <w:rPr>
                <w:lang w:val="es-419"/>
              </w:rPr>
              <w:t>respecto d</w:t>
            </w:r>
            <w:r w:rsidR="009E7738" w:rsidRPr="00862453">
              <w:rPr>
                <w:lang w:val="es-419"/>
              </w:rPr>
              <w:t xml:space="preserve">el </w:t>
            </w:r>
            <w:r w:rsidR="00AF69EB" w:rsidRPr="00862453">
              <w:rPr>
                <w:lang w:val="es-419"/>
              </w:rPr>
              <w:t>grado</w:t>
            </w:r>
            <w:r w:rsidR="009E7738" w:rsidRPr="00862453">
              <w:rPr>
                <w:lang w:val="es-419"/>
              </w:rPr>
              <w:t xml:space="preserve"> de conocimientos técnicos </w:t>
            </w:r>
            <w:r w:rsidR="00AF69EB" w:rsidRPr="00862453">
              <w:rPr>
                <w:lang w:val="es-419"/>
              </w:rPr>
              <w:t>de quienes se encarguen del fortalecimiento de las capacidades</w:t>
            </w:r>
            <w:r w:rsidR="009E7738" w:rsidRPr="00862453">
              <w:rPr>
                <w:lang w:val="es-419"/>
              </w:rPr>
              <w:t xml:space="preserve">: los expertos de alto nivel suelen </w:t>
            </w:r>
            <w:r w:rsidR="00AF69EB" w:rsidRPr="00862453">
              <w:rPr>
                <w:lang w:val="es-419"/>
              </w:rPr>
              <w:t>trabajar en el</w:t>
            </w:r>
            <w:r w:rsidR="009E7738" w:rsidRPr="00862453">
              <w:rPr>
                <w:lang w:val="es-419"/>
              </w:rPr>
              <w:t xml:space="preserve"> sector privado y puede que no estén disponibles en las condiciones de contratación propuestas.</w:t>
            </w:r>
          </w:p>
          <w:p w14:paraId="04A6BF7C" w14:textId="0207390B" w:rsidR="004304CA" w:rsidRPr="00862453" w:rsidRDefault="009E7738" w:rsidP="00506ABB">
            <w:pPr>
              <w:pStyle w:val="TableParagraph"/>
              <w:numPr>
                <w:ilvl w:val="0"/>
                <w:numId w:val="36"/>
              </w:numPr>
              <w:spacing w:before="1"/>
              <w:ind w:left="360" w:right="696"/>
              <w:rPr>
                <w:lang w:val="es-419"/>
              </w:rPr>
            </w:pPr>
            <w:r w:rsidRPr="00862453">
              <w:rPr>
                <w:lang w:val="es-419"/>
              </w:rPr>
              <w:t xml:space="preserve">Sin una página web, el proyecto no </w:t>
            </w:r>
            <w:r w:rsidR="00AF69EB" w:rsidRPr="00862453">
              <w:rPr>
                <w:lang w:val="es-419"/>
              </w:rPr>
              <w:t>t</w:t>
            </w:r>
            <w:r w:rsidR="00506ABB" w:rsidRPr="00862453">
              <w:rPr>
                <w:lang w:val="es-419"/>
              </w:rPr>
              <w:t xml:space="preserve">endría </w:t>
            </w:r>
            <w:r w:rsidRPr="00862453">
              <w:rPr>
                <w:lang w:val="es-419"/>
              </w:rPr>
              <w:t>un "hogar" adecuado</w:t>
            </w:r>
            <w:r w:rsidR="00506ABB" w:rsidRPr="00862453">
              <w:rPr>
                <w:lang w:val="es-419"/>
              </w:rPr>
              <w:t>,</w:t>
            </w:r>
            <w:r w:rsidRPr="00862453">
              <w:rPr>
                <w:lang w:val="es-419"/>
              </w:rPr>
              <w:t xml:space="preserve"> </w:t>
            </w:r>
            <w:r w:rsidR="00506ABB" w:rsidRPr="00862453">
              <w:rPr>
                <w:lang w:val="es-419"/>
              </w:rPr>
              <w:t>lo que</w:t>
            </w:r>
            <w:r w:rsidRPr="00862453">
              <w:rPr>
                <w:lang w:val="es-419"/>
              </w:rPr>
              <w:t xml:space="preserve"> dificulta</w:t>
            </w:r>
            <w:r w:rsidR="00506ABB" w:rsidRPr="00862453">
              <w:rPr>
                <w:lang w:val="es-419"/>
              </w:rPr>
              <w:t>ría</w:t>
            </w:r>
            <w:r w:rsidRPr="00862453">
              <w:rPr>
                <w:lang w:val="es-419"/>
              </w:rPr>
              <w:t xml:space="preserve"> la medición </w:t>
            </w:r>
            <w:r w:rsidR="00506ABB" w:rsidRPr="00862453">
              <w:rPr>
                <w:lang w:val="es-419"/>
              </w:rPr>
              <w:t>del grado de interés y las interacciones</w:t>
            </w:r>
            <w:r w:rsidRPr="00862453">
              <w:rPr>
                <w:lang w:val="es-419"/>
              </w:rPr>
              <w:t>.</w:t>
            </w:r>
          </w:p>
          <w:p w14:paraId="0C0CA588" w14:textId="77777777" w:rsidR="004304CA" w:rsidRPr="00862453" w:rsidRDefault="004304CA" w:rsidP="00F300C4">
            <w:pPr>
              <w:pStyle w:val="TableParagraph"/>
              <w:spacing w:before="1"/>
              <w:ind w:left="109" w:right="696"/>
              <w:rPr>
                <w:lang w:val="es-419"/>
              </w:rPr>
            </w:pPr>
          </w:p>
        </w:tc>
      </w:tr>
      <w:tr w:rsidR="004304CA" w:rsidRPr="00862453" w14:paraId="412BF394" w14:textId="77777777" w:rsidTr="00F300C4">
        <w:trPr>
          <w:trHeight w:val="703"/>
        </w:trPr>
        <w:tc>
          <w:tcPr>
            <w:tcW w:w="2401" w:type="dxa"/>
            <w:shd w:val="clear" w:color="auto" w:fill="C6D9F1" w:themeFill="text2" w:themeFillTint="33"/>
          </w:tcPr>
          <w:p w14:paraId="47620FD5" w14:textId="3969BFE1" w:rsidR="004304CA" w:rsidRPr="00862453" w:rsidRDefault="002C76FC" w:rsidP="00F300C4">
            <w:pPr>
              <w:pStyle w:val="TableParagraph"/>
              <w:ind w:left="110" w:right="212"/>
              <w:rPr>
                <w:lang w:val="es-419"/>
              </w:rPr>
            </w:pPr>
            <w:r w:rsidRPr="00862453">
              <w:rPr>
                <w:u w:val="single"/>
                <w:lang w:val="es-419"/>
              </w:rPr>
              <w:t>Porcentaje de ejecución del proyecto</w:t>
            </w:r>
            <w:r w:rsidRPr="00862453">
              <w:rPr>
                <w:rStyle w:val="FootnoteReference"/>
                <w:rFonts w:cs="Arial"/>
                <w:u w:val="single"/>
                <w:vertAlign w:val="baseline"/>
                <w:lang w:val="es-419"/>
              </w:rPr>
              <w:t xml:space="preserve"> </w:t>
            </w:r>
            <w:r w:rsidR="004304CA" w:rsidRPr="00862453">
              <w:rPr>
                <w:rStyle w:val="FootnoteReference"/>
                <w:rFonts w:cs="Arial"/>
                <w:u w:val="single"/>
                <w:lang w:val="es-419"/>
              </w:rPr>
              <w:footnoteReference w:id="2"/>
            </w:r>
          </w:p>
        </w:tc>
        <w:tc>
          <w:tcPr>
            <w:tcW w:w="6889" w:type="dxa"/>
          </w:tcPr>
          <w:p w14:paraId="18063500" w14:textId="1019D95A" w:rsidR="004304CA" w:rsidRPr="00862453" w:rsidRDefault="00AC0073" w:rsidP="00F300C4">
            <w:pPr>
              <w:pStyle w:val="TableParagraph"/>
              <w:ind w:left="109" w:right="683"/>
              <w:rPr>
                <w:lang w:val="es-419"/>
              </w:rPr>
            </w:pPr>
            <w:r w:rsidRPr="00862453">
              <w:rPr>
                <w:lang w:val="es-419"/>
              </w:rPr>
              <w:t>El índice de utilización del presupuesto a finales de </w:t>
            </w:r>
            <w:r w:rsidR="004304CA" w:rsidRPr="00862453">
              <w:rPr>
                <w:lang w:val="es-419"/>
              </w:rPr>
              <w:t xml:space="preserve">2021 </w:t>
            </w:r>
            <w:r w:rsidRPr="00862453">
              <w:rPr>
                <w:lang w:val="es-419"/>
              </w:rPr>
              <w:t>era del </w:t>
            </w:r>
            <w:r w:rsidR="004304CA" w:rsidRPr="00862453">
              <w:rPr>
                <w:lang w:val="es-419"/>
              </w:rPr>
              <w:t>85%</w:t>
            </w:r>
            <w:r w:rsidRPr="00862453">
              <w:rPr>
                <w:lang w:val="es-419"/>
              </w:rPr>
              <w:t>.</w:t>
            </w:r>
          </w:p>
        </w:tc>
      </w:tr>
      <w:tr w:rsidR="004304CA" w:rsidRPr="00862453" w14:paraId="362A0675" w14:textId="77777777" w:rsidTr="00F300C4">
        <w:trPr>
          <w:trHeight w:val="631"/>
        </w:trPr>
        <w:tc>
          <w:tcPr>
            <w:tcW w:w="2401" w:type="dxa"/>
            <w:shd w:val="clear" w:color="auto" w:fill="C6D9F1" w:themeFill="text2" w:themeFillTint="33"/>
          </w:tcPr>
          <w:p w14:paraId="4E2C3F8B" w14:textId="01A0A108" w:rsidR="004304CA" w:rsidRPr="00862453" w:rsidRDefault="002C76FC" w:rsidP="00F300C4">
            <w:pPr>
              <w:pStyle w:val="TableParagraph"/>
              <w:ind w:left="110"/>
              <w:rPr>
                <w:lang w:val="es-419"/>
              </w:rPr>
            </w:pPr>
            <w:r w:rsidRPr="00862453">
              <w:rPr>
                <w:u w:val="single"/>
                <w:lang w:val="es-419"/>
              </w:rPr>
              <w:t>Informes previos</w:t>
            </w:r>
          </w:p>
        </w:tc>
        <w:tc>
          <w:tcPr>
            <w:tcW w:w="6889" w:type="dxa"/>
          </w:tcPr>
          <w:p w14:paraId="128E9BFA" w14:textId="5F57C176" w:rsidR="004304CA" w:rsidRPr="00862453" w:rsidRDefault="003550F3" w:rsidP="00F300C4">
            <w:pPr>
              <w:pStyle w:val="TableParagraph"/>
              <w:ind w:left="109" w:right="892"/>
              <w:rPr>
                <w:lang w:val="es-419"/>
              </w:rPr>
            </w:pPr>
            <w:r w:rsidRPr="00862453">
              <w:rPr>
                <w:lang w:val="es-419"/>
              </w:rPr>
              <w:t>En 2020 y en 2021, s</w:t>
            </w:r>
            <w:r w:rsidR="0072236C" w:rsidRPr="00862453">
              <w:rPr>
                <w:lang w:val="es-419"/>
              </w:rPr>
              <w:t xml:space="preserve">e </w:t>
            </w:r>
            <w:r w:rsidRPr="00862453">
              <w:rPr>
                <w:lang w:val="es-419"/>
              </w:rPr>
              <w:t>presentaron</w:t>
            </w:r>
            <w:r w:rsidR="0072236C" w:rsidRPr="00862453">
              <w:rPr>
                <w:lang w:val="es-419"/>
              </w:rPr>
              <w:t xml:space="preserve"> al CDIP dos informes previos sobre la marcha del proyecto. </w:t>
            </w:r>
          </w:p>
          <w:p w14:paraId="04028F8E" w14:textId="77777777" w:rsidR="004304CA" w:rsidRPr="00862453" w:rsidRDefault="004304CA" w:rsidP="00F300C4">
            <w:pPr>
              <w:pStyle w:val="TableParagraph"/>
              <w:ind w:left="109" w:right="892"/>
              <w:rPr>
                <w:lang w:val="es-419"/>
              </w:rPr>
            </w:pPr>
          </w:p>
          <w:p w14:paraId="7149E3DE" w14:textId="06B92F48" w:rsidR="004304CA" w:rsidRPr="00862453" w:rsidRDefault="0072236C" w:rsidP="00F300C4">
            <w:pPr>
              <w:pStyle w:val="TableParagraph"/>
              <w:ind w:left="109" w:right="892"/>
              <w:rPr>
                <w:lang w:val="es-419"/>
              </w:rPr>
            </w:pPr>
            <w:r w:rsidRPr="00862453">
              <w:rPr>
                <w:lang w:val="es-419"/>
              </w:rPr>
              <w:t>Los informes sobre la marcha del proyecto figuran en el Anexo</w:t>
            </w:r>
            <w:r w:rsidR="004304CA" w:rsidRPr="00862453">
              <w:rPr>
                <w:lang w:val="es-419"/>
              </w:rPr>
              <w:t xml:space="preserve"> III</w:t>
            </w:r>
            <w:r w:rsidRPr="00862453">
              <w:rPr>
                <w:lang w:val="es-419"/>
              </w:rPr>
              <w:t xml:space="preserve"> al</w:t>
            </w:r>
            <w:r w:rsidR="004304CA" w:rsidRPr="00862453">
              <w:rPr>
                <w:lang w:val="es-419"/>
              </w:rPr>
              <w:t xml:space="preserve"> document</w:t>
            </w:r>
            <w:r w:rsidRPr="00862453">
              <w:rPr>
                <w:lang w:val="es-419"/>
              </w:rPr>
              <w:t>o</w:t>
            </w:r>
            <w:r w:rsidR="004304CA" w:rsidRPr="00862453">
              <w:rPr>
                <w:lang w:val="es-419"/>
              </w:rPr>
              <w:t xml:space="preserve"> CDIP/24/2, </w:t>
            </w:r>
            <w:r w:rsidRPr="00862453">
              <w:rPr>
                <w:lang w:val="es-419"/>
              </w:rPr>
              <w:t>y en el Anexo</w:t>
            </w:r>
            <w:r w:rsidR="004304CA" w:rsidRPr="00862453">
              <w:rPr>
                <w:lang w:val="es-419"/>
              </w:rPr>
              <w:t xml:space="preserve"> IV</w:t>
            </w:r>
            <w:r w:rsidRPr="00862453">
              <w:rPr>
                <w:lang w:val="es-419"/>
              </w:rPr>
              <w:t xml:space="preserve"> al </w:t>
            </w:r>
            <w:r w:rsidR="004304CA" w:rsidRPr="00862453">
              <w:rPr>
                <w:lang w:val="es-419"/>
              </w:rPr>
              <w:t>document</w:t>
            </w:r>
            <w:r w:rsidRPr="00862453">
              <w:rPr>
                <w:lang w:val="es-419"/>
              </w:rPr>
              <w:t>o</w:t>
            </w:r>
            <w:r w:rsidR="004304CA" w:rsidRPr="00862453">
              <w:rPr>
                <w:lang w:val="es-419"/>
              </w:rPr>
              <w:t xml:space="preserve"> CDIP/26/2</w:t>
            </w:r>
          </w:p>
          <w:p w14:paraId="3AB7BF13" w14:textId="77777777" w:rsidR="004304CA" w:rsidRPr="00862453" w:rsidRDefault="004304CA" w:rsidP="00F300C4">
            <w:pPr>
              <w:pStyle w:val="TableParagraph"/>
              <w:ind w:left="109" w:right="892"/>
              <w:rPr>
                <w:lang w:val="es-419"/>
              </w:rPr>
            </w:pPr>
          </w:p>
        </w:tc>
      </w:tr>
      <w:tr w:rsidR="004304CA" w:rsidRPr="00862453" w14:paraId="1C9F049B" w14:textId="77777777" w:rsidTr="00F300C4">
        <w:trPr>
          <w:trHeight w:val="846"/>
        </w:trPr>
        <w:tc>
          <w:tcPr>
            <w:tcW w:w="2401" w:type="dxa"/>
            <w:shd w:val="clear" w:color="auto" w:fill="C6D9F1" w:themeFill="text2" w:themeFillTint="33"/>
          </w:tcPr>
          <w:p w14:paraId="05468615" w14:textId="222EF609" w:rsidR="004304CA" w:rsidRPr="00862453" w:rsidRDefault="002C76FC" w:rsidP="00F300C4">
            <w:pPr>
              <w:pStyle w:val="TableParagraph"/>
              <w:ind w:left="110" w:right="855"/>
              <w:rPr>
                <w:lang w:val="es-419"/>
              </w:rPr>
            </w:pPr>
            <w:r w:rsidRPr="00862453">
              <w:rPr>
                <w:u w:val="single"/>
                <w:lang w:val="es-419"/>
              </w:rPr>
              <w:t>Seguimiento y difusión</w:t>
            </w:r>
          </w:p>
        </w:tc>
        <w:tc>
          <w:tcPr>
            <w:tcW w:w="6889" w:type="dxa"/>
          </w:tcPr>
          <w:p w14:paraId="3D4EC1D0" w14:textId="3F642B1C" w:rsidR="009E7738" w:rsidRPr="00862453" w:rsidRDefault="00C94972" w:rsidP="00F300C4">
            <w:pPr>
              <w:pStyle w:val="TableParagraph"/>
              <w:rPr>
                <w:lang w:val="es-419"/>
              </w:rPr>
            </w:pPr>
            <w:r w:rsidRPr="00862453">
              <w:rPr>
                <w:lang w:val="es-419"/>
              </w:rPr>
              <w:t>P</w:t>
            </w:r>
            <w:r w:rsidR="009E7738" w:rsidRPr="00862453">
              <w:rPr>
                <w:lang w:val="es-419"/>
              </w:rPr>
              <w:t xml:space="preserve">ara garantizar el seguimiento y la difusión </w:t>
            </w:r>
            <w:r w:rsidRPr="00862453">
              <w:rPr>
                <w:lang w:val="es-419"/>
              </w:rPr>
              <w:t>se puede prever la aplicación de las medidas siguientes:</w:t>
            </w:r>
          </w:p>
          <w:p w14:paraId="78C62EF2" w14:textId="77777777" w:rsidR="004304CA" w:rsidRPr="00862453" w:rsidRDefault="004304CA" w:rsidP="00F300C4">
            <w:pPr>
              <w:pStyle w:val="TableParagraph"/>
              <w:rPr>
                <w:lang w:val="es-419"/>
              </w:rPr>
            </w:pPr>
          </w:p>
          <w:p w14:paraId="3DF04D11" w14:textId="656B1654" w:rsidR="004304CA" w:rsidRPr="00862453" w:rsidRDefault="00763D8D" w:rsidP="004562B7">
            <w:pPr>
              <w:pStyle w:val="TableParagraph"/>
              <w:numPr>
                <w:ilvl w:val="0"/>
                <w:numId w:val="37"/>
              </w:numPr>
              <w:ind w:left="360"/>
              <w:rPr>
                <w:lang w:val="es-419"/>
              </w:rPr>
            </w:pPr>
            <w:r w:rsidRPr="00862453">
              <w:rPr>
                <w:lang w:val="es-419"/>
              </w:rPr>
              <w:t xml:space="preserve">En las reuniones de la OMPI y a través de las plataformas de las partes interesadas, </w:t>
            </w:r>
            <w:r w:rsidR="004B15CE" w:rsidRPr="00862453">
              <w:rPr>
                <w:lang w:val="es-419"/>
              </w:rPr>
              <w:t>se ha de fomentar</w:t>
            </w:r>
            <w:r w:rsidRPr="00862453">
              <w:rPr>
                <w:lang w:val="es-419"/>
              </w:rPr>
              <w:t xml:space="preserve"> el</w:t>
            </w:r>
            <w:r w:rsidR="005E47D9" w:rsidRPr="00862453">
              <w:rPr>
                <w:lang w:val="es-419"/>
              </w:rPr>
              <w:t xml:space="preserve"> uso de las herramientas </w:t>
            </w:r>
            <w:r w:rsidRPr="00862453">
              <w:rPr>
                <w:lang w:val="es-419"/>
              </w:rPr>
              <w:t>concebidas</w:t>
            </w:r>
            <w:r w:rsidR="005E47D9" w:rsidRPr="00862453">
              <w:rPr>
                <w:lang w:val="es-419"/>
              </w:rPr>
              <w:t xml:space="preserve"> en el marco del proyecto. </w:t>
            </w:r>
            <w:r w:rsidR="004B15CE" w:rsidRPr="00862453">
              <w:rPr>
                <w:lang w:val="es-419"/>
              </w:rPr>
              <w:t>Conviene incluir</w:t>
            </w:r>
            <w:r w:rsidR="005E47D9" w:rsidRPr="00862453">
              <w:rPr>
                <w:lang w:val="es-419"/>
              </w:rPr>
              <w:t xml:space="preserve"> en las actividades habituales de la OMPI </w:t>
            </w:r>
            <w:r w:rsidR="004729F2" w:rsidRPr="00862453">
              <w:rPr>
                <w:lang w:val="es-419"/>
              </w:rPr>
              <w:t xml:space="preserve">los contenidos elaborados durante el proyecto </w:t>
            </w:r>
            <w:r w:rsidR="005E47D9" w:rsidRPr="00862453">
              <w:rPr>
                <w:lang w:val="es-419"/>
              </w:rPr>
              <w:t>y sensibilizar a otros Estados miembros, que podrían beneficiarse de ellos.</w:t>
            </w:r>
          </w:p>
          <w:p w14:paraId="576CF470" w14:textId="77777777" w:rsidR="004562B7" w:rsidRPr="00862453" w:rsidRDefault="004562B7" w:rsidP="004562B7">
            <w:pPr>
              <w:pStyle w:val="TableParagraph"/>
              <w:ind w:left="360"/>
              <w:rPr>
                <w:lang w:val="es-419"/>
              </w:rPr>
            </w:pPr>
          </w:p>
          <w:p w14:paraId="5FF935E9" w14:textId="39E4880C" w:rsidR="005E47D9" w:rsidRPr="00862453" w:rsidRDefault="005E47D9" w:rsidP="004304CA">
            <w:pPr>
              <w:pStyle w:val="TableParagraph"/>
              <w:numPr>
                <w:ilvl w:val="0"/>
                <w:numId w:val="37"/>
              </w:numPr>
              <w:ind w:left="360"/>
              <w:rPr>
                <w:lang w:val="es-419"/>
              </w:rPr>
            </w:pPr>
            <w:r w:rsidRPr="00862453">
              <w:rPr>
                <w:lang w:val="es-419"/>
              </w:rPr>
              <w:t xml:space="preserve">El proyecto ha suscitado </w:t>
            </w:r>
            <w:r w:rsidR="004B15CE" w:rsidRPr="00862453">
              <w:rPr>
                <w:lang w:val="es-419"/>
              </w:rPr>
              <w:t>sumo</w:t>
            </w:r>
            <w:r w:rsidRPr="00862453">
              <w:rPr>
                <w:lang w:val="es-419"/>
              </w:rPr>
              <w:t xml:space="preserve"> interés en los Estados miembros beneficiarios. La OMPI realizará un seguimiento a través de los </w:t>
            </w:r>
            <w:r w:rsidR="00113D49" w:rsidRPr="00862453">
              <w:rPr>
                <w:lang w:val="es-419"/>
              </w:rPr>
              <w:t>coordinadores</w:t>
            </w:r>
            <w:r w:rsidRPr="00862453">
              <w:rPr>
                <w:lang w:val="es-419"/>
              </w:rPr>
              <w:t xml:space="preserve"> del proyecto</w:t>
            </w:r>
            <w:r w:rsidR="004562B7" w:rsidRPr="00862453">
              <w:rPr>
                <w:lang w:val="es-419"/>
              </w:rPr>
              <w:t xml:space="preserve"> en los países beneficiarios</w:t>
            </w:r>
            <w:r w:rsidRPr="00862453">
              <w:rPr>
                <w:lang w:val="es-419"/>
              </w:rPr>
              <w:t>.</w:t>
            </w:r>
          </w:p>
          <w:p w14:paraId="7696040F" w14:textId="77777777" w:rsidR="005E47D9" w:rsidRPr="00862453" w:rsidRDefault="005E47D9" w:rsidP="005E47D9">
            <w:pPr>
              <w:pStyle w:val="ListParagraph"/>
              <w:rPr>
                <w:lang w:val="es-419"/>
              </w:rPr>
            </w:pPr>
          </w:p>
          <w:p w14:paraId="5E2BBC69" w14:textId="206A1526" w:rsidR="005E47D9" w:rsidRPr="00862453" w:rsidRDefault="005E47D9" w:rsidP="004304CA">
            <w:pPr>
              <w:pStyle w:val="TableParagraph"/>
              <w:numPr>
                <w:ilvl w:val="0"/>
                <w:numId w:val="37"/>
              </w:numPr>
              <w:ind w:left="360"/>
              <w:rPr>
                <w:lang w:val="es-419"/>
              </w:rPr>
            </w:pPr>
            <w:r w:rsidRPr="00862453">
              <w:rPr>
                <w:lang w:val="es-419"/>
              </w:rPr>
              <w:t xml:space="preserve">Las herramientas desarrolladas en el marco del proyecto son recursos valiosos </w:t>
            </w:r>
            <w:r w:rsidR="004562B7" w:rsidRPr="00862453">
              <w:rPr>
                <w:lang w:val="es-419"/>
              </w:rPr>
              <w:t>y</w:t>
            </w:r>
            <w:r w:rsidRPr="00862453">
              <w:rPr>
                <w:lang w:val="es-419"/>
              </w:rPr>
              <w:t xml:space="preserve"> deben mantenerse actualizad</w:t>
            </w:r>
            <w:r w:rsidR="004562B7" w:rsidRPr="00862453">
              <w:rPr>
                <w:lang w:val="es-419"/>
              </w:rPr>
              <w:t>a</w:t>
            </w:r>
            <w:r w:rsidRPr="00862453">
              <w:rPr>
                <w:lang w:val="es-419"/>
              </w:rPr>
              <w:t xml:space="preserve">s, en consonancia con los nuevos avances en el </w:t>
            </w:r>
            <w:r w:rsidR="004B15CE" w:rsidRPr="00862453">
              <w:rPr>
                <w:lang w:val="es-419"/>
              </w:rPr>
              <w:t>ámbito</w:t>
            </w:r>
            <w:r w:rsidRPr="00862453">
              <w:rPr>
                <w:lang w:val="es-419"/>
              </w:rPr>
              <w:t xml:space="preserve"> de las aplicaciones móviles.</w:t>
            </w:r>
          </w:p>
          <w:p w14:paraId="4EE7F4B7" w14:textId="77777777" w:rsidR="005E47D9" w:rsidRPr="00862453" w:rsidRDefault="005E47D9" w:rsidP="005E47D9">
            <w:pPr>
              <w:pStyle w:val="ListParagraph"/>
              <w:rPr>
                <w:lang w:val="es-419"/>
              </w:rPr>
            </w:pPr>
          </w:p>
          <w:p w14:paraId="5EDD3175" w14:textId="52C30CF7" w:rsidR="005E47D9" w:rsidRPr="00862453" w:rsidRDefault="005E47D9" w:rsidP="004304CA">
            <w:pPr>
              <w:pStyle w:val="TableParagraph"/>
              <w:numPr>
                <w:ilvl w:val="0"/>
                <w:numId w:val="37"/>
              </w:numPr>
              <w:ind w:left="360"/>
              <w:rPr>
                <w:lang w:val="es-419"/>
              </w:rPr>
            </w:pPr>
            <w:r w:rsidRPr="00862453">
              <w:rPr>
                <w:lang w:val="es-419"/>
              </w:rPr>
              <w:t xml:space="preserve">Es </w:t>
            </w:r>
            <w:r w:rsidR="004562B7" w:rsidRPr="00862453">
              <w:rPr>
                <w:lang w:val="es-419"/>
              </w:rPr>
              <w:t>imprescindible que</w:t>
            </w:r>
            <w:r w:rsidRPr="00862453">
              <w:rPr>
                <w:lang w:val="es-419"/>
              </w:rPr>
              <w:t xml:space="preserve"> los participantes en las actividades </w:t>
            </w:r>
            <w:r w:rsidR="004562B7" w:rsidRPr="00862453">
              <w:rPr>
                <w:lang w:val="es-419"/>
              </w:rPr>
              <w:t>se incluyan en</w:t>
            </w:r>
            <w:r w:rsidRPr="00862453">
              <w:rPr>
                <w:lang w:val="es-419"/>
              </w:rPr>
              <w:t xml:space="preserve"> la lista de distribución de futuras herramientas </w:t>
            </w:r>
            <w:r w:rsidR="004562B7" w:rsidRPr="00862453">
              <w:rPr>
                <w:lang w:val="es-419"/>
              </w:rPr>
              <w:t>conexas</w:t>
            </w:r>
            <w:r w:rsidRPr="00862453">
              <w:rPr>
                <w:lang w:val="es-419"/>
              </w:rPr>
              <w:t xml:space="preserve"> y </w:t>
            </w:r>
            <w:r w:rsidR="004562B7" w:rsidRPr="00862453">
              <w:rPr>
                <w:lang w:val="es-419"/>
              </w:rPr>
              <w:t>que se les comunique</w:t>
            </w:r>
            <w:r w:rsidRPr="00862453">
              <w:rPr>
                <w:lang w:val="es-419"/>
              </w:rPr>
              <w:t xml:space="preserve"> la información pertinente.</w:t>
            </w:r>
          </w:p>
          <w:p w14:paraId="66BF3F3A" w14:textId="77777777" w:rsidR="005E47D9" w:rsidRPr="00862453" w:rsidRDefault="005E47D9" w:rsidP="005E47D9">
            <w:pPr>
              <w:pStyle w:val="ListParagraph"/>
              <w:rPr>
                <w:lang w:val="es-419"/>
              </w:rPr>
            </w:pPr>
          </w:p>
          <w:p w14:paraId="2B6325B5" w14:textId="3E152853" w:rsidR="005E47D9" w:rsidRPr="00862453" w:rsidRDefault="005E47D9" w:rsidP="004304CA">
            <w:pPr>
              <w:pStyle w:val="TableParagraph"/>
              <w:numPr>
                <w:ilvl w:val="0"/>
                <w:numId w:val="37"/>
              </w:numPr>
              <w:ind w:left="360"/>
              <w:rPr>
                <w:lang w:val="es-419"/>
              </w:rPr>
            </w:pPr>
            <w:r w:rsidRPr="00862453">
              <w:rPr>
                <w:lang w:val="es-419"/>
              </w:rPr>
              <w:t xml:space="preserve">El proyecto se centró en las aplicaciones móviles como </w:t>
            </w:r>
            <w:r w:rsidR="004B15CE" w:rsidRPr="00862453">
              <w:rPr>
                <w:lang w:val="es-419"/>
              </w:rPr>
              <w:t>ámbito escéptico</w:t>
            </w:r>
            <w:r w:rsidRPr="00862453">
              <w:rPr>
                <w:lang w:val="es-419"/>
              </w:rPr>
              <w:t xml:space="preserve"> del sector, </w:t>
            </w:r>
            <w:r w:rsidR="005542EE" w:rsidRPr="00862453">
              <w:rPr>
                <w:lang w:val="es-419"/>
              </w:rPr>
              <w:t>no obstante</w:t>
            </w:r>
            <w:r w:rsidRPr="00862453">
              <w:rPr>
                <w:lang w:val="es-419"/>
              </w:rPr>
              <w:t xml:space="preserve">, </w:t>
            </w:r>
            <w:r w:rsidR="005542EE" w:rsidRPr="00862453">
              <w:rPr>
                <w:lang w:val="es-419"/>
              </w:rPr>
              <w:t>estas</w:t>
            </w:r>
            <w:r w:rsidRPr="00862453">
              <w:rPr>
                <w:lang w:val="es-419"/>
              </w:rPr>
              <w:t xml:space="preserve"> </w:t>
            </w:r>
            <w:r w:rsidR="00BC0770" w:rsidRPr="00862453">
              <w:rPr>
                <w:lang w:val="es-419"/>
              </w:rPr>
              <w:t>aplicaciones revestirían aún mayor importancia</w:t>
            </w:r>
            <w:r w:rsidRPr="00862453">
              <w:rPr>
                <w:lang w:val="es-419"/>
              </w:rPr>
              <w:t xml:space="preserve"> en contextos industriales </w:t>
            </w:r>
            <w:r w:rsidR="005542EE" w:rsidRPr="00862453">
              <w:rPr>
                <w:lang w:val="es-419"/>
              </w:rPr>
              <w:t>particulares</w:t>
            </w:r>
            <w:r w:rsidRPr="00862453">
              <w:rPr>
                <w:lang w:val="es-419"/>
              </w:rPr>
              <w:t xml:space="preserve"> donde añaden valor</w:t>
            </w:r>
            <w:r w:rsidR="004B15CE" w:rsidRPr="00862453">
              <w:rPr>
                <w:lang w:val="es-419"/>
              </w:rPr>
              <w:t xml:space="preserve">, </w:t>
            </w:r>
            <w:r w:rsidRPr="00862453">
              <w:rPr>
                <w:lang w:val="es-419"/>
              </w:rPr>
              <w:t xml:space="preserve">refuerzan la utilización de la </w:t>
            </w:r>
            <w:r w:rsidR="004B15CE" w:rsidRPr="00862453">
              <w:rPr>
                <w:lang w:val="es-419"/>
              </w:rPr>
              <w:t>PI</w:t>
            </w:r>
            <w:r w:rsidRPr="00862453">
              <w:rPr>
                <w:lang w:val="es-419"/>
              </w:rPr>
              <w:t xml:space="preserve"> </w:t>
            </w:r>
            <w:r w:rsidR="005542EE" w:rsidRPr="00862453">
              <w:rPr>
                <w:lang w:val="es-419"/>
              </w:rPr>
              <w:t>e impulsan</w:t>
            </w:r>
            <w:r w:rsidRPr="00862453">
              <w:rPr>
                <w:lang w:val="es-419"/>
              </w:rPr>
              <w:t xml:space="preserve"> el rendimiento del mercado </w:t>
            </w:r>
            <w:r w:rsidR="005542EE" w:rsidRPr="00862453">
              <w:rPr>
                <w:lang w:val="es-419"/>
              </w:rPr>
              <w:t>en</w:t>
            </w:r>
            <w:r w:rsidRPr="00862453">
              <w:rPr>
                <w:lang w:val="es-419"/>
              </w:rPr>
              <w:t xml:space="preserve"> industrias específicas. La adopción de un enfoque vertical de las aplicaciones en el contexto de la industria </w:t>
            </w:r>
            <w:r w:rsidR="005542EE" w:rsidRPr="00862453">
              <w:rPr>
                <w:lang w:val="es-419"/>
              </w:rPr>
              <w:t>podría</w:t>
            </w:r>
            <w:r w:rsidRPr="00862453">
              <w:rPr>
                <w:lang w:val="es-419"/>
              </w:rPr>
              <w:t xml:space="preserve"> ser un complemento </w:t>
            </w:r>
            <w:r w:rsidR="005542EE" w:rsidRPr="00862453">
              <w:rPr>
                <w:lang w:val="es-419"/>
              </w:rPr>
              <w:t>esencial</w:t>
            </w:r>
            <w:r w:rsidRPr="00862453">
              <w:rPr>
                <w:lang w:val="es-419"/>
              </w:rPr>
              <w:t xml:space="preserve"> </w:t>
            </w:r>
            <w:r w:rsidR="005542EE" w:rsidRPr="00862453">
              <w:rPr>
                <w:lang w:val="es-419"/>
              </w:rPr>
              <w:t xml:space="preserve">al </w:t>
            </w:r>
            <w:r w:rsidRPr="00862453">
              <w:rPr>
                <w:lang w:val="es-419"/>
              </w:rPr>
              <w:t xml:space="preserve">enfoque horizontal </w:t>
            </w:r>
            <w:r w:rsidR="005542EE" w:rsidRPr="00862453">
              <w:rPr>
                <w:lang w:val="es-419"/>
              </w:rPr>
              <w:t>aplicado</w:t>
            </w:r>
            <w:r w:rsidRPr="00862453">
              <w:rPr>
                <w:lang w:val="es-419"/>
              </w:rPr>
              <w:t xml:space="preserve"> a lo largo del proyecto, y contribuir</w:t>
            </w:r>
            <w:r w:rsidR="00B0300F" w:rsidRPr="00862453">
              <w:rPr>
                <w:lang w:val="es-419"/>
              </w:rPr>
              <w:t>ía</w:t>
            </w:r>
            <w:r w:rsidRPr="00862453">
              <w:rPr>
                <w:lang w:val="es-419"/>
              </w:rPr>
              <w:t xml:space="preserve"> a su sostenibilidad.</w:t>
            </w:r>
          </w:p>
          <w:p w14:paraId="15AA53AB" w14:textId="77777777" w:rsidR="005E47D9" w:rsidRPr="00862453" w:rsidRDefault="005E47D9" w:rsidP="005E47D9">
            <w:pPr>
              <w:pStyle w:val="ListParagraph"/>
              <w:rPr>
                <w:lang w:val="es-419"/>
              </w:rPr>
            </w:pPr>
          </w:p>
          <w:p w14:paraId="36DCBFE8" w14:textId="0B9AE3A3" w:rsidR="005E47D9" w:rsidRPr="00862453" w:rsidRDefault="005E47D9" w:rsidP="004304CA">
            <w:pPr>
              <w:pStyle w:val="TableParagraph"/>
              <w:numPr>
                <w:ilvl w:val="0"/>
                <w:numId w:val="37"/>
              </w:numPr>
              <w:ind w:left="360"/>
              <w:rPr>
                <w:lang w:val="es-419"/>
              </w:rPr>
            </w:pPr>
            <w:r w:rsidRPr="00862453">
              <w:rPr>
                <w:lang w:val="es-419"/>
              </w:rPr>
              <w:t xml:space="preserve">Los productos del proyecto </w:t>
            </w:r>
            <w:r w:rsidR="002E4044" w:rsidRPr="00862453">
              <w:rPr>
                <w:lang w:val="es-419"/>
              </w:rPr>
              <w:t>serán</w:t>
            </w:r>
            <w:r w:rsidRPr="00862453">
              <w:rPr>
                <w:lang w:val="es-419"/>
              </w:rPr>
              <w:t xml:space="preserve"> sostenibles si se present</w:t>
            </w:r>
            <w:r w:rsidR="00B0300F" w:rsidRPr="00862453">
              <w:rPr>
                <w:lang w:val="es-419"/>
              </w:rPr>
              <w:t>a</w:t>
            </w:r>
            <w:r w:rsidRPr="00862453">
              <w:rPr>
                <w:lang w:val="es-419"/>
              </w:rPr>
              <w:t xml:space="preserve">n como un material </w:t>
            </w:r>
            <w:r w:rsidR="00B0300F" w:rsidRPr="00862453">
              <w:rPr>
                <w:lang w:val="es-419"/>
              </w:rPr>
              <w:t>integral</w:t>
            </w:r>
            <w:r w:rsidRPr="00862453">
              <w:rPr>
                <w:lang w:val="es-419"/>
              </w:rPr>
              <w:t xml:space="preserve"> que </w:t>
            </w:r>
            <w:r w:rsidR="002E4044" w:rsidRPr="00862453">
              <w:rPr>
                <w:lang w:val="es-419"/>
              </w:rPr>
              <w:t>ofrece</w:t>
            </w:r>
            <w:r w:rsidRPr="00862453">
              <w:rPr>
                <w:lang w:val="es-419"/>
              </w:rPr>
              <w:t xml:space="preserve"> posibilidades de </w:t>
            </w:r>
            <w:r w:rsidR="00B0300F" w:rsidRPr="00862453">
              <w:rPr>
                <w:lang w:val="es-419"/>
              </w:rPr>
              <w:t>formación autodidacta</w:t>
            </w:r>
            <w:r w:rsidRPr="00862453">
              <w:rPr>
                <w:lang w:val="es-419"/>
              </w:rPr>
              <w:t>, referencia</w:t>
            </w:r>
            <w:r w:rsidR="00B0300F" w:rsidRPr="00862453">
              <w:rPr>
                <w:lang w:val="es-419"/>
              </w:rPr>
              <w:t>s</w:t>
            </w:r>
            <w:r w:rsidRPr="00862453">
              <w:rPr>
                <w:lang w:val="es-419"/>
              </w:rPr>
              <w:t xml:space="preserve"> y lectura</w:t>
            </w:r>
            <w:r w:rsidR="00B0300F" w:rsidRPr="00862453">
              <w:rPr>
                <w:lang w:val="es-419"/>
              </w:rPr>
              <w:t>s</w:t>
            </w:r>
            <w:r w:rsidRPr="00862453">
              <w:rPr>
                <w:lang w:val="es-419"/>
              </w:rPr>
              <w:t xml:space="preserve"> adicional</w:t>
            </w:r>
            <w:r w:rsidR="00B0300F" w:rsidRPr="00862453">
              <w:rPr>
                <w:lang w:val="es-419"/>
              </w:rPr>
              <w:t>es.</w:t>
            </w:r>
          </w:p>
          <w:p w14:paraId="52297CA1" w14:textId="77777777" w:rsidR="004304CA" w:rsidRPr="00862453" w:rsidRDefault="004304CA" w:rsidP="00F300C4">
            <w:pPr>
              <w:pStyle w:val="TableParagraph"/>
              <w:rPr>
                <w:lang w:val="es-419"/>
              </w:rPr>
            </w:pPr>
          </w:p>
        </w:tc>
      </w:tr>
    </w:tbl>
    <w:p w14:paraId="1B80792A" w14:textId="77777777" w:rsidR="004304CA" w:rsidRPr="00862453" w:rsidRDefault="004304CA" w:rsidP="004304CA">
      <w:pPr>
        <w:rPr>
          <w:lang w:val="es-419"/>
        </w:rPr>
      </w:pPr>
    </w:p>
    <w:p w14:paraId="2AB50558" w14:textId="77777777" w:rsidR="004304CA" w:rsidRPr="00862453" w:rsidRDefault="004304CA" w:rsidP="004304CA">
      <w:pPr>
        <w:rPr>
          <w:lang w:val="es-419"/>
        </w:rPr>
      </w:pPr>
    </w:p>
    <w:p w14:paraId="7D9AC693" w14:textId="77777777" w:rsidR="004304CA" w:rsidRPr="00862453" w:rsidRDefault="004304CA" w:rsidP="004304CA">
      <w:pPr>
        <w:pStyle w:val="BodyText"/>
        <w:spacing w:before="5"/>
        <w:rPr>
          <w:lang w:val="es-419"/>
        </w:rPr>
      </w:pPr>
    </w:p>
    <w:p w14:paraId="35C0EBCA" w14:textId="760D0BFD" w:rsidR="004304CA" w:rsidRPr="00862453" w:rsidRDefault="002C76FC" w:rsidP="004304CA">
      <w:pPr>
        <w:pStyle w:val="BodyText"/>
        <w:spacing w:before="1"/>
        <w:ind w:left="136"/>
        <w:rPr>
          <w:lang w:val="es-419"/>
        </w:rPr>
      </w:pPr>
      <w:r w:rsidRPr="00862453">
        <w:rPr>
          <w:lang w:val="es-419"/>
        </w:rPr>
        <w:t>EVALUACIÓN INTERNA DEL PROYECTO</w:t>
      </w:r>
    </w:p>
    <w:p w14:paraId="45227DEC" w14:textId="7D3DEE3C" w:rsidR="004304CA" w:rsidRPr="00862453" w:rsidRDefault="00720FD9" w:rsidP="004304CA">
      <w:pPr>
        <w:pStyle w:val="BodyText"/>
        <w:ind w:left="136"/>
        <w:rPr>
          <w:lang w:val="es-419"/>
        </w:rPr>
      </w:pPr>
      <w:r w:rsidRPr="00862453">
        <w:rPr>
          <w:lang w:val="es-419"/>
        </w:rPr>
        <w:t>Clave de marcas</w:t>
      </w:r>
      <w:r w:rsidR="004304CA" w:rsidRPr="00862453">
        <w:rPr>
          <w:spacing w:val="-2"/>
          <w:lang w:val="es-419"/>
        </w:rPr>
        <w:t xml:space="preserve"> </w:t>
      </w:r>
      <w:r w:rsidR="004304CA" w:rsidRPr="00862453">
        <w:rPr>
          <w:lang w:val="es-419"/>
        </w:rPr>
        <w:t>(TLS)</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1"/>
        <w:gridCol w:w="1701"/>
        <w:gridCol w:w="1350"/>
        <w:gridCol w:w="1894"/>
        <w:gridCol w:w="2564"/>
      </w:tblGrid>
      <w:tr w:rsidR="008F48D9" w:rsidRPr="00862453" w14:paraId="0609AB33" w14:textId="77777777" w:rsidTr="00720FD9">
        <w:trPr>
          <w:trHeight w:val="470"/>
        </w:trPr>
        <w:tc>
          <w:tcPr>
            <w:tcW w:w="1841" w:type="dxa"/>
            <w:shd w:val="clear" w:color="auto" w:fill="8DB3E2" w:themeFill="text2" w:themeFillTint="66"/>
          </w:tcPr>
          <w:p w14:paraId="5745A2E5" w14:textId="77777777" w:rsidR="004304CA" w:rsidRPr="00862453" w:rsidRDefault="004304CA" w:rsidP="00F300C4">
            <w:pPr>
              <w:pStyle w:val="TableParagraph"/>
              <w:spacing w:before="105"/>
              <w:ind w:left="110"/>
              <w:rPr>
                <w:lang w:val="es-419"/>
              </w:rPr>
            </w:pPr>
            <w:r w:rsidRPr="00862453">
              <w:rPr>
                <w:lang w:val="es-419"/>
              </w:rPr>
              <w:t>****</w:t>
            </w:r>
          </w:p>
        </w:tc>
        <w:tc>
          <w:tcPr>
            <w:tcW w:w="1701" w:type="dxa"/>
            <w:shd w:val="clear" w:color="auto" w:fill="8DB3E2" w:themeFill="text2" w:themeFillTint="66"/>
          </w:tcPr>
          <w:p w14:paraId="25871511" w14:textId="77777777" w:rsidR="004304CA" w:rsidRPr="00862453" w:rsidRDefault="004304CA" w:rsidP="00F300C4">
            <w:pPr>
              <w:pStyle w:val="TableParagraph"/>
              <w:spacing w:before="105"/>
              <w:ind w:left="110"/>
              <w:rPr>
                <w:lang w:val="es-419"/>
              </w:rPr>
            </w:pPr>
            <w:r w:rsidRPr="00862453">
              <w:rPr>
                <w:lang w:val="es-419"/>
              </w:rPr>
              <w:t>***</w:t>
            </w:r>
          </w:p>
        </w:tc>
        <w:tc>
          <w:tcPr>
            <w:tcW w:w="1350" w:type="dxa"/>
            <w:shd w:val="clear" w:color="auto" w:fill="8DB3E2" w:themeFill="text2" w:themeFillTint="66"/>
          </w:tcPr>
          <w:p w14:paraId="4A3FF9E7" w14:textId="77777777" w:rsidR="004304CA" w:rsidRPr="00862453" w:rsidRDefault="004304CA" w:rsidP="00F300C4">
            <w:pPr>
              <w:pStyle w:val="TableParagraph"/>
              <w:spacing w:before="105"/>
              <w:ind w:left="108"/>
              <w:rPr>
                <w:lang w:val="es-419"/>
              </w:rPr>
            </w:pPr>
            <w:r w:rsidRPr="00862453">
              <w:rPr>
                <w:lang w:val="es-419"/>
              </w:rPr>
              <w:t>**</w:t>
            </w:r>
          </w:p>
        </w:tc>
        <w:tc>
          <w:tcPr>
            <w:tcW w:w="1894" w:type="dxa"/>
            <w:shd w:val="clear" w:color="auto" w:fill="8DB3E2" w:themeFill="text2" w:themeFillTint="66"/>
          </w:tcPr>
          <w:p w14:paraId="1362ECC3" w14:textId="77777777" w:rsidR="004304CA" w:rsidRPr="00862453" w:rsidRDefault="004304CA" w:rsidP="00F300C4">
            <w:pPr>
              <w:pStyle w:val="TableParagraph"/>
              <w:spacing w:before="105"/>
              <w:ind w:left="108"/>
              <w:rPr>
                <w:lang w:val="es-419"/>
              </w:rPr>
            </w:pPr>
            <w:r w:rsidRPr="00862453">
              <w:rPr>
                <w:lang w:val="es-419"/>
              </w:rPr>
              <w:t>NP</w:t>
            </w:r>
          </w:p>
        </w:tc>
        <w:tc>
          <w:tcPr>
            <w:tcW w:w="2564" w:type="dxa"/>
            <w:shd w:val="clear" w:color="auto" w:fill="8DB3E2" w:themeFill="text2" w:themeFillTint="66"/>
          </w:tcPr>
          <w:p w14:paraId="5521A026" w14:textId="77777777" w:rsidR="004304CA" w:rsidRPr="00862453" w:rsidRDefault="004304CA" w:rsidP="00F300C4">
            <w:pPr>
              <w:pStyle w:val="TableParagraph"/>
              <w:spacing w:before="105"/>
              <w:ind w:left="110"/>
              <w:rPr>
                <w:lang w:val="es-419"/>
              </w:rPr>
            </w:pPr>
            <w:r w:rsidRPr="00862453">
              <w:rPr>
                <w:lang w:val="es-419"/>
              </w:rPr>
              <w:t>NA</w:t>
            </w:r>
          </w:p>
        </w:tc>
      </w:tr>
      <w:tr w:rsidR="008F48D9" w:rsidRPr="00862453" w14:paraId="64775A6E" w14:textId="77777777" w:rsidTr="00720FD9">
        <w:trPr>
          <w:trHeight w:val="506"/>
        </w:trPr>
        <w:tc>
          <w:tcPr>
            <w:tcW w:w="1841" w:type="dxa"/>
            <w:shd w:val="clear" w:color="auto" w:fill="8DB3E2" w:themeFill="text2" w:themeFillTint="66"/>
          </w:tcPr>
          <w:p w14:paraId="3BF96B64" w14:textId="124D4FC5" w:rsidR="004304CA" w:rsidRPr="00862453" w:rsidRDefault="00720FD9" w:rsidP="00F300C4">
            <w:pPr>
              <w:pStyle w:val="TableParagraph"/>
              <w:spacing w:line="252" w:lineRule="exact"/>
              <w:ind w:left="110" w:right="408"/>
              <w:rPr>
                <w:lang w:val="es-419"/>
              </w:rPr>
            </w:pPr>
            <w:r w:rsidRPr="00862453">
              <w:rPr>
                <w:lang w:val="es-419"/>
              </w:rPr>
              <w:t>Plenamente logrado</w:t>
            </w:r>
          </w:p>
        </w:tc>
        <w:tc>
          <w:tcPr>
            <w:tcW w:w="1701" w:type="dxa"/>
            <w:shd w:val="clear" w:color="auto" w:fill="8DB3E2" w:themeFill="text2" w:themeFillTint="66"/>
          </w:tcPr>
          <w:p w14:paraId="6A99A714" w14:textId="50367CF5" w:rsidR="004304CA" w:rsidRPr="00862453" w:rsidRDefault="00720FD9" w:rsidP="00F300C4">
            <w:pPr>
              <w:pStyle w:val="TableParagraph"/>
              <w:spacing w:line="252" w:lineRule="exact"/>
              <w:ind w:left="110" w:right="687"/>
              <w:rPr>
                <w:lang w:val="es-419"/>
              </w:rPr>
            </w:pPr>
            <w:r w:rsidRPr="00862453">
              <w:rPr>
                <w:lang w:val="es-419"/>
              </w:rPr>
              <w:t>Avance notable</w:t>
            </w:r>
          </w:p>
        </w:tc>
        <w:tc>
          <w:tcPr>
            <w:tcW w:w="1350" w:type="dxa"/>
            <w:shd w:val="clear" w:color="auto" w:fill="8DB3E2" w:themeFill="text2" w:themeFillTint="66"/>
          </w:tcPr>
          <w:p w14:paraId="23AB9C9C" w14:textId="53F95A4A" w:rsidR="004304CA" w:rsidRPr="00862453" w:rsidRDefault="00720FD9" w:rsidP="00F300C4">
            <w:pPr>
              <w:pStyle w:val="TableParagraph"/>
              <w:spacing w:line="251" w:lineRule="exact"/>
              <w:ind w:left="108"/>
              <w:rPr>
                <w:lang w:val="es-419"/>
              </w:rPr>
            </w:pPr>
            <w:r w:rsidRPr="00862453">
              <w:rPr>
                <w:lang w:val="es-419"/>
              </w:rPr>
              <w:t>Avance parcial</w:t>
            </w:r>
          </w:p>
        </w:tc>
        <w:tc>
          <w:tcPr>
            <w:tcW w:w="1894" w:type="dxa"/>
            <w:shd w:val="clear" w:color="auto" w:fill="8DB3E2" w:themeFill="text2" w:themeFillTint="66"/>
          </w:tcPr>
          <w:p w14:paraId="09A3C732" w14:textId="271DB055" w:rsidR="004304CA" w:rsidRPr="00862453" w:rsidRDefault="00720FD9" w:rsidP="00F300C4">
            <w:pPr>
              <w:pStyle w:val="TableParagraph"/>
              <w:spacing w:line="251" w:lineRule="exact"/>
              <w:ind w:left="108"/>
              <w:rPr>
                <w:lang w:val="es-419"/>
              </w:rPr>
            </w:pPr>
            <w:r w:rsidRPr="00862453">
              <w:rPr>
                <w:lang w:val="es-419"/>
              </w:rPr>
              <w:t>Sin avances</w:t>
            </w:r>
          </w:p>
        </w:tc>
        <w:tc>
          <w:tcPr>
            <w:tcW w:w="2564" w:type="dxa"/>
            <w:shd w:val="clear" w:color="auto" w:fill="8DB3E2" w:themeFill="text2" w:themeFillTint="66"/>
          </w:tcPr>
          <w:p w14:paraId="6B1D7751" w14:textId="3DFB31D3" w:rsidR="004304CA" w:rsidRPr="00862453" w:rsidRDefault="00720FD9" w:rsidP="00F300C4">
            <w:pPr>
              <w:pStyle w:val="TableParagraph"/>
              <w:spacing w:line="252" w:lineRule="exact"/>
              <w:ind w:left="110" w:right="203"/>
              <w:rPr>
                <w:lang w:val="es-419"/>
              </w:rPr>
            </w:pPr>
            <w:r w:rsidRPr="00862453">
              <w:rPr>
                <w:lang w:val="es-419"/>
              </w:rPr>
              <w:t>No disponible (sin evaluar /actividad interrumpida)</w:t>
            </w:r>
          </w:p>
        </w:tc>
      </w:tr>
    </w:tbl>
    <w:p w14:paraId="51D51F7A" w14:textId="77777777" w:rsidR="004304CA" w:rsidRPr="00862453" w:rsidRDefault="004304CA" w:rsidP="004304CA">
      <w:pPr>
        <w:rPr>
          <w:lang w:val="es-419"/>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8F48D9" w:rsidRPr="00862453" w14:paraId="05357728" w14:textId="77777777" w:rsidTr="00F300C4">
        <w:trPr>
          <w:trHeight w:val="1265"/>
        </w:trPr>
        <w:tc>
          <w:tcPr>
            <w:tcW w:w="2410" w:type="dxa"/>
            <w:shd w:val="clear" w:color="auto" w:fill="C6D9F1" w:themeFill="text2" w:themeFillTint="33"/>
          </w:tcPr>
          <w:p w14:paraId="78256C46" w14:textId="77777777" w:rsidR="004304CA" w:rsidRPr="00862453" w:rsidRDefault="004304CA" w:rsidP="00F300C4">
            <w:pPr>
              <w:pStyle w:val="TableParagraph"/>
              <w:spacing w:before="10"/>
              <w:rPr>
                <w:lang w:val="es-419"/>
              </w:rPr>
            </w:pPr>
          </w:p>
          <w:p w14:paraId="4EB7BB48" w14:textId="70D9577A" w:rsidR="004304CA" w:rsidRPr="00862453" w:rsidRDefault="00F328B5" w:rsidP="00F300C4">
            <w:pPr>
              <w:pStyle w:val="TableParagraph"/>
              <w:ind w:left="110" w:right="624"/>
              <w:rPr>
                <w:lang w:val="es-419"/>
              </w:rPr>
            </w:pPr>
            <w:r w:rsidRPr="00862453">
              <w:rPr>
                <w:u w:val="single"/>
                <w:lang w:val="es-419"/>
              </w:rPr>
              <w:t>Productos del proyecto</w:t>
            </w:r>
            <w:r w:rsidR="004304CA" w:rsidRPr="00862453">
              <w:rPr>
                <w:vertAlign w:val="superscript"/>
                <w:lang w:val="es-419"/>
              </w:rPr>
              <w:t>4</w:t>
            </w:r>
            <w:r w:rsidR="004304CA" w:rsidRPr="00862453">
              <w:rPr>
                <w:spacing w:val="1"/>
                <w:lang w:val="es-419"/>
              </w:rPr>
              <w:t xml:space="preserve"> </w:t>
            </w:r>
            <w:r w:rsidR="004304CA" w:rsidRPr="00862453">
              <w:rPr>
                <w:lang w:val="es-419"/>
              </w:rPr>
              <w:t>(</w:t>
            </w:r>
            <w:r w:rsidRPr="00862453">
              <w:rPr>
                <w:lang w:val="es-419"/>
              </w:rPr>
              <w:t>Resultados previstos</w:t>
            </w:r>
            <w:r w:rsidR="004304CA" w:rsidRPr="00862453">
              <w:rPr>
                <w:lang w:val="es-419"/>
              </w:rPr>
              <w:t>)</w:t>
            </w:r>
          </w:p>
        </w:tc>
        <w:tc>
          <w:tcPr>
            <w:tcW w:w="2695" w:type="dxa"/>
            <w:shd w:val="clear" w:color="auto" w:fill="C6D9F1" w:themeFill="text2" w:themeFillTint="33"/>
          </w:tcPr>
          <w:p w14:paraId="79988AC0" w14:textId="77777777" w:rsidR="004304CA" w:rsidRPr="00862453" w:rsidRDefault="004304CA" w:rsidP="00F300C4">
            <w:pPr>
              <w:pStyle w:val="TableParagraph"/>
              <w:spacing w:before="10"/>
              <w:rPr>
                <w:lang w:val="es-419"/>
              </w:rPr>
            </w:pPr>
          </w:p>
          <w:p w14:paraId="6EDE0F87" w14:textId="77777777" w:rsidR="00F328B5" w:rsidRPr="00862453" w:rsidRDefault="00F328B5" w:rsidP="00F300C4">
            <w:pPr>
              <w:pStyle w:val="TableParagraph"/>
              <w:spacing w:line="252" w:lineRule="exact"/>
              <w:ind w:left="110"/>
              <w:rPr>
                <w:u w:val="single"/>
                <w:lang w:val="es-419"/>
              </w:rPr>
            </w:pPr>
            <w:r w:rsidRPr="00862453">
              <w:rPr>
                <w:u w:val="single"/>
                <w:lang w:val="es-419"/>
              </w:rPr>
              <w:t xml:space="preserve">Indicadores de ejecución satisfactoria </w:t>
            </w:r>
          </w:p>
          <w:p w14:paraId="3825BA1E" w14:textId="050D6B67" w:rsidR="004304CA" w:rsidRPr="00862453" w:rsidRDefault="00F328B5" w:rsidP="00F300C4">
            <w:pPr>
              <w:pStyle w:val="TableParagraph"/>
              <w:spacing w:line="252" w:lineRule="exact"/>
              <w:ind w:left="110"/>
              <w:rPr>
                <w:lang w:val="es-419"/>
              </w:rPr>
            </w:pPr>
            <w:r w:rsidRPr="00862453">
              <w:rPr>
                <w:lang w:val="es-419"/>
              </w:rPr>
              <w:t>(indicadores de productos)</w:t>
            </w:r>
          </w:p>
        </w:tc>
        <w:tc>
          <w:tcPr>
            <w:tcW w:w="3401" w:type="dxa"/>
            <w:shd w:val="clear" w:color="auto" w:fill="C6D9F1" w:themeFill="text2" w:themeFillTint="33"/>
          </w:tcPr>
          <w:p w14:paraId="1A61DC5B" w14:textId="77777777" w:rsidR="004304CA" w:rsidRPr="00862453" w:rsidRDefault="004304CA" w:rsidP="00F300C4">
            <w:pPr>
              <w:pStyle w:val="TableParagraph"/>
              <w:spacing w:before="10"/>
              <w:rPr>
                <w:lang w:val="es-419"/>
              </w:rPr>
            </w:pPr>
          </w:p>
          <w:p w14:paraId="374F3F2A" w14:textId="063FA385" w:rsidR="004304CA" w:rsidRPr="00862453" w:rsidRDefault="00F328B5" w:rsidP="00F300C4">
            <w:pPr>
              <w:pStyle w:val="TableParagraph"/>
              <w:ind w:left="108"/>
              <w:rPr>
                <w:lang w:val="es-419"/>
              </w:rPr>
            </w:pPr>
            <w:r w:rsidRPr="00862453">
              <w:rPr>
                <w:u w:val="single"/>
                <w:lang w:val="es-419"/>
              </w:rPr>
              <w:t>Datos sobre el rendimiento</w:t>
            </w:r>
          </w:p>
        </w:tc>
        <w:tc>
          <w:tcPr>
            <w:tcW w:w="876" w:type="dxa"/>
            <w:shd w:val="clear" w:color="auto" w:fill="C6D9F1" w:themeFill="text2" w:themeFillTint="33"/>
          </w:tcPr>
          <w:p w14:paraId="7636F942" w14:textId="77777777" w:rsidR="004304CA" w:rsidRPr="00862453" w:rsidRDefault="004304CA" w:rsidP="00F300C4">
            <w:pPr>
              <w:pStyle w:val="TableParagraph"/>
              <w:spacing w:before="10"/>
              <w:rPr>
                <w:lang w:val="es-419"/>
              </w:rPr>
            </w:pPr>
          </w:p>
          <w:p w14:paraId="3605525C" w14:textId="77777777" w:rsidR="004304CA" w:rsidRPr="00862453" w:rsidRDefault="004304CA" w:rsidP="00F300C4">
            <w:pPr>
              <w:pStyle w:val="TableParagraph"/>
              <w:ind w:left="111"/>
              <w:rPr>
                <w:lang w:val="es-419"/>
              </w:rPr>
            </w:pPr>
            <w:r w:rsidRPr="00862453">
              <w:rPr>
                <w:u w:val="single"/>
                <w:lang w:val="es-419"/>
              </w:rPr>
              <w:t>TLS</w:t>
            </w:r>
          </w:p>
        </w:tc>
      </w:tr>
      <w:tr w:rsidR="008F48D9" w:rsidRPr="00862453" w14:paraId="5B3FD245" w14:textId="77777777" w:rsidTr="00F300C4">
        <w:trPr>
          <w:trHeight w:val="508"/>
        </w:trPr>
        <w:tc>
          <w:tcPr>
            <w:tcW w:w="2410" w:type="dxa"/>
            <w:tcBorders>
              <w:right w:val="single" w:sz="6" w:space="0" w:color="000000"/>
            </w:tcBorders>
          </w:tcPr>
          <w:p w14:paraId="0EBD670D" w14:textId="2ABB2B82" w:rsidR="004304CA" w:rsidRPr="00862453" w:rsidRDefault="00F86BFA" w:rsidP="00F300C4">
            <w:pPr>
              <w:pStyle w:val="TableParagraph"/>
              <w:rPr>
                <w:lang w:val="es-419"/>
              </w:rPr>
            </w:pPr>
            <w:r w:rsidRPr="00862453">
              <w:rPr>
                <w:lang w:val="es-419"/>
              </w:rPr>
              <w:t>Países beneficiarios seleccionados</w:t>
            </w:r>
          </w:p>
        </w:tc>
        <w:tc>
          <w:tcPr>
            <w:tcW w:w="2695" w:type="dxa"/>
            <w:tcBorders>
              <w:left w:val="single" w:sz="6" w:space="0" w:color="000000"/>
              <w:bottom w:val="single" w:sz="6" w:space="0" w:color="000000"/>
            </w:tcBorders>
          </w:tcPr>
          <w:p w14:paraId="5CBA63F9" w14:textId="307423E3" w:rsidR="004304CA" w:rsidRPr="00862453" w:rsidRDefault="001E508A" w:rsidP="001E508A">
            <w:pPr>
              <w:pStyle w:val="ListParagraph"/>
              <w:numPr>
                <w:ilvl w:val="0"/>
                <w:numId w:val="29"/>
              </w:numPr>
              <w:rPr>
                <w:lang w:val="es-419"/>
              </w:rPr>
            </w:pPr>
            <w:r w:rsidRPr="00862453">
              <w:rPr>
                <w:rFonts w:eastAsia="Arial" w:cs="Arial"/>
                <w:szCs w:val="22"/>
                <w:lang w:val="es-419"/>
              </w:rPr>
              <w:t>Selección de tres países (con arreglo a criterios de selección acordados).</w:t>
            </w:r>
          </w:p>
        </w:tc>
        <w:tc>
          <w:tcPr>
            <w:tcW w:w="3401" w:type="dxa"/>
          </w:tcPr>
          <w:p w14:paraId="759A3992" w14:textId="7D84B3C4" w:rsidR="004304CA" w:rsidRPr="00862453" w:rsidRDefault="00D54E8F" w:rsidP="004304CA">
            <w:pPr>
              <w:pStyle w:val="TableParagraph"/>
              <w:numPr>
                <w:ilvl w:val="0"/>
                <w:numId w:val="29"/>
              </w:numPr>
              <w:rPr>
                <w:lang w:val="es-419"/>
              </w:rPr>
            </w:pPr>
            <w:r>
              <w:rPr>
                <w:lang w:val="es-419"/>
              </w:rPr>
              <w:t>Keny</w:t>
            </w:r>
            <w:r w:rsidR="004304CA" w:rsidRPr="00862453">
              <w:rPr>
                <w:lang w:val="es-419"/>
              </w:rPr>
              <w:t xml:space="preserve">a, </w:t>
            </w:r>
            <w:r w:rsidR="001E508A" w:rsidRPr="00862453">
              <w:rPr>
                <w:lang w:val="es-419"/>
              </w:rPr>
              <w:t>Filipinas y</w:t>
            </w:r>
            <w:r w:rsidR="004304CA" w:rsidRPr="00862453">
              <w:rPr>
                <w:lang w:val="es-419"/>
              </w:rPr>
              <w:t xml:space="preserve"> Trinidad </w:t>
            </w:r>
            <w:r w:rsidR="00197C37" w:rsidRPr="00862453">
              <w:rPr>
                <w:lang w:val="es-419"/>
              </w:rPr>
              <w:t>y</w:t>
            </w:r>
            <w:r w:rsidR="004304CA" w:rsidRPr="00862453">
              <w:rPr>
                <w:lang w:val="es-419"/>
              </w:rPr>
              <w:t xml:space="preserve"> </w:t>
            </w:r>
            <w:r w:rsidR="00C40DFF" w:rsidRPr="00862453">
              <w:rPr>
                <w:lang w:val="es-419"/>
              </w:rPr>
              <w:t>Tobago</w:t>
            </w:r>
            <w:r w:rsidR="004304CA" w:rsidRPr="00862453">
              <w:rPr>
                <w:lang w:val="es-419"/>
              </w:rPr>
              <w:t xml:space="preserve"> </w:t>
            </w:r>
            <w:r w:rsidR="001E508A" w:rsidRPr="00862453">
              <w:rPr>
                <w:lang w:val="es-419"/>
              </w:rPr>
              <w:t xml:space="preserve">fueron </w:t>
            </w:r>
            <w:r w:rsidR="00197C37" w:rsidRPr="00862453">
              <w:rPr>
                <w:lang w:val="es-419"/>
              </w:rPr>
              <w:t>los países escogidos</w:t>
            </w:r>
            <w:r w:rsidR="001E508A" w:rsidRPr="00862453">
              <w:rPr>
                <w:lang w:val="es-419"/>
              </w:rPr>
              <w:t xml:space="preserve"> con arreglo a los criterios de selección</w:t>
            </w:r>
          </w:p>
        </w:tc>
        <w:tc>
          <w:tcPr>
            <w:tcW w:w="876" w:type="dxa"/>
          </w:tcPr>
          <w:p w14:paraId="389F8861" w14:textId="77777777" w:rsidR="004304CA" w:rsidRPr="00862453" w:rsidRDefault="004304CA" w:rsidP="00F300C4">
            <w:pPr>
              <w:pStyle w:val="TableParagraph"/>
              <w:rPr>
                <w:lang w:val="es-419"/>
              </w:rPr>
            </w:pPr>
            <w:r w:rsidRPr="00862453">
              <w:rPr>
                <w:lang w:val="es-419"/>
              </w:rPr>
              <w:t>****</w:t>
            </w:r>
          </w:p>
        </w:tc>
      </w:tr>
      <w:tr w:rsidR="008F48D9" w:rsidRPr="00862453" w14:paraId="78028FB3" w14:textId="77777777" w:rsidTr="00F300C4">
        <w:trPr>
          <w:trHeight w:val="510"/>
        </w:trPr>
        <w:tc>
          <w:tcPr>
            <w:tcW w:w="2410" w:type="dxa"/>
            <w:tcBorders>
              <w:right w:val="single" w:sz="6" w:space="0" w:color="000000"/>
            </w:tcBorders>
          </w:tcPr>
          <w:p w14:paraId="3A728386" w14:textId="2EF1D48B" w:rsidR="004304CA" w:rsidRPr="00862453" w:rsidRDefault="00F86BFA" w:rsidP="00F300C4">
            <w:pPr>
              <w:pStyle w:val="TableParagraph"/>
              <w:rPr>
                <w:lang w:val="es-419"/>
              </w:rPr>
            </w:pPr>
            <w:r w:rsidRPr="00862453">
              <w:rPr>
                <w:lang w:val="es-419"/>
              </w:rPr>
              <w:t>Informe relativo al estudio exploratorio</w:t>
            </w:r>
          </w:p>
        </w:tc>
        <w:tc>
          <w:tcPr>
            <w:tcW w:w="2695" w:type="dxa"/>
            <w:tcBorders>
              <w:top w:val="single" w:sz="6" w:space="0" w:color="000000"/>
              <w:left w:val="single" w:sz="6" w:space="0" w:color="000000"/>
              <w:bottom w:val="single" w:sz="6" w:space="0" w:color="000000"/>
            </w:tcBorders>
          </w:tcPr>
          <w:p w14:paraId="562C7914" w14:textId="2CBD92AC" w:rsidR="004304CA" w:rsidRPr="00862453" w:rsidRDefault="001E508A" w:rsidP="004304CA">
            <w:pPr>
              <w:pStyle w:val="TableParagraph"/>
              <w:numPr>
                <w:ilvl w:val="0"/>
                <w:numId w:val="29"/>
              </w:numPr>
              <w:rPr>
                <w:lang w:val="es-419"/>
              </w:rPr>
            </w:pPr>
            <w:r w:rsidRPr="00862453">
              <w:rPr>
                <w:lang w:val="es-419"/>
              </w:rPr>
              <w:t xml:space="preserve">Panorama general del sector del </w:t>
            </w:r>
            <w:r w:rsidRPr="00862453">
              <w:rPr>
                <w:i/>
                <w:iCs/>
                <w:lang w:val="es-419"/>
              </w:rPr>
              <w:t>software</w:t>
            </w:r>
            <w:r w:rsidRPr="00862453">
              <w:rPr>
                <w:lang w:val="es-419"/>
              </w:rPr>
              <w:t xml:space="preserve"> en los tres países beneficiarios</w:t>
            </w:r>
          </w:p>
          <w:p w14:paraId="032DE676" w14:textId="645441A1" w:rsidR="004304CA" w:rsidRPr="00862453" w:rsidRDefault="00512BC4" w:rsidP="004304CA">
            <w:pPr>
              <w:pStyle w:val="TableParagraph"/>
              <w:numPr>
                <w:ilvl w:val="0"/>
                <w:numId w:val="29"/>
              </w:numPr>
              <w:rPr>
                <w:lang w:val="es-419"/>
              </w:rPr>
            </w:pPr>
            <w:r w:rsidRPr="00862453">
              <w:rPr>
                <w:lang w:val="es-419"/>
              </w:rPr>
              <w:t>Resumen de la disponibilidad y el uso de las herramientas de PI en los tres países beneficiarios.</w:t>
            </w:r>
          </w:p>
          <w:p w14:paraId="12EEE974" w14:textId="74738389" w:rsidR="004304CA" w:rsidRPr="00862453" w:rsidRDefault="00C37DEA" w:rsidP="004304CA">
            <w:pPr>
              <w:pStyle w:val="TableParagraph"/>
              <w:numPr>
                <w:ilvl w:val="0"/>
                <w:numId w:val="29"/>
              </w:numPr>
              <w:rPr>
                <w:lang w:val="es-419"/>
              </w:rPr>
            </w:pPr>
            <w:r w:rsidRPr="00862453">
              <w:rPr>
                <w:lang w:val="es-419"/>
              </w:rPr>
              <w:t xml:space="preserve">Perspectiva general de los problemas y las necesidades que requieren la intensificación del uso de la PI en el sector del </w:t>
            </w:r>
            <w:r w:rsidRPr="00862453">
              <w:rPr>
                <w:i/>
                <w:iCs/>
                <w:lang w:val="es-419"/>
              </w:rPr>
              <w:t>software</w:t>
            </w:r>
            <w:r w:rsidRPr="00862453">
              <w:rPr>
                <w:lang w:val="es-419"/>
              </w:rPr>
              <w:t xml:space="preserve"> en los tres países </w:t>
            </w:r>
            <w:r w:rsidR="00ED0AE8" w:rsidRPr="00862453">
              <w:rPr>
                <w:lang w:val="es-419"/>
              </w:rPr>
              <w:t>beneficiarios</w:t>
            </w:r>
            <w:r w:rsidRPr="00862453">
              <w:rPr>
                <w:lang w:val="es-419"/>
              </w:rPr>
              <w:t>.</w:t>
            </w:r>
          </w:p>
          <w:p w14:paraId="727EBD8A" w14:textId="490F2738" w:rsidR="004304CA" w:rsidRPr="00862453" w:rsidRDefault="00240CE7" w:rsidP="004304CA">
            <w:pPr>
              <w:pStyle w:val="TableParagraph"/>
              <w:numPr>
                <w:ilvl w:val="0"/>
                <w:numId w:val="29"/>
              </w:numPr>
              <w:rPr>
                <w:lang w:val="es-419"/>
              </w:rPr>
            </w:pPr>
            <w:r w:rsidRPr="00862453">
              <w:rPr>
                <w:lang w:val="es-419"/>
              </w:rPr>
              <w:t xml:space="preserve">Resumen de la utilización de la PI en el sector del </w:t>
            </w:r>
            <w:r w:rsidRPr="00862453">
              <w:rPr>
                <w:i/>
                <w:iCs/>
                <w:lang w:val="es-419"/>
              </w:rPr>
              <w:t>software</w:t>
            </w:r>
            <w:r w:rsidRPr="00862453">
              <w:rPr>
                <w:lang w:val="es-419"/>
              </w:rPr>
              <w:t xml:space="preserve"> como medio para obtener capital y asegurar inversione</w:t>
            </w:r>
            <w:r w:rsidR="004304CA" w:rsidRPr="00862453">
              <w:rPr>
                <w:lang w:val="es-419"/>
              </w:rPr>
              <w:t>s</w:t>
            </w:r>
            <w:r w:rsidRPr="00862453">
              <w:rPr>
                <w:lang w:val="es-419"/>
              </w:rPr>
              <w:t>.</w:t>
            </w:r>
          </w:p>
          <w:p w14:paraId="033A4309" w14:textId="31EC70F3" w:rsidR="004304CA" w:rsidRPr="00862453" w:rsidRDefault="00240CE7" w:rsidP="004304CA">
            <w:pPr>
              <w:pStyle w:val="TableParagraph"/>
              <w:numPr>
                <w:ilvl w:val="0"/>
                <w:numId w:val="29"/>
              </w:numPr>
              <w:rPr>
                <w:lang w:val="es-419"/>
              </w:rPr>
            </w:pPr>
            <w:r w:rsidRPr="00862453">
              <w:rPr>
                <w:lang w:val="es-419"/>
              </w:rPr>
              <w:t>Indicadores de referencia para evaluar los efectos generales del proyecto en los tres países beneficiarios.</w:t>
            </w:r>
          </w:p>
          <w:p w14:paraId="6D2A52F5" w14:textId="3D13B7E9" w:rsidR="004304CA" w:rsidRPr="00862453" w:rsidRDefault="00240CE7" w:rsidP="00240CE7">
            <w:pPr>
              <w:pStyle w:val="ListParagraph"/>
              <w:numPr>
                <w:ilvl w:val="0"/>
                <w:numId w:val="29"/>
              </w:numPr>
              <w:spacing w:line="240" w:lineRule="auto"/>
              <w:rPr>
                <w:rFonts w:cs="Arial"/>
                <w:lang w:val="es-419"/>
              </w:rPr>
            </w:pPr>
            <w:r w:rsidRPr="00862453">
              <w:rPr>
                <w:lang w:val="es-419"/>
              </w:rPr>
              <w:t>Propuesta para llevar a cabo actividades específicas encaminadas a la ejecución del proyecto y el logro de los resultados esperados.</w:t>
            </w:r>
          </w:p>
          <w:p w14:paraId="0BBD8509" w14:textId="58321B2C" w:rsidR="004304CA" w:rsidRPr="00862453" w:rsidRDefault="00240CE7" w:rsidP="004304CA">
            <w:pPr>
              <w:pStyle w:val="TableParagraph"/>
              <w:numPr>
                <w:ilvl w:val="0"/>
                <w:numId w:val="29"/>
              </w:numPr>
              <w:rPr>
                <w:lang w:val="es-419"/>
              </w:rPr>
            </w:pPr>
            <w:r w:rsidRPr="00862453">
              <w:rPr>
                <w:lang w:val="es-419"/>
              </w:rPr>
              <w:t>Informe final del estudio validado por los coordinadores locales de los países beneficiarios y la Secretaría de la OMPI.</w:t>
            </w:r>
          </w:p>
          <w:p w14:paraId="00A5506A" w14:textId="77777777" w:rsidR="004304CA" w:rsidRPr="00862453" w:rsidRDefault="004304CA" w:rsidP="00F300C4">
            <w:pPr>
              <w:pStyle w:val="TableParagraph"/>
              <w:rPr>
                <w:lang w:val="es-419"/>
              </w:rPr>
            </w:pPr>
          </w:p>
        </w:tc>
        <w:tc>
          <w:tcPr>
            <w:tcW w:w="3401" w:type="dxa"/>
          </w:tcPr>
          <w:p w14:paraId="610A9114" w14:textId="03EE810F" w:rsidR="004304CA" w:rsidRPr="00862453" w:rsidRDefault="00FF7990" w:rsidP="004304CA">
            <w:pPr>
              <w:pStyle w:val="TableParagraph"/>
              <w:numPr>
                <w:ilvl w:val="0"/>
                <w:numId w:val="29"/>
              </w:numPr>
              <w:rPr>
                <w:lang w:val="es-419"/>
              </w:rPr>
            </w:pPr>
            <w:r w:rsidRPr="00862453">
              <w:rPr>
                <w:lang w:val="es-419"/>
              </w:rPr>
              <w:t>Todos los criterios se cumplieron en el estudio exploratorio.</w:t>
            </w:r>
          </w:p>
        </w:tc>
        <w:tc>
          <w:tcPr>
            <w:tcW w:w="876" w:type="dxa"/>
          </w:tcPr>
          <w:p w14:paraId="6D6C8A4D" w14:textId="77777777" w:rsidR="004304CA" w:rsidRPr="00862453" w:rsidRDefault="004304CA" w:rsidP="00F300C4">
            <w:pPr>
              <w:pStyle w:val="TableParagraph"/>
              <w:rPr>
                <w:lang w:val="es-419"/>
              </w:rPr>
            </w:pPr>
            <w:r w:rsidRPr="00862453">
              <w:rPr>
                <w:lang w:val="es-419"/>
              </w:rPr>
              <w:t>****</w:t>
            </w:r>
          </w:p>
        </w:tc>
      </w:tr>
      <w:tr w:rsidR="008F48D9" w:rsidRPr="00862453" w14:paraId="05532657" w14:textId="77777777" w:rsidTr="00F300C4">
        <w:trPr>
          <w:trHeight w:val="510"/>
        </w:trPr>
        <w:tc>
          <w:tcPr>
            <w:tcW w:w="2410" w:type="dxa"/>
            <w:tcBorders>
              <w:right w:val="single" w:sz="6" w:space="0" w:color="000000"/>
            </w:tcBorders>
          </w:tcPr>
          <w:p w14:paraId="2F1BA6B3" w14:textId="4EA3DC75" w:rsidR="004304CA" w:rsidRPr="00862453" w:rsidRDefault="00F86BFA" w:rsidP="00F300C4">
            <w:pPr>
              <w:pStyle w:val="TableParagraph"/>
              <w:rPr>
                <w:lang w:val="es-419"/>
              </w:rPr>
            </w:pPr>
            <w:r w:rsidRPr="00862453">
              <w:rPr>
                <w:lang w:val="es-419"/>
              </w:rPr>
              <w:t>Publicación de la OMPI sobre la PI y las aplicaciones móviles</w:t>
            </w:r>
          </w:p>
        </w:tc>
        <w:tc>
          <w:tcPr>
            <w:tcW w:w="2695" w:type="dxa"/>
            <w:tcBorders>
              <w:top w:val="single" w:sz="6" w:space="0" w:color="000000"/>
              <w:left w:val="single" w:sz="6" w:space="0" w:color="000000"/>
              <w:bottom w:val="single" w:sz="6" w:space="0" w:color="000000"/>
            </w:tcBorders>
          </w:tcPr>
          <w:p w14:paraId="52D6FD30" w14:textId="74DDCA23" w:rsidR="004304CA" w:rsidRPr="00862453" w:rsidRDefault="001E508A" w:rsidP="004304CA">
            <w:pPr>
              <w:pStyle w:val="TableParagraph"/>
              <w:numPr>
                <w:ilvl w:val="0"/>
                <w:numId w:val="29"/>
              </w:numPr>
              <w:rPr>
                <w:lang w:val="es-419"/>
              </w:rPr>
            </w:pPr>
            <w:r w:rsidRPr="00862453">
              <w:rPr>
                <w:lang w:val="es-419"/>
              </w:rPr>
              <w:t>Traducción de la publicación a los idiomas oficiales de la OMPI hablados en los países beneficiarios del proyecto.</w:t>
            </w:r>
          </w:p>
          <w:p w14:paraId="1CBC0450" w14:textId="77777777" w:rsidR="004304CA" w:rsidRPr="00862453" w:rsidRDefault="004304CA" w:rsidP="00F300C4">
            <w:pPr>
              <w:pStyle w:val="TableParagraph"/>
              <w:rPr>
                <w:lang w:val="es-419"/>
              </w:rPr>
            </w:pPr>
          </w:p>
          <w:p w14:paraId="73FE3DC9" w14:textId="0A0ACBAF" w:rsidR="004304CA" w:rsidRPr="00862453" w:rsidRDefault="00FF7990" w:rsidP="004304CA">
            <w:pPr>
              <w:pStyle w:val="TableParagraph"/>
              <w:numPr>
                <w:ilvl w:val="0"/>
                <w:numId w:val="29"/>
              </w:numPr>
              <w:rPr>
                <w:lang w:val="es-419"/>
              </w:rPr>
            </w:pPr>
            <w:r w:rsidRPr="00862453">
              <w:rPr>
                <w:lang w:val="es-419"/>
              </w:rPr>
              <w:t>Estadísticas de descarga de la publicación de la OMPI (o visitas al sitio web de la publicación).</w:t>
            </w:r>
          </w:p>
          <w:p w14:paraId="7B954838" w14:textId="77777777" w:rsidR="004304CA" w:rsidRPr="00862453" w:rsidRDefault="004304CA" w:rsidP="00F300C4">
            <w:pPr>
              <w:pStyle w:val="TableParagraph"/>
              <w:rPr>
                <w:lang w:val="es-419"/>
              </w:rPr>
            </w:pPr>
          </w:p>
          <w:p w14:paraId="29008475" w14:textId="77777777" w:rsidR="004304CA" w:rsidRPr="00862453" w:rsidRDefault="004304CA" w:rsidP="00F300C4">
            <w:pPr>
              <w:pStyle w:val="TableParagraph"/>
              <w:rPr>
                <w:lang w:val="es-419"/>
              </w:rPr>
            </w:pPr>
          </w:p>
          <w:p w14:paraId="13E63694" w14:textId="77777777" w:rsidR="004304CA" w:rsidRPr="00862453" w:rsidRDefault="004304CA" w:rsidP="00F300C4">
            <w:pPr>
              <w:pStyle w:val="TableParagraph"/>
              <w:rPr>
                <w:lang w:val="es-419"/>
              </w:rPr>
            </w:pPr>
          </w:p>
          <w:p w14:paraId="01C8767B" w14:textId="31542F32" w:rsidR="004304CA" w:rsidRPr="00862453" w:rsidRDefault="00FF7990" w:rsidP="00FF7990">
            <w:pPr>
              <w:pStyle w:val="ListParagraph"/>
              <w:numPr>
                <w:ilvl w:val="0"/>
                <w:numId w:val="29"/>
              </w:numPr>
              <w:spacing w:line="240" w:lineRule="auto"/>
              <w:rPr>
                <w:rFonts w:cs="Arial"/>
                <w:lang w:val="es-419"/>
              </w:rPr>
            </w:pPr>
            <w:r w:rsidRPr="00862453">
              <w:rPr>
                <w:lang w:val="es-419"/>
              </w:rPr>
              <w:t>Porcentaje de beneficiarios (categorías de usuarios por país) que expresan satisfacción en relación con el contenido y la accesibilidad de la publicación de la OMPI sobre PI y aplicaciones móviles.</w:t>
            </w:r>
          </w:p>
        </w:tc>
        <w:tc>
          <w:tcPr>
            <w:tcW w:w="3401" w:type="dxa"/>
          </w:tcPr>
          <w:p w14:paraId="0275EE55" w14:textId="4C0C7F76" w:rsidR="004304CA" w:rsidRPr="00862453" w:rsidRDefault="00FA34C8" w:rsidP="004304CA">
            <w:pPr>
              <w:pStyle w:val="TableParagraph"/>
              <w:numPr>
                <w:ilvl w:val="0"/>
                <w:numId w:val="29"/>
              </w:numPr>
              <w:rPr>
                <w:lang w:val="es-419"/>
              </w:rPr>
            </w:pPr>
            <w:r w:rsidRPr="00862453">
              <w:rPr>
                <w:lang w:val="es-419"/>
              </w:rPr>
              <w:t>El material está disponible en español, francés, inglés y ruso. La traducción a otras lenguas de las Naciones Unidas está en curso</w:t>
            </w:r>
            <w:r w:rsidR="004304CA" w:rsidRPr="00862453">
              <w:rPr>
                <w:lang w:val="es-419"/>
              </w:rPr>
              <w:t>.</w:t>
            </w:r>
          </w:p>
          <w:p w14:paraId="0144D55A" w14:textId="77777777" w:rsidR="004304CA" w:rsidRPr="00862453" w:rsidRDefault="004304CA" w:rsidP="00F300C4">
            <w:pPr>
              <w:pStyle w:val="TableParagraph"/>
              <w:rPr>
                <w:lang w:val="es-419"/>
              </w:rPr>
            </w:pPr>
          </w:p>
          <w:p w14:paraId="12E5FE74" w14:textId="77777777" w:rsidR="004304CA" w:rsidRPr="00862453" w:rsidRDefault="004304CA" w:rsidP="00F300C4">
            <w:pPr>
              <w:pStyle w:val="TableParagraph"/>
              <w:rPr>
                <w:lang w:val="es-419"/>
              </w:rPr>
            </w:pPr>
          </w:p>
          <w:p w14:paraId="1C5F56AC" w14:textId="3D7F69E8" w:rsidR="004304CA" w:rsidRPr="00862453" w:rsidRDefault="005E7D11" w:rsidP="004304CA">
            <w:pPr>
              <w:pStyle w:val="TableParagraph"/>
              <w:numPr>
                <w:ilvl w:val="0"/>
                <w:numId w:val="29"/>
              </w:numPr>
              <w:rPr>
                <w:lang w:val="es-419"/>
              </w:rPr>
            </w:pPr>
            <w:r w:rsidRPr="00862453">
              <w:rPr>
                <w:lang w:val="es-419"/>
              </w:rPr>
              <w:t xml:space="preserve">En un inicio, se puso a disposición como documento. Más adelante, se </w:t>
            </w:r>
            <w:r w:rsidR="00791F29" w:rsidRPr="00862453">
              <w:rPr>
                <w:lang w:val="es-419"/>
              </w:rPr>
              <w:t>difundió</w:t>
            </w:r>
            <w:r w:rsidRPr="00862453">
              <w:rPr>
                <w:lang w:val="es-419"/>
              </w:rPr>
              <w:t xml:space="preserve"> como una publicación oficial de la OMPI, que tuvo</w:t>
            </w:r>
            <w:r w:rsidR="004729F2" w:rsidRPr="00862453">
              <w:rPr>
                <w:lang w:val="es-419"/>
              </w:rPr>
              <w:t> </w:t>
            </w:r>
            <w:r w:rsidRPr="00862453">
              <w:rPr>
                <w:lang w:val="es-419"/>
              </w:rPr>
              <w:t>958 descargas en el período de abril a diciembre de 2021</w:t>
            </w:r>
            <w:r w:rsidR="004304CA" w:rsidRPr="00862453">
              <w:rPr>
                <w:lang w:val="es-419"/>
              </w:rPr>
              <w:t>.</w:t>
            </w:r>
          </w:p>
          <w:p w14:paraId="108CD69C" w14:textId="77777777" w:rsidR="004304CA" w:rsidRPr="00862453" w:rsidRDefault="004304CA" w:rsidP="00F300C4">
            <w:pPr>
              <w:pStyle w:val="TableParagraph"/>
              <w:ind w:left="720"/>
              <w:rPr>
                <w:lang w:val="es-419"/>
              </w:rPr>
            </w:pPr>
          </w:p>
          <w:p w14:paraId="0611D526" w14:textId="16C832E2" w:rsidR="004304CA" w:rsidRPr="00862453" w:rsidRDefault="00FF7990" w:rsidP="004304CA">
            <w:pPr>
              <w:pStyle w:val="TableParagraph"/>
              <w:numPr>
                <w:ilvl w:val="0"/>
                <w:numId w:val="29"/>
              </w:numPr>
              <w:rPr>
                <w:lang w:val="es-419"/>
              </w:rPr>
            </w:pPr>
            <w:r w:rsidRPr="00862453">
              <w:rPr>
                <w:lang w:val="es-419"/>
              </w:rPr>
              <w:t>El</w:t>
            </w:r>
            <w:r w:rsidR="004729F2" w:rsidRPr="00862453">
              <w:rPr>
                <w:lang w:val="es-419"/>
              </w:rPr>
              <w:t> </w:t>
            </w:r>
            <w:r w:rsidR="004304CA" w:rsidRPr="00862453">
              <w:rPr>
                <w:lang w:val="es-419"/>
              </w:rPr>
              <w:t xml:space="preserve">96% </w:t>
            </w:r>
            <w:r w:rsidRPr="00862453">
              <w:rPr>
                <w:lang w:val="es-419"/>
              </w:rPr>
              <w:t>de los usuarios consideraron que la publicación era útil.</w:t>
            </w:r>
            <w:r w:rsidR="004304CA" w:rsidRPr="00862453">
              <w:rPr>
                <w:lang w:val="es-419"/>
              </w:rPr>
              <w:t xml:space="preserve"> </w:t>
            </w:r>
          </w:p>
        </w:tc>
        <w:tc>
          <w:tcPr>
            <w:tcW w:w="876" w:type="dxa"/>
          </w:tcPr>
          <w:p w14:paraId="752AC84D" w14:textId="77777777" w:rsidR="004304CA" w:rsidRPr="00862453" w:rsidRDefault="004304CA" w:rsidP="00F300C4">
            <w:pPr>
              <w:pStyle w:val="TableParagraph"/>
              <w:rPr>
                <w:lang w:val="es-419"/>
              </w:rPr>
            </w:pPr>
            <w:r w:rsidRPr="00862453">
              <w:rPr>
                <w:lang w:val="es-419"/>
              </w:rPr>
              <w:t>****</w:t>
            </w:r>
          </w:p>
        </w:tc>
      </w:tr>
      <w:tr w:rsidR="008F48D9" w:rsidRPr="00862453" w14:paraId="5905924B" w14:textId="77777777" w:rsidTr="00F300C4">
        <w:trPr>
          <w:trHeight w:val="510"/>
        </w:trPr>
        <w:tc>
          <w:tcPr>
            <w:tcW w:w="2410" w:type="dxa"/>
            <w:tcBorders>
              <w:right w:val="single" w:sz="6" w:space="0" w:color="000000"/>
            </w:tcBorders>
          </w:tcPr>
          <w:p w14:paraId="03BFA1F0" w14:textId="77777777" w:rsidR="00034F4A" w:rsidRPr="00862453" w:rsidRDefault="00034F4A" w:rsidP="00034F4A">
            <w:pPr>
              <w:rPr>
                <w:szCs w:val="22"/>
                <w:lang w:val="es-419"/>
              </w:rPr>
            </w:pPr>
            <w:r w:rsidRPr="00862453">
              <w:rPr>
                <w:lang w:val="es-419"/>
              </w:rPr>
              <w:t>Tipología de derechos de la PI que revisten una mayor importancia a la hora de proteger las aplicaciones móviles</w:t>
            </w:r>
          </w:p>
          <w:p w14:paraId="3152B05A" w14:textId="77777777" w:rsidR="004304CA" w:rsidRPr="00862453" w:rsidRDefault="004304CA" w:rsidP="00F300C4">
            <w:pPr>
              <w:pStyle w:val="TableParagraph"/>
              <w:rPr>
                <w:lang w:val="es-419"/>
              </w:rPr>
            </w:pPr>
          </w:p>
        </w:tc>
        <w:tc>
          <w:tcPr>
            <w:tcW w:w="2695" w:type="dxa"/>
            <w:tcBorders>
              <w:top w:val="single" w:sz="6" w:space="0" w:color="000000"/>
              <w:left w:val="single" w:sz="6" w:space="0" w:color="000000"/>
              <w:bottom w:val="single" w:sz="6" w:space="0" w:color="000000"/>
            </w:tcBorders>
          </w:tcPr>
          <w:p w14:paraId="47C9259D" w14:textId="43625C05" w:rsidR="003023DC" w:rsidRPr="00862453" w:rsidRDefault="003023DC" w:rsidP="003023DC">
            <w:pPr>
              <w:pStyle w:val="ListParagraph"/>
              <w:numPr>
                <w:ilvl w:val="0"/>
                <w:numId w:val="29"/>
              </w:numPr>
              <w:spacing w:line="240" w:lineRule="auto"/>
              <w:rPr>
                <w:rFonts w:cs="Arial"/>
                <w:lang w:val="es-419"/>
              </w:rPr>
            </w:pPr>
            <w:r w:rsidRPr="00862453">
              <w:rPr>
                <w:lang w:val="es-419"/>
              </w:rPr>
              <w:t>Tres gráficos que muestren la tipología pertinente en cada uno de los países beneficiarios</w:t>
            </w:r>
            <w:r w:rsidR="00B0076B" w:rsidRPr="00862453">
              <w:rPr>
                <w:lang w:val="es-419"/>
              </w:rPr>
              <w:t>.</w:t>
            </w:r>
          </w:p>
          <w:p w14:paraId="0AB4E55C" w14:textId="77777777" w:rsidR="003023DC" w:rsidRPr="00862453" w:rsidRDefault="003023DC" w:rsidP="003023DC">
            <w:pPr>
              <w:pStyle w:val="ListParagraph"/>
              <w:rPr>
                <w:rFonts w:cs="Arial"/>
                <w:lang w:val="es-419"/>
              </w:rPr>
            </w:pPr>
          </w:p>
          <w:p w14:paraId="58CFAE6C" w14:textId="16C47FD3" w:rsidR="003023DC" w:rsidRPr="00862453" w:rsidRDefault="003023DC" w:rsidP="003023DC">
            <w:pPr>
              <w:pStyle w:val="ListParagraph"/>
              <w:numPr>
                <w:ilvl w:val="0"/>
                <w:numId w:val="29"/>
              </w:numPr>
              <w:spacing w:line="240" w:lineRule="auto"/>
              <w:rPr>
                <w:rFonts w:cs="Arial"/>
                <w:lang w:val="es-419"/>
              </w:rPr>
            </w:pPr>
            <w:r w:rsidRPr="00862453">
              <w:rPr>
                <w:lang w:val="es-419"/>
              </w:rPr>
              <w:t>Un mínimo de dos empresas emergentes en cada país beneficiario que validen la utilidad del gráfico para la intensificación del uso de la PI.</w:t>
            </w:r>
          </w:p>
          <w:p w14:paraId="32634153" w14:textId="77777777" w:rsidR="003023DC" w:rsidRPr="00862453" w:rsidRDefault="003023DC" w:rsidP="003023DC">
            <w:pPr>
              <w:pStyle w:val="ListParagraph"/>
              <w:rPr>
                <w:rFonts w:cs="Arial"/>
                <w:lang w:val="es-419"/>
              </w:rPr>
            </w:pPr>
          </w:p>
          <w:p w14:paraId="692A1445" w14:textId="369D264A" w:rsidR="004304CA" w:rsidRPr="00862453" w:rsidRDefault="003023DC" w:rsidP="00B0076B">
            <w:pPr>
              <w:pStyle w:val="ListParagraph"/>
              <w:numPr>
                <w:ilvl w:val="0"/>
                <w:numId w:val="29"/>
              </w:numPr>
              <w:spacing w:line="240" w:lineRule="auto"/>
              <w:rPr>
                <w:rFonts w:cs="Arial"/>
                <w:lang w:val="es-419"/>
              </w:rPr>
            </w:pPr>
            <w:r w:rsidRPr="00862453">
              <w:rPr>
                <w:lang w:val="es-419"/>
              </w:rPr>
              <w:t>Número de instituciones de investigación/centros de investigación y desarrollo (I+D), centros de TIC y universidades de cada país beneficiario que validan la utilidad del gráfico para la intensificación del uso de la PI.</w:t>
            </w:r>
          </w:p>
        </w:tc>
        <w:tc>
          <w:tcPr>
            <w:tcW w:w="3401" w:type="dxa"/>
          </w:tcPr>
          <w:p w14:paraId="64EC1243" w14:textId="328F25C5" w:rsidR="00885E18" w:rsidRPr="00862453" w:rsidRDefault="00885E18" w:rsidP="00885E18">
            <w:pPr>
              <w:pStyle w:val="TableParagraph"/>
              <w:numPr>
                <w:ilvl w:val="0"/>
                <w:numId w:val="29"/>
              </w:numPr>
              <w:rPr>
                <w:lang w:val="es-419"/>
              </w:rPr>
            </w:pPr>
            <w:r w:rsidRPr="00862453">
              <w:rPr>
                <w:lang w:val="es-419"/>
              </w:rPr>
              <w:t>Se prepararon tres gráficos y dos infografías.</w:t>
            </w:r>
          </w:p>
          <w:p w14:paraId="4F858C60" w14:textId="63D2213F" w:rsidR="00885E18" w:rsidRPr="00862453" w:rsidRDefault="00885E18" w:rsidP="00885E18">
            <w:pPr>
              <w:pStyle w:val="TableParagraph"/>
              <w:numPr>
                <w:ilvl w:val="0"/>
                <w:numId w:val="29"/>
              </w:numPr>
              <w:rPr>
                <w:lang w:val="es-419"/>
              </w:rPr>
            </w:pPr>
            <w:r w:rsidRPr="00862453">
              <w:rPr>
                <w:lang w:val="es-419"/>
              </w:rPr>
              <w:t>Se registraron</w:t>
            </w:r>
            <w:r w:rsidR="004729F2" w:rsidRPr="00862453">
              <w:rPr>
                <w:lang w:val="es-419"/>
              </w:rPr>
              <w:t> </w:t>
            </w:r>
            <w:r w:rsidRPr="00862453">
              <w:rPr>
                <w:lang w:val="es-419"/>
              </w:rPr>
              <w:t>1.367 descargas.</w:t>
            </w:r>
          </w:p>
          <w:p w14:paraId="213507FC" w14:textId="0A801EA6" w:rsidR="00885E18" w:rsidRPr="00862453" w:rsidRDefault="00885E18" w:rsidP="00885E18">
            <w:pPr>
              <w:pStyle w:val="TableParagraph"/>
              <w:rPr>
                <w:lang w:val="es-419"/>
              </w:rPr>
            </w:pPr>
          </w:p>
          <w:p w14:paraId="70248072" w14:textId="436093D1" w:rsidR="00885E18" w:rsidRPr="00862453" w:rsidRDefault="00885E18" w:rsidP="00885E18">
            <w:pPr>
              <w:pStyle w:val="TableParagraph"/>
              <w:rPr>
                <w:lang w:val="es-419"/>
              </w:rPr>
            </w:pPr>
          </w:p>
          <w:p w14:paraId="6B13A33F" w14:textId="6B6A9E6C" w:rsidR="00885E18" w:rsidRPr="00862453" w:rsidRDefault="00885E18" w:rsidP="00885E18">
            <w:pPr>
              <w:pStyle w:val="TableParagraph"/>
              <w:rPr>
                <w:lang w:val="es-419"/>
              </w:rPr>
            </w:pPr>
          </w:p>
          <w:p w14:paraId="744C7CDB" w14:textId="355EE5DB" w:rsidR="00885E18" w:rsidRPr="00862453" w:rsidRDefault="00885E18" w:rsidP="00885E18">
            <w:pPr>
              <w:pStyle w:val="TableParagraph"/>
              <w:rPr>
                <w:lang w:val="es-419"/>
              </w:rPr>
            </w:pPr>
          </w:p>
          <w:p w14:paraId="14A4C59F" w14:textId="103E2E0B" w:rsidR="00885E18" w:rsidRPr="00862453" w:rsidRDefault="00885E18" w:rsidP="00885E18">
            <w:pPr>
              <w:pStyle w:val="TableParagraph"/>
              <w:rPr>
                <w:lang w:val="es-419"/>
              </w:rPr>
            </w:pPr>
          </w:p>
          <w:p w14:paraId="3C792833" w14:textId="0F07FBF4" w:rsidR="00885E18" w:rsidRPr="00862453" w:rsidRDefault="00885E18" w:rsidP="00885E18">
            <w:pPr>
              <w:pStyle w:val="TableParagraph"/>
              <w:rPr>
                <w:lang w:val="es-419"/>
              </w:rPr>
            </w:pPr>
          </w:p>
          <w:p w14:paraId="405987CC" w14:textId="45BB73E0" w:rsidR="00885E18" w:rsidRPr="00862453" w:rsidRDefault="00885E18" w:rsidP="00885E18">
            <w:pPr>
              <w:pStyle w:val="TableParagraph"/>
              <w:rPr>
                <w:lang w:val="es-419"/>
              </w:rPr>
            </w:pPr>
          </w:p>
          <w:p w14:paraId="43593F40" w14:textId="51DC6326" w:rsidR="00885E18" w:rsidRPr="00862453" w:rsidRDefault="00885E18" w:rsidP="00885E18">
            <w:pPr>
              <w:pStyle w:val="TableParagraph"/>
              <w:rPr>
                <w:lang w:val="es-419"/>
              </w:rPr>
            </w:pPr>
          </w:p>
          <w:p w14:paraId="0ED48E09" w14:textId="0B59B1F6" w:rsidR="00885E18" w:rsidRPr="00862453" w:rsidRDefault="00885E18" w:rsidP="00885E18">
            <w:pPr>
              <w:pStyle w:val="TableParagraph"/>
              <w:rPr>
                <w:lang w:val="es-419"/>
              </w:rPr>
            </w:pPr>
          </w:p>
          <w:p w14:paraId="0B0CD0CF" w14:textId="05B34FA6" w:rsidR="00885E18" w:rsidRPr="00862453" w:rsidRDefault="00885E18" w:rsidP="00885E18">
            <w:pPr>
              <w:pStyle w:val="TableParagraph"/>
              <w:rPr>
                <w:lang w:val="es-419"/>
              </w:rPr>
            </w:pPr>
          </w:p>
          <w:p w14:paraId="4B033A7E" w14:textId="55E7CD89" w:rsidR="00885E18" w:rsidRPr="00862453" w:rsidRDefault="00885E18" w:rsidP="00885E18">
            <w:pPr>
              <w:pStyle w:val="TableParagraph"/>
              <w:rPr>
                <w:lang w:val="es-419"/>
              </w:rPr>
            </w:pPr>
          </w:p>
          <w:p w14:paraId="38C4F1D6" w14:textId="767E7C40" w:rsidR="00885E18" w:rsidRPr="00862453" w:rsidRDefault="00885E18" w:rsidP="00885E18">
            <w:pPr>
              <w:pStyle w:val="TableParagraph"/>
              <w:rPr>
                <w:lang w:val="es-419"/>
              </w:rPr>
            </w:pPr>
          </w:p>
          <w:p w14:paraId="6D719776" w14:textId="77777777" w:rsidR="00885E18" w:rsidRPr="00862453" w:rsidRDefault="00885E18" w:rsidP="00885E18">
            <w:pPr>
              <w:pStyle w:val="TableParagraph"/>
              <w:rPr>
                <w:lang w:val="es-419"/>
              </w:rPr>
            </w:pPr>
          </w:p>
          <w:p w14:paraId="3223DFA9" w14:textId="75E4F579" w:rsidR="004304CA" w:rsidRPr="00862453" w:rsidRDefault="00885E18" w:rsidP="00885E18">
            <w:pPr>
              <w:pStyle w:val="TableParagraph"/>
              <w:numPr>
                <w:ilvl w:val="0"/>
                <w:numId w:val="29"/>
              </w:numPr>
              <w:rPr>
                <w:lang w:val="es-419"/>
              </w:rPr>
            </w:pPr>
            <w:r w:rsidRPr="00862453">
              <w:rPr>
                <w:lang w:val="es-419"/>
              </w:rPr>
              <w:t>El</w:t>
            </w:r>
            <w:r w:rsidR="004729F2" w:rsidRPr="00862453">
              <w:rPr>
                <w:lang w:val="es-419"/>
              </w:rPr>
              <w:t> </w:t>
            </w:r>
            <w:r w:rsidRPr="00862453">
              <w:rPr>
                <w:lang w:val="es-419"/>
              </w:rPr>
              <w:t>96% de los participantes en las encuestas emiti</w:t>
            </w:r>
            <w:r w:rsidR="00481EC5" w:rsidRPr="00862453">
              <w:rPr>
                <w:lang w:val="es-419"/>
              </w:rPr>
              <w:t>ó</w:t>
            </w:r>
            <w:r w:rsidRPr="00862453">
              <w:rPr>
                <w:lang w:val="es-419"/>
              </w:rPr>
              <w:t xml:space="preserve"> una valoración positiva (el</w:t>
            </w:r>
            <w:r w:rsidR="004729F2" w:rsidRPr="00862453">
              <w:rPr>
                <w:lang w:val="es-419"/>
              </w:rPr>
              <w:t> </w:t>
            </w:r>
            <w:r w:rsidRPr="00862453">
              <w:rPr>
                <w:lang w:val="es-419"/>
              </w:rPr>
              <w:t>37% del total de participantes eran investigadores)</w:t>
            </w:r>
          </w:p>
        </w:tc>
        <w:tc>
          <w:tcPr>
            <w:tcW w:w="876" w:type="dxa"/>
          </w:tcPr>
          <w:p w14:paraId="254812CA" w14:textId="77777777" w:rsidR="004304CA" w:rsidRPr="00862453" w:rsidRDefault="004304CA" w:rsidP="00F300C4">
            <w:pPr>
              <w:pStyle w:val="TableParagraph"/>
              <w:rPr>
                <w:lang w:val="es-419"/>
              </w:rPr>
            </w:pPr>
            <w:r w:rsidRPr="00862453">
              <w:rPr>
                <w:lang w:val="es-419"/>
              </w:rPr>
              <w:t>****</w:t>
            </w:r>
          </w:p>
        </w:tc>
      </w:tr>
      <w:tr w:rsidR="008F48D9" w:rsidRPr="00862453" w14:paraId="6896C7C8" w14:textId="77777777" w:rsidTr="00F300C4">
        <w:trPr>
          <w:trHeight w:val="510"/>
        </w:trPr>
        <w:tc>
          <w:tcPr>
            <w:tcW w:w="2410" w:type="dxa"/>
            <w:tcBorders>
              <w:right w:val="single" w:sz="6" w:space="0" w:color="000000"/>
            </w:tcBorders>
          </w:tcPr>
          <w:p w14:paraId="333E2D0B" w14:textId="77777777" w:rsidR="00034F4A" w:rsidRPr="00862453" w:rsidRDefault="00034F4A" w:rsidP="00034F4A">
            <w:pPr>
              <w:rPr>
                <w:szCs w:val="22"/>
                <w:lang w:val="es-419"/>
              </w:rPr>
            </w:pPr>
            <w:r w:rsidRPr="00862453">
              <w:rPr>
                <w:lang w:val="es-419"/>
              </w:rPr>
              <w:t xml:space="preserve">Módulo de formación sobre la función de la PI en el desarrollo y la comercialización de nuevos productos y servicios basados en </w:t>
            </w:r>
            <w:r w:rsidRPr="00862453">
              <w:rPr>
                <w:i/>
                <w:iCs/>
                <w:lang w:val="es-419"/>
              </w:rPr>
              <w:t>software</w:t>
            </w:r>
          </w:p>
          <w:p w14:paraId="7791ED15" w14:textId="77777777" w:rsidR="004304CA" w:rsidRPr="00862453" w:rsidRDefault="004304CA" w:rsidP="00F300C4">
            <w:pPr>
              <w:pStyle w:val="TableParagraph"/>
              <w:rPr>
                <w:lang w:val="es-419"/>
              </w:rPr>
            </w:pPr>
          </w:p>
        </w:tc>
        <w:tc>
          <w:tcPr>
            <w:tcW w:w="2695" w:type="dxa"/>
            <w:tcBorders>
              <w:top w:val="single" w:sz="6" w:space="0" w:color="000000"/>
              <w:left w:val="single" w:sz="6" w:space="0" w:color="000000"/>
              <w:bottom w:val="single" w:sz="6" w:space="0" w:color="000000"/>
            </w:tcBorders>
          </w:tcPr>
          <w:p w14:paraId="7F10408D" w14:textId="7297399C" w:rsidR="00B0076B" w:rsidRPr="00862453" w:rsidRDefault="00B0076B" w:rsidP="00B0076B">
            <w:pPr>
              <w:pStyle w:val="ListParagraph"/>
              <w:numPr>
                <w:ilvl w:val="0"/>
                <w:numId w:val="29"/>
              </w:numPr>
              <w:spacing w:line="240" w:lineRule="auto"/>
              <w:rPr>
                <w:rFonts w:cs="Arial"/>
                <w:lang w:val="es-419"/>
              </w:rPr>
            </w:pPr>
            <w:r w:rsidRPr="00862453">
              <w:rPr>
                <w:lang w:val="es-419"/>
              </w:rPr>
              <w:t>Al menos dos empresas emergentes en cada país beneficiario que validen la utilidad del módulo de formación para la intensificación del uso de la PI.</w:t>
            </w:r>
          </w:p>
          <w:p w14:paraId="2D895789" w14:textId="77777777" w:rsidR="00B0076B" w:rsidRPr="00862453" w:rsidRDefault="00B0076B" w:rsidP="00B0076B">
            <w:pPr>
              <w:pStyle w:val="ListParagraph"/>
              <w:rPr>
                <w:rFonts w:cs="Arial"/>
                <w:lang w:val="es-419"/>
              </w:rPr>
            </w:pPr>
          </w:p>
          <w:p w14:paraId="63674125" w14:textId="593C1FA7" w:rsidR="004304CA" w:rsidRPr="00862453" w:rsidRDefault="00B0076B" w:rsidP="00B0076B">
            <w:pPr>
              <w:pStyle w:val="ListParagraph"/>
              <w:numPr>
                <w:ilvl w:val="0"/>
                <w:numId w:val="29"/>
              </w:numPr>
              <w:spacing w:line="240" w:lineRule="auto"/>
              <w:rPr>
                <w:rFonts w:cs="Arial"/>
                <w:lang w:val="es-419"/>
              </w:rPr>
            </w:pPr>
            <w:r w:rsidRPr="00862453">
              <w:rPr>
                <w:lang w:val="es-419"/>
              </w:rPr>
              <w:t>Número de participantes que asisten a la formación por sector (entidades comerciales, organizaciones de I+D, universidades, sector público, empresas de nueva creación, etc.).</w:t>
            </w:r>
          </w:p>
        </w:tc>
        <w:tc>
          <w:tcPr>
            <w:tcW w:w="3401" w:type="dxa"/>
          </w:tcPr>
          <w:p w14:paraId="61CE530D" w14:textId="7A0522C6" w:rsidR="00885E18" w:rsidRPr="00862453" w:rsidRDefault="00885E18" w:rsidP="00885E18">
            <w:pPr>
              <w:pStyle w:val="TableParagraph"/>
              <w:numPr>
                <w:ilvl w:val="0"/>
                <w:numId w:val="29"/>
              </w:numPr>
              <w:rPr>
                <w:lang w:val="es-419"/>
              </w:rPr>
            </w:pPr>
            <w:r w:rsidRPr="00862453">
              <w:rPr>
                <w:lang w:val="es-419"/>
              </w:rPr>
              <w:t>La herramienta fue valorada positivamente por el</w:t>
            </w:r>
            <w:r w:rsidR="004729F2" w:rsidRPr="00862453">
              <w:rPr>
                <w:lang w:val="es-419"/>
              </w:rPr>
              <w:t> </w:t>
            </w:r>
            <w:r w:rsidRPr="00862453">
              <w:rPr>
                <w:lang w:val="es-419"/>
              </w:rPr>
              <w:t>96% de los encuestados sobre las actividades del proyecto.</w:t>
            </w:r>
          </w:p>
          <w:p w14:paraId="5B6A49DF" w14:textId="46168E45" w:rsidR="004304CA" w:rsidRPr="00862453" w:rsidRDefault="00885E18" w:rsidP="00885E18">
            <w:pPr>
              <w:pStyle w:val="TableParagraph"/>
              <w:numPr>
                <w:ilvl w:val="0"/>
                <w:numId w:val="29"/>
              </w:numPr>
              <w:rPr>
                <w:lang w:val="es-419"/>
              </w:rPr>
            </w:pPr>
            <w:r w:rsidRPr="00862453">
              <w:rPr>
                <w:lang w:val="es-419"/>
              </w:rPr>
              <w:t>Se registraron</w:t>
            </w:r>
            <w:r w:rsidR="004729F2" w:rsidRPr="00862453">
              <w:rPr>
                <w:lang w:val="es-419"/>
              </w:rPr>
              <w:t> </w:t>
            </w:r>
            <w:r w:rsidRPr="00862453">
              <w:rPr>
                <w:lang w:val="es-419"/>
              </w:rPr>
              <w:t>880 descargas.</w:t>
            </w:r>
          </w:p>
          <w:p w14:paraId="17A0E9EC" w14:textId="77777777" w:rsidR="004304CA" w:rsidRPr="00862453" w:rsidRDefault="004304CA" w:rsidP="00F300C4">
            <w:pPr>
              <w:pStyle w:val="TableParagraph"/>
              <w:rPr>
                <w:lang w:val="es-419"/>
              </w:rPr>
            </w:pPr>
          </w:p>
          <w:p w14:paraId="133ACA85" w14:textId="77777777" w:rsidR="004304CA" w:rsidRPr="00862453" w:rsidRDefault="004304CA" w:rsidP="00F300C4">
            <w:pPr>
              <w:pStyle w:val="TableParagraph"/>
              <w:rPr>
                <w:lang w:val="es-419"/>
              </w:rPr>
            </w:pPr>
          </w:p>
          <w:p w14:paraId="5178043E" w14:textId="3781687C" w:rsidR="004304CA" w:rsidRPr="00862453" w:rsidRDefault="004304CA" w:rsidP="00F300C4">
            <w:pPr>
              <w:pStyle w:val="TableParagraph"/>
              <w:rPr>
                <w:lang w:val="es-419"/>
              </w:rPr>
            </w:pPr>
          </w:p>
          <w:p w14:paraId="7A92414C" w14:textId="57E00229" w:rsidR="00534956" w:rsidRPr="00862453" w:rsidRDefault="00534956" w:rsidP="00F300C4">
            <w:pPr>
              <w:pStyle w:val="TableParagraph"/>
              <w:rPr>
                <w:lang w:val="es-419"/>
              </w:rPr>
            </w:pPr>
          </w:p>
          <w:p w14:paraId="47BFBAFB" w14:textId="77777777" w:rsidR="00534956" w:rsidRPr="00862453" w:rsidRDefault="00534956" w:rsidP="00F300C4">
            <w:pPr>
              <w:pStyle w:val="TableParagraph"/>
              <w:rPr>
                <w:lang w:val="es-419"/>
              </w:rPr>
            </w:pPr>
          </w:p>
          <w:p w14:paraId="044793A5" w14:textId="32EE6360" w:rsidR="004304CA" w:rsidRPr="00862453" w:rsidRDefault="00885E18" w:rsidP="004304CA">
            <w:pPr>
              <w:pStyle w:val="TableParagraph"/>
              <w:numPr>
                <w:ilvl w:val="0"/>
                <w:numId w:val="29"/>
              </w:numPr>
              <w:rPr>
                <w:lang w:val="es-419"/>
              </w:rPr>
            </w:pPr>
            <w:r w:rsidRPr="00862453">
              <w:rPr>
                <w:lang w:val="es-419"/>
              </w:rPr>
              <w:t xml:space="preserve">El módulo de formación abarcó numerosos talleres </w:t>
            </w:r>
            <w:r w:rsidR="00197C37" w:rsidRPr="00862453">
              <w:rPr>
                <w:lang w:val="es-419"/>
              </w:rPr>
              <w:t>en los que se</w:t>
            </w:r>
            <w:r w:rsidRPr="00862453">
              <w:rPr>
                <w:lang w:val="es-419"/>
              </w:rPr>
              <w:t xml:space="preserve"> </w:t>
            </w:r>
            <w:r w:rsidR="00197C37" w:rsidRPr="00862453">
              <w:rPr>
                <w:lang w:val="es-419"/>
              </w:rPr>
              <w:t xml:space="preserve">abordaron </w:t>
            </w:r>
            <w:r w:rsidRPr="00862453">
              <w:rPr>
                <w:lang w:val="es-419"/>
              </w:rPr>
              <w:t xml:space="preserve">una amplia gama de </w:t>
            </w:r>
            <w:r w:rsidR="00197C37" w:rsidRPr="00862453">
              <w:rPr>
                <w:lang w:val="es-419"/>
              </w:rPr>
              <w:t>cuestiones</w:t>
            </w:r>
            <w:r w:rsidRPr="00862453">
              <w:rPr>
                <w:lang w:val="es-419"/>
              </w:rPr>
              <w:t>.</w:t>
            </w:r>
          </w:p>
        </w:tc>
        <w:tc>
          <w:tcPr>
            <w:tcW w:w="876" w:type="dxa"/>
          </w:tcPr>
          <w:p w14:paraId="48F7E19B" w14:textId="77777777" w:rsidR="004304CA" w:rsidRPr="00862453" w:rsidRDefault="004304CA" w:rsidP="00F300C4">
            <w:pPr>
              <w:pStyle w:val="TableParagraph"/>
              <w:rPr>
                <w:lang w:val="es-419"/>
              </w:rPr>
            </w:pPr>
            <w:r w:rsidRPr="00862453">
              <w:rPr>
                <w:lang w:val="es-419"/>
              </w:rPr>
              <w:t>****</w:t>
            </w:r>
          </w:p>
        </w:tc>
      </w:tr>
      <w:tr w:rsidR="008F48D9" w:rsidRPr="00862453" w14:paraId="00F542BF" w14:textId="77777777" w:rsidTr="00F300C4">
        <w:trPr>
          <w:trHeight w:val="510"/>
        </w:trPr>
        <w:tc>
          <w:tcPr>
            <w:tcW w:w="2410" w:type="dxa"/>
            <w:tcBorders>
              <w:right w:val="single" w:sz="6" w:space="0" w:color="000000"/>
            </w:tcBorders>
          </w:tcPr>
          <w:p w14:paraId="75AE4F8F" w14:textId="77777777" w:rsidR="00034F4A" w:rsidRPr="00862453" w:rsidRDefault="00034F4A" w:rsidP="00034F4A">
            <w:pPr>
              <w:rPr>
                <w:szCs w:val="22"/>
                <w:lang w:val="es-419"/>
              </w:rPr>
            </w:pPr>
            <w:r w:rsidRPr="00862453">
              <w:rPr>
                <w:lang w:val="es-419"/>
              </w:rPr>
              <w:t>Módulo de formación sobre los principales contratos en el sector de las aplicaciones móviles</w:t>
            </w:r>
          </w:p>
          <w:p w14:paraId="3DA01D61" w14:textId="77777777" w:rsidR="004304CA" w:rsidRPr="00862453" w:rsidRDefault="004304CA" w:rsidP="00F300C4">
            <w:pPr>
              <w:pStyle w:val="TableParagraph"/>
              <w:rPr>
                <w:lang w:val="es-419"/>
              </w:rPr>
            </w:pPr>
          </w:p>
        </w:tc>
        <w:tc>
          <w:tcPr>
            <w:tcW w:w="2695" w:type="dxa"/>
            <w:tcBorders>
              <w:top w:val="single" w:sz="6" w:space="0" w:color="000000"/>
              <w:left w:val="single" w:sz="6" w:space="0" w:color="000000"/>
              <w:bottom w:val="single" w:sz="6" w:space="0" w:color="000000"/>
            </w:tcBorders>
          </w:tcPr>
          <w:p w14:paraId="1D06C8BB" w14:textId="3F1A55F7" w:rsidR="00B0076B" w:rsidRPr="00862453" w:rsidRDefault="00B0076B" w:rsidP="00B0076B">
            <w:pPr>
              <w:pStyle w:val="ListParagraph"/>
              <w:numPr>
                <w:ilvl w:val="0"/>
                <w:numId w:val="29"/>
              </w:numPr>
              <w:spacing w:line="240" w:lineRule="auto"/>
              <w:rPr>
                <w:rFonts w:cs="Arial"/>
                <w:lang w:val="es-419"/>
              </w:rPr>
            </w:pPr>
            <w:r w:rsidRPr="00862453">
              <w:rPr>
                <w:lang w:val="es-419"/>
              </w:rPr>
              <w:t>Un mínimo de dos empresas emergentes en cada país beneficiario que validen la utilidad del módulo de formación para la intensificación del uso de la PI.</w:t>
            </w:r>
          </w:p>
          <w:p w14:paraId="284F6682" w14:textId="77777777" w:rsidR="00B0076B" w:rsidRPr="00862453" w:rsidRDefault="00B0076B" w:rsidP="00B0076B">
            <w:pPr>
              <w:pStyle w:val="ListParagraph"/>
              <w:rPr>
                <w:rFonts w:cs="Arial"/>
                <w:lang w:val="es-419"/>
              </w:rPr>
            </w:pPr>
          </w:p>
          <w:p w14:paraId="6678D1E1" w14:textId="1555C591" w:rsidR="004304CA" w:rsidRPr="00862453" w:rsidRDefault="00B0076B" w:rsidP="00B0076B">
            <w:pPr>
              <w:pStyle w:val="ListParagraph"/>
              <w:numPr>
                <w:ilvl w:val="0"/>
                <w:numId w:val="29"/>
              </w:numPr>
              <w:spacing w:line="240" w:lineRule="auto"/>
              <w:rPr>
                <w:lang w:val="es-419"/>
              </w:rPr>
            </w:pPr>
            <w:r w:rsidRPr="00862453">
              <w:rPr>
                <w:lang w:val="es-419"/>
              </w:rPr>
              <w:t>Número de participantes por país y sector (entidades comerciales, organizaciones de I+D, universidades, sector público, empresas emergentes, etc.) que asisten a la formación.</w:t>
            </w:r>
          </w:p>
        </w:tc>
        <w:tc>
          <w:tcPr>
            <w:tcW w:w="3401" w:type="dxa"/>
          </w:tcPr>
          <w:p w14:paraId="6FD4B76E" w14:textId="04502392" w:rsidR="000F3999" w:rsidRPr="00862453" w:rsidRDefault="000F3999" w:rsidP="000F3999">
            <w:pPr>
              <w:pStyle w:val="TableParagraph"/>
              <w:numPr>
                <w:ilvl w:val="0"/>
                <w:numId w:val="29"/>
              </w:numPr>
              <w:rPr>
                <w:lang w:val="es-419"/>
              </w:rPr>
            </w:pPr>
            <w:r w:rsidRPr="00862453">
              <w:rPr>
                <w:lang w:val="es-419"/>
              </w:rPr>
              <w:t>El</w:t>
            </w:r>
            <w:r w:rsidR="004729F2" w:rsidRPr="00862453">
              <w:rPr>
                <w:lang w:val="es-419"/>
              </w:rPr>
              <w:t> </w:t>
            </w:r>
            <w:r w:rsidRPr="00862453">
              <w:rPr>
                <w:lang w:val="es-419"/>
              </w:rPr>
              <w:t xml:space="preserve">94% de los participantes en las actividades del proyecto consideraron que el manual era muy útil </w:t>
            </w:r>
          </w:p>
          <w:p w14:paraId="7B32A022" w14:textId="407F4EBD" w:rsidR="004304CA" w:rsidRPr="00862453" w:rsidRDefault="000F3999" w:rsidP="000F3999">
            <w:pPr>
              <w:pStyle w:val="TableParagraph"/>
              <w:numPr>
                <w:ilvl w:val="0"/>
                <w:numId w:val="29"/>
              </w:numPr>
              <w:rPr>
                <w:lang w:val="es-419"/>
              </w:rPr>
            </w:pPr>
            <w:r w:rsidRPr="00862453">
              <w:rPr>
                <w:lang w:val="es-419"/>
              </w:rPr>
              <w:t>Se registraron</w:t>
            </w:r>
            <w:r w:rsidR="004729F2" w:rsidRPr="00862453">
              <w:rPr>
                <w:lang w:val="es-419"/>
              </w:rPr>
              <w:t> </w:t>
            </w:r>
            <w:r w:rsidRPr="00862453">
              <w:rPr>
                <w:lang w:val="es-419"/>
              </w:rPr>
              <w:t>3.841 descargas</w:t>
            </w:r>
            <w:r w:rsidR="004304CA" w:rsidRPr="00862453">
              <w:rPr>
                <w:lang w:val="es-419"/>
              </w:rPr>
              <w:t>.</w:t>
            </w:r>
          </w:p>
          <w:p w14:paraId="60362898" w14:textId="77777777" w:rsidR="004304CA" w:rsidRPr="00862453" w:rsidRDefault="004304CA" w:rsidP="00F300C4">
            <w:pPr>
              <w:pStyle w:val="TableParagraph"/>
              <w:rPr>
                <w:lang w:val="es-419"/>
              </w:rPr>
            </w:pPr>
          </w:p>
          <w:p w14:paraId="18C02CF5" w14:textId="77777777" w:rsidR="004304CA" w:rsidRPr="00862453" w:rsidRDefault="004304CA" w:rsidP="00F300C4">
            <w:pPr>
              <w:pStyle w:val="TableParagraph"/>
              <w:rPr>
                <w:lang w:val="es-419"/>
              </w:rPr>
            </w:pPr>
          </w:p>
          <w:p w14:paraId="1F896F66" w14:textId="4059D802" w:rsidR="004304CA" w:rsidRPr="00862453" w:rsidRDefault="004304CA" w:rsidP="00F300C4">
            <w:pPr>
              <w:pStyle w:val="TableParagraph"/>
              <w:rPr>
                <w:lang w:val="es-419"/>
              </w:rPr>
            </w:pPr>
          </w:p>
          <w:p w14:paraId="51C08863" w14:textId="623D18A0" w:rsidR="000F3999" w:rsidRPr="00862453" w:rsidRDefault="000F3999" w:rsidP="00F300C4">
            <w:pPr>
              <w:pStyle w:val="TableParagraph"/>
              <w:rPr>
                <w:lang w:val="es-419"/>
              </w:rPr>
            </w:pPr>
          </w:p>
          <w:p w14:paraId="5CE6AA15" w14:textId="77777777" w:rsidR="000F3999" w:rsidRPr="00862453" w:rsidRDefault="000F3999" w:rsidP="00F300C4">
            <w:pPr>
              <w:pStyle w:val="TableParagraph"/>
              <w:rPr>
                <w:lang w:val="es-419"/>
              </w:rPr>
            </w:pPr>
          </w:p>
          <w:p w14:paraId="76835EF6" w14:textId="77777777" w:rsidR="004304CA" w:rsidRPr="00862453" w:rsidRDefault="004304CA" w:rsidP="00F300C4">
            <w:pPr>
              <w:pStyle w:val="TableParagraph"/>
              <w:rPr>
                <w:lang w:val="es-419"/>
              </w:rPr>
            </w:pPr>
          </w:p>
          <w:p w14:paraId="28DF0B70" w14:textId="0815056C" w:rsidR="004304CA" w:rsidRPr="00862453" w:rsidRDefault="00026E36" w:rsidP="004304CA">
            <w:pPr>
              <w:pStyle w:val="TableParagraph"/>
              <w:numPr>
                <w:ilvl w:val="0"/>
                <w:numId w:val="29"/>
              </w:numPr>
              <w:rPr>
                <w:lang w:val="es-419"/>
              </w:rPr>
            </w:pPr>
            <w:r w:rsidRPr="00862453">
              <w:rPr>
                <w:lang w:val="es-419"/>
              </w:rPr>
              <w:t>El módulo de formación abarcó numerosos talleres en los que se abordaron una amplia gama de cuestiones.</w:t>
            </w:r>
          </w:p>
          <w:p w14:paraId="0FC69C23" w14:textId="77777777" w:rsidR="004304CA" w:rsidRPr="00862453" w:rsidRDefault="004304CA" w:rsidP="00F300C4">
            <w:pPr>
              <w:pStyle w:val="TableParagraph"/>
              <w:rPr>
                <w:lang w:val="es-419"/>
              </w:rPr>
            </w:pPr>
          </w:p>
        </w:tc>
        <w:tc>
          <w:tcPr>
            <w:tcW w:w="876" w:type="dxa"/>
          </w:tcPr>
          <w:p w14:paraId="51609307" w14:textId="77777777" w:rsidR="004304CA" w:rsidRPr="00862453" w:rsidRDefault="004304CA" w:rsidP="00F300C4">
            <w:pPr>
              <w:pStyle w:val="TableParagraph"/>
              <w:rPr>
                <w:lang w:val="es-419"/>
              </w:rPr>
            </w:pPr>
            <w:r w:rsidRPr="00862453">
              <w:rPr>
                <w:lang w:val="es-419"/>
              </w:rPr>
              <w:t>****</w:t>
            </w:r>
          </w:p>
        </w:tc>
      </w:tr>
      <w:tr w:rsidR="008F48D9" w:rsidRPr="00862453" w14:paraId="1E75403B" w14:textId="77777777" w:rsidTr="00F300C4">
        <w:trPr>
          <w:trHeight w:val="510"/>
        </w:trPr>
        <w:tc>
          <w:tcPr>
            <w:tcW w:w="2410" w:type="dxa"/>
            <w:tcBorders>
              <w:right w:val="single" w:sz="6" w:space="0" w:color="000000"/>
            </w:tcBorders>
          </w:tcPr>
          <w:p w14:paraId="20B73FFC" w14:textId="77777777" w:rsidR="00034F4A" w:rsidRPr="00862453" w:rsidRDefault="00034F4A" w:rsidP="00034F4A">
            <w:pPr>
              <w:rPr>
                <w:bCs/>
                <w:szCs w:val="22"/>
                <w:lang w:val="es-419"/>
              </w:rPr>
            </w:pPr>
            <w:r w:rsidRPr="00862453">
              <w:rPr>
                <w:lang w:val="es-419"/>
              </w:rPr>
              <w:t>Módulos de formación sobre mediación y arbitraje</w:t>
            </w:r>
          </w:p>
          <w:p w14:paraId="2B9EEC59" w14:textId="77777777" w:rsidR="004304CA" w:rsidRPr="00862453" w:rsidRDefault="004304CA" w:rsidP="00F300C4">
            <w:pPr>
              <w:pStyle w:val="TableParagraph"/>
              <w:rPr>
                <w:lang w:val="es-419"/>
              </w:rPr>
            </w:pPr>
          </w:p>
        </w:tc>
        <w:tc>
          <w:tcPr>
            <w:tcW w:w="2695" w:type="dxa"/>
            <w:tcBorders>
              <w:top w:val="single" w:sz="6" w:space="0" w:color="000000"/>
              <w:left w:val="single" w:sz="6" w:space="0" w:color="000000"/>
              <w:bottom w:val="single" w:sz="6" w:space="0" w:color="000000"/>
            </w:tcBorders>
          </w:tcPr>
          <w:p w14:paraId="2429DAA9" w14:textId="7C55C595" w:rsidR="00B0076B" w:rsidRPr="00862453" w:rsidRDefault="00B0076B" w:rsidP="00B0076B">
            <w:pPr>
              <w:pStyle w:val="ListParagraph"/>
              <w:numPr>
                <w:ilvl w:val="0"/>
                <w:numId w:val="29"/>
              </w:numPr>
              <w:spacing w:line="240" w:lineRule="auto"/>
              <w:rPr>
                <w:rFonts w:cs="Arial"/>
                <w:bCs/>
                <w:lang w:val="es-419"/>
              </w:rPr>
            </w:pPr>
            <w:r w:rsidRPr="00862453">
              <w:rPr>
                <w:bCs/>
                <w:lang w:val="es-419"/>
              </w:rPr>
              <w:t>Dos módulos de formación (el primero impartido a desarrolladores y empresarios y el otro a abogados y funcionarios públicos).</w:t>
            </w:r>
          </w:p>
          <w:p w14:paraId="74B64754" w14:textId="77777777" w:rsidR="00B0076B" w:rsidRPr="00862453" w:rsidRDefault="00B0076B" w:rsidP="00B0076B">
            <w:pPr>
              <w:pStyle w:val="ListParagraph"/>
              <w:rPr>
                <w:rFonts w:cs="Arial"/>
                <w:lang w:val="es-419"/>
              </w:rPr>
            </w:pPr>
          </w:p>
          <w:p w14:paraId="0FDB5BBA" w14:textId="6BE99DC0" w:rsidR="00B0076B" w:rsidRPr="00862453" w:rsidRDefault="00B0076B" w:rsidP="00B0076B">
            <w:pPr>
              <w:pStyle w:val="ListParagraph"/>
              <w:numPr>
                <w:ilvl w:val="0"/>
                <w:numId w:val="29"/>
              </w:numPr>
              <w:spacing w:line="240" w:lineRule="auto"/>
              <w:rPr>
                <w:rFonts w:cs="Arial"/>
                <w:bCs/>
                <w:lang w:val="es-419"/>
              </w:rPr>
            </w:pPr>
            <w:r w:rsidRPr="00862453">
              <w:rPr>
                <w:lang w:val="es-419"/>
              </w:rPr>
              <w:t>Porcentaje de participantes por módulo que expresan satisfacción con respecto a la formación y los materiales.</w:t>
            </w:r>
          </w:p>
          <w:p w14:paraId="6D5AABEF" w14:textId="77777777" w:rsidR="00B0076B" w:rsidRPr="00862453" w:rsidRDefault="00B0076B" w:rsidP="00B0076B">
            <w:pPr>
              <w:rPr>
                <w:bCs/>
                <w:szCs w:val="22"/>
                <w:lang w:val="es-419"/>
              </w:rPr>
            </w:pPr>
          </w:p>
          <w:p w14:paraId="576270B1" w14:textId="54737202" w:rsidR="004304CA" w:rsidRPr="00862453" w:rsidRDefault="00B0076B" w:rsidP="00B0076B">
            <w:pPr>
              <w:pStyle w:val="ListParagraph"/>
              <w:numPr>
                <w:ilvl w:val="0"/>
                <w:numId w:val="29"/>
              </w:numPr>
              <w:spacing w:line="240" w:lineRule="auto"/>
              <w:rPr>
                <w:rFonts w:cs="Arial"/>
                <w:lang w:val="es-419"/>
              </w:rPr>
            </w:pPr>
            <w:r w:rsidRPr="00862453">
              <w:rPr>
                <w:lang w:val="es-419"/>
              </w:rPr>
              <w:t>Al menos dos empresas emergentes en cada país beneficiario que inserten una cláusula de arbitraje en un contrato o sometan una controversia a mediación o arbitraje.</w:t>
            </w:r>
          </w:p>
        </w:tc>
        <w:tc>
          <w:tcPr>
            <w:tcW w:w="3401" w:type="dxa"/>
          </w:tcPr>
          <w:p w14:paraId="768A0E57" w14:textId="7E23B9D5" w:rsidR="004304CA" w:rsidRPr="00862453" w:rsidRDefault="004729F2" w:rsidP="004304CA">
            <w:pPr>
              <w:pStyle w:val="TableParagraph"/>
              <w:numPr>
                <w:ilvl w:val="0"/>
                <w:numId w:val="29"/>
              </w:numPr>
              <w:rPr>
                <w:lang w:val="es-419"/>
              </w:rPr>
            </w:pPr>
            <w:r w:rsidRPr="00862453">
              <w:rPr>
                <w:bCs/>
                <w:lang w:val="es-419"/>
              </w:rPr>
              <w:t>Los dos módulos se fusionaron en una sola guía, que tuvo 1.475 descargas</w:t>
            </w:r>
          </w:p>
          <w:p w14:paraId="295509DB" w14:textId="77777777" w:rsidR="004304CA" w:rsidRPr="00862453" w:rsidRDefault="004304CA" w:rsidP="00F300C4">
            <w:pPr>
              <w:pStyle w:val="TableParagraph"/>
              <w:rPr>
                <w:bCs/>
                <w:lang w:val="es-419"/>
              </w:rPr>
            </w:pPr>
          </w:p>
          <w:p w14:paraId="3E67DFEA" w14:textId="77777777" w:rsidR="004304CA" w:rsidRPr="00862453" w:rsidRDefault="004304CA" w:rsidP="00F300C4">
            <w:pPr>
              <w:pStyle w:val="TableParagraph"/>
              <w:rPr>
                <w:bCs/>
                <w:lang w:val="es-419"/>
              </w:rPr>
            </w:pPr>
          </w:p>
          <w:p w14:paraId="3205E72E" w14:textId="77777777" w:rsidR="004304CA" w:rsidRPr="00862453" w:rsidRDefault="004304CA" w:rsidP="00F300C4">
            <w:pPr>
              <w:pStyle w:val="TableParagraph"/>
              <w:rPr>
                <w:bCs/>
                <w:lang w:val="es-419"/>
              </w:rPr>
            </w:pPr>
          </w:p>
          <w:p w14:paraId="27829B04" w14:textId="77777777" w:rsidR="004304CA" w:rsidRPr="00862453" w:rsidRDefault="004304CA" w:rsidP="00F300C4">
            <w:pPr>
              <w:pStyle w:val="TableParagraph"/>
              <w:rPr>
                <w:bCs/>
                <w:lang w:val="es-419"/>
              </w:rPr>
            </w:pPr>
          </w:p>
          <w:p w14:paraId="5881B0FC" w14:textId="77777777" w:rsidR="004304CA" w:rsidRPr="00862453" w:rsidRDefault="004304CA" w:rsidP="00F300C4">
            <w:pPr>
              <w:pStyle w:val="TableParagraph"/>
              <w:rPr>
                <w:bCs/>
                <w:lang w:val="es-419"/>
              </w:rPr>
            </w:pPr>
          </w:p>
          <w:p w14:paraId="026F86CC" w14:textId="16F79A4B" w:rsidR="004304CA" w:rsidRPr="00862453" w:rsidRDefault="00481EC5" w:rsidP="004304CA">
            <w:pPr>
              <w:pStyle w:val="TableParagraph"/>
              <w:numPr>
                <w:ilvl w:val="0"/>
                <w:numId w:val="29"/>
              </w:numPr>
              <w:rPr>
                <w:lang w:val="es-419"/>
              </w:rPr>
            </w:pPr>
            <w:r w:rsidRPr="00862453">
              <w:rPr>
                <w:lang w:val="es-419"/>
              </w:rPr>
              <w:t>El</w:t>
            </w:r>
            <w:r w:rsidR="004729F2" w:rsidRPr="00862453">
              <w:rPr>
                <w:lang w:val="es-419"/>
              </w:rPr>
              <w:t> </w:t>
            </w:r>
            <w:r w:rsidRPr="00862453">
              <w:rPr>
                <w:lang w:val="es-419"/>
              </w:rPr>
              <w:t>96% de los participantes en las encuestas emitió una valoración positiva.</w:t>
            </w:r>
          </w:p>
        </w:tc>
        <w:tc>
          <w:tcPr>
            <w:tcW w:w="876" w:type="dxa"/>
          </w:tcPr>
          <w:p w14:paraId="0B92EC05" w14:textId="77777777" w:rsidR="004304CA" w:rsidRPr="00862453" w:rsidRDefault="004304CA" w:rsidP="00F300C4">
            <w:pPr>
              <w:pStyle w:val="TableParagraph"/>
              <w:rPr>
                <w:lang w:val="es-419"/>
              </w:rPr>
            </w:pPr>
            <w:r w:rsidRPr="00862453">
              <w:rPr>
                <w:lang w:val="es-419"/>
              </w:rPr>
              <w:t>****</w:t>
            </w:r>
          </w:p>
        </w:tc>
      </w:tr>
      <w:tr w:rsidR="008F48D9" w:rsidRPr="00862453" w14:paraId="6679431C" w14:textId="77777777" w:rsidTr="00F300C4">
        <w:trPr>
          <w:trHeight w:val="510"/>
        </w:trPr>
        <w:tc>
          <w:tcPr>
            <w:tcW w:w="2410" w:type="dxa"/>
            <w:tcBorders>
              <w:right w:val="single" w:sz="6" w:space="0" w:color="000000"/>
            </w:tcBorders>
          </w:tcPr>
          <w:p w14:paraId="3C9C5456" w14:textId="77777777" w:rsidR="00034F4A" w:rsidRPr="00862453" w:rsidRDefault="00034F4A" w:rsidP="00034F4A">
            <w:pPr>
              <w:rPr>
                <w:bCs/>
                <w:szCs w:val="22"/>
                <w:lang w:val="es-419"/>
              </w:rPr>
            </w:pPr>
            <w:r w:rsidRPr="00862453">
              <w:rPr>
                <w:lang w:val="es-419"/>
              </w:rPr>
              <w:t>Diálogo con las instituciones financieras, los agentes de capital de riesgo y los inversores</w:t>
            </w:r>
          </w:p>
          <w:p w14:paraId="6151A55F" w14:textId="77777777" w:rsidR="004304CA" w:rsidRPr="00862453" w:rsidRDefault="004304CA" w:rsidP="00F300C4">
            <w:pPr>
              <w:pStyle w:val="TableParagraph"/>
              <w:rPr>
                <w:lang w:val="es-419"/>
              </w:rPr>
            </w:pPr>
          </w:p>
        </w:tc>
        <w:tc>
          <w:tcPr>
            <w:tcW w:w="2695" w:type="dxa"/>
            <w:tcBorders>
              <w:top w:val="single" w:sz="6" w:space="0" w:color="000000"/>
              <w:left w:val="single" w:sz="6" w:space="0" w:color="000000"/>
              <w:bottom w:val="single" w:sz="6" w:space="0" w:color="000000"/>
            </w:tcBorders>
          </w:tcPr>
          <w:p w14:paraId="2ABE443A" w14:textId="11D1B473" w:rsidR="00B0076B" w:rsidRPr="00862453" w:rsidRDefault="00B0076B" w:rsidP="00B0076B">
            <w:pPr>
              <w:pStyle w:val="ListParagraph"/>
              <w:numPr>
                <w:ilvl w:val="0"/>
                <w:numId w:val="29"/>
              </w:numPr>
              <w:spacing w:line="240" w:lineRule="auto"/>
              <w:rPr>
                <w:rFonts w:cs="Arial"/>
                <w:bCs/>
                <w:lang w:val="es-419"/>
              </w:rPr>
            </w:pPr>
            <w:r w:rsidRPr="00862453">
              <w:rPr>
                <w:bCs/>
                <w:lang w:val="es-419"/>
              </w:rPr>
              <w:t>Diálogos interactivos en los tres países beneficiarios.</w:t>
            </w:r>
          </w:p>
          <w:p w14:paraId="604C35FE" w14:textId="77777777" w:rsidR="00B0076B" w:rsidRPr="00862453" w:rsidRDefault="00B0076B" w:rsidP="00B0076B">
            <w:pPr>
              <w:pStyle w:val="ListParagraph"/>
              <w:rPr>
                <w:rFonts w:cs="Arial"/>
                <w:bCs/>
                <w:lang w:val="es-419"/>
              </w:rPr>
            </w:pPr>
          </w:p>
          <w:p w14:paraId="1B4B27BF" w14:textId="1A4630FA" w:rsidR="004304CA" w:rsidRPr="00862453" w:rsidRDefault="00B0076B" w:rsidP="00B0076B">
            <w:pPr>
              <w:pStyle w:val="ListParagraph"/>
              <w:numPr>
                <w:ilvl w:val="0"/>
                <w:numId w:val="29"/>
              </w:numPr>
              <w:spacing w:line="240" w:lineRule="auto"/>
              <w:rPr>
                <w:rFonts w:cs="Arial"/>
                <w:lang w:val="es-419"/>
              </w:rPr>
            </w:pPr>
            <w:r w:rsidRPr="00862453">
              <w:rPr>
                <w:lang w:val="es-419"/>
              </w:rPr>
              <w:t>Número de participantes en los diálogos procedentes del sector de las aplicaciones móviles y del sector financiero.</w:t>
            </w:r>
          </w:p>
        </w:tc>
        <w:tc>
          <w:tcPr>
            <w:tcW w:w="3401" w:type="dxa"/>
          </w:tcPr>
          <w:p w14:paraId="2D40935E" w14:textId="47498E57" w:rsidR="004304CA" w:rsidRPr="00862453" w:rsidRDefault="00471607" w:rsidP="004304CA">
            <w:pPr>
              <w:pStyle w:val="TableParagraph"/>
              <w:numPr>
                <w:ilvl w:val="0"/>
                <w:numId w:val="29"/>
              </w:numPr>
              <w:rPr>
                <w:bCs/>
                <w:lang w:val="es-419"/>
              </w:rPr>
            </w:pPr>
            <w:r w:rsidRPr="00862453">
              <w:rPr>
                <w:bCs/>
                <w:lang w:val="es-419"/>
              </w:rPr>
              <w:t>Cada país beneficiario inició un diálogo por separado con las instituciones financieras, los agentes de capital de riesgo y los inversores.</w:t>
            </w:r>
          </w:p>
          <w:p w14:paraId="216253D8" w14:textId="77777777" w:rsidR="004304CA" w:rsidRPr="00862453" w:rsidRDefault="004304CA" w:rsidP="00F300C4">
            <w:pPr>
              <w:pStyle w:val="TableParagraph"/>
              <w:ind w:left="360"/>
              <w:rPr>
                <w:lang w:val="es-419"/>
              </w:rPr>
            </w:pPr>
          </w:p>
        </w:tc>
        <w:tc>
          <w:tcPr>
            <w:tcW w:w="876" w:type="dxa"/>
          </w:tcPr>
          <w:p w14:paraId="54373F03" w14:textId="77777777" w:rsidR="004304CA" w:rsidRPr="00862453" w:rsidRDefault="004304CA" w:rsidP="00F300C4">
            <w:pPr>
              <w:pStyle w:val="TableParagraph"/>
              <w:rPr>
                <w:lang w:val="es-419"/>
              </w:rPr>
            </w:pPr>
            <w:r w:rsidRPr="00862453">
              <w:rPr>
                <w:lang w:val="es-419"/>
              </w:rPr>
              <w:t>**</w:t>
            </w:r>
          </w:p>
        </w:tc>
      </w:tr>
      <w:tr w:rsidR="008F48D9" w:rsidRPr="00862453" w14:paraId="33090186" w14:textId="77777777" w:rsidTr="00F300C4">
        <w:trPr>
          <w:trHeight w:val="510"/>
        </w:trPr>
        <w:tc>
          <w:tcPr>
            <w:tcW w:w="2410" w:type="dxa"/>
            <w:tcBorders>
              <w:right w:val="single" w:sz="6" w:space="0" w:color="000000"/>
            </w:tcBorders>
          </w:tcPr>
          <w:p w14:paraId="382E81EE" w14:textId="77777777" w:rsidR="009D3769" w:rsidRPr="00862453" w:rsidRDefault="009D3769" w:rsidP="009D3769">
            <w:pPr>
              <w:rPr>
                <w:bCs/>
                <w:szCs w:val="22"/>
                <w:lang w:val="es-419"/>
              </w:rPr>
            </w:pPr>
          </w:p>
          <w:p w14:paraId="6B3B50E3" w14:textId="77777777" w:rsidR="009D3769" w:rsidRPr="00862453" w:rsidRDefault="009D3769" w:rsidP="009D3769">
            <w:pPr>
              <w:rPr>
                <w:bCs/>
                <w:szCs w:val="22"/>
                <w:lang w:val="es-419"/>
              </w:rPr>
            </w:pPr>
            <w:r w:rsidRPr="00862453">
              <w:rPr>
                <w:lang w:val="es-419"/>
              </w:rPr>
              <w:t>Poner en contacto los centros de TIC de los países beneficiarios</w:t>
            </w:r>
          </w:p>
          <w:p w14:paraId="7259C8BF" w14:textId="77777777" w:rsidR="004304CA" w:rsidRPr="00862453" w:rsidRDefault="004304CA" w:rsidP="00F300C4">
            <w:pPr>
              <w:pStyle w:val="TableParagraph"/>
              <w:rPr>
                <w:lang w:val="es-419"/>
              </w:rPr>
            </w:pPr>
          </w:p>
        </w:tc>
        <w:tc>
          <w:tcPr>
            <w:tcW w:w="2695" w:type="dxa"/>
            <w:tcBorders>
              <w:top w:val="single" w:sz="6" w:space="0" w:color="000000"/>
              <w:left w:val="single" w:sz="6" w:space="0" w:color="000000"/>
              <w:bottom w:val="single" w:sz="6" w:space="0" w:color="000000"/>
            </w:tcBorders>
          </w:tcPr>
          <w:p w14:paraId="28C8EAB7" w14:textId="2E5AFAAB" w:rsidR="00B0076B" w:rsidRPr="00862453" w:rsidRDefault="00B0076B" w:rsidP="00B0076B">
            <w:pPr>
              <w:pStyle w:val="ListParagraph"/>
              <w:numPr>
                <w:ilvl w:val="0"/>
                <w:numId w:val="29"/>
              </w:numPr>
              <w:spacing w:line="240" w:lineRule="auto"/>
              <w:rPr>
                <w:rFonts w:cs="Arial"/>
                <w:bCs/>
                <w:lang w:val="es-419"/>
              </w:rPr>
            </w:pPr>
            <w:r w:rsidRPr="00862453">
              <w:rPr>
                <w:bCs/>
                <w:lang w:val="es-419"/>
              </w:rPr>
              <w:t>Videoconferencias con la participación de los tres países beneficiarios</w:t>
            </w:r>
            <w:r w:rsidR="009D3769" w:rsidRPr="00862453">
              <w:rPr>
                <w:bCs/>
                <w:lang w:val="es-419"/>
              </w:rPr>
              <w:t>.</w:t>
            </w:r>
          </w:p>
          <w:p w14:paraId="3EE147DF" w14:textId="734F4237" w:rsidR="00B0076B" w:rsidRPr="00862453" w:rsidRDefault="00B0076B" w:rsidP="00B0076B">
            <w:pPr>
              <w:pStyle w:val="ListParagraph"/>
              <w:rPr>
                <w:rFonts w:cs="Arial"/>
                <w:bCs/>
                <w:lang w:val="es-419"/>
              </w:rPr>
            </w:pPr>
          </w:p>
          <w:p w14:paraId="42AC3EDA" w14:textId="64F4093C" w:rsidR="009D3769" w:rsidRPr="00862453" w:rsidRDefault="009D3769" w:rsidP="00B0076B">
            <w:pPr>
              <w:pStyle w:val="ListParagraph"/>
              <w:rPr>
                <w:rFonts w:cs="Arial"/>
                <w:bCs/>
                <w:lang w:val="es-419"/>
              </w:rPr>
            </w:pPr>
          </w:p>
          <w:p w14:paraId="01132D0D" w14:textId="57B3EE90" w:rsidR="009D3769" w:rsidRPr="00862453" w:rsidRDefault="009D3769" w:rsidP="00B0076B">
            <w:pPr>
              <w:pStyle w:val="ListParagraph"/>
              <w:rPr>
                <w:rFonts w:cs="Arial"/>
                <w:bCs/>
                <w:lang w:val="es-419"/>
              </w:rPr>
            </w:pPr>
          </w:p>
          <w:p w14:paraId="2CD3F5EA" w14:textId="5A8DCAA7" w:rsidR="009D3769" w:rsidRPr="00862453" w:rsidRDefault="009D3769" w:rsidP="00B0076B">
            <w:pPr>
              <w:pStyle w:val="ListParagraph"/>
              <w:rPr>
                <w:rFonts w:cs="Arial"/>
                <w:bCs/>
                <w:lang w:val="es-419"/>
              </w:rPr>
            </w:pPr>
          </w:p>
          <w:p w14:paraId="0CA44ECC" w14:textId="166FB1B1" w:rsidR="009D3769" w:rsidRPr="00862453" w:rsidRDefault="009D3769" w:rsidP="00B0076B">
            <w:pPr>
              <w:pStyle w:val="ListParagraph"/>
              <w:rPr>
                <w:rFonts w:cs="Arial"/>
                <w:bCs/>
                <w:lang w:val="es-419"/>
              </w:rPr>
            </w:pPr>
          </w:p>
          <w:p w14:paraId="56009503" w14:textId="6F617964" w:rsidR="009D3769" w:rsidRPr="00862453" w:rsidRDefault="009D3769" w:rsidP="00B0076B">
            <w:pPr>
              <w:pStyle w:val="ListParagraph"/>
              <w:rPr>
                <w:rFonts w:cs="Arial"/>
                <w:bCs/>
                <w:lang w:val="es-419"/>
              </w:rPr>
            </w:pPr>
          </w:p>
          <w:p w14:paraId="097AE159" w14:textId="4A23DC16" w:rsidR="009D3769" w:rsidRPr="00862453" w:rsidRDefault="009D3769" w:rsidP="00B0076B">
            <w:pPr>
              <w:pStyle w:val="ListParagraph"/>
              <w:rPr>
                <w:rFonts w:cs="Arial"/>
                <w:bCs/>
                <w:lang w:val="es-419"/>
              </w:rPr>
            </w:pPr>
          </w:p>
          <w:p w14:paraId="7577CF3A" w14:textId="1055D37E" w:rsidR="009D3769" w:rsidRPr="00862453" w:rsidRDefault="009D3769" w:rsidP="00B0076B">
            <w:pPr>
              <w:pStyle w:val="ListParagraph"/>
              <w:rPr>
                <w:rFonts w:cs="Arial"/>
                <w:bCs/>
                <w:lang w:val="es-419"/>
              </w:rPr>
            </w:pPr>
          </w:p>
          <w:p w14:paraId="479F4025" w14:textId="436CAE32" w:rsidR="009D3769" w:rsidRPr="00862453" w:rsidRDefault="009D3769" w:rsidP="00B0076B">
            <w:pPr>
              <w:pStyle w:val="ListParagraph"/>
              <w:rPr>
                <w:rFonts w:cs="Arial"/>
                <w:bCs/>
                <w:lang w:val="es-419"/>
              </w:rPr>
            </w:pPr>
          </w:p>
          <w:p w14:paraId="3B639D70" w14:textId="779BB364" w:rsidR="009D3769" w:rsidRPr="00862453" w:rsidRDefault="009D3769" w:rsidP="00B0076B">
            <w:pPr>
              <w:pStyle w:val="ListParagraph"/>
              <w:rPr>
                <w:rFonts w:cs="Arial"/>
                <w:bCs/>
                <w:lang w:val="es-419"/>
              </w:rPr>
            </w:pPr>
          </w:p>
          <w:p w14:paraId="2B3DFE23" w14:textId="044B5378" w:rsidR="009D3769" w:rsidRPr="00862453" w:rsidRDefault="009D3769" w:rsidP="00B0076B">
            <w:pPr>
              <w:pStyle w:val="ListParagraph"/>
              <w:rPr>
                <w:rFonts w:cs="Arial"/>
                <w:bCs/>
                <w:lang w:val="es-419"/>
              </w:rPr>
            </w:pPr>
          </w:p>
          <w:p w14:paraId="58CDD266" w14:textId="6B0D688C" w:rsidR="009D3769" w:rsidRPr="00862453" w:rsidRDefault="009D3769" w:rsidP="00B0076B">
            <w:pPr>
              <w:pStyle w:val="ListParagraph"/>
              <w:rPr>
                <w:rFonts w:cs="Arial"/>
                <w:bCs/>
                <w:lang w:val="es-419"/>
              </w:rPr>
            </w:pPr>
          </w:p>
          <w:p w14:paraId="4985AFA1" w14:textId="1FFFAB4A" w:rsidR="004304CA" w:rsidRPr="00862453" w:rsidRDefault="00B0076B" w:rsidP="009D3769">
            <w:pPr>
              <w:pStyle w:val="ListParagraph"/>
              <w:numPr>
                <w:ilvl w:val="0"/>
                <w:numId w:val="29"/>
              </w:numPr>
              <w:spacing w:line="240" w:lineRule="auto"/>
              <w:rPr>
                <w:rFonts w:cs="Arial"/>
                <w:bCs/>
                <w:lang w:val="es-419"/>
              </w:rPr>
            </w:pPr>
            <w:r w:rsidRPr="00862453">
              <w:rPr>
                <w:bCs/>
                <w:lang w:val="es-419"/>
              </w:rPr>
              <w:t>Porcentaje de participantes en las videoconferencias que validan su utilidad</w:t>
            </w:r>
            <w:r w:rsidR="009D3769" w:rsidRPr="00862453">
              <w:rPr>
                <w:bCs/>
                <w:lang w:val="es-419"/>
              </w:rPr>
              <w:t>.</w:t>
            </w:r>
          </w:p>
        </w:tc>
        <w:tc>
          <w:tcPr>
            <w:tcW w:w="3401" w:type="dxa"/>
          </w:tcPr>
          <w:p w14:paraId="3C19410B" w14:textId="5D7D015A" w:rsidR="00E05E44" w:rsidRPr="00862453" w:rsidRDefault="00E05E44" w:rsidP="00E05E44">
            <w:pPr>
              <w:pStyle w:val="TableParagraph"/>
              <w:numPr>
                <w:ilvl w:val="0"/>
                <w:numId w:val="29"/>
              </w:numPr>
              <w:rPr>
                <w:lang w:val="es-419"/>
              </w:rPr>
            </w:pPr>
            <w:r w:rsidRPr="00862453">
              <w:rPr>
                <w:lang w:val="es-419"/>
              </w:rPr>
              <w:t xml:space="preserve">Se organizó un </w:t>
            </w:r>
            <w:r w:rsidR="00A337CC" w:rsidRPr="00862453">
              <w:rPr>
                <w:lang w:val="es-419"/>
              </w:rPr>
              <w:t>encuentro</w:t>
            </w:r>
            <w:r w:rsidRPr="00862453">
              <w:rPr>
                <w:lang w:val="es-419"/>
              </w:rPr>
              <w:t xml:space="preserve"> en el que participaron los tres países beneficiarios para presentar sus perspectivas específicas. El motivo fue la enorme diferencia horaria entre las regiones.</w:t>
            </w:r>
          </w:p>
          <w:p w14:paraId="2FE105C2" w14:textId="77777777" w:rsidR="00E05E44" w:rsidRPr="00862453" w:rsidRDefault="00E05E44" w:rsidP="00E05E44">
            <w:pPr>
              <w:pStyle w:val="TableParagraph"/>
              <w:ind w:left="720"/>
              <w:rPr>
                <w:lang w:val="es-419"/>
              </w:rPr>
            </w:pPr>
          </w:p>
          <w:p w14:paraId="66A6B73F" w14:textId="362AA263" w:rsidR="00E05E44" w:rsidRPr="00862453" w:rsidRDefault="00B12BFD" w:rsidP="00E05E44">
            <w:pPr>
              <w:pStyle w:val="TableParagraph"/>
              <w:numPr>
                <w:ilvl w:val="0"/>
                <w:numId w:val="29"/>
              </w:numPr>
              <w:rPr>
                <w:lang w:val="es-419"/>
              </w:rPr>
            </w:pPr>
            <w:r w:rsidRPr="00862453">
              <w:rPr>
                <w:lang w:val="es-419"/>
              </w:rPr>
              <w:t>Todas las actividades basadas en Internet se anunciaron en los demás países beneficiarios y se registró su participación en cada una de ellas durante todo proyecto</w:t>
            </w:r>
            <w:r w:rsidR="00E05E44" w:rsidRPr="00862453">
              <w:rPr>
                <w:lang w:val="es-419"/>
              </w:rPr>
              <w:t>.</w:t>
            </w:r>
          </w:p>
          <w:p w14:paraId="1DCBE696" w14:textId="387B8008" w:rsidR="00DC0E28" w:rsidRPr="00862453" w:rsidRDefault="00DC0E28" w:rsidP="00DC0E28">
            <w:pPr>
              <w:pStyle w:val="TableParagraph"/>
              <w:rPr>
                <w:lang w:val="es-419"/>
              </w:rPr>
            </w:pPr>
          </w:p>
          <w:p w14:paraId="65F3D5C2" w14:textId="1FA985A1" w:rsidR="00E05E44" w:rsidRPr="00862453" w:rsidRDefault="00DC0E28" w:rsidP="00E05E44">
            <w:pPr>
              <w:pStyle w:val="TableParagraph"/>
              <w:numPr>
                <w:ilvl w:val="0"/>
                <w:numId w:val="29"/>
              </w:numPr>
              <w:rPr>
                <w:lang w:val="es-419"/>
              </w:rPr>
            </w:pPr>
            <w:r w:rsidRPr="00862453">
              <w:rPr>
                <w:lang w:val="es-419"/>
              </w:rPr>
              <w:t>El</w:t>
            </w:r>
            <w:r w:rsidR="00544333" w:rsidRPr="00862453">
              <w:rPr>
                <w:lang w:val="es-419"/>
              </w:rPr>
              <w:t> </w:t>
            </w:r>
            <w:r w:rsidR="00E05E44" w:rsidRPr="00862453">
              <w:rPr>
                <w:lang w:val="es-419"/>
              </w:rPr>
              <w:t xml:space="preserve">94% </w:t>
            </w:r>
            <w:r w:rsidRPr="00862453">
              <w:rPr>
                <w:lang w:val="es-419"/>
              </w:rPr>
              <w:t>opinó</w:t>
            </w:r>
            <w:r w:rsidR="00E05E44" w:rsidRPr="00862453">
              <w:rPr>
                <w:lang w:val="es-419"/>
              </w:rPr>
              <w:t xml:space="preserve"> </w:t>
            </w:r>
            <w:r w:rsidRPr="00862453">
              <w:rPr>
                <w:lang w:val="es-419"/>
              </w:rPr>
              <w:t>que</w:t>
            </w:r>
            <w:r w:rsidR="00E05E44" w:rsidRPr="00862453">
              <w:rPr>
                <w:lang w:val="es-419"/>
              </w:rPr>
              <w:t xml:space="preserve"> las videoconferencias</w:t>
            </w:r>
            <w:r w:rsidRPr="00862453">
              <w:rPr>
                <w:lang w:val="es-419"/>
              </w:rPr>
              <w:t xml:space="preserve"> resultaron </w:t>
            </w:r>
            <w:r w:rsidR="007274EB" w:rsidRPr="00862453">
              <w:rPr>
                <w:lang w:val="es-419"/>
              </w:rPr>
              <w:t>fructíferas</w:t>
            </w:r>
            <w:r w:rsidRPr="00862453">
              <w:rPr>
                <w:lang w:val="es-419"/>
              </w:rPr>
              <w:t>.</w:t>
            </w:r>
          </w:p>
          <w:p w14:paraId="47A15E10" w14:textId="1D289A2D" w:rsidR="004304CA" w:rsidRPr="00862453" w:rsidRDefault="004304CA" w:rsidP="00DC0E28">
            <w:pPr>
              <w:pStyle w:val="TableParagraph"/>
              <w:ind w:left="720"/>
              <w:rPr>
                <w:lang w:val="es-419"/>
              </w:rPr>
            </w:pPr>
          </w:p>
        </w:tc>
        <w:tc>
          <w:tcPr>
            <w:tcW w:w="876" w:type="dxa"/>
          </w:tcPr>
          <w:p w14:paraId="14A257A5" w14:textId="77777777" w:rsidR="004304CA" w:rsidRPr="00862453" w:rsidRDefault="004304CA" w:rsidP="00F300C4">
            <w:pPr>
              <w:pStyle w:val="TableParagraph"/>
              <w:rPr>
                <w:lang w:val="es-419"/>
              </w:rPr>
            </w:pPr>
            <w:r w:rsidRPr="00862453">
              <w:rPr>
                <w:lang w:val="es-419"/>
              </w:rPr>
              <w:t>***</w:t>
            </w:r>
          </w:p>
        </w:tc>
      </w:tr>
      <w:tr w:rsidR="008F48D9" w:rsidRPr="00862453" w14:paraId="49BB3C6C" w14:textId="77777777" w:rsidTr="00F300C4">
        <w:trPr>
          <w:trHeight w:val="510"/>
        </w:trPr>
        <w:tc>
          <w:tcPr>
            <w:tcW w:w="2410" w:type="dxa"/>
            <w:tcBorders>
              <w:right w:val="single" w:sz="6" w:space="0" w:color="000000"/>
            </w:tcBorders>
          </w:tcPr>
          <w:p w14:paraId="1C960576" w14:textId="77777777" w:rsidR="009D3769" w:rsidRPr="00862453" w:rsidRDefault="009D3769" w:rsidP="009D3769">
            <w:pPr>
              <w:rPr>
                <w:bCs/>
                <w:szCs w:val="22"/>
                <w:lang w:val="es-419"/>
              </w:rPr>
            </w:pPr>
            <w:r w:rsidRPr="00862453">
              <w:rPr>
                <w:lang w:val="es-419"/>
              </w:rPr>
              <w:t>Material de sensibilización sobre la PI para estudiantes</w:t>
            </w:r>
          </w:p>
          <w:p w14:paraId="50AA19F2" w14:textId="77777777" w:rsidR="009D3769" w:rsidRPr="00862453" w:rsidRDefault="009D3769" w:rsidP="009D3769">
            <w:pPr>
              <w:pStyle w:val="TableParagraph"/>
              <w:rPr>
                <w:lang w:val="es-419"/>
              </w:rPr>
            </w:pPr>
          </w:p>
        </w:tc>
        <w:tc>
          <w:tcPr>
            <w:tcW w:w="2695" w:type="dxa"/>
            <w:tcBorders>
              <w:top w:val="single" w:sz="6" w:space="0" w:color="000000"/>
              <w:left w:val="single" w:sz="6" w:space="0" w:color="000000"/>
              <w:bottom w:val="single" w:sz="6" w:space="0" w:color="000000"/>
            </w:tcBorders>
          </w:tcPr>
          <w:p w14:paraId="4DDDA702" w14:textId="6AB81D15" w:rsidR="009D3769" w:rsidRPr="00862453" w:rsidRDefault="009D3769" w:rsidP="009D3769">
            <w:pPr>
              <w:pStyle w:val="ListParagraph"/>
              <w:numPr>
                <w:ilvl w:val="0"/>
                <w:numId w:val="29"/>
              </w:numPr>
              <w:spacing w:line="240" w:lineRule="auto"/>
              <w:rPr>
                <w:rFonts w:cs="Arial"/>
                <w:bCs/>
                <w:lang w:val="es-419"/>
              </w:rPr>
            </w:pPr>
            <w:r w:rsidRPr="00862453">
              <w:rPr>
                <w:bCs/>
                <w:lang w:val="es-419"/>
              </w:rPr>
              <w:t>Material de sensibilización sobre la PI en lenguajes locales hablados en los tres países beneficiarios.</w:t>
            </w:r>
          </w:p>
          <w:p w14:paraId="4B5CDE27" w14:textId="77777777" w:rsidR="009D3769" w:rsidRPr="00862453" w:rsidRDefault="009D3769" w:rsidP="009D3769">
            <w:pPr>
              <w:pStyle w:val="ListParagraph"/>
              <w:rPr>
                <w:rFonts w:cs="Arial"/>
                <w:lang w:val="es-419"/>
              </w:rPr>
            </w:pPr>
          </w:p>
          <w:p w14:paraId="0C27B291" w14:textId="1103E5A5" w:rsidR="009D3769" w:rsidRPr="00862453" w:rsidRDefault="009D3769" w:rsidP="009D3769">
            <w:pPr>
              <w:pStyle w:val="ListParagraph"/>
              <w:numPr>
                <w:ilvl w:val="0"/>
                <w:numId w:val="29"/>
              </w:numPr>
              <w:spacing w:line="240" w:lineRule="auto"/>
              <w:rPr>
                <w:rFonts w:cs="Arial"/>
                <w:lang w:val="es-419"/>
              </w:rPr>
            </w:pPr>
            <w:r w:rsidRPr="00862453">
              <w:rPr>
                <w:lang w:val="es-419"/>
              </w:rPr>
              <w:t>Porcentaje de estudiantes de cada país beneficiario que validan la utilidad del material para fomentar la sensibilización acerca de la PI.</w:t>
            </w:r>
          </w:p>
        </w:tc>
        <w:tc>
          <w:tcPr>
            <w:tcW w:w="3401" w:type="dxa"/>
          </w:tcPr>
          <w:p w14:paraId="412A4FBC" w14:textId="57A1B7AD" w:rsidR="000835C1" w:rsidRPr="00862453" w:rsidRDefault="000835C1" w:rsidP="000835C1">
            <w:pPr>
              <w:pStyle w:val="TableParagraph"/>
              <w:numPr>
                <w:ilvl w:val="0"/>
                <w:numId w:val="29"/>
              </w:numPr>
              <w:rPr>
                <w:bCs/>
                <w:lang w:val="es-419"/>
              </w:rPr>
            </w:pPr>
            <w:r w:rsidRPr="00862453">
              <w:rPr>
                <w:bCs/>
                <w:lang w:val="es-419"/>
              </w:rPr>
              <w:t>Se prepa</w:t>
            </w:r>
            <w:r w:rsidR="00B56E1A" w:rsidRPr="00862453">
              <w:rPr>
                <w:bCs/>
                <w:lang w:val="es-419"/>
              </w:rPr>
              <w:t>ra</w:t>
            </w:r>
            <w:r w:rsidRPr="00862453">
              <w:rPr>
                <w:bCs/>
                <w:lang w:val="es-419"/>
              </w:rPr>
              <w:t xml:space="preserve">ron cinco módulos </w:t>
            </w:r>
            <w:r w:rsidR="00B56E1A" w:rsidRPr="00862453">
              <w:rPr>
                <w:bCs/>
                <w:lang w:val="es-419"/>
              </w:rPr>
              <w:t>que</w:t>
            </w:r>
            <w:r w:rsidRPr="00862453">
              <w:rPr>
                <w:bCs/>
                <w:lang w:val="es-419"/>
              </w:rPr>
              <w:t xml:space="preserve"> se pusieron a disposición en el sitio web. </w:t>
            </w:r>
          </w:p>
          <w:p w14:paraId="0F41B697" w14:textId="73E0182D" w:rsidR="000835C1" w:rsidRPr="00862453" w:rsidRDefault="000835C1" w:rsidP="000835C1">
            <w:pPr>
              <w:pStyle w:val="TableParagraph"/>
              <w:numPr>
                <w:ilvl w:val="0"/>
                <w:numId w:val="29"/>
              </w:numPr>
              <w:rPr>
                <w:bCs/>
                <w:lang w:val="es-419"/>
              </w:rPr>
            </w:pPr>
            <w:r w:rsidRPr="00862453">
              <w:rPr>
                <w:bCs/>
                <w:lang w:val="es-419"/>
              </w:rPr>
              <w:t xml:space="preserve">Los recursos </w:t>
            </w:r>
            <w:r w:rsidR="00B56E1A" w:rsidRPr="00862453">
              <w:rPr>
                <w:bCs/>
                <w:lang w:val="es-419"/>
              </w:rPr>
              <w:t>didácticos</w:t>
            </w:r>
            <w:r w:rsidRPr="00862453">
              <w:rPr>
                <w:bCs/>
                <w:lang w:val="es-419"/>
              </w:rPr>
              <w:t xml:space="preserve"> tuvieron</w:t>
            </w:r>
            <w:r w:rsidR="00544333" w:rsidRPr="00862453">
              <w:rPr>
                <w:bCs/>
                <w:lang w:val="es-419"/>
              </w:rPr>
              <w:t> </w:t>
            </w:r>
            <w:r w:rsidRPr="00862453">
              <w:rPr>
                <w:bCs/>
                <w:lang w:val="es-419"/>
              </w:rPr>
              <w:t>3.171 descargas.</w:t>
            </w:r>
          </w:p>
          <w:p w14:paraId="670689C8" w14:textId="77777777" w:rsidR="000835C1" w:rsidRPr="00862453" w:rsidRDefault="000835C1" w:rsidP="000835C1">
            <w:pPr>
              <w:pStyle w:val="TableParagraph"/>
              <w:ind w:left="720"/>
              <w:rPr>
                <w:bCs/>
                <w:lang w:val="es-419"/>
              </w:rPr>
            </w:pPr>
          </w:p>
          <w:p w14:paraId="00E0B013" w14:textId="7D6A8DF7" w:rsidR="000835C1" w:rsidRPr="00862453" w:rsidRDefault="000835C1" w:rsidP="000835C1">
            <w:pPr>
              <w:pStyle w:val="TableParagraph"/>
              <w:ind w:left="720"/>
              <w:rPr>
                <w:bCs/>
                <w:lang w:val="es-419"/>
              </w:rPr>
            </w:pPr>
          </w:p>
          <w:p w14:paraId="7BD53D87" w14:textId="77777777" w:rsidR="00B56E1A" w:rsidRPr="00862453" w:rsidRDefault="00B56E1A" w:rsidP="000835C1">
            <w:pPr>
              <w:pStyle w:val="TableParagraph"/>
              <w:ind w:left="720"/>
              <w:rPr>
                <w:bCs/>
                <w:lang w:val="es-419"/>
              </w:rPr>
            </w:pPr>
          </w:p>
          <w:p w14:paraId="0F790016" w14:textId="4B6E38A5" w:rsidR="009D3769" w:rsidRPr="00862453" w:rsidRDefault="000835C1" w:rsidP="000835C1">
            <w:pPr>
              <w:pStyle w:val="TableParagraph"/>
              <w:numPr>
                <w:ilvl w:val="0"/>
                <w:numId w:val="29"/>
              </w:numPr>
              <w:rPr>
                <w:lang w:val="es-419"/>
              </w:rPr>
            </w:pPr>
            <w:r w:rsidRPr="00862453">
              <w:rPr>
                <w:bCs/>
                <w:lang w:val="es-419"/>
              </w:rPr>
              <w:t>El</w:t>
            </w:r>
            <w:r w:rsidR="00544333" w:rsidRPr="00862453">
              <w:rPr>
                <w:bCs/>
                <w:lang w:val="es-419"/>
              </w:rPr>
              <w:t> </w:t>
            </w:r>
            <w:r w:rsidRPr="00862453">
              <w:rPr>
                <w:bCs/>
                <w:lang w:val="es-419"/>
              </w:rPr>
              <w:t xml:space="preserve">96% de los usuarios valoraron positivamente los materiales </w:t>
            </w:r>
            <w:r w:rsidR="00544333" w:rsidRPr="00862453">
              <w:rPr>
                <w:bCs/>
                <w:lang w:val="es-419"/>
              </w:rPr>
              <w:t>destinados a</w:t>
            </w:r>
            <w:r w:rsidR="00B56E1A" w:rsidRPr="00862453">
              <w:rPr>
                <w:bCs/>
                <w:lang w:val="es-419"/>
              </w:rPr>
              <w:t xml:space="preserve"> fomentar la </w:t>
            </w:r>
            <w:r w:rsidRPr="00862453">
              <w:rPr>
                <w:bCs/>
                <w:lang w:val="es-419"/>
              </w:rPr>
              <w:t>sensibilización.</w:t>
            </w:r>
          </w:p>
        </w:tc>
        <w:tc>
          <w:tcPr>
            <w:tcW w:w="876" w:type="dxa"/>
          </w:tcPr>
          <w:p w14:paraId="3004F86D" w14:textId="77777777" w:rsidR="009D3769" w:rsidRPr="00862453" w:rsidRDefault="009D3769" w:rsidP="009D3769">
            <w:pPr>
              <w:pStyle w:val="TableParagraph"/>
              <w:rPr>
                <w:lang w:val="es-419"/>
              </w:rPr>
            </w:pPr>
            <w:r w:rsidRPr="00862453">
              <w:rPr>
                <w:lang w:val="es-419"/>
              </w:rPr>
              <w:t>****</w:t>
            </w:r>
          </w:p>
        </w:tc>
      </w:tr>
      <w:tr w:rsidR="008F48D9" w:rsidRPr="00862453" w14:paraId="5A33B1B2" w14:textId="77777777" w:rsidTr="00F300C4">
        <w:trPr>
          <w:trHeight w:val="510"/>
        </w:trPr>
        <w:tc>
          <w:tcPr>
            <w:tcW w:w="2410" w:type="dxa"/>
            <w:tcBorders>
              <w:right w:val="single" w:sz="6" w:space="0" w:color="000000"/>
            </w:tcBorders>
          </w:tcPr>
          <w:p w14:paraId="2F09D85F" w14:textId="2B8F52F0" w:rsidR="009D3769" w:rsidRPr="00862453" w:rsidRDefault="009B61E1" w:rsidP="009D3769">
            <w:pPr>
              <w:pStyle w:val="TableParagraph"/>
              <w:rPr>
                <w:bCs/>
                <w:lang w:val="es-419"/>
              </w:rPr>
            </w:pPr>
            <w:r w:rsidRPr="00862453">
              <w:rPr>
                <w:bCs/>
                <w:lang w:val="es-419"/>
              </w:rPr>
              <w:t>Programa de orientación</w:t>
            </w:r>
          </w:p>
          <w:p w14:paraId="27BE85E3" w14:textId="77777777" w:rsidR="009D3769" w:rsidRPr="00862453" w:rsidRDefault="009D3769" w:rsidP="009D3769">
            <w:pPr>
              <w:pStyle w:val="TableParagraph"/>
              <w:rPr>
                <w:lang w:val="es-419"/>
              </w:rPr>
            </w:pPr>
          </w:p>
        </w:tc>
        <w:tc>
          <w:tcPr>
            <w:tcW w:w="2695" w:type="dxa"/>
            <w:tcBorders>
              <w:top w:val="single" w:sz="6" w:space="0" w:color="000000"/>
              <w:left w:val="single" w:sz="6" w:space="0" w:color="000000"/>
              <w:bottom w:val="single" w:sz="6" w:space="0" w:color="000000"/>
            </w:tcBorders>
          </w:tcPr>
          <w:p w14:paraId="54B528FB" w14:textId="0BE2C69F" w:rsidR="009B61E1" w:rsidRPr="00862453" w:rsidRDefault="009B61E1" w:rsidP="009B61E1">
            <w:pPr>
              <w:pStyle w:val="ListParagraph"/>
              <w:numPr>
                <w:ilvl w:val="0"/>
                <w:numId w:val="29"/>
              </w:numPr>
              <w:spacing w:line="240" w:lineRule="auto"/>
              <w:rPr>
                <w:rFonts w:cs="Arial"/>
                <w:lang w:val="es-419"/>
              </w:rPr>
            </w:pPr>
            <w:r w:rsidRPr="00862453">
              <w:rPr>
                <w:lang w:val="es-419"/>
              </w:rPr>
              <w:t>Como mínimo tres mentores dispuestos a contribuir.</w:t>
            </w:r>
          </w:p>
          <w:p w14:paraId="44F2143A" w14:textId="77777777" w:rsidR="009B61E1" w:rsidRPr="00862453" w:rsidRDefault="009B61E1" w:rsidP="009B61E1">
            <w:pPr>
              <w:pStyle w:val="ListParagraph"/>
              <w:rPr>
                <w:rFonts w:cs="Arial"/>
                <w:lang w:val="es-419"/>
              </w:rPr>
            </w:pPr>
          </w:p>
          <w:p w14:paraId="15FED641" w14:textId="6E8F55FD" w:rsidR="009B61E1" w:rsidRPr="00862453" w:rsidRDefault="009B61E1" w:rsidP="009B61E1">
            <w:pPr>
              <w:pStyle w:val="ListParagraph"/>
              <w:numPr>
                <w:ilvl w:val="0"/>
                <w:numId w:val="29"/>
              </w:numPr>
              <w:spacing w:line="240" w:lineRule="auto"/>
              <w:rPr>
                <w:rFonts w:cs="Arial"/>
                <w:lang w:val="es-419"/>
              </w:rPr>
            </w:pPr>
            <w:r w:rsidRPr="00862453">
              <w:rPr>
                <w:lang w:val="es-419"/>
              </w:rPr>
              <w:t>Al menos dos beneficiarios del programa ejecutado en cada uno de los tres países beneficiarios dispuestos a participar.</w:t>
            </w:r>
          </w:p>
          <w:p w14:paraId="6C6E45A4" w14:textId="77777777" w:rsidR="009B61E1" w:rsidRPr="00862453" w:rsidRDefault="009B61E1" w:rsidP="009B61E1">
            <w:pPr>
              <w:pStyle w:val="ListParagraph"/>
              <w:rPr>
                <w:rFonts w:cs="Arial"/>
                <w:lang w:val="es-419"/>
              </w:rPr>
            </w:pPr>
          </w:p>
          <w:p w14:paraId="5746CBDF" w14:textId="6C32A921" w:rsidR="009D3769" w:rsidRPr="00862453" w:rsidRDefault="009B61E1" w:rsidP="009B61E1">
            <w:pPr>
              <w:pStyle w:val="ListParagraph"/>
              <w:numPr>
                <w:ilvl w:val="0"/>
                <w:numId w:val="29"/>
              </w:numPr>
              <w:spacing w:line="240" w:lineRule="auto"/>
              <w:rPr>
                <w:rFonts w:cs="Arial"/>
                <w:lang w:val="es-419"/>
              </w:rPr>
            </w:pPr>
            <w:r w:rsidRPr="00862453">
              <w:rPr>
                <w:lang w:val="es-419"/>
              </w:rPr>
              <w:t xml:space="preserve"> Al menos dos empresas emergentes de cada país beneficiario que informen acerca de experiencias satisfactorias/casos de éxito (beneficios prácticos) del programa de orientación encaminado a intensificar el uso de la PI.</w:t>
            </w:r>
          </w:p>
        </w:tc>
        <w:tc>
          <w:tcPr>
            <w:tcW w:w="3401" w:type="dxa"/>
          </w:tcPr>
          <w:p w14:paraId="6C14438B" w14:textId="21DC08ED" w:rsidR="000D096E" w:rsidRPr="00862453" w:rsidRDefault="000D096E" w:rsidP="000D096E">
            <w:pPr>
              <w:pStyle w:val="TableParagraph"/>
              <w:numPr>
                <w:ilvl w:val="0"/>
                <w:numId w:val="29"/>
              </w:numPr>
              <w:rPr>
                <w:lang w:val="es-419"/>
              </w:rPr>
            </w:pPr>
            <w:r w:rsidRPr="00862453">
              <w:rPr>
                <w:lang w:val="es-419"/>
              </w:rPr>
              <w:t xml:space="preserve">Tres empresas y una asociación, que representa a numerosas </w:t>
            </w:r>
            <w:r w:rsidR="00544333" w:rsidRPr="00862453">
              <w:rPr>
                <w:lang w:val="es-419"/>
              </w:rPr>
              <w:t>compañías</w:t>
            </w:r>
            <w:r w:rsidRPr="00862453">
              <w:rPr>
                <w:lang w:val="es-419"/>
              </w:rPr>
              <w:t xml:space="preserve"> de todo el mundo, participaron activamente en el intercambio. </w:t>
            </w:r>
          </w:p>
          <w:p w14:paraId="607023D4" w14:textId="77777777" w:rsidR="000D096E" w:rsidRPr="00862453" w:rsidRDefault="000D096E" w:rsidP="000D096E">
            <w:pPr>
              <w:pStyle w:val="TableParagraph"/>
              <w:ind w:left="720"/>
              <w:rPr>
                <w:lang w:val="es-419"/>
              </w:rPr>
            </w:pPr>
          </w:p>
          <w:p w14:paraId="491B716E" w14:textId="155DDA9E" w:rsidR="000D096E" w:rsidRPr="00862453" w:rsidRDefault="000D096E" w:rsidP="000D096E">
            <w:pPr>
              <w:pStyle w:val="TableParagraph"/>
              <w:numPr>
                <w:ilvl w:val="0"/>
                <w:numId w:val="29"/>
              </w:numPr>
              <w:rPr>
                <w:lang w:val="es-419"/>
              </w:rPr>
            </w:pPr>
            <w:r w:rsidRPr="00862453">
              <w:rPr>
                <w:lang w:val="es-419"/>
              </w:rPr>
              <w:t xml:space="preserve">Gracias a las actividades de facilitación, se iniciaron varios intercambios bilaterales con resultados positivos: se compartió con los mentores una lista de proyectos </w:t>
            </w:r>
            <w:r w:rsidR="00544333" w:rsidRPr="00862453">
              <w:rPr>
                <w:lang w:val="es-419"/>
              </w:rPr>
              <w:t xml:space="preserve">y de empresas </w:t>
            </w:r>
            <w:r w:rsidRPr="00862453">
              <w:rPr>
                <w:lang w:val="es-419"/>
              </w:rPr>
              <w:t>interesad</w:t>
            </w:r>
            <w:r w:rsidR="00544333" w:rsidRPr="00862453">
              <w:rPr>
                <w:lang w:val="es-419"/>
              </w:rPr>
              <w:t>a</w:t>
            </w:r>
            <w:r w:rsidRPr="00862453">
              <w:rPr>
                <w:lang w:val="es-419"/>
              </w:rPr>
              <w:t>s.</w:t>
            </w:r>
          </w:p>
          <w:p w14:paraId="63FD4B7E" w14:textId="77777777" w:rsidR="000D096E" w:rsidRPr="00862453" w:rsidRDefault="000D096E" w:rsidP="000D096E">
            <w:pPr>
              <w:pStyle w:val="TableParagraph"/>
              <w:rPr>
                <w:lang w:val="es-419"/>
              </w:rPr>
            </w:pPr>
          </w:p>
          <w:p w14:paraId="07461B49" w14:textId="73F516CD" w:rsidR="000D096E" w:rsidRPr="00862453" w:rsidRDefault="000D096E" w:rsidP="000D096E">
            <w:pPr>
              <w:pStyle w:val="TableParagraph"/>
              <w:numPr>
                <w:ilvl w:val="0"/>
                <w:numId w:val="29"/>
              </w:numPr>
              <w:rPr>
                <w:lang w:val="es-419"/>
              </w:rPr>
            </w:pPr>
            <w:r w:rsidRPr="00862453">
              <w:rPr>
                <w:lang w:val="es-419"/>
              </w:rPr>
              <w:t>El</w:t>
            </w:r>
            <w:r w:rsidR="00544333" w:rsidRPr="00862453">
              <w:rPr>
                <w:lang w:val="es-419"/>
              </w:rPr>
              <w:t> </w:t>
            </w:r>
            <w:r w:rsidRPr="00862453">
              <w:rPr>
                <w:lang w:val="es-419"/>
              </w:rPr>
              <w:t xml:space="preserve">89% de los participantes manifestó su interés por participar en futuros programas y actividades de </w:t>
            </w:r>
            <w:r w:rsidR="007D305E" w:rsidRPr="00862453">
              <w:rPr>
                <w:lang w:val="es-419"/>
              </w:rPr>
              <w:t>orientación</w:t>
            </w:r>
            <w:r w:rsidRPr="00862453">
              <w:rPr>
                <w:lang w:val="es-419"/>
              </w:rPr>
              <w:t>.</w:t>
            </w:r>
          </w:p>
          <w:p w14:paraId="25210AB3" w14:textId="64EDA0C3" w:rsidR="009D3769" w:rsidRPr="00862453" w:rsidRDefault="009D3769" w:rsidP="000D096E">
            <w:pPr>
              <w:pStyle w:val="TableParagraph"/>
              <w:ind w:left="720"/>
              <w:rPr>
                <w:lang w:val="es-419"/>
              </w:rPr>
            </w:pPr>
          </w:p>
        </w:tc>
        <w:tc>
          <w:tcPr>
            <w:tcW w:w="876" w:type="dxa"/>
          </w:tcPr>
          <w:p w14:paraId="7FA43935" w14:textId="77777777" w:rsidR="009D3769" w:rsidRPr="00862453" w:rsidRDefault="009D3769" w:rsidP="009D3769">
            <w:pPr>
              <w:pStyle w:val="TableParagraph"/>
              <w:rPr>
                <w:lang w:val="es-419"/>
              </w:rPr>
            </w:pPr>
            <w:r w:rsidRPr="00862453">
              <w:rPr>
                <w:lang w:val="es-419"/>
              </w:rPr>
              <w:t>***</w:t>
            </w:r>
          </w:p>
        </w:tc>
      </w:tr>
      <w:tr w:rsidR="008F48D9" w:rsidRPr="00862453" w14:paraId="0CDD82BE" w14:textId="77777777" w:rsidTr="00F300C4">
        <w:trPr>
          <w:trHeight w:val="510"/>
        </w:trPr>
        <w:tc>
          <w:tcPr>
            <w:tcW w:w="2410" w:type="dxa"/>
            <w:tcBorders>
              <w:right w:val="single" w:sz="6" w:space="0" w:color="000000"/>
            </w:tcBorders>
          </w:tcPr>
          <w:p w14:paraId="0C34D4DB" w14:textId="3D8D218D" w:rsidR="009D3769" w:rsidRPr="00862453" w:rsidRDefault="009B61E1" w:rsidP="009D3769">
            <w:pPr>
              <w:pStyle w:val="TableParagraph"/>
              <w:rPr>
                <w:bCs/>
                <w:lang w:val="es-419"/>
              </w:rPr>
            </w:pPr>
            <w:r w:rsidRPr="00862453">
              <w:rPr>
                <w:bCs/>
                <w:lang w:val="es-419"/>
              </w:rPr>
              <w:t>Guía de PI</w:t>
            </w:r>
          </w:p>
          <w:p w14:paraId="61D68B35" w14:textId="77777777" w:rsidR="009D3769" w:rsidRPr="00862453" w:rsidRDefault="009D3769" w:rsidP="009D3769">
            <w:pPr>
              <w:pStyle w:val="TableParagraph"/>
              <w:rPr>
                <w:lang w:val="es-419"/>
              </w:rPr>
            </w:pPr>
          </w:p>
        </w:tc>
        <w:tc>
          <w:tcPr>
            <w:tcW w:w="2695" w:type="dxa"/>
            <w:tcBorders>
              <w:top w:val="single" w:sz="6" w:space="0" w:color="000000"/>
              <w:left w:val="single" w:sz="6" w:space="0" w:color="000000"/>
              <w:bottom w:val="single" w:sz="6" w:space="0" w:color="000000"/>
            </w:tcBorders>
          </w:tcPr>
          <w:p w14:paraId="768CF021" w14:textId="1BF97D9E" w:rsidR="009B61E1" w:rsidRPr="00862453" w:rsidRDefault="009B61E1" w:rsidP="009B61E1">
            <w:pPr>
              <w:pStyle w:val="ListParagraph"/>
              <w:numPr>
                <w:ilvl w:val="0"/>
                <w:numId w:val="29"/>
              </w:numPr>
              <w:spacing w:line="240" w:lineRule="auto"/>
              <w:rPr>
                <w:rFonts w:cs="Arial"/>
                <w:bCs/>
                <w:lang w:val="es-419"/>
              </w:rPr>
            </w:pPr>
            <w:r w:rsidRPr="00862453">
              <w:rPr>
                <w:bCs/>
                <w:lang w:val="es-419"/>
              </w:rPr>
              <w:t>Guía de PI disponible en los idiomas de trabajo para su uso por parte de los países beneficiarios y otros países interesados.</w:t>
            </w:r>
          </w:p>
          <w:p w14:paraId="17E51575" w14:textId="77777777" w:rsidR="009B61E1" w:rsidRPr="00862453" w:rsidRDefault="009B61E1" w:rsidP="009B61E1">
            <w:pPr>
              <w:rPr>
                <w:bCs/>
                <w:szCs w:val="22"/>
                <w:lang w:val="es-419"/>
              </w:rPr>
            </w:pPr>
          </w:p>
          <w:p w14:paraId="187D06CF" w14:textId="7CCB3D3E" w:rsidR="009D3769" w:rsidRPr="00862453" w:rsidRDefault="009B61E1" w:rsidP="009B61E1">
            <w:pPr>
              <w:pStyle w:val="ListParagraph"/>
              <w:numPr>
                <w:ilvl w:val="0"/>
                <w:numId w:val="29"/>
              </w:numPr>
              <w:spacing w:line="240" w:lineRule="auto"/>
              <w:rPr>
                <w:rFonts w:cs="Arial"/>
                <w:lang w:val="es-419"/>
              </w:rPr>
            </w:pPr>
            <w:r w:rsidRPr="00862453">
              <w:rPr>
                <w:lang w:val="es-419"/>
              </w:rPr>
              <w:t>Porcentaje de beneficiarios (categorías de usuarios por país) que expresan satisfacción respecto del contenido y la accesibilidad de la guía de PI.</w:t>
            </w:r>
          </w:p>
        </w:tc>
        <w:tc>
          <w:tcPr>
            <w:tcW w:w="3401" w:type="dxa"/>
          </w:tcPr>
          <w:p w14:paraId="0F7AF391" w14:textId="068E057F" w:rsidR="009D3769" w:rsidRPr="00862453" w:rsidRDefault="004E4419" w:rsidP="009D3769">
            <w:pPr>
              <w:pStyle w:val="TableParagraph"/>
              <w:numPr>
                <w:ilvl w:val="0"/>
                <w:numId w:val="29"/>
              </w:numPr>
              <w:rPr>
                <w:lang w:val="es-419"/>
              </w:rPr>
            </w:pPr>
            <w:r w:rsidRPr="00862453">
              <w:rPr>
                <w:bCs/>
                <w:lang w:val="es-419"/>
              </w:rPr>
              <w:t>La Guía de PI está a disposición del público en el sitio web.</w:t>
            </w:r>
          </w:p>
          <w:p w14:paraId="7ADEB646" w14:textId="77777777" w:rsidR="009D3769" w:rsidRPr="00862453" w:rsidRDefault="009D3769" w:rsidP="009D3769">
            <w:pPr>
              <w:pStyle w:val="TableParagraph"/>
              <w:ind w:left="720"/>
              <w:rPr>
                <w:bCs/>
                <w:lang w:val="es-419"/>
              </w:rPr>
            </w:pPr>
          </w:p>
          <w:p w14:paraId="4D0388E6" w14:textId="77777777" w:rsidR="009D3769" w:rsidRPr="00862453" w:rsidRDefault="009D3769" w:rsidP="009D3769">
            <w:pPr>
              <w:pStyle w:val="TableParagraph"/>
              <w:ind w:left="720"/>
              <w:rPr>
                <w:bCs/>
                <w:lang w:val="es-419"/>
              </w:rPr>
            </w:pPr>
          </w:p>
          <w:p w14:paraId="1BA7C7EF" w14:textId="77777777" w:rsidR="009D3769" w:rsidRPr="00862453" w:rsidRDefault="009D3769" w:rsidP="009D3769">
            <w:pPr>
              <w:pStyle w:val="TableParagraph"/>
              <w:ind w:left="720"/>
              <w:rPr>
                <w:bCs/>
                <w:lang w:val="es-419"/>
              </w:rPr>
            </w:pPr>
          </w:p>
          <w:p w14:paraId="0EADD047" w14:textId="2FAD679D" w:rsidR="009D3769" w:rsidRPr="00862453" w:rsidRDefault="009D3769" w:rsidP="009D3769">
            <w:pPr>
              <w:pStyle w:val="TableParagraph"/>
              <w:ind w:left="720"/>
              <w:rPr>
                <w:lang w:val="es-419"/>
              </w:rPr>
            </w:pPr>
          </w:p>
          <w:p w14:paraId="2A6CBC71" w14:textId="77777777" w:rsidR="0082522C" w:rsidRPr="00862453" w:rsidRDefault="0082522C" w:rsidP="009D3769">
            <w:pPr>
              <w:pStyle w:val="TableParagraph"/>
              <w:ind w:left="720"/>
              <w:rPr>
                <w:lang w:val="es-419"/>
              </w:rPr>
            </w:pPr>
          </w:p>
          <w:p w14:paraId="3D1BECF7" w14:textId="6C6C689A" w:rsidR="009D3769" w:rsidRPr="00862453" w:rsidRDefault="004E4419" w:rsidP="009D3769">
            <w:pPr>
              <w:pStyle w:val="TableParagraph"/>
              <w:numPr>
                <w:ilvl w:val="0"/>
                <w:numId w:val="29"/>
              </w:numPr>
              <w:rPr>
                <w:lang w:val="es-419"/>
              </w:rPr>
            </w:pPr>
            <w:r w:rsidRPr="00862453">
              <w:rPr>
                <w:bCs/>
                <w:lang w:val="es-419"/>
              </w:rPr>
              <w:t>El</w:t>
            </w:r>
            <w:r w:rsidR="00544333" w:rsidRPr="00862453">
              <w:rPr>
                <w:bCs/>
                <w:lang w:val="es-419"/>
              </w:rPr>
              <w:t> </w:t>
            </w:r>
            <w:r w:rsidRPr="00862453">
              <w:rPr>
                <w:bCs/>
                <w:lang w:val="es-419"/>
              </w:rPr>
              <w:t>96% de los participantes la valoró positivamente y tiene</w:t>
            </w:r>
            <w:r w:rsidR="00544333" w:rsidRPr="00862453">
              <w:rPr>
                <w:bCs/>
                <w:lang w:val="es-419"/>
              </w:rPr>
              <w:t> </w:t>
            </w:r>
            <w:r w:rsidRPr="00862453">
              <w:rPr>
                <w:bCs/>
                <w:lang w:val="es-419"/>
              </w:rPr>
              <w:t xml:space="preserve">1.241 descargas. </w:t>
            </w:r>
          </w:p>
        </w:tc>
        <w:tc>
          <w:tcPr>
            <w:tcW w:w="876" w:type="dxa"/>
          </w:tcPr>
          <w:p w14:paraId="735E89E8" w14:textId="77777777" w:rsidR="009D3769" w:rsidRPr="00862453" w:rsidRDefault="009D3769" w:rsidP="009D3769">
            <w:pPr>
              <w:pStyle w:val="TableParagraph"/>
              <w:rPr>
                <w:lang w:val="es-419"/>
              </w:rPr>
            </w:pPr>
            <w:r w:rsidRPr="00862453">
              <w:rPr>
                <w:lang w:val="es-419"/>
              </w:rPr>
              <w:t>****</w:t>
            </w:r>
          </w:p>
        </w:tc>
      </w:tr>
      <w:tr w:rsidR="008F48D9" w:rsidRPr="00862453" w14:paraId="3613709D" w14:textId="77777777" w:rsidTr="00F300C4">
        <w:trPr>
          <w:trHeight w:val="510"/>
        </w:trPr>
        <w:tc>
          <w:tcPr>
            <w:tcW w:w="2410" w:type="dxa"/>
            <w:tcBorders>
              <w:right w:val="single" w:sz="6" w:space="0" w:color="000000"/>
            </w:tcBorders>
          </w:tcPr>
          <w:p w14:paraId="28ED776F" w14:textId="19A32EF3" w:rsidR="009D3769" w:rsidRPr="00862453" w:rsidRDefault="00257F5B" w:rsidP="009D3769">
            <w:pPr>
              <w:pStyle w:val="TableParagraph"/>
              <w:rPr>
                <w:bCs/>
                <w:lang w:val="es-419"/>
              </w:rPr>
            </w:pPr>
            <w:r w:rsidRPr="00862453">
              <w:rPr>
                <w:bCs/>
                <w:lang w:val="es-419"/>
              </w:rPr>
              <w:t>Plataforma en línea</w:t>
            </w:r>
          </w:p>
          <w:p w14:paraId="390BB0F2" w14:textId="77777777" w:rsidR="009D3769" w:rsidRPr="00862453" w:rsidRDefault="009D3769" w:rsidP="009D3769">
            <w:pPr>
              <w:pStyle w:val="TableParagraph"/>
              <w:rPr>
                <w:bCs/>
                <w:lang w:val="es-419"/>
              </w:rPr>
            </w:pPr>
          </w:p>
          <w:p w14:paraId="109002AB" w14:textId="77777777" w:rsidR="009D3769" w:rsidRPr="00862453" w:rsidRDefault="009D3769" w:rsidP="009D3769">
            <w:pPr>
              <w:pStyle w:val="TableParagraph"/>
              <w:rPr>
                <w:lang w:val="es-419"/>
              </w:rPr>
            </w:pPr>
          </w:p>
        </w:tc>
        <w:tc>
          <w:tcPr>
            <w:tcW w:w="2695" w:type="dxa"/>
            <w:tcBorders>
              <w:top w:val="single" w:sz="6" w:space="0" w:color="000000"/>
              <w:left w:val="single" w:sz="6" w:space="0" w:color="000000"/>
              <w:bottom w:val="single" w:sz="6" w:space="0" w:color="000000"/>
            </w:tcBorders>
          </w:tcPr>
          <w:p w14:paraId="7680D5C5" w14:textId="473EAEB5" w:rsidR="00257F5B" w:rsidRPr="00862453" w:rsidRDefault="00257F5B" w:rsidP="00257F5B">
            <w:pPr>
              <w:pStyle w:val="ListParagraph"/>
              <w:numPr>
                <w:ilvl w:val="0"/>
                <w:numId w:val="29"/>
              </w:numPr>
              <w:spacing w:line="240" w:lineRule="auto"/>
              <w:rPr>
                <w:rFonts w:cs="Arial"/>
                <w:bCs/>
                <w:lang w:val="es-419"/>
              </w:rPr>
            </w:pPr>
            <w:r w:rsidRPr="00862453">
              <w:rPr>
                <w:bCs/>
                <w:lang w:val="es-419"/>
              </w:rPr>
              <w:t>Plataforma en línea disponible para su uso por parte de los países beneficiarios y otros países interesados.</w:t>
            </w:r>
          </w:p>
          <w:p w14:paraId="4795D4F0" w14:textId="77777777" w:rsidR="00257F5B" w:rsidRPr="00862453" w:rsidRDefault="00257F5B" w:rsidP="00257F5B">
            <w:pPr>
              <w:pStyle w:val="ListParagraph"/>
              <w:rPr>
                <w:rFonts w:cs="Arial"/>
                <w:lang w:val="es-419"/>
              </w:rPr>
            </w:pPr>
          </w:p>
          <w:p w14:paraId="2DB0EA70" w14:textId="38F37EFC" w:rsidR="009D3769" w:rsidRPr="00862453" w:rsidRDefault="00257F5B" w:rsidP="00257F5B">
            <w:pPr>
              <w:pStyle w:val="ListParagraph"/>
              <w:numPr>
                <w:ilvl w:val="0"/>
                <w:numId w:val="29"/>
              </w:numPr>
              <w:spacing w:line="240" w:lineRule="auto"/>
              <w:rPr>
                <w:rFonts w:cs="Arial"/>
                <w:lang w:val="es-419"/>
              </w:rPr>
            </w:pPr>
            <w:r w:rsidRPr="00862453">
              <w:rPr>
                <w:lang w:val="es-419"/>
              </w:rPr>
              <w:t>Porcentaje de beneficiarios (categorías de usuarios por país) que valoran positivamente la utilidad de la plataforma orientada a intensificar el uso de la PI o expresan satisfacción al respecto.</w:t>
            </w:r>
          </w:p>
        </w:tc>
        <w:tc>
          <w:tcPr>
            <w:tcW w:w="3401" w:type="dxa"/>
          </w:tcPr>
          <w:p w14:paraId="14AD1901" w14:textId="0BCA4E34" w:rsidR="008C112D" w:rsidRPr="00862453" w:rsidRDefault="008C112D" w:rsidP="008C112D">
            <w:pPr>
              <w:pStyle w:val="TableParagraph"/>
              <w:numPr>
                <w:ilvl w:val="0"/>
                <w:numId w:val="29"/>
              </w:numPr>
              <w:rPr>
                <w:bCs/>
                <w:lang w:val="es-419"/>
              </w:rPr>
            </w:pPr>
            <w:r w:rsidRPr="00862453">
              <w:rPr>
                <w:bCs/>
                <w:lang w:val="es-419"/>
              </w:rPr>
              <w:t xml:space="preserve">La plataforma en línea se puso a disposición de los desarrolladores de los países beneficiarios. </w:t>
            </w:r>
          </w:p>
          <w:p w14:paraId="067F735E" w14:textId="18EFD0E3" w:rsidR="008C112D" w:rsidRPr="00862453" w:rsidRDefault="008C112D" w:rsidP="008C112D">
            <w:pPr>
              <w:pStyle w:val="TableParagraph"/>
              <w:rPr>
                <w:bCs/>
                <w:lang w:val="es-419"/>
              </w:rPr>
            </w:pPr>
          </w:p>
          <w:p w14:paraId="432D5EF2" w14:textId="3EA03285" w:rsidR="008C112D" w:rsidRPr="00862453" w:rsidRDefault="008C112D" w:rsidP="008C112D">
            <w:pPr>
              <w:pStyle w:val="TableParagraph"/>
              <w:rPr>
                <w:bCs/>
                <w:lang w:val="es-419"/>
              </w:rPr>
            </w:pPr>
          </w:p>
          <w:p w14:paraId="22BEF288" w14:textId="77777777" w:rsidR="008C112D" w:rsidRPr="00862453" w:rsidRDefault="008C112D" w:rsidP="008C112D">
            <w:pPr>
              <w:pStyle w:val="TableParagraph"/>
              <w:rPr>
                <w:bCs/>
                <w:lang w:val="es-419"/>
              </w:rPr>
            </w:pPr>
          </w:p>
          <w:p w14:paraId="185D0C31" w14:textId="0FA7820C" w:rsidR="009D3769" w:rsidRPr="00862453" w:rsidRDefault="008C112D" w:rsidP="008C112D">
            <w:pPr>
              <w:pStyle w:val="TableParagraph"/>
              <w:numPr>
                <w:ilvl w:val="0"/>
                <w:numId w:val="29"/>
              </w:numPr>
              <w:rPr>
                <w:lang w:val="es-419"/>
              </w:rPr>
            </w:pPr>
            <w:r w:rsidRPr="00862453">
              <w:rPr>
                <w:bCs/>
                <w:lang w:val="es-419"/>
              </w:rPr>
              <w:t>El</w:t>
            </w:r>
            <w:r w:rsidR="00544333" w:rsidRPr="00862453">
              <w:rPr>
                <w:bCs/>
                <w:lang w:val="es-419"/>
              </w:rPr>
              <w:t> </w:t>
            </w:r>
            <w:r w:rsidRPr="00862453">
              <w:rPr>
                <w:bCs/>
                <w:lang w:val="es-419"/>
              </w:rPr>
              <w:t>95% de los participantes valoró positivamente la plataforma.</w:t>
            </w:r>
          </w:p>
        </w:tc>
        <w:tc>
          <w:tcPr>
            <w:tcW w:w="876" w:type="dxa"/>
          </w:tcPr>
          <w:p w14:paraId="44A98300" w14:textId="77777777" w:rsidR="009D3769" w:rsidRPr="00862453" w:rsidRDefault="009D3769" w:rsidP="009D3769">
            <w:pPr>
              <w:pStyle w:val="TableParagraph"/>
              <w:rPr>
                <w:lang w:val="es-419"/>
              </w:rPr>
            </w:pPr>
            <w:r w:rsidRPr="00862453">
              <w:rPr>
                <w:lang w:val="es-419"/>
              </w:rPr>
              <w:t>****</w:t>
            </w:r>
          </w:p>
        </w:tc>
      </w:tr>
      <w:tr w:rsidR="008F48D9" w:rsidRPr="00862453" w14:paraId="1DC13669" w14:textId="77777777" w:rsidTr="00F300C4">
        <w:trPr>
          <w:trHeight w:val="510"/>
        </w:trPr>
        <w:tc>
          <w:tcPr>
            <w:tcW w:w="2410" w:type="dxa"/>
            <w:tcBorders>
              <w:right w:val="single" w:sz="6" w:space="0" w:color="000000"/>
            </w:tcBorders>
          </w:tcPr>
          <w:p w14:paraId="22D41A2B" w14:textId="44833285" w:rsidR="009D3769" w:rsidRPr="00862453" w:rsidRDefault="000E2404" w:rsidP="009D3769">
            <w:pPr>
              <w:pStyle w:val="TableParagraph"/>
              <w:rPr>
                <w:lang w:val="es-419"/>
              </w:rPr>
            </w:pPr>
            <w:r w:rsidRPr="00862453">
              <w:rPr>
                <w:lang w:val="es-419"/>
              </w:rPr>
              <w:t>Talleres organizados en cada país beneficiario</w:t>
            </w:r>
          </w:p>
        </w:tc>
        <w:tc>
          <w:tcPr>
            <w:tcW w:w="2695" w:type="dxa"/>
            <w:tcBorders>
              <w:top w:val="single" w:sz="6" w:space="0" w:color="000000"/>
              <w:left w:val="single" w:sz="6" w:space="0" w:color="000000"/>
              <w:bottom w:val="single" w:sz="6" w:space="0" w:color="000000"/>
            </w:tcBorders>
          </w:tcPr>
          <w:p w14:paraId="5127E002" w14:textId="1D38D62D" w:rsidR="000E2404" w:rsidRPr="00862453" w:rsidRDefault="000E2404" w:rsidP="000E2404">
            <w:pPr>
              <w:pStyle w:val="ListParagraph"/>
              <w:numPr>
                <w:ilvl w:val="0"/>
                <w:numId w:val="29"/>
              </w:numPr>
              <w:spacing w:line="240" w:lineRule="auto"/>
              <w:rPr>
                <w:rFonts w:cs="Arial"/>
                <w:bCs/>
                <w:lang w:val="es-419"/>
              </w:rPr>
            </w:pPr>
            <w:r w:rsidRPr="00862453">
              <w:rPr>
                <w:bCs/>
                <w:lang w:val="es-419"/>
              </w:rPr>
              <w:t>Número y categoría de los participantes por país y taller.</w:t>
            </w:r>
          </w:p>
          <w:p w14:paraId="01C98A17" w14:textId="77777777" w:rsidR="000E2404" w:rsidRPr="00862453" w:rsidRDefault="000E2404" w:rsidP="000E2404">
            <w:pPr>
              <w:pStyle w:val="ListParagraph"/>
              <w:rPr>
                <w:rFonts w:cs="Arial"/>
                <w:bCs/>
                <w:lang w:val="es-419"/>
              </w:rPr>
            </w:pPr>
          </w:p>
          <w:p w14:paraId="2BC35445" w14:textId="10A4CC28" w:rsidR="000E2404" w:rsidRPr="00862453" w:rsidRDefault="000E2404" w:rsidP="000E2404">
            <w:pPr>
              <w:pStyle w:val="ListParagraph"/>
              <w:numPr>
                <w:ilvl w:val="0"/>
                <w:numId w:val="29"/>
              </w:numPr>
              <w:spacing w:line="240" w:lineRule="auto"/>
              <w:rPr>
                <w:rFonts w:cs="Arial"/>
                <w:bCs/>
                <w:lang w:val="es-419"/>
              </w:rPr>
            </w:pPr>
            <w:r w:rsidRPr="00862453">
              <w:rPr>
                <w:bCs/>
                <w:lang w:val="es-419"/>
              </w:rPr>
              <w:t>Porcentaje de participantes (por país) que expresan satisfacción por el producto de cada taller.</w:t>
            </w:r>
          </w:p>
          <w:p w14:paraId="7F84B295" w14:textId="77777777" w:rsidR="000E2404" w:rsidRPr="00862453" w:rsidRDefault="000E2404" w:rsidP="000E2404">
            <w:pPr>
              <w:pStyle w:val="ListParagraph"/>
              <w:rPr>
                <w:rFonts w:cs="Arial"/>
                <w:bCs/>
                <w:lang w:val="es-419"/>
              </w:rPr>
            </w:pPr>
          </w:p>
          <w:p w14:paraId="41DC7CC7" w14:textId="10A12212" w:rsidR="009D3769" w:rsidRPr="00862453" w:rsidRDefault="000E2404" w:rsidP="000E2404">
            <w:pPr>
              <w:pStyle w:val="ListParagraph"/>
              <w:numPr>
                <w:ilvl w:val="0"/>
                <w:numId w:val="29"/>
              </w:numPr>
              <w:spacing w:line="240" w:lineRule="auto"/>
              <w:rPr>
                <w:rFonts w:cs="Arial"/>
                <w:bCs/>
                <w:lang w:val="es-419"/>
              </w:rPr>
            </w:pPr>
            <w:r w:rsidRPr="00862453">
              <w:rPr>
                <w:bCs/>
                <w:lang w:val="es-419"/>
              </w:rPr>
              <w:t>Porcentaje de mujeres participantes.</w:t>
            </w:r>
          </w:p>
        </w:tc>
        <w:tc>
          <w:tcPr>
            <w:tcW w:w="3401" w:type="dxa"/>
          </w:tcPr>
          <w:p w14:paraId="6272A041" w14:textId="166AF14F" w:rsidR="00AF7030" w:rsidRPr="00862453" w:rsidRDefault="00AF7030" w:rsidP="00AF7030">
            <w:pPr>
              <w:pStyle w:val="TableParagraph"/>
              <w:numPr>
                <w:ilvl w:val="0"/>
                <w:numId w:val="29"/>
              </w:numPr>
              <w:rPr>
                <w:lang w:val="es-419"/>
              </w:rPr>
            </w:pPr>
            <w:r w:rsidRPr="00862453">
              <w:rPr>
                <w:lang w:val="es-419"/>
              </w:rPr>
              <w:t>Durante el primer año del proyecto se celebraron tres talleres en los países beneficiarios. Durante el resto de la ejecución, las actividades se realizaron por Internet, debido a las restricciones de viajes.</w:t>
            </w:r>
          </w:p>
          <w:p w14:paraId="627AD6EC" w14:textId="1FB82617" w:rsidR="00AF7030" w:rsidRPr="00862453" w:rsidRDefault="00AF7030" w:rsidP="00AF7030">
            <w:pPr>
              <w:pStyle w:val="TableParagraph"/>
              <w:numPr>
                <w:ilvl w:val="0"/>
                <w:numId w:val="29"/>
              </w:numPr>
              <w:rPr>
                <w:lang w:val="es-419"/>
              </w:rPr>
            </w:pPr>
            <w:r w:rsidRPr="00862453">
              <w:rPr>
                <w:lang w:val="es-419"/>
              </w:rPr>
              <w:t>El número total de talleres y seminarios web por país beneficiario fue el siguiente:</w:t>
            </w:r>
          </w:p>
          <w:p w14:paraId="1D93F87F" w14:textId="1915BEF5" w:rsidR="00AF7030" w:rsidRPr="00862453" w:rsidRDefault="00544333" w:rsidP="00AF7030">
            <w:pPr>
              <w:pStyle w:val="TableParagraph"/>
              <w:numPr>
                <w:ilvl w:val="0"/>
                <w:numId w:val="29"/>
              </w:numPr>
              <w:rPr>
                <w:lang w:val="es-419"/>
              </w:rPr>
            </w:pPr>
            <w:r w:rsidRPr="00862453">
              <w:rPr>
                <w:lang w:val="es-419"/>
              </w:rPr>
              <w:t xml:space="preserve">tres en </w:t>
            </w:r>
            <w:r w:rsidR="00D54E8F">
              <w:rPr>
                <w:lang w:val="es-419"/>
              </w:rPr>
              <w:t>Keny</w:t>
            </w:r>
            <w:r w:rsidR="00AF7030" w:rsidRPr="00862453">
              <w:rPr>
                <w:lang w:val="es-419"/>
              </w:rPr>
              <w:t xml:space="preserve">a </w:t>
            </w:r>
            <w:r w:rsidRPr="00862453">
              <w:rPr>
                <w:lang w:val="es-419"/>
              </w:rPr>
              <w:t>–</w:t>
            </w:r>
            <w:r w:rsidR="00AF7030" w:rsidRPr="00862453">
              <w:rPr>
                <w:lang w:val="es-419"/>
              </w:rPr>
              <w:t xml:space="preserve"> </w:t>
            </w:r>
            <w:r w:rsidRPr="00862453">
              <w:rPr>
                <w:lang w:val="es-419"/>
              </w:rPr>
              <w:t>siete en</w:t>
            </w:r>
            <w:r w:rsidR="00AF7030" w:rsidRPr="00862453">
              <w:rPr>
                <w:lang w:val="es-419"/>
              </w:rPr>
              <w:t xml:space="preserve"> Filipinas, </w:t>
            </w:r>
            <w:r w:rsidRPr="00862453">
              <w:rPr>
                <w:lang w:val="es-419"/>
              </w:rPr>
              <w:t xml:space="preserve">cuatro en </w:t>
            </w:r>
            <w:r w:rsidR="00AF7030" w:rsidRPr="00862453">
              <w:rPr>
                <w:lang w:val="es-419"/>
              </w:rPr>
              <w:t xml:space="preserve">Trinidad y </w:t>
            </w:r>
            <w:r w:rsidR="00C40DFF" w:rsidRPr="00862453">
              <w:rPr>
                <w:lang w:val="es-419"/>
              </w:rPr>
              <w:t>Tobago</w:t>
            </w:r>
            <w:r w:rsidR="00AF7030" w:rsidRPr="00862453">
              <w:rPr>
                <w:lang w:val="es-419"/>
              </w:rPr>
              <w:t>.</w:t>
            </w:r>
          </w:p>
          <w:p w14:paraId="50B0F508" w14:textId="2298D96E" w:rsidR="00AF7030" w:rsidRPr="00862453" w:rsidRDefault="00197C37" w:rsidP="00AF7030">
            <w:pPr>
              <w:pStyle w:val="TableParagraph"/>
              <w:numPr>
                <w:ilvl w:val="0"/>
                <w:numId w:val="29"/>
              </w:numPr>
              <w:rPr>
                <w:lang w:val="es-419"/>
              </w:rPr>
            </w:pPr>
            <w:r w:rsidRPr="00862453">
              <w:rPr>
                <w:lang w:val="es-419"/>
              </w:rPr>
              <w:t>L</w:t>
            </w:r>
            <w:r w:rsidR="00AF7030" w:rsidRPr="00862453">
              <w:rPr>
                <w:lang w:val="es-419"/>
              </w:rPr>
              <w:t>as mujeres representaron el</w:t>
            </w:r>
            <w:r w:rsidRPr="00862453">
              <w:rPr>
                <w:lang w:val="es-419"/>
              </w:rPr>
              <w:t> </w:t>
            </w:r>
            <w:r w:rsidR="00AF7030" w:rsidRPr="00862453">
              <w:rPr>
                <w:lang w:val="es-419"/>
              </w:rPr>
              <w:t>54,67% de los participantes.</w:t>
            </w:r>
          </w:p>
          <w:p w14:paraId="2FB50607" w14:textId="2BB9C787" w:rsidR="00AF7030" w:rsidRPr="00862453" w:rsidRDefault="00AF7030" w:rsidP="00AF7030">
            <w:pPr>
              <w:pStyle w:val="TableParagraph"/>
              <w:numPr>
                <w:ilvl w:val="0"/>
                <w:numId w:val="29"/>
              </w:numPr>
              <w:rPr>
                <w:lang w:val="es-419"/>
              </w:rPr>
            </w:pPr>
            <w:r w:rsidRPr="00862453">
              <w:rPr>
                <w:lang w:val="es-419"/>
              </w:rPr>
              <w:t>-El</w:t>
            </w:r>
            <w:r w:rsidR="00197C37" w:rsidRPr="00862453">
              <w:rPr>
                <w:lang w:val="es-419"/>
              </w:rPr>
              <w:t> </w:t>
            </w:r>
            <w:r w:rsidRPr="00862453">
              <w:rPr>
                <w:lang w:val="es-419"/>
              </w:rPr>
              <w:t>91% de los participantes valor</w:t>
            </w:r>
            <w:r w:rsidR="00197C37" w:rsidRPr="00862453">
              <w:rPr>
                <w:lang w:val="es-419"/>
              </w:rPr>
              <w:t>ó</w:t>
            </w:r>
            <w:r w:rsidRPr="00862453">
              <w:rPr>
                <w:lang w:val="es-419"/>
              </w:rPr>
              <w:t xml:space="preserve"> positivamente los talleres y los seminarios web</w:t>
            </w:r>
            <w:r w:rsidR="00197C37" w:rsidRPr="00862453">
              <w:rPr>
                <w:lang w:val="es-419"/>
              </w:rPr>
              <w:t>.</w:t>
            </w:r>
          </w:p>
          <w:p w14:paraId="1381F37A" w14:textId="4C6727C3" w:rsidR="009D3769" w:rsidRPr="00862453" w:rsidRDefault="009D3769" w:rsidP="00AF7030">
            <w:pPr>
              <w:pStyle w:val="TableParagraph"/>
              <w:rPr>
                <w:lang w:val="es-419"/>
              </w:rPr>
            </w:pPr>
          </w:p>
        </w:tc>
        <w:tc>
          <w:tcPr>
            <w:tcW w:w="876" w:type="dxa"/>
          </w:tcPr>
          <w:p w14:paraId="7B664710" w14:textId="77777777" w:rsidR="009D3769" w:rsidRPr="00862453" w:rsidRDefault="009D3769" w:rsidP="009D3769">
            <w:pPr>
              <w:pStyle w:val="TableParagraph"/>
              <w:rPr>
                <w:lang w:val="es-419"/>
              </w:rPr>
            </w:pPr>
            <w:r w:rsidRPr="00862453">
              <w:rPr>
                <w:lang w:val="es-419"/>
              </w:rPr>
              <w:t>****</w:t>
            </w:r>
          </w:p>
        </w:tc>
      </w:tr>
      <w:tr w:rsidR="008F48D9" w:rsidRPr="00862453" w14:paraId="14BC97EB" w14:textId="77777777" w:rsidTr="00F300C4">
        <w:trPr>
          <w:trHeight w:val="510"/>
        </w:trPr>
        <w:tc>
          <w:tcPr>
            <w:tcW w:w="2410" w:type="dxa"/>
            <w:tcBorders>
              <w:right w:val="single" w:sz="6" w:space="0" w:color="000000"/>
            </w:tcBorders>
          </w:tcPr>
          <w:p w14:paraId="145EF7BE" w14:textId="77777777" w:rsidR="000E2404" w:rsidRPr="00862453" w:rsidRDefault="000E2404" w:rsidP="000E2404">
            <w:pPr>
              <w:rPr>
                <w:bCs/>
                <w:szCs w:val="22"/>
                <w:lang w:val="es-419"/>
              </w:rPr>
            </w:pPr>
            <w:r w:rsidRPr="00862453">
              <w:rPr>
                <w:lang w:val="es-419"/>
              </w:rPr>
              <w:t>Reuniones de coordinación en Ginebra</w:t>
            </w:r>
          </w:p>
          <w:p w14:paraId="7D80A502" w14:textId="77777777" w:rsidR="009D3769" w:rsidRPr="00862453" w:rsidRDefault="009D3769" w:rsidP="009D3769">
            <w:pPr>
              <w:pStyle w:val="TableParagraph"/>
              <w:rPr>
                <w:lang w:val="es-419"/>
              </w:rPr>
            </w:pPr>
          </w:p>
        </w:tc>
        <w:tc>
          <w:tcPr>
            <w:tcW w:w="2695" w:type="dxa"/>
            <w:tcBorders>
              <w:top w:val="single" w:sz="6" w:space="0" w:color="000000"/>
              <w:left w:val="single" w:sz="6" w:space="0" w:color="000000"/>
              <w:bottom w:val="single" w:sz="6" w:space="0" w:color="000000"/>
            </w:tcBorders>
          </w:tcPr>
          <w:p w14:paraId="4D5A47C7" w14:textId="77777777" w:rsidR="000E2404" w:rsidRPr="00862453" w:rsidRDefault="000E2404" w:rsidP="000E2404">
            <w:pPr>
              <w:pStyle w:val="ListParagraph"/>
              <w:numPr>
                <w:ilvl w:val="0"/>
                <w:numId w:val="29"/>
              </w:numPr>
              <w:spacing w:line="240" w:lineRule="auto"/>
              <w:rPr>
                <w:rFonts w:cs="Arial"/>
                <w:bCs/>
                <w:lang w:val="es-419"/>
              </w:rPr>
            </w:pPr>
            <w:r w:rsidRPr="00862453">
              <w:rPr>
                <w:bCs/>
                <w:lang w:val="es-419"/>
              </w:rPr>
              <w:t>Número de directores de proyecto nacionales/coordinadores nacionales por reunión</w:t>
            </w:r>
          </w:p>
          <w:p w14:paraId="1B808419" w14:textId="24468E12" w:rsidR="000E2404" w:rsidRPr="00862453" w:rsidRDefault="000E2404" w:rsidP="000E2404">
            <w:pPr>
              <w:pStyle w:val="ListParagraph"/>
              <w:rPr>
                <w:rFonts w:cs="Arial"/>
                <w:bCs/>
                <w:lang w:val="es-419"/>
              </w:rPr>
            </w:pPr>
            <w:r w:rsidRPr="00862453">
              <w:rPr>
                <w:rFonts w:cs="Arial"/>
                <w:bCs/>
                <w:lang w:val="es-419"/>
              </w:rPr>
              <w:t>.</w:t>
            </w:r>
          </w:p>
          <w:p w14:paraId="2C586EA7" w14:textId="5EEF7ACA" w:rsidR="000E2404" w:rsidRPr="00862453" w:rsidRDefault="000E2404" w:rsidP="000E2404">
            <w:pPr>
              <w:pStyle w:val="ListParagraph"/>
              <w:numPr>
                <w:ilvl w:val="0"/>
                <w:numId w:val="29"/>
              </w:numPr>
              <w:spacing w:line="240" w:lineRule="auto"/>
              <w:rPr>
                <w:rFonts w:cs="Arial"/>
                <w:bCs/>
                <w:lang w:val="es-419"/>
              </w:rPr>
            </w:pPr>
            <w:r w:rsidRPr="00862453">
              <w:rPr>
                <w:bCs/>
                <w:lang w:val="es-419"/>
              </w:rPr>
              <w:t>Porcentaje de participantes que expresan satisfacción por el producto de cada reunión.</w:t>
            </w:r>
          </w:p>
          <w:p w14:paraId="5799BFA7" w14:textId="77777777" w:rsidR="000E2404" w:rsidRPr="00862453" w:rsidRDefault="000E2404" w:rsidP="000E2404">
            <w:pPr>
              <w:pStyle w:val="ListParagraph"/>
              <w:rPr>
                <w:rFonts w:cs="Arial"/>
                <w:bCs/>
                <w:lang w:val="es-419"/>
              </w:rPr>
            </w:pPr>
          </w:p>
          <w:p w14:paraId="25078AB7" w14:textId="3657BCB7" w:rsidR="009D3769" w:rsidRPr="00862453" w:rsidRDefault="000E2404" w:rsidP="000E2404">
            <w:pPr>
              <w:pStyle w:val="ListParagraph"/>
              <w:numPr>
                <w:ilvl w:val="0"/>
                <w:numId w:val="29"/>
              </w:numPr>
              <w:spacing w:line="240" w:lineRule="auto"/>
              <w:rPr>
                <w:rFonts w:cs="Arial"/>
                <w:bCs/>
                <w:lang w:val="es-419"/>
              </w:rPr>
            </w:pPr>
            <w:r w:rsidRPr="00862453">
              <w:rPr>
                <w:bCs/>
                <w:lang w:val="es-419"/>
              </w:rPr>
              <w:t>Porcentaje de mujeres participantes</w:t>
            </w:r>
            <w:r w:rsidR="009D3769" w:rsidRPr="00862453">
              <w:rPr>
                <w:bCs/>
                <w:lang w:val="es-419"/>
              </w:rPr>
              <w:t>.</w:t>
            </w:r>
          </w:p>
          <w:p w14:paraId="2D6144BB" w14:textId="77777777" w:rsidR="009D3769" w:rsidRPr="00862453" w:rsidRDefault="009D3769" w:rsidP="009D3769">
            <w:pPr>
              <w:pStyle w:val="TableParagraph"/>
              <w:rPr>
                <w:lang w:val="es-419"/>
              </w:rPr>
            </w:pPr>
          </w:p>
        </w:tc>
        <w:tc>
          <w:tcPr>
            <w:tcW w:w="3401" w:type="dxa"/>
          </w:tcPr>
          <w:p w14:paraId="5C98BA72" w14:textId="550FF17B" w:rsidR="007A4FE4" w:rsidRPr="00862453" w:rsidRDefault="00BD4D2C" w:rsidP="007A4FE4">
            <w:pPr>
              <w:pStyle w:val="TableParagraph"/>
              <w:numPr>
                <w:ilvl w:val="0"/>
                <w:numId w:val="29"/>
              </w:numPr>
              <w:rPr>
                <w:lang w:val="es-419"/>
              </w:rPr>
            </w:pPr>
            <w:r w:rsidRPr="00862453">
              <w:rPr>
                <w:lang w:val="es-419"/>
              </w:rPr>
              <w:t>Los coordinadores celebraron una única reunión de coordinación, en Ginebra</w:t>
            </w:r>
            <w:r w:rsidR="007A4FE4" w:rsidRPr="00862453">
              <w:rPr>
                <w:lang w:val="es-419"/>
              </w:rPr>
              <w:t>, con un</w:t>
            </w:r>
            <w:r w:rsidR="00197C37" w:rsidRPr="00862453">
              <w:rPr>
                <w:lang w:val="es-419"/>
              </w:rPr>
              <w:t> </w:t>
            </w:r>
            <w:r w:rsidR="007A4FE4" w:rsidRPr="00862453">
              <w:rPr>
                <w:lang w:val="es-419"/>
              </w:rPr>
              <w:t>33% de participación femenina.</w:t>
            </w:r>
          </w:p>
          <w:p w14:paraId="2313BC1F" w14:textId="77777777" w:rsidR="007A4FE4" w:rsidRPr="00862453" w:rsidRDefault="007A4FE4" w:rsidP="007A4FE4">
            <w:pPr>
              <w:pStyle w:val="TableParagraph"/>
              <w:ind w:left="360"/>
              <w:rPr>
                <w:lang w:val="es-419"/>
              </w:rPr>
            </w:pPr>
          </w:p>
          <w:p w14:paraId="4724BA3E" w14:textId="1411A47D" w:rsidR="007A4FE4" w:rsidRPr="00862453" w:rsidRDefault="007A4FE4" w:rsidP="007A4FE4">
            <w:pPr>
              <w:pStyle w:val="TableParagraph"/>
              <w:numPr>
                <w:ilvl w:val="0"/>
                <w:numId w:val="29"/>
              </w:numPr>
              <w:rPr>
                <w:lang w:val="es-419"/>
              </w:rPr>
            </w:pPr>
            <w:r w:rsidRPr="00862453">
              <w:rPr>
                <w:lang w:val="es-419"/>
              </w:rPr>
              <w:t xml:space="preserve">A lo largo del proyecto, las reuniones de coordinación se celebraron con regularidad (una vez al mes o cada dos meses), para tratar de las actividades </w:t>
            </w:r>
            <w:r w:rsidR="00197C37" w:rsidRPr="00862453">
              <w:rPr>
                <w:lang w:val="es-419"/>
              </w:rPr>
              <w:t>subsiguientes</w:t>
            </w:r>
            <w:r w:rsidRPr="00862453">
              <w:rPr>
                <w:lang w:val="es-419"/>
              </w:rPr>
              <w:t xml:space="preserve">. </w:t>
            </w:r>
          </w:p>
          <w:p w14:paraId="6709B337" w14:textId="77777777" w:rsidR="007A4FE4" w:rsidRPr="00862453" w:rsidRDefault="007A4FE4" w:rsidP="007A4FE4">
            <w:pPr>
              <w:pStyle w:val="TableParagraph"/>
              <w:ind w:left="720"/>
              <w:rPr>
                <w:lang w:val="es-419"/>
              </w:rPr>
            </w:pPr>
          </w:p>
          <w:p w14:paraId="6A324EF5" w14:textId="46EF2CB4" w:rsidR="009D3769" w:rsidRPr="00862453" w:rsidRDefault="007A4FE4" w:rsidP="007A4FE4">
            <w:pPr>
              <w:pStyle w:val="TableParagraph"/>
              <w:numPr>
                <w:ilvl w:val="0"/>
                <w:numId w:val="29"/>
              </w:numPr>
              <w:rPr>
                <w:lang w:val="es-419"/>
              </w:rPr>
            </w:pPr>
            <w:r w:rsidRPr="00862453">
              <w:rPr>
                <w:lang w:val="es-419"/>
              </w:rPr>
              <w:t xml:space="preserve">En término medio, la participación de las mujeres en las reuniones de coordinación de los </w:t>
            </w:r>
            <w:r w:rsidR="003E3677" w:rsidRPr="00862453">
              <w:rPr>
                <w:lang w:val="es-419"/>
              </w:rPr>
              <w:t>coordinadores representó un</w:t>
            </w:r>
            <w:r w:rsidR="00197C37" w:rsidRPr="00862453">
              <w:rPr>
                <w:lang w:val="es-419"/>
              </w:rPr>
              <w:t> </w:t>
            </w:r>
            <w:r w:rsidR="003E3677" w:rsidRPr="00862453">
              <w:rPr>
                <w:lang w:val="es-419"/>
              </w:rPr>
              <w:t>30%</w:t>
            </w:r>
            <w:r w:rsidRPr="00862453">
              <w:rPr>
                <w:lang w:val="es-419"/>
              </w:rPr>
              <w:t>.</w:t>
            </w:r>
          </w:p>
        </w:tc>
        <w:tc>
          <w:tcPr>
            <w:tcW w:w="876" w:type="dxa"/>
          </w:tcPr>
          <w:p w14:paraId="270C0F88" w14:textId="77777777" w:rsidR="009D3769" w:rsidRPr="00862453" w:rsidRDefault="009D3769" w:rsidP="009D3769">
            <w:pPr>
              <w:pStyle w:val="TableParagraph"/>
              <w:rPr>
                <w:lang w:val="es-419"/>
              </w:rPr>
            </w:pPr>
            <w:r w:rsidRPr="00862453">
              <w:rPr>
                <w:lang w:val="es-419"/>
              </w:rPr>
              <w:t>****</w:t>
            </w:r>
          </w:p>
        </w:tc>
      </w:tr>
    </w:tbl>
    <w:p w14:paraId="221CDF1A" w14:textId="77777777" w:rsidR="004304CA" w:rsidRPr="00862453" w:rsidRDefault="004304CA" w:rsidP="004304CA">
      <w:pPr>
        <w:ind w:left="5103" w:firstLine="567"/>
        <w:rPr>
          <w:lang w:val="es-419"/>
        </w:rPr>
      </w:pPr>
    </w:p>
    <w:p w14:paraId="48A79BEC" w14:textId="77777777" w:rsidR="004304CA" w:rsidRPr="00862453" w:rsidRDefault="004304CA" w:rsidP="004304CA">
      <w:pPr>
        <w:ind w:left="5103" w:firstLine="567"/>
        <w:rPr>
          <w:lang w:val="es-419"/>
        </w:rPr>
      </w:pPr>
    </w:p>
    <w:p w14:paraId="61157E68" w14:textId="77777777" w:rsidR="004304CA" w:rsidRPr="00862453" w:rsidRDefault="004304CA" w:rsidP="004304CA">
      <w:pPr>
        <w:ind w:left="5103" w:firstLine="567"/>
        <w:rPr>
          <w:lang w:val="es-419"/>
        </w:rPr>
      </w:pPr>
    </w:p>
    <w:p w14:paraId="109F352D" w14:textId="57A7379D" w:rsidR="004304CA" w:rsidRPr="00862453" w:rsidRDefault="004304CA" w:rsidP="004304CA">
      <w:pPr>
        <w:ind w:left="5103" w:firstLine="567"/>
        <w:rPr>
          <w:lang w:val="es-419"/>
        </w:rPr>
      </w:pPr>
      <w:r w:rsidRPr="00862453">
        <w:rPr>
          <w:lang w:val="es-419"/>
        </w:rPr>
        <w:t>[</w:t>
      </w:r>
      <w:r w:rsidR="00F86BFA" w:rsidRPr="00862453">
        <w:rPr>
          <w:lang w:val="es-419"/>
        </w:rPr>
        <w:t>Fin del Anexo y del documento</w:t>
      </w:r>
      <w:r w:rsidRPr="00862453">
        <w:rPr>
          <w:lang w:val="es-419"/>
        </w:rPr>
        <w:t>]</w:t>
      </w:r>
    </w:p>
    <w:p w14:paraId="46C7A736" w14:textId="0D6DFB0D" w:rsidR="00152CEA" w:rsidRPr="00862453" w:rsidRDefault="00152CEA" w:rsidP="00EB0D93">
      <w:pPr>
        <w:spacing w:after="220"/>
        <w:rPr>
          <w:lang w:val="es-419"/>
        </w:rPr>
      </w:pPr>
    </w:p>
    <w:sectPr w:rsidR="00152CEA" w:rsidRPr="00862453" w:rsidSect="004304CA">
      <w:headerReference w:type="default" r:id="rId27"/>
      <w:headerReference w:type="first" r:id="rId2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4187" w14:textId="77777777" w:rsidR="00170C29" w:rsidRDefault="00170C29">
      <w:r>
        <w:separator/>
      </w:r>
    </w:p>
  </w:endnote>
  <w:endnote w:type="continuationSeparator" w:id="0">
    <w:p w14:paraId="13A0F9E1" w14:textId="77777777" w:rsidR="00170C29" w:rsidRPr="009D30E6" w:rsidRDefault="00170C29" w:rsidP="007E663E">
      <w:pPr>
        <w:rPr>
          <w:sz w:val="17"/>
          <w:szCs w:val="17"/>
        </w:rPr>
      </w:pPr>
      <w:r w:rsidRPr="009D30E6">
        <w:rPr>
          <w:sz w:val="17"/>
          <w:szCs w:val="17"/>
        </w:rPr>
        <w:separator/>
      </w:r>
    </w:p>
    <w:p w14:paraId="219EE96F" w14:textId="77777777" w:rsidR="00170C29" w:rsidRPr="007E663E" w:rsidRDefault="00170C29" w:rsidP="007E663E">
      <w:pPr>
        <w:spacing w:after="60"/>
        <w:rPr>
          <w:sz w:val="17"/>
          <w:szCs w:val="17"/>
        </w:rPr>
      </w:pPr>
      <w:r>
        <w:rPr>
          <w:sz w:val="17"/>
        </w:rPr>
        <w:t>[Continuación de la nota de la página anterior]</w:t>
      </w:r>
    </w:p>
  </w:endnote>
  <w:endnote w:type="continuationNotice" w:id="1">
    <w:p w14:paraId="5EF9139C" w14:textId="77777777" w:rsidR="00170C29" w:rsidRPr="007E663E" w:rsidRDefault="00170C2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646E" w14:textId="77777777" w:rsidR="004304CA" w:rsidRDefault="004304CA" w:rsidP="008934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C46B" w14:textId="77777777" w:rsidR="006F406C" w:rsidRDefault="006F4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DA98" w14:textId="77777777" w:rsidR="006F406C" w:rsidRDefault="006F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74166" w14:textId="77777777" w:rsidR="00170C29" w:rsidRDefault="00170C29">
      <w:r>
        <w:separator/>
      </w:r>
    </w:p>
  </w:footnote>
  <w:footnote w:type="continuationSeparator" w:id="0">
    <w:p w14:paraId="350CD6AD" w14:textId="77777777" w:rsidR="00170C29" w:rsidRPr="009D30E6" w:rsidRDefault="00170C29" w:rsidP="007E663E">
      <w:pPr>
        <w:rPr>
          <w:sz w:val="17"/>
          <w:szCs w:val="17"/>
        </w:rPr>
      </w:pPr>
      <w:r w:rsidRPr="009D30E6">
        <w:rPr>
          <w:sz w:val="17"/>
          <w:szCs w:val="17"/>
        </w:rPr>
        <w:separator/>
      </w:r>
    </w:p>
    <w:p w14:paraId="489482E3" w14:textId="77777777" w:rsidR="00170C29" w:rsidRPr="007E663E" w:rsidRDefault="00170C29" w:rsidP="007E663E">
      <w:pPr>
        <w:spacing w:after="60"/>
        <w:rPr>
          <w:sz w:val="17"/>
          <w:szCs w:val="17"/>
        </w:rPr>
      </w:pPr>
      <w:r>
        <w:rPr>
          <w:sz w:val="17"/>
        </w:rPr>
        <w:t>[Continuación de la nota de la página anterior]</w:t>
      </w:r>
    </w:p>
  </w:footnote>
  <w:footnote w:type="continuationNotice" w:id="1">
    <w:p w14:paraId="111CBDB0" w14:textId="77777777" w:rsidR="00170C29" w:rsidRPr="007E663E" w:rsidRDefault="00170C29" w:rsidP="007E663E">
      <w:pPr>
        <w:spacing w:before="60"/>
        <w:jc w:val="right"/>
        <w:rPr>
          <w:sz w:val="17"/>
          <w:szCs w:val="17"/>
        </w:rPr>
      </w:pPr>
      <w:r w:rsidRPr="007E663E">
        <w:rPr>
          <w:sz w:val="17"/>
          <w:szCs w:val="17"/>
        </w:rPr>
        <w:t>[Sigue la nota en la página siguiente]</w:t>
      </w:r>
    </w:p>
  </w:footnote>
  <w:footnote w:id="2">
    <w:p w14:paraId="4DAD2D83" w14:textId="5480B372" w:rsidR="004304CA" w:rsidRPr="00206C06" w:rsidRDefault="004304CA" w:rsidP="004304CA">
      <w:pPr>
        <w:pStyle w:val="FootnoteText"/>
      </w:pPr>
      <w:r>
        <w:rPr>
          <w:rStyle w:val="FootnoteReference"/>
        </w:rPr>
        <w:footnoteRef/>
      </w:r>
      <w:r w:rsidRPr="00334157">
        <w:t xml:space="preserve"> </w:t>
      </w:r>
      <w:r w:rsidR="00334157" w:rsidRPr="00334157">
        <w:t>El “</w:t>
      </w:r>
      <w:r w:rsidR="00334157">
        <w:t>índice de utilizaci</w:t>
      </w:r>
      <w:r w:rsidR="00206C06">
        <w:t>ón del presupuesto</w:t>
      </w:r>
      <w:r w:rsidR="00334157" w:rsidRPr="00334157">
        <w:t xml:space="preserve">” se basa en el porcentaje (%) del presupuesto </w:t>
      </w:r>
      <w:r w:rsidR="00206C06">
        <w:t xml:space="preserve">total </w:t>
      </w:r>
      <w:r w:rsidR="00334157" w:rsidRPr="00334157">
        <w:t xml:space="preserve">del proyecto que </w:t>
      </w:r>
      <w:r w:rsidR="00206C06">
        <w:t>se ha gastado o utilizado.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EC8C" w14:textId="77777777" w:rsidR="004304CA" w:rsidRDefault="004304CA" w:rsidP="00B53986">
    <w:pPr>
      <w:pStyle w:val="Header"/>
      <w:jc w:val="right"/>
    </w:pPr>
    <w:r>
      <w:t>CDIP/28/4</w:t>
    </w:r>
  </w:p>
  <w:p w14:paraId="00339845" w14:textId="3605A0D7" w:rsidR="004304CA" w:rsidRDefault="008F48D9" w:rsidP="00B53986">
    <w:pPr>
      <w:pStyle w:val="Header"/>
      <w:jc w:val="right"/>
    </w:pPr>
    <w:r>
      <w:t>Anexo</w:t>
    </w:r>
    <w:r w:rsidR="004304CA">
      <w:t xml:space="preserve">, </w:t>
    </w:r>
    <w:r w:rsidR="004304CA" w:rsidRPr="00F6103C">
      <w:rPr>
        <w:lang w:val="en-GB"/>
      </w:rPr>
      <w:t>page</w:t>
    </w:r>
    <w:r w:rsidR="004304CA">
      <w:t xml:space="preserve"> </w:t>
    </w:r>
    <w:sdt>
      <w:sdtPr>
        <w:id w:val="-610514224"/>
        <w:docPartObj>
          <w:docPartGallery w:val="Page Numbers (Top of Page)"/>
          <w:docPartUnique/>
        </w:docPartObj>
      </w:sdtPr>
      <w:sdtEndPr>
        <w:rPr>
          <w:noProof/>
        </w:rPr>
      </w:sdtEndPr>
      <w:sdtContent>
        <w:r w:rsidR="004304CA">
          <w:fldChar w:fldCharType="begin"/>
        </w:r>
        <w:r w:rsidR="004304CA">
          <w:instrText xml:space="preserve"> PAGE   \* MERGEFORMAT </w:instrText>
        </w:r>
        <w:r w:rsidR="004304CA">
          <w:fldChar w:fldCharType="separate"/>
        </w:r>
        <w:r w:rsidR="004304CA">
          <w:rPr>
            <w:noProof/>
          </w:rPr>
          <w:t>16</w:t>
        </w:r>
        <w:r w:rsidR="004304CA">
          <w:rPr>
            <w:noProof/>
          </w:rPr>
          <w:fldChar w:fldCharType="end"/>
        </w:r>
      </w:sdtContent>
    </w:sdt>
  </w:p>
  <w:p w14:paraId="566547A3" w14:textId="77777777" w:rsidR="004304CA" w:rsidRDefault="004304CA"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99F7" w14:textId="77777777" w:rsidR="004304CA" w:rsidRDefault="004304CA" w:rsidP="0081533E">
    <w:pPr>
      <w:pStyle w:val="Header"/>
      <w:jc w:val="right"/>
    </w:pPr>
    <w:r>
      <w:t>CDIP/28/7</w:t>
    </w:r>
  </w:p>
  <w:p w14:paraId="61225545" w14:textId="5E57F734" w:rsidR="004304CA" w:rsidRDefault="008F48D9" w:rsidP="0081533E">
    <w:pPr>
      <w:pStyle w:val="Header"/>
      <w:jc w:val="right"/>
    </w:pPr>
    <w:r>
      <w:t>Anexo</w:t>
    </w:r>
    <w:r w:rsidR="004304CA">
      <w:t xml:space="preserve">, </w:t>
    </w:r>
    <w:r w:rsidR="004304CA" w:rsidRPr="00F6103C">
      <w:rPr>
        <w:lang w:val="en-GB"/>
      </w:rPr>
      <w:t>page</w:t>
    </w:r>
    <w:r w:rsidR="004304CA">
      <w:t xml:space="preserve"> </w:t>
    </w:r>
    <w:sdt>
      <w:sdtPr>
        <w:id w:val="245234009"/>
        <w:docPartObj>
          <w:docPartGallery w:val="Page Numbers (Top of Page)"/>
          <w:docPartUnique/>
        </w:docPartObj>
      </w:sdtPr>
      <w:sdtEndPr>
        <w:rPr>
          <w:noProof/>
        </w:rPr>
      </w:sdtEndPr>
      <w:sdtContent>
        <w:r w:rsidR="004304CA">
          <w:fldChar w:fldCharType="begin"/>
        </w:r>
        <w:r w:rsidR="004304CA">
          <w:instrText xml:space="preserve"> PAGE   \* MERGEFORMAT </w:instrText>
        </w:r>
        <w:r w:rsidR="004304CA">
          <w:fldChar w:fldCharType="separate"/>
        </w:r>
        <w:r w:rsidR="004304CA">
          <w:rPr>
            <w:noProof/>
          </w:rPr>
          <w:t>15</w:t>
        </w:r>
        <w:r w:rsidR="004304CA">
          <w:rPr>
            <w:noProof/>
          </w:rPr>
          <w:fldChar w:fldCharType="end"/>
        </w:r>
      </w:sdtContent>
    </w:sdt>
  </w:p>
  <w:p w14:paraId="7D2E2F46" w14:textId="77777777" w:rsidR="004304CA" w:rsidRDefault="004304CA">
    <w:pPr>
      <w:pStyle w:val="Header"/>
    </w:pPr>
  </w:p>
  <w:p w14:paraId="6FD89041" w14:textId="77777777" w:rsidR="004304CA" w:rsidRDefault="00430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FEDC" w14:textId="77777777" w:rsidR="006F406C" w:rsidRDefault="006F40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668E" w14:textId="77777777" w:rsidR="00AE7F20" w:rsidRPr="00EB0D93" w:rsidRDefault="00797F34" w:rsidP="00477D6B">
    <w:pPr>
      <w:jc w:val="right"/>
      <w:rPr>
        <w:caps/>
      </w:rPr>
    </w:pPr>
    <w:bookmarkStart w:id="6" w:name="Code2"/>
    <w:bookmarkEnd w:id="6"/>
    <w:r>
      <w:rPr>
        <w:caps/>
      </w:rPr>
      <w:t>CDIP/28/7</w:t>
    </w:r>
  </w:p>
  <w:p w14:paraId="09C14322" w14:textId="74F05764" w:rsidR="00AE7F20" w:rsidRDefault="004304CA"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D54E8F">
      <w:rPr>
        <w:noProof/>
      </w:rPr>
      <w:t>18</w:t>
    </w:r>
    <w:r w:rsidR="00AE7F20">
      <w:fldChar w:fldCharType="end"/>
    </w:r>
  </w:p>
  <w:p w14:paraId="56393868" w14:textId="77777777" w:rsidR="00AE7F20" w:rsidRDefault="00AE7F20" w:rsidP="00477D6B">
    <w:pPr>
      <w:jc w:val="right"/>
    </w:pPr>
  </w:p>
  <w:p w14:paraId="6C35CB70" w14:textId="77777777"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C437" w14:textId="77777777" w:rsidR="004304CA" w:rsidRDefault="004304CA" w:rsidP="004304CA">
    <w:pPr>
      <w:pStyle w:val="Header"/>
      <w:jc w:val="right"/>
    </w:pPr>
    <w:r>
      <w:t>CDIP/28/7</w:t>
    </w:r>
  </w:p>
  <w:p w14:paraId="1B7233EC" w14:textId="77777777" w:rsidR="004304CA" w:rsidRDefault="004304CA" w:rsidP="004304CA">
    <w:pPr>
      <w:pStyle w:val="Header"/>
      <w:jc w:val="right"/>
    </w:pPr>
    <w:r>
      <w:t>ANEXO</w:t>
    </w:r>
  </w:p>
  <w:p w14:paraId="073E9239" w14:textId="77777777" w:rsidR="004304CA" w:rsidRDefault="004304CA" w:rsidP="004304CA">
    <w:pPr>
      <w:pStyle w:val="Header"/>
      <w:jc w:val="right"/>
    </w:pPr>
  </w:p>
  <w:p w14:paraId="067C42A4" w14:textId="77777777" w:rsidR="004304CA" w:rsidRDefault="004304CA" w:rsidP="004304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F51"/>
      </v:shape>
    </w:pict>
  </w:numPicBullet>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8A4E84"/>
    <w:multiLevelType w:val="hybridMultilevel"/>
    <w:tmpl w:val="E874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F3789"/>
    <w:multiLevelType w:val="hybridMultilevel"/>
    <w:tmpl w:val="8B70BB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30BE1C40"/>
    <w:multiLevelType w:val="hybridMultilevel"/>
    <w:tmpl w:val="AC48B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06ED"/>
    <w:multiLevelType w:val="hybridMultilevel"/>
    <w:tmpl w:val="D1AE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333AA9"/>
    <w:multiLevelType w:val="hybridMultilevel"/>
    <w:tmpl w:val="A13E6CDE"/>
    <w:lvl w:ilvl="0" w:tplc="8A9AB08C">
      <w:start w:val="1"/>
      <w:numFmt w:val="decimal"/>
      <w:lvlText w:val="%1)"/>
      <w:lvlJc w:val="left"/>
      <w:pPr>
        <w:ind w:left="469" w:hanging="360"/>
      </w:pPr>
      <w:rPr>
        <w:rFonts w:hint="default"/>
      </w:rPr>
    </w:lvl>
    <w:lvl w:ilvl="1" w:tplc="04020019" w:tentative="1">
      <w:start w:val="1"/>
      <w:numFmt w:val="lowerLetter"/>
      <w:lvlText w:val="%2."/>
      <w:lvlJc w:val="left"/>
      <w:pPr>
        <w:ind w:left="1189" w:hanging="360"/>
      </w:pPr>
    </w:lvl>
    <w:lvl w:ilvl="2" w:tplc="0402001B" w:tentative="1">
      <w:start w:val="1"/>
      <w:numFmt w:val="lowerRoman"/>
      <w:lvlText w:val="%3."/>
      <w:lvlJc w:val="right"/>
      <w:pPr>
        <w:ind w:left="1909" w:hanging="180"/>
      </w:pPr>
    </w:lvl>
    <w:lvl w:ilvl="3" w:tplc="0402000F" w:tentative="1">
      <w:start w:val="1"/>
      <w:numFmt w:val="decimal"/>
      <w:lvlText w:val="%4."/>
      <w:lvlJc w:val="left"/>
      <w:pPr>
        <w:ind w:left="2629" w:hanging="360"/>
      </w:pPr>
    </w:lvl>
    <w:lvl w:ilvl="4" w:tplc="04020019" w:tentative="1">
      <w:start w:val="1"/>
      <w:numFmt w:val="lowerLetter"/>
      <w:lvlText w:val="%5."/>
      <w:lvlJc w:val="left"/>
      <w:pPr>
        <w:ind w:left="3349" w:hanging="360"/>
      </w:pPr>
    </w:lvl>
    <w:lvl w:ilvl="5" w:tplc="0402001B" w:tentative="1">
      <w:start w:val="1"/>
      <w:numFmt w:val="lowerRoman"/>
      <w:lvlText w:val="%6."/>
      <w:lvlJc w:val="right"/>
      <w:pPr>
        <w:ind w:left="4069" w:hanging="180"/>
      </w:pPr>
    </w:lvl>
    <w:lvl w:ilvl="6" w:tplc="0402000F" w:tentative="1">
      <w:start w:val="1"/>
      <w:numFmt w:val="decimal"/>
      <w:lvlText w:val="%7."/>
      <w:lvlJc w:val="left"/>
      <w:pPr>
        <w:ind w:left="4789" w:hanging="360"/>
      </w:pPr>
    </w:lvl>
    <w:lvl w:ilvl="7" w:tplc="04020019" w:tentative="1">
      <w:start w:val="1"/>
      <w:numFmt w:val="lowerLetter"/>
      <w:lvlText w:val="%8."/>
      <w:lvlJc w:val="left"/>
      <w:pPr>
        <w:ind w:left="5509" w:hanging="360"/>
      </w:pPr>
    </w:lvl>
    <w:lvl w:ilvl="8" w:tplc="0402001B" w:tentative="1">
      <w:start w:val="1"/>
      <w:numFmt w:val="lowerRoman"/>
      <w:lvlText w:val="%9."/>
      <w:lvlJc w:val="right"/>
      <w:pPr>
        <w:ind w:left="6229" w:hanging="180"/>
      </w:pPr>
    </w:lvl>
  </w:abstractNum>
  <w:abstractNum w:abstractNumId="13"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9742D"/>
    <w:multiLevelType w:val="hybridMultilevel"/>
    <w:tmpl w:val="5AB8AA38"/>
    <w:lvl w:ilvl="0" w:tplc="429A6F0A">
      <w:start w:val="2"/>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5"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9DC7325"/>
    <w:multiLevelType w:val="hybridMultilevel"/>
    <w:tmpl w:val="4726C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41B9D"/>
    <w:multiLevelType w:val="hybridMultilevel"/>
    <w:tmpl w:val="15E8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686200"/>
    <w:multiLevelType w:val="hybridMultilevel"/>
    <w:tmpl w:val="C48E1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964DF9"/>
    <w:multiLevelType w:val="hybridMultilevel"/>
    <w:tmpl w:val="345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7C1A37"/>
    <w:multiLevelType w:val="hybridMultilevel"/>
    <w:tmpl w:val="C366D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9" w15:restartNumberingAfterBreak="0">
    <w:nsid w:val="66B04319"/>
    <w:multiLevelType w:val="hybridMultilevel"/>
    <w:tmpl w:val="CD828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1383E"/>
    <w:multiLevelType w:val="hybridMultilevel"/>
    <w:tmpl w:val="4B988F88"/>
    <w:lvl w:ilvl="0" w:tplc="D3560ED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8D603CC"/>
    <w:multiLevelType w:val="hybridMultilevel"/>
    <w:tmpl w:val="E05E3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22"/>
  </w:num>
  <w:num w:numId="5">
    <w:abstractNumId w:val="3"/>
  </w:num>
  <w:num w:numId="6">
    <w:abstractNumId w:val="6"/>
  </w:num>
  <w:num w:numId="7">
    <w:abstractNumId w:val="37"/>
  </w:num>
  <w:num w:numId="8">
    <w:abstractNumId w:val="32"/>
  </w:num>
  <w:num w:numId="9">
    <w:abstractNumId w:val="25"/>
  </w:num>
  <w:num w:numId="10">
    <w:abstractNumId w:val="28"/>
  </w:num>
  <w:num w:numId="11">
    <w:abstractNumId w:val="31"/>
  </w:num>
  <w:num w:numId="12">
    <w:abstractNumId w:val="33"/>
  </w:num>
  <w:num w:numId="13">
    <w:abstractNumId w:val="26"/>
  </w:num>
  <w:num w:numId="14">
    <w:abstractNumId w:val="30"/>
  </w:num>
  <w:num w:numId="15">
    <w:abstractNumId w:val="8"/>
  </w:num>
  <w:num w:numId="16">
    <w:abstractNumId w:val="7"/>
  </w:num>
  <w:num w:numId="17">
    <w:abstractNumId w:val="4"/>
  </w:num>
  <w:num w:numId="18">
    <w:abstractNumId w:val="24"/>
  </w:num>
  <w:num w:numId="19">
    <w:abstractNumId w:val="36"/>
  </w:num>
  <w:num w:numId="20">
    <w:abstractNumId w:val="15"/>
  </w:num>
  <w:num w:numId="21">
    <w:abstractNumId w:val="18"/>
  </w:num>
  <w:num w:numId="22">
    <w:abstractNumId w:val="19"/>
  </w:num>
  <w:num w:numId="23">
    <w:abstractNumId w:val="10"/>
  </w:num>
  <w:num w:numId="24">
    <w:abstractNumId w:val="34"/>
  </w:num>
  <w:num w:numId="25">
    <w:abstractNumId w:val="1"/>
  </w:num>
  <w:num w:numId="26">
    <w:abstractNumId w:val="11"/>
  </w:num>
  <w:num w:numId="27">
    <w:abstractNumId w:val="14"/>
  </w:num>
  <w:num w:numId="28">
    <w:abstractNumId w:val="12"/>
  </w:num>
  <w:num w:numId="29">
    <w:abstractNumId w:val="13"/>
  </w:num>
  <w:num w:numId="30">
    <w:abstractNumId w:val="9"/>
  </w:num>
  <w:num w:numId="31">
    <w:abstractNumId w:val="29"/>
  </w:num>
  <w:num w:numId="32">
    <w:abstractNumId w:val="21"/>
  </w:num>
  <w:num w:numId="33">
    <w:abstractNumId w:val="38"/>
  </w:num>
  <w:num w:numId="34">
    <w:abstractNumId w:val="2"/>
  </w:num>
  <w:num w:numId="35">
    <w:abstractNumId w:val="23"/>
  </w:num>
  <w:num w:numId="36">
    <w:abstractNumId w:val="17"/>
  </w:num>
  <w:num w:numId="37">
    <w:abstractNumId w:val="16"/>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34"/>
    <w:rsid w:val="00010686"/>
    <w:rsid w:val="00025A72"/>
    <w:rsid w:val="00026E36"/>
    <w:rsid w:val="000325D2"/>
    <w:rsid w:val="00034F4A"/>
    <w:rsid w:val="00052906"/>
    <w:rsid w:val="00052915"/>
    <w:rsid w:val="000835C1"/>
    <w:rsid w:val="000B6CC4"/>
    <w:rsid w:val="000C1BF2"/>
    <w:rsid w:val="000D096E"/>
    <w:rsid w:val="000D6482"/>
    <w:rsid w:val="000D79A1"/>
    <w:rsid w:val="000E1522"/>
    <w:rsid w:val="000E2404"/>
    <w:rsid w:val="000E3BB3"/>
    <w:rsid w:val="000E5157"/>
    <w:rsid w:val="000E7463"/>
    <w:rsid w:val="000E7985"/>
    <w:rsid w:val="000F2C00"/>
    <w:rsid w:val="000F3999"/>
    <w:rsid w:val="000F5E56"/>
    <w:rsid w:val="000F7A05"/>
    <w:rsid w:val="00103B9D"/>
    <w:rsid w:val="00113891"/>
    <w:rsid w:val="00113D49"/>
    <w:rsid w:val="001338AC"/>
    <w:rsid w:val="001362EE"/>
    <w:rsid w:val="00140096"/>
    <w:rsid w:val="00152CEA"/>
    <w:rsid w:val="00157C7C"/>
    <w:rsid w:val="00170C29"/>
    <w:rsid w:val="00175BC2"/>
    <w:rsid w:val="001818DD"/>
    <w:rsid w:val="001832A6"/>
    <w:rsid w:val="00183729"/>
    <w:rsid w:val="0019063F"/>
    <w:rsid w:val="001948DD"/>
    <w:rsid w:val="0019528B"/>
    <w:rsid w:val="00197C37"/>
    <w:rsid w:val="001A2007"/>
    <w:rsid w:val="001D6C39"/>
    <w:rsid w:val="001E508A"/>
    <w:rsid w:val="00201006"/>
    <w:rsid w:val="00203DCD"/>
    <w:rsid w:val="00204A48"/>
    <w:rsid w:val="00206C06"/>
    <w:rsid w:val="00240CE7"/>
    <w:rsid w:val="00251C90"/>
    <w:rsid w:val="00256D21"/>
    <w:rsid w:val="00257F5B"/>
    <w:rsid w:val="002634C4"/>
    <w:rsid w:val="00263760"/>
    <w:rsid w:val="00281646"/>
    <w:rsid w:val="00290E54"/>
    <w:rsid w:val="0029422B"/>
    <w:rsid w:val="002A0402"/>
    <w:rsid w:val="002A1553"/>
    <w:rsid w:val="002C2E2F"/>
    <w:rsid w:val="002C76FC"/>
    <w:rsid w:val="002D23B5"/>
    <w:rsid w:val="002D7A86"/>
    <w:rsid w:val="002E0F47"/>
    <w:rsid w:val="002E3BD5"/>
    <w:rsid w:val="002E4044"/>
    <w:rsid w:val="002F4E68"/>
    <w:rsid w:val="003023DC"/>
    <w:rsid w:val="003066F1"/>
    <w:rsid w:val="00310826"/>
    <w:rsid w:val="003130BD"/>
    <w:rsid w:val="0032795C"/>
    <w:rsid w:val="00334157"/>
    <w:rsid w:val="00340C3D"/>
    <w:rsid w:val="00346F42"/>
    <w:rsid w:val="00354647"/>
    <w:rsid w:val="003550F3"/>
    <w:rsid w:val="00357391"/>
    <w:rsid w:val="00373769"/>
    <w:rsid w:val="00377273"/>
    <w:rsid w:val="003845C1"/>
    <w:rsid w:val="00387287"/>
    <w:rsid w:val="00392F69"/>
    <w:rsid w:val="003A571E"/>
    <w:rsid w:val="003B48BB"/>
    <w:rsid w:val="003C6848"/>
    <w:rsid w:val="003D00F3"/>
    <w:rsid w:val="003E3677"/>
    <w:rsid w:val="003E48F1"/>
    <w:rsid w:val="003F347A"/>
    <w:rsid w:val="003F5DB1"/>
    <w:rsid w:val="00415FE5"/>
    <w:rsid w:val="00423E3E"/>
    <w:rsid w:val="00427AF4"/>
    <w:rsid w:val="004304CA"/>
    <w:rsid w:val="004335F0"/>
    <w:rsid w:val="0045231F"/>
    <w:rsid w:val="00452411"/>
    <w:rsid w:val="00455758"/>
    <w:rsid w:val="004562B7"/>
    <w:rsid w:val="00456515"/>
    <w:rsid w:val="004647DA"/>
    <w:rsid w:val="0046793F"/>
    <w:rsid w:val="00471607"/>
    <w:rsid w:val="004729F2"/>
    <w:rsid w:val="00472A6E"/>
    <w:rsid w:val="00477808"/>
    <w:rsid w:val="00477D6B"/>
    <w:rsid w:val="00481EC5"/>
    <w:rsid w:val="004870DF"/>
    <w:rsid w:val="00496DF5"/>
    <w:rsid w:val="004A4A9B"/>
    <w:rsid w:val="004A6C37"/>
    <w:rsid w:val="004B15CE"/>
    <w:rsid w:val="004B7E75"/>
    <w:rsid w:val="004D084D"/>
    <w:rsid w:val="004D5716"/>
    <w:rsid w:val="004E297D"/>
    <w:rsid w:val="004E4419"/>
    <w:rsid w:val="00502966"/>
    <w:rsid w:val="00506ABB"/>
    <w:rsid w:val="00512BC4"/>
    <w:rsid w:val="005132D3"/>
    <w:rsid w:val="0053148C"/>
    <w:rsid w:val="00531B02"/>
    <w:rsid w:val="005332F0"/>
    <w:rsid w:val="00534956"/>
    <w:rsid w:val="00544333"/>
    <w:rsid w:val="0055013B"/>
    <w:rsid w:val="005542EE"/>
    <w:rsid w:val="00556AB8"/>
    <w:rsid w:val="00570182"/>
    <w:rsid w:val="00571B99"/>
    <w:rsid w:val="005727F3"/>
    <w:rsid w:val="005856FA"/>
    <w:rsid w:val="005903BD"/>
    <w:rsid w:val="005B7B85"/>
    <w:rsid w:val="005C2C40"/>
    <w:rsid w:val="005D55C9"/>
    <w:rsid w:val="005E47D9"/>
    <w:rsid w:val="005E7D11"/>
    <w:rsid w:val="005F4E8D"/>
    <w:rsid w:val="005F6D9A"/>
    <w:rsid w:val="006014DE"/>
    <w:rsid w:val="00605827"/>
    <w:rsid w:val="00605AF6"/>
    <w:rsid w:val="00621195"/>
    <w:rsid w:val="00633150"/>
    <w:rsid w:val="00671BA5"/>
    <w:rsid w:val="00675021"/>
    <w:rsid w:val="006A06C6"/>
    <w:rsid w:val="006D4DFB"/>
    <w:rsid w:val="006F406C"/>
    <w:rsid w:val="0070196D"/>
    <w:rsid w:val="0071132E"/>
    <w:rsid w:val="00717292"/>
    <w:rsid w:val="00720FD9"/>
    <w:rsid w:val="0072236C"/>
    <w:rsid w:val="007224C8"/>
    <w:rsid w:val="007274EB"/>
    <w:rsid w:val="00727BF0"/>
    <w:rsid w:val="00733B52"/>
    <w:rsid w:val="00756A8C"/>
    <w:rsid w:val="00760F48"/>
    <w:rsid w:val="00763D8D"/>
    <w:rsid w:val="00771162"/>
    <w:rsid w:val="00773F7C"/>
    <w:rsid w:val="00783A8E"/>
    <w:rsid w:val="00783B77"/>
    <w:rsid w:val="00791F29"/>
    <w:rsid w:val="00794BE2"/>
    <w:rsid w:val="0079749E"/>
    <w:rsid w:val="00797F34"/>
    <w:rsid w:val="007A4FE4"/>
    <w:rsid w:val="007A5581"/>
    <w:rsid w:val="007A7D8F"/>
    <w:rsid w:val="007B71FE"/>
    <w:rsid w:val="007C7F82"/>
    <w:rsid w:val="007D305E"/>
    <w:rsid w:val="007D5746"/>
    <w:rsid w:val="007D781E"/>
    <w:rsid w:val="007E663E"/>
    <w:rsid w:val="007F2000"/>
    <w:rsid w:val="007F3F52"/>
    <w:rsid w:val="008075AF"/>
    <w:rsid w:val="00815082"/>
    <w:rsid w:val="0082522C"/>
    <w:rsid w:val="00861DF6"/>
    <w:rsid w:val="00862453"/>
    <w:rsid w:val="0087220E"/>
    <w:rsid w:val="008743F2"/>
    <w:rsid w:val="008805F2"/>
    <w:rsid w:val="0088395E"/>
    <w:rsid w:val="00885E18"/>
    <w:rsid w:val="008971A3"/>
    <w:rsid w:val="008B2106"/>
    <w:rsid w:val="008B2CC1"/>
    <w:rsid w:val="008B399B"/>
    <w:rsid w:val="008C112D"/>
    <w:rsid w:val="008D403D"/>
    <w:rsid w:val="008D4B75"/>
    <w:rsid w:val="008E6BD6"/>
    <w:rsid w:val="008F48D9"/>
    <w:rsid w:val="0090731E"/>
    <w:rsid w:val="0091683D"/>
    <w:rsid w:val="0094465E"/>
    <w:rsid w:val="00953F05"/>
    <w:rsid w:val="00961052"/>
    <w:rsid w:val="00966A22"/>
    <w:rsid w:val="00972F03"/>
    <w:rsid w:val="0098367F"/>
    <w:rsid w:val="009A0C8B"/>
    <w:rsid w:val="009A20CD"/>
    <w:rsid w:val="009B1FCF"/>
    <w:rsid w:val="009B61E1"/>
    <w:rsid w:val="009B6241"/>
    <w:rsid w:val="009D3769"/>
    <w:rsid w:val="009D3B1D"/>
    <w:rsid w:val="009E753F"/>
    <w:rsid w:val="009E7738"/>
    <w:rsid w:val="009F1F7F"/>
    <w:rsid w:val="00A00BD1"/>
    <w:rsid w:val="00A11E86"/>
    <w:rsid w:val="00A125AE"/>
    <w:rsid w:val="00A16DB2"/>
    <w:rsid w:val="00A16FC0"/>
    <w:rsid w:val="00A276CB"/>
    <w:rsid w:val="00A32C9E"/>
    <w:rsid w:val="00A337CC"/>
    <w:rsid w:val="00A80916"/>
    <w:rsid w:val="00A83FC3"/>
    <w:rsid w:val="00A94A72"/>
    <w:rsid w:val="00AB314B"/>
    <w:rsid w:val="00AB613D"/>
    <w:rsid w:val="00AC0073"/>
    <w:rsid w:val="00AC2654"/>
    <w:rsid w:val="00AC3356"/>
    <w:rsid w:val="00AE1D4B"/>
    <w:rsid w:val="00AE6139"/>
    <w:rsid w:val="00AE77E9"/>
    <w:rsid w:val="00AE7F20"/>
    <w:rsid w:val="00AF69EB"/>
    <w:rsid w:val="00AF7030"/>
    <w:rsid w:val="00B0076B"/>
    <w:rsid w:val="00B0300F"/>
    <w:rsid w:val="00B12BFD"/>
    <w:rsid w:val="00B245D2"/>
    <w:rsid w:val="00B43175"/>
    <w:rsid w:val="00B43DDA"/>
    <w:rsid w:val="00B4626C"/>
    <w:rsid w:val="00B46FCA"/>
    <w:rsid w:val="00B52C22"/>
    <w:rsid w:val="00B534D5"/>
    <w:rsid w:val="00B56E1A"/>
    <w:rsid w:val="00B65A0A"/>
    <w:rsid w:val="00B67CDC"/>
    <w:rsid w:val="00B72D36"/>
    <w:rsid w:val="00B757AD"/>
    <w:rsid w:val="00B96542"/>
    <w:rsid w:val="00BA3E0B"/>
    <w:rsid w:val="00BC0770"/>
    <w:rsid w:val="00BC1621"/>
    <w:rsid w:val="00BC4164"/>
    <w:rsid w:val="00BD2A45"/>
    <w:rsid w:val="00BD2DCC"/>
    <w:rsid w:val="00BD4D2C"/>
    <w:rsid w:val="00BF5A8E"/>
    <w:rsid w:val="00C15652"/>
    <w:rsid w:val="00C37DEA"/>
    <w:rsid w:val="00C40DFF"/>
    <w:rsid w:val="00C43418"/>
    <w:rsid w:val="00C469C6"/>
    <w:rsid w:val="00C90559"/>
    <w:rsid w:val="00C94972"/>
    <w:rsid w:val="00CA0500"/>
    <w:rsid w:val="00CA2251"/>
    <w:rsid w:val="00CA6B17"/>
    <w:rsid w:val="00CB22DE"/>
    <w:rsid w:val="00CC0C4B"/>
    <w:rsid w:val="00CC2A3C"/>
    <w:rsid w:val="00CC66B2"/>
    <w:rsid w:val="00CD06AB"/>
    <w:rsid w:val="00CE2EAA"/>
    <w:rsid w:val="00CF60AD"/>
    <w:rsid w:val="00D24022"/>
    <w:rsid w:val="00D54E8F"/>
    <w:rsid w:val="00D56C7C"/>
    <w:rsid w:val="00D67799"/>
    <w:rsid w:val="00D71B4D"/>
    <w:rsid w:val="00D74028"/>
    <w:rsid w:val="00D8053F"/>
    <w:rsid w:val="00D90289"/>
    <w:rsid w:val="00D926E9"/>
    <w:rsid w:val="00D93D55"/>
    <w:rsid w:val="00DB02B6"/>
    <w:rsid w:val="00DB2385"/>
    <w:rsid w:val="00DB4647"/>
    <w:rsid w:val="00DC0E28"/>
    <w:rsid w:val="00DC4C60"/>
    <w:rsid w:val="00DD3CE6"/>
    <w:rsid w:val="00DD6CF4"/>
    <w:rsid w:val="00DE6009"/>
    <w:rsid w:val="00DF2850"/>
    <w:rsid w:val="00DF6A21"/>
    <w:rsid w:val="00E0079A"/>
    <w:rsid w:val="00E02F03"/>
    <w:rsid w:val="00E05E44"/>
    <w:rsid w:val="00E2090B"/>
    <w:rsid w:val="00E42070"/>
    <w:rsid w:val="00E444DA"/>
    <w:rsid w:val="00E45C84"/>
    <w:rsid w:val="00E504E5"/>
    <w:rsid w:val="00E67F7C"/>
    <w:rsid w:val="00E72224"/>
    <w:rsid w:val="00E77FCD"/>
    <w:rsid w:val="00EA5F37"/>
    <w:rsid w:val="00EB0D93"/>
    <w:rsid w:val="00EB7A3E"/>
    <w:rsid w:val="00EC1AA7"/>
    <w:rsid w:val="00EC401A"/>
    <w:rsid w:val="00EC657B"/>
    <w:rsid w:val="00ED0AE8"/>
    <w:rsid w:val="00ED43AD"/>
    <w:rsid w:val="00ED53BA"/>
    <w:rsid w:val="00ED5F1A"/>
    <w:rsid w:val="00EF530A"/>
    <w:rsid w:val="00EF6622"/>
    <w:rsid w:val="00EF78A9"/>
    <w:rsid w:val="00F0095E"/>
    <w:rsid w:val="00F304F3"/>
    <w:rsid w:val="00F328B5"/>
    <w:rsid w:val="00F55408"/>
    <w:rsid w:val="00F57FFD"/>
    <w:rsid w:val="00F65B46"/>
    <w:rsid w:val="00F66152"/>
    <w:rsid w:val="00F70D62"/>
    <w:rsid w:val="00F70DB5"/>
    <w:rsid w:val="00F76C40"/>
    <w:rsid w:val="00F80845"/>
    <w:rsid w:val="00F84474"/>
    <w:rsid w:val="00F86BFA"/>
    <w:rsid w:val="00F94094"/>
    <w:rsid w:val="00FA0F0D"/>
    <w:rsid w:val="00FA34C8"/>
    <w:rsid w:val="00FB7F44"/>
    <w:rsid w:val="00FD0C24"/>
    <w:rsid w:val="00FD59D1"/>
    <w:rsid w:val="00FE7116"/>
    <w:rsid w:val="00FF79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7B968"/>
  <w15:docId w15:val="{B040795C-0D14-4020-B8D0-5C43EA64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4304C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4304C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4304CA"/>
    <w:rPr>
      <w:rFonts w:ascii="Arial" w:eastAsia="SimSun" w:hAnsi="Arial" w:cs="Arial"/>
      <w:bCs/>
      <w:i/>
      <w:sz w:val="22"/>
      <w:szCs w:val="28"/>
      <w:lang w:val="es-ES" w:eastAsia="zh-CN"/>
    </w:rPr>
  </w:style>
  <w:style w:type="character" w:customStyle="1" w:styleId="HeaderChar">
    <w:name w:val="Header Char"/>
    <w:basedOn w:val="DefaultParagraphFont"/>
    <w:link w:val="Header"/>
    <w:rsid w:val="004304CA"/>
    <w:rPr>
      <w:rFonts w:ascii="Arial" w:eastAsia="SimSun" w:hAnsi="Arial" w:cs="Arial"/>
      <w:sz w:val="22"/>
      <w:lang w:val="es-ES" w:eastAsia="zh-CN"/>
    </w:rPr>
  </w:style>
  <w:style w:type="character" w:customStyle="1" w:styleId="FooterChar">
    <w:name w:val="Footer Char"/>
    <w:basedOn w:val="DefaultParagraphFont"/>
    <w:link w:val="Footer"/>
    <w:semiHidden/>
    <w:rsid w:val="004304CA"/>
    <w:rPr>
      <w:rFonts w:ascii="Arial" w:eastAsia="SimSun" w:hAnsi="Arial" w:cs="Arial"/>
      <w:sz w:val="22"/>
      <w:lang w:val="es-ES" w:eastAsia="zh-CN"/>
    </w:rPr>
  </w:style>
  <w:style w:type="character" w:customStyle="1" w:styleId="SalutationChar">
    <w:name w:val="Salutation Char"/>
    <w:basedOn w:val="DefaultParagraphFont"/>
    <w:link w:val="Salutation"/>
    <w:semiHidden/>
    <w:rsid w:val="004304CA"/>
    <w:rPr>
      <w:rFonts w:ascii="Arial" w:eastAsia="SimSun" w:hAnsi="Arial" w:cs="Arial"/>
      <w:sz w:val="22"/>
      <w:lang w:val="es-ES" w:eastAsia="zh-CN"/>
    </w:rPr>
  </w:style>
  <w:style w:type="character" w:customStyle="1" w:styleId="SignatureChar">
    <w:name w:val="Signature Char"/>
    <w:basedOn w:val="DefaultParagraphFont"/>
    <w:link w:val="Signature"/>
    <w:semiHidden/>
    <w:rsid w:val="004304CA"/>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304CA"/>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4304CA"/>
    <w:rPr>
      <w:rFonts w:ascii="Arial" w:eastAsia="SimSun" w:hAnsi="Arial" w:cs="Arial"/>
      <w:sz w:val="18"/>
      <w:lang w:val="es-ES" w:eastAsia="zh-CN"/>
    </w:rPr>
  </w:style>
  <w:style w:type="character" w:customStyle="1" w:styleId="CommentTextChar">
    <w:name w:val="Comment Text Char"/>
    <w:basedOn w:val="DefaultParagraphFont"/>
    <w:semiHidden/>
    <w:rsid w:val="004304CA"/>
    <w:rPr>
      <w:rFonts w:ascii="Arial" w:eastAsia="Arial" w:hAnsi="Arial" w:cs="Arial"/>
      <w:sz w:val="18"/>
      <w:szCs w:val="22"/>
    </w:rPr>
  </w:style>
  <w:style w:type="character" w:customStyle="1" w:styleId="BodyTextChar">
    <w:name w:val="Body Text Char"/>
    <w:basedOn w:val="DefaultParagraphFont"/>
    <w:link w:val="BodyText"/>
    <w:uiPriority w:val="1"/>
    <w:rsid w:val="004304CA"/>
    <w:rPr>
      <w:rFonts w:ascii="Arial" w:eastAsia="SimSun" w:hAnsi="Arial" w:cs="Arial"/>
      <w:sz w:val="22"/>
      <w:lang w:val="es-ES" w:eastAsia="zh-CN"/>
    </w:rPr>
  </w:style>
  <w:style w:type="paragraph" w:customStyle="1" w:styleId="TableParagraph">
    <w:name w:val="Table Paragraph"/>
    <w:basedOn w:val="Normal"/>
    <w:uiPriority w:val="1"/>
    <w:qFormat/>
    <w:rsid w:val="004304CA"/>
    <w:pPr>
      <w:widowControl w:val="0"/>
      <w:autoSpaceDE w:val="0"/>
      <w:autoSpaceDN w:val="0"/>
    </w:pPr>
    <w:rPr>
      <w:rFonts w:eastAsia="Arial"/>
      <w:szCs w:val="22"/>
      <w:lang w:val="en-US" w:eastAsia="en-US"/>
    </w:rPr>
  </w:style>
  <w:style w:type="character" w:styleId="Hyperlink">
    <w:name w:val="Hyperlink"/>
    <w:basedOn w:val="DefaultParagraphFont"/>
    <w:unhideWhenUsed/>
    <w:rsid w:val="004304CA"/>
    <w:rPr>
      <w:color w:val="0000FF" w:themeColor="hyperlink"/>
      <w:u w:val="single"/>
    </w:rPr>
  </w:style>
  <w:style w:type="paragraph" w:customStyle="1" w:styleId="Endofdocument">
    <w:name w:val="End of document"/>
    <w:basedOn w:val="Normal"/>
    <w:rsid w:val="004304CA"/>
    <w:pPr>
      <w:spacing w:line="260" w:lineRule="atLeast"/>
      <w:ind w:left="5534"/>
    </w:pPr>
    <w:rPr>
      <w:rFonts w:eastAsia="Times New Roman" w:cs="Times New Roman"/>
      <w:lang w:val="en-US" w:eastAsia="en-US"/>
    </w:rPr>
  </w:style>
  <w:style w:type="paragraph" w:customStyle="1" w:styleId="Default">
    <w:name w:val="Default"/>
    <w:rsid w:val="004304CA"/>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4304CA"/>
    <w:rPr>
      <w:rFonts w:ascii="Arial" w:eastAsia="SimSun" w:hAnsi="Arial" w:cs="Arial"/>
      <w:sz w:val="22"/>
      <w:lang w:val="en-US" w:eastAsia="zh-CN"/>
    </w:rPr>
  </w:style>
  <w:style w:type="character" w:styleId="FootnoteReference">
    <w:name w:val="footnote reference"/>
    <w:rsid w:val="004304CA"/>
    <w:rPr>
      <w:rFonts w:cs="Times New Roman"/>
      <w:vertAlign w:val="superscript"/>
    </w:rPr>
  </w:style>
  <w:style w:type="character" w:styleId="FollowedHyperlink">
    <w:name w:val="FollowedHyperlink"/>
    <w:basedOn w:val="DefaultParagraphFont"/>
    <w:semiHidden/>
    <w:unhideWhenUsed/>
    <w:rsid w:val="004304CA"/>
    <w:rPr>
      <w:color w:val="800080" w:themeColor="followedHyperlink"/>
      <w:u w:val="single"/>
    </w:rPr>
  </w:style>
  <w:style w:type="paragraph" w:styleId="BalloonText">
    <w:name w:val="Balloon Text"/>
    <w:basedOn w:val="Normal"/>
    <w:link w:val="BalloonTextChar"/>
    <w:semiHidden/>
    <w:unhideWhenUsed/>
    <w:rsid w:val="004304CA"/>
    <w:pPr>
      <w:widowControl w:val="0"/>
      <w:autoSpaceDE w:val="0"/>
      <w:autoSpaceDN w:val="0"/>
    </w:pPr>
    <w:rPr>
      <w:rFonts w:ascii="Segoe UI" w:eastAsia="Arial" w:hAnsi="Segoe UI" w:cs="Segoe UI"/>
      <w:sz w:val="18"/>
      <w:szCs w:val="18"/>
      <w:lang w:val="en-US" w:eastAsia="en-US"/>
    </w:rPr>
  </w:style>
  <w:style w:type="character" w:customStyle="1" w:styleId="BalloonTextChar">
    <w:name w:val="Balloon Text Char"/>
    <w:basedOn w:val="DefaultParagraphFont"/>
    <w:link w:val="BalloonText"/>
    <w:semiHidden/>
    <w:rsid w:val="004304CA"/>
    <w:rPr>
      <w:rFonts w:ascii="Segoe UI" w:eastAsia="Arial" w:hAnsi="Segoe UI" w:cs="Segoe UI"/>
      <w:sz w:val="18"/>
      <w:szCs w:val="18"/>
      <w:lang w:val="en-US" w:eastAsia="en-US"/>
    </w:rPr>
  </w:style>
  <w:style w:type="paragraph" w:styleId="ListParagraph">
    <w:name w:val="List Paragraph"/>
    <w:basedOn w:val="Normal"/>
    <w:uiPriority w:val="34"/>
    <w:qFormat/>
    <w:rsid w:val="004304CA"/>
    <w:pPr>
      <w:spacing w:line="260" w:lineRule="atLeast"/>
      <w:ind w:left="720"/>
      <w:contextualSpacing/>
    </w:pPr>
    <w:rPr>
      <w:rFonts w:eastAsia="Times New Roman" w:cs="Times New Roman"/>
      <w:lang w:val="en-US" w:eastAsia="en-US"/>
    </w:rPr>
  </w:style>
  <w:style w:type="character" w:styleId="CommentReference">
    <w:name w:val="annotation reference"/>
    <w:basedOn w:val="DefaultParagraphFont"/>
    <w:semiHidden/>
    <w:unhideWhenUsed/>
    <w:rsid w:val="004304CA"/>
    <w:rPr>
      <w:sz w:val="16"/>
      <w:szCs w:val="16"/>
    </w:rPr>
  </w:style>
  <w:style w:type="paragraph" w:styleId="CommentSubject">
    <w:name w:val="annotation subject"/>
    <w:basedOn w:val="CommentText"/>
    <w:next w:val="CommentText"/>
    <w:link w:val="CommentSubjectChar"/>
    <w:semiHidden/>
    <w:unhideWhenUsed/>
    <w:rsid w:val="004304CA"/>
    <w:pPr>
      <w:widowControl w:val="0"/>
      <w:autoSpaceDE w:val="0"/>
      <w:autoSpaceDN w:val="0"/>
    </w:pPr>
    <w:rPr>
      <w:rFonts w:eastAsia="Arial"/>
      <w:b/>
      <w:bCs/>
      <w:sz w:val="20"/>
      <w:lang w:val="en-US" w:eastAsia="en-US"/>
    </w:rPr>
  </w:style>
  <w:style w:type="character" w:customStyle="1" w:styleId="CommentTextChar1">
    <w:name w:val="Comment Text Char1"/>
    <w:basedOn w:val="DefaultParagraphFont"/>
    <w:link w:val="CommentText"/>
    <w:semiHidden/>
    <w:rsid w:val="004304CA"/>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4304CA"/>
    <w:rPr>
      <w:rFonts w:ascii="Arial" w:eastAsia="Arial" w:hAnsi="Arial" w:cs="Arial"/>
      <w:b/>
      <w:bCs/>
      <w:sz w:val="18"/>
      <w:lang w:val="en-US" w:eastAsia="en-US"/>
    </w:rPr>
  </w:style>
  <w:style w:type="character" w:customStyle="1" w:styleId="UnresolvedMention">
    <w:name w:val="Unresolved Mention"/>
    <w:basedOn w:val="DefaultParagraphFont"/>
    <w:uiPriority w:val="99"/>
    <w:semiHidden/>
    <w:unhideWhenUsed/>
    <w:rsid w:val="00A94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wipo.int/export/sites/www/ip-development/en/agenda/pdf/wipo_iprs_mobile_apps.pdf" TargetMode="External"/><Relationship Id="rId26" Type="http://schemas.openxmlformats.org/officeDocument/2006/relationships/hyperlink" Target="https://www.wipo.int/export/sites/www/ip-development/en/agenda/pdf/wipo-guide-data-protection-mobile-apps.pdf" TargetMode="External"/><Relationship Id="rId3" Type="http://schemas.openxmlformats.org/officeDocument/2006/relationships/styles" Target="styles.xml"/><Relationship Id="rId21" Type="http://schemas.openxmlformats.org/officeDocument/2006/relationships/hyperlink" Target="https://www.wipo.int/ip-development/es/agenda/ip_mobile_apps/index.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publications/en/details.jsp?id=4569" TargetMode="External"/><Relationship Id="rId25" Type="http://schemas.openxmlformats.org/officeDocument/2006/relationships/hyperlink" Target="https://www.wipo.int/export/sites/www/ip-development/en/agenda/pdf/wipo-tool-open-source.pdf" TargetMode="External"/><Relationship Id="rId2" Type="http://schemas.openxmlformats.org/officeDocument/2006/relationships/numbering" Target="numbering.xml"/><Relationship Id="rId16" Type="http://schemas.openxmlformats.org/officeDocument/2006/relationships/hyperlink" Target="https://www.wipo.int/export/sites/www/ip-development/en/agenda/pdf/scoping_study_mobile_apps.pdf" TargetMode="External"/><Relationship Id="rId20" Type="http://schemas.openxmlformats.org/officeDocument/2006/relationships/hyperlink" Target="https://www.wipo.int/export/sites/www/ip-development/en/agenda/pdf/wipo_disputes_guide_mobile_app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export/sites/www/ip-development/en/agenda/pdf/wipo-tool-financing-mobile-apps.pdf" TargetMode="External"/><Relationship Id="rId5" Type="http://schemas.openxmlformats.org/officeDocument/2006/relationships/webSettings" Target="webSettings.xml"/><Relationship Id="rId15" Type="http://schemas.openxmlformats.org/officeDocument/2006/relationships/hyperlink" Target="https://www.wipo.int/ip-development/es/agenda/ip_mobile_apps/index.html" TargetMode="External"/><Relationship Id="rId23" Type="http://schemas.openxmlformats.org/officeDocument/2006/relationships/hyperlink" Target="https://cdip-appsform.wipo.int/"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wipo.int/export/sites/www/ip-development/en/agenda/pdf/wipo_handbook_key_contracts_mobile_app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ipo.int/export/sites/www/ip-development/en/agenda/pdf/wipo_ip_toolbox_mobile_apps.pdf" TargetMode="External"/><Relationship Id="rId27" Type="http://schemas.openxmlformats.org/officeDocument/2006/relationships/header" Target="header4.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5FA4B-99DE-4594-B6C1-01C1412B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(S)</Template>
  <TotalTime>10</TotalTime>
  <Pages>19</Pages>
  <Words>5633</Words>
  <Characters>30676</Characters>
  <Application>Microsoft Office Word</Application>
  <DocSecurity>0</DocSecurity>
  <Lines>1273</Lines>
  <Paragraphs>254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CDIP/28/7</vt:lpstr>
      <vt:lpstr>CDIP/28/7</vt:lpstr>
    </vt:vector>
  </TitlesOfParts>
  <Company>WIPO</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CDIP/28/7</dc:title>
  <dc:creator>CEVALLOS DUQUE Nilo</dc:creator>
  <cp:keywords>FOR OFFICIAL USE ONLY</cp:keywords>
  <cp:lastModifiedBy>ESTEVES DOS SANTOS Anabela</cp:lastModifiedBy>
  <cp:revision>7</cp:revision>
  <dcterms:created xsi:type="dcterms:W3CDTF">2022-03-30T15:23:00Z</dcterms:created>
  <dcterms:modified xsi:type="dcterms:W3CDTF">2022-04-06T12:57:00Z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c43cccb8-69e5-4c2e-a016-bad6c4f69192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