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F69A3" w:rsidRDefault="00BE577A" w:rsidP="000F7A05">
      <w:pPr>
        <w:pBdr>
          <w:bottom w:val="single" w:sz="4" w:space="11" w:color="auto"/>
        </w:pBdr>
        <w:spacing w:after="120"/>
        <w:ind w:right="-57"/>
        <w:jc w:val="right"/>
      </w:pPr>
      <w:r w:rsidRPr="00FF69A3">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FF69A3" w:rsidRDefault="00BE577A" w:rsidP="00472A6E">
      <w:pPr>
        <w:jc w:val="right"/>
        <w:rPr>
          <w:rFonts w:ascii="Arial Black" w:hAnsi="Arial Black"/>
          <w:caps/>
          <w:sz w:val="15"/>
        </w:rPr>
      </w:pPr>
      <w:r w:rsidRPr="00FF69A3">
        <w:rPr>
          <w:rFonts w:ascii="Arial Black" w:eastAsia="Arial Black" w:hAnsi="Arial Black"/>
          <w:caps/>
          <w:sz w:val="15"/>
          <w:szCs w:val="15"/>
        </w:rPr>
        <w:t>cdip/28/</w:t>
      </w:r>
      <w:bookmarkStart w:id="0" w:name="Code"/>
      <w:bookmarkEnd w:id="0"/>
      <w:r w:rsidRPr="00FF69A3">
        <w:rPr>
          <w:rFonts w:ascii="Arial Black" w:eastAsia="Arial Black" w:hAnsi="Arial Black"/>
          <w:caps/>
          <w:sz w:val="15"/>
          <w:szCs w:val="15"/>
        </w:rPr>
        <w:t>3</w:t>
      </w:r>
    </w:p>
    <w:p w:rsidR="008B2CC1" w:rsidRPr="00FF69A3" w:rsidRDefault="00BE577A" w:rsidP="00472A6E">
      <w:pPr>
        <w:jc w:val="right"/>
      </w:pPr>
      <w:r w:rsidRPr="00FF69A3">
        <w:rPr>
          <w:rFonts w:ascii="Arial Black" w:eastAsia="Arial Black" w:hAnsi="Arial Black"/>
          <w:caps/>
          <w:sz w:val="15"/>
          <w:szCs w:val="15"/>
        </w:rPr>
        <w:t>ORIGINAL:</w:t>
      </w:r>
      <w:bookmarkStart w:id="1" w:name="Original"/>
      <w:r w:rsidRPr="00FF69A3">
        <w:rPr>
          <w:rFonts w:ascii="Arial Black" w:eastAsia="Arial Black" w:hAnsi="Arial Black"/>
          <w:caps/>
          <w:sz w:val="15"/>
          <w:szCs w:val="15"/>
        </w:rPr>
        <w:t xml:space="preserve"> INGLÉS</w:t>
      </w:r>
    </w:p>
    <w:bookmarkEnd w:id="1"/>
    <w:p w:rsidR="008B2CC1" w:rsidRPr="00FF69A3" w:rsidRDefault="00BE577A" w:rsidP="00472A6E">
      <w:pPr>
        <w:spacing w:after="1200"/>
        <w:jc w:val="right"/>
      </w:pPr>
      <w:r w:rsidRPr="00FF69A3">
        <w:rPr>
          <w:rFonts w:ascii="Arial Black" w:eastAsia="Arial Black" w:hAnsi="Arial Black"/>
          <w:caps/>
          <w:sz w:val="15"/>
          <w:szCs w:val="15"/>
        </w:rPr>
        <w:t>fecha:</w:t>
      </w:r>
      <w:bookmarkStart w:id="2" w:name="Date"/>
      <w:r w:rsidR="004A530A" w:rsidRPr="00FF69A3">
        <w:rPr>
          <w:rFonts w:ascii="Arial Black" w:eastAsia="Arial Black" w:hAnsi="Arial Black"/>
          <w:caps/>
          <w:sz w:val="15"/>
          <w:szCs w:val="15"/>
        </w:rPr>
        <w:t> 4</w:t>
      </w:r>
      <w:r w:rsidRPr="00FF69A3">
        <w:rPr>
          <w:rFonts w:ascii="Arial Black" w:eastAsia="Arial Black" w:hAnsi="Arial Black"/>
          <w:caps/>
          <w:sz w:val="15"/>
          <w:szCs w:val="15"/>
        </w:rPr>
        <w:t xml:space="preserve"> DE MARZO DE</w:t>
      </w:r>
      <w:r w:rsidR="004A530A" w:rsidRPr="00FF69A3">
        <w:rPr>
          <w:rFonts w:ascii="Arial Black" w:eastAsia="Arial Black" w:hAnsi="Arial Black"/>
          <w:caps/>
          <w:sz w:val="15"/>
          <w:szCs w:val="15"/>
        </w:rPr>
        <w:t> 2</w:t>
      </w:r>
      <w:r w:rsidRPr="00FF69A3">
        <w:rPr>
          <w:rFonts w:ascii="Arial Black" w:eastAsia="Arial Black" w:hAnsi="Arial Black"/>
          <w:caps/>
          <w:sz w:val="15"/>
          <w:szCs w:val="15"/>
        </w:rPr>
        <w:t>022</w:t>
      </w:r>
    </w:p>
    <w:bookmarkEnd w:id="2"/>
    <w:p w:rsidR="00281646" w:rsidRPr="00FF69A3" w:rsidRDefault="00BE577A" w:rsidP="00671BA5">
      <w:pPr>
        <w:pStyle w:val="Heading1"/>
        <w:spacing w:before="0" w:after="600"/>
        <w:rPr>
          <w:sz w:val="28"/>
        </w:rPr>
      </w:pPr>
      <w:r w:rsidRPr="00FF69A3">
        <w:rPr>
          <w:rFonts w:eastAsia="Arial"/>
          <w:caps w:val="0"/>
          <w:sz w:val="28"/>
          <w:szCs w:val="28"/>
        </w:rPr>
        <w:t>Comité de Desarrollo y Propiedad Intelectual</w:t>
      </w:r>
      <w:r w:rsidRPr="00FF69A3">
        <w:rPr>
          <w:rFonts w:eastAsia="Arial"/>
          <w:sz w:val="28"/>
          <w:szCs w:val="28"/>
        </w:rPr>
        <w:t xml:space="preserve"> (CDIP)</w:t>
      </w:r>
    </w:p>
    <w:p w:rsidR="007C0797" w:rsidRPr="00FF69A3" w:rsidRDefault="00BE577A" w:rsidP="007C0797">
      <w:pPr>
        <w:outlineLvl w:val="1"/>
        <w:rPr>
          <w:b/>
          <w:color w:val="000000"/>
          <w:sz w:val="24"/>
          <w:szCs w:val="24"/>
          <w:shd w:val="clear" w:color="auto" w:fill="FFFFFF"/>
        </w:rPr>
      </w:pPr>
      <w:r w:rsidRPr="00FF69A3">
        <w:rPr>
          <w:rFonts w:eastAsia="Arial"/>
          <w:b/>
          <w:bCs/>
          <w:color w:val="000000"/>
          <w:sz w:val="24"/>
          <w:szCs w:val="24"/>
          <w:shd w:val="clear" w:color="auto" w:fill="FFFFFF"/>
        </w:rPr>
        <w:t>Vigesimoctava sesión</w:t>
      </w:r>
    </w:p>
    <w:p w:rsidR="000F7A05" w:rsidRPr="00FF69A3" w:rsidRDefault="00BE577A" w:rsidP="000F7A05">
      <w:pPr>
        <w:spacing w:after="720"/>
        <w:outlineLvl w:val="1"/>
        <w:rPr>
          <w:b/>
          <w:sz w:val="24"/>
          <w:szCs w:val="24"/>
        </w:rPr>
      </w:pPr>
      <w:r w:rsidRPr="00FF69A3">
        <w:rPr>
          <w:rFonts w:eastAsia="Arial"/>
          <w:b/>
          <w:bCs/>
          <w:sz w:val="24"/>
          <w:szCs w:val="24"/>
        </w:rPr>
        <w:t>Ginebra,</w:t>
      </w:r>
      <w:r w:rsidR="004A530A" w:rsidRPr="00FF69A3">
        <w:rPr>
          <w:rFonts w:eastAsia="Arial"/>
          <w:b/>
          <w:bCs/>
          <w:sz w:val="24"/>
          <w:szCs w:val="24"/>
        </w:rPr>
        <w:t> 1</w:t>
      </w:r>
      <w:r w:rsidRPr="00FF69A3">
        <w:rPr>
          <w:rFonts w:eastAsia="Arial"/>
          <w:b/>
          <w:bCs/>
          <w:sz w:val="24"/>
          <w:szCs w:val="24"/>
        </w:rPr>
        <w:t>6 a</w:t>
      </w:r>
      <w:r w:rsidR="004A530A" w:rsidRPr="00FF69A3">
        <w:rPr>
          <w:rFonts w:eastAsia="Arial"/>
          <w:b/>
          <w:bCs/>
          <w:sz w:val="24"/>
          <w:szCs w:val="24"/>
        </w:rPr>
        <w:t> 2</w:t>
      </w:r>
      <w:r w:rsidRPr="00FF69A3">
        <w:rPr>
          <w:rFonts w:eastAsia="Arial"/>
          <w:b/>
          <w:bCs/>
          <w:sz w:val="24"/>
          <w:szCs w:val="24"/>
        </w:rPr>
        <w:t>0 de mayo de</w:t>
      </w:r>
      <w:r w:rsidR="004A530A" w:rsidRPr="00FF69A3">
        <w:rPr>
          <w:rFonts w:eastAsia="Arial"/>
          <w:b/>
          <w:bCs/>
          <w:sz w:val="24"/>
          <w:szCs w:val="24"/>
        </w:rPr>
        <w:t> 2</w:t>
      </w:r>
      <w:r w:rsidRPr="00FF69A3">
        <w:rPr>
          <w:rFonts w:eastAsia="Arial"/>
          <w:b/>
          <w:bCs/>
          <w:sz w:val="24"/>
          <w:szCs w:val="24"/>
        </w:rPr>
        <w:t>022</w:t>
      </w:r>
    </w:p>
    <w:p w:rsidR="008B2CC1" w:rsidRPr="00FF69A3" w:rsidRDefault="00BE577A" w:rsidP="007A7D8F">
      <w:pPr>
        <w:spacing w:after="360"/>
        <w:rPr>
          <w:caps/>
          <w:sz w:val="24"/>
        </w:rPr>
      </w:pPr>
      <w:bookmarkStart w:id="3" w:name="TitleOfDoc"/>
      <w:bookmarkEnd w:id="3"/>
      <w:r w:rsidRPr="00FF69A3">
        <w:rPr>
          <w:rFonts w:eastAsia="Arial"/>
          <w:caps/>
          <w:szCs w:val="22"/>
        </w:rPr>
        <w:t>INFORME RELATIVO A LA CONFERENCIA INTERNACIONAL SOBRE PROPIEDAD INTELECTUAL Y DESARROLLO: INNOVACIÓN EN TECNOLOGÍAS ECOLÓGICAS PARA EL DESARROLLO SOSTENIBLE (22-23 DE NOVIEMBRE DE</w:t>
      </w:r>
      <w:r w:rsidR="004A530A" w:rsidRPr="00FF69A3">
        <w:rPr>
          <w:rFonts w:eastAsia="Arial"/>
          <w:caps/>
          <w:szCs w:val="22"/>
        </w:rPr>
        <w:t> 2</w:t>
      </w:r>
      <w:r w:rsidRPr="00FF69A3">
        <w:rPr>
          <w:rFonts w:eastAsia="Arial"/>
          <w:caps/>
          <w:szCs w:val="22"/>
        </w:rPr>
        <w:t>021)</w:t>
      </w:r>
    </w:p>
    <w:p w:rsidR="008B2CC1" w:rsidRPr="00FF69A3" w:rsidRDefault="00BE577A" w:rsidP="00EA5F37">
      <w:pPr>
        <w:spacing w:after="960"/>
        <w:rPr>
          <w:i/>
        </w:rPr>
      </w:pPr>
      <w:bookmarkStart w:id="4" w:name="Prepared"/>
      <w:bookmarkEnd w:id="4"/>
      <w:r w:rsidRPr="00FF69A3">
        <w:rPr>
          <w:rFonts w:eastAsia="Arial"/>
          <w:i/>
          <w:iCs/>
          <w:szCs w:val="22"/>
        </w:rPr>
        <w:t>preparado por la Secretaría</w:t>
      </w:r>
    </w:p>
    <w:p w:rsidR="007C0797" w:rsidRPr="00FF69A3" w:rsidRDefault="00BE577A" w:rsidP="00F165D6">
      <w:pPr>
        <w:pStyle w:val="ListParagraph"/>
        <w:numPr>
          <w:ilvl w:val="0"/>
          <w:numId w:val="7"/>
        </w:numPr>
        <w:tabs>
          <w:tab w:val="left" w:pos="0"/>
        </w:tabs>
        <w:spacing w:afterLines="80" w:after="192"/>
        <w:ind w:left="0" w:firstLine="0"/>
        <w:rPr>
          <w:lang w:val="es-ES"/>
        </w:rPr>
      </w:pPr>
      <w:r w:rsidRPr="00FF69A3">
        <w:rPr>
          <w:rFonts w:eastAsia="Arial"/>
          <w:szCs w:val="22"/>
          <w:lang w:val="es-ES"/>
        </w:rPr>
        <w:t>El Comité sobre Desarrollo y Propiedad Intelectual (CDIP), en su</w:t>
      </w:r>
      <w:r w:rsidR="004A530A" w:rsidRPr="00FF69A3">
        <w:rPr>
          <w:rFonts w:eastAsia="Arial"/>
          <w:szCs w:val="22"/>
          <w:lang w:val="es-ES"/>
        </w:rPr>
        <w:t> 2</w:t>
      </w:r>
      <w:r w:rsidRPr="00FF69A3">
        <w:rPr>
          <w:rFonts w:eastAsia="Arial"/>
          <w:szCs w:val="22"/>
          <w:lang w:val="es-ES"/>
        </w:rPr>
        <w:t>2.ª sesión, decidió convocar, a partir de la</w:t>
      </w:r>
      <w:r w:rsidR="004A530A" w:rsidRPr="00FF69A3">
        <w:rPr>
          <w:rFonts w:eastAsia="Arial"/>
          <w:szCs w:val="22"/>
          <w:lang w:val="es-ES"/>
        </w:rPr>
        <w:t> 2</w:t>
      </w:r>
      <w:r w:rsidRPr="00FF69A3">
        <w:rPr>
          <w:rFonts w:eastAsia="Arial"/>
          <w:szCs w:val="22"/>
          <w:lang w:val="es-ES"/>
        </w:rPr>
        <w:t>3.ª sesión, tres conferencias internacionales consecutivas, de un día de duración, sobre la propiedad intelectual (PI) y el desarrollo.</w:t>
      </w:r>
      <w:r w:rsidRPr="00FF69A3">
        <w:rPr>
          <w:rStyle w:val="FootnoteReference"/>
          <w:lang w:val="es-ES"/>
        </w:rPr>
        <w:footnoteReference w:id="2"/>
      </w:r>
      <w:r w:rsidRPr="00FF69A3">
        <w:rPr>
          <w:rFonts w:eastAsia="Arial"/>
          <w:szCs w:val="22"/>
          <w:lang w:val="es-ES"/>
        </w:rPr>
        <w:t xml:space="preserve"> La primera de estas conferencias se celebró el</w:t>
      </w:r>
      <w:r w:rsidR="004A530A" w:rsidRPr="00FF69A3">
        <w:rPr>
          <w:rFonts w:eastAsia="Arial"/>
          <w:szCs w:val="22"/>
          <w:lang w:val="es-ES"/>
        </w:rPr>
        <w:t> 2</w:t>
      </w:r>
      <w:r w:rsidRPr="00FF69A3">
        <w:rPr>
          <w:rFonts w:eastAsia="Arial"/>
          <w:szCs w:val="22"/>
          <w:lang w:val="es-ES"/>
        </w:rPr>
        <w:t>0 de mayo de</w:t>
      </w:r>
      <w:r w:rsidR="004A530A" w:rsidRPr="00FF69A3">
        <w:rPr>
          <w:rFonts w:eastAsia="Arial"/>
          <w:szCs w:val="22"/>
          <w:lang w:val="es-ES"/>
        </w:rPr>
        <w:t> 2</w:t>
      </w:r>
      <w:r w:rsidRPr="00FF69A3">
        <w:rPr>
          <w:rFonts w:eastAsia="Arial"/>
          <w:szCs w:val="22"/>
          <w:lang w:val="es-ES"/>
        </w:rPr>
        <w:t>019, el primer día de la</w:t>
      </w:r>
      <w:r w:rsidR="004A530A" w:rsidRPr="00FF69A3">
        <w:rPr>
          <w:rFonts w:eastAsia="Arial"/>
          <w:szCs w:val="22"/>
          <w:lang w:val="es-ES"/>
        </w:rPr>
        <w:t> 2</w:t>
      </w:r>
      <w:r w:rsidRPr="00FF69A3">
        <w:rPr>
          <w:rFonts w:eastAsia="Arial"/>
          <w:szCs w:val="22"/>
          <w:lang w:val="es-ES"/>
        </w:rPr>
        <w:t xml:space="preserve">3.ª sesión del CDIP, bajo el título </w:t>
      </w:r>
      <w:r w:rsidR="004A530A" w:rsidRPr="00FF69A3">
        <w:rPr>
          <w:rFonts w:eastAsia="Arial"/>
          <w:szCs w:val="22"/>
          <w:lang w:val="es-ES"/>
        </w:rPr>
        <w:t>“</w:t>
      </w:r>
      <w:r w:rsidRPr="00FF69A3">
        <w:rPr>
          <w:rFonts w:eastAsia="Arial"/>
          <w:szCs w:val="22"/>
          <w:lang w:val="es-ES"/>
        </w:rPr>
        <w:t>Propiedad intelectual y desarrollo: Cómo beneficiarse del sistema de PI</w:t>
      </w:r>
      <w:r w:rsidR="004A530A" w:rsidRPr="00FF69A3">
        <w:rPr>
          <w:rFonts w:eastAsia="Arial"/>
          <w:szCs w:val="22"/>
          <w:lang w:val="es-ES"/>
        </w:rPr>
        <w:t>”</w:t>
      </w:r>
      <w:r w:rsidRPr="00FF69A3">
        <w:rPr>
          <w:rFonts w:eastAsia="Arial"/>
          <w:szCs w:val="22"/>
          <w:lang w:val="es-ES"/>
        </w:rPr>
        <w:t>. En la</w:t>
      </w:r>
      <w:r w:rsidR="004A530A" w:rsidRPr="00FF69A3">
        <w:rPr>
          <w:rFonts w:eastAsia="Arial"/>
          <w:szCs w:val="22"/>
          <w:lang w:val="es-ES"/>
        </w:rPr>
        <w:t> 2</w:t>
      </w:r>
      <w:r w:rsidRPr="00FF69A3">
        <w:rPr>
          <w:rFonts w:eastAsia="Arial"/>
          <w:szCs w:val="22"/>
          <w:lang w:val="es-ES"/>
        </w:rPr>
        <w:t xml:space="preserve">4.ª sesión del Comité se presentó un informe detallado (documento </w:t>
      </w:r>
      <w:hyperlink r:id="rId9" w:history="1">
        <w:r w:rsidRPr="00FF69A3">
          <w:rPr>
            <w:rFonts w:eastAsia="Arial"/>
            <w:color w:val="0000FF"/>
            <w:szCs w:val="22"/>
            <w:u w:val="single"/>
            <w:lang w:val="es-ES"/>
          </w:rPr>
          <w:t>CDIP/24/5</w:t>
        </w:r>
      </w:hyperlink>
      <w:r w:rsidRPr="00FF69A3">
        <w:rPr>
          <w:rFonts w:eastAsia="Arial"/>
          <w:szCs w:val="22"/>
          <w:lang w:val="es-ES"/>
        </w:rPr>
        <w:t>).</w:t>
      </w:r>
    </w:p>
    <w:p w:rsidR="007C0797" w:rsidRPr="00FF69A3" w:rsidRDefault="007C0797" w:rsidP="00F165D6">
      <w:pPr>
        <w:pStyle w:val="ListParagraph"/>
        <w:tabs>
          <w:tab w:val="left" w:pos="0"/>
        </w:tabs>
        <w:spacing w:afterLines="80" w:after="192"/>
        <w:ind w:left="0"/>
        <w:rPr>
          <w:lang w:val="es-ES"/>
        </w:rPr>
      </w:pPr>
    </w:p>
    <w:p w:rsidR="007C0797" w:rsidRPr="00FF69A3" w:rsidRDefault="00BE577A" w:rsidP="00F165D6">
      <w:pPr>
        <w:pStyle w:val="ListParagraph"/>
        <w:numPr>
          <w:ilvl w:val="0"/>
          <w:numId w:val="7"/>
        </w:numPr>
        <w:tabs>
          <w:tab w:val="left" w:pos="0"/>
        </w:tabs>
        <w:spacing w:afterLines="80" w:after="192"/>
        <w:ind w:left="0" w:firstLine="0"/>
        <w:rPr>
          <w:lang w:val="es-ES"/>
        </w:rPr>
      </w:pPr>
      <w:r w:rsidRPr="00FF69A3">
        <w:rPr>
          <w:rFonts w:eastAsia="Arial"/>
          <w:szCs w:val="22"/>
          <w:lang w:val="es-ES"/>
        </w:rPr>
        <w:t>La segunda conferencia internacional se celebró los días</w:t>
      </w:r>
      <w:r w:rsidR="004A530A" w:rsidRPr="00FF69A3">
        <w:rPr>
          <w:rFonts w:eastAsia="Arial"/>
          <w:szCs w:val="22"/>
          <w:lang w:val="es-ES"/>
        </w:rPr>
        <w:t> 2</w:t>
      </w:r>
      <w:r w:rsidRPr="00FF69A3">
        <w:rPr>
          <w:rFonts w:eastAsia="Arial"/>
          <w:szCs w:val="22"/>
          <w:lang w:val="es-ES"/>
        </w:rPr>
        <w:t>2 y</w:t>
      </w:r>
      <w:r w:rsidR="004A530A" w:rsidRPr="00FF69A3">
        <w:rPr>
          <w:rFonts w:eastAsia="Arial"/>
          <w:szCs w:val="22"/>
          <w:lang w:val="es-ES"/>
        </w:rPr>
        <w:t> 2</w:t>
      </w:r>
      <w:r w:rsidRPr="00FF69A3">
        <w:rPr>
          <w:rFonts w:eastAsia="Arial"/>
          <w:szCs w:val="22"/>
          <w:lang w:val="es-ES"/>
        </w:rPr>
        <w:t>3 de noviembre de</w:t>
      </w:r>
      <w:r w:rsidR="004A530A" w:rsidRPr="00FF69A3">
        <w:rPr>
          <w:rFonts w:eastAsia="Arial"/>
          <w:szCs w:val="22"/>
          <w:lang w:val="es-ES"/>
        </w:rPr>
        <w:t> 2</w:t>
      </w:r>
      <w:r w:rsidRPr="00FF69A3">
        <w:rPr>
          <w:rFonts w:eastAsia="Arial"/>
          <w:szCs w:val="22"/>
          <w:lang w:val="es-ES"/>
        </w:rPr>
        <w:t>021, en las dos primeras jornadas de</w:t>
      </w:r>
      <w:r w:rsidR="00EC22DD">
        <w:rPr>
          <w:rFonts w:eastAsia="Arial"/>
          <w:szCs w:val="22"/>
          <w:lang w:val="es-ES"/>
        </w:rPr>
        <w:t xml:space="preserve"> la 27.ª sesión del </w:t>
      </w:r>
      <w:r w:rsidRPr="00FF69A3">
        <w:rPr>
          <w:rFonts w:eastAsia="Arial"/>
          <w:szCs w:val="22"/>
          <w:lang w:val="es-ES"/>
        </w:rPr>
        <w:t xml:space="preserve">CDIP, con el título </w:t>
      </w:r>
      <w:r w:rsidR="004A530A" w:rsidRPr="00FF69A3">
        <w:rPr>
          <w:rFonts w:eastAsia="Arial"/>
          <w:szCs w:val="22"/>
          <w:lang w:val="es-ES"/>
        </w:rPr>
        <w:t>“</w:t>
      </w:r>
      <w:r w:rsidRPr="00FF69A3">
        <w:rPr>
          <w:rFonts w:eastAsia="Arial"/>
          <w:szCs w:val="22"/>
          <w:lang w:val="es-ES"/>
        </w:rPr>
        <w:t xml:space="preserve">Innovación en </w:t>
      </w:r>
      <w:r w:rsidR="00923E01" w:rsidRPr="00FF69A3">
        <w:rPr>
          <w:rFonts w:eastAsia="Arial"/>
          <w:szCs w:val="22"/>
          <w:lang w:val="es-ES"/>
        </w:rPr>
        <w:t>tecnologías ecológicas para el desarrollo sostenible</w:t>
      </w:r>
      <w:r w:rsidR="004A530A" w:rsidRPr="00FF69A3">
        <w:rPr>
          <w:rFonts w:eastAsia="Arial"/>
          <w:szCs w:val="22"/>
          <w:lang w:val="es-ES"/>
        </w:rPr>
        <w:t>”</w:t>
      </w:r>
      <w:r w:rsidRPr="00FF69A3">
        <w:rPr>
          <w:rFonts w:eastAsia="Arial"/>
          <w:szCs w:val="22"/>
          <w:lang w:val="es-ES"/>
        </w:rPr>
        <w:t>.</w:t>
      </w:r>
      <w:r w:rsidRPr="00FF69A3">
        <w:rPr>
          <w:rStyle w:val="FootnoteReference"/>
          <w:lang w:val="es-ES"/>
        </w:rPr>
        <w:footnoteReference w:id="3"/>
      </w:r>
      <w:r w:rsidRPr="00FF69A3">
        <w:rPr>
          <w:rFonts w:eastAsia="Arial"/>
          <w:szCs w:val="22"/>
          <w:lang w:val="es-ES"/>
        </w:rPr>
        <w:t xml:space="preserve"> Este informe presenta un resumen de los principales elementos de la conferencia, para información del Comité.</w:t>
      </w:r>
    </w:p>
    <w:p w:rsidR="007C0797" w:rsidRPr="00FF69A3" w:rsidRDefault="007C0797" w:rsidP="00F165D6">
      <w:pPr>
        <w:pStyle w:val="ListParagraph"/>
        <w:tabs>
          <w:tab w:val="left" w:pos="0"/>
        </w:tabs>
        <w:spacing w:afterLines="80" w:after="192"/>
        <w:ind w:left="0"/>
        <w:rPr>
          <w:lang w:val="es-ES"/>
        </w:rPr>
      </w:pPr>
    </w:p>
    <w:p w:rsidR="007C0797" w:rsidRPr="00FF69A3" w:rsidRDefault="00BE577A" w:rsidP="00F165D6">
      <w:pPr>
        <w:pStyle w:val="Heading1"/>
        <w:numPr>
          <w:ilvl w:val="0"/>
          <w:numId w:val="8"/>
        </w:numPr>
        <w:spacing w:afterLines="80" w:after="192"/>
        <w:ind w:left="540" w:hanging="540"/>
        <w:contextualSpacing/>
        <w:rPr>
          <w:b w:val="0"/>
        </w:rPr>
      </w:pPr>
      <w:r w:rsidRPr="00FF69A3">
        <w:rPr>
          <w:rFonts w:eastAsia="Arial"/>
          <w:b w:val="0"/>
          <w:szCs w:val="22"/>
        </w:rPr>
        <w:t>ASPECTOS ORGANIZATIVOS</w:t>
      </w:r>
    </w:p>
    <w:p w:rsidR="007C0797" w:rsidRPr="00FF69A3" w:rsidRDefault="00BE577A" w:rsidP="00F165D6">
      <w:pPr>
        <w:pStyle w:val="ListParagraph"/>
        <w:numPr>
          <w:ilvl w:val="0"/>
          <w:numId w:val="7"/>
        </w:numPr>
        <w:tabs>
          <w:tab w:val="left" w:pos="0"/>
        </w:tabs>
        <w:spacing w:afterLines="80" w:after="192"/>
        <w:ind w:left="0" w:firstLine="0"/>
        <w:rPr>
          <w:lang w:val="es-ES"/>
        </w:rPr>
      </w:pPr>
      <w:r w:rsidRPr="00FF69A3">
        <w:rPr>
          <w:rFonts w:eastAsia="Arial"/>
          <w:szCs w:val="22"/>
          <w:lang w:val="es-ES"/>
        </w:rPr>
        <w:t>La conferencia se celebró los días</w:t>
      </w:r>
      <w:r w:rsidR="004A530A" w:rsidRPr="00FF69A3">
        <w:rPr>
          <w:rFonts w:eastAsia="Arial"/>
          <w:szCs w:val="22"/>
          <w:lang w:val="es-ES"/>
        </w:rPr>
        <w:t> 2</w:t>
      </w:r>
      <w:r w:rsidRPr="00FF69A3">
        <w:rPr>
          <w:rFonts w:eastAsia="Arial"/>
          <w:szCs w:val="22"/>
          <w:lang w:val="es-ES"/>
        </w:rPr>
        <w:t>2 y</w:t>
      </w:r>
      <w:r w:rsidR="004A530A" w:rsidRPr="00FF69A3">
        <w:rPr>
          <w:rFonts w:eastAsia="Arial"/>
          <w:szCs w:val="22"/>
          <w:lang w:val="es-ES"/>
        </w:rPr>
        <w:t> 2</w:t>
      </w:r>
      <w:r w:rsidRPr="00FF69A3">
        <w:rPr>
          <w:rFonts w:eastAsia="Arial"/>
          <w:szCs w:val="22"/>
          <w:lang w:val="es-ES"/>
        </w:rPr>
        <w:t>3 de noviembre de</w:t>
      </w:r>
      <w:r w:rsidR="004A530A" w:rsidRPr="00FF69A3">
        <w:rPr>
          <w:rFonts w:eastAsia="Arial"/>
          <w:szCs w:val="22"/>
          <w:lang w:val="es-ES"/>
        </w:rPr>
        <w:t> 2</w:t>
      </w:r>
      <w:r w:rsidRPr="00FF69A3">
        <w:rPr>
          <w:rFonts w:eastAsia="Arial"/>
          <w:szCs w:val="22"/>
          <w:lang w:val="es-ES"/>
        </w:rPr>
        <w:t>021, de</w:t>
      </w:r>
      <w:r w:rsidR="004A530A" w:rsidRPr="00FF69A3">
        <w:rPr>
          <w:rFonts w:eastAsia="Arial"/>
          <w:szCs w:val="22"/>
          <w:lang w:val="es-ES"/>
        </w:rPr>
        <w:t> 1</w:t>
      </w:r>
      <w:r w:rsidRPr="00FF69A3">
        <w:rPr>
          <w:rFonts w:eastAsia="Arial"/>
          <w:szCs w:val="22"/>
          <w:lang w:val="es-ES"/>
        </w:rPr>
        <w:t>2</w:t>
      </w:r>
      <w:r w:rsidR="007F7611">
        <w:rPr>
          <w:rFonts w:eastAsia="Arial"/>
          <w:szCs w:val="22"/>
          <w:lang w:val="es-ES"/>
        </w:rPr>
        <w:t>.00</w:t>
      </w:r>
      <w:r w:rsidRPr="00FF69A3">
        <w:rPr>
          <w:rFonts w:eastAsia="Arial"/>
          <w:szCs w:val="22"/>
          <w:lang w:val="es-ES"/>
        </w:rPr>
        <w:t xml:space="preserve"> a</w:t>
      </w:r>
      <w:r w:rsidR="004A530A" w:rsidRPr="00FF69A3">
        <w:rPr>
          <w:rFonts w:eastAsia="Arial"/>
          <w:szCs w:val="22"/>
          <w:lang w:val="es-ES"/>
        </w:rPr>
        <w:t> 1</w:t>
      </w:r>
      <w:r w:rsidRPr="00FF69A3">
        <w:rPr>
          <w:rFonts w:eastAsia="Arial"/>
          <w:szCs w:val="22"/>
          <w:lang w:val="es-ES"/>
        </w:rPr>
        <w:t>4.30 horas CET cada día, en formato híbrido (los participantes y ponentes participaron tanto en línea como en persona), debido a las restricciones relacionadas con la pandemia de COVID.</w:t>
      </w:r>
    </w:p>
    <w:p w:rsidR="007C0797" w:rsidRPr="00FF69A3" w:rsidRDefault="007C0797" w:rsidP="00F165D6">
      <w:pPr>
        <w:pStyle w:val="ListParagraph"/>
        <w:tabs>
          <w:tab w:val="left" w:pos="0"/>
        </w:tabs>
        <w:spacing w:afterLines="80" w:after="192"/>
        <w:ind w:left="0"/>
        <w:rPr>
          <w:lang w:val="es-ES"/>
        </w:rPr>
      </w:pPr>
    </w:p>
    <w:p w:rsidR="007C0797" w:rsidRPr="00FF69A3" w:rsidRDefault="00BE577A" w:rsidP="00F165D6">
      <w:pPr>
        <w:pStyle w:val="ListParagraph"/>
        <w:numPr>
          <w:ilvl w:val="0"/>
          <w:numId w:val="7"/>
        </w:numPr>
        <w:tabs>
          <w:tab w:val="left" w:pos="0"/>
        </w:tabs>
        <w:spacing w:afterLines="80" w:after="192"/>
        <w:ind w:left="0" w:firstLine="0"/>
        <w:rPr>
          <w:lang w:val="es-ES"/>
        </w:rPr>
      </w:pPr>
      <w:r w:rsidRPr="00FF69A3">
        <w:rPr>
          <w:rFonts w:eastAsia="Arial"/>
          <w:szCs w:val="22"/>
          <w:lang w:val="es-ES"/>
        </w:rPr>
        <w:t xml:space="preserve">El acto estaba abierto a la participación de Estados miembros, organizaciones intergubernamentales (OIG), organizaciones no gubernamentales (ONG), académicos, </w:t>
      </w:r>
      <w:r w:rsidR="008F4ADD" w:rsidRPr="00FF69A3">
        <w:rPr>
          <w:rFonts w:eastAsia="Arial"/>
          <w:szCs w:val="22"/>
          <w:lang w:val="es-ES"/>
        </w:rPr>
        <w:lastRenderedPageBreak/>
        <w:t>responsables de la formulación de</w:t>
      </w:r>
      <w:r w:rsidRPr="00FF69A3">
        <w:rPr>
          <w:rFonts w:eastAsia="Arial"/>
          <w:szCs w:val="22"/>
          <w:lang w:val="es-ES"/>
        </w:rPr>
        <w:t xml:space="preserve"> políticas y miembros de la sociedad civil. Solo los Estados miembros de la OMPI y los observadores participaron de forma presencial; el resto de los participantes se conectaron a la reunión a través de una plataforma en línea.</w:t>
      </w:r>
    </w:p>
    <w:p w:rsidR="007C0797" w:rsidRPr="00FF69A3" w:rsidRDefault="007C0797" w:rsidP="00F165D6">
      <w:pPr>
        <w:pStyle w:val="ListParagraph"/>
        <w:spacing w:afterLines="80" w:after="192"/>
        <w:rPr>
          <w:lang w:val="es-ES"/>
        </w:rPr>
      </w:pPr>
    </w:p>
    <w:p w:rsidR="007C0797" w:rsidRPr="00FF69A3" w:rsidRDefault="00BE577A" w:rsidP="00F165D6">
      <w:pPr>
        <w:pStyle w:val="ListParagraph"/>
        <w:numPr>
          <w:ilvl w:val="0"/>
          <w:numId w:val="7"/>
        </w:numPr>
        <w:tabs>
          <w:tab w:val="left" w:pos="0"/>
        </w:tabs>
        <w:spacing w:afterLines="80" w:after="192"/>
        <w:ind w:left="0" w:firstLine="0"/>
        <w:rPr>
          <w:lang w:val="es-ES"/>
        </w:rPr>
      </w:pPr>
      <w:r w:rsidRPr="00FF69A3">
        <w:rPr>
          <w:rFonts w:eastAsia="Arial"/>
          <w:szCs w:val="22"/>
          <w:lang w:val="es-ES"/>
        </w:rPr>
        <w:t>Hubo interpretación, tanto para los participantes en línea como para los presenciales, en inglés, francés, español, ruso, chino y árabe.</w:t>
      </w:r>
    </w:p>
    <w:p w:rsidR="007C0797" w:rsidRPr="00FF69A3" w:rsidRDefault="007C0797" w:rsidP="00F165D6">
      <w:pPr>
        <w:pStyle w:val="ListParagraph"/>
        <w:tabs>
          <w:tab w:val="left" w:pos="0"/>
        </w:tabs>
        <w:spacing w:afterLines="80" w:after="192"/>
        <w:ind w:left="0"/>
        <w:rPr>
          <w:lang w:val="es-ES"/>
        </w:rPr>
      </w:pPr>
    </w:p>
    <w:p w:rsidR="007C0797" w:rsidRPr="00FF69A3" w:rsidRDefault="00BE577A" w:rsidP="00F165D6">
      <w:pPr>
        <w:pStyle w:val="Heading1"/>
        <w:numPr>
          <w:ilvl w:val="0"/>
          <w:numId w:val="8"/>
        </w:numPr>
        <w:spacing w:afterLines="80" w:after="192"/>
        <w:ind w:left="540" w:hanging="540"/>
        <w:contextualSpacing/>
        <w:rPr>
          <w:b w:val="0"/>
        </w:rPr>
      </w:pPr>
      <w:r w:rsidRPr="00FF69A3">
        <w:rPr>
          <w:rFonts w:eastAsia="Arial"/>
          <w:b w:val="0"/>
          <w:szCs w:val="22"/>
        </w:rPr>
        <w:t>ESTRUCTURA DE LOS DEBATES</w:t>
      </w:r>
    </w:p>
    <w:p w:rsidR="007C0797" w:rsidRPr="00FF69A3" w:rsidRDefault="00BE577A" w:rsidP="00F165D6">
      <w:pPr>
        <w:pStyle w:val="ListParagraph"/>
        <w:numPr>
          <w:ilvl w:val="0"/>
          <w:numId w:val="7"/>
        </w:numPr>
        <w:tabs>
          <w:tab w:val="left" w:pos="0"/>
        </w:tabs>
        <w:spacing w:afterLines="80" w:after="192"/>
        <w:ind w:left="0" w:firstLine="0"/>
        <w:rPr>
          <w:lang w:val="es-ES"/>
        </w:rPr>
      </w:pPr>
      <w:r w:rsidRPr="00FF69A3">
        <w:rPr>
          <w:rFonts w:eastAsia="Arial"/>
          <w:szCs w:val="22"/>
          <w:lang w:val="es-ES"/>
        </w:rPr>
        <w:t xml:space="preserve">La conferencia se organizó en tres mesas redondas y un diálogo final, seguido de una sesión de preguntas y respuestas. Cada una de </w:t>
      </w:r>
      <w:r w:rsidR="00FF69A3" w:rsidRPr="00FF69A3">
        <w:rPr>
          <w:rFonts w:eastAsia="Arial"/>
          <w:szCs w:val="22"/>
          <w:lang w:val="es-ES"/>
        </w:rPr>
        <w:t>las mesas redondas</w:t>
      </w:r>
      <w:r w:rsidRPr="00FF69A3">
        <w:rPr>
          <w:rFonts w:eastAsia="Arial"/>
          <w:szCs w:val="22"/>
          <w:lang w:val="es-ES"/>
        </w:rPr>
        <w:t xml:space="preserve"> estaba formada por un orador principal, que presentó una ponencia, y dos participantes, que formularon comentarios sobre la misma. El diálogo final consistió en un intercambio de opiniones, libre y dinámico, entre algunos ponentes de </w:t>
      </w:r>
      <w:r w:rsidR="00FF69A3" w:rsidRPr="00FF69A3">
        <w:rPr>
          <w:rFonts w:eastAsia="Arial"/>
          <w:szCs w:val="22"/>
          <w:lang w:val="es-ES"/>
        </w:rPr>
        <w:t>las mesas redondas anteriores</w:t>
      </w:r>
      <w:r w:rsidRPr="00FF69A3">
        <w:rPr>
          <w:rFonts w:eastAsia="Arial"/>
          <w:szCs w:val="22"/>
          <w:lang w:val="es-ES"/>
        </w:rPr>
        <w:t xml:space="preserve"> sobre los principales debates celebrados durante la conferencia.</w:t>
      </w:r>
    </w:p>
    <w:p w:rsidR="007C0797" w:rsidRPr="00FF69A3" w:rsidRDefault="007C0797" w:rsidP="00F165D6">
      <w:pPr>
        <w:pStyle w:val="ListParagraph"/>
        <w:tabs>
          <w:tab w:val="left" w:pos="0"/>
        </w:tabs>
        <w:spacing w:afterLines="80" w:after="192"/>
        <w:ind w:left="0"/>
        <w:rPr>
          <w:lang w:val="es-ES"/>
        </w:rPr>
      </w:pPr>
    </w:p>
    <w:p w:rsidR="007C0797" w:rsidRPr="00FF69A3" w:rsidRDefault="00BE577A" w:rsidP="00F165D6">
      <w:pPr>
        <w:pStyle w:val="ListParagraph"/>
        <w:numPr>
          <w:ilvl w:val="0"/>
          <w:numId w:val="7"/>
        </w:numPr>
        <w:tabs>
          <w:tab w:val="left" w:pos="0"/>
        </w:tabs>
        <w:spacing w:afterLines="80" w:after="192"/>
        <w:ind w:left="0" w:firstLine="0"/>
        <w:rPr>
          <w:lang w:val="es-ES"/>
        </w:rPr>
      </w:pPr>
      <w:r w:rsidRPr="00FF69A3">
        <w:rPr>
          <w:rFonts w:eastAsia="Arial"/>
          <w:szCs w:val="22"/>
          <w:lang w:val="es-ES"/>
        </w:rPr>
        <w:t>En las tres mesas redondas se abordaron los siguientes temas:</w:t>
      </w:r>
    </w:p>
    <w:p w:rsidR="007C0797" w:rsidRPr="00FF69A3" w:rsidRDefault="00BE577A" w:rsidP="00F165D6">
      <w:pPr>
        <w:pStyle w:val="ListParagraph"/>
        <w:numPr>
          <w:ilvl w:val="0"/>
          <w:numId w:val="9"/>
        </w:numPr>
        <w:tabs>
          <w:tab w:val="left" w:pos="0"/>
        </w:tabs>
        <w:spacing w:afterLines="80" w:after="192"/>
        <w:ind w:left="1134"/>
        <w:rPr>
          <w:lang w:val="es-ES"/>
        </w:rPr>
      </w:pPr>
      <w:r w:rsidRPr="00FF69A3">
        <w:rPr>
          <w:rFonts w:eastAsia="Arial"/>
          <w:szCs w:val="22"/>
          <w:lang w:val="es-ES"/>
        </w:rPr>
        <w:t>¿Cómo puede contribuir la innovación ecológica a lograr un desarrollo sostenible?</w:t>
      </w:r>
    </w:p>
    <w:p w:rsidR="007C0797" w:rsidRPr="00FF69A3" w:rsidRDefault="00BE577A" w:rsidP="00F165D6">
      <w:pPr>
        <w:pStyle w:val="ListParagraph"/>
        <w:numPr>
          <w:ilvl w:val="0"/>
          <w:numId w:val="9"/>
        </w:numPr>
        <w:tabs>
          <w:tab w:val="left" w:pos="0"/>
        </w:tabs>
        <w:spacing w:afterLines="80" w:after="192"/>
        <w:ind w:left="1134"/>
        <w:rPr>
          <w:lang w:val="es-ES"/>
        </w:rPr>
      </w:pPr>
      <w:r w:rsidRPr="00FF69A3">
        <w:rPr>
          <w:rFonts w:eastAsia="Arial"/>
          <w:szCs w:val="22"/>
          <w:lang w:val="es-ES"/>
        </w:rPr>
        <w:t>La función de la PI en el ámbito de la tecnología ecológica</w:t>
      </w:r>
      <w:r w:rsidR="008F4ADD" w:rsidRPr="00FF69A3">
        <w:rPr>
          <w:rFonts w:eastAsia="Arial"/>
          <w:szCs w:val="22"/>
          <w:lang w:val="es-ES"/>
        </w:rPr>
        <w:t>.</w:t>
      </w:r>
    </w:p>
    <w:p w:rsidR="007C0797" w:rsidRPr="00FF69A3" w:rsidRDefault="00BE577A" w:rsidP="00F165D6">
      <w:pPr>
        <w:pStyle w:val="ListParagraph"/>
        <w:numPr>
          <w:ilvl w:val="0"/>
          <w:numId w:val="9"/>
        </w:numPr>
        <w:tabs>
          <w:tab w:val="left" w:pos="0"/>
        </w:tabs>
        <w:spacing w:afterLines="80" w:after="192"/>
        <w:ind w:left="1134"/>
        <w:rPr>
          <w:lang w:val="es-ES"/>
        </w:rPr>
      </w:pPr>
      <w:r w:rsidRPr="00FF69A3">
        <w:rPr>
          <w:rFonts w:eastAsia="Arial"/>
          <w:szCs w:val="22"/>
          <w:lang w:val="es-ES"/>
        </w:rPr>
        <w:t>Innovación ecológica en los países en desarrollo: cómo afrontar los retos</w:t>
      </w:r>
      <w:r w:rsidR="008F4ADD" w:rsidRPr="00FF69A3">
        <w:rPr>
          <w:rFonts w:eastAsia="Arial"/>
          <w:szCs w:val="22"/>
          <w:lang w:val="es-ES"/>
        </w:rPr>
        <w:t>.</w:t>
      </w:r>
    </w:p>
    <w:p w:rsidR="007C0797" w:rsidRPr="00FF69A3" w:rsidRDefault="007C0797" w:rsidP="00F165D6">
      <w:pPr>
        <w:pStyle w:val="ListParagraph"/>
        <w:tabs>
          <w:tab w:val="left" w:pos="0"/>
        </w:tabs>
        <w:spacing w:afterLines="80" w:after="192"/>
        <w:ind w:left="0"/>
        <w:rPr>
          <w:lang w:val="es-ES"/>
        </w:rPr>
      </w:pPr>
    </w:p>
    <w:p w:rsidR="007C0797" w:rsidRPr="00FF69A3" w:rsidRDefault="00BE577A" w:rsidP="00F165D6">
      <w:pPr>
        <w:pStyle w:val="ListParagraph"/>
        <w:numPr>
          <w:ilvl w:val="0"/>
          <w:numId w:val="7"/>
        </w:numPr>
        <w:tabs>
          <w:tab w:val="left" w:pos="0"/>
        </w:tabs>
        <w:spacing w:afterLines="80" w:after="192"/>
        <w:ind w:left="0" w:firstLine="0"/>
        <w:rPr>
          <w:lang w:val="es-ES"/>
        </w:rPr>
      </w:pPr>
      <w:r w:rsidRPr="00FF69A3">
        <w:rPr>
          <w:rFonts w:eastAsia="Arial"/>
          <w:szCs w:val="22"/>
          <w:lang w:val="es-ES"/>
        </w:rPr>
        <w:t xml:space="preserve">La primera jornada de la conferencia se inició con el discurso de bienvenida del </w:t>
      </w:r>
      <w:r w:rsidR="004A530A" w:rsidRPr="00FF69A3">
        <w:rPr>
          <w:rFonts w:eastAsia="Arial"/>
          <w:szCs w:val="22"/>
          <w:lang w:val="es-ES"/>
        </w:rPr>
        <w:t>Sr. </w:t>
      </w:r>
      <w:r w:rsidRPr="00FF69A3">
        <w:rPr>
          <w:rFonts w:eastAsia="Arial"/>
          <w:szCs w:val="22"/>
          <w:lang w:val="es-ES"/>
        </w:rPr>
        <w:t>Daren Tang, director general de la OMPI. A continuación, se celebraron las mesas redondas</w:t>
      </w:r>
      <w:r w:rsidR="004A530A" w:rsidRPr="00FF69A3">
        <w:rPr>
          <w:rFonts w:eastAsia="Arial"/>
          <w:szCs w:val="22"/>
          <w:lang w:val="es-ES"/>
        </w:rPr>
        <w:t> 1</w:t>
      </w:r>
      <w:r w:rsidRPr="00FF69A3">
        <w:rPr>
          <w:rFonts w:eastAsia="Arial"/>
          <w:szCs w:val="22"/>
          <w:lang w:val="es-ES"/>
        </w:rPr>
        <w:t xml:space="preserve"> y</w:t>
      </w:r>
      <w:r w:rsidR="004A530A" w:rsidRPr="00FF69A3">
        <w:rPr>
          <w:rFonts w:eastAsia="Arial"/>
          <w:szCs w:val="22"/>
          <w:lang w:val="es-ES"/>
        </w:rPr>
        <w:t> 2</w:t>
      </w:r>
      <w:r w:rsidRPr="00FF69A3">
        <w:rPr>
          <w:rFonts w:eastAsia="Arial"/>
          <w:szCs w:val="22"/>
          <w:lang w:val="es-ES"/>
        </w:rPr>
        <w:t xml:space="preserve">. La segunda jornada comenzó con el discurso de apertura de S.E. </w:t>
      </w:r>
      <w:r w:rsidR="004A530A" w:rsidRPr="00FF69A3">
        <w:rPr>
          <w:rFonts w:eastAsia="Arial"/>
          <w:szCs w:val="22"/>
          <w:lang w:val="es-ES"/>
        </w:rPr>
        <w:t>Sra. </w:t>
      </w:r>
      <w:r w:rsidRPr="00FF69A3">
        <w:rPr>
          <w:rFonts w:eastAsia="Arial"/>
          <w:szCs w:val="22"/>
          <w:lang w:val="es-ES"/>
        </w:rPr>
        <w:t>Yasmine Fouad, ministra de Medio Ambiente de la República Árabe de Egipto. A continuación, se celebró la mesa redonda</w:t>
      </w:r>
      <w:r w:rsidR="004A530A" w:rsidRPr="00FF69A3">
        <w:rPr>
          <w:rFonts w:eastAsia="Arial"/>
          <w:szCs w:val="22"/>
          <w:lang w:val="es-ES"/>
        </w:rPr>
        <w:t> 3</w:t>
      </w:r>
      <w:r w:rsidRPr="00FF69A3">
        <w:rPr>
          <w:rFonts w:eastAsia="Arial"/>
          <w:szCs w:val="22"/>
          <w:lang w:val="es-ES"/>
        </w:rPr>
        <w:t xml:space="preserve"> y el diálogo final. La conferencia finalizó con el discurso de clausura pronunciado por el </w:t>
      </w:r>
      <w:r w:rsidR="004A530A" w:rsidRPr="00FF69A3">
        <w:rPr>
          <w:rFonts w:eastAsia="Arial"/>
          <w:szCs w:val="22"/>
          <w:lang w:val="es-ES"/>
        </w:rPr>
        <w:t>Sr. </w:t>
      </w:r>
      <w:r w:rsidRPr="00FF69A3">
        <w:rPr>
          <w:rFonts w:eastAsia="Arial"/>
          <w:szCs w:val="22"/>
          <w:lang w:val="es-ES"/>
        </w:rPr>
        <w:t>Hasan Kleib, director general adjunto del Sector de Desarrollo Regional y Nacional de la OMPI.</w:t>
      </w:r>
    </w:p>
    <w:p w:rsidR="007C0797" w:rsidRPr="00FF69A3" w:rsidRDefault="007C0797" w:rsidP="00F165D6">
      <w:pPr>
        <w:pStyle w:val="ListParagraph"/>
        <w:tabs>
          <w:tab w:val="left" w:pos="0"/>
        </w:tabs>
        <w:spacing w:afterLines="80" w:after="192"/>
        <w:ind w:left="0"/>
        <w:rPr>
          <w:lang w:val="es-ES"/>
        </w:rPr>
      </w:pPr>
    </w:p>
    <w:p w:rsidR="007C0797" w:rsidRPr="00FF69A3" w:rsidRDefault="00BE577A" w:rsidP="00F165D6">
      <w:pPr>
        <w:pStyle w:val="Heading1"/>
        <w:numPr>
          <w:ilvl w:val="0"/>
          <w:numId w:val="8"/>
        </w:numPr>
        <w:spacing w:afterLines="80" w:after="192"/>
        <w:ind w:left="540" w:hanging="540"/>
        <w:contextualSpacing/>
        <w:rPr>
          <w:b w:val="0"/>
        </w:rPr>
      </w:pPr>
      <w:r w:rsidRPr="00FF69A3">
        <w:rPr>
          <w:rFonts w:eastAsia="Arial"/>
          <w:b w:val="0"/>
          <w:szCs w:val="22"/>
        </w:rPr>
        <w:t>PONENTES Y MODERADORES</w:t>
      </w:r>
    </w:p>
    <w:p w:rsidR="007C0797" w:rsidRPr="00FF69A3" w:rsidRDefault="00BE577A" w:rsidP="00F165D6">
      <w:pPr>
        <w:pStyle w:val="ListParagraph"/>
        <w:numPr>
          <w:ilvl w:val="0"/>
          <w:numId w:val="7"/>
        </w:numPr>
        <w:tabs>
          <w:tab w:val="left" w:pos="0"/>
        </w:tabs>
        <w:spacing w:afterLines="80" w:after="192"/>
        <w:ind w:left="0" w:firstLine="0"/>
        <w:rPr>
          <w:lang w:val="es-ES"/>
        </w:rPr>
      </w:pPr>
      <w:r w:rsidRPr="00FF69A3">
        <w:rPr>
          <w:rFonts w:eastAsia="Arial"/>
          <w:szCs w:val="22"/>
          <w:lang w:val="es-ES"/>
        </w:rPr>
        <w:t>Nueve ponentes participaron en la conferencia</w:t>
      </w:r>
      <w:r w:rsidR="007F7611">
        <w:rPr>
          <w:rFonts w:eastAsia="Arial"/>
          <w:szCs w:val="22"/>
          <w:lang w:val="es-ES"/>
        </w:rPr>
        <w:t xml:space="preserve">, representando </w:t>
      </w:r>
      <w:r w:rsidRPr="00FF69A3">
        <w:rPr>
          <w:rFonts w:eastAsia="Arial"/>
          <w:szCs w:val="22"/>
          <w:lang w:val="es-ES"/>
        </w:rPr>
        <w:t xml:space="preserve">a diferentes regiones geográficas y ámbitos profesionales: instituciones académicas, OIG, ONG y el sector privado. De conformidad con la decisión del Comité, la Secretaría organizó esta conferencia </w:t>
      </w:r>
      <w:r w:rsidR="004A530A" w:rsidRPr="00FF69A3">
        <w:rPr>
          <w:rFonts w:eastAsia="Arial"/>
          <w:szCs w:val="22"/>
          <w:lang w:val="es-ES"/>
        </w:rPr>
        <w:t>“</w:t>
      </w:r>
      <w:r w:rsidRPr="00FF69A3">
        <w:rPr>
          <w:rFonts w:eastAsia="Arial"/>
          <w:szCs w:val="22"/>
          <w:lang w:val="es-ES"/>
        </w:rPr>
        <w:t>sobre la base de los principios de equilibrio y equidad, que se aplicarán también a la selección de los oradores y al formato</w:t>
      </w:r>
      <w:r w:rsidR="004A530A" w:rsidRPr="00FF69A3">
        <w:rPr>
          <w:rFonts w:eastAsia="Arial"/>
          <w:szCs w:val="22"/>
          <w:lang w:val="es-ES"/>
        </w:rPr>
        <w:t>”</w:t>
      </w:r>
      <w:r w:rsidR="002B4E57">
        <w:rPr>
          <w:rFonts w:eastAsia="Arial"/>
          <w:szCs w:val="22"/>
          <w:lang w:val="es-ES"/>
        </w:rPr>
        <w:t>.</w:t>
      </w:r>
      <w:r w:rsidRPr="00FF69A3">
        <w:rPr>
          <w:rStyle w:val="FootnoteReference"/>
          <w:lang w:val="es-ES"/>
        </w:rPr>
        <w:footnoteReference w:id="4"/>
      </w:r>
      <w:r w:rsidRPr="00FF69A3">
        <w:rPr>
          <w:rFonts w:eastAsia="Arial"/>
          <w:szCs w:val="22"/>
          <w:lang w:val="es-ES"/>
        </w:rPr>
        <w:t xml:space="preserve"> En particular, la selección de los ponentes se hizo teniendo en cuenta la necesidad de un equilibrio geográfico, una experiencia adecuada y un equilibrio con respecto a la perspectiva y el género.</w:t>
      </w:r>
      <w:r w:rsidRPr="00FF69A3">
        <w:rPr>
          <w:rStyle w:val="FootnoteReference"/>
          <w:lang w:val="es-ES"/>
        </w:rPr>
        <w:footnoteReference w:id="5"/>
      </w:r>
    </w:p>
    <w:p w:rsidR="007C0797" w:rsidRPr="00FF69A3" w:rsidRDefault="007C0797" w:rsidP="00F165D6">
      <w:pPr>
        <w:pStyle w:val="ListParagraph"/>
        <w:tabs>
          <w:tab w:val="left" w:pos="0"/>
        </w:tabs>
        <w:spacing w:afterLines="80" w:after="192"/>
        <w:ind w:left="0"/>
        <w:rPr>
          <w:lang w:val="es-ES"/>
        </w:rPr>
      </w:pPr>
    </w:p>
    <w:p w:rsidR="007C0797" w:rsidRPr="00FF69A3" w:rsidRDefault="00BE577A" w:rsidP="00F165D6">
      <w:pPr>
        <w:pStyle w:val="ListParagraph"/>
        <w:numPr>
          <w:ilvl w:val="0"/>
          <w:numId w:val="7"/>
        </w:numPr>
        <w:tabs>
          <w:tab w:val="left" w:pos="0"/>
        </w:tabs>
        <w:spacing w:afterLines="80" w:after="192"/>
        <w:ind w:left="0" w:firstLine="0"/>
        <w:rPr>
          <w:lang w:val="es-ES"/>
        </w:rPr>
      </w:pPr>
      <w:r w:rsidRPr="00FF69A3">
        <w:rPr>
          <w:rFonts w:eastAsia="Arial"/>
          <w:szCs w:val="22"/>
          <w:lang w:val="es-ES"/>
        </w:rPr>
        <w:t xml:space="preserve">Moderaron los debates dos embajadores con sede en Ginebra, un día cada uno. El primer día, S.E. la </w:t>
      </w:r>
      <w:r w:rsidR="004A530A" w:rsidRPr="00FF69A3">
        <w:rPr>
          <w:rFonts w:eastAsia="Arial"/>
          <w:szCs w:val="22"/>
          <w:lang w:val="es-ES"/>
        </w:rPr>
        <w:t>Sra. </w:t>
      </w:r>
      <w:r w:rsidRPr="00FF69A3">
        <w:rPr>
          <w:rFonts w:eastAsia="Arial"/>
          <w:szCs w:val="22"/>
          <w:lang w:val="es-ES"/>
        </w:rPr>
        <w:t>Tatiana Molcean, embajadora y representante permanente de la Misión de la República de Moldova ante la Oficina de las Naciones Unidas y otras organizaciones internacionales en Ginebra, moderó las mesas redondas</w:t>
      </w:r>
      <w:r w:rsidR="004A530A" w:rsidRPr="00FF69A3">
        <w:rPr>
          <w:rFonts w:eastAsia="Arial"/>
          <w:szCs w:val="22"/>
          <w:lang w:val="es-ES"/>
        </w:rPr>
        <w:t> 1</w:t>
      </w:r>
      <w:r w:rsidRPr="00FF69A3">
        <w:rPr>
          <w:rFonts w:eastAsia="Arial"/>
          <w:szCs w:val="22"/>
          <w:lang w:val="es-ES"/>
        </w:rPr>
        <w:t xml:space="preserve"> y</w:t>
      </w:r>
      <w:r w:rsidR="004A530A" w:rsidRPr="00FF69A3">
        <w:rPr>
          <w:rFonts w:eastAsia="Arial"/>
          <w:szCs w:val="22"/>
          <w:lang w:val="es-ES"/>
        </w:rPr>
        <w:t> 2</w:t>
      </w:r>
      <w:r w:rsidRPr="00FF69A3">
        <w:rPr>
          <w:rFonts w:eastAsia="Arial"/>
          <w:szCs w:val="22"/>
          <w:lang w:val="es-ES"/>
        </w:rPr>
        <w:t xml:space="preserve">. El segundo día, S.E. el </w:t>
      </w:r>
      <w:r w:rsidR="004A530A" w:rsidRPr="00FF69A3">
        <w:rPr>
          <w:rFonts w:eastAsia="Arial"/>
          <w:szCs w:val="22"/>
          <w:lang w:val="es-ES"/>
        </w:rPr>
        <w:t>Sr. </w:t>
      </w:r>
      <w:r w:rsidRPr="00FF69A3">
        <w:rPr>
          <w:rFonts w:eastAsia="Arial"/>
          <w:szCs w:val="22"/>
          <w:lang w:val="es-ES"/>
        </w:rPr>
        <w:t>Salim Baddoura, embajador, representante permanente de la Misión de la República Libanesa ante la Oficina de las Naciones Unidas y otras organizaciones internacionales en Ginebra, moderó la mesa redonda</w:t>
      </w:r>
      <w:r w:rsidR="004A530A" w:rsidRPr="00FF69A3">
        <w:rPr>
          <w:rFonts w:eastAsia="Arial"/>
          <w:szCs w:val="22"/>
          <w:lang w:val="es-ES"/>
        </w:rPr>
        <w:t> 3</w:t>
      </w:r>
      <w:r w:rsidRPr="00FF69A3">
        <w:rPr>
          <w:rFonts w:eastAsia="Arial"/>
          <w:szCs w:val="22"/>
          <w:lang w:val="es-ES"/>
        </w:rPr>
        <w:t xml:space="preserve"> y el diálogo final.</w:t>
      </w:r>
    </w:p>
    <w:p w:rsidR="007C0797" w:rsidRPr="00FF69A3" w:rsidRDefault="007C0797" w:rsidP="00F165D6">
      <w:pPr>
        <w:pStyle w:val="ListParagraph"/>
        <w:tabs>
          <w:tab w:val="left" w:pos="0"/>
        </w:tabs>
        <w:spacing w:afterLines="80" w:after="192"/>
        <w:ind w:left="0"/>
        <w:rPr>
          <w:lang w:val="es-ES"/>
        </w:rPr>
      </w:pPr>
    </w:p>
    <w:p w:rsidR="007C0797" w:rsidRPr="00FF69A3" w:rsidRDefault="00BE577A" w:rsidP="00F165D6">
      <w:pPr>
        <w:pStyle w:val="ListParagraph"/>
        <w:numPr>
          <w:ilvl w:val="0"/>
          <w:numId w:val="7"/>
        </w:numPr>
        <w:tabs>
          <w:tab w:val="left" w:pos="0"/>
        </w:tabs>
        <w:spacing w:afterLines="80" w:after="192"/>
        <w:ind w:left="0" w:firstLine="0"/>
        <w:rPr>
          <w:lang w:val="es-ES"/>
        </w:rPr>
      </w:pPr>
      <w:r w:rsidRPr="00FF69A3">
        <w:rPr>
          <w:rFonts w:eastAsia="Arial"/>
          <w:szCs w:val="22"/>
          <w:lang w:val="es-ES"/>
        </w:rPr>
        <w:t xml:space="preserve">El perfil de los ponentes y moderadores puede consultarse en la </w:t>
      </w:r>
      <w:hyperlink r:id="rId10" w:history="1">
        <w:r w:rsidRPr="00FF69A3">
          <w:rPr>
            <w:rFonts w:eastAsia="Arial"/>
            <w:color w:val="0000FF"/>
            <w:szCs w:val="22"/>
            <w:u w:val="single"/>
            <w:lang w:val="es-ES"/>
          </w:rPr>
          <w:t>página web de la conferencia</w:t>
        </w:r>
      </w:hyperlink>
      <w:r w:rsidRPr="00FF69A3">
        <w:rPr>
          <w:rFonts w:eastAsia="Arial"/>
          <w:szCs w:val="22"/>
          <w:lang w:val="es-ES"/>
        </w:rPr>
        <w:t>.</w:t>
      </w:r>
    </w:p>
    <w:p w:rsidR="007C0797" w:rsidRPr="00FF69A3" w:rsidRDefault="007C0797" w:rsidP="00F165D6">
      <w:pPr>
        <w:pStyle w:val="ListParagraph"/>
        <w:tabs>
          <w:tab w:val="left" w:pos="0"/>
        </w:tabs>
        <w:spacing w:afterLines="80" w:after="192"/>
        <w:ind w:left="0"/>
        <w:rPr>
          <w:lang w:val="es-ES"/>
        </w:rPr>
      </w:pPr>
    </w:p>
    <w:p w:rsidR="007C0797" w:rsidRPr="00FF69A3" w:rsidRDefault="00BE577A" w:rsidP="00F165D6">
      <w:pPr>
        <w:pStyle w:val="Heading1"/>
        <w:keepLines/>
        <w:numPr>
          <w:ilvl w:val="0"/>
          <w:numId w:val="8"/>
        </w:numPr>
        <w:spacing w:afterLines="80" w:after="192"/>
        <w:ind w:left="547" w:hanging="547"/>
        <w:contextualSpacing/>
      </w:pPr>
      <w:r w:rsidRPr="00FF69A3">
        <w:rPr>
          <w:rFonts w:eastAsia="Arial"/>
          <w:b w:val="0"/>
          <w:szCs w:val="22"/>
        </w:rPr>
        <w:t>PARTICIPANTES</w:t>
      </w:r>
    </w:p>
    <w:p w:rsidR="007C0797" w:rsidRPr="00FF69A3" w:rsidRDefault="00BE577A" w:rsidP="00F165D6">
      <w:pPr>
        <w:pStyle w:val="ListParagraph"/>
        <w:numPr>
          <w:ilvl w:val="0"/>
          <w:numId w:val="7"/>
        </w:numPr>
        <w:tabs>
          <w:tab w:val="left" w:pos="0"/>
        </w:tabs>
        <w:spacing w:afterLines="80" w:after="192"/>
        <w:ind w:left="0" w:firstLine="0"/>
        <w:rPr>
          <w:lang w:val="es-ES"/>
        </w:rPr>
      </w:pPr>
      <w:r w:rsidRPr="00FF69A3">
        <w:rPr>
          <w:rFonts w:eastAsia="Arial"/>
          <w:szCs w:val="22"/>
          <w:lang w:val="es-ES"/>
        </w:rPr>
        <w:t>El evento contó con la presencia de más de</w:t>
      </w:r>
      <w:r w:rsidR="004A530A" w:rsidRPr="00FF69A3">
        <w:rPr>
          <w:rFonts w:eastAsia="Arial"/>
          <w:szCs w:val="22"/>
          <w:lang w:val="es-ES"/>
        </w:rPr>
        <w:t> 1</w:t>
      </w:r>
      <w:r w:rsidRPr="00FF69A3">
        <w:rPr>
          <w:rFonts w:eastAsia="Arial"/>
          <w:szCs w:val="22"/>
          <w:lang w:val="es-ES"/>
        </w:rPr>
        <w:t>.300 participantes, la mayoría de los cuales se unieron a través de la plataforma en línea. Entre el público, procedente de diferentes ámbitos profesionales, había funcionarios gubernamentales, académicos, personal de OIG y ONG, y actores del sector privado.</w:t>
      </w:r>
    </w:p>
    <w:p w:rsidR="007C0797" w:rsidRPr="00FF69A3" w:rsidRDefault="007C0797" w:rsidP="00F165D6">
      <w:pPr>
        <w:pStyle w:val="ListParagraph"/>
        <w:tabs>
          <w:tab w:val="left" w:pos="0"/>
        </w:tabs>
        <w:spacing w:afterLines="80" w:after="192"/>
        <w:ind w:left="0"/>
        <w:rPr>
          <w:lang w:val="es-ES"/>
        </w:rPr>
      </w:pPr>
    </w:p>
    <w:p w:rsidR="007C0797" w:rsidRPr="00FF69A3" w:rsidRDefault="00BE577A" w:rsidP="00F165D6">
      <w:pPr>
        <w:pStyle w:val="ListParagraph"/>
        <w:numPr>
          <w:ilvl w:val="0"/>
          <w:numId w:val="7"/>
        </w:numPr>
        <w:tabs>
          <w:tab w:val="left" w:pos="0"/>
        </w:tabs>
        <w:spacing w:afterLines="80" w:after="192"/>
        <w:ind w:left="0" w:firstLine="0"/>
        <w:rPr>
          <w:lang w:val="es-ES"/>
        </w:rPr>
      </w:pPr>
      <w:r w:rsidRPr="00FF69A3">
        <w:rPr>
          <w:rFonts w:eastAsia="Arial"/>
          <w:szCs w:val="22"/>
          <w:lang w:val="es-ES"/>
        </w:rPr>
        <w:t>Los asistentes participaron activamente durante la conferencia, exponiendo sus opiniones y planteando preguntas a través del chat de la plataforma en línea. La Secretaría respondió tanto por escrito, a través del chat, como oralmente, a través de los ponentes. Los moderadores y la Secretaría reagruparon las preguntas similares para tratar de contestar al mayor número de preguntas posible en el breve tiempo disponible. Sin embargo, algunas quedaron sin respuesta por falta de tiempo.</w:t>
      </w:r>
    </w:p>
    <w:p w:rsidR="007C0797" w:rsidRPr="00FF69A3" w:rsidRDefault="007C0797" w:rsidP="00F165D6">
      <w:pPr>
        <w:pStyle w:val="ListParagraph"/>
        <w:tabs>
          <w:tab w:val="left" w:pos="0"/>
        </w:tabs>
        <w:spacing w:afterLines="80" w:after="192"/>
        <w:ind w:left="0"/>
        <w:rPr>
          <w:lang w:val="es-ES"/>
        </w:rPr>
      </w:pPr>
    </w:p>
    <w:p w:rsidR="007C0797" w:rsidRPr="00FF69A3" w:rsidRDefault="00BE577A" w:rsidP="00F165D6">
      <w:pPr>
        <w:pStyle w:val="ListParagraph"/>
        <w:numPr>
          <w:ilvl w:val="0"/>
          <w:numId w:val="7"/>
        </w:numPr>
        <w:tabs>
          <w:tab w:val="left" w:pos="0"/>
        </w:tabs>
        <w:spacing w:afterLines="80" w:after="192"/>
        <w:ind w:left="0" w:firstLine="0"/>
        <w:rPr>
          <w:lang w:val="es-ES"/>
        </w:rPr>
      </w:pPr>
      <w:r w:rsidRPr="00FF69A3">
        <w:rPr>
          <w:rFonts w:eastAsia="Arial"/>
          <w:szCs w:val="22"/>
          <w:lang w:val="es-ES"/>
        </w:rPr>
        <w:t>Al término del acto se facilitó a todos los participantes una encuesta de satisfacción. En el Anexo del presente documento figura un resumen de los resultados de dicha encuesta.</w:t>
      </w:r>
    </w:p>
    <w:p w:rsidR="007C0797" w:rsidRPr="00FF69A3" w:rsidRDefault="007C0797" w:rsidP="00F165D6">
      <w:pPr>
        <w:pStyle w:val="ListParagraph"/>
        <w:tabs>
          <w:tab w:val="left" w:pos="0"/>
        </w:tabs>
        <w:spacing w:afterLines="80" w:after="192"/>
        <w:ind w:left="0"/>
        <w:rPr>
          <w:lang w:val="es-ES"/>
        </w:rPr>
      </w:pPr>
    </w:p>
    <w:p w:rsidR="007C0797" w:rsidRPr="00FF69A3" w:rsidRDefault="00BE577A" w:rsidP="00F165D6">
      <w:pPr>
        <w:pStyle w:val="Heading1"/>
        <w:numPr>
          <w:ilvl w:val="0"/>
          <w:numId w:val="8"/>
        </w:numPr>
        <w:spacing w:afterLines="80" w:after="192"/>
        <w:ind w:left="547" w:hanging="547"/>
        <w:contextualSpacing/>
      </w:pPr>
      <w:r w:rsidRPr="00FF69A3">
        <w:rPr>
          <w:rFonts w:eastAsia="Arial"/>
          <w:b w:val="0"/>
          <w:szCs w:val="22"/>
        </w:rPr>
        <w:t>COMUNICACIÓN Y PROMOCIÓN</w:t>
      </w:r>
    </w:p>
    <w:p w:rsidR="007C0797" w:rsidRPr="00FF69A3" w:rsidRDefault="00BE577A" w:rsidP="00F165D6">
      <w:pPr>
        <w:pStyle w:val="ListParagraph"/>
        <w:numPr>
          <w:ilvl w:val="0"/>
          <w:numId w:val="7"/>
        </w:numPr>
        <w:tabs>
          <w:tab w:val="left" w:pos="0"/>
        </w:tabs>
        <w:spacing w:afterLines="80" w:after="192"/>
        <w:ind w:left="0" w:firstLine="0"/>
        <w:rPr>
          <w:lang w:val="es-ES"/>
        </w:rPr>
      </w:pPr>
      <w:r w:rsidRPr="00FF69A3">
        <w:rPr>
          <w:rFonts w:eastAsia="Arial"/>
          <w:szCs w:val="22"/>
          <w:lang w:val="es-ES"/>
        </w:rPr>
        <w:t xml:space="preserve">Antes del evento, se creó una </w:t>
      </w:r>
      <w:hyperlink r:id="rId11" w:history="1">
        <w:r w:rsidRPr="00FF69A3">
          <w:rPr>
            <w:rFonts w:eastAsia="Arial"/>
            <w:color w:val="0000FF"/>
            <w:szCs w:val="22"/>
            <w:u w:val="single"/>
            <w:lang w:val="es-ES"/>
          </w:rPr>
          <w:t>página web específica</w:t>
        </w:r>
      </w:hyperlink>
      <w:r w:rsidRPr="00FF69A3">
        <w:rPr>
          <w:rFonts w:eastAsia="Arial"/>
          <w:szCs w:val="22"/>
          <w:lang w:val="es-ES"/>
        </w:rPr>
        <w:t xml:space="preserve"> sobre la conferencia en los seis idiomas oficiales de las Naciones Unidas, con toda la información pertinente (inscripción, programa, perfiles de los ponentes…). Después de la conferencia, se publicaron en dicha página las presentaciones de diapositivas de los ponentes, así como el enlace a la grabación en video del evento.</w:t>
      </w:r>
    </w:p>
    <w:p w:rsidR="007C0797" w:rsidRPr="00FF69A3" w:rsidRDefault="007C0797" w:rsidP="00F165D6">
      <w:pPr>
        <w:pStyle w:val="ListParagraph"/>
        <w:tabs>
          <w:tab w:val="left" w:pos="0"/>
        </w:tabs>
        <w:spacing w:afterLines="80" w:after="192"/>
        <w:ind w:left="0"/>
        <w:rPr>
          <w:lang w:val="es-ES"/>
        </w:rPr>
      </w:pPr>
    </w:p>
    <w:p w:rsidR="007C0797" w:rsidRPr="00FF69A3" w:rsidRDefault="00BE577A" w:rsidP="00F165D6">
      <w:pPr>
        <w:pStyle w:val="ListParagraph"/>
        <w:numPr>
          <w:ilvl w:val="0"/>
          <w:numId w:val="7"/>
        </w:numPr>
        <w:tabs>
          <w:tab w:val="left" w:pos="0"/>
        </w:tabs>
        <w:spacing w:afterLines="80" w:after="192"/>
        <w:ind w:left="0" w:firstLine="0"/>
        <w:rPr>
          <w:lang w:val="es-ES"/>
        </w:rPr>
      </w:pPr>
      <w:r w:rsidRPr="00FF69A3">
        <w:rPr>
          <w:rFonts w:eastAsia="Arial"/>
          <w:szCs w:val="22"/>
          <w:lang w:val="es-ES"/>
        </w:rPr>
        <w:t xml:space="preserve">Se contrató a un especialista en comunicación externa para que presentara estudios de casos de empresas emergentes en el ámbito de la tecnología ecológica en diferentes partes del mundo. Dichos estudios de caso destacaron cómo esas empresas utilizan la propiedad intelectual para obtener el máximo provecho de sus activos, así como la contribución de sus soluciones innovadoras a la consecución de los Objetivos de Desarrollo Sostenible. También se han publicado en la </w:t>
      </w:r>
      <w:hyperlink r:id="rId12" w:anchor="casestudies" w:history="1">
        <w:r w:rsidRPr="00FF69A3">
          <w:rPr>
            <w:rFonts w:eastAsia="Arial"/>
            <w:color w:val="0000FF"/>
            <w:szCs w:val="22"/>
            <w:u w:val="single"/>
            <w:lang w:val="es-ES"/>
          </w:rPr>
          <w:t>página web de la conferencia</w:t>
        </w:r>
      </w:hyperlink>
      <w:r w:rsidRPr="00FF69A3">
        <w:rPr>
          <w:rFonts w:eastAsia="Arial"/>
          <w:szCs w:val="22"/>
          <w:lang w:val="es-ES"/>
        </w:rPr>
        <w:t>.</w:t>
      </w:r>
    </w:p>
    <w:p w:rsidR="007C0797" w:rsidRPr="00FF69A3" w:rsidRDefault="007C0797" w:rsidP="00F165D6">
      <w:pPr>
        <w:pStyle w:val="ListParagraph"/>
        <w:tabs>
          <w:tab w:val="left" w:pos="0"/>
        </w:tabs>
        <w:spacing w:afterLines="80" w:after="192"/>
        <w:ind w:left="0"/>
        <w:rPr>
          <w:lang w:val="es-ES"/>
        </w:rPr>
      </w:pPr>
    </w:p>
    <w:p w:rsidR="007C0797" w:rsidRPr="00FF69A3" w:rsidRDefault="00BE577A" w:rsidP="00F165D6">
      <w:pPr>
        <w:pStyle w:val="ListParagraph"/>
        <w:numPr>
          <w:ilvl w:val="0"/>
          <w:numId w:val="7"/>
        </w:numPr>
        <w:tabs>
          <w:tab w:val="left" w:pos="0"/>
        </w:tabs>
        <w:spacing w:afterLines="80" w:after="192"/>
        <w:ind w:left="0" w:firstLine="0"/>
        <w:rPr>
          <w:lang w:val="es-ES"/>
        </w:rPr>
      </w:pPr>
      <w:r w:rsidRPr="00FF69A3">
        <w:rPr>
          <w:rFonts w:eastAsia="Arial"/>
          <w:szCs w:val="22"/>
          <w:lang w:val="es-ES"/>
        </w:rPr>
        <w:t>Además, la Secretaría promocionó la conferencia entre un amplio público, utilizando diferentes medios como boletines, listas de correo, folletos y redes sociales. El evento también se anunció en el contexto de la participación de la OMPI en la COP26 y en otros eventos conexos celebrados antes de la conferencia, como los seminarios web organizados por la Organización.</w:t>
      </w:r>
    </w:p>
    <w:p w:rsidR="007C0797" w:rsidRPr="00FF69A3" w:rsidRDefault="007C0797" w:rsidP="00F165D6">
      <w:pPr>
        <w:pStyle w:val="ListParagraph"/>
        <w:spacing w:afterLines="80" w:after="192"/>
        <w:rPr>
          <w:lang w:val="es-ES"/>
        </w:rPr>
      </w:pPr>
    </w:p>
    <w:p w:rsidR="007C0797" w:rsidRPr="00FF69A3" w:rsidRDefault="00BE577A" w:rsidP="00F165D6">
      <w:pPr>
        <w:pStyle w:val="ListParagraph"/>
        <w:numPr>
          <w:ilvl w:val="0"/>
          <w:numId w:val="7"/>
        </w:numPr>
        <w:tabs>
          <w:tab w:val="left" w:pos="0"/>
        </w:tabs>
        <w:spacing w:afterLines="80" w:after="192"/>
        <w:ind w:left="0" w:firstLine="0"/>
        <w:rPr>
          <w:lang w:val="es-ES"/>
        </w:rPr>
      </w:pPr>
      <w:r w:rsidRPr="00FF69A3">
        <w:rPr>
          <w:rFonts w:eastAsia="Arial"/>
          <w:szCs w:val="22"/>
          <w:lang w:val="es-ES"/>
        </w:rPr>
        <w:t xml:space="preserve">Tras la conferencia, se publicó una noticia en </w:t>
      </w:r>
      <w:hyperlink r:id="rId13" w:history="1">
        <w:r w:rsidRPr="00FF69A3">
          <w:rPr>
            <w:rFonts w:eastAsia="Arial"/>
            <w:color w:val="0000FF"/>
            <w:szCs w:val="22"/>
            <w:u w:val="single"/>
            <w:lang w:val="es-ES"/>
          </w:rPr>
          <w:t>el sitio web de la OMPI</w:t>
        </w:r>
      </w:hyperlink>
      <w:r w:rsidRPr="00FF69A3">
        <w:rPr>
          <w:rFonts w:eastAsia="Arial"/>
          <w:szCs w:val="22"/>
          <w:lang w:val="es-ES"/>
        </w:rPr>
        <w:t xml:space="preserve"> y en la edición de diciembre de </w:t>
      </w:r>
      <w:hyperlink r:id="rId14" w:history="1">
        <w:r w:rsidRPr="00FF69A3">
          <w:rPr>
            <w:rFonts w:eastAsia="Arial"/>
            <w:color w:val="0000FF"/>
            <w:szCs w:val="22"/>
            <w:u w:val="single"/>
            <w:lang w:val="es-ES"/>
          </w:rPr>
          <w:t>WIPO Wire</w:t>
        </w:r>
        <w:bookmarkStart w:id="5" w:name="_GoBack"/>
        <w:bookmarkEnd w:id="5"/>
      </w:hyperlink>
      <w:r w:rsidRPr="00FF69A3">
        <w:rPr>
          <w:rFonts w:eastAsia="Arial"/>
          <w:szCs w:val="22"/>
          <w:lang w:val="es-ES"/>
        </w:rPr>
        <w:t xml:space="preserve">, principal boletín de la Organización. Las fotografías tomadas durante el evento se publicaron en la </w:t>
      </w:r>
      <w:hyperlink r:id="rId15" w:history="1">
        <w:r w:rsidRPr="00FF69A3">
          <w:rPr>
            <w:rFonts w:eastAsia="Arial"/>
            <w:color w:val="0000FF"/>
            <w:szCs w:val="22"/>
            <w:u w:val="single"/>
            <w:lang w:val="es-ES"/>
          </w:rPr>
          <w:t>cuenta de flicker de la Organización</w:t>
        </w:r>
      </w:hyperlink>
      <w:r w:rsidRPr="00FF69A3">
        <w:rPr>
          <w:rFonts w:eastAsia="Arial"/>
          <w:szCs w:val="22"/>
          <w:lang w:val="es-ES"/>
        </w:rPr>
        <w:t>.</w:t>
      </w:r>
    </w:p>
    <w:p w:rsidR="007C0797" w:rsidRPr="00FF69A3" w:rsidRDefault="007C0797" w:rsidP="00F165D6">
      <w:pPr>
        <w:pStyle w:val="ListParagraph"/>
        <w:tabs>
          <w:tab w:val="left" w:pos="0"/>
        </w:tabs>
        <w:spacing w:afterLines="80" w:after="192"/>
        <w:ind w:left="0"/>
        <w:rPr>
          <w:lang w:val="es-ES"/>
        </w:rPr>
      </w:pPr>
    </w:p>
    <w:p w:rsidR="007C0797" w:rsidRPr="00FF69A3" w:rsidRDefault="00BE577A" w:rsidP="00F165D6">
      <w:pPr>
        <w:pStyle w:val="Heading1"/>
        <w:numPr>
          <w:ilvl w:val="0"/>
          <w:numId w:val="8"/>
        </w:numPr>
        <w:spacing w:afterLines="80" w:after="192"/>
        <w:ind w:left="540" w:hanging="540"/>
        <w:contextualSpacing/>
        <w:rPr>
          <w:b w:val="0"/>
        </w:rPr>
      </w:pPr>
      <w:r w:rsidRPr="00FF69A3">
        <w:rPr>
          <w:rFonts w:eastAsia="Arial"/>
          <w:b w:val="0"/>
          <w:szCs w:val="22"/>
        </w:rPr>
        <w:t>ASPECTOS DESTACADOS DE LOS DEBATES</w:t>
      </w:r>
    </w:p>
    <w:p w:rsidR="007C0797" w:rsidRPr="00FF69A3" w:rsidRDefault="00BE577A" w:rsidP="00F165D6">
      <w:pPr>
        <w:pStyle w:val="ListParagraph"/>
        <w:numPr>
          <w:ilvl w:val="0"/>
          <w:numId w:val="7"/>
        </w:numPr>
        <w:tabs>
          <w:tab w:val="left" w:pos="0"/>
        </w:tabs>
        <w:spacing w:afterLines="80" w:after="192"/>
        <w:ind w:left="0" w:firstLine="0"/>
        <w:rPr>
          <w:lang w:val="es-ES"/>
        </w:rPr>
      </w:pPr>
      <w:r w:rsidRPr="00FF69A3">
        <w:rPr>
          <w:rFonts w:eastAsia="Arial"/>
          <w:szCs w:val="22"/>
          <w:lang w:val="es-ES"/>
        </w:rPr>
        <w:t xml:space="preserve">A </w:t>
      </w:r>
      <w:r w:rsidR="00FF69A3" w:rsidRPr="00FF69A3">
        <w:rPr>
          <w:rFonts w:eastAsia="Arial"/>
          <w:szCs w:val="22"/>
          <w:lang w:val="es-ES"/>
        </w:rPr>
        <w:t>continuación,</w:t>
      </w:r>
      <w:r w:rsidRPr="00FF69A3">
        <w:rPr>
          <w:rFonts w:eastAsia="Arial"/>
          <w:szCs w:val="22"/>
          <w:lang w:val="es-ES"/>
        </w:rPr>
        <w:t xml:space="preserve"> se presenta un breve resumen de los puntos más destacados de los debates celebrados durante la conferencia.</w:t>
      </w:r>
    </w:p>
    <w:p w:rsidR="007C0797" w:rsidRPr="00FF69A3" w:rsidRDefault="004A530A" w:rsidP="00F165D6">
      <w:pPr>
        <w:pStyle w:val="Heading2"/>
        <w:numPr>
          <w:ilvl w:val="0"/>
          <w:numId w:val="10"/>
        </w:numPr>
        <w:spacing w:afterLines="80" w:after="192"/>
        <w:ind w:left="576" w:hanging="288"/>
        <w:contextualSpacing/>
        <w:rPr>
          <w:u w:val="single"/>
        </w:rPr>
      </w:pPr>
      <w:r w:rsidRPr="00FF69A3">
        <w:rPr>
          <w:rFonts w:eastAsia="Arial"/>
          <w:szCs w:val="22"/>
          <w:u w:val="single"/>
        </w:rPr>
        <w:t>mesa redonda 1</w:t>
      </w:r>
    </w:p>
    <w:p w:rsidR="007C0797" w:rsidRPr="00FF69A3" w:rsidRDefault="00BE577A" w:rsidP="00F165D6">
      <w:pPr>
        <w:pStyle w:val="ListParagraph"/>
        <w:numPr>
          <w:ilvl w:val="0"/>
          <w:numId w:val="7"/>
        </w:numPr>
        <w:tabs>
          <w:tab w:val="left" w:pos="0"/>
        </w:tabs>
        <w:spacing w:afterLines="80" w:after="192"/>
        <w:ind w:left="0" w:firstLine="0"/>
        <w:rPr>
          <w:lang w:val="es-ES"/>
        </w:rPr>
      </w:pPr>
      <w:r w:rsidRPr="00FF69A3">
        <w:rPr>
          <w:rFonts w:eastAsia="Arial"/>
          <w:szCs w:val="22"/>
          <w:lang w:val="es-ES"/>
        </w:rPr>
        <w:t xml:space="preserve">La primera mesa redonda abordó la cuestión general que plantea el tema de la conferencia: cómo las ideas innovadoras y creativas pueden contribuir a encontrar sinergias entre la consecución de los objetivos de desarrollo y la adopción de políticas ecológicas. La mesa redonda comenzó con la presentación de la </w:t>
      </w:r>
      <w:r w:rsidR="004A530A" w:rsidRPr="00FF69A3">
        <w:rPr>
          <w:rFonts w:eastAsia="Arial"/>
          <w:szCs w:val="22"/>
          <w:lang w:val="es-ES"/>
        </w:rPr>
        <w:t>Sra. </w:t>
      </w:r>
      <w:r w:rsidRPr="00FF69A3">
        <w:rPr>
          <w:rFonts w:eastAsia="Arial"/>
          <w:szCs w:val="22"/>
          <w:lang w:val="es-ES"/>
        </w:rPr>
        <w:t xml:space="preserve">Rose Mwebaza, directora y secretaria de la Junta Asesora del Centro y Red de Tecnología del Clima (CRTC) de la CMNUCC. La </w:t>
      </w:r>
      <w:r w:rsidR="004A530A" w:rsidRPr="00FF69A3">
        <w:rPr>
          <w:rFonts w:eastAsia="Arial"/>
          <w:szCs w:val="22"/>
          <w:lang w:val="es-ES"/>
        </w:rPr>
        <w:t>Sra. </w:t>
      </w:r>
      <w:r w:rsidRPr="00FF69A3">
        <w:rPr>
          <w:rFonts w:eastAsia="Arial"/>
          <w:szCs w:val="22"/>
          <w:lang w:val="es-ES"/>
        </w:rPr>
        <w:t xml:space="preserve">Mwebaza destacó que nos enfrentamos a una crisis planetaria extrema, con enormes consecuencias en todos los ámbitos de nuestra vida, provocada por los fallos de nuestros sistemas. Las soluciones innovadoras son vitales para transformar esos sistemas y reducir la presión sobre nuestro planeta. Sin embargo, la innovación no solo depende de la ciencia y la tecnología, sino también de los cambios institucionales. Además de la necesidad de canalizar más capital hacia la innovación, los esfuerzos deben dirigirse a garantizar un sistema de PI equilibrado y un sector de investigación y desarrollo (I+D) más equilibrado, en el que los países en desarrollo desempeñen una función más importante liderando la innovación ecológica. La </w:t>
      </w:r>
      <w:r w:rsidR="004A530A" w:rsidRPr="00FF69A3">
        <w:rPr>
          <w:rFonts w:eastAsia="Arial"/>
          <w:szCs w:val="22"/>
          <w:lang w:val="es-ES"/>
        </w:rPr>
        <w:t>Sra. </w:t>
      </w:r>
      <w:r w:rsidRPr="00FF69A3">
        <w:rPr>
          <w:rFonts w:eastAsia="Arial"/>
          <w:szCs w:val="22"/>
          <w:lang w:val="es-ES"/>
        </w:rPr>
        <w:t>Mwebaza también hizo hincapié en el potencial de la innovación para ayudar a desvincular el crecimiento económico del agotamiento de los recursos naturales.</w:t>
      </w:r>
    </w:p>
    <w:p w:rsidR="007C0797" w:rsidRPr="00FF69A3" w:rsidRDefault="007C0797" w:rsidP="00F165D6">
      <w:pPr>
        <w:pStyle w:val="ListParagraph"/>
        <w:tabs>
          <w:tab w:val="left" w:pos="0"/>
        </w:tabs>
        <w:spacing w:afterLines="80" w:after="192"/>
        <w:ind w:left="0"/>
        <w:rPr>
          <w:lang w:val="es-ES"/>
        </w:rPr>
      </w:pPr>
    </w:p>
    <w:p w:rsidR="007C0797" w:rsidRPr="00FF69A3" w:rsidRDefault="00BE577A" w:rsidP="00F165D6">
      <w:pPr>
        <w:pStyle w:val="ListParagraph"/>
        <w:numPr>
          <w:ilvl w:val="0"/>
          <w:numId w:val="7"/>
        </w:numPr>
        <w:tabs>
          <w:tab w:val="left" w:pos="0"/>
        </w:tabs>
        <w:spacing w:afterLines="80" w:after="192"/>
        <w:ind w:left="0" w:firstLine="0"/>
        <w:rPr>
          <w:lang w:val="es-ES"/>
        </w:rPr>
      </w:pPr>
      <w:r w:rsidRPr="00FF69A3">
        <w:rPr>
          <w:rFonts w:eastAsia="Arial"/>
          <w:szCs w:val="22"/>
          <w:lang w:val="es-ES"/>
        </w:rPr>
        <w:t xml:space="preserve">Los participantes formularon comentarios sobre esta exposición. En primer lugar, el </w:t>
      </w:r>
      <w:r w:rsidR="004A530A" w:rsidRPr="00FF69A3">
        <w:rPr>
          <w:rFonts w:eastAsia="Arial"/>
          <w:szCs w:val="22"/>
          <w:lang w:val="es-ES"/>
        </w:rPr>
        <w:t>Sr. </w:t>
      </w:r>
      <w:r w:rsidRPr="00FF69A3">
        <w:rPr>
          <w:rFonts w:eastAsia="Arial"/>
          <w:szCs w:val="22"/>
          <w:lang w:val="es-ES"/>
        </w:rPr>
        <w:t xml:space="preserve">Paul Ekins, profesor de Recursos y Política Ambiental y director del Instituto de Recursos Sostenibles del University College de Londres, hizo referencia a las ideas derivadas de la labor de la </w:t>
      </w:r>
      <w:hyperlink r:id="rId16" w:history="1">
        <w:r w:rsidRPr="00235FB0">
          <w:rPr>
            <w:rFonts w:eastAsia="Arial"/>
            <w:i/>
            <w:color w:val="0000FF"/>
            <w:szCs w:val="22"/>
            <w:u w:val="single"/>
            <w:lang w:val="es-ES"/>
          </w:rPr>
          <w:t>Green Innovation Policy Commission</w:t>
        </w:r>
      </w:hyperlink>
      <w:r w:rsidRPr="00FF69A3">
        <w:rPr>
          <w:rFonts w:eastAsia="Arial"/>
          <w:szCs w:val="22"/>
          <w:lang w:val="es-ES"/>
        </w:rPr>
        <w:t>.</w:t>
      </w:r>
      <w:r w:rsidRPr="00FF69A3">
        <w:rPr>
          <w:rStyle w:val="FootnoteReference"/>
          <w:lang w:val="es-ES"/>
        </w:rPr>
        <w:footnoteReference w:id="6"/>
      </w:r>
      <w:r w:rsidRPr="00FF69A3">
        <w:rPr>
          <w:rFonts w:eastAsia="Arial"/>
          <w:szCs w:val="22"/>
          <w:lang w:val="es-ES"/>
        </w:rPr>
        <w:t xml:space="preserve"> Reiteró el papel fundamental que desempeñan los modelos de negocio y las instituciones en nuestros esfuerzos por acelerar la innovación ecológica y llevar las soluciones ecológicas al mercado. La tarea de poner la innovación al servicio del desarrollo sostenible es compleja, y las recomendaciones </w:t>
      </w:r>
      <w:r w:rsidR="00235FB0">
        <w:rPr>
          <w:rFonts w:eastAsia="Arial"/>
          <w:szCs w:val="22"/>
          <w:lang w:val="es-ES"/>
        </w:rPr>
        <w:t>en materia de política</w:t>
      </w:r>
      <w:r w:rsidRPr="00FF69A3">
        <w:rPr>
          <w:rFonts w:eastAsia="Arial"/>
          <w:szCs w:val="22"/>
          <w:lang w:val="es-ES"/>
        </w:rPr>
        <w:t xml:space="preserve"> son múltiples:</w:t>
      </w:r>
      <w:r w:rsidR="004A530A" w:rsidRPr="00FF69A3">
        <w:rPr>
          <w:rFonts w:eastAsia="Arial"/>
          <w:szCs w:val="22"/>
          <w:lang w:val="es-ES"/>
        </w:rPr>
        <w:t> i</w:t>
      </w:r>
      <w:r w:rsidRPr="00FF69A3">
        <w:rPr>
          <w:rFonts w:eastAsia="Arial"/>
          <w:szCs w:val="22"/>
          <w:lang w:val="es-ES"/>
        </w:rPr>
        <w:t>) crear una demanda de productos y servicios ecológicos innovadores; ii) impulsar las inversiones en innovación ecológica; iii) armonizar la normativa con los objetivos medioambientales y garantizar su observancia;</w:t>
      </w:r>
      <w:r w:rsidR="004A530A" w:rsidRPr="00FF69A3">
        <w:rPr>
          <w:rFonts w:eastAsia="Arial"/>
          <w:szCs w:val="22"/>
          <w:lang w:val="es-ES"/>
        </w:rPr>
        <w:t> iv</w:t>
      </w:r>
      <w:r w:rsidRPr="00FF69A3">
        <w:rPr>
          <w:rFonts w:eastAsia="Arial"/>
          <w:szCs w:val="22"/>
          <w:lang w:val="es-ES"/>
        </w:rPr>
        <w:t>) fomentar el establecimiento de ecosistemas, apoyando las colaboraciones intersectoriales y la I+D equilibrada;</w:t>
      </w:r>
      <w:r w:rsidR="004A530A" w:rsidRPr="00FF69A3">
        <w:rPr>
          <w:rFonts w:eastAsia="Arial"/>
          <w:szCs w:val="22"/>
          <w:lang w:val="es-ES"/>
        </w:rPr>
        <w:t> v</w:t>
      </w:r>
      <w:r w:rsidRPr="00FF69A3">
        <w:rPr>
          <w:rFonts w:eastAsia="Arial"/>
          <w:szCs w:val="22"/>
          <w:lang w:val="es-ES"/>
        </w:rPr>
        <w:t xml:space="preserve">) hacer que las infraestructuras funcionen para una economía más ecológica; y vi) crear nuevos mecanismos de gobernanza para fomentar una recuperación ecológica. El </w:t>
      </w:r>
      <w:r w:rsidR="004A530A" w:rsidRPr="00FF69A3">
        <w:rPr>
          <w:rFonts w:eastAsia="Arial"/>
          <w:szCs w:val="22"/>
          <w:lang w:val="es-ES"/>
        </w:rPr>
        <w:t>Sr. </w:t>
      </w:r>
      <w:r w:rsidRPr="00FF69A3">
        <w:rPr>
          <w:rFonts w:eastAsia="Arial"/>
          <w:szCs w:val="22"/>
          <w:lang w:val="es-ES"/>
        </w:rPr>
        <w:t>Ekins señaló una serie de carencias detectadas en distintos sectores que frenan la innovación ecológica, como la escasa demanda de tecnologías ecológicas en el sector alimentario o la falta de ambición de la regulación en el sector de la construcción.</w:t>
      </w:r>
    </w:p>
    <w:p w:rsidR="007C0797" w:rsidRPr="00FF69A3" w:rsidRDefault="007C0797" w:rsidP="00F165D6">
      <w:pPr>
        <w:pStyle w:val="ListParagraph"/>
        <w:spacing w:afterLines="80" w:after="192"/>
        <w:rPr>
          <w:lang w:val="es-ES"/>
        </w:rPr>
      </w:pPr>
    </w:p>
    <w:p w:rsidR="00313C89" w:rsidRDefault="00BE577A" w:rsidP="00235FB0">
      <w:pPr>
        <w:pStyle w:val="ListParagraph"/>
        <w:numPr>
          <w:ilvl w:val="0"/>
          <w:numId w:val="7"/>
        </w:numPr>
        <w:tabs>
          <w:tab w:val="left" w:pos="0"/>
        </w:tabs>
        <w:spacing w:afterLines="80" w:after="192"/>
        <w:ind w:left="0" w:firstLine="0"/>
        <w:rPr>
          <w:rFonts w:eastAsia="Arial"/>
          <w:szCs w:val="22"/>
          <w:lang w:val="es-ES"/>
        </w:rPr>
      </w:pPr>
      <w:r w:rsidRPr="00FF69A3">
        <w:rPr>
          <w:rFonts w:eastAsia="Arial"/>
          <w:szCs w:val="22"/>
          <w:lang w:val="es-ES"/>
        </w:rPr>
        <w:t xml:space="preserve">El </w:t>
      </w:r>
      <w:r w:rsidR="004A530A" w:rsidRPr="00FF69A3">
        <w:rPr>
          <w:rFonts w:eastAsia="Arial"/>
          <w:szCs w:val="22"/>
          <w:lang w:val="es-ES"/>
        </w:rPr>
        <w:t>Sr. </w:t>
      </w:r>
      <w:r w:rsidRPr="00FF69A3">
        <w:rPr>
          <w:rFonts w:eastAsia="Arial"/>
          <w:szCs w:val="22"/>
          <w:lang w:val="es-ES"/>
        </w:rPr>
        <w:t xml:space="preserve">Alejandro Ortega, cofundador y jefe ejecutivo de Sibö, hizo hincapié en los obstáculos a los que se enfrentan los empresarios en el ámbito de la innovación ecológica, basándose en la experiencia de su propia empresa, que produce ingredientes </w:t>
      </w:r>
      <w:r w:rsidR="00235FB0" w:rsidRPr="00235FB0">
        <w:rPr>
          <w:rFonts w:eastAsia="Arial"/>
          <w:szCs w:val="22"/>
          <w:lang w:val="es-ES"/>
        </w:rPr>
        <w:t xml:space="preserve">alimenticios </w:t>
      </w:r>
      <w:r w:rsidRPr="00FF69A3">
        <w:rPr>
          <w:rFonts w:eastAsia="Arial"/>
          <w:szCs w:val="22"/>
          <w:lang w:val="es-ES"/>
        </w:rPr>
        <w:t xml:space="preserve">a base de insectos mediante un método innovador, que no genera residuos y usa una cadena de suministro social. Los retos son variados y comprenden desde la existencia de reglamentos anticuados y la rigidez de las políticas hasta la falta de capital, el acceso limitado a los instrumentos y equipos necesarios para desarrollar ideas, la experiencia en materia de protección de la propiedad intelectual, la creación de modelos de negocios y otras capacidades técnicas. Los esfuerzos deben dirigirse a crear y reforzar los puentes entre el mundo desarrollado y el mundo en desarrollo para superar esos retos. Deben tener como objetivo fomentar la innovación ecológica de los pueblos más vulnerables a la crisis medioambiental, con el fin de generar la innovación para las necesidades actuales. La asistencia prestada por el programa </w:t>
      </w:r>
      <w:hyperlink r:id="rId17" w:history="1">
        <w:r w:rsidRPr="00FF69A3">
          <w:rPr>
            <w:rFonts w:eastAsia="Arial"/>
            <w:color w:val="0000FF"/>
            <w:szCs w:val="22"/>
            <w:u w:val="single"/>
            <w:lang w:val="es-ES"/>
          </w:rPr>
          <w:t>Accelerate</w:t>
        </w:r>
        <w:r w:rsidR="004A530A" w:rsidRPr="00FF69A3">
          <w:rPr>
            <w:rFonts w:eastAsia="Arial"/>
            <w:color w:val="0000FF"/>
            <w:szCs w:val="22"/>
            <w:u w:val="single"/>
            <w:lang w:val="es-ES"/>
          </w:rPr>
          <w:t> 2</w:t>
        </w:r>
        <w:r w:rsidRPr="00FF69A3">
          <w:rPr>
            <w:rFonts w:eastAsia="Arial"/>
            <w:color w:val="0000FF"/>
            <w:szCs w:val="22"/>
            <w:u w:val="single"/>
            <w:lang w:val="es-ES"/>
          </w:rPr>
          <w:t>030</w:t>
        </w:r>
      </w:hyperlink>
      <w:r w:rsidRPr="00FF69A3">
        <w:rPr>
          <w:rFonts w:eastAsia="Arial"/>
          <w:szCs w:val="22"/>
          <w:lang w:val="es-ES"/>
        </w:rPr>
        <w:t>, cuyo objetivo es extender las soluciones innovadoras de los emprendedores de los países en desarrollo que contribuyen a la consecución de los ODS, es un buen ejemplo de dichos esfuerzos.</w:t>
      </w:r>
    </w:p>
    <w:p w:rsidR="007C0797" w:rsidRPr="00FF69A3" w:rsidRDefault="004A530A" w:rsidP="00F165D6">
      <w:pPr>
        <w:pStyle w:val="Heading2"/>
        <w:numPr>
          <w:ilvl w:val="0"/>
          <w:numId w:val="10"/>
        </w:numPr>
        <w:spacing w:afterLines="80" w:after="192"/>
        <w:ind w:left="576" w:hanging="288"/>
        <w:contextualSpacing/>
        <w:rPr>
          <w:u w:val="single"/>
        </w:rPr>
      </w:pPr>
      <w:r w:rsidRPr="00FF69A3">
        <w:rPr>
          <w:rFonts w:eastAsia="Arial"/>
          <w:szCs w:val="22"/>
          <w:u w:val="single"/>
        </w:rPr>
        <w:t>mesa redonda 2</w:t>
      </w:r>
    </w:p>
    <w:p w:rsidR="00313C89" w:rsidRDefault="00BE577A" w:rsidP="00F165D6">
      <w:pPr>
        <w:pStyle w:val="ListParagraph"/>
        <w:numPr>
          <w:ilvl w:val="0"/>
          <w:numId w:val="7"/>
        </w:numPr>
        <w:tabs>
          <w:tab w:val="left" w:pos="0"/>
        </w:tabs>
        <w:spacing w:afterLines="80" w:after="192"/>
        <w:ind w:left="0" w:firstLine="0"/>
        <w:rPr>
          <w:rFonts w:eastAsia="Arial"/>
          <w:szCs w:val="22"/>
          <w:lang w:val="es-ES"/>
        </w:rPr>
      </w:pPr>
      <w:r w:rsidRPr="00FF69A3">
        <w:rPr>
          <w:rFonts w:eastAsia="Arial"/>
          <w:szCs w:val="22"/>
          <w:lang w:val="es-ES"/>
        </w:rPr>
        <w:t xml:space="preserve">La segunda mesa redonda trató de la función de los diferentes derechos de PI en el ámbito de la tecnología ecológica. El ponente, </w:t>
      </w:r>
      <w:r w:rsidR="004A530A" w:rsidRPr="00FF69A3">
        <w:rPr>
          <w:rFonts w:eastAsia="Arial"/>
          <w:szCs w:val="22"/>
          <w:lang w:val="es-ES"/>
        </w:rPr>
        <w:t>Sr. </w:t>
      </w:r>
      <w:r w:rsidRPr="00FF69A3">
        <w:rPr>
          <w:rFonts w:eastAsia="Arial"/>
          <w:szCs w:val="22"/>
          <w:lang w:val="es-ES"/>
        </w:rPr>
        <w:t>Mikael Rüdlinger, inventor y presidente del consejo de administración de BNL Clean Energy, presentó la experiencia y la práctica en el ámbito de la propiedad intelectual de su empresa, que desarrolla y produce centrales eléctricas y tecnologías de tratamiento de aguas que no generan emisiones ni residuos. BNL posee más de</w:t>
      </w:r>
      <w:r w:rsidR="004A530A" w:rsidRPr="00FF69A3">
        <w:rPr>
          <w:rFonts w:eastAsia="Arial"/>
          <w:szCs w:val="22"/>
          <w:lang w:val="es-ES"/>
        </w:rPr>
        <w:t> 4</w:t>
      </w:r>
      <w:r w:rsidRPr="00FF69A3">
        <w:rPr>
          <w:rFonts w:eastAsia="Arial"/>
          <w:szCs w:val="22"/>
          <w:lang w:val="es-ES"/>
        </w:rPr>
        <w:t xml:space="preserve">00 patentes y ha realizado grandes inversiones destinadas a la protección de la propiedad intelectual relativa a diferentes tipos de tecnologías sostenibles. La observancia de los derechos de PI es fundamental; se debe exigir a las empresas del sector de las tecnologías ecológicas que soliciten ayudas o subvenciones que cumplan el reglamento sobre propiedad intelectual. El </w:t>
      </w:r>
      <w:r w:rsidR="004A530A" w:rsidRPr="00FF69A3">
        <w:rPr>
          <w:rFonts w:eastAsia="Arial"/>
          <w:szCs w:val="22"/>
          <w:lang w:val="es-ES"/>
        </w:rPr>
        <w:t>Sr. </w:t>
      </w:r>
      <w:r w:rsidRPr="00FF69A3">
        <w:rPr>
          <w:rFonts w:eastAsia="Arial"/>
          <w:szCs w:val="22"/>
          <w:lang w:val="es-ES"/>
        </w:rPr>
        <w:t>Rudlinger también destacó la importancia de hacer que la innovación ecológica sea accesible para todos, por ejemplo, mediante el desarrollo de tecnologías certificadas y normalizadas</w:t>
      </w:r>
      <w:r w:rsidR="00C655CB">
        <w:rPr>
          <w:rFonts w:eastAsia="Arial"/>
          <w:szCs w:val="22"/>
          <w:lang w:val="es-ES"/>
        </w:rPr>
        <w:t>,</w:t>
      </w:r>
      <w:r w:rsidR="001D1FF0" w:rsidRPr="00FF69A3">
        <w:rPr>
          <w:rFonts w:eastAsia="Arial"/>
          <w:szCs w:val="22"/>
          <w:lang w:val="es-ES"/>
        </w:rPr>
        <w:t xml:space="preserve"> y recalcó </w:t>
      </w:r>
      <w:r w:rsidRPr="00FF69A3">
        <w:rPr>
          <w:rFonts w:eastAsia="Arial"/>
          <w:szCs w:val="22"/>
          <w:lang w:val="es-ES"/>
        </w:rPr>
        <w:t>la función clave de los bonos verdes.</w:t>
      </w:r>
    </w:p>
    <w:p w:rsidR="007C0797" w:rsidRPr="00FF69A3" w:rsidRDefault="007C0797" w:rsidP="00F165D6">
      <w:pPr>
        <w:pStyle w:val="ListParagraph"/>
        <w:tabs>
          <w:tab w:val="left" w:pos="0"/>
        </w:tabs>
        <w:spacing w:afterLines="80" w:after="192"/>
        <w:ind w:left="0"/>
        <w:rPr>
          <w:lang w:val="es-ES"/>
        </w:rPr>
      </w:pPr>
    </w:p>
    <w:p w:rsidR="007C0797" w:rsidRPr="00FF69A3" w:rsidRDefault="00BE577A" w:rsidP="00F165D6">
      <w:pPr>
        <w:pStyle w:val="ListParagraph"/>
        <w:numPr>
          <w:ilvl w:val="0"/>
          <w:numId w:val="7"/>
        </w:numPr>
        <w:tabs>
          <w:tab w:val="left" w:pos="0"/>
        </w:tabs>
        <w:spacing w:afterLines="80" w:after="192"/>
        <w:ind w:left="0" w:firstLine="0"/>
        <w:rPr>
          <w:lang w:val="es-ES"/>
        </w:rPr>
      </w:pPr>
      <w:r w:rsidRPr="00FF69A3">
        <w:rPr>
          <w:rFonts w:eastAsia="Arial"/>
          <w:szCs w:val="22"/>
          <w:lang w:val="es-ES"/>
        </w:rPr>
        <w:t xml:space="preserve">Los participantes formularon comentarios sobre esta exposición. En primer lugar, la </w:t>
      </w:r>
      <w:r w:rsidR="004A530A" w:rsidRPr="00FF69A3">
        <w:rPr>
          <w:rFonts w:eastAsia="Arial"/>
          <w:szCs w:val="22"/>
          <w:lang w:val="es-ES"/>
        </w:rPr>
        <w:t>Sra. </w:t>
      </w:r>
      <w:r w:rsidRPr="00FF69A3">
        <w:rPr>
          <w:rFonts w:eastAsia="Arial"/>
          <w:szCs w:val="22"/>
          <w:lang w:val="es-ES"/>
        </w:rPr>
        <w:t xml:space="preserve">Elisabeth Eppinger, profesora de Tecnología y Economía de la Universidad Berlín, abordó el tema basándose en las conclusiones del proyecto de investigación </w:t>
      </w:r>
      <w:r w:rsidR="004A530A" w:rsidRPr="00FF69A3">
        <w:rPr>
          <w:rFonts w:eastAsia="Arial"/>
          <w:szCs w:val="22"/>
          <w:lang w:val="es-ES"/>
        </w:rPr>
        <w:t>“</w:t>
      </w:r>
      <w:hyperlink r:id="rId18" w:history="1">
        <w:r w:rsidRPr="00FF69A3">
          <w:rPr>
            <w:rFonts w:eastAsia="Arial"/>
            <w:color w:val="0000FF"/>
            <w:szCs w:val="22"/>
            <w:u w:val="single"/>
            <w:lang w:val="es-ES"/>
          </w:rPr>
          <w:t>Modelos de PI para acelerar las transiciones sostenibles</w:t>
        </w:r>
      </w:hyperlink>
      <w:r w:rsidR="00C655CB">
        <w:rPr>
          <w:rFonts w:eastAsia="Arial"/>
          <w:szCs w:val="22"/>
          <w:lang w:val="es-ES"/>
        </w:rPr>
        <w:t>”</w:t>
      </w:r>
      <w:r w:rsidRPr="00FF69A3">
        <w:rPr>
          <w:rFonts w:eastAsia="Arial"/>
          <w:szCs w:val="22"/>
          <w:lang w:val="es-ES"/>
        </w:rPr>
        <w:t>, cuyo objetivo es conocer mejor los debates en torno al uso de la PI para el crecimiento sostenible con la ayuda de pruebas sobre el terreno. Entre otras conclusiones destacan las siguientes: en las primeras etapas del proceso de innovación, los actores del ámbito de la innovación casi siempre se apoyan en la colaboración y en la PI de otros; se utilizan diferentes modelos de PI en la difusión en el mercado; muy pocos utilizan y piensan en la PI como una herramienta para aumentar la incidencia de la sostenibilidad; la PI se utiliza para atraer inversiones y adquisiciones; y algunos adoptan un enfoque diferenciado para la concesión de licencias en los países en desarrollo a fin de facilitar el desarrollo económico. En general, las personas innovadoras están dispuestas a compartir más, pero las empresas tienden a centrarse en el desarrollo de sus productos y apenas toman ninguna medida para compartir. Por ello, es necesario incentivar este intercambio, apoyando las infraestructuras y los intermediarios, y sensibilizando sobre los beneficios de la incidencia de la sostenibilidad.</w:t>
      </w:r>
    </w:p>
    <w:p w:rsidR="007C0797" w:rsidRPr="00FF69A3" w:rsidRDefault="007C0797" w:rsidP="00F165D6">
      <w:pPr>
        <w:pStyle w:val="ListParagraph"/>
        <w:spacing w:afterLines="80" w:after="192"/>
        <w:rPr>
          <w:lang w:val="es-ES"/>
        </w:rPr>
      </w:pPr>
    </w:p>
    <w:p w:rsidR="007C0797" w:rsidRPr="00FF69A3" w:rsidRDefault="00BE577A" w:rsidP="00F165D6">
      <w:pPr>
        <w:pStyle w:val="ListParagraph"/>
        <w:numPr>
          <w:ilvl w:val="0"/>
          <w:numId w:val="7"/>
        </w:numPr>
        <w:tabs>
          <w:tab w:val="left" w:pos="0"/>
        </w:tabs>
        <w:spacing w:afterLines="80" w:after="192"/>
        <w:ind w:left="0" w:firstLine="0"/>
        <w:rPr>
          <w:lang w:val="es-ES"/>
        </w:rPr>
      </w:pPr>
      <w:r w:rsidRPr="00FF69A3">
        <w:rPr>
          <w:rFonts w:eastAsia="Arial"/>
          <w:szCs w:val="22"/>
          <w:lang w:val="es-ES"/>
        </w:rPr>
        <w:t xml:space="preserve">El </w:t>
      </w:r>
      <w:r w:rsidR="004A530A" w:rsidRPr="00FF69A3">
        <w:rPr>
          <w:rFonts w:eastAsia="Arial"/>
          <w:szCs w:val="22"/>
          <w:lang w:val="es-ES"/>
        </w:rPr>
        <w:t>Sr. </w:t>
      </w:r>
      <w:r w:rsidRPr="00FF69A3">
        <w:rPr>
          <w:rFonts w:eastAsia="Arial"/>
          <w:szCs w:val="22"/>
          <w:lang w:val="es-ES"/>
        </w:rPr>
        <w:t xml:space="preserve">Rafael Carmona, director tecnológico de GreenMomentum, una empresa privada mexicana que apoya a los emprendedores en el ámbito del desarrollo de tecnologías limpias, dio ejemplos de cómo esos emprendedores utilizan la propiedad intelectual en su beneficio y los desafíos con los que se encuentran. Son muchos los obstáculos que les impiden aprovechar al máximo el sistema de PI para proteger sus innovaciones, desde la falta de recursos hasta sus </w:t>
      </w:r>
      <w:r w:rsidR="001D1FF0" w:rsidRPr="00FF69A3">
        <w:rPr>
          <w:rFonts w:eastAsia="Arial"/>
          <w:szCs w:val="22"/>
          <w:lang w:val="es-ES"/>
        </w:rPr>
        <w:t>limitadas</w:t>
      </w:r>
      <w:r w:rsidRPr="00FF69A3">
        <w:rPr>
          <w:rFonts w:eastAsia="Arial"/>
          <w:szCs w:val="22"/>
          <w:lang w:val="es-ES"/>
        </w:rPr>
        <w:t xml:space="preserve"> capacidad</w:t>
      </w:r>
      <w:r w:rsidR="001D1FF0" w:rsidRPr="00FF69A3">
        <w:rPr>
          <w:rFonts w:eastAsia="Arial"/>
          <w:szCs w:val="22"/>
          <w:lang w:val="es-ES"/>
        </w:rPr>
        <w:t>es</w:t>
      </w:r>
      <w:r w:rsidRPr="00FF69A3">
        <w:rPr>
          <w:rFonts w:eastAsia="Arial"/>
          <w:szCs w:val="22"/>
          <w:lang w:val="es-ES"/>
        </w:rPr>
        <w:t xml:space="preserve">. Existen iniciativas en curso que incentivan la innovación en el ámbito de la tecnología ecológica, como los </w:t>
      </w:r>
      <w:r w:rsidR="00C655CB" w:rsidRPr="00FF69A3">
        <w:rPr>
          <w:rFonts w:eastAsia="Arial"/>
          <w:i/>
          <w:iCs/>
          <w:szCs w:val="22"/>
          <w:lang w:val="es-ES"/>
        </w:rPr>
        <w:t>cleantech labs</w:t>
      </w:r>
      <w:r w:rsidRPr="00FF69A3">
        <w:rPr>
          <w:rFonts w:eastAsia="Arial"/>
          <w:szCs w:val="22"/>
          <w:lang w:val="es-ES"/>
        </w:rPr>
        <w:t xml:space="preserve"> –donde los emprendedores pueden acceder a infraestructuras de última generación para desarrollar su tecnología– o el Fondo de Energía Sostenible –que financia la I+D en tecnología limpia y tiene por fin crear sinergias entre el ámbito académico y el sector privado para garantizar la llegada de soluciones ecológicas al mercado–. También existen otras maneras de fomentar la innovación en este ámbito, que abarcan desde la promoción de una cultura de la PI en una fase temprana del desarrollo tecnológico hasta la sensibilización sobre los servicios digitales que prestan las oficinas nacionales de PI, la reducción de los obstáculos jurídicos para la concesión de licencias de patentes o el fortalecimiento de la cooperación internacional entre los inventores de tecnologías ecológicas.</w:t>
      </w:r>
    </w:p>
    <w:p w:rsidR="007C0797" w:rsidRPr="00FF69A3" w:rsidRDefault="004A530A" w:rsidP="00F165D6">
      <w:pPr>
        <w:pStyle w:val="Heading2"/>
        <w:numPr>
          <w:ilvl w:val="0"/>
          <w:numId w:val="10"/>
        </w:numPr>
        <w:spacing w:afterLines="80" w:after="192"/>
        <w:ind w:left="576" w:hanging="288"/>
        <w:contextualSpacing/>
        <w:rPr>
          <w:u w:val="single"/>
        </w:rPr>
      </w:pPr>
      <w:r w:rsidRPr="00FF69A3">
        <w:rPr>
          <w:rFonts w:eastAsia="Arial"/>
          <w:szCs w:val="22"/>
          <w:u w:val="single"/>
        </w:rPr>
        <w:t>mesa redonda 3</w:t>
      </w:r>
    </w:p>
    <w:p w:rsidR="007C0797" w:rsidRPr="00FF69A3" w:rsidRDefault="00BE577A" w:rsidP="00F165D6">
      <w:pPr>
        <w:pStyle w:val="ListParagraph"/>
        <w:numPr>
          <w:ilvl w:val="0"/>
          <w:numId w:val="7"/>
        </w:numPr>
        <w:tabs>
          <w:tab w:val="left" w:pos="0"/>
        </w:tabs>
        <w:spacing w:afterLines="80" w:after="192"/>
        <w:ind w:left="0" w:firstLine="0"/>
        <w:rPr>
          <w:lang w:val="es-ES"/>
        </w:rPr>
      </w:pPr>
      <w:r w:rsidRPr="00FF69A3">
        <w:rPr>
          <w:rFonts w:eastAsia="Arial"/>
          <w:szCs w:val="22"/>
          <w:lang w:val="es-ES"/>
        </w:rPr>
        <w:t xml:space="preserve"> La mesa redonda</w:t>
      </w:r>
      <w:r w:rsidR="004A530A" w:rsidRPr="00FF69A3">
        <w:rPr>
          <w:rFonts w:eastAsia="Arial"/>
          <w:szCs w:val="22"/>
          <w:lang w:val="es-ES"/>
        </w:rPr>
        <w:t> 3</w:t>
      </w:r>
      <w:r w:rsidRPr="00FF69A3">
        <w:rPr>
          <w:rFonts w:eastAsia="Arial"/>
          <w:szCs w:val="22"/>
          <w:lang w:val="es-ES"/>
        </w:rPr>
        <w:t xml:space="preserve"> examinó los retos a los que se enfrentan, los países en desarrollo especialmente, a la hora de fomentar y utilizar las innovaciones ecológicas, así como las políticas y otras iniciativas que podrían adoptarse para abordarlos. El ponente, </w:t>
      </w:r>
      <w:r w:rsidR="004A530A" w:rsidRPr="00FF69A3">
        <w:rPr>
          <w:rFonts w:eastAsia="Arial"/>
          <w:szCs w:val="22"/>
          <w:lang w:val="es-ES"/>
        </w:rPr>
        <w:t>Sr. </w:t>
      </w:r>
      <w:r w:rsidRPr="00FF69A3">
        <w:rPr>
          <w:rFonts w:eastAsia="Arial"/>
          <w:szCs w:val="22"/>
          <w:lang w:val="es-ES"/>
        </w:rPr>
        <w:t>Raghunathan, director general de la Oficina de Singapur del Fondo Mundial para la Naturaleza (WWF), describió los retos que afrontan los países de la ASEAN en el ámbito de la innovación ecológica, así como algunas iniciativas esperanzadoras para el futuro. Los países de la región se enfrentan a múltiples y diversos retos medioambientales, desde la inseguridad alimentaria en Indonesia hasta la pérdida de biodiversidad en Camboya y los riesgos para las poblaciones que viven bajo el nivel del mar en Singapur. Han surgido diferentes soluciones innovadoras para hacerles frente. Un ejemplo es una herramienta de inteligencia artificial que ayuda a los guardabosques a vigilar la presencia de animales en los bosques camboyanos, predice sus movimientos y el riesgo de caza furtiva. Otro es una plataforma, en Indonesia, que canaliza fondos de inversores a agricultores para comprar semillas y cosechar, ayudando a garantizar el suministro de alimentos. Los habitantes de esta zona deberían disponer de más soluciones innovadoras a precios accesibles. Es necesario identificar las invenciones que responden a los desafíos específicos que se plantean y que pueden tener una incidencia real en las poblaciones en general; permitir la financiación; alentar a las empresas, los innovadores y las comunidades a trabajar juntos; y poner en marcha políticas que agilicen la comercialización de la propiedad intelectual.</w:t>
      </w:r>
    </w:p>
    <w:p w:rsidR="007C0797" w:rsidRPr="00FF69A3" w:rsidRDefault="007C0797" w:rsidP="00F165D6">
      <w:pPr>
        <w:pStyle w:val="ListParagraph"/>
        <w:tabs>
          <w:tab w:val="left" w:pos="0"/>
        </w:tabs>
        <w:spacing w:afterLines="80" w:after="192"/>
        <w:ind w:left="0"/>
        <w:rPr>
          <w:lang w:val="es-ES"/>
        </w:rPr>
      </w:pPr>
    </w:p>
    <w:p w:rsidR="00313C89" w:rsidRDefault="00BE577A" w:rsidP="00F165D6">
      <w:pPr>
        <w:pStyle w:val="ListParagraph"/>
        <w:numPr>
          <w:ilvl w:val="0"/>
          <w:numId w:val="7"/>
        </w:numPr>
        <w:tabs>
          <w:tab w:val="left" w:pos="0"/>
        </w:tabs>
        <w:spacing w:afterLines="80" w:after="192"/>
        <w:ind w:left="0" w:firstLine="0"/>
        <w:rPr>
          <w:rFonts w:eastAsia="Arial"/>
          <w:szCs w:val="22"/>
          <w:lang w:val="es-ES"/>
        </w:rPr>
      </w:pPr>
      <w:r w:rsidRPr="00FF69A3">
        <w:rPr>
          <w:rFonts w:eastAsia="Arial"/>
          <w:szCs w:val="22"/>
          <w:lang w:val="es-ES"/>
        </w:rPr>
        <w:t xml:space="preserve">Los participantes formularon comentarios sobre esta exposición. En primer lugar, la </w:t>
      </w:r>
      <w:r w:rsidR="004A530A" w:rsidRPr="00FF69A3">
        <w:rPr>
          <w:rFonts w:eastAsia="Arial"/>
          <w:szCs w:val="22"/>
          <w:lang w:val="es-ES"/>
        </w:rPr>
        <w:t>Sra. </w:t>
      </w:r>
      <w:r w:rsidRPr="00FF69A3">
        <w:rPr>
          <w:rFonts w:eastAsia="Arial"/>
          <w:szCs w:val="22"/>
          <w:lang w:val="es-ES"/>
        </w:rPr>
        <w:t>Amy Dietterich, directora de la División de Desafíos Mundiales de la OMPI, destacó que, a pesar de las enormes oportunidades de mercado que existen en el ámbito de las tecnologías limpias, el</w:t>
      </w:r>
      <w:r w:rsidR="004A530A" w:rsidRPr="00FF69A3">
        <w:rPr>
          <w:rFonts w:eastAsia="Arial"/>
          <w:szCs w:val="22"/>
          <w:lang w:val="es-ES"/>
        </w:rPr>
        <w:t> 9</w:t>
      </w:r>
      <w:r w:rsidRPr="00FF69A3">
        <w:rPr>
          <w:rFonts w:eastAsia="Arial"/>
          <w:szCs w:val="22"/>
          <w:lang w:val="es-ES"/>
        </w:rPr>
        <w:t xml:space="preserve">0% de la innovación ecológica se produce en los países de la OCDE. De ahí la urgente necesidad de iniciativas para reforzar los ecosistemas de innovación nacionales en los países en desarrollo, la transferencia de tecnología y los acuerdos de concesión de licencias y desarrollo en colaboración. Para contribuir a ese proceso, WIPO GREEN, una plataforma que tiene por fin acelerar la transición mundial hacia tecnologías más ecológicas, pone en contacto a las personas que buscan soluciones innovadoras con las que las producen; ofrece una red de especialistas en tecnología ecológica; y proporciona servicios y herramientas para las pymes del sector, especialmente en los países en desarrollo. Por último, la </w:t>
      </w:r>
      <w:r w:rsidR="004A530A" w:rsidRPr="00FF69A3">
        <w:rPr>
          <w:rFonts w:eastAsia="Arial"/>
          <w:szCs w:val="22"/>
          <w:lang w:val="es-ES"/>
        </w:rPr>
        <w:t>Sra. </w:t>
      </w:r>
      <w:r w:rsidRPr="00FF69A3">
        <w:rPr>
          <w:rFonts w:eastAsia="Arial"/>
          <w:szCs w:val="22"/>
          <w:lang w:val="es-ES"/>
        </w:rPr>
        <w:t>Dietterich compartió sus reflexiones sobre cómo</w:t>
      </w:r>
      <w:r w:rsidR="001D1FF0" w:rsidRPr="00FF69A3">
        <w:rPr>
          <w:rFonts w:eastAsia="Arial"/>
          <w:szCs w:val="22"/>
          <w:lang w:val="es-ES"/>
        </w:rPr>
        <w:t>, a menudo,</w:t>
      </w:r>
      <w:r w:rsidRPr="00FF69A3">
        <w:rPr>
          <w:rFonts w:eastAsia="Arial"/>
          <w:szCs w:val="22"/>
          <w:lang w:val="es-ES"/>
        </w:rPr>
        <w:t xml:space="preserve"> </w:t>
      </w:r>
      <w:r w:rsidR="00363182">
        <w:rPr>
          <w:rFonts w:eastAsia="Arial"/>
          <w:szCs w:val="22"/>
          <w:lang w:val="es-ES"/>
        </w:rPr>
        <w:t xml:space="preserve">una </w:t>
      </w:r>
      <w:r w:rsidRPr="00FF69A3">
        <w:rPr>
          <w:rFonts w:eastAsia="Arial"/>
          <w:szCs w:val="22"/>
          <w:lang w:val="es-ES"/>
        </w:rPr>
        <w:t xml:space="preserve">innovación </w:t>
      </w:r>
      <w:r w:rsidR="00363182">
        <w:rPr>
          <w:rFonts w:eastAsia="Arial"/>
          <w:szCs w:val="22"/>
          <w:lang w:val="es-ES"/>
        </w:rPr>
        <w:t>sencilla</w:t>
      </w:r>
      <w:r w:rsidRPr="00FF69A3">
        <w:rPr>
          <w:rFonts w:eastAsia="Arial"/>
          <w:szCs w:val="22"/>
          <w:lang w:val="es-ES"/>
        </w:rPr>
        <w:t xml:space="preserve"> y de baja tecnología puede ser tan importante como la alta tecnología de vanguardia; sobre la importancia de impulsar la demanda de soluciones innovadoras ecológicas; y sobre la relevancia de desarrollar estrategias a medida para apoyar a los innovadores y los mercados en los países en desarrollo.</w:t>
      </w:r>
    </w:p>
    <w:p w:rsidR="007C0797" w:rsidRPr="00FF69A3" w:rsidRDefault="007C0797" w:rsidP="00F165D6">
      <w:pPr>
        <w:pStyle w:val="ListParagraph"/>
        <w:tabs>
          <w:tab w:val="left" w:pos="0"/>
        </w:tabs>
        <w:spacing w:afterLines="80" w:after="192"/>
        <w:ind w:left="0"/>
        <w:rPr>
          <w:lang w:val="es-ES"/>
        </w:rPr>
      </w:pPr>
    </w:p>
    <w:p w:rsidR="007C0797" w:rsidRPr="00FF69A3" w:rsidRDefault="00BE577A" w:rsidP="00F165D6">
      <w:pPr>
        <w:pStyle w:val="ListParagraph"/>
        <w:numPr>
          <w:ilvl w:val="0"/>
          <w:numId w:val="7"/>
        </w:numPr>
        <w:tabs>
          <w:tab w:val="left" w:pos="0"/>
        </w:tabs>
        <w:spacing w:afterLines="80" w:after="192"/>
        <w:ind w:left="0" w:firstLine="0"/>
        <w:rPr>
          <w:lang w:val="es-ES"/>
        </w:rPr>
      </w:pPr>
      <w:r w:rsidRPr="00FF69A3">
        <w:rPr>
          <w:rFonts w:eastAsia="Arial"/>
          <w:szCs w:val="22"/>
          <w:lang w:val="es-ES"/>
        </w:rPr>
        <w:t xml:space="preserve">La </w:t>
      </w:r>
      <w:r w:rsidR="004A530A" w:rsidRPr="00FF69A3">
        <w:rPr>
          <w:rFonts w:eastAsia="Arial"/>
          <w:szCs w:val="22"/>
          <w:lang w:val="es-ES"/>
        </w:rPr>
        <w:t>Sra. </w:t>
      </w:r>
      <w:r w:rsidRPr="00FF69A3">
        <w:rPr>
          <w:rFonts w:eastAsia="Arial"/>
          <w:szCs w:val="22"/>
          <w:lang w:val="es-ES"/>
        </w:rPr>
        <w:t>Leena Pishe Thomas, directora de Global Business Inroads (GBI), describió la experiencia de GBI ante los retos mencionados durante los debates de la conferencia, en particular el desequilibrio en el acceso a las tecnologías ecológicas en el mundo desarrollado y en el mundo en desarrollo. La empresa GBI, especializada en la prestación de servicios de consultoría sobre gestión de la tecnología y la innovación, quiere facilitar el acceso a las tecnologías limpias y su implantación en la India. Algunos de los retos a los que se enfrenta este país en su búsqueda de sostenibilidad está</w:t>
      </w:r>
      <w:r w:rsidR="00363182">
        <w:rPr>
          <w:rFonts w:eastAsia="Arial"/>
          <w:szCs w:val="22"/>
          <w:lang w:val="es-ES"/>
        </w:rPr>
        <w:t>n</w:t>
      </w:r>
      <w:r w:rsidRPr="00FF69A3">
        <w:rPr>
          <w:rFonts w:eastAsia="Arial"/>
          <w:szCs w:val="22"/>
          <w:lang w:val="es-ES"/>
        </w:rPr>
        <w:t xml:space="preserve"> relacionados con las dificultades para definir los indicadores clave, la financiación, el seguimiento y la titularidad del proceso de aplicación y la medición de los avances. Sin embargo, han surgido </w:t>
      </w:r>
      <w:r w:rsidR="001D1FF0" w:rsidRPr="00FF69A3">
        <w:rPr>
          <w:rFonts w:eastAsia="Arial"/>
          <w:szCs w:val="22"/>
          <w:lang w:val="es-ES"/>
        </w:rPr>
        <w:t>numerosos</w:t>
      </w:r>
      <w:r w:rsidRPr="00FF69A3">
        <w:rPr>
          <w:rFonts w:eastAsia="Arial"/>
          <w:szCs w:val="22"/>
          <w:lang w:val="es-ES"/>
        </w:rPr>
        <w:t xml:space="preserve"> proyectos y programas de crecimiento ecológico que han tenido éxito y han permitido reducir las emisiones y disminuir la dependencia del país de los combustibles fósiles. Se han canalizado grandes inversiones hacia las incubadoras de tecnologías limpias, se ha hecho hincapié en el apoyo a las empresarias y los gobiernos a diferentes niveles han </w:t>
      </w:r>
      <w:r w:rsidR="00A43A2D">
        <w:rPr>
          <w:rFonts w:eastAsia="Arial"/>
          <w:szCs w:val="22"/>
          <w:lang w:val="es-ES"/>
        </w:rPr>
        <w:t xml:space="preserve">adoptado iniciativas </w:t>
      </w:r>
      <w:r w:rsidRPr="00FF69A3">
        <w:rPr>
          <w:rFonts w:eastAsia="Arial"/>
          <w:szCs w:val="22"/>
          <w:lang w:val="es-ES"/>
        </w:rPr>
        <w:t xml:space="preserve">y se han coordinado. En el futuro, el reto consistirá en </w:t>
      </w:r>
      <w:r w:rsidR="00A43A2D">
        <w:rPr>
          <w:rFonts w:eastAsia="Arial"/>
          <w:szCs w:val="22"/>
          <w:lang w:val="es-ES"/>
        </w:rPr>
        <w:t xml:space="preserve">llevar </w:t>
      </w:r>
      <w:r w:rsidRPr="00FF69A3">
        <w:rPr>
          <w:rFonts w:eastAsia="Arial"/>
          <w:szCs w:val="22"/>
          <w:lang w:val="es-ES"/>
        </w:rPr>
        <w:t>esos éxitos a un nivel superior. El trabajo en red sigue siendo clave en ese proceso.</w:t>
      </w:r>
    </w:p>
    <w:p w:rsidR="007C0797" w:rsidRPr="00FF69A3" w:rsidRDefault="007C0797" w:rsidP="00F165D6">
      <w:pPr>
        <w:pStyle w:val="ListParagraph"/>
        <w:tabs>
          <w:tab w:val="left" w:pos="0"/>
        </w:tabs>
        <w:spacing w:afterLines="80" w:after="192"/>
        <w:ind w:left="0"/>
        <w:rPr>
          <w:lang w:val="es-ES"/>
        </w:rPr>
      </w:pPr>
    </w:p>
    <w:p w:rsidR="007C0797" w:rsidRPr="00FF69A3" w:rsidRDefault="00BE577A" w:rsidP="00F165D6">
      <w:pPr>
        <w:pStyle w:val="Heading1"/>
        <w:numPr>
          <w:ilvl w:val="0"/>
          <w:numId w:val="8"/>
        </w:numPr>
        <w:spacing w:afterLines="80" w:after="192"/>
        <w:ind w:left="288" w:hanging="288"/>
        <w:contextualSpacing/>
        <w:rPr>
          <w:b w:val="0"/>
        </w:rPr>
      </w:pPr>
      <w:r w:rsidRPr="00FF69A3">
        <w:rPr>
          <w:rFonts w:eastAsia="Arial"/>
          <w:b w:val="0"/>
          <w:caps w:val="0"/>
          <w:szCs w:val="22"/>
        </w:rPr>
        <w:t>CONCLUSIÓN</w:t>
      </w:r>
    </w:p>
    <w:p w:rsidR="00313C89" w:rsidRDefault="00BE577A" w:rsidP="00F165D6">
      <w:pPr>
        <w:pStyle w:val="ListParagraph"/>
        <w:numPr>
          <w:ilvl w:val="0"/>
          <w:numId w:val="7"/>
        </w:numPr>
        <w:tabs>
          <w:tab w:val="left" w:pos="0"/>
        </w:tabs>
        <w:spacing w:afterLines="80" w:after="192"/>
        <w:ind w:left="0" w:firstLine="0"/>
        <w:rPr>
          <w:rFonts w:eastAsia="Arial"/>
          <w:szCs w:val="22"/>
          <w:lang w:val="es-ES"/>
        </w:rPr>
      </w:pPr>
      <w:r w:rsidRPr="00FF69A3">
        <w:rPr>
          <w:rFonts w:eastAsia="Arial"/>
          <w:szCs w:val="22"/>
          <w:lang w:val="es-ES"/>
        </w:rPr>
        <w:t>En general, puede considerarse que la conferencia fue un éxito. La pertinencia y actualidad del tema atrajo a un gran número de participantes diversos. La participación del público y los comentarios recibidos de los ponentes, los moderadores, el personal de la OMPI y los participantes que respondieron a la encuesta de satisfacción o que expresaron de manera informal sus opiniones durante el evento reafirman esta opinión. Se espera que las ponencias, la grabación en v</w:t>
      </w:r>
      <w:r w:rsidR="001D1FF0" w:rsidRPr="00FF69A3">
        <w:rPr>
          <w:rFonts w:eastAsia="Arial"/>
          <w:szCs w:val="22"/>
          <w:lang w:val="es-ES"/>
        </w:rPr>
        <w:t>i</w:t>
      </w:r>
      <w:r w:rsidRPr="00FF69A3">
        <w:rPr>
          <w:rFonts w:eastAsia="Arial"/>
          <w:szCs w:val="22"/>
          <w:lang w:val="es-ES"/>
        </w:rPr>
        <w:t xml:space="preserve">deo de los debates y el resto del material disponible en la </w:t>
      </w:r>
      <w:hyperlink r:id="rId19" w:history="1">
        <w:r w:rsidRPr="00FF69A3">
          <w:rPr>
            <w:rFonts w:eastAsia="Arial"/>
            <w:color w:val="0000FF"/>
            <w:szCs w:val="22"/>
            <w:u w:val="single"/>
            <w:lang w:val="es-ES"/>
          </w:rPr>
          <w:t>página web de la conferencia</w:t>
        </w:r>
      </w:hyperlink>
      <w:r w:rsidRPr="00FF69A3">
        <w:rPr>
          <w:rFonts w:eastAsia="Arial"/>
          <w:szCs w:val="22"/>
          <w:lang w:val="es-ES"/>
        </w:rPr>
        <w:t xml:space="preserve"> sigan siendo de utilidad para los Estados miembros y otras partes interesadas.</w:t>
      </w:r>
    </w:p>
    <w:p w:rsidR="007C0797" w:rsidRPr="00FF69A3" w:rsidRDefault="007C0797" w:rsidP="00F165D6">
      <w:pPr>
        <w:pStyle w:val="ListParagraph"/>
        <w:tabs>
          <w:tab w:val="left" w:pos="0"/>
        </w:tabs>
        <w:spacing w:afterLines="80" w:after="192"/>
        <w:ind w:left="0"/>
        <w:rPr>
          <w:lang w:val="es-ES"/>
        </w:rPr>
      </w:pPr>
    </w:p>
    <w:p w:rsidR="007C0797" w:rsidRPr="00FF69A3" w:rsidRDefault="007C0797" w:rsidP="00F165D6">
      <w:pPr>
        <w:pStyle w:val="ListParagraph"/>
        <w:tabs>
          <w:tab w:val="left" w:pos="0"/>
        </w:tabs>
        <w:spacing w:afterLines="80" w:after="192"/>
        <w:ind w:left="0"/>
        <w:rPr>
          <w:lang w:val="es-ES"/>
        </w:rPr>
      </w:pPr>
    </w:p>
    <w:p w:rsidR="007C0797" w:rsidRPr="00FF69A3" w:rsidRDefault="00BE577A" w:rsidP="00F165D6">
      <w:pPr>
        <w:pStyle w:val="ListParagraph"/>
        <w:numPr>
          <w:ilvl w:val="0"/>
          <w:numId w:val="7"/>
        </w:numPr>
        <w:tabs>
          <w:tab w:val="left" w:pos="5812"/>
        </w:tabs>
        <w:spacing w:afterLines="80" w:after="192"/>
        <w:ind w:left="5534" w:firstLine="0"/>
        <w:rPr>
          <w:i/>
          <w:lang w:val="es-ES"/>
        </w:rPr>
      </w:pPr>
      <w:r w:rsidRPr="00FF69A3">
        <w:rPr>
          <w:rFonts w:eastAsia="Arial"/>
          <w:i/>
          <w:iCs/>
          <w:szCs w:val="22"/>
          <w:lang w:val="es-ES"/>
        </w:rPr>
        <w:t>Se invita al CDIP a tomar nota de la información que figura en el presente documento.</w:t>
      </w:r>
    </w:p>
    <w:p w:rsidR="007C0797" w:rsidRPr="00FF69A3" w:rsidRDefault="00BE577A" w:rsidP="007C0797">
      <w:pPr>
        <w:tabs>
          <w:tab w:val="left" w:pos="5812"/>
        </w:tabs>
        <w:spacing w:after="220"/>
        <w:ind w:left="5533"/>
      </w:pPr>
      <w:r w:rsidRPr="00FF69A3">
        <w:rPr>
          <w:rFonts w:eastAsia="Arial"/>
          <w:szCs w:val="22"/>
        </w:rPr>
        <w:t>[Sigue el Anexo]</w:t>
      </w:r>
    </w:p>
    <w:p w:rsidR="007C0797" w:rsidRPr="00FF69A3" w:rsidRDefault="007C0797" w:rsidP="007C0797">
      <w:pPr>
        <w:tabs>
          <w:tab w:val="left" w:pos="5812"/>
        </w:tabs>
        <w:spacing w:after="220"/>
        <w:ind w:left="5533"/>
        <w:sectPr w:rsidR="007C0797" w:rsidRPr="00FF69A3" w:rsidSect="007C0797">
          <w:headerReference w:type="even" r:id="rId20"/>
          <w:headerReference w:type="default" r:id="rId21"/>
          <w:footerReference w:type="even" r:id="rId22"/>
          <w:footerReference w:type="default" r:id="rId23"/>
          <w:headerReference w:type="first" r:id="rId24"/>
          <w:footerReference w:type="first" r:id="rId25"/>
          <w:pgSz w:w="11907" w:h="16840" w:code="9"/>
          <w:pgMar w:top="567" w:right="964" w:bottom="1418" w:left="1418" w:header="510" w:footer="1021" w:gutter="0"/>
          <w:cols w:space="720"/>
          <w:titlePg/>
          <w:docGrid w:linePitch="299"/>
        </w:sectPr>
      </w:pPr>
    </w:p>
    <w:p w:rsidR="007C0797" w:rsidRPr="00FF69A3" w:rsidRDefault="00BE577A" w:rsidP="007C0797">
      <w:pPr>
        <w:spacing w:after="220"/>
        <w:rPr>
          <w:szCs w:val="22"/>
        </w:rPr>
      </w:pPr>
      <w:r w:rsidRPr="00FF69A3">
        <w:rPr>
          <w:rFonts w:eastAsia="Arial"/>
          <w:szCs w:val="22"/>
        </w:rPr>
        <w:t>ANEXO: RESULTADOS DE LAS ENCUESTAS DE SATISFACCIÓN</w:t>
      </w:r>
    </w:p>
    <w:p w:rsidR="007C0797" w:rsidRPr="00FF69A3" w:rsidRDefault="00BE577A" w:rsidP="007C0797">
      <w:pPr>
        <w:rPr>
          <w:b/>
          <w:szCs w:val="22"/>
        </w:rPr>
      </w:pPr>
      <w:r w:rsidRPr="00FF69A3">
        <w:rPr>
          <w:rFonts w:eastAsia="Arial"/>
          <w:b/>
          <w:bCs/>
          <w:szCs w:val="22"/>
        </w:rPr>
        <w:t>DÍA</w:t>
      </w:r>
      <w:r w:rsidR="004A530A" w:rsidRPr="00FF69A3">
        <w:rPr>
          <w:rFonts w:eastAsia="Arial"/>
          <w:b/>
          <w:bCs/>
          <w:szCs w:val="22"/>
        </w:rPr>
        <w:t> 1</w:t>
      </w:r>
      <w:r w:rsidRPr="00FF69A3">
        <w:rPr>
          <w:rFonts w:eastAsia="Arial"/>
          <w:b/>
          <w:bCs/>
          <w:szCs w:val="22"/>
        </w:rPr>
        <w:t xml:space="preserve"> (</w:t>
      </w:r>
      <w:r w:rsidR="004A530A" w:rsidRPr="00FF69A3">
        <w:rPr>
          <w:rFonts w:eastAsia="Arial"/>
          <w:b/>
          <w:bCs/>
          <w:szCs w:val="22"/>
        </w:rPr>
        <w:t>3</w:t>
      </w:r>
      <w:r w:rsidRPr="00FF69A3">
        <w:rPr>
          <w:rFonts w:eastAsia="Arial"/>
          <w:b/>
          <w:bCs/>
          <w:szCs w:val="22"/>
        </w:rPr>
        <w:t>52 respuestas)</w:t>
      </w:r>
    </w:p>
    <w:p w:rsidR="007C0797" w:rsidRPr="00FF69A3" w:rsidRDefault="007C0797" w:rsidP="007C0797">
      <w:pPr>
        <w:spacing w:after="220"/>
        <w:rPr>
          <w:szCs w:val="22"/>
        </w:rPr>
      </w:pPr>
    </w:p>
    <w:tbl>
      <w:tblPr>
        <w:tblStyle w:val="TableGrid"/>
        <w:tblpPr w:leftFromText="180" w:rightFromText="180" w:vertAnchor="text" w:horzAnchor="margin" w:tblpX="-152" w:tblpY="-72"/>
        <w:tblW w:w="14601" w:type="dxa"/>
        <w:tblLook w:val="04A0" w:firstRow="1" w:lastRow="0" w:firstColumn="1" w:lastColumn="0" w:noHBand="0" w:noVBand="1"/>
        <w:tblCaption w:val="Annex: Results of Satisfaction Surveys"/>
        <w:tblDescription w:val="Day 1 - based on 352 responses"/>
      </w:tblPr>
      <w:tblGrid>
        <w:gridCol w:w="3823"/>
        <w:gridCol w:w="2409"/>
        <w:gridCol w:w="2268"/>
        <w:gridCol w:w="2127"/>
        <w:gridCol w:w="2409"/>
        <w:gridCol w:w="1565"/>
      </w:tblGrid>
      <w:tr w:rsidR="00954752" w:rsidRPr="00FF69A3" w:rsidTr="00B610DD">
        <w:trPr>
          <w:trHeight w:val="420"/>
        </w:trPr>
        <w:tc>
          <w:tcPr>
            <w:tcW w:w="3823" w:type="dxa"/>
            <w:shd w:val="clear" w:color="auto" w:fill="BFBFBF" w:themeFill="background1" w:themeFillShade="BF"/>
            <w:vAlign w:val="center"/>
          </w:tcPr>
          <w:p w:rsidR="007C0797" w:rsidRPr="00FF69A3" w:rsidRDefault="007C0797" w:rsidP="00B610DD">
            <w:pPr>
              <w:rPr>
                <w:b/>
                <w:sz w:val="20"/>
              </w:rPr>
            </w:pPr>
          </w:p>
        </w:tc>
        <w:tc>
          <w:tcPr>
            <w:tcW w:w="2409" w:type="dxa"/>
            <w:shd w:val="clear" w:color="auto" w:fill="BFBFBF" w:themeFill="background1" w:themeFillShade="BF"/>
            <w:vAlign w:val="center"/>
          </w:tcPr>
          <w:p w:rsidR="007C0797" w:rsidRPr="00FF69A3" w:rsidRDefault="00BE577A" w:rsidP="00B610DD">
            <w:pPr>
              <w:jc w:val="center"/>
              <w:rPr>
                <w:b/>
                <w:sz w:val="20"/>
              </w:rPr>
            </w:pPr>
            <w:r w:rsidRPr="00FF69A3">
              <w:rPr>
                <w:rFonts w:eastAsia="Arial"/>
                <w:b/>
                <w:bCs/>
                <w:sz w:val="20"/>
              </w:rPr>
              <w:t>Gobierno/Oficina de PI</w:t>
            </w:r>
          </w:p>
        </w:tc>
        <w:tc>
          <w:tcPr>
            <w:tcW w:w="2268" w:type="dxa"/>
            <w:shd w:val="clear" w:color="auto" w:fill="BFBFBF" w:themeFill="background1" w:themeFillShade="BF"/>
            <w:vAlign w:val="center"/>
          </w:tcPr>
          <w:p w:rsidR="007C0797" w:rsidRPr="00FF69A3" w:rsidRDefault="00BE577A" w:rsidP="00B610DD">
            <w:pPr>
              <w:jc w:val="center"/>
              <w:rPr>
                <w:b/>
                <w:sz w:val="20"/>
              </w:rPr>
            </w:pPr>
            <w:r w:rsidRPr="00FF69A3">
              <w:rPr>
                <w:rFonts w:eastAsia="Arial"/>
                <w:b/>
                <w:bCs/>
                <w:sz w:val="20"/>
              </w:rPr>
              <w:t>Mundo académico</w:t>
            </w:r>
          </w:p>
        </w:tc>
        <w:tc>
          <w:tcPr>
            <w:tcW w:w="2127" w:type="dxa"/>
            <w:shd w:val="clear" w:color="auto" w:fill="BFBFBF" w:themeFill="background1" w:themeFillShade="BF"/>
            <w:vAlign w:val="center"/>
          </w:tcPr>
          <w:p w:rsidR="007C0797" w:rsidRPr="00FF69A3" w:rsidRDefault="00BE577A" w:rsidP="00B610DD">
            <w:pPr>
              <w:jc w:val="center"/>
              <w:rPr>
                <w:b/>
                <w:sz w:val="20"/>
              </w:rPr>
            </w:pPr>
            <w:r w:rsidRPr="00FF69A3">
              <w:rPr>
                <w:rFonts w:eastAsia="Arial"/>
                <w:b/>
                <w:bCs/>
                <w:sz w:val="20"/>
              </w:rPr>
              <w:t>ONG/OIG</w:t>
            </w:r>
          </w:p>
        </w:tc>
        <w:tc>
          <w:tcPr>
            <w:tcW w:w="2409" w:type="dxa"/>
            <w:shd w:val="clear" w:color="auto" w:fill="BFBFBF" w:themeFill="background1" w:themeFillShade="BF"/>
            <w:vAlign w:val="center"/>
          </w:tcPr>
          <w:p w:rsidR="007C0797" w:rsidRPr="00FF69A3" w:rsidRDefault="00BE577A" w:rsidP="00B610DD">
            <w:pPr>
              <w:jc w:val="center"/>
              <w:rPr>
                <w:b/>
                <w:sz w:val="20"/>
              </w:rPr>
            </w:pPr>
            <w:r w:rsidRPr="00FF69A3">
              <w:rPr>
                <w:rFonts w:eastAsia="Arial"/>
                <w:b/>
                <w:bCs/>
                <w:sz w:val="20"/>
              </w:rPr>
              <w:t>Sector privado</w:t>
            </w:r>
          </w:p>
        </w:tc>
        <w:tc>
          <w:tcPr>
            <w:tcW w:w="1565" w:type="dxa"/>
            <w:shd w:val="clear" w:color="auto" w:fill="BFBFBF" w:themeFill="background1" w:themeFillShade="BF"/>
            <w:vAlign w:val="center"/>
          </w:tcPr>
          <w:p w:rsidR="007C0797" w:rsidRPr="00FF69A3" w:rsidRDefault="00BE577A" w:rsidP="00B610DD">
            <w:pPr>
              <w:jc w:val="center"/>
              <w:rPr>
                <w:b/>
                <w:sz w:val="20"/>
              </w:rPr>
            </w:pPr>
            <w:r w:rsidRPr="00FF69A3">
              <w:rPr>
                <w:rFonts w:eastAsia="Arial"/>
                <w:b/>
                <w:bCs/>
                <w:sz w:val="20"/>
              </w:rPr>
              <w:t>Otros</w:t>
            </w:r>
          </w:p>
        </w:tc>
      </w:tr>
      <w:tr w:rsidR="00954752" w:rsidRPr="00FF69A3" w:rsidTr="00B610DD">
        <w:trPr>
          <w:trHeight w:val="398"/>
        </w:trPr>
        <w:tc>
          <w:tcPr>
            <w:tcW w:w="3823" w:type="dxa"/>
            <w:vAlign w:val="center"/>
          </w:tcPr>
          <w:p w:rsidR="007C0797" w:rsidRPr="00FF69A3" w:rsidRDefault="00BE577A" w:rsidP="00B610DD">
            <w:pPr>
              <w:rPr>
                <w:b/>
                <w:sz w:val="20"/>
              </w:rPr>
            </w:pPr>
            <w:r w:rsidRPr="00FF69A3">
              <w:rPr>
                <w:rFonts w:eastAsia="Arial"/>
                <w:b/>
                <w:bCs/>
                <w:sz w:val="20"/>
              </w:rPr>
              <w:t>Sector de actividad</w:t>
            </w:r>
          </w:p>
        </w:tc>
        <w:tc>
          <w:tcPr>
            <w:tcW w:w="2409" w:type="dxa"/>
            <w:tcBorders>
              <w:bottom w:val="single" w:sz="4" w:space="0" w:color="auto"/>
            </w:tcBorders>
            <w:vAlign w:val="center"/>
          </w:tcPr>
          <w:p w:rsidR="007C0797" w:rsidRPr="00FF69A3" w:rsidRDefault="00BE577A" w:rsidP="00B610DD">
            <w:pPr>
              <w:jc w:val="center"/>
              <w:rPr>
                <w:sz w:val="20"/>
              </w:rPr>
            </w:pPr>
            <w:r w:rsidRPr="00FF69A3">
              <w:rPr>
                <w:rFonts w:eastAsia="Arial"/>
                <w:sz w:val="20"/>
              </w:rPr>
              <w:t>117</w:t>
            </w:r>
          </w:p>
        </w:tc>
        <w:tc>
          <w:tcPr>
            <w:tcW w:w="2268" w:type="dxa"/>
            <w:tcBorders>
              <w:bottom w:val="single" w:sz="4" w:space="0" w:color="auto"/>
            </w:tcBorders>
            <w:vAlign w:val="center"/>
          </w:tcPr>
          <w:p w:rsidR="007C0797" w:rsidRPr="00FF69A3" w:rsidRDefault="00BE577A" w:rsidP="00B610DD">
            <w:pPr>
              <w:jc w:val="center"/>
              <w:rPr>
                <w:sz w:val="20"/>
              </w:rPr>
            </w:pPr>
            <w:r w:rsidRPr="00FF69A3">
              <w:rPr>
                <w:rFonts w:eastAsia="Arial"/>
                <w:sz w:val="20"/>
              </w:rPr>
              <w:t>104</w:t>
            </w:r>
          </w:p>
        </w:tc>
        <w:tc>
          <w:tcPr>
            <w:tcW w:w="2127" w:type="dxa"/>
            <w:tcBorders>
              <w:bottom w:val="single" w:sz="4" w:space="0" w:color="auto"/>
            </w:tcBorders>
            <w:vAlign w:val="center"/>
          </w:tcPr>
          <w:p w:rsidR="007C0797" w:rsidRPr="00FF69A3" w:rsidRDefault="00BE577A" w:rsidP="00B610DD">
            <w:pPr>
              <w:jc w:val="center"/>
              <w:rPr>
                <w:sz w:val="20"/>
              </w:rPr>
            </w:pPr>
            <w:r w:rsidRPr="00FF69A3">
              <w:rPr>
                <w:rFonts w:eastAsia="Arial"/>
                <w:sz w:val="20"/>
              </w:rPr>
              <w:t>8</w:t>
            </w:r>
          </w:p>
        </w:tc>
        <w:tc>
          <w:tcPr>
            <w:tcW w:w="2409" w:type="dxa"/>
            <w:tcBorders>
              <w:bottom w:val="single" w:sz="4" w:space="0" w:color="auto"/>
            </w:tcBorders>
            <w:vAlign w:val="center"/>
          </w:tcPr>
          <w:p w:rsidR="007C0797" w:rsidRPr="00FF69A3" w:rsidRDefault="00BE577A" w:rsidP="00B610DD">
            <w:pPr>
              <w:jc w:val="center"/>
              <w:rPr>
                <w:sz w:val="20"/>
              </w:rPr>
            </w:pPr>
            <w:r w:rsidRPr="00FF69A3">
              <w:rPr>
                <w:rFonts w:eastAsia="Arial"/>
                <w:sz w:val="20"/>
              </w:rPr>
              <w:t>90</w:t>
            </w:r>
          </w:p>
        </w:tc>
        <w:tc>
          <w:tcPr>
            <w:tcW w:w="1565" w:type="dxa"/>
            <w:tcBorders>
              <w:bottom w:val="single" w:sz="4" w:space="0" w:color="auto"/>
            </w:tcBorders>
            <w:vAlign w:val="center"/>
          </w:tcPr>
          <w:p w:rsidR="007C0797" w:rsidRPr="00FF69A3" w:rsidRDefault="00BE577A" w:rsidP="00B610DD">
            <w:pPr>
              <w:jc w:val="center"/>
              <w:rPr>
                <w:sz w:val="20"/>
              </w:rPr>
            </w:pPr>
            <w:r w:rsidRPr="00FF69A3">
              <w:rPr>
                <w:rFonts w:eastAsia="Arial"/>
                <w:sz w:val="20"/>
              </w:rPr>
              <w:t>30</w:t>
            </w:r>
          </w:p>
        </w:tc>
      </w:tr>
    </w:tbl>
    <w:p w:rsidR="007C0797" w:rsidRPr="00FF69A3" w:rsidRDefault="007C0797" w:rsidP="007C0797">
      <w:pPr>
        <w:rPr>
          <w:b/>
          <w:szCs w:val="22"/>
        </w:rPr>
      </w:pPr>
    </w:p>
    <w:p w:rsidR="007C0797" w:rsidRPr="00FF69A3" w:rsidRDefault="007C0797" w:rsidP="007C0797">
      <w:pPr>
        <w:rPr>
          <w:sz w:val="20"/>
        </w:rPr>
      </w:pPr>
    </w:p>
    <w:tbl>
      <w:tblPr>
        <w:tblStyle w:val="TableGrid"/>
        <w:tblpPr w:leftFromText="180" w:rightFromText="180" w:vertAnchor="text" w:horzAnchor="margin" w:tblpXSpec="center" w:tblpY="-72"/>
        <w:tblW w:w="14737" w:type="dxa"/>
        <w:tblLook w:val="04A0" w:firstRow="1" w:lastRow="0" w:firstColumn="1" w:lastColumn="0" w:noHBand="0" w:noVBand="1"/>
        <w:tblCaption w:val="Annex: Results of Satisfaction Surveys"/>
        <w:tblDescription w:val="Day 1:  based on 352 responses"/>
      </w:tblPr>
      <w:tblGrid>
        <w:gridCol w:w="3926"/>
        <w:gridCol w:w="2427"/>
        <w:gridCol w:w="2154"/>
        <w:gridCol w:w="2217"/>
        <w:gridCol w:w="2329"/>
        <w:gridCol w:w="1684"/>
      </w:tblGrid>
      <w:tr w:rsidR="00954752" w:rsidRPr="00FF69A3" w:rsidTr="00B610DD">
        <w:tc>
          <w:tcPr>
            <w:tcW w:w="3955" w:type="dxa"/>
            <w:shd w:val="clear" w:color="auto" w:fill="BFBFBF" w:themeFill="background1" w:themeFillShade="BF"/>
          </w:tcPr>
          <w:p w:rsidR="007C0797" w:rsidRPr="00FF69A3" w:rsidRDefault="007C0797" w:rsidP="00B610DD">
            <w:pPr>
              <w:rPr>
                <w:b/>
                <w:sz w:val="20"/>
              </w:rPr>
            </w:pPr>
          </w:p>
        </w:tc>
        <w:tc>
          <w:tcPr>
            <w:tcW w:w="2435" w:type="dxa"/>
            <w:shd w:val="clear" w:color="auto" w:fill="BFBFBF" w:themeFill="background1" w:themeFillShade="BF"/>
            <w:vAlign w:val="center"/>
          </w:tcPr>
          <w:p w:rsidR="007C0797" w:rsidRPr="00FF69A3" w:rsidRDefault="00BE577A" w:rsidP="00B610DD">
            <w:pPr>
              <w:jc w:val="center"/>
              <w:rPr>
                <w:b/>
                <w:sz w:val="20"/>
              </w:rPr>
            </w:pPr>
            <w:r w:rsidRPr="00FF69A3">
              <w:rPr>
                <w:rFonts w:eastAsia="Arial"/>
                <w:b/>
                <w:bCs/>
                <w:sz w:val="20"/>
              </w:rPr>
              <w:t>Extremadamente satisfecho</w:t>
            </w:r>
          </w:p>
        </w:tc>
        <w:tc>
          <w:tcPr>
            <w:tcW w:w="2160" w:type="dxa"/>
            <w:shd w:val="clear" w:color="auto" w:fill="BFBFBF" w:themeFill="background1" w:themeFillShade="BF"/>
            <w:vAlign w:val="center"/>
          </w:tcPr>
          <w:p w:rsidR="007C0797" w:rsidRPr="00FF69A3" w:rsidRDefault="00BE577A" w:rsidP="00B610DD">
            <w:pPr>
              <w:jc w:val="center"/>
              <w:rPr>
                <w:b/>
                <w:sz w:val="20"/>
              </w:rPr>
            </w:pPr>
            <w:r w:rsidRPr="00FF69A3">
              <w:rPr>
                <w:rFonts w:eastAsia="Arial"/>
                <w:b/>
                <w:bCs/>
                <w:sz w:val="20"/>
              </w:rPr>
              <w:t>Satisfecho</w:t>
            </w:r>
          </w:p>
        </w:tc>
        <w:tc>
          <w:tcPr>
            <w:tcW w:w="2160" w:type="dxa"/>
            <w:shd w:val="clear" w:color="auto" w:fill="BFBFBF" w:themeFill="background1" w:themeFillShade="BF"/>
            <w:vAlign w:val="center"/>
          </w:tcPr>
          <w:p w:rsidR="007C0797" w:rsidRPr="00FF69A3" w:rsidRDefault="00BE577A" w:rsidP="00B610DD">
            <w:pPr>
              <w:jc w:val="center"/>
              <w:rPr>
                <w:b/>
                <w:sz w:val="20"/>
              </w:rPr>
            </w:pPr>
            <w:r w:rsidRPr="00FF69A3">
              <w:rPr>
                <w:rFonts w:eastAsia="Arial"/>
                <w:b/>
                <w:bCs/>
                <w:sz w:val="20"/>
              </w:rPr>
              <w:t>No lo sé</w:t>
            </w:r>
          </w:p>
        </w:tc>
        <w:tc>
          <w:tcPr>
            <w:tcW w:w="2340" w:type="dxa"/>
            <w:shd w:val="clear" w:color="auto" w:fill="BFBFBF" w:themeFill="background1" w:themeFillShade="BF"/>
            <w:vAlign w:val="center"/>
          </w:tcPr>
          <w:p w:rsidR="007C0797" w:rsidRPr="00FF69A3" w:rsidRDefault="00BE577A" w:rsidP="00B610DD">
            <w:pPr>
              <w:jc w:val="center"/>
              <w:rPr>
                <w:b/>
                <w:sz w:val="20"/>
              </w:rPr>
            </w:pPr>
            <w:r w:rsidRPr="00FF69A3">
              <w:rPr>
                <w:rFonts w:eastAsia="Arial"/>
                <w:b/>
                <w:bCs/>
                <w:sz w:val="20"/>
              </w:rPr>
              <w:t>Parcialmente satisfecho</w:t>
            </w:r>
          </w:p>
        </w:tc>
        <w:tc>
          <w:tcPr>
            <w:tcW w:w="1687" w:type="dxa"/>
            <w:shd w:val="clear" w:color="auto" w:fill="BFBFBF" w:themeFill="background1" w:themeFillShade="BF"/>
            <w:vAlign w:val="center"/>
          </w:tcPr>
          <w:p w:rsidR="007C0797" w:rsidRPr="00FF69A3" w:rsidRDefault="00BE577A" w:rsidP="00B610DD">
            <w:pPr>
              <w:jc w:val="center"/>
              <w:rPr>
                <w:b/>
                <w:sz w:val="20"/>
              </w:rPr>
            </w:pPr>
            <w:r w:rsidRPr="00FF69A3">
              <w:rPr>
                <w:rFonts w:eastAsia="Arial"/>
                <w:b/>
                <w:bCs/>
                <w:sz w:val="20"/>
              </w:rPr>
              <w:t>Nada satisfecho</w:t>
            </w:r>
          </w:p>
        </w:tc>
      </w:tr>
      <w:tr w:rsidR="00954752" w:rsidRPr="00FF69A3" w:rsidTr="00B610DD">
        <w:trPr>
          <w:trHeight w:val="534"/>
        </w:trPr>
        <w:tc>
          <w:tcPr>
            <w:tcW w:w="3955" w:type="dxa"/>
          </w:tcPr>
          <w:p w:rsidR="007C0797" w:rsidRPr="00FF69A3" w:rsidRDefault="00BE577A" w:rsidP="00B610DD">
            <w:pPr>
              <w:rPr>
                <w:sz w:val="20"/>
              </w:rPr>
            </w:pPr>
            <w:r w:rsidRPr="00FF69A3">
              <w:rPr>
                <w:rFonts w:eastAsia="Arial"/>
                <w:sz w:val="20"/>
              </w:rPr>
              <w:t>1. En general, ¿en qué medida colmó la conferencia sus expectativas?</w:t>
            </w:r>
          </w:p>
        </w:tc>
        <w:tc>
          <w:tcPr>
            <w:tcW w:w="2435" w:type="dxa"/>
            <w:tcBorders>
              <w:bottom w:val="single" w:sz="4" w:space="0" w:color="auto"/>
            </w:tcBorders>
            <w:vAlign w:val="center"/>
          </w:tcPr>
          <w:p w:rsidR="007C0797" w:rsidRPr="00FF69A3" w:rsidRDefault="00BE577A" w:rsidP="00B610DD">
            <w:pPr>
              <w:jc w:val="center"/>
              <w:rPr>
                <w:sz w:val="20"/>
              </w:rPr>
            </w:pPr>
            <w:r w:rsidRPr="00FF69A3">
              <w:rPr>
                <w:rFonts w:eastAsia="Arial"/>
                <w:sz w:val="20"/>
              </w:rPr>
              <w:t>118</w:t>
            </w:r>
          </w:p>
        </w:tc>
        <w:tc>
          <w:tcPr>
            <w:tcW w:w="2160" w:type="dxa"/>
            <w:tcBorders>
              <w:bottom w:val="single" w:sz="4" w:space="0" w:color="auto"/>
            </w:tcBorders>
            <w:vAlign w:val="center"/>
          </w:tcPr>
          <w:p w:rsidR="007C0797" w:rsidRPr="00FF69A3" w:rsidRDefault="00BE577A" w:rsidP="00B610DD">
            <w:pPr>
              <w:jc w:val="center"/>
              <w:rPr>
                <w:sz w:val="20"/>
              </w:rPr>
            </w:pPr>
            <w:r w:rsidRPr="00FF69A3">
              <w:rPr>
                <w:rFonts w:eastAsia="Arial"/>
                <w:sz w:val="20"/>
              </w:rPr>
              <w:t>219</w:t>
            </w:r>
          </w:p>
        </w:tc>
        <w:tc>
          <w:tcPr>
            <w:tcW w:w="2160" w:type="dxa"/>
            <w:tcBorders>
              <w:bottom w:val="single" w:sz="4" w:space="0" w:color="auto"/>
            </w:tcBorders>
            <w:vAlign w:val="center"/>
          </w:tcPr>
          <w:p w:rsidR="007C0797" w:rsidRPr="00FF69A3" w:rsidRDefault="00BE577A" w:rsidP="00B610DD">
            <w:pPr>
              <w:jc w:val="center"/>
              <w:rPr>
                <w:sz w:val="20"/>
              </w:rPr>
            </w:pPr>
            <w:r w:rsidRPr="00FF69A3">
              <w:rPr>
                <w:rFonts w:eastAsia="Arial"/>
                <w:sz w:val="20"/>
              </w:rPr>
              <w:t>7</w:t>
            </w:r>
          </w:p>
        </w:tc>
        <w:tc>
          <w:tcPr>
            <w:tcW w:w="2340" w:type="dxa"/>
            <w:tcBorders>
              <w:bottom w:val="single" w:sz="4" w:space="0" w:color="auto"/>
            </w:tcBorders>
            <w:vAlign w:val="center"/>
          </w:tcPr>
          <w:p w:rsidR="007C0797" w:rsidRPr="00FF69A3" w:rsidRDefault="00BE577A" w:rsidP="00B610DD">
            <w:pPr>
              <w:jc w:val="center"/>
              <w:rPr>
                <w:sz w:val="20"/>
              </w:rPr>
            </w:pPr>
            <w:r w:rsidRPr="00FF69A3">
              <w:rPr>
                <w:rFonts w:eastAsia="Arial"/>
                <w:sz w:val="20"/>
              </w:rPr>
              <w:t>5</w:t>
            </w:r>
          </w:p>
        </w:tc>
        <w:tc>
          <w:tcPr>
            <w:tcW w:w="1687" w:type="dxa"/>
            <w:tcBorders>
              <w:bottom w:val="single" w:sz="4" w:space="0" w:color="auto"/>
            </w:tcBorders>
            <w:vAlign w:val="center"/>
          </w:tcPr>
          <w:p w:rsidR="007C0797" w:rsidRPr="00FF69A3" w:rsidRDefault="00BE577A" w:rsidP="00B610DD">
            <w:pPr>
              <w:jc w:val="center"/>
              <w:rPr>
                <w:sz w:val="20"/>
              </w:rPr>
            </w:pPr>
            <w:r w:rsidRPr="00FF69A3">
              <w:rPr>
                <w:rFonts w:eastAsia="Arial"/>
                <w:sz w:val="20"/>
              </w:rPr>
              <w:t>0</w:t>
            </w:r>
          </w:p>
        </w:tc>
      </w:tr>
      <w:tr w:rsidR="00954752" w:rsidRPr="00FF69A3" w:rsidTr="00B610DD">
        <w:trPr>
          <w:trHeight w:val="400"/>
        </w:trPr>
        <w:tc>
          <w:tcPr>
            <w:tcW w:w="3955" w:type="dxa"/>
            <w:vMerge w:val="restart"/>
          </w:tcPr>
          <w:p w:rsidR="007C0797" w:rsidRPr="00FF69A3" w:rsidRDefault="00BE577A" w:rsidP="00B610DD">
            <w:pPr>
              <w:rPr>
                <w:sz w:val="20"/>
              </w:rPr>
            </w:pPr>
            <w:r w:rsidRPr="00FF69A3">
              <w:rPr>
                <w:rFonts w:eastAsia="Arial"/>
                <w:sz w:val="20"/>
              </w:rPr>
              <w:t>2. ¿Cómo calificaría el diseño de la conferencia en relación con:</w:t>
            </w:r>
          </w:p>
          <w:p w:rsidR="007C0797" w:rsidRPr="00FF69A3" w:rsidRDefault="007C0797" w:rsidP="00B610DD">
            <w:pPr>
              <w:rPr>
                <w:sz w:val="20"/>
              </w:rPr>
            </w:pPr>
          </w:p>
          <w:p w:rsidR="007C0797" w:rsidRPr="00FF69A3" w:rsidRDefault="00BE577A" w:rsidP="00B610DD">
            <w:pPr>
              <w:rPr>
                <w:sz w:val="20"/>
              </w:rPr>
            </w:pPr>
            <w:r w:rsidRPr="00FF69A3">
              <w:rPr>
                <w:rFonts w:eastAsia="Arial"/>
                <w:sz w:val="20"/>
              </w:rPr>
              <w:t>su organización (logística)</w:t>
            </w:r>
          </w:p>
          <w:p w:rsidR="007C0797" w:rsidRPr="00FF69A3" w:rsidRDefault="007C0797" w:rsidP="00B610DD">
            <w:pPr>
              <w:rPr>
                <w:sz w:val="20"/>
              </w:rPr>
            </w:pPr>
          </w:p>
          <w:p w:rsidR="007C0797" w:rsidRPr="00FF69A3" w:rsidRDefault="00BE577A" w:rsidP="00B610DD">
            <w:pPr>
              <w:rPr>
                <w:sz w:val="20"/>
              </w:rPr>
            </w:pPr>
            <w:r w:rsidRPr="00FF69A3">
              <w:rPr>
                <w:rFonts w:eastAsia="Arial"/>
                <w:sz w:val="20"/>
              </w:rPr>
              <w:t xml:space="preserve">su contenido/el programa de la conferencia: </w:t>
            </w:r>
          </w:p>
        </w:tc>
        <w:tc>
          <w:tcPr>
            <w:tcW w:w="2435" w:type="dxa"/>
            <w:tcBorders>
              <w:right w:val="nil"/>
            </w:tcBorders>
            <w:shd w:val="clear" w:color="auto" w:fill="BFBFBF" w:themeFill="background1" w:themeFillShade="BF"/>
            <w:vAlign w:val="center"/>
          </w:tcPr>
          <w:p w:rsidR="007C0797" w:rsidRPr="00FF69A3" w:rsidRDefault="00BE577A" w:rsidP="00B610DD">
            <w:pPr>
              <w:jc w:val="center"/>
              <w:rPr>
                <w:b/>
                <w:sz w:val="20"/>
              </w:rPr>
            </w:pPr>
            <w:r w:rsidRPr="00FF69A3">
              <w:rPr>
                <w:rFonts w:eastAsia="Arial"/>
                <w:b/>
                <w:bCs/>
                <w:sz w:val="20"/>
              </w:rPr>
              <w:t>Excelente</w:t>
            </w:r>
          </w:p>
        </w:tc>
        <w:tc>
          <w:tcPr>
            <w:tcW w:w="2160" w:type="dxa"/>
            <w:tcBorders>
              <w:left w:val="nil"/>
              <w:right w:val="nil"/>
            </w:tcBorders>
            <w:shd w:val="clear" w:color="auto" w:fill="BFBFBF" w:themeFill="background1" w:themeFillShade="BF"/>
            <w:vAlign w:val="center"/>
          </w:tcPr>
          <w:p w:rsidR="007C0797" w:rsidRPr="00FF69A3" w:rsidRDefault="00BE577A" w:rsidP="00B610DD">
            <w:pPr>
              <w:jc w:val="center"/>
              <w:rPr>
                <w:b/>
                <w:sz w:val="20"/>
              </w:rPr>
            </w:pPr>
            <w:r w:rsidRPr="00FF69A3">
              <w:rPr>
                <w:rFonts w:eastAsia="Arial"/>
                <w:b/>
                <w:bCs/>
                <w:sz w:val="20"/>
              </w:rPr>
              <w:t>Bueno</w:t>
            </w:r>
          </w:p>
        </w:tc>
        <w:tc>
          <w:tcPr>
            <w:tcW w:w="2160" w:type="dxa"/>
            <w:tcBorders>
              <w:left w:val="nil"/>
              <w:right w:val="nil"/>
            </w:tcBorders>
            <w:shd w:val="clear" w:color="auto" w:fill="BFBFBF" w:themeFill="background1" w:themeFillShade="BF"/>
            <w:vAlign w:val="center"/>
          </w:tcPr>
          <w:p w:rsidR="007C0797" w:rsidRPr="00FF69A3" w:rsidRDefault="00BE577A" w:rsidP="00B610DD">
            <w:pPr>
              <w:jc w:val="center"/>
              <w:rPr>
                <w:b/>
                <w:sz w:val="20"/>
              </w:rPr>
            </w:pPr>
            <w:r w:rsidRPr="00FF69A3">
              <w:rPr>
                <w:rFonts w:eastAsia="Arial"/>
                <w:b/>
                <w:bCs/>
                <w:sz w:val="20"/>
              </w:rPr>
              <w:t>Regular</w:t>
            </w:r>
          </w:p>
        </w:tc>
        <w:tc>
          <w:tcPr>
            <w:tcW w:w="2340" w:type="dxa"/>
            <w:tcBorders>
              <w:left w:val="nil"/>
              <w:right w:val="nil"/>
            </w:tcBorders>
            <w:shd w:val="clear" w:color="auto" w:fill="BFBFBF" w:themeFill="background1" w:themeFillShade="BF"/>
            <w:vAlign w:val="center"/>
          </w:tcPr>
          <w:p w:rsidR="007C0797" w:rsidRPr="00FF69A3" w:rsidRDefault="00BE577A" w:rsidP="00B610DD">
            <w:pPr>
              <w:jc w:val="center"/>
              <w:rPr>
                <w:b/>
                <w:sz w:val="20"/>
              </w:rPr>
            </w:pPr>
            <w:r w:rsidRPr="00FF69A3">
              <w:rPr>
                <w:rFonts w:eastAsia="Arial"/>
                <w:b/>
                <w:bCs/>
                <w:sz w:val="20"/>
              </w:rPr>
              <w:t>Mediocre</w:t>
            </w:r>
          </w:p>
        </w:tc>
        <w:tc>
          <w:tcPr>
            <w:tcW w:w="1687" w:type="dxa"/>
            <w:tcBorders>
              <w:left w:val="nil"/>
            </w:tcBorders>
            <w:shd w:val="clear" w:color="auto" w:fill="BFBFBF" w:themeFill="background1" w:themeFillShade="BF"/>
            <w:vAlign w:val="center"/>
          </w:tcPr>
          <w:p w:rsidR="007C0797" w:rsidRPr="00FF69A3" w:rsidRDefault="00BE577A" w:rsidP="00B610DD">
            <w:pPr>
              <w:jc w:val="center"/>
              <w:rPr>
                <w:b/>
                <w:sz w:val="20"/>
              </w:rPr>
            </w:pPr>
            <w:r w:rsidRPr="00FF69A3">
              <w:rPr>
                <w:rFonts w:eastAsia="Arial"/>
                <w:b/>
                <w:bCs/>
                <w:sz w:val="20"/>
              </w:rPr>
              <w:t>Malo</w:t>
            </w:r>
          </w:p>
        </w:tc>
      </w:tr>
      <w:tr w:rsidR="00954752" w:rsidRPr="00FF69A3" w:rsidTr="00B610DD">
        <w:trPr>
          <w:trHeight w:val="656"/>
        </w:trPr>
        <w:tc>
          <w:tcPr>
            <w:tcW w:w="3955" w:type="dxa"/>
            <w:vMerge/>
          </w:tcPr>
          <w:p w:rsidR="007C0797" w:rsidRPr="00FF69A3" w:rsidRDefault="007C0797" w:rsidP="00B610DD">
            <w:pPr>
              <w:rPr>
                <w:sz w:val="20"/>
              </w:rPr>
            </w:pPr>
          </w:p>
        </w:tc>
        <w:tc>
          <w:tcPr>
            <w:tcW w:w="2435" w:type="dxa"/>
            <w:vAlign w:val="center"/>
          </w:tcPr>
          <w:p w:rsidR="007C0797" w:rsidRPr="00FF69A3" w:rsidRDefault="00BE577A" w:rsidP="00B610DD">
            <w:pPr>
              <w:jc w:val="center"/>
              <w:rPr>
                <w:sz w:val="20"/>
              </w:rPr>
            </w:pPr>
            <w:r w:rsidRPr="00FF69A3">
              <w:rPr>
                <w:rFonts w:eastAsia="Arial"/>
                <w:sz w:val="20"/>
              </w:rPr>
              <w:t>192</w:t>
            </w:r>
          </w:p>
        </w:tc>
        <w:tc>
          <w:tcPr>
            <w:tcW w:w="2160" w:type="dxa"/>
            <w:vAlign w:val="center"/>
          </w:tcPr>
          <w:p w:rsidR="007C0797" w:rsidRPr="00FF69A3" w:rsidRDefault="00BE577A" w:rsidP="00B610DD">
            <w:pPr>
              <w:jc w:val="center"/>
              <w:rPr>
                <w:sz w:val="20"/>
              </w:rPr>
            </w:pPr>
            <w:r w:rsidRPr="00FF69A3">
              <w:rPr>
                <w:rFonts w:eastAsia="Arial"/>
                <w:sz w:val="20"/>
              </w:rPr>
              <w:t>146</w:t>
            </w:r>
          </w:p>
        </w:tc>
        <w:tc>
          <w:tcPr>
            <w:tcW w:w="2160" w:type="dxa"/>
            <w:vAlign w:val="center"/>
          </w:tcPr>
          <w:p w:rsidR="007C0797" w:rsidRPr="00FF69A3" w:rsidRDefault="00BE577A" w:rsidP="00B610DD">
            <w:pPr>
              <w:jc w:val="center"/>
              <w:rPr>
                <w:sz w:val="20"/>
              </w:rPr>
            </w:pPr>
            <w:r w:rsidRPr="00FF69A3">
              <w:rPr>
                <w:rFonts w:eastAsia="Arial"/>
                <w:sz w:val="20"/>
              </w:rPr>
              <w:t>8</w:t>
            </w:r>
          </w:p>
        </w:tc>
        <w:tc>
          <w:tcPr>
            <w:tcW w:w="2340" w:type="dxa"/>
            <w:vAlign w:val="center"/>
          </w:tcPr>
          <w:p w:rsidR="007C0797" w:rsidRPr="00FF69A3" w:rsidRDefault="00BE577A" w:rsidP="00B610DD">
            <w:pPr>
              <w:jc w:val="center"/>
              <w:rPr>
                <w:sz w:val="20"/>
              </w:rPr>
            </w:pPr>
            <w:r w:rsidRPr="00FF69A3">
              <w:rPr>
                <w:rFonts w:eastAsia="Arial"/>
                <w:sz w:val="20"/>
              </w:rPr>
              <w:t>2</w:t>
            </w:r>
          </w:p>
        </w:tc>
        <w:tc>
          <w:tcPr>
            <w:tcW w:w="1687" w:type="dxa"/>
            <w:vAlign w:val="center"/>
          </w:tcPr>
          <w:p w:rsidR="007C0797" w:rsidRPr="00FF69A3" w:rsidRDefault="00BE577A" w:rsidP="00B610DD">
            <w:pPr>
              <w:jc w:val="center"/>
              <w:rPr>
                <w:sz w:val="20"/>
              </w:rPr>
            </w:pPr>
            <w:r w:rsidRPr="00FF69A3">
              <w:rPr>
                <w:rFonts w:eastAsia="Arial"/>
                <w:sz w:val="20"/>
              </w:rPr>
              <w:t>0</w:t>
            </w:r>
          </w:p>
        </w:tc>
      </w:tr>
      <w:tr w:rsidR="00954752" w:rsidRPr="00FF69A3" w:rsidTr="00B610DD">
        <w:trPr>
          <w:trHeight w:val="500"/>
        </w:trPr>
        <w:tc>
          <w:tcPr>
            <w:tcW w:w="3955" w:type="dxa"/>
            <w:vMerge/>
          </w:tcPr>
          <w:p w:rsidR="007C0797" w:rsidRPr="00FF69A3" w:rsidRDefault="007C0797" w:rsidP="00B610DD">
            <w:pPr>
              <w:rPr>
                <w:sz w:val="20"/>
              </w:rPr>
            </w:pPr>
          </w:p>
        </w:tc>
        <w:tc>
          <w:tcPr>
            <w:tcW w:w="2435" w:type="dxa"/>
            <w:vAlign w:val="center"/>
          </w:tcPr>
          <w:p w:rsidR="007C0797" w:rsidRPr="00FF69A3" w:rsidRDefault="00BE577A" w:rsidP="00B610DD">
            <w:pPr>
              <w:jc w:val="center"/>
              <w:rPr>
                <w:sz w:val="20"/>
              </w:rPr>
            </w:pPr>
            <w:r w:rsidRPr="00FF69A3">
              <w:rPr>
                <w:rFonts w:eastAsia="Arial"/>
                <w:sz w:val="20"/>
              </w:rPr>
              <w:t>169</w:t>
            </w:r>
          </w:p>
        </w:tc>
        <w:tc>
          <w:tcPr>
            <w:tcW w:w="2160" w:type="dxa"/>
            <w:vAlign w:val="center"/>
          </w:tcPr>
          <w:p w:rsidR="007C0797" w:rsidRPr="00FF69A3" w:rsidRDefault="00BE577A" w:rsidP="00B610DD">
            <w:pPr>
              <w:jc w:val="center"/>
              <w:rPr>
                <w:sz w:val="20"/>
              </w:rPr>
            </w:pPr>
            <w:r w:rsidRPr="00FF69A3">
              <w:rPr>
                <w:rFonts w:eastAsia="Arial"/>
                <w:sz w:val="20"/>
              </w:rPr>
              <w:t>163</w:t>
            </w:r>
          </w:p>
        </w:tc>
        <w:tc>
          <w:tcPr>
            <w:tcW w:w="2160" w:type="dxa"/>
            <w:vAlign w:val="center"/>
          </w:tcPr>
          <w:p w:rsidR="007C0797" w:rsidRPr="00FF69A3" w:rsidRDefault="00BE577A" w:rsidP="00B610DD">
            <w:pPr>
              <w:jc w:val="center"/>
              <w:rPr>
                <w:sz w:val="20"/>
              </w:rPr>
            </w:pPr>
            <w:r w:rsidRPr="00FF69A3">
              <w:rPr>
                <w:rFonts w:eastAsia="Arial"/>
                <w:sz w:val="20"/>
              </w:rPr>
              <w:t>14</w:t>
            </w:r>
          </w:p>
        </w:tc>
        <w:tc>
          <w:tcPr>
            <w:tcW w:w="2340" w:type="dxa"/>
            <w:vAlign w:val="center"/>
          </w:tcPr>
          <w:p w:rsidR="007C0797" w:rsidRPr="00FF69A3" w:rsidRDefault="00BE577A" w:rsidP="00B610DD">
            <w:pPr>
              <w:jc w:val="center"/>
              <w:rPr>
                <w:sz w:val="20"/>
              </w:rPr>
            </w:pPr>
            <w:r w:rsidRPr="00FF69A3">
              <w:rPr>
                <w:rFonts w:eastAsia="Arial"/>
                <w:sz w:val="20"/>
              </w:rPr>
              <w:t>2</w:t>
            </w:r>
          </w:p>
        </w:tc>
        <w:tc>
          <w:tcPr>
            <w:tcW w:w="1687" w:type="dxa"/>
            <w:vAlign w:val="center"/>
          </w:tcPr>
          <w:p w:rsidR="007C0797" w:rsidRPr="00FF69A3" w:rsidRDefault="00BE577A" w:rsidP="00B610DD">
            <w:pPr>
              <w:jc w:val="center"/>
              <w:rPr>
                <w:sz w:val="20"/>
              </w:rPr>
            </w:pPr>
            <w:r w:rsidRPr="00FF69A3">
              <w:rPr>
                <w:rFonts w:eastAsia="Arial"/>
                <w:sz w:val="20"/>
              </w:rPr>
              <w:t>0</w:t>
            </w:r>
          </w:p>
        </w:tc>
      </w:tr>
      <w:tr w:rsidR="00954752" w:rsidRPr="00FF69A3" w:rsidTr="00B610DD">
        <w:trPr>
          <w:trHeight w:val="389"/>
        </w:trPr>
        <w:tc>
          <w:tcPr>
            <w:tcW w:w="3955" w:type="dxa"/>
            <w:vMerge w:val="restart"/>
          </w:tcPr>
          <w:p w:rsidR="00313C89" w:rsidRDefault="00BE577A" w:rsidP="00B610DD">
            <w:pPr>
              <w:rPr>
                <w:rFonts w:eastAsia="Arial"/>
                <w:sz w:val="20"/>
              </w:rPr>
            </w:pPr>
            <w:r w:rsidRPr="00FF69A3">
              <w:rPr>
                <w:rFonts w:eastAsia="Arial"/>
                <w:sz w:val="20"/>
              </w:rPr>
              <w:t>3. De organizarse un evento similar en el futuro, ¿recomendaría a sus compañeros que asistieran?</w:t>
            </w:r>
          </w:p>
          <w:p w:rsidR="007C0797" w:rsidRPr="00FF69A3" w:rsidRDefault="007C0797" w:rsidP="00B610DD">
            <w:pPr>
              <w:rPr>
                <w:sz w:val="20"/>
              </w:rPr>
            </w:pPr>
          </w:p>
        </w:tc>
        <w:tc>
          <w:tcPr>
            <w:tcW w:w="2435" w:type="dxa"/>
            <w:shd w:val="clear" w:color="auto" w:fill="BFBFBF" w:themeFill="background1" w:themeFillShade="BF"/>
            <w:vAlign w:val="center"/>
          </w:tcPr>
          <w:p w:rsidR="007C0797" w:rsidRPr="00FF69A3" w:rsidRDefault="00BE577A" w:rsidP="00B610DD">
            <w:pPr>
              <w:jc w:val="center"/>
              <w:rPr>
                <w:b/>
                <w:sz w:val="20"/>
              </w:rPr>
            </w:pPr>
            <w:r w:rsidRPr="00FF69A3">
              <w:rPr>
                <w:rFonts w:eastAsia="Arial"/>
                <w:b/>
                <w:bCs/>
                <w:sz w:val="20"/>
              </w:rPr>
              <w:t>Seguramente</w:t>
            </w:r>
          </w:p>
        </w:tc>
        <w:tc>
          <w:tcPr>
            <w:tcW w:w="2160" w:type="dxa"/>
            <w:shd w:val="clear" w:color="auto" w:fill="BFBFBF" w:themeFill="background1" w:themeFillShade="BF"/>
            <w:vAlign w:val="center"/>
          </w:tcPr>
          <w:p w:rsidR="007C0797" w:rsidRPr="00FF69A3" w:rsidRDefault="00BE577A" w:rsidP="00B610DD">
            <w:pPr>
              <w:jc w:val="center"/>
              <w:rPr>
                <w:b/>
                <w:sz w:val="20"/>
              </w:rPr>
            </w:pPr>
            <w:r w:rsidRPr="00FF69A3">
              <w:rPr>
                <w:rFonts w:eastAsia="Arial"/>
                <w:b/>
                <w:bCs/>
                <w:sz w:val="20"/>
              </w:rPr>
              <w:t>Probablemente</w:t>
            </w:r>
          </w:p>
        </w:tc>
        <w:tc>
          <w:tcPr>
            <w:tcW w:w="2160" w:type="dxa"/>
            <w:shd w:val="clear" w:color="auto" w:fill="BFBFBF" w:themeFill="background1" w:themeFillShade="BF"/>
            <w:vAlign w:val="center"/>
          </w:tcPr>
          <w:p w:rsidR="007C0797" w:rsidRPr="00FF69A3" w:rsidRDefault="00BE577A" w:rsidP="00B610DD">
            <w:pPr>
              <w:jc w:val="center"/>
              <w:rPr>
                <w:b/>
                <w:sz w:val="20"/>
              </w:rPr>
            </w:pPr>
            <w:r w:rsidRPr="00FF69A3">
              <w:rPr>
                <w:rFonts w:eastAsia="Arial"/>
                <w:b/>
                <w:bCs/>
                <w:sz w:val="20"/>
              </w:rPr>
              <w:t>No lo sé</w:t>
            </w:r>
          </w:p>
        </w:tc>
        <w:tc>
          <w:tcPr>
            <w:tcW w:w="2340" w:type="dxa"/>
            <w:shd w:val="clear" w:color="auto" w:fill="BFBFBF" w:themeFill="background1" w:themeFillShade="BF"/>
            <w:vAlign w:val="center"/>
          </w:tcPr>
          <w:p w:rsidR="007C0797" w:rsidRPr="00FF69A3" w:rsidRDefault="00BE577A" w:rsidP="00B610DD">
            <w:pPr>
              <w:jc w:val="center"/>
              <w:rPr>
                <w:b/>
                <w:sz w:val="20"/>
              </w:rPr>
            </w:pPr>
            <w:r w:rsidRPr="00FF69A3">
              <w:rPr>
                <w:rFonts w:eastAsia="Arial"/>
                <w:b/>
                <w:bCs/>
                <w:sz w:val="20"/>
              </w:rPr>
              <w:t>Poco probable</w:t>
            </w:r>
          </w:p>
        </w:tc>
        <w:tc>
          <w:tcPr>
            <w:tcW w:w="1687" w:type="dxa"/>
            <w:shd w:val="clear" w:color="auto" w:fill="BFBFBF" w:themeFill="background1" w:themeFillShade="BF"/>
            <w:vAlign w:val="center"/>
          </w:tcPr>
          <w:p w:rsidR="007C0797" w:rsidRPr="00FF69A3" w:rsidRDefault="00BE577A" w:rsidP="00B610DD">
            <w:pPr>
              <w:jc w:val="center"/>
              <w:rPr>
                <w:b/>
                <w:sz w:val="20"/>
              </w:rPr>
            </w:pPr>
            <w:r w:rsidRPr="00FF69A3">
              <w:rPr>
                <w:rFonts w:eastAsia="Arial"/>
                <w:b/>
                <w:bCs/>
                <w:sz w:val="20"/>
              </w:rPr>
              <w:t>Seguramente no</w:t>
            </w:r>
          </w:p>
        </w:tc>
      </w:tr>
      <w:tr w:rsidR="00954752" w:rsidRPr="00FF69A3" w:rsidTr="00B610DD">
        <w:trPr>
          <w:trHeight w:val="477"/>
        </w:trPr>
        <w:tc>
          <w:tcPr>
            <w:tcW w:w="3955" w:type="dxa"/>
            <w:vMerge/>
          </w:tcPr>
          <w:p w:rsidR="007C0797" w:rsidRPr="00FF69A3" w:rsidRDefault="007C0797" w:rsidP="00B610DD">
            <w:pPr>
              <w:rPr>
                <w:sz w:val="20"/>
              </w:rPr>
            </w:pPr>
          </w:p>
        </w:tc>
        <w:tc>
          <w:tcPr>
            <w:tcW w:w="2435" w:type="dxa"/>
            <w:vAlign w:val="center"/>
          </w:tcPr>
          <w:p w:rsidR="007C0797" w:rsidRPr="00FF69A3" w:rsidRDefault="00BE577A" w:rsidP="00B610DD">
            <w:pPr>
              <w:jc w:val="center"/>
              <w:rPr>
                <w:sz w:val="20"/>
              </w:rPr>
            </w:pPr>
            <w:r w:rsidRPr="00FF69A3">
              <w:rPr>
                <w:rFonts w:eastAsia="Arial"/>
                <w:sz w:val="20"/>
              </w:rPr>
              <w:t>38</w:t>
            </w:r>
          </w:p>
        </w:tc>
        <w:tc>
          <w:tcPr>
            <w:tcW w:w="2160" w:type="dxa"/>
            <w:vAlign w:val="center"/>
          </w:tcPr>
          <w:p w:rsidR="007C0797" w:rsidRPr="00FF69A3" w:rsidRDefault="00BE577A" w:rsidP="00B610DD">
            <w:pPr>
              <w:jc w:val="center"/>
              <w:rPr>
                <w:sz w:val="20"/>
              </w:rPr>
            </w:pPr>
            <w:r w:rsidRPr="00FF69A3">
              <w:rPr>
                <w:rFonts w:eastAsia="Arial"/>
                <w:sz w:val="20"/>
              </w:rPr>
              <w:t>148</w:t>
            </w:r>
          </w:p>
        </w:tc>
        <w:tc>
          <w:tcPr>
            <w:tcW w:w="2160" w:type="dxa"/>
            <w:vAlign w:val="center"/>
          </w:tcPr>
          <w:p w:rsidR="007C0797" w:rsidRPr="00FF69A3" w:rsidRDefault="00BE577A" w:rsidP="00B610DD">
            <w:pPr>
              <w:jc w:val="center"/>
              <w:rPr>
                <w:sz w:val="20"/>
              </w:rPr>
            </w:pPr>
            <w:r w:rsidRPr="00FF69A3">
              <w:rPr>
                <w:rFonts w:eastAsia="Arial"/>
                <w:sz w:val="20"/>
              </w:rPr>
              <w:t>6</w:t>
            </w:r>
          </w:p>
        </w:tc>
        <w:tc>
          <w:tcPr>
            <w:tcW w:w="2340" w:type="dxa"/>
            <w:vAlign w:val="center"/>
          </w:tcPr>
          <w:p w:rsidR="007C0797" w:rsidRPr="00FF69A3" w:rsidRDefault="00BE577A" w:rsidP="00B610DD">
            <w:pPr>
              <w:jc w:val="center"/>
              <w:rPr>
                <w:sz w:val="20"/>
              </w:rPr>
            </w:pPr>
            <w:r w:rsidRPr="00FF69A3">
              <w:rPr>
                <w:rFonts w:eastAsia="Arial"/>
                <w:sz w:val="20"/>
              </w:rPr>
              <w:t>1</w:t>
            </w:r>
          </w:p>
        </w:tc>
        <w:tc>
          <w:tcPr>
            <w:tcW w:w="1687" w:type="dxa"/>
            <w:vAlign w:val="center"/>
          </w:tcPr>
          <w:p w:rsidR="007C0797" w:rsidRPr="00FF69A3" w:rsidRDefault="00BE577A" w:rsidP="00B610DD">
            <w:pPr>
              <w:jc w:val="center"/>
              <w:rPr>
                <w:sz w:val="20"/>
              </w:rPr>
            </w:pPr>
            <w:r w:rsidRPr="00FF69A3">
              <w:rPr>
                <w:rFonts w:eastAsia="Arial"/>
                <w:sz w:val="20"/>
              </w:rPr>
              <w:t>0</w:t>
            </w:r>
          </w:p>
        </w:tc>
      </w:tr>
      <w:tr w:rsidR="00954752" w:rsidRPr="00FF69A3" w:rsidTr="00B610DD">
        <w:trPr>
          <w:trHeight w:val="318"/>
        </w:trPr>
        <w:tc>
          <w:tcPr>
            <w:tcW w:w="3955" w:type="dxa"/>
            <w:vMerge w:val="restart"/>
          </w:tcPr>
          <w:p w:rsidR="007C0797" w:rsidRPr="00FF69A3" w:rsidRDefault="00BE577A" w:rsidP="00B610DD">
            <w:pPr>
              <w:rPr>
                <w:sz w:val="20"/>
              </w:rPr>
            </w:pPr>
            <w:r w:rsidRPr="00FF69A3">
              <w:rPr>
                <w:rFonts w:eastAsia="Arial"/>
                <w:sz w:val="20"/>
              </w:rPr>
              <w:t>4. ¿Cómo supo que se celebraba esta conferencia?</w:t>
            </w:r>
          </w:p>
        </w:tc>
        <w:tc>
          <w:tcPr>
            <w:tcW w:w="2435" w:type="dxa"/>
            <w:shd w:val="clear" w:color="auto" w:fill="BFBFBF" w:themeFill="background1" w:themeFillShade="BF"/>
            <w:vAlign w:val="center"/>
          </w:tcPr>
          <w:p w:rsidR="007C0797" w:rsidRPr="00FF69A3" w:rsidRDefault="00BE577A" w:rsidP="00B610DD">
            <w:pPr>
              <w:jc w:val="center"/>
              <w:rPr>
                <w:b/>
                <w:sz w:val="20"/>
              </w:rPr>
            </w:pPr>
            <w:r w:rsidRPr="00FF69A3">
              <w:rPr>
                <w:rFonts w:eastAsia="Arial"/>
                <w:b/>
                <w:bCs/>
                <w:sz w:val="20"/>
              </w:rPr>
              <w:t>Sitio web de la OMPI</w:t>
            </w:r>
          </w:p>
        </w:tc>
        <w:tc>
          <w:tcPr>
            <w:tcW w:w="2160" w:type="dxa"/>
            <w:shd w:val="clear" w:color="auto" w:fill="BFBFBF" w:themeFill="background1" w:themeFillShade="BF"/>
            <w:vAlign w:val="center"/>
          </w:tcPr>
          <w:p w:rsidR="007C0797" w:rsidRPr="00FF69A3" w:rsidRDefault="00BE577A" w:rsidP="00B610DD">
            <w:pPr>
              <w:jc w:val="center"/>
              <w:rPr>
                <w:b/>
                <w:sz w:val="20"/>
              </w:rPr>
            </w:pPr>
            <w:r w:rsidRPr="00FF69A3">
              <w:rPr>
                <w:rFonts w:eastAsia="Arial"/>
                <w:b/>
                <w:bCs/>
                <w:sz w:val="20"/>
              </w:rPr>
              <w:t>Redes sociales</w:t>
            </w:r>
          </w:p>
        </w:tc>
        <w:tc>
          <w:tcPr>
            <w:tcW w:w="2160" w:type="dxa"/>
            <w:shd w:val="clear" w:color="auto" w:fill="BFBFBF" w:themeFill="background1" w:themeFillShade="BF"/>
            <w:vAlign w:val="center"/>
          </w:tcPr>
          <w:p w:rsidR="007C0797" w:rsidRPr="00FF69A3" w:rsidRDefault="00BE577A" w:rsidP="00B610DD">
            <w:pPr>
              <w:jc w:val="center"/>
              <w:rPr>
                <w:b/>
                <w:sz w:val="20"/>
              </w:rPr>
            </w:pPr>
            <w:r w:rsidRPr="00FF69A3">
              <w:rPr>
                <w:rFonts w:eastAsia="Arial"/>
                <w:b/>
                <w:bCs/>
                <w:sz w:val="20"/>
              </w:rPr>
              <w:t>Correo electrónico/boletines</w:t>
            </w:r>
          </w:p>
        </w:tc>
        <w:tc>
          <w:tcPr>
            <w:tcW w:w="2340" w:type="dxa"/>
            <w:shd w:val="clear" w:color="auto" w:fill="BFBFBF" w:themeFill="background1" w:themeFillShade="BF"/>
            <w:vAlign w:val="center"/>
          </w:tcPr>
          <w:p w:rsidR="007C0797" w:rsidRPr="00FF69A3" w:rsidRDefault="00BE577A" w:rsidP="00B610DD">
            <w:pPr>
              <w:jc w:val="center"/>
              <w:rPr>
                <w:b/>
                <w:sz w:val="20"/>
              </w:rPr>
            </w:pPr>
            <w:r w:rsidRPr="00FF69A3">
              <w:rPr>
                <w:rFonts w:eastAsia="Arial"/>
                <w:b/>
                <w:bCs/>
                <w:sz w:val="20"/>
              </w:rPr>
              <w:t>Colegas</w:t>
            </w:r>
          </w:p>
        </w:tc>
        <w:tc>
          <w:tcPr>
            <w:tcW w:w="1687" w:type="dxa"/>
            <w:shd w:val="clear" w:color="auto" w:fill="BFBFBF" w:themeFill="background1" w:themeFillShade="BF"/>
            <w:vAlign w:val="center"/>
          </w:tcPr>
          <w:p w:rsidR="007C0797" w:rsidRPr="00FF69A3" w:rsidRDefault="00BE577A" w:rsidP="00B610DD">
            <w:pPr>
              <w:jc w:val="center"/>
              <w:rPr>
                <w:b/>
                <w:sz w:val="20"/>
              </w:rPr>
            </w:pPr>
            <w:r w:rsidRPr="00FF69A3">
              <w:rPr>
                <w:rFonts w:eastAsia="Arial"/>
                <w:b/>
                <w:bCs/>
                <w:sz w:val="20"/>
              </w:rPr>
              <w:t>Por otro medio</w:t>
            </w:r>
          </w:p>
        </w:tc>
      </w:tr>
      <w:tr w:rsidR="00954752" w:rsidRPr="00FF69A3" w:rsidTr="00B610DD">
        <w:trPr>
          <w:trHeight w:val="597"/>
        </w:trPr>
        <w:tc>
          <w:tcPr>
            <w:tcW w:w="3955" w:type="dxa"/>
            <w:vMerge/>
          </w:tcPr>
          <w:p w:rsidR="007C0797" w:rsidRPr="00FF69A3" w:rsidRDefault="007C0797" w:rsidP="00B610DD">
            <w:pPr>
              <w:rPr>
                <w:sz w:val="20"/>
              </w:rPr>
            </w:pPr>
          </w:p>
        </w:tc>
        <w:tc>
          <w:tcPr>
            <w:tcW w:w="2435" w:type="dxa"/>
            <w:vAlign w:val="center"/>
          </w:tcPr>
          <w:p w:rsidR="007C0797" w:rsidRPr="00FF69A3" w:rsidRDefault="00BE577A" w:rsidP="00B610DD">
            <w:pPr>
              <w:jc w:val="center"/>
              <w:rPr>
                <w:sz w:val="20"/>
              </w:rPr>
            </w:pPr>
            <w:r w:rsidRPr="00FF69A3">
              <w:rPr>
                <w:rFonts w:eastAsia="Arial"/>
                <w:sz w:val="20"/>
              </w:rPr>
              <w:t>76</w:t>
            </w:r>
          </w:p>
        </w:tc>
        <w:tc>
          <w:tcPr>
            <w:tcW w:w="2160" w:type="dxa"/>
            <w:vAlign w:val="center"/>
          </w:tcPr>
          <w:p w:rsidR="007C0797" w:rsidRPr="00FF69A3" w:rsidRDefault="00BE577A" w:rsidP="00B610DD">
            <w:pPr>
              <w:jc w:val="center"/>
              <w:rPr>
                <w:sz w:val="20"/>
              </w:rPr>
            </w:pPr>
            <w:r w:rsidRPr="00FF69A3">
              <w:rPr>
                <w:rFonts w:eastAsia="Arial"/>
                <w:sz w:val="20"/>
              </w:rPr>
              <w:t>42</w:t>
            </w:r>
          </w:p>
        </w:tc>
        <w:tc>
          <w:tcPr>
            <w:tcW w:w="2160" w:type="dxa"/>
            <w:vAlign w:val="center"/>
          </w:tcPr>
          <w:p w:rsidR="007C0797" w:rsidRPr="00FF69A3" w:rsidRDefault="00BE577A" w:rsidP="00B610DD">
            <w:pPr>
              <w:jc w:val="center"/>
              <w:rPr>
                <w:sz w:val="20"/>
              </w:rPr>
            </w:pPr>
            <w:r w:rsidRPr="00FF69A3">
              <w:rPr>
                <w:rFonts w:eastAsia="Arial"/>
                <w:sz w:val="20"/>
              </w:rPr>
              <w:t>196</w:t>
            </w:r>
          </w:p>
        </w:tc>
        <w:tc>
          <w:tcPr>
            <w:tcW w:w="2340" w:type="dxa"/>
            <w:vAlign w:val="center"/>
          </w:tcPr>
          <w:p w:rsidR="007C0797" w:rsidRPr="00FF69A3" w:rsidRDefault="00BE577A" w:rsidP="00B610DD">
            <w:pPr>
              <w:jc w:val="center"/>
              <w:rPr>
                <w:sz w:val="20"/>
              </w:rPr>
            </w:pPr>
            <w:r w:rsidRPr="00FF69A3">
              <w:rPr>
                <w:rFonts w:eastAsia="Arial"/>
                <w:sz w:val="20"/>
              </w:rPr>
              <w:t>24</w:t>
            </w:r>
          </w:p>
        </w:tc>
        <w:tc>
          <w:tcPr>
            <w:tcW w:w="1687" w:type="dxa"/>
            <w:vAlign w:val="center"/>
          </w:tcPr>
          <w:p w:rsidR="007C0797" w:rsidRPr="00FF69A3" w:rsidRDefault="00BE577A" w:rsidP="00B610DD">
            <w:pPr>
              <w:jc w:val="center"/>
              <w:rPr>
                <w:sz w:val="20"/>
              </w:rPr>
            </w:pPr>
            <w:r w:rsidRPr="00FF69A3">
              <w:rPr>
                <w:rFonts w:eastAsia="Arial"/>
                <w:sz w:val="20"/>
              </w:rPr>
              <w:t>12</w:t>
            </w:r>
          </w:p>
        </w:tc>
      </w:tr>
    </w:tbl>
    <w:p w:rsidR="007C0797" w:rsidRPr="00FF69A3" w:rsidRDefault="00BE577A">
      <w:r w:rsidRPr="00FF69A3">
        <w:br w:type="page"/>
      </w:r>
    </w:p>
    <w:p w:rsidR="007C0797" w:rsidRPr="00FF69A3" w:rsidRDefault="00BE577A" w:rsidP="007C0797">
      <w:pPr>
        <w:rPr>
          <w:b/>
          <w:szCs w:val="22"/>
        </w:rPr>
      </w:pPr>
      <w:r w:rsidRPr="00FF69A3">
        <w:rPr>
          <w:rFonts w:eastAsia="Arial"/>
          <w:b/>
          <w:bCs/>
          <w:szCs w:val="22"/>
        </w:rPr>
        <w:t>DÍA</w:t>
      </w:r>
      <w:r w:rsidR="004A530A" w:rsidRPr="00FF69A3">
        <w:rPr>
          <w:rFonts w:eastAsia="Arial"/>
          <w:b/>
          <w:bCs/>
          <w:szCs w:val="22"/>
        </w:rPr>
        <w:t> 2</w:t>
      </w:r>
      <w:r w:rsidRPr="00FF69A3">
        <w:rPr>
          <w:rFonts w:eastAsia="Arial"/>
          <w:b/>
          <w:bCs/>
          <w:szCs w:val="22"/>
        </w:rPr>
        <w:t xml:space="preserve"> (</w:t>
      </w:r>
      <w:r w:rsidR="004A530A" w:rsidRPr="00FF69A3">
        <w:rPr>
          <w:rFonts w:eastAsia="Arial"/>
          <w:b/>
          <w:bCs/>
          <w:szCs w:val="22"/>
        </w:rPr>
        <w:t>3</w:t>
      </w:r>
      <w:r w:rsidRPr="00FF69A3">
        <w:rPr>
          <w:rFonts w:eastAsia="Arial"/>
          <w:b/>
          <w:bCs/>
          <w:szCs w:val="22"/>
        </w:rPr>
        <w:t>13 respuestas)</w:t>
      </w:r>
    </w:p>
    <w:p w:rsidR="007C0797" w:rsidRPr="00FF69A3" w:rsidRDefault="007C0797" w:rsidP="007C0797">
      <w:pPr>
        <w:rPr>
          <w:b/>
          <w:szCs w:val="22"/>
        </w:rPr>
      </w:pPr>
    </w:p>
    <w:p w:rsidR="007C0797" w:rsidRPr="00FF69A3" w:rsidRDefault="007C0797" w:rsidP="007C0797">
      <w:pPr>
        <w:rPr>
          <w:b/>
          <w:szCs w:val="22"/>
        </w:rPr>
      </w:pPr>
    </w:p>
    <w:tbl>
      <w:tblPr>
        <w:tblStyle w:val="TableGrid"/>
        <w:tblpPr w:leftFromText="180" w:rightFromText="180" w:vertAnchor="text" w:horzAnchor="margin" w:tblpX="-162" w:tblpY="-72"/>
        <w:tblW w:w="14611" w:type="dxa"/>
        <w:tblLook w:val="04A0" w:firstRow="1" w:lastRow="0" w:firstColumn="1" w:lastColumn="0" w:noHBand="0" w:noVBand="1"/>
        <w:tblCaption w:val="Annex: Results of Satisfaction Surveys"/>
        <w:tblDescription w:val="Day 2: based on 313 responses"/>
      </w:tblPr>
      <w:tblGrid>
        <w:gridCol w:w="3970"/>
        <w:gridCol w:w="2409"/>
        <w:gridCol w:w="2131"/>
        <w:gridCol w:w="2127"/>
        <w:gridCol w:w="2409"/>
        <w:gridCol w:w="1565"/>
      </w:tblGrid>
      <w:tr w:rsidR="00954752" w:rsidRPr="00FF69A3" w:rsidTr="00B610DD">
        <w:trPr>
          <w:trHeight w:val="420"/>
        </w:trPr>
        <w:tc>
          <w:tcPr>
            <w:tcW w:w="3970" w:type="dxa"/>
            <w:shd w:val="clear" w:color="auto" w:fill="BFBFBF" w:themeFill="background1" w:themeFillShade="BF"/>
            <w:vAlign w:val="center"/>
          </w:tcPr>
          <w:p w:rsidR="007C0797" w:rsidRPr="00FF69A3" w:rsidRDefault="007C0797" w:rsidP="00B610DD">
            <w:pPr>
              <w:rPr>
                <w:b/>
                <w:sz w:val="20"/>
              </w:rPr>
            </w:pPr>
          </w:p>
        </w:tc>
        <w:tc>
          <w:tcPr>
            <w:tcW w:w="2409" w:type="dxa"/>
            <w:shd w:val="clear" w:color="auto" w:fill="BFBFBF" w:themeFill="background1" w:themeFillShade="BF"/>
            <w:vAlign w:val="center"/>
          </w:tcPr>
          <w:p w:rsidR="007C0797" w:rsidRPr="00FF69A3" w:rsidRDefault="00BE577A" w:rsidP="00B610DD">
            <w:pPr>
              <w:jc w:val="center"/>
              <w:rPr>
                <w:b/>
                <w:sz w:val="20"/>
              </w:rPr>
            </w:pPr>
            <w:r w:rsidRPr="00FF69A3">
              <w:rPr>
                <w:rFonts w:eastAsia="Arial"/>
                <w:b/>
                <w:bCs/>
                <w:sz w:val="20"/>
              </w:rPr>
              <w:t>Gobierno/Oficina de PI</w:t>
            </w:r>
          </w:p>
        </w:tc>
        <w:tc>
          <w:tcPr>
            <w:tcW w:w="2131" w:type="dxa"/>
            <w:shd w:val="clear" w:color="auto" w:fill="BFBFBF" w:themeFill="background1" w:themeFillShade="BF"/>
            <w:vAlign w:val="center"/>
          </w:tcPr>
          <w:p w:rsidR="007C0797" w:rsidRPr="00FF69A3" w:rsidRDefault="00BE577A" w:rsidP="00B610DD">
            <w:pPr>
              <w:jc w:val="center"/>
              <w:rPr>
                <w:b/>
                <w:sz w:val="20"/>
              </w:rPr>
            </w:pPr>
            <w:r w:rsidRPr="00FF69A3">
              <w:rPr>
                <w:rFonts w:eastAsia="Arial"/>
                <w:b/>
                <w:bCs/>
                <w:sz w:val="20"/>
              </w:rPr>
              <w:t>Mundo académico</w:t>
            </w:r>
          </w:p>
        </w:tc>
        <w:tc>
          <w:tcPr>
            <w:tcW w:w="2127" w:type="dxa"/>
            <w:shd w:val="clear" w:color="auto" w:fill="BFBFBF" w:themeFill="background1" w:themeFillShade="BF"/>
            <w:vAlign w:val="center"/>
          </w:tcPr>
          <w:p w:rsidR="007C0797" w:rsidRPr="00FF69A3" w:rsidRDefault="00BE577A" w:rsidP="00B610DD">
            <w:pPr>
              <w:jc w:val="center"/>
              <w:rPr>
                <w:b/>
                <w:sz w:val="20"/>
              </w:rPr>
            </w:pPr>
            <w:r w:rsidRPr="00FF69A3">
              <w:rPr>
                <w:rFonts w:eastAsia="Arial"/>
                <w:b/>
                <w:bCs/>
                <w:sz w:val="20"/>
              </w:rPr>
              <w:t>ONG/OIG</w:t>
            </w:r>
          </w:p>
        </w:tc>
        <w:tc>
          <w:tcPr>
            <w:tcW w:w="2409" w:type="dxa"/>
            <w:shd w:val="clear" w:color="auto" w:fill="BFBFBF" w:themeFill="background1" w:themeFillShade="BF"/>
            <w:vAlign w:val="center"/>
          </w:tcPr>
          <w:p w:rsidR="007C0797" w:rsidRPr="00FF69A3" w:rsidRDefault="00BE577A" w:rsidP="00B610DD">
            <w:pPr>
              <w:jc w:val="center"/>
              <w:rPr>
                <w:b/>
                <w:sz w:val="20"/>
              </w:rPr>
            </w:pPr>
            <w:r w:rsidRPr="00FF69A3">
              <w:rPr>
                <w:rFonts w:eastAsia="Arial"/>
                <w:b/>
                <w:bCs/>
                <w:sz w:val="20"/>
              </w:rPr>
              <w:t>Sector privado</w:t>
            </w:r>
          </w:p>
        </w:tc>
        <w:tc>
          <w:tcPr>
            <w:tcW w:w="1565" w:type="dxa"/>
            <w:shd w:val="clear" w:color="auto" w:fill="BFBFBF" w:themeFill="background1" w:themeFillShade="BF"/>
            <w:vAlign w:val="center"/>
          </w:tcPr>
          <w:p w:rsidR="007C0797" w:rsidRPr="00FF69A3" w:rsidRDefault="00BE577A" w:rsidP="00B610DD">
            <w:pPr>
              <w:jc w:val="center"/>
              <w:rPr>
                <w:b/>
                <w:sz w:val="20"/>
              </w:rPr>
            </w:pPr>
            <w:r w:rsidRPr="00FF69A3">
              <w:rPr>
                <w:rFonts w:eastAsia="Arial"/>
                <w:b/>
                <w:bCs/>
                <w:sz w:val="20"/>
              </w:rPr>
              <w:t>Otros</w:t>
            </w:r>
          </w:p>
        </w:tc>
      </w:tr>
      <w:tr w:rsidR="00954752" w:rsidRPr="00FF69A3" w:rsidTr="00B610DD">
        <w:trPr>
          <w:trHeight w:val="398"/>
        </w:trPr>
        <w:tc>
          <w:tcPr>
            <w:tcW w:w="3970" w:type="dxa"/>
            <w:vAlign w:val="center"/>
          </w:tcPr>
          <w:p w:rsidR="007C0797" w:rsidRPr="00FF69A3" w:rsidRDefault="00BE577A" w:rsidP="00B610DD">
            <w:pPr>
              <w:rPr>
                <w:b/>
                <w:sz w:val="20"/>
              </w:rPr>
            </w:pPr>
            <w:r w:rsidRPr="00FF69A3">
              <w:rPr>
                <w:rFonts w:eastAsia="Arial"/>
                <w:b/>
                <w:bCs/>
                <w:sz w:val="20"/>
              </w:rPr>
              <w:t>Sector de actividad</w:t>
            </w:r>
          </w:p>
        </w:tc>
        <w:tc>
          <w:tcPr>
            <w:tcW w:w="2409" w:type="dxa"/>
            <w:tcBorders>
              <w:bottom w:val="single" w:sz="4" w:space="0" w:color="auto"/>
            </w:tcBorders>
            <w:vAlign w:val="center"/>
          </w:tcPr>
          <w:p w:rsidR="007C0797" w:rsidRPr="00FF69A3" w:rsidRDefault="00BE577A" w:rsidP="00B610DD">
            <w:pPr>
              <w:jc w:val="center"/>
              <w:rPr>
                <w:sz w:val="20"/>
              </w:rPr>
            </w:pPr>
            <w:r w:rsidRPr="00FF69A3">
              <w:rPr>
                <w:rFonts w:eastAsia="Arial"/>
                <w:sz w:val="20"/>
              </w:rPr>
              <w:t>131</w:t>
            </w:r>
          </w:p>
        </w:tc>
        <w:tc>
          <w:tcPr>
            <w:tcW w:w="2131" w:type="dxa"/>
            <w:tcBorders>
              <w:bottom w:val="single" w:sz="4" w:space="0" w:color="auto"/>
            </w:tcBorders>
            <w:vAlign w:val="center"/>
          </w:tcPr>
          <w:p w:rsidR="007C0797" w:rsidRPr="00FF69A3" w:rsidRDefault="00BE577A" w:rsidP="00B610DD">
            <w:pPr>
              <w:jc w:val="center"/>
              <w:rPr>
                <w:sz w:val="20"/>
              </w:rPr>
            </w:pPr>
            <w:r w:rsidRPr="00FF69A3">
              <w:rPr>
                <w:rFonts w:eastAsia="Arial"/>
                <w:sz w:val="20"/>
              </w:rPr>
              <w:t>91</w:t>
            </w:r>
          </w:p>
        </w:tc>
        <w:tc>
          <w:tcPr>
            <w:tcW w:w="2127" w:type="dxa"/>
            <w:tcBorders>
              <w:bottom w:val="single" w:sz="4" w:space="0" w:color="auto"/>
            </w:tcBorders>
            <w:vAlign w:val="center"/>
          </w:tcPr>
          <w:p w:rsidR="007C0797" w:rsidRPr="00FF69A3" w:rsidRDefault="00BE577A" w:rsidP="00B610DD">
            <w:pPr>
              <w:jc w:val="center"/>
              <w:rPr>
                <w:sz w:val="20"/>
              </w:rPr>
            </w:pPr>
            <w:r w:rsidRPr="00FF69A3">
              <w:rPr>
                <w:rFonts w:eastAsia="Arial"/>
                <w:sz w:val="20"/>
              </w:rPr>
              <w:t>11</w:t>
            </w:r>
          </w:p>
        </w:tc>
        <w:tc>
          <w:tcPr>
            <w:tcW w:w="2409" w:type="dxa"/>
            <w:tcBorders>
              <w:bottom w:val="single" w:sz="4" w:space="0" w:color="auto"/>
            </w:tcBorders>
            <w:vAlign w:val="center"/>
          </w:tcPr>
          <w:p w:rsidR="007C0797" w:rsidRPr="00FF69A3" w:rsidRDefault="00BE577A" w:rsidP="00B610DD">
            <w:pPr>
              <w:jc w:val="center"/>
              <w:rPr>
                <w:sz w:val="20"/>
              </w:rPr>
            </w:pPr>
            <w:r w:rsidRPr="00FF69A3">
              <w:rPr>
                <w:rFonts w:eastAsia="Arial"/>
                <w:sz w:val="20"/>
              </w:rPr>
              <w:t>59</w:t>
            </w:r>
          </w:p>
        </w:tc>
        <w:tc>
          <w:tcPr>
            <w:tcW w:w="1565" w:type="dxa"/>
            <w:tcBorders>
              <w:bottom w:val="single" w:sz="4" w:space="0" w:color="auto"/>
            </w:tcBorders>
            <w:vAlign w:val="center"/>
          </w:tcPr>
          <w:p w:rsidR="007C0797" w:rsidRPr="00FF69A3" w:rsidRDefault="00BE577A" w:rsidP="00B610DD">
            <w:pPr>
              <w:jc w:val="center"/>
              <w:rPr>
                <w:sz w:val="20"/>
              </w:rPr>
            </w:pPr>
            <w:r w:rsidRPr="00FF69A3">
              <w:rPr>
                <w:rFonts w:eastAsia="Arial"/>
                <w:sz w:val="20"/>
              </w:rPr>
              <w:t>20</w:t>
            </w:r>
          </w:p>
        </w:tc>
      </w:tr>
    </w:tbl>
    <w:p w:rsidR="007C0797" w:rsidRPr="00FF69A3" w:rsidRDefault="007C0797" w:rsidP="007C0797">
      <w:pPr>
        <w:rPr>
          <w:sz w:val="20"/>
        </w:rPr>
      </w:pPr>
    </w:p>
    <w:tbl>
      <w:tblPr>
        <w:tblStyle w:val="TableGrid"/>
        <w:tblpPr w:leftFromText="180" w:rightFromText="180" w:vertAnchor="text" w:horzAnchor="margin" w:tblpXSpec="center" w:tblpY="-72"/>
        <w:tblW w:w="14596" w:type="dxa"/>
        <w:tblLook w:val="04A0" w:firstRow="1" w:lastRow="0" w:firstColumn="1" w:lastColumn="0" w:noHBand="0" w:noVBand="1"/>
        <w:tblCaption w:val="Annex: Results of Satisfaction Surveys"/>
        <w:tblDescription w:val="Day 2: based on 313 responses"/>
      </w:tblPr>
      <w:tblGrid>
        <w:gridCol w:w="3924"/>
        <w:gridCol w:w="2427"/>
        <w:gridCol w:w="2154"/>
        <w:gridCol w:w="2217"/>
        <w:gridCol w:w="2329"/>
        <w:gridCol w:w="1545"/>
      </w:tblGrid>
      <w:tr w:rsidR="00954752" w:rsidRPr="00FF69A3" w:rsidTr="00B610DD">
        <w:tc>
          <w:tcPr>
            <w:tcW w:w="3955" w:type="dxa"/>
            <w:shd w:val="clear" w:color="auto" w:fill="BFBFBF" w:themeFill="background1" w:themeFillShade="BF"/>
          </w:tcPr>
          <w:p w:rsidR="007C0797" w:rsidRPr="00FF69A3" w:rsidRDefault="007C0797" w:rsidP="00B610DD">
            <w:pPr>
              <w:rPr>
                <w:b/>
                <w:sz w:val="20"/>
              </w:rPr>
            </w:pPr>
          </w:p>
        </w:tc>
        <w:tc>
          <w:tcPr>
            <w:tcW w:w="2435" w:type="dxa"/>
            <w:shd w:val="clear" w:color="auto" w:fill="BFBFBF" w:themeFill="background1" w:themeFillShade="BF"/>
            <w:vAlign w:val="center"/>
          </w:tcPr>
          <w:p w:rsidR="007C0797" w:rsidRPr="00FF69A3" w:rsidRDefault="00BE577A" w:rsidP="00B610DD">
            <w:pPr>
              <w:jc w:val="center"/>
              <w:rPr>
                <w:b/>
                <w:sz w:val="20"/>
              </w:rPr>
            </w:pPr>
            <w:r w:rsidRPr="00FF69A3">
              <w:rPr>
                <w:rFonts w:eastAsia="Arial"/>
                <w:b/>
                <w:bCs/>
                <w:sz w:val="20"/>
              </w:rPr>
              <w:t>Extremadamente satisfecho</w:t>
            </w:r>
          </w:p>
        </w:tc>
        <w:tc>
          <w:tcPr>
            <w:tcW w:w="2160" w:type="dxa"/>
            <w:shd w:val="clear" w:color="auto" w:fill="BFBFBF" w:themeFill="background1" w:themeFillShade="BF"/>
            <w:vAlign w:val="center"/>
          </w:tcPr>
          <w:p w:rsidR="007C0797" w:rsidRPr="00FF69A3" w:rsidRDefault="00BE577A" w:rsidP="00B610DD">
            <w:pPr>
              <w:jc w:val="center"/>
              <w:rPr>
                <w:b/>
                <w:sz w:val="20"/>
              </w:rPr>
            </w:pPr>
            <w:r w:rsidRPr="00FF69A3">
              <w:rPr>
                <w:rFonts w:eastAsia="Arial"/>
                <w:b/>
                <w:bCs/>
                <w:sz w:val="20"/>
              </w:rPr>
              <w:t>Satisfecho</w:t>
            </w:r>
          </w:p>
        </w:tc>
        <w:tc>
          <w:tcPr>
            <w:tcW w:w="2160" w:type="dxa"/>
            <w:shd w:val="clear" w:color="auto" w:fill="BFBFBF" w:themeFill="background1" w:themeFillShade="BF"/>
            <w:vAlign w:val="center"/>
          </w:tcPr>
          <w:p w:rsidR="007C0797" w:rsidRPr="00FF69A3" w:rsidRDefault="00BE577A" w:rsidP="00B610DD">
            <w:pPr>
              <w:jc w:val="center"/>
              <w:rPr>
                <w:b/>
                <w:sz w:val="20"/>
              </w:rPr>
            </w:pPr>
            <w:r w:rsidRPr="00FF69A3">
              <w:rPr>
                <w:rFonts w:eastAsia="Arial"/>
                <w:b/>
                <w:bCs/>
                <w:sz w:val="20"/>
              </w:rPr>
              <w:t>No lo sé</w:t>
            </w:r>
          </w:p>
        </w:tc>
        <w:tc>
          <w:tcPr>
            <w:tcW w:w="2340" w:type="dxa"/>
            <w:shd w:val="clear" w:color="auto" w:fill="BFBFBF" w:themeFill="background1" w:themeFillShade="BF"/>
            <w:vAlign w:val="center"/>
          </w:tcPr>
          <w:p w:rsidR="007C0797" w:rsidRPr="00FF69A3" w:rsidRDefault="00BE577A" w:rsidP="00B610DD">
            <w:pPr>
              <w:jc w:val="center"/>
              <w:rPr>
                <w:b/>
                <w:sz w:val="20"/>
              </w:rPr>
            </w:pPr>
            <w:r w:rsidRPr="00FF69A3">
              <w:rPr>
                <w:rFonts w:eastAsia="Arial"/>
                <w:b/>
                <w:bCs/>
                <w:sz w:val="20"/>
              </w:rPr>
              <w:t>Parcialmente satisfecho</w:t>
            </w:r>
          </w:p>
        </w:tc>
        <w:tc>
          <w:tcPr>
            <w:tcW w:w="1546" w:type="dxa"/>
            <w:shd w:val="clear" w:color="auto" w:fill="BFBFBF" w:themeFill="background1" w:themeFillShade="BF"/>
            <w:vAlign w:val="center"/>
          </w:tcPr>
          <w:p w:rsidR="007C0797" w:rsidRPr="00FF69A3" w:rsidRDefault="00BE577A" w:rsidP="00B610DD">
            <w:pPr>
              <w:jc w:val="center"/>
              <w:rPr>
                <w:b/>
                <w:sz w:val="20"/>
              </w:rPr>
            </w:pPr>
            <w:r w:rsidRPr="00FF69A3">
              <w:rPr>
                <w:rFonts w:eastAsia="Arial"/>
                <w:b/>
                <w:bCs/>
                <w:sz w:val="20"/>
              </w:rPr>
              <w:t>Nada satisfecho</w:t>
            </w:r>
          </w:p>
        </w:tc>
      </w:tr>
      <w:tr w:rsidR="00954752" w:rsidRPr="00FF69A3" w:rsidTr="00B610DD">
        <w:trPr>
          <w:trHeight w:val="534"/>
        </w:trPr>
        <w:tc>
          <w:tcPr>
            <w:tcW w:w="3955" w:type="dxa"/>
          </w:tcPr>
          <w:p w:rsidR="007C0797" w:rsidRPr="00FF69A3" w:rsidRDefault="00BE577A" w:rsidP="00B610DD">
            <w:pPr>
              <w:rPr>
                <w:sz w:val="20"/>
              </w:rPr>
            </w:pPr>
            <w:r w:rsidRPr="00FF69A3">
              <w:rPr>
                <w:rFonts w:eastAsia="Arial"/>
                <w:sz w:val="20"/>
              </w:rPr>
              <w:t>1. En general, ¿en qué medida colmó la conferencia sus expectativas?</w:t>
            </w:r>
          </w:p>
        </w:tc>
        <w:tc>
          <w:tcPr>
            <w:tcW w:w="2435" w:type="dxa"/>
            <w:tcBorders>
              <w:bottom w:val="single" w:sz="4" w:space="0" w:color="auto"/>
            </w:tcBorders>
            <w:vAlign w:val="center"/>
          </w:tcPr>
          <w:p w:rsidR="007C0797" w:rsidRPr="00FF69A3" w:rsidRDefault="00BE577A" w:rsidP="00B610DD">
            <w:pPr>
              <w:jc w:val="center"/>
              <w:rPr>
                <w:sz w:val="20"/>
              </w:rPr>
            </w:pPr>
            <w:r w:rsidRPr="00FF69A3">
              <w:rPr>
                <w:rFonts w:eastAsia="Arial"/>
                <w:sz w:val="20"/>
              </w:rPr>
              <w:t>155</w:t>
            </w:r>
          </w:p>
        </w:tc>
        <w:tc>
          <w:tcPr>
            <w:tcW w:w="2160" w:type="dxa"/>
            <w:tcBorders>
              <w:bottom w:val="single" w:sz="4" w:space="0" w:color="auto"/>
            </w:tcBorders>
            <w:vAlign w:val="center"/>
          </w:tcPr>
          <w:p w:rsidR="007C0797" w:rsidRPr="00FF69A3" w:rsidRDefault="00BE577A" w:rsidP="00B610DD">
            <w:pPr>
              <w:jc w:val="center"/>
              <w:rPr>
                <w:sz w:val="20"/>
              </w:rPr>
            </w:pPr>
            <w:r w:rsidRPr="00FF69A3">
              <w:rPr>
                <w:rFonts w:eastAsia="Arial"/>
                <w:sz w:val="20"/>
              </w:rPr>
              <w:t>152</w:t>
            </w:r>
          </w:p>
        </w:tc>
        <w:tc>
          <w:tcPr>
            <w:tcW w:w="2160" w:type="dxa"/>
            <w:tcBorders>
              <w:bottom w:val="single" w:sz="4" w:space="0" w:color="auto"/>
            </w:tcBorders>
            <w:vAlign w:val="center"/>
          </w:tcPr>
          <w:p w:rsidR="007C0797" w:rsidRPr="00FF69A3" w:rsidRDefault="00BE577A" w:rsidP="00B610DD">
            <w:pPr>
              <w:jc w:val="center"/>
              <w:rPr>
                <w:sz w:val="20"/>
              </w:rPr>
            </w:pPr>
            <w:r w:rsidRPr="00FF69A3">
              <w:rPr>
                <w:rFonts w:eastAsia="Arial"/>
                <w:sz w:val="20"/>
              </w:rPr>
              <w:t>4</w:t>
            </w:r>
          </w:p>
        </w:tc>
        <w:tc>
          <w:tcPr>
            <w:tcW w:w="2340" w:type="dxa"/>
            <w:tcBorders>
              <w:bottom w:val="single" w:sz="4" w:space="0" w:color="auto"/>
            </w:tcBorders>
            <w:vAlign w:val="center"/>
          </w:tcPr>
          <w:p w:rsidR="007C0797" w:rsidRPr="00FF69A3" w:rsidRDefault="00BE577A" w:rsidP="00B610DD">
            <w:pPr>
              <w:jc w:val="center"/>
              <w:rPr>
                <w:sz w:val="20"/>
              </w:rPr>
            </w:pPr>
            <w:r w:rsidRPr="00FF69A3">
              <w:rPr>
                <w:rFonts w:eastAsia="Arial"/>
                <w:sz w:val="20"/>
              </w:rPr>
              <w:t>0</w:t>
            </w:r>
          </w:p>
        </w:tc>
        <w:tc>
          <w:tcPr>
            <w:tcW w:w="1546" w:type="dxa"/>
            <w:tcBorders>
              <w:bottom w:val="single" w:sz="4" w:space="0" w:color="auto"/>
            </w:tcBorders>
            <w:vAlign w:val="center"/>
          </w:tcPr>
          <w:p w:rsidR="007C0797" w:rsidRPr="00FF69A3" w:rsidRDefault="00BE577A" w:rsidP="00B610DD">
            <w:pPr>
              <w:jc w:val="center"/>
              <w:rPr>
                <w:sz w:val="20"/>
              </w:rPr>
            </w:pPr>
            <w:r w:rsidRPr="00FF69A3">
              <w:rPr>
                <w:rFonts w:eastAsia="Arial"/>
                <w:sz w:val="20"/>
              </w:rPr>
              <w:t>0</w:t>
            </w:r>
          </w:p>
        </w:tc>
      </w:tr>
      <w:tr w:rsidR="00954752" w:rsidRPr="00FF69A3" w:rsidTr="00B610DD">
        <w:trPr>
          <w:trHeight w:val="400"/>
        </w:trPr>
        <w:tc>
          <w:tcPr>
            <w:tcW w:w="3955" w:type="dxa"/>
            <w:vMerge w:val="restart"/>
          </w:tcPr>
          <w:p w:rsidR="007C0797" w:rsidRPr="00FF69A3" w:rsidRDefault="00BE577A" w:rsidP="00B610DD">
            <w:pPr>
              <w:rPr>
                <w:sz w:val="20"/>
              </w:rPr>
            </w:pPr>
            <w:r w:rsidRPr="00FF69A3">
              <w:rPr>
                <w:rFonts w:eastAsia="Arial"/>
                <w:sz w:val="20"/>
              </w:rPr>
              <w:t>2. ¿Cómo calificaría el diseño de la conferencia en relación con:</w:t>
            </w:r>
          </w:p>
          <w:p w:rsidR="007C0797" w:rsidRPr="00FF69A3" w:rsidRDefault="007C0797" w:rsidP="00B610DD">
            <w:pPr>
              <w:rPr>
                <w:sz w:val="20"/>
              </w:rPr>
            </w:pPr>
          </w:p>
          <w:p w:rsidR="007C0797" w:rsidRPr="00FF69A3" w:rsidRDefault="00BE577A" w:rsidP="00B610DD">
            <w:pPr>
              <w:rPr>
                <w:sz w:val="20"/>
              </w:rPr>
            </w:pPr>
            <w:r w:rsidRPr="00FF69A3">
              <w:rPr>
                <w:rFonts w:eastAsia="Arial"/>
                <w:sz w:val="20"/>
              </w:rPr>
              <w:t>su organización (logística)</w:t>
            </w:r>
          </w:p>
          <w:p w:rsidR="007C0797" w:rsidRPr="00FF69A3" w:rsidRDefault="007C0797" w:rsidP="00B610DD">
            <w:pPr>
              <w:rPr>
                <w:sz w:val="20"/>
              </w:rPr>
            </w:pPr>
          </w:p>
          <w:p w:rsidR="007C0797" w:rsidRPr="00FF69A3" w:rsidRDefault="00BE577A" w:rsidP="00B610DD">
            <w:pPr>
              <w:rPr>
                <w:sz w:val="20"/>
              </w:rPr>
            </w:pPr>
            <w:r w:rsidRPr="00FF69A3">
              <w:rPr>
                <w:rFonts w:eastAsia="Arial"/>
                <w:sz w:val="20"/>
              </w:rPr>
              <w:t xml:space="preserve">su contenido/el programa de la conferencia: </w:t>
            </w:r>
          </w:p>
        </w:tc>
        <w:tc>
          <w:tcPr>
            <w:tcW w:w="2435" w:type="dxa"/>
            <w:tcBorders>
              <w:right w:val="nil"/>
            </w:tcBorders>
            <w:shd w:val="clear" w:color="auto" w:fill="BFBFBF" w:themeFill="background1" w:themeFillShade="BF"/>
            <w:vAlign w:val="center"/>
          </w:tcPr>
          <w:p w:rsidR="007C0797" w:rsidRPr="00FF69A3" w:rsidRDefault="00BE577A" w:rsidP="00B610DD">
            <w:pPr>
              <w:jc w:val="center"/>
              <w:rPr>
                <w:b/>
                <w:sz w:val="20"/>
              </w:rPr>
            </w:pPr>
            <w:r w:rsidRPr="00FF69A3">
              <w:rPr>
                <w:rFonts w:eastAsia="Arial"/>
                <w:b/>
                <w:bCs/>
                <w:sz w:val="20"/>
              </w:rPr>
              <w:t>Excelente</w:t>
            </w:r>
          </w:p>
        </w:tc>
        <w:tc>
          <w:tcPr>
            <w:tcW w:w="2160" w:type="dxa"/>
            <w:tcBorders>
              <w:left w:val="nil"/>
              <w:right w:val="nil"/>
            </w:tcBorders>
            <w:shd w:val="clear" w:color="auto" w:fill="BFBFBF" w:themeFill="background1" w:themeFillShade="BF"/>
            <w:vAlign w:val="center"/>
          </w:tcPr>
          <w:p w:rsidR="007C0797" w:rsidRPr="00FF69A3" w:rsidRDefault="00BE577A" w:rsidP="00B610DD">
            <w:pPr>
              <w:jc w:val="center"/>
              <w:rPr>
                <w:b/>
                <w:sz w:val="20"/>
              </w:rPr>
            </w:pPr>
            <w:r w:rsidRPr="00FF69A3">
              <w:rPr>
                <w:rFonts w:eastAsia="Arial"/>
                <w:b/>
                <w:bCs/>
                <w:sz w:val="20"/>
              </w:rPr>
              <w:t>Bueno</w:t>
            </w:r>
          </w:p>
        </w:tc>
        <w:tc>
          <w:tcPr>
            <w:tcW w:w="2160" w:type="dxa"/>
            <w:tcBorders>
              <w:left w:val="nil"/>
              <w:right w:val="nil"/>
            </w:tcBorders>
            <w:shd w:val="clear" w:color="auto" w:fill="BFBFBF" w:themeFill="background1" w:themeFillShade="BF"/>
            <w:vAlign w:val="center"/>
          </w:tcPr>
          <w:p w:rsidR="007C0797" w:rsidRPr="00FF69A3" w:rsidRDefault="00BE577A" w:rsidP="00B610DD">
            <w:pPr>
              <w:jc w:val="center"/>
              <w:rPr>
                <w:b/>
                <w:sz w:val="20"/>
              </w:rPr>
            </w:pPr>
            <w:r w:rsidRPr="00FF69A3">
              <w:rPr>
                <w:rFonts w:eastAsia="Arial"/>
                <w:b/>
                <w:bCs/>
                <w:sz w:val="20"/>
              </w:rPr>
              <w:t>Regular</w:t>
            </w:r>
          </w:p>
        </w:tc>
        <w:tc>
          <w:tcPr>
            <w:tcW w:w="2340" w:type="dxa"/>
            <w:tcBorders>
              <w:left w:val="nil"/>
              <w:right w:val="nil"/>
            </w:tcBorders>
            <w:shd w:val="clear" w:color="auto" w:fill="BFBFBF" w:themeFill="background1" w:themeFillShade="BF"/>
            <w:vAlign w:val="center"/>
          </w:tcPr>
          <w:p w:rsidR="007C0797" w:rsidRPr="00FF69A3" w:rsidRDefault="00BE577A" w:rsidP="00B610DD">
            <w:pPr>
              <w:jc w:val="center"/>
              <w:rPr>
                <w:b/>
                <w:sz w:val="20"/>
              </w:rPr>
            </w:pPr>
            <w:r w:rsidRPr="00FF69A3">
              <w:rPr>
                <w:rFonts w:eastAsia="Arial"/>
                <w:b/>
                <w:bCs/>
                <w:sz w:val="20"/>
              </w:rPr>
              <w:t>Mediocre</w:t>
            </w:r>
          </w:p>
        </w:tc>
        <w:tc>
          <w:tcPr>
            <w:tcW w:w="1546" w:type="dxa"/>
            <w:tcBorders>
              <w:left w:val="nil"/>
            </w:tcBorders>
            <w:shd w:val="clear" w:color="auto" w:fill="BFBFBF" w:themeFill="background1" w:themeFillShade="BF"/>
            <w:vAlign w:val="center"/>
          </w:tcPr>
          <w:p w:rsidR="007C0797" w:rsidRPr="00FF69A3" w:rsidRDefault="00BE577A" w:rsidP="00B610DD">
            <w:pPr>
              <w:jc w:val="center"/>
              <w:rPr>
                <w:b/>
                <w:sz w:val="20"/>
              </w:rPr>
            </w:pPr>
            <w:r w:rsidRPr="00FF69A3">
              <w:rPr>
                <w:rFonts w:eastAsia="Arial"/>
                <w:b/>
                <w:bCs/>
                <w:sz w:val="20"/>
              </w:rPr>
              <w:t>Malo</w:t>
            </w:r>
          </w:p>
        </w:tc>
      </w:tr>
      <w:tr w:rsidR="00954752" w:rsidRPr="00FF69A3" w:rsidTr="00B610DD">
        <w:trPr>
          <w:trHeight w:val="656"/>
        </w:trPr>
        <w:tc>
          <w:tcPr>
            <w:tcW w:w="3955" w:type="dxa"/>
            <w:vMerge/>
          </w:tcPr>
          <w:p w:rsidR="007C0797" w:rsidRPr="00FF69A3" w:rsidRDefault="007C0797" w:rsidP="00B610DD">
            <w:pPr>
              <w:rPr>
                <w:sz w:val="20"/>
              </w:rPr>
            </w:pPr>
          </w:p>
        </w:tc>
        <w:tc>
          <w:tcPr>
            <w:tcW w:w="2435" w:type="dxa"/>
            <w:vAlign w:val="center"/>
          </w:tcPr>
          <w:p w:rsidR="007C0797" w:rsidRPr="00FF69A3" w:rsidRDefault="00BE577A" w:rsidP="00B610DD">
            <w:pPr>
              <w:jc w:val="center"/>
              <w:rPr>
                <w:sz w:val="20"/>
              </w:rPr>
            </w:pPr>
            <w:r w:rsidRPr="00FF69A3">
              <w:rPr>
                <w:rFonts w:eastAsia="Arial"/>
                <w:sz w:val="20"/>
              </w:rPr>
              <w:t>204</w:t>
            </w:r>
          </w:p>
        </w:tc>
        <w:tc>
          <w:tcPr>
            <w:tcW w:w="2160" w:type="dxa"/>
            <w:vAlign w:val="center"/>
          </w:tcPr>
          <w:p w:rsidR="007C0797" w:rsidRPr="00FF69A3" w:rsidRDefault="00BE577A" w:rsidP="00B610DD">
            <w:pPr>
              <w:jc w:val="center"/>
              <w:rPr>
                <w:sz w:val="20"/>
              </w:rPr>
            </w:pPr>
            <w:r w:rsidRPr="00FF69A3">
              <w:rPr>
                <w:rFonts w:eastAsia="Arial"/>
                <w:sz w:val="20"/>
              </w:rPr>
              <w:t>101</w:t>
            </w:r>
          </w:p>
        </w:tc>
        <w:tc>
          <w:tcPr>
            <w:tcW w:w="2160" w:type="dxa"/>
            <w:vAlign w:val="center"/>
          </w:tcPr>
          <w:p w:rsidR="007C0797" w:rsidRPr="00FF69A3" w:rsidRDefault="00BE577A" w:rsidP="00B610DD">
            <w:pPr>
              <w:jc w:val="center"/>
              <w:rPr>
                <w:sz w:val="20"/>
              </w:rPr>
            </w:pPr>
            <w:r w:rsidRPr="00FF69A3">
              <w:rPr>
                <w:rFonts w:eastAsia="Arial"/>
                <w:sz w:val="20"/>
              </w:rPr>
              <w:t>4</w:t>
            </w:r>
          </w:p>
        </w:tc>
        <w:tc>
          <w:tcPr>
            <w:tcW w:w="2340" w:type="dxa"/>
            <w:vAlign w:val="center"/>
          </w:tcPr>
          <w:p w:rsidR="007C0797" w:rsidRPr="00FF69A3" w:rsidRDefault="00BE577A" w:rsidP="00B610DD">
            <w:pPr>
              <w:jc w:val="center"/>
              <w:rPr>
                <w:sz w:val="20"/>
              </w:rPr>
            </w:pPr>
            <w:r w:rsidRPr="00FF69A3">
              <w:rPr>
                <w:rFonts w:eastAsia="Arial"/>
                <w:sz w:val="20"/>
              </w:rPr>
              <w:t>0</w:t>
            </w:r>
          </w:p>
        </w:tc>
        <w:tc>
          <w:tcPr>
            <w:tcW w:w="1546" w:type="dxa"/>
            <w:vAlign w:val="center"/>
          </w:tcPr>
          <w:p w:rsidR="007C0797" w:rsidRPr="00FF69A3" w:rsidRDefault="00BE577A" w:rsidP="00B610DD">
            <w:pPr>
              <w:jc w:val="center"/>
              <w:rPr>
                <w:sz w:val="20"/>
              </w:rPr>
            </w:pPr>
            <w:r w:rsidRPr="00FF69A3">
              <w:rPr>
                <w:rFonts w:eastAsia="Arial"/>
                <w:sz w:val="20"/>
              </w:rPr>
              <w:t>0</w:t>
            </w:r>
          </w:p>
        </w:tc>
      </w:tr>
      <w:tr w:rsidR="00954752" w:rsidRPr="00FF69A3" w:rsidTr="00B610DD">
        <w:trPr>
          <w:trHeight w:val="500"/>
        </w:trPr>
        <w:tc>
          <w:tcPr>
            <w:tcW w:w="3955" w:type="dxa"/>
            <w:vMerge/>
          </w:tcPr>
          <w:p w:rsidR="007C0797" w:rsidRPr="00FF69A3" w:rsidRDefault="007C0797" w:rsidP="00B610DD">
            <w:pPr>
              <w:rPr>
                <w:sz w:val="20"/>
              </w:rPr>
            </w:pPr>
          </w:p>
        </w:tc>
        <w:tc>
          <w:tcPr>
            <w:tcW w:w="2435" w:type="dxa"/>
            <w:vAlign w:val="center"/>
          </w:tcPr>
          <w:p w:rsidR="007C0797" w:rsidRPr="00FF69A3" w:rsidRDefault="00BE577A" w:rsidP="00B610DD">
            <w:pPr>
              <w:jc w:val="center"/>
              <w:rPr>
                <w:sz w:val="20"/>
              </w:rPr>
            </w:pPr>
            <w:r w:rsidRPr="00FF69A3">
              <w:rPr>
                <w:rFonts w:eastAsia="Arial"/>
                <w:sz w:val="20"/>
              </w:rPr>
              <w:t>181</w:t>
            </w:r>
          </w:p>
        </w:tc>
        <w:tc>
          <w:tcPr>
            <w:tcW w:w="2160" w:type="dxa"/>
            <w:vAlign w:val="center"/>
          </w:tcPr>
          <w:p w:rsidR="007C0797" w:rsidRPr="00FF69A3" w:rsidRDefault="00BE577A" w:rsidP="00B610DD">
            <w:pPr>
              <w:jc w:val="center"/>
              <w:rPr>
                <w:sz w:val="20"/>
              </w:rPr>
            </w:pPr>
            <w:r w:rsidRPr="00FF69A3">
              <w:rPr>
                <w:rFonts w:eastAsia="Arial"/>
                <w:sz w:val="20"/>
              </w:rPr>
              <w:t>123</w:t>
            </w:r>
          </w:p>
        </w:tc>
        <w:tc>
          <w:tcPr>
            <w:tcW w:w="2160" w:type="dxa"/>
            <w:vAlign w:val="center"/>
          </w:tcPr>
          <w:p w:rsidR="007C0797" w:rsidRPr="00FF69A3" w:rsidRDefault="00BE577A" w:rsidP="00B610DD">
            <w:pPr>
              <w:jc w:val="center"/>
              <w:rPr>
                <w:sz w:val="20"/>
              </w:rPr>
            </w:pPr>
            <w:r w:rsidRPr="00FF69A3">
              <w:rPr>
                <w:rFonts w:eastAsia="Arial"/>
                <w:sz w:val="20"/>
              </w:rPr>
              <w:t>5</w:t>
            </w:r>
          </w:p>
        </w:tc>
        <w:tc>
          <w:tcPr>
            <w:tcW w:w="2340" w:type="dxa"/>
            <w:vAlign w:val="center"/>
          </w:tcPr>
          <w:p w:rsidR="007C0797" w:rsidRPr="00FF69A3" w:rsidRDefault="00BE577A" w:rsidP="00B610DD">
            <w:pPr>
              <w:jc w:val="center"/>
              <w:rPr>
                <w:sz w:val="20"/>
              </w:rPr>
            </w:pPr>
            <w:r w:rsidRPr="00FF69A3">
              <w:rPr>
                <w:rFonts w:eastAsia="Arial"/>
                <w:sz w:val="20"/>
              </w:rPr>
              <w:t>1</w:t>
            </w:r>
          </w:p>
        </w:tc>
        <w:tc>
          <w:tcPr>
            <w:tcW w:w="1546" w:type="dxa"/>
            <w:vAlign w:val="center"/>
          </w:tcPr>
          <w:p w:rsidR="007C0797" w:rsidRPr="00FF69A3" w:rsidRDefault="00BE577A" w:rsidP="00B610DD">
            <w:pPr>
              <w:jc w:val="center"/>
              <w:rPr>
                <w:sz w:val="20"/>
              </w:rPr>
            </w:pPr>
            <w:r w:rsidRPr="00FF69A3">
              <w:rPr>
                <w:rFonts w:eastAsia="Arial"/>
                <w:sz w:val="20"/>
              </w:rPr>
              <w:t>0</w:t>
            </w:r>
          </w:p>
        </w:tc>
      </w:tr>
      <w:tr w:rsidR="00954752" w:rsidRPr="00FF69A3" w:rsidTr="00B610DD">
        <w:trPr>
          <w:trHeight w:val="389"/>
        </w:trPr>
        <w:tc>
          <w:tcPr>
            <w:tcW w:w="3955" w:type="dxa"/>
            <w:vMerge w:val="restart"/>
          </w:tcPr>
          <w:p w:rsidR="007C0797" w:rsidRPr="00FF69A3" w:rsidRDefault="00BE577A" w:rsidP="00B610DD">
            <w:pPr>
              <w:rPr>
                <w:sz w:val="20"/>
              </w:rPr>
            </w:pPr>
            <w:r w:rsidRPr="00FF69A3">
              <w:rPr>
                <w:rFonts w:eastAsia="Arial"/>
                <w:sz w:val="20"/>
              </w:rPr>
              <w:t xml:space="preserve">3. De organizarse un evento similar en el futuro, ¿recomendaría a sus compañeros que asistieran? </w:t>
            </w:r>
          </w:p>
        </w:tc>
        <w:tc>
          <w:tcPr>
            <w:tcW w:w="2435" w:type="dxa"/>
            <w:shd w:val="clear" w:color="auto" w:fill="BFBFBF" w:themeFill="background1" w:themeFillShade="BF"/>
            <w:vAlign w:val="center"/>
          </w:tcPr>
          <w:p w:rsidR="007C0797" w:rsidRPr="00FF69A3" w:rsidRDefault="00BE577A" w:rsidP="00B610DD">
            <w:pPr>
              <w:jc w:val="center"/>
              <w:rPr>
                <w:b/>
                <w:sz w:val="20"/>
              </w:rPr>
            </w:pPr>
            <w:r w:rsidRPr="00FF69A3">
              <w:rPr>
                <w:rFonts w:eastAsia="Arial"/>
                <w:b/>
                <w:bCs/>
                <w:sz w:val="20"/>
              </w:rPr>
              <w:t>Seguramente</w:t>
            </w:r>
          </w:p>
        </w:tc>
        <w:tc>
          <w:tcPr>
            <w:tcW w:w="2160" w:type="dxa"/>
            <w:shd w:val="clear" w:color="auto" w:fill="BFBFBF" w:themeFill="background1" w:themeFillShade="BF"/>
            <w:vAlign w:val="center"/>
          </w:tcPr>
          <w:p w:rsidR="007C0797" w:rsidRPr="00FF69A3" w:rsidRDefault="00BE577A" w:rsidP="00B610DD">
            <w:pPr>
              <w:jc w:val="center"/>
              <w:rPr>
                <w:b/>
                <w:sz w:val="20"/>
              </w:rPr>
            </w:pPr>
            <w:r w:rsidRPr="00FF69A3">
              <w:rPr>
                <w:rFonts w:eastAsia="Arial"/>
                <w:b/>
                <w:bCs/>
                <w:sz w:val="20"/>
              </w:rPr>
              <w:t>Probablemente</w:t>
            </w:r>
          </w:p>
        </w:tc>
        <w:tc>
          <w:tcPr>
            <w:tcW w:w="2160" w:type="dxa"/>
            <w:shd w:val="clear" w:color="auto" w:fill="BFBFBF" w:themeFill="background1" w:themeFillShade="BF"/>
            <w:vAlign w:val="center"/>
          </w:tcPr>
          <w:p w:rsidR="007C0797" w:rsidRPr="00FF69A3" w:rsidRDefault="00BE577A" w:rsidP="00B610DD">
            <w:pPr>
              <w:jc w:val="center"/>
              <w:rPr>
                <w:b/>
                <w:sz w:val="20"/>
              </w:rPr>
            </w:pPr>
            <w:r w:rsidRPr="00FF69A3">
              <w:rPr>
                <w:rFonts w:eastAsia="Arial"/>
                <w:b/>
                <w:bCs/>
                <w:sz w:val="20"/>
              </w:rPr>
              <w:t>No lo sé</w:t>
            </w:r>
          </w:p>
        </w:tc>
        <w:tc>
          <w:tcPr>
            <w:tcW w:w="2340" w:type="dxa"/>
            <w:shd w:val="clear" w:color="auto" w:fill="BFBFBF" w:themeFill="background1" w:themeFillShade="BF"/>
            <w:vAlign w:val="center"/>
          </w:tcPr>
          <w:p w:rsidR="007C0797" w:rsidRPr="00FF69A3" w:rsidRDefault="00BE577A" w:rsidP="00B610DD">
            <w:pPr>
              <w:jc w:val="center"/>
              <w:rPr>
                <w:b/>
                <w:sz w:val="20"/>
              </w:rPr>
            </w:pPr>
            <w:r w:rsidRPr="00FF69A3">
              <w:rPr>
                <w:rFonts w:eastAsia="Arial"/>
                <w:b/>
                <w:bCs/>
                <w:sz w:val="20"/>
              </w:rPr>
              <w:t>Poco probable</w:t>
            </w:r>
          </w:p>
        </w:tc>
        <w:tc>
          <w:tcPr>
            <w:tcW w:w="1546" w:type="dxa"/>
            <w:shd w:val="clear" w:color="auto" w:fill="BFBFBF" w:themeFill="background1" w:themeFillShade="BF"/>
            <w:vAlign w:val="center"/>
          </w:tcPr>
          <w:p w:rsidR="007C0797" w:rsidRPr="00FF69A3" w:rsidRDefault="00BE577A" w:rsidP="00B610DD">
            <w:pPr>
              <w:jc w:val="center"/>
              <w:rPr>
                <w:b/>
                <w:sz w:val="20"/>
              </w:rPr>
            </w:pPr>
            <w:r w:rsidRPr="00FF69A3">
              <w:rPr>
                <w:rFonts w:eastAsia="Arial"/>
                <w:b/>
                <w:bCs/>
                <w:sz w:val="20"/>
              </w:rPr>
              <w:t>Seguramente no</w:t>
            </w:r>
          </w:p>
        </w:tc>
      </w:tr>
      <w:tr w:rsidR="00954752" w:rsidRPr="00FF69A3" w:rsidTr="00B610DD">
        <w:trPr>
          <w:trHeight w:val="477"/>
        </w:trPr>
        <w:tc>
          <w:tcPr>
            <w:tcW w:w="3955" w:type="dxa"/>
            <w:vMerge/>
          </w:tcPr>
          <w:p w:rsidR="007C0797" w:rsidRPr="00FF69A3" w:rsidRDefault="007C0797" w:rsidP="00B610DD">
            <w:pPr>
              <w:rPr>
                <w:sz w:val="20"/>
              </w:rPr>
            </w:pPr>
          </w:p>
        </w:tc>
        <w:tc>
          <w:tcPr>
            <w:tcW w:w="2435" w:type="dxa"/>
            <w:vAlign w:val="center"/>
          </w:tcPr>
          <w:p w:rsidR="007C0797" w:rsidRPr="00FF69A3" w:rsidRDefault="00BE577A" w:rsidP="00B610DD">
            <w:pPr>
              <w:jc w:val="center"/>
              <w:rPr>
                <w:sz w:val="20"/>
              </w:rPr>
            </w:pPr>
            <w:r w:rsidRPr="00FF69A3">
              <w:rPr>
                <w:rFonts w:eastAsia="Arial"/>
                <w:sz w:val="20"/>
              </w:rPr>
              <w:t>200</w:t>
            </w:r>
          </w:p>
        </w:tc>
        <w:tc>
          <w:tcPr>
            <w:tcW w:w="2160" w:type="dxa"/>
            <w:vAlign w:val="center"/>
          </w:tcPr>
          <w:p w:rsidR="007C0797" w:rsidRPr="00FF69A3" w:rsidRDefault="00BE577A" w:rsidP="00B610DD">
            <w:pPr>
              <w:jc w:val="center"/>
              <w:rPr>
                <w:sz w:val="20"/>
              </w:rPr>
            </w:pPr>
            <w:r w:rsidRPr="00FF69A3">
              <w:rPr>
                <w:rFonts w:eastAsia="Arial"/>
                <w:sz w:val="20"/>
              </w:rPr>
              <w:t>106</w:t>
            </w:r>
          </w:p>
        </w:tc>
        <w:tc>
          <w:tcPr>
            <w:tcW w:w="2160" w:type="dxa"/>
            <w:vAlign w:val="center"/>
          </w:tcPr>
          <w:p w:rsidR="007C0797" w:rsidRPr="00FF69A3" w:rsidRDefault="00BE577A" w:rsidP="00B610DD">
            <w:pPr>
              <w:jc w:val="center"/>
              <w:rPr>
                <w:sz w:val="20"/>
              </w:rPr>
            </w:pPr>
            <w:r w:rsidRPr="00FF69A3">
              <w:rPr>
                <w:rFonts w:eastAsia="Arial"/>
                <w:sz w:val="20"/>
              </w:rPr>
              <w:t>4</w:t>
            </w:r>
          </w:p>
        </w:tc>
        <w:tc>
          <w:tcPr>
            <w:tcW w:w="2340" w:type="dxa"/>
            <w:vAlign w:val="center"/>
          </w:tcPr>
          <w:p w:rsidR="007C0797" w:rsidRPr="00FF69A3" w:rsidRDefault="00BE577A" w:rsidP="00B610DD">
            <w:pPr>
              <w:jc w:val="center"/>
              <w:rPr>
                <w:sz w:val="20"/>
              </w:rPr>
            </w:pPr>
            <w:r w:rsidRPr="00FF69A3">
              <w:rPr>
                <w:rFonts w:eastAsia="Arial"/>
                <w:sz w:val="20"/>
              </w:rPr>
              <w:t>0</w:t>
            </w:r>
          </w:p>
        </w:tc>
        <w:tc>
          <w:tcPr>
            <w:tcW w:w="1546" w:type="dxa"/>
            <w:vAlign w:val="center"/>
          </w:tcPr>
          <w:p w:rsidR="007C0797" w:rsidRPr="00FF69A3" w:rsidRDefault="00BE577A" w:rsidP="00B610DD">
            <w:pPr>
              <w:jc w:val="center"/>
              <w:rPr>
                <w:sz w:val="20"/>
              </w:rPr>
            </w:pPr>
            <w:r w:rsidRPr="00FF69A3">
              <w:rPr>
                <w:rFonts w:eastAsia="Arial"/>
                <w:sz w:val="20"/>
              </w:rPr>
              <w:t>0</w:t>
            </w:r>
          </w:p>
        </w:tc>
      </w:tr>
      <w:tr w:rsidR="00954752" w:rsidRPr="00FF69A3" w:rsidTr="00B610DD">
        <w:trPr>
          <w:trHeight w:val="318"/>
        </w:trPr>
        <w:tc>
          <w:tcPr>
            <w:tcW w:w="3955" w:type="dxa"/>
            <w:vMerge w:val="restart"/>
          </w:tcPr>
          <w:p w:rsidR="007C0797" w:rsidRPr="00FF69A3" w:rsidRDefault="00BE577A" w:rsidP="00B610DD">
            <w:pPr>
              <w:rPr>
                <w:sz w:val="20"/>
              </w:rPr>
            </w:pPr>
            <w:r w:rsidRPr="00FF69A3">
              <w:rPr>
                <w:rFonts w:eastAsia="Arial"/>
                <w:sz w:val="20"/>
              </w:rPr>
              <w:t>4. ¿Cómo supo que se celebraba esta conferencia?</w:t>
            </w:r>
          </w:p>
        </w:tc>
        <w:tc>
          <w:tcPr>
            <w:tcW w:w="2435" w:type="dxa"/>
            <w:shd w:val="clear" w:color="auto" w:fill="BFBFBF" w:themeFill="background1" w:themeFillShade="BF"/>
            <w:vAlign w:val="center"/>
          </w:tcPr>
          <w:p w:rsidR="007C0797" w:rsidRPr="00FF69A3" w:rsidRDefault="00BE577A" w:rsidP="00B610DD">
            <w:pPr>
              <w:jc w:val="center"/>
              <w:rPr>
                <w:b/>
                <w:sz w:val="20"/>
              </w:rPr>
            </w:pPr>
            <w:r w:rsidRPr="00FF69A3">
              <w:rPr>
                <w:rFonts w:eastAsia="Arial"/>
                <w:b/>
                <w:bCs/>
                <w:sz w:val="20"/>
              </w:rPr>
              <w:t>Sitio web de la OMPI</w:t>
            </w:r>
          </w:p>
        </w:tc>
        <w:tc>
          <w:tcPr>
            <w:tcW w:w="2160" w:type="dxa"/>
            <w:shd w:val="clear" w:color="auto" w:fill="BFBFBF" w:themeFill="background1" w:themeFillShade="BF"/>
            <w:vAlign w:val="center"/>
          </w:tcPr>
          <w:p w:rsidR="007C0797" w:rsidRPr="00FF69A3" w:rsidRDefault="00BE577A" w:rsidP="00B610DD">
            <w:pPr>
              <w:jc w:val="center"/>
              <w:rPr>
                <w:b/>
                <w:sz w:val="20"/>
              </w:rPr>
            </w:pPr>
            <w:r w:rsidRPr="00FF69A3">
              <w:rPr>
                <w:rFonts w:eastAsia="Arial"/>
                <w:b/>
                <w:bCs/>
                <w:sz w:val="20"/>
              </w:rPr>
              <w:t>Redes sociales</w:t>
            </w:r>
          </w:p>
        </w:tc>
        <w:tc>
          <w:tcPr>
            <w:tcW w:w="2160" w:type="dxa"/>
            <w:shd w:val="clear" w:color="auto" w:fill="BFBFBF" w:themeFill="background1" w:themeFillShade="BF"/>
            <w:vAlign w:val="center"/>
          </w:tcPr>
          <w:p w:rsidR="007C0797" w:rsidRPr="00FF69A3" w:rsidRDefault="00BE577A" w:rsidP="00B610DD">
            <w:pPr>
              <w:jc w:val="center"/>
              <w:rPr>
                <w:b/>
                <w:sz w:val="20"/>
              </w:rPr>
            </w:pPr>
            <w:r w:rsidRPr="00FF69A3">
              <w:rPr>
                <w:rFonts w:eastAsia="Arial"/>
                <w:b/>
                <w:bCs/>
                <w:sz w:val="20"/>
              </w:rPr>
              <w:t>Correo electrónico/boletines</w:t>
            </w:r>
          </w:p>
        </w:tc>
        <w:tc>
          <w:tcPr>
            <w:tcW w:w="2340" w:type="dxa"/>
            <w:shd w:val="clear" w:color="auto" w:fill="BFBFBF" w:themeFill="background1" w:themeFillShade="BF"/>
            <w:vAlign w:val="center"/>
          </w:tcPr>
          <w:p w:rsidR="007C0797" w:rsidRPr="00FF69A3" w:rsidRDefault="00BE577A" w:rsidP="00B610DD">
            <w:pPr>
              <w:jc w:val="center"/>
              <w:rPr>
                <w:b/>
                <w:sz w:val="20"/>
              </w:rPr>
            </w:pPr>
            <w:r w:rsidRPr="00FF69A3">
              <w:rPr>
                <w:rFonts w:eastAsia="Arial"/>
                <w:b/>
                <w:bCs/>
                <w:sz w:val="20"/>
              </w:rPr>
              <w:t>Colegas</w:t>
            </w:r>
          </w:p>
        </w:tc>
        <w:tc>
          <w:tcPr>
            <w:tcW w:w="1546" w:type="dxa"/>
            <w:shd w:val="clear" w:color="auto" w:fill="BFBFBF" w:themeFill="background1" w:themeFillShade="BF"/>
            <w:vAlign w:val="center"/>
          </w:tcPr>
          <w:p w:rsidR="007C0797" w:rsidRPr="00FF69A3" w:rsidRDefault="00BE577A" w:rsidP="00B610DD">
            <w:pPr>
              <w:jc w:val="center"/>
              <w:rPr>
                <w:b/>
                <w:sz w:val="20"/>
              </w:rPr>
            </w:pPr>
            <w:r w:rsidRPr="00FF69A3">
              <w:rPr>
                <w:rFonts w:eastAsia="Arial"/>
                <w:b/>
                <w:bCs/>
                <w:sz w:val="20"/>
              </w:rPr>
              <w:t>Por otro medio</w:t>
            </w:r>
          </w:p>
        </w:tc>
      </w:tr>
      <w:tr w:rsidR="00954752" w:rsidRPr="00FF69A3" w:rsidTr="00B610DD">
        <w:trPr>
          <w:trHeight w:val="597"/>
        </w:trPr>
        <w:tc>
          <w:tcPr>
            <w:tcW w:w="3955" w:type="dxa"/>
            <w:vMerge/>
          </w:tcPr>
          <w:p w:rsidR="007C0797" w:rsidRPr="00FF69A3" w:rsidRDefault="007C0797" w:rsidP="00B610DD">
            <w:pPr>
              <w:rPr>
                <w:sz w:val="20"/>
              </w:rPr>
            </w:pPr>
          </w:p>
        </w:tc>
        <w:tc>
          <w:tcPr>
            <w:tcW w:w="2435" w:type="dxa"/>
            <w:vAlign w:val="center"/>
          </w:tcPr>
          <w:p w:rsidR="007C0797" w:rsidRPr="00FF69A3" w:rsidRDefault="00BE577A" w:rsidP="00B610DD">
            <w:pPr>
              <w:jc w:val="center"/>
              <w:rPr>
                <w:sz w:val="20"/>
              </w:rPr>
            </w:pPr>
            <w:r w:rsidRPr="00FF69A3">
              <w:rPr>
                <w:rFonts w:eastAsia="Arial"/>
                <w:sz w:val="20"/>
              </w:rPr>
              <w:t>74</w:t>
            </w:r>
          </w:p>
        </w:tc>
        <w:tc>
          <w:tcPr>
            <w:tcW w:w="2160" w:type="dxa"/>
            <w:vAlign w:val="center"/>
          </w:tcPr>
          <w:p w:rsidR="007C0797" w:rsidRPr="00FF69A3" w:rsidRDefault="00BE577A" w:rsidP="00B610DD">
            <w:pPr>
              <w:jc w:val="center"/>
              <w:rPr>
                <w:sz w:val="20"/>
              </w:rPr>
            </w:pPr>
            <w:r w:rsidRPr="00FF69A3">
              <w:rPr>
                <w:rFonts w:eastAsia="Arial"/>
                <w:sz w:val="20"/>
              </w:rPr>
              <w:t>21</w:t>
            </w:r>
          </w:p>
        </w:tc>
        <w:tc>
          <w:tcPr>
            <w:tcW w:w="2160" w:type="dxa"/>
            <w:vAlign w:val="center"/>
          </w:tcPr>
          <w:p w:rsidR="007C0797" w:rsidRPr="00FF69A3" w:rsidRDefault="00BE577A" w:rsidP="00B610DD">
            <w:pPr>
              <w:jc w:val="center"/>
              <w:rPr>
                <w:sz w:val="20"/>
              </w:rPr>
            </w:pPr>
            <w:r w:rsidRPr="00FF69A3">
              <w:rPr>
                <w:rFonts w:eastAsia="Arial"/>
                <w:sz w:val="20"/>
              </w:rPr>
              <w:t>187</w:t>
            </w:r>
          </w:p>
        </w:tc>
        <w:tc>
          <w:tcPr>
            <w:tcW w:w="2340" w:type="dxa"/>
            <w:vAlign w:val="center"/>
          </w:tcPr>
          <w:p w:rsidR="007C0797" w:rsidRPr="00FF69A3" w:rsidRDefault="00BE577A" w:rsidP="00B610DD">
            <w:pPr>
              <w:jc w:val="center"/>
              <w:rPr>
                <w:sz w:val="20"/>
              </w:rPr>
            </w:pPr>
            <w:r w:rsidRPr="00FF69A3">
              <w:rPr>
                <w:rFonts w:eastAsia="Arial"/>
                <w:sz w:val="20"/>
              </w:rPr>
              <w:t>21</w:t>
            </w:r>
          </w:p>
        </w:tc>
        <w:tc>
          <w:tcPr>
            <w:tcW w:w="1546" w:type="dxa"/>
            <w:vAlign w:val="center"/>
          </w:tcPr>
          <w:p w:rsidR="007C0797" w:rsidRPr="00FF69A3" w:rsidRDefault="00BE577A" w:rsidP="00B610DD">
            <w:pPr>
              <w:jc w:val="center"/>
              <w:rPr>
                <w:sz w:val="20"/>
              </w:rPr>
            </w:pPr>
            <w:r w:rsidRPr="00FF69A3">
              <w:rPr>
                <w:rFonts w:eastAsia="Arial"/>
                <w:sz w:val="20"/>
              </w:rPr>
              <w:t>9</w:t>
            </w:r>
          </w:p>
        </w:tc>
      </w:tr>
    </w:tbl>
    <w:p w:rsidR="007C0797" w:rsidRPr="00FF69A3" w:rsidRDefault="00BE577A" w:rsidP="007C0797">
      <w:pPr>
        <w:spacing w:before="600"/>
        <w:ind w:left="9072"/>
      </w:pPr>
      <w:r w:rsidRPr="00FF69A3">
        <w:rPr>
          <w:rFonts w:eastAsia="Arial"/>
          <w:szCs w:val="22"/>
        </w:rPr>
        <w:t>[Fin del Anexo y del documento]</w:t>
      </w:r>
    </w:p>
    <w:sectPr w:rsidR="007C0797" w:rsidRPr="00FF69A3" w:rsidSect="00205D30">
      <w:headerReference w:type="default" r:id="rId26"/>
      <w:headerReference w:type="first" r:id="rId27"/>
      <w:endnotePr>
        <w:numFmt w:val="decimal"/>
      </w:endnotePr>
      <w:pgSz w:w="16840" w:h="11907" w:orient="landscape" w:code="9"/>
      <w:pgMar w:top="1560" w:right="1105"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6B9" w:rsidRDefault="002456B9">
      <w:r>
        <w:separator/>
      </w:r>
    </w:p>
  </w:endnote>
  <w:endnote w:type="continuationSeparator" w:id="0">
    <w:p w:rsidR="002456B9" w:rsidRDefault="00245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372" w:rsidRDefault="003B23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372" w:rsidRDefault="003B23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372" w:rsidRDefault="003B2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6B9" w:rsidRDefault="002456B9">
      <w:r>
        <w:separator/>
      </w:r>
    </w:p>
  </w:footnote>
  <w:footnote w:type="continuationSeparator" w:id="0">
    <w:p w:rsidR="002456B9" w:rsidRPr="009D30E6" w:rsidRDefault="002456B9" w:rsidP="007E663E">
      <w:pPr>
        <w:rPr>
          <w:sz w:val="17"/>
          <w:szCs w:val="17"/>
        </w:rPr>
      </w:pPr>
      <w:r w:rsidRPr="009D30E6">
        <w:rPr>
          <w:sz w:val="17"/>
          <w:szCs w:val="17"/>
        </w:rPr>
        <w:separator/>
      </w:r>
    </w:p>
    <w:p w:rsidR="002456B9" w:rsidRPr="007E663E" w:rsidRDefault="002456B9" w:rsidP="007E663E">
      <w:pPr>
        <w:spacing w:after="60"/>
        <w:rPr>
          <w:sz w:val="17"/>
          <w:szCs w:val="17"/>
        </w:rPr>
      </w:pPr>
      <w:r>
        <w:rPr>
          <w:sz w:val="17"/>
        </w:rPr>
        <w:t>[Continuación de la nota de la página anterior]</w:t>
      </w:r>
    </w:p>
  </w:footnote>
  <w:footnote w:type="continuationNotice" w:id="1">
    <w:p w:rsidR="002456B9" w:rsidRPr="007E663E" w:rsidRDefault="002456B9" w:rsidP="007E663E">
      <w:pPr>
        <w:spacing w:before="60"/>
        <w:jc w:val="right"/>
        <w:rPr>
          <w:sz w:val="17"/>
          <w:szCs w:val="17"/>
        </w:rPr>
      </w:pPr>
      <w:r w:rsidRPr="007E663E">
        <w:rPr>
          <w:sz w:val="17"/>
          <w:szCs w:val="17"/>
        </w:rPr>
        <w:t>[Sigue la nota en la página siguiente]</w:t>
      </w:r>
    </w:p>
  </w:footnote>
  <w:footnote w:id="2">
    <w:p w:rsidR="007C0797" w:rsidRPr="00F71813" w:rsidRDefault="00BE577A" w:rsidP="007C0797">
      <w:pPr>
        <w:pStyle w:val="FootnoteText"/>
      </w:pPr>
      <w:r w:rsidRPr="007C0797">
        <w:rPr>
          <w:rStyle w:val="FootnoteReference"/>
          <w:lang w:val="es-ES_tradnl"/>
        </w:rPr>
        <w:footnoteRef/>
      </w:r>
      <w:r>
        <w:rPr>
          <w:rFonts w:eastAsia="Arial"/>
          <w:szCs w:val="18"/>
          <w:lang w:val="es-ES_tradnl"/>
        </w:rPr>
        <w:t xml:space="preserve"> Párrafo 8.1 del </w:t>
      </w:r>
      <w:hyperlink r:id="rId1" w:history="1">
        <w:r>
          <w:rPr>
            <w:rFonts w:eastAsia="Arial"/>
            <w:color w:val="0000FF"/>
            <w:szCs w:val="18"/>
            <w:u w:val="single"/>
            <w:lang w:val="es-ES_tradnl"/>
          </w:rPr>
          <w:t xml:space="preserve">resumen de la presidencia </w:t>
        </w:r>
        <w:r w:rsidR="00EC22DD">
          <w:rPr>
            <w:rFonts w:eastAsia="Arial"/>
            <w:color w:val="0000FF"/>
            <w:szCs w:val="18"/>
            <w:u w:val="single"/>
            <w:lang w:val="es-ES_tradnl"/>
          </w:rPr>
          <w:t xml:space="preserve">de la </w:t>
        </w:r>
        <w:r w:rsidR="00EC22DD" w:rsidRPr="00EC22DD">
          <w:rPr>
            <w:rFonts w:eastAsia="Arial"/>
            <w:color w:val="0000FF"/>
            <w:szCs w:val="18"/>
            <w:u w:val="single"/>
            <w:lang w:val="es-ES_tradnl"/>
          </w:rPr>
          <w:t>2</w:t>
        </w:r>
        <w:r w:rsidR="00EC22DD">
          <w:rPr>
            <w:rFonts w:eastAsia="Arial"/>
            <w:color w:val="0000FF"/>
            <w:szCs w:val="18"/>
            <w:u w:val="single"/>
            <w:lang w:val="es-ES_tradnl"/>
          </w:rPr>
          <w:t>2</w:t>
        </w:r>
        <w:r w:rsidR="00EC22DD" w:rsidRPr="00EC22DD">
          <w:rPr>
            <w:rFonts w:eastAsia="Arial"/>
            <w:color w:val="0000FF"/>
            <w:szCs w:val="18"/>
            <w:u w:val="single"/>
            <w:lang w:val="es-ES_tradnl"/>
          </w:rPr>
          <w:t xml:space="preserve">.ª sesión del </w:t>
        </w:r>
        <w:r>
          <w:rPr>
            <w:rFonts w:eastAsia="Arial"/>
            <w:color w:val="0000FF"/>
            <w:szCs w:val="18"/>
            <w:u w:val="single"/>
            <w:lang w:val="es-ES_tradnl"/>
          </w:rPr>
          <w:t>CDIP</w:t>
        </w:r>
      </w:hyperlink>
      <w:r>
        <w:rPr>
          <w:rFonts w:eastAsia="Arial"/>
          <w:szCs w:val="18"/>
          <w:lang w:val="es-ES_tradnl"/>
        </w:rPr>
        <w:t>.</w:t>
      </w:r>
    </w:p>
  </w:footnote>
  <w:footnote w:id="3">
    <w:p w:rsidR="007C0797" w:rsidRPr="00F71813" w:rsidRDefault="00BE577A" w:rsidP="007C0797">
      <w:pPr>
        <w:pStyle w:val="FootnoteText"/>
      </w:pPr>
      <w:r w:rsidRPr="007C0797">
        <w:rPr>
          <w:rStyle w:val="FootnoteReference"/>
          <w:lang w:val="es-ES_tradnl"/>
        </w:rPr>
        <w:footnoteRef/>
      </w:r>
      <w:r>
        <w:rPr>
          <w:rFonts w:eastAsia="Arial"/>
          <w:szCs w:val="18"/>
          <w:lang w:val="es-ES_tradnl"/>
        </w:rPr>
        <w:t xml:space="preserve"> El Comité decidió el tema de la conferencia en su 24.ª sesión (párrafo 8.5 del </w:t>
      </w:r>
      <w:hyperlink r:id="rId2" w:history="1">
        <w:r>
          <w:rPr>
            <w:rFonts w:eastAsia="Arial"/>
            <w:color w:val="0000FF"/>
            <w:szCs w:val="18"/>
            <w:u w:val="single"/>
            <w:lang w:val="es-ES_tradnl"/>
          </w:rPr>
          <w:t>resumen de la presidencia</w:t>
        </w:r>
      </w:hyperlink>
      <w:r>
        <w:rPr>
          <w:rFonts w:eastAsia="Arial"/>
          <w:szCs w:val="18"/>
          <w:lang w:val="es-ES_tradnl"/>
        </w:rPr>
        <w:t>).</w:t>
      </w:r>
    </w:p>
  </w:footnote>
  <w:footnote w:id="4">
    <w:p w:rsidR="007C0797" w:rsidRPr="00F71813" w:rsidRDefault="00BE577A" w:rsidP="007C0797">
      <w:pPr>
        <w:pStyle w:val="FootnoteText"/>
      </w:pPr>
      <w:r w:rsidRPr="007C0797">
        <w:rPr>
          <w:rStyle w:val="FootnoteReference"/>
          <w:lang w:val="es-ES_tradnl"/>
        </w:rPr>
        <w:footnoteRef/>
      </w:r>
      <w:r>
        <w:rPr>
          <w:rFonts w:eastAsia="Arial"/>
          <w:szCs w:val="18"/>
          <w:lang w:val="es-ES_tradnl"/>
        </w:rPr>
        <w:t xml:space="preserve"> Párr</w:t>
      </w:r>
      <w:r w:rsidR="00DC26FB">
        <w:rPr>
          <w:rFonts w:eastAsia="Arial"/>
          <w:szCs w:val="18"/>
          <w:lang w:val="es-ES_tradnl"/>
        </w:rPr>
        <w:t>afo</w:t>
      </w:r>
      <w:r>
        <w:rPr>
          <w:rFonts w:eastAsia="Arial"/>
          <w:szCs w:val="18"/>
          <w:lang w:val="es-ES_tradnl"/>
        </w:rPr>
        <w:t xml:space="preserve"> 8.1 del </w:t>
      </w:r>
      <w:hyperlink r:id="rId3" w:history="1">
        <w:r>
          <w:rPr>
            <w:rFonts w:eastAsia="Arial"/>
            <w:color w:val="0000FF"/>
            <w:szCs w:val="18"/>
            <w:u w:val="single"/>
            <w:lang w:val="es-ES_tradnl"/>
          </w:rPr>
          <w:t xml:space="preserve">resumen de la presidencia </w:t>
        </w:r>
        <w:r w:rsidR="00EC22DD">
          <w:rPr>
            <w:rFonts w:eastAsia="Arial"/>
            <w:color w:val="0000FF"/>
            <w:szCs w:val="18"/>
            <w:u w:val="single"/>
            <w:lang w:val="es-ES_tradnl"/>
          </w:rPr>
          <w:t xml:space="preserve">de la </w:t>
        </w:r>
        <w:r w:rsidR="00EC22DD" w:rsidRPr="00EC22DD">
          <w:rPr>
            <w:rFonts w:eastAsia="Arial"/>
            <w:color w:val="0000FF"/>
            <w:szCs w:val="18"/>
            <w:u w:val="single"/>
            <w:lang w:val="es-ES_tradnl"/>
          </w:rPr>
          <w:t>2</w:t>
        </w:r>
        <w:r w:rsidR="00EC22DD">
          <w:rPr>
            <w:rFonts w:eastAsia="Arial"/>
            <w:color w:val="0000FF"/>
            <w:szCs w:val="18"/>
            <w:u w:val="single"/>
            <w:lang w:val="es-ES_tradnl"/>
          </w:rPr>
          <w:t>2</w:t>
        </w:r>
        <w:r w:rsidR="00EC22DD" w:rsidRPr="00EC22DD">
          <w:rPr>
            <w:rFonts w:eastAsia="Arial"/>
            <w:color w:val="0000FF"/>
            <w:szCs w:val="18"/>
            <w:u w:val="single"/>
            <w:lang w:val="es-ES_tradnl"/>
          </w:rPr>
          <w:t xml:space="preserve">.ª sesión del </w:t>
        </w:r>
        <w:r>
          <w:rPr>
            <w:rFonts w:eastAsia="Arial"/>
            <w:color w:val="0000FF"/>
            <w:szCs w:val="18"/>
            <w:u w:val="single"/>
            <w:lang w:val="es-ES_tradnl"/>
          </w:rPr>
          <w:t>CDIP</w:t>
        </w:r>
      </w:hyperlink>
      <w:r>
        <w:rPr>
          <w:rFonts w:eastAsia="Arial"/>
          <w:szCs w:val="18"/>
          <w:lang w:val="es-ES_tradnl"/>
        </w:rPr>
        <w:t>.</w:t>
      </w:r>
    </w:p>
  </w:footnote>
  <w:footnote w:id="5">
    <w:p w:rsidR="007C0797" w:rsidRPr="00F71813" w:rsidRDefault="00BE577A" w:rsidP="007C0797">
      <w:pPr>
        <w:pStyle w:val="FootnoteText"/>
      </w:pPr>
      <w:r w:rsidRPr="007C0797">
        <w:rPr>
          <w:rStyle w:val="FootnoteReference"/>
          <w:lang w:val="es-ES_tradnl"/>
        </w:rPr>
        <w:footnoteRef/>
      </w:r>
      <w:r>
        <w:rPr>
          <w:rFonts w:eastAsia="Arial"/>
          <w:szCs w:val="18"/>
          <w:lang w:val="es-ES_tradnl"/>
        </w:rPr>
        <w:t xml:space="preserve"> Estas directrices figuraban en la propuesta original del Grupo Africano (</w:t>
      </w:r>
      <w:hyperlink r:id="rId4" w:history="1">
        <w:r>
          <w:rPr>
            <w:rFonts w:eastAsia="Arial"/>
            <w:color w:val="0000FF"/>
            <w:szCs w:val="18"/>
            <w:u w:val="single"/>
            <w:lang w:val="es-ES_tradnl"/>
          </w:rPr>
          <w:t>CDIP/20/8</w:t>
        </w:r>
      </w:hyperlink>
      <w:r>
        <w:rPr>
          <w:rFonts w:eastAsia="Arial"/>
          <w:szCs w:val="18"/>
          <w:lang w:val="es-ES_tradnl"/>
        </w:rPr>
        <w:t>) que llevó a la decisión del Comité de celebrar tres conferencias bienales.</w:t>
      </w:r>
    </w:p>
  </w:footnote>
  <w:footnote w:id="6">
    <w:p w:rsidR="007C0797" w:rsidRPr="00F71813" w:rsidRDefault="00BE577A" w:rsidP="007C0797">
      <w:pPr>
        <w:pStyle w:val="FootnoteText"/>
      </w:pPr>
      <w:r w:rsidRPr="007C0797">
        <w:rPr>
          <w:rStyle w:val="FootnoteReference"/>
          <w:lang w:val="es-ES_tradnl"/>
        </w:rPr>
        <w:footnoteRef/>
      </w:r>
      <w:r>
        <w:rPr>
          <w:rFonts w:eastAsia="Arial"/>
          <w:szCs w:val="18"/>
          <w:lang w:val="es-ES_tradnl"/>
        </w:rPr>
        <w:t xml:space="preserve"> Una comisión que reúne a empresas y académicos destacados del Reino Unido para identificar cómo puede la política apoyar mejor la innovación ecológica y recompensar a las personas innovadoras, empresarias e inversoras.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372" w:rsidRDefault="003B23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BE577A" w:rsidP="00477D6B">
    <w:pPr>
      <w:jc w:val="right"/>
      <w:rPr>
        <w:caps/>
      </w:rPr>
    </w:pPr>
    <w:bookmarkStart w:id="6" w:name="Code2"/>
    <w:bookmarkEnd w:id="6"/>
    <w:r>
      <w:rPr>
        <w:rFonts w:eastAsia="Arial"/>
        <w:caps/>
        <w:szCs w:val="22"/>
        <w:lang w:val="es-ES_tradnl"/>
      </w:rPr>
      <w:t>CDIP/28/3</w:t>
    </w:r>
  </w:p>
  <w:p w:rsidR="00AE7F20" w:rsidRDefault="00BE577A" w:rsidP="00477D6B">
    <w:pPr>
      <w:jc w:val="right"/>
    </w:pPr>
    <w:r>
      <w:rPr>
        <w:rFonts w:eastAsia="Arial"/>
        <w:szCs w:val="22"/>
        <w:lang w:val="es-ES_tradnl"/>
      </w:rPr>
      <w:t xml:space="preserve">página </w:t>
    </w:r>
    <w:r>
      <w:fldChar w:fldCharType="begin"/>
    </w:r>
    <w:r>
      <w:instrText xml:space="preserve"> PAGE  \* MERGEFORMAT </w:instrText>
    </w:r>
    <w:r>
      <w:fldChar w:fldCharType="separate"/>
    </w:r>
    <w:r w:rsidR="003B2372">
      <w:rPr>
        <w:noProof/>
      </w:rPr>
      <w:t>6</w:t>
    </w:r>
    <w:r>
      <w:fldChar w:fldCharType="end"/>
    </w:r>
  </w:p>
  <w:p w:rsidR="00EC1AA7" w:rsidRDefault="00EC1AA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372" w:rsidRDefault="003B23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26F" w:rsidRPr="002326AB" w:rsidRDefault="00BE577A" w:rsidP="00477D6B">
    <w:pPr>
      <w:jc w:val="right"/>
      <w:rPr>
        <w:caps/>
      </w:rPr>
    </w:pPr>
    <w:r>
      <w:rPr>
        <w:rFonts w:eastAsia="Arial"/>
        <w:caps/>
        <w:szCs w:val="22"/>
        <w:lang w:val="es-ES_tradnl"/>
      </w:rPr>
      <w:t>CDIP/28/3</w:t>
    </w:r>
  </w:p>
  <w:p w:rsidR="0087026F" w:rsidRPr="00382EFB" w:rsidRDefault="00BE577A" w:rsidP="0087026F">
    <w:pPr>
      <w:jc w:val="right"/>
    </w:pPr>
    <w:r>
      <w:rPr>
        <w:rFonts w:eastAsia="Arial"/>
        <w:szCs w:val="22"/>
        <w:lang w:val="es-ES_tradnl"/>
      </w:rPr>
      <w:t>Anexo, página 2</w:t>
    </w:r>
  </w:p>
  <w:p w:rsidR="0087026F" w:rsidRDefault="0087026F"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26F" w:rsidRDefault="00BE577A" w:rsidP="0087026F">
    <w:pPr>
      <w:jc w:val="right"/>
      <w:rPr>
        <w:caps/>
      </w:rPr>
    </w:pPr>
    <w:r>
      <w:rPr>
        <w:rFonts w:eastAsia="Arial"/>
        <w:caps/>
        <w:szCs w:val="22"/>
        <w:lang w:val="es-ES_tradnl"/>
      </w:rPr>
      <w:t>CDIP/28/3</w:t>
    </w:r>
  </w:p>
  <w:p w:rsidR="0087026F" w:rsidRPr="00382EFB" w:rsidRDefault="00BE577A" w:rsidP="0087026F">
    <w:pPr>
      <w:jc w:val="right"/>
    </w:pPr>
    <w:r>
      <w:rPr>
        <w:rFonts w:eastAsia="Arial"/>
        <w:szCs w:val="22"/>
        <w:lang w:val="es-ES_tradnl"/>
      </w:rPr>
      <w:t>ANEXO</w:t>
    </w:r>
  </w:p>
  <w:p w:rsidR="0087026F" w:rsidRPr="002326AB" w:rsidRDefault="0087026F" w:rsidP="0087026F">
    <w:pPr>
      <w:jc w:val="right"/>
      <w:rPr>
        <w:cap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0A382C"/>
    <w:multiLevelType w:val="hybridMultilevel"/>
    <w:tmpl w:val="E1285E88"/>
    <w:lvl w:ilvl="0" w:tplc="2C341536">
      <w:start w:val="1"/>
      <w:numFmt w:val="decimal"/>
      <w:lvlText w:val="%1."/>
      <w:lvlJc w:val="left"/>
      <w:pPr>
        <w:ind w:left="720" w:hanging="360"/>
      </w:pPr>
      <w:rPr>
        <w:rFonts w:hint="default"/>
      </w:rPr>
    </w:lvl>
    <w:lvl w:ilvl="1" w:tplc="0450B13E" w:tentative="1">
      <w:start w:val="1"/>
      <w:numFmt w:val="lowerLetter"/>
      <w:lvlText w:val="%2."/>
      <w:lvlJc w:val="left"/>
      <w:pPr>
        <w:ind w:left="1440" w:hanging="360"/>
      </w:pPr>
    </w:lvl>
    <w:lvl w:ilvl="2" w:tplc="3F8C5852" w:tentative="1">
      <w:start w:val="1"/>
      <w:numFmt w:val="lowerRoman"/>
      <w:lvlText w:val="%3."/>
      <w:lvlJc w:val="right"/>
      <w:pPr>
        <w:ind w:left="2160" w:hanging="180"/>
      </w:pPr>
    </w:lvl>
    <w:lvl w:ilvl="3" w:tplc="D40AF978" w:tentative="1">
      <w:start w:val="1"/>
      <w:numFmt w:val="decimal"/>
      <w:lvlText w:val="%4."/>
      <w:lvlJc w:val="left"/>
      <w:pPr>
        <w:ind w:left="2880" w:hanging="360"/>
      </w:pPr>
    </w:lvl>
    <w:lvl w:ilvl="4" w:tplc="151C52DC" w:tentative="1">
      <w:start w:val="1"/>
      <w:numFmt w:val="lowerLetter"/>
      <w:lvlText w:val="%5."/>
      <w:lvlJc w:val="left"/>
      <w:pPr>
        <w:ind w:left="3600" w:hanging="360"/>
      </w:pPr>
    </w:lvl>
    <w:lvl w:ilvl="5" w:tplc="256278A6" w:tentative="1">
      <w:start w:val="1"/>
      <w:numFmt w:val="lowerRoman"/>
      <w:lvlText w:val="%6."/>
      <w:lvlJc w:val="right"/>
      <w:pPr>
        <w:ind w:left="4320" w:hanging="180"/>
      </w:pPr>
    </w:lvl>
    <w:lvl w:ilvl="6" w:tplc="159EB1DE" w:tentative="1">
      <w:start w:val="1"/>
      <w:numFmt w:val="decimal"/>
      <w:lvlText w:val="%7."/>
      <w:lvlJc w:val="left"/>
      <w:pPr>
        <w:ind w:left="5040" w:hanging="360"/>
      </w:pPr>
    </w:lvl>
    <w:lvl w:ilvl="7" w:tplc="086ED7A8" w:tentative="1">
      <w:start w:val="1"/>
      <w:numFmt w:val="lowerLetter"/>
      <w:lvlText w:val="%8."/>
      <w:lvlJc w:val="left"/>
      <w:pPr>
        <w:ind w:left="5760" w:hanging="360"/>
      </w:pPr>
    </w:lvl>
    <w:lvl w:ilvl="8" w:tplc="0B0E96BA"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91E41B1"/>
    <w:multiLevelType w:val="hybridMultilevel"/>
    <w:tmpl w:val="6FFA4DAE"/>
    <w:lvl w:ilvl="0" w:tplc="218A1466">
      <w:start w:val="1"/>
      <w:numFmt w:val="bullet"/>
      <w:lvlText w:val=""/>
      <w:lvlJc w:val="left"/>
      <w:pPr>
        <w:ind w:left="720" w:hanging="360"/>
      </w:pPr>
      <w:rPr>
        <w:rFonts w:ascii="Wingdings" w:hAnsi="Wingdings" w:hint="default"/>
      </w:rPr>
    </w:lvl>
    <w:lvl w:ilvl="1" w:tplc="D4BA9A1A" w:tentative="1">
      <w:start w:val="1"/>
      <w:numFmt w:val="bullet"/>
      <w:lvlText w:val="o"/>
      <w:lvlJc w:val="left"/>
      <w:pPr>
        <w:ind w:left="1440" w:hanging="360"/>
      </w:pPr>
      <w:rPr>
        <w:rFonts w:ascii="Courier New" w:hAnsi="Courier New" w:cs="Courier New" w:hint="default"/>
      </w:rPr>
    </w:lvl>
    <w:lvl w:ilvl="2" w:tplc="87288B96" w:tentative="1">
      <w:start w:val="1"/>
      <w:numFmt w:val="bullet"/>
      <w:lvlText w:val=""/>
      <w:lvlJc w:val="left"/>
      <w:pPr>
        <w:ind w:left="2160" w:hanging="360"/>
      </w:pPr>
      <w:rPr>
        <w:rFonts w:ascii="Wingdings" w:hAnsi="Wingdings" w:hint="default"/>
      </w:rPr>
    </w:lvl>
    <w:lvl w:ilvl="3" w:tplc="9DC2C546" w:tentative="1">
      <w:start w:val="1"/>
      <w:numFmt w:val="bullet"/>
      <w:lvlText w:val=""/>
      <w:lvlJc w:val="left"/>
      <w:pPr>
        <w:ind w:left="2880" w:hanging="360"/>
      </w:pPr>
      <w:rPr>
        <w:rFonts w:ascii="Symbol" w:hAnsi="Symbol" w:hint="default"/>
      </w:rPr>
    </w:lvl>
    <w:lvl w:ilvl="4" w:tplc="87AC5B0A" w:tentative="1">
      <w:start w:val="1"/>
      <w:numFmt w:val="bullet"/>
      <w:lvlText w:val="o"/>
      <w:lvlJc w:val="left"/>
      <w:pPr>
        <w:ind w:left="3600" w:hanging="360"/>
      </w:pPr>
      <w:rPr>
        <w:rFonts w:ascii="Courier New" w:hAnsi="Courier New" w:cs="Courier New" w:hint="default"/>
      </w:rPr>
    </w:lvl>
    <w:lvl w:ilvl="5" w:tplc="E3EEE3E0" w:tentative="1">
      <w:start w:val="1"/>
      <w:numFmt w:val="bullet"/>
      <w:lvlText w:val=""/>
      <w:lvlJc w:val="left"/>
      <w:pPr>
        <w:ind w:left="4320" w:hanging="360"/>
      </w:pPr>
      <w:rPr>
        <w:rFonts w:ascii="Wingdings" w:hAnsi="Wingdings" w:hint="default"/>
      </w:rPr>
    </w:lvl>
    <w:lvl w:ilvl="6" w:tplc="992838AA" w:tentative="1">
      <w:start w:val="1"/>
      <w:numFmt w:val="bullet"/>
      <w:lvlText w:val=""/>
      <w:lvlJc w:val="left"/>
      <w:pPr>
        <w:ind w:left="5040" w:hanging="360"/>
      </w:pPr>
      <w:rPr>
        <w:rFonts w:ascii="Symbol" w:hAnsi="Symbol" w:hint="default"/>
      </w:rPr>
    </w:lvl>
    <w:lvl w:ilvl="7" w:tplc="407437B2" w:tentative="1">
      <w:start w:val="1"/>
      <w:numFmt w:val="bullet"/>
      <w:lvlText w:val="o"/>
      <w:lvlJc w:val="left"/>
      <w:pPr>
        <w:ind w:left="5760" w:hanging="360"/>
      </w:pPr>
      <w:rPr>
        <w:rFonts w:ascii="Courier New" w:hAnsi="Courier New" w:cs="Courier New" w:hint="default"/>
      </w:rPr>
    </w:lvl>
    <w:lvl w:ilvl="8" w:tplc="15CEE724" w:tentative="1">
      <w:start w:val="1"/>
      <w:numFmt w:val="bullet"/>
      <w:lvlText w:val=""/>
      <w:lvlJc w:val="left"/>
      <w:pPr>
        <w:ind w:left="6480" w:hanging="360"/>
      </w:pPr>
      <w:rPr>
        <w:rFonts w:ascii="Wingdings" w:hAnsi="Wingdings" w:hint="default"/>
      </w:rPr>
    </w:lvl>
  </w:abstractNum>
  <w:abstractNum w:abstractNumId="7" w15:restartNumberingAfterBreak="0">
    <w:nsid w:val="4C8B3C46"/>
    <w:multiLevelType w:val="hybridMultilevel"/>
    <w:tmpl w:val="799E19C6"/>
    <w:lvl w:ilvl="0" w:tplc="9D02F678">
      <w:start w:val="1"/>
      <w:numFmt w:val="decimal"/>
      <w:pStyle w:val="ListNumber"/>
      <w:lvlText w:val="03.%1."/>
      <w:lvlJc w:val="left"/>
      <w:pPr>
        <w:tabs>
          <w:tab w:val="num" w:pos="567"/>
        </w:tabs>
        <w:ind w:left="0" w:firstLine="0"/>
      </w:pPr>
      <w:rPr>
        <w:rFonts w:hint="default"/>
      </w:rPr>
    </w:lvl>
    <w:lvl w:ilvl="1" w:tplc="1DFA621E" w:tentative="1">
      <w:start w:val="1"/>
      <w:numFmt w:val="lowerLetter"/>
      <w:lvlText w:val="%2."/>
      <w:lvlJc w:val="left"/>
      <w:pPr>
        <w:tabs>
          <w:tab w:val="num" w:pos="1440"/>
        </w:tabs>
        <w:ind w:left="1440" w:hanging="360"/>
      </w:pPr>
    </w:lvl>
    <w:lvl w:ilvl="2" w:tplc="6F08DD82" w:tentative="1">
      <w:start w:val="1"/>
      <w:numFmt w:val="lowerRoman"/>
      <w:lvlText w:val="%3."/>
      <w:lvlJc w:val="right"/>
      <w:pPr>
        <w:tabs>
          <w:tab w:val="num" w:pos="2160"/>
        </w:tabs>
        <w:ind w:left="2160" w:hanging="180"/>
      </w:pPr>
    </w:lvl>
    <w:lvl w:ilvl="3" w:tplc="65FC13FC" w:tentative="1">
      <w:start w:val="1"/>
      <w:numFmt w:val="decimal"/>
      <w:lvlText w:val="%4."/>
      <w:lvlJc w:val="left"/>
      <w:pPr>
        <w:tabs>
          <w:tab w:val="num" w:pos="2880"/>
        </w:tabs>
        <w:ind w:left="2880" w:hanging="360"/>
      </w:pPr>
    </w:lvl>
    <w:lvl w:ilvl="4" w:tplc="25E88EAA" w:tentative="1">
      <w:start w:val="1"/>
      <w:numFmt w:val="lowerLetter"/>
      <w:lvlText w:val="%5."/>
      <w:lvlJc w:val="left"/>
      <w:pPr>
        <w:tabs>
          <w:tab w:val="num" w:pos="3600"/>
        </w:tabs>
        <w:ind w:left="3600" w:hanging="360"/>
      </w:pPr>
    </w:lvl>
    <w:lvl w:ilvl="5" w:tplc="B8983060" w:tentative="1">
      <w:start w:val="1"/>
      <w:numFmt w:val="lowerRoman"/>
      <w:lvlText w:val="%6."/>
      <w:lvlJc w:val="right"/>
      <w:pPr>
        <w:tabs>
          <w:tab w:val="num" w:pos="4320"/>
        </w:tabs>
        <w:ind w:left="4320" w:hanging="180"/>
      </w:pPr>
    </w:lvl>
    <w:lvl w:ilvl="6" w:tplc="53903B06" w:tentative="1">
      <w:start w:val="1"/>
      <w:numFmt w:val="decimal"/>
      <w:lvlText w:val="%7."/>
      <w:lvlJc w:val="left"/>
      <w:pPr>
        <w:tabs>
          <w:tab w:val="num" w:pos="5040"/>
        </w:tabs>
        <w:ind w:left="5040" w:hanging="360"/>
      </w:pPr>
    </w:lvl>
    <w:lvl w:ilvl="7" w:tplc="D8586842" w:tentative="1">
      <w:start w:val="1"/>
      <w:numFmt w:val="lowerLetter"/>
      <w:lvlText w:val="%8."/>
      <w:lvlJc w:val="left"/>
      <w:pPr>
        <w:tabs>
          <w:tab w:val="num" w:pos="5760"/>
        </w:tabs>
        <w:ind w:left="5760" w:hanging="360"/>
      </w:pPr>
    </w:lvl>
    <w:lvl w:ilvl="8" w:tplc="3B2C996E" w:tentative="1">
      <w:start w:val="1"/>
      <w:numFmt w:val="lowerRoman"/>
      <w:lvlText w:val="%9."/>
      <w:lvlJc w:val="right"/>
      <w:pPr>
        <w:tabs>
          <w:tab w:val="num" w:pos="6480"/>
        </w:tabs>
        <w:ind w:left="6480" w:hanging="180"/>
      </w:pPr>
    </w:lvl>
  </w:abstractNum>
  <w:abstractNum w:abstractNumId="8" w15:restartNumberingAfterBreak="0">
    <w:nsid w:val="6CED14FB"/>
    <w:multiLevelType w:val="hybridMultilevel"/>
    <w:tmpl w:val="BA12E572"/>
    <w:lvl w:ilvl="0" w:tplc="07743604">
      <w:start w:val="1"/>
      <w:numFmt w:val="upperRoman"/>
      <w:lvlText w:val="%1."/>
      <w:lvlJc w:val="left"/>
      <w:pPr>
        <w:ind w:left="8724" w:hanging="360"/>
      </w:pPr>
      <w:rPr>
        <w:rFonts w:hint="default"/>
        <w:b w:val="0"/>
      </w:rPr>
    </w:lvl>
    <w:lvl w:ilvl="1" w:tplc="B8E483D4">
      <w:start w:val="1"/>
      <w:numFmt w:val="lowerLetter"/>
      <w:lvlText w:val="%2."/>
      <w:lvlJc w:val="left"/>
      <w:pPr>
        <w:ind w:left="1440" w:hanging="360"/>
      </w:pPr>
    </w:lvl>
    <w:lvl w:ilvl="2" w:tplc="D78CB05E" w:tentative="1">
      <w:start w:val="1"/>
      <w:numFmt w:val="lowerRoman"/>
      <w:lvlText w:val="%3."/>
      <w:lvlJc w:val="right"/>
      <w:pPr>
        <w:ind w:left="2160" w:hanging="180"/>
      </w:pPr>
    </w:lvl>
    <w:lvl w:ilvl="3" w:tplc="83E2DBEE" w:tentative="1">
      <w:start w:val="1"/>
      <w:numFmt w:val="decimal"/>
      <w:lvlText w:val="%4."/>
      <w:lvlJc w:val="left"/>
      <w:pPr>
        <w:ind w:left="2880" w:hanging="360"/>
      </w:pPr>
    </w:lvl>
    <w:lvl w:ilvl="4" w:tplc="B1F8E3C0" w:tentative="1">
      <w:start w:val="1"/>
      <w:numFmt w:val="lowerLetter"/>
      <w:lvlText w:val="%5."/>
      <w:lvlJc w:val="left"/>
      <w:pPr>
        <w:ind w:left="3600" w:hanging="360"/>
      </w:pPr>
    </w:lvl>
    <w:lvl w:ilvl="5" w:tplc="CD0A8B74" w:tentative="1">
      <w:start w:val="1"/>
      <w:numFmt w:val="lowerRoman"/>
      <w:lvlText w:val="%6."/>
      <w:lvlJc w:val="right"/>
      <w:pPr>
        <w:ind w:left="4320" w:hanging="180"/>
      </w:pPr>
    </w:lvl>
    <w:lvl w:ilvl="6" w:tplc="8B3E43F8" w:tentative="1">
      <w:start w:val="1"/>
      <w:numFmt w:val="decimal"/>
      <w:lvlText w:val="%7."/>
      <w:lvlJc w:val="left"/>
      <w:pPr>
        <w:ind w:left="5040" w:hanging="360"/>
      </w:pPr>
    </w:lvl>
    <w:lvl w:ilvl="7" w:tplc="0D443FFE" w:tentative="1">
      <w:start w:val="1"/>
      <w:numFmt w:val="lowerLetter"/>
      <w:lvlText w:val="%8."/>
      <w:lvlJc w:val="left"/>
      <w:pPr>
        <w:ind w:left="5760" w:hanging="360"/>
      </w:pPr>
    </w:lvl>
    <w:lvl w:ilvl="8" w:tplc="740A3FF4" w:tentative="1">
      <w:start w:val="1"/>
      <w:numFmt w:val="lowerRoman"/>
      <w:lvlText w:val="%9."/>
      <w:lvlJc w:val="right"/>
      <w:pPr>
        <w:ind w:left="6480" w:hanging="180"/>
      </w:pPr>
    </w:lvl>
  </w:abstractNum>
  <w:abstractNum w:abstractNumId="9" w15:restartNumberingAfterBreak="0">
    <w:nsid w:val="75296F34"/>
    <w:multiLevelType w:val="hybridMultilevel"/>
    <w:tmpl w:val="D5080EC2"/>
    <w:lvl w:ilvl="0" w:tplc="ED60197A">
      <w:start w:val="1"/>
      <w:numFmt w:val="lowerLetter"/>
      <w:lvlText w:val="%1)"/>
      <w:lvlJc w:val="left"/>
      <w:pPr>
        <w:ind w:left="720" w:hanging="360"/>
      </w:pPr>
    </w:lvl>
    <w:lvl w:ilvl="1" w:tplc="9E943370" w:tentative="1">
      <w:start w:val="1"/>
      <w:numFmt w:val="lowerLetter"/>
      <w:lvlText w:val="%2."/>
      <w:lvlJc w:val="left"/>
      <w:pPr>
        <w:ind w:left="1440" w:hanging="360"/>
      </w:pPr>
    </w:lvl>
    <w:lvl w:ilvl="2" w:tplc="D3C60474" w:tentative="1">
      <w:start w:val="1"/>
      <w:numFmt w:val="lowerRoman"/>
      <w:lvlText w:val="%3."/>
      <w:lvlJc w:val="right"/>
      <w:pPr>
        <w:ind w:left="2160" w:hanging="180"/>
      </w:pPr>
    </w:lvl>
    <w:lvl w:ilvl="3" w:tplc="1BAC0E14" w:tentative="1">
      <w:start w:val="1"/>
      <w:numFmt w:val="decimal"/>
      <w:lvlText w:val="%4."/>
      <w:lvlJc w:val="left"/>
      <w:pPr>
        <w:ind w:left="2880" w:hanging="360"/>
      </w:pPr>
    </w:lvl>
    <w:lvl w:ilvl="4" w:tplc="6090EFD0" w:tentative="1">
      <w:start w:val="1"/>
      <w:numFmt w:val="lowerLetter"/>
      <w:lvlText w:val="%5."/>
      <w:lvlJc w:val="left"/>
      <w:pPr>
        <w:ind w:left="3600" w:hanging="360"/>
      </w:pPr>
    </w:lvl>
    <w:lvl w:ilvl="5" w:tplc="BEDA3314" w:tentative="1">
      <w:start w:val="1"/>
      <w:numFmt w:val="lowerRoman"/>
      <w:lvlText w:val="%6."/>
      <w:lvlJc w:val="right"/>
      <w:pPr>
        <w:ind w:left="4320" w:hanging="180"/>
      </w:pPr>
    </w:lvl>
    <w:lvl w:ilvl="6" w:tplc="EC948940" w:tentative="1">
      <w:start w:val="1"/>
      <w:numFmt w:val="decimal"/>
      <w:lvlText w:val="%7."/>
      <w:lvlJc w:val="left"/>
      <w:pPr>
        <w:ind w:left="5040" w:hanging="360"/>
      </w:pPr>
    </w:lvl>
    <w:lvl w:ilvl="7" w:tplc="CBE475B0" w:tentative="1">
      <w:start w:val="1"/>
      <w:numFmt w:val="lowerLetter"/>
      <w:lvlText w:val="%8."/>
      <w:lvlJc w:val="left"/>
      <w:pPr>
        <w:ind w:left="5760" w:hanging="360"/>
      </w:pPr>
    </w:lvl>
    <w:lvl w:ilvl="8" w:tplc="6214F97E"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2"/>
  </w:num>
  <w:num w:numId="8">
    <w:abstractNumId w:val="8"/>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797"/>
    <w:rsid w:val="00010686"/>
    <w:rsid w:val="00052915"/>
    <w:rsid w:val="000C1D42"/>
    <w:rsid w:val="000E3BB3"/>
    <w:rsid w:val="000F5E56"/>
    <w:rsid w:val="000F7A05"/>
    <w:rsid w:val="001362EE"/>
    <w:rsid w:val="00152CEA"/>
    <w:rsid w:val="001832A6"/>
    <w:rsid w:val="001D1FF0"/>
    <w:rsid w:val="002326AB"/>
    <w:rsid w:val="00235FB0"/>
    <w:rsid w:val="002456B9"/>
    <w:rsid w:val="002634C4"/>
    <w:rsid w:val="00281646"/>
    <w:rsid w:val="002B4E57"/>
    <w:rsid w:val="002C2E2F"/>
    <w:rsid w:val="002D23B5"/>
    <w:rsid w:val="002E0F47"/>
    <w:rsid w:val="002F4E68"/>
    <w:rsid w:val="00310826"/>
    <w:rsid w:val="00313C89"/>
    <w:rsid w:val="00354647"/>
    <w:rsid w:val="00363182"/>
    <w:rsid w:val="00377273"/>
    <w:rsid w:val="00382EFB"/>
    <w:rsid w:val="003845C1"/>
    <w:rsid w:val="00387287"/>
    <w:rsid w:val="003B2372"/>
    <w:rsid w:val="003E48F1"/>
    <w:rsid w:val="003F347A"/>
    <w:rsid w:val="00423E3E"/>
    <w:rsid w:val="00427AF4"/>
    <w:rsid w:val="0045231F"/>
    <w:rsid w:val="004647DA"/>
    <w:rsid w:val="0046793F"/>
    <w:rsid w:val="00472A6E"/>
    <w:rsid w:val="00477808"/>
    <w:rsid w:val="00477D6B"/>
    <w:rsid w:val="004A530A"/>
    <w:rsid w:val="004A6C37"/>
    <w:rsid w:val="004E297D"/>
    <w:rsid w:val="00531B02"/>
    <w:rsid w:val="005332F0"/>
    <w:rsid w:val="0055013B"/>
    <w:rsid w:val="00571B99"/>
    <w:rsid w:val="005937A3"/>
    <w:rsid w:val="005B3E59"/>
    <w:rsid w:val="00605827"/>
    <w:rsid w:val="00671BA5"/>
    <w:rsid w:val="00675021"/>
    <w:rsid w:val="006A06C6"/>
    <w:rsid w:val="007224C8"/>
    <w:rsid w:val="00735606"/>
    <w:rsid w:val="00740DED"/>
    <w:rsid w:val="00794BE2"/>
    <w:rsid w:val="007A5581"/>
    <w:rsid w:val="007A7D8F"/>
    <w:rsid w:val="007B71FE"/>
    <w:rsid w:val="007C0797"/>
    <w:rsid w:val="007C7F82"/>
    <w:rsid w:val="007D781E"/>
    <w:rsid w:val="007E663E"/>
    <w:rsid w:val="007F7611"/>
    <w:rsid w:val="00815082"/>
    <w:rsid w:val="0087026F"/>
    <w:rsid w:val="0088395E"/>
    <w:rsid w:val="0088621D"/>
    <w:rsid w:val="008B2CC1"/>
    <w:rsid w:val="008E6BD6"/>
    <w:rsid w:val="008F4ADD"/>
    <w:rsid w:val="0090731E"/>
    <w:rsid w:val="00923E01"/>
    <w:rsid w:val="00954752"/>
    <w:rsid w:val="00966A22"/>
    <w:rsid w:val="00972F03"/>
    <w:rsid w:val="0098367F"/>
    <w:rsid w:val="009A0C8B"/>
    <w:rsid w:val="009A20CD"/>
    <w:rsid w:val="009B1FCF"/>
    <w:rsid w:val="009B6241"/>
    <w:rsid w:val="009E753F"/>
    <w:rsid w:val="00A16DB2"/>
    <w:rsid w:val="00A16FC0"/>
    <w:rsid w:val="00A32C9E"/>
    <w:rsid w:val="00A43A2D"/>
    <w:rsid w:val="00AB613D"/>
    <w:rsid w:val="00AD2206"/>
    <w:rsid w:val="00AE7F20"/>
    <w:rsid w:val="00B14CE9"/>
    <w:rsid w:val="00B52C22"/>
    <w:rsid w:val="00B534D5"/>
    <w:rsid w:val="00B610DD"/>
    <w:rsid w:val="00B65A0A"/>
    <w:rsid w:val="00B67CDC"/>
    <w:rsid w:val="00B72D36"/>
    <w:rsid w:val="00B757AD"/>
    <w:rsid w:val="00BC4164"/>
    <w:rsid w:val="00BD2DCC"/>
    <w:rsid w:val="00BE577A"/>
    <w:rsid w:val="00BF5A8E"/>
    <w:rsid w:val="00C655CB"/>
    <w:rsid w:val="00C90559"/>
    <w:rsid w:val="00CA0500"/>
    <w:rsid w:val="00CA2251"/>
    <w:rsid w:val="00D56C7C"/>
    <w:rsid w:val="00D71B4D"/>
    <w:rsid w:val="00D90289"/>
    <w:rsid w:val="00D93D55"/>
    <w:rsid w:val="00DC26FB"/>
    <w:rsid w:val="00DC4C60"/>
    <w:rsid w:val="00DD6CF4"/>
    <w:rsid w:val="00E0079A"/>
    <w:rsid w:val="00E444DA"/>
    <w:rsid w:val="00E45C84"/>
    <w:rsid w:val="00E504E5"/>
    <w:rsid w:val="00EA5F37"/>
    <w:rsid w:val="00EB0D93"/>
    <w:rsid w:val="00EB7A3E"/>
    <w:rsid w:val="00EC1AA7"/>
    <w:rsid w:val="00EC22DD"/>
    <w:rsid w:val="00EC401A"/>
    <w:rsid w:val="00EF530A"/>
    <w:rsid w:val="00EF6622"/>
    <w:rsid w:val="00EF78A9"/>
    <w:rsid w:val="00F165D6"/>
    <w:rsid w:val="00F55408"/>
    <w:rsid w:val="00F66152"/>
    <w:rsid w:val="00F71813"/>
    <w:rsid w:val="00F80845"/>
    <w:rsid w:val="00F84474"/>
    <w:rsid w:val="00F93A26"/>
    <w:rsid w:val="00FA0F0D"/>
    <w:rsid w:val="00FD59D1"/>
    <w:rsid w:val="00FE7116"/>
    <w:rsid w:val="00FF69A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B2E47C0-78E7-4542-9572-8774B1BDB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281646"/>
    <w:rPr>
      <w:rFonts w:ascii="Arial" w:eastAsia="SimSun" w:hAnsi="Arial" w:cs="Arial"/>
      <w:b/>
      <w:bCs/>
      <w:caps/>
      <w:kern w:val="32"/>
      <w:sz w:val="22"/>
      <w:szCs w:val="32"/>
      <w:lang w:val="es-ES" w:eastAsia="zh-CN"/>
    </w:rPr>
  </w:style>
  <w:style w:type="paragraph" w:styleId="ListParagraph">
    <w:name w:val="List Paragraph"/>
    <w:basedOn w:val="Normal"/>
    <w:uiPriority w:val="34"/>
    <w:qFormat/>
    <w:rsid w:val="007C0797"/>
    <w:pPr>
      <w:ind w:left="720"/>
      <w:contextualSpacing/>
    </w:pPr>
    <w:rPr>
      <w:lang w:val="en-US"/>
    </w:rPr>
  </w:style>
  <w:style w:type="character" w:styleId="FootnoteReference">
    <w:name w:val="footnote reference"/>
    <w:basedOn w:val="DefaultParagraphFont"/>
    <w:semiHidden/>
    <w:unhideWhenUsed/>
    <w:rsid w:val="007C0797"/>
    <w:rPr>
      <w:vertAlign w:val="superscript"/>
    </w:rPr>
  </w:style>
  <w:style w:type="character" w:styleId="Hyperlink">
    <w:name w:val="Hyperlink"/>
    <w:basedOn w:val="DefaultParagraphFont"/>
    <w:unhideWhenUsed/>
    <w:rsid w:val="007C0797"/>
    <w:rPr>
      <w:color w:val="0000FF" w:themeColor="hyperlink"/>
      <w:u w:val="single"/>
    </w:rPr>
  </w:style>
  <w:style w:type="table" w:styleId="TableGrid">
    <w:name w:val="Table Grid"/>
    <w:basedOn w:val="TableNormal"/>
    <w:rsid w:val="007C079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semiHidden/>
    <w:rsid w:val="007C0797"/>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30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ip-development/es/agenda/news/2021/news_0018.html" TargetMode="External"/><Relationship Id="rId18" Type="http://schemas.openxmlformats.org/officeDocument/2006/relationships/hyperlink" Target="https://ip4sustainability.org/"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wipo.int/meetings/es/2021/ip-development-conference.html" TargetMode="External"/><Relationship Id="rId17" Type="http://schemas.openxmlformats.org/officeDocument/2006/relationships/hyperlink" Target="https://accelerate2030.net/"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ucl.ac.uk/bartlett/sustainable/research/green-innovation-policy-commission"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s/2021/ip-development-conference.html"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flickr.com/photos/wipo/albums/72157720219993555/with/51700668302/"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hyperlink" Target="https://www.wipo.int/edocs/mdocs/mdocs/en/wipo_ipda_ge_21/wipo_ipda_ge_21_biographies.pdf" TargetMode="External"/><Relationship Id="rId19" Type="http://schemas.openxmlformats.org/officeDocument/2006/relationships/hyperlink" Target="https://www.wipo.int/meetings/en/2021/ip-development-conference.html" TargetMode="External"/><Relationship Id="rId4" Type="http://schemas.openxmlformats.org/officeDocument/2006/relationships/settings" Target="settings.xml"/><Relationship Id="rId9" Type="http://schemas.openxmlformats.org/officeDocument/2006/relationships/hyperlink" Target="https://www.wipo.int/meetings/es/doc_details.jsp?doc_id=452273" TargetMode="External"/><Relationship Id="rId14" Type="http://schemas.openxmlformats.org/officeDocument/2006/relationships/hyperlink" Target="https://mailchi.mp/wipo.int/wipo-wire-new-young-experts-program-draws-1000s-of-applicants-viet-nam-president-visits" TargetMode="External"/><Relationship Id="rId22" Type="http://schemas.openxmlformats.org/officeDocument/2006/relationships/footer" Target="footer1.xml"/><Relationship Id="rId27"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es/doc_details.jsp?doc_id=421755" TargetMode="External"/><Relationship Id="rId2" Type="http://schemas.openxmlformats.org/officeDocument/2006/relationships/hyperlink" Target="https://www.wipo.int/meetings/es/doc_details.jsp?doc_id=461382" TargetMode="External"/><Relationship Id="rId1" Type="http://schemas.openxmlformats.org/officeDocument/2006/relationships/hyperlink" Target="https://www.wipo.int/meetings/es/doc_details.jsp?doc_id=421755" TargetMode="External"/><Relationship Id="rId4" Type="http://schemas.openxmlformats.org/officeDocument/2006/relationships/hyperlink" Target="https://www.wipo.int/meetings/es/doc_details.jsp?doc_id=38803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2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6DBA6-4475-43F5-B42F-FDAA63B10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CDIP_28 (S)</Template>
  <TotalTime>2</TotalTime>
  <Pages>8</Pages>
  <Words>3506</Words>
  <Characters>18833</Characters>
  <Application>Microsoft Office Word</Application>
  <DocSecurity>0</DocSecurity>
  <Lines>457</Lines>
  <Paragraphs>180</Paragraphs>
  <ScaleCrop>false</ScaleCrop>
  <HeadingPairs>
    <vt:vector size="2" baseType="variant">
      <vt:variant>
        <vt:lpstr>Title</vt:lpstr>
      </vt:variant>
      <vt:variant>
        <vt:i4>1</vt:i4>
      </vt:variant>
    </vt:vector>
  </HeadingPairs>
  <TitlesOfParts>
    <vt:vector size="1" baseType="lpstr">
      <vt:lpstr>CDIP/28/3</vt:lpstr>
    </vt:vector>
  </TitlesOfParts>
  <Company>WIPO</Company>
  <LinksUpToDate>false</LinksUpToDate>
  <CharactersWithSpaces>22161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CDIP/28/3</dc:title>
  <dc:creator>BOU LLORET Amparo</dc:creator>
  <cp:keywords>FOR OFFICIAL USE ONLY</cp:keywords>
  <cp:lastModifiedBy>ESTEVES DOS SANTOS Anabela</cp:lastModifiedBy>
  <cp:revision>5</cp:revision>
  <dcterms:created xsi:type="dcterms:W3CDTF">2022-03-14T11:34:00Z</dcterms:created>
  <dcterms:modified xsi:type="dcterms:W3CDTF">2022-04-06T14:20:00Z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7356a6d3-005f-4f64-a8f3-36699f379519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