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7E" w:rsidRPr="007F5613" w:rsidRDefault="002816AC" w:rsidP="008A61FB">
      <w:pPr>
        <w:spacing w:after="480"/>
        <w:jc w:val="center"/>
        <w:rPr>
          <w:rFonts w:ascii="Arial" w:hAnsi="Arial" w:cs="Arial"/>
          <w:lang w:val="es-DO"/>
        </w:rPr>
      </w:pPr>
      <w:bookmarkStart w:id="0" w:name="_GoBack"/>
      <w:bookmarkEnd w:id="0"/>
      <w:r w:rsidRPr="007F5613">
        <w:rPr>
          <w:rFonts w:ascii="Arial" w:hAnsi="Arial" w:cs="Arial"/>
          <w:lang w:val="es-DO"/>
        </w:rPr>
        <w:t xml:space="preserve">DECLARACIÓN </w:t>
      </w:r>
      <w:r w:rsidR="00F24176" w:rsidRPr="007F5613">
        <w:rPr>
          <w:rFonts w:ascii="Arial" w:hAnsi="Arial" w:cs="Arial"/>
          <w:lang w:val="es-DO"/>
        </w:rPr>
        <w:t xml:space="preserve">GENERAL </w:t>
      </w:r>
      <w:r w:rsidRPr="007F5613">
        <w:rPr>
          <w:rFonts w:ascii="Arial" w:hAnsi="Arial" w:cs="Arial"/>
          <w:lang w:val="es-DO"/>
        </w:rPr>
        <w:t xml:space="preserve">DE </w:t>
      </w:r>
      <w:r w:rsidR="00F24176" w:rsidRPr="007F5613">
        <w:rPr>
          <w:rFonts w:ascii="Arial" w:hAnsi="Arial" w:cs="Arial"/>
          <w:i/>
          <w:iCs/>
          <w:lang w:val="es-DO"/>
        </w:rPr>
        <w:t>IP JUSTICE</w:t>
      </w:r>
      <w:r w:rsidR="00075DE7" w:rsidRPr="007F5613">
        <w:rPr>
          <w:rFonts w:ascii="Arial" w:hAnsi="Arial" w:cs="Arial"/>
          <w:i/>
          <w:iCs/>
          <w:lang w:val="es-DO"/>
        </w:rPr>
        <w:t xml:space="preserve"> </w:t>
      </w:r>
      <w:r w:rsidR="00075DE7" w:rsidRPr="007F5613">
        <w:rPr>
          <w:rFonts w:ascii="Arial" w:hAnsi="Arial" w:cs="Arial"/>
          <w:lang w:val="es-DO"/>
        </w:rPr>
        <w:t>(OBSERVADORA)</w:t>
      </w:r>
    </w:p>
    <w:p w:rsidR="000B027E" w:rsidRPr="007F5613" w:rsidRDefault="00075DE7" w:rsidP="008A61FB">
      <w:pPr>
        <w:spacing w:after="240"/>
        <w:rPr>
          <w:rFonts w:ascii="Arial" w:hAnsi="Arial" w:cs="Arial"/>
          <w:sz w:val="22"/>
          <w:szCs w:val="22"/>
          <w:lang w:val="es-419"/>
        </w:rPr>
      </w:pPr>
      <w:r w:rsidRPr="007F5613">
        <w:rPr>
          <w:rFonts w:ascii="Arial" w:hAnsi="Arial" w:cs="Arial"/>
          <w:sz w:val="22"/>
          <w:szCs w:val="22"/>
          <w:lang w:val="es-419"/>
        </w:rPr>
        <w:t xml:space="preserve">La siguiente declaración procede de </w:t>
      </w:r>
      <w:r w:rsidR="00F24176" w:rsidRPr="007F5613">
        <w:rPr>
          <w:rFonts w:ascii="Arial" w:hAnsi="Arial" w:cs="Arial"/>
          <w:i/>
          <w:iCs/>
          <w:sz w:val="22"/>
          <w:szCs w:val="22"/>
          <w:lang w:val="es-419"/>
        </w:rPr>
        <w:t>IP Justice</w:t>
      </w:r>
      <w:r w:rsidR="00F24176" w:rsidRPr="007F5613">
        <w:rPr>
          <w:rFonts w:ascii="Arial" w:hAnsi="Arial" w:cs="Arial"/>
          <w:sz w:val="22"/>
          <w:szCs w:val="22"/>
          <w:lang w:val="es-419"/>
        </w:rPr>
        <w:t> </w:t>
      </w:r>
      <w:r w:rsidRPr="007F5613">
        <w:rPr>
          <w:rFonts w:ascii="Arial" w:hAnsi="Arial" w:cs="Arial"/>
          <w:sz w:val="22"/>
          <w:szCs w:val="22"/>
          <w:lang w:val="es-419"/>
        </w:rPr>
        <w:t>(</w:t>
      </w:r>
      <w:r w:rsidRPr="007F5613">
        <w:rPr>
          <w:rFonts w:ascii="Arial" w:hAnsi="Arial" w:cs="Arial"/>
          <w:lang w:val="es-DO"/>
        </w:rPr>
        <w:t>observadora):</w:t>
      </w:r>
    </w:p>
    <w:p w:rsidR="000B027E" w:rsidRPr="007F5613" w:rsidRDefault="000B027E" w:rsidP="008A61FB">
      <w:pPr>
        <w:pStyle w:val="NormalWeb"/>
        <w:spacing w:before="0" w:beforeAutospacing="0" w:after="240" w:afterAutospacing="0"/>
        <w:rPr>
          <w:rFonts w:ascii="Arial" w:hAnsi="Arial" w:cs="Arial"/>
          <w:sz w:val="22"/>
          <w:szCs w:val="22"/>
          <w:lang w:val="es-419"/>
        </w:rPr>
      </w:pPr>
      <w:r w:rsidRPr="007F5613">
        <w:rPr>
          <w:rFonts w:ascii="Arial" w:hAnsi="Arial" w:cs="Arial"/>
          <w:i/>
          <w:iCs/>
          <w:sz w:val="22"/>
          <w:szCs w:val="22"/>
          <w:lang w:val="es-ES_tradnl"/>
        </w:rPr>
        <w:t>IP Justice</w:t>
      </w:r>
      <w:r w:rsidRPr="007F5613">
        <w:rPr>
          <w:rFonts w:ascii="Arial" w:hAnsi="Arial" w:cs="Arial"/>
          <w:sz w:val="22"/>
          <w:szCs w:val="22"/>
          <w:lang w:val="es-ES_tradnl"/>
        </w:rPr>
        <w:t xml:space="preserve"> insta a la OMPI a proporcionar recursos más fáciles de entender para identificar las invenciones </w:t>
      </w:r>
      <w:r w:rsidR="00D76AC3">
        <w:rPr>
          <w:rFonts w:ascii="Arial" w:hAnsi="Arial" w:cs="Arial"/>
          <w:sz w:val="22"/>
          <w:szCs w:val="22"/>
          <w:lang w:val="es-ES_tradnl"/>
        </w:rPr>
        <w:t xml:space="preserve">que están </w:t>
      </w:r>
      <w:r w:rsidRPr="007F5613">
        <w:rPr>
          <w:rFonts w:ascii="Arial" w:hAnsi="Arial" w:cs="Arial"/>
          <w:sz w:val="22"/>
          <w:szCs w:val="22"/>
          <w:lang w:val="es-ES_tradnl"/>
        </w:rPr>
        <w:t>disponibles en el dominio público.</w:t>
      </w:r>
      <w:r w:rsidR="00F24176" w:rsidRPr="00D76AC3">
        <w:rPr>
          <w:rFonts w:ascii="Arial" w:hAnsi="Arial" w:cs="Arial"/>
          <w:sz w:val="22"/>
          <w:szCs w:val="22"/>
          <w:lang w:val="es-DO"/>
        </w:rPr>
        <w:t xml:space="preserve"> </w:t>
      </w:r>
      <w:r w:rsidRPr="007F5613">
        <w:rPr>
          <w:rFonts w:ascii="Arial" w:hAnsi="Arial" w:cs="Arial"/>
          <w:sz w:val="22"/>
          <w:szCs w:val="22"/>
          <w:lang w:val="es-ES_tradnl"/>
        </w:rPr>
        <w:t>Para tener un mayor acceso a las invenciones del dominio público, el público debe saber qué invenciones han pasado a formar parte del dominio público.</w:t>
      </w:r>
    </w:p>
    <w:p w:rsidR="000B027E" w:rsidRPr="007F5613" w:rsidRDefault="000B027E" w:rsidP="008A61FB">
      <w:pPr>
        <w:pStyle w:val="NormalWeb"/>
        <w:spacing w:before="0" w:beforeAutospacing="0" w:after="240" w:afterAutospacing="0"/>
        <w:rPr>
          <w:rFonts w:ascii="Arial" w:hAnsi="Arial" w:cs="Arial"/>
          <w:sz w:val="22"/>
          <w:szCs w:val="22"/>
          <w:lang w:val="es-419"/>
        </w:rPr>
      </w:pPr>
      <w:r w:rsidRPr="007F5613">
        <w:rPr>
          <w:rFonts w:ascii="Arial" w:hAnsi="Arial" w:cs="Arial"/>
          <w:sz w:val="22"/>
          <w:szCs w:val="22"/>
          <w:lang w:val="es-ES_tradnl"/>
        </w:rPr>
        <w:t>Existe una profunda brecha digital y un profundo abismo tecnológico entre los países ricos y los países en desarrollo.</w:t>
      </w:r>
      <w:r w:rsidR="00F24176" w:rsidRPr="00992234">
        <w:rPr>
          <w:rFonts w:ascii="Arial" w:hAnsi="Arial" w:cs="Arial"/>
          <w:sz w:val="22"/>
          <w:szCs w:val="22"/>
          <w:lang w:val="es-DO"/>
        </w:rPr>
        <w:t xml:space="preserve"> </w:t>
      </w:r>
      <w:r w:rsidRPr="007F5613">
        <w:rPr>
          <w:rFonts w:ascii="Arial" w:hAnsi="Arial" w:cs="Arial"/>
          <w:sz w:val="22"/>
          <w:szCs w:val="22"/>
          <w:lang w:val="es-ES_tradnl"/>
        </w:rPr>
        <w:t xml:space="preserve">Muchos países en desarrollo carecen de wifi o de dispositivos digitales para </w:t>
      </w:r>
      <w:r w:rsidR="00D76AC3">
        <w:rPr>
          <w:rFonts w:ascii="Arial" w:hAnsi="Arial" w:cs="Arial"/>
          <w:sz w:val="22"/>
          <w:szCs w:val="22"/>
          <w:lang w:val="es-ES_tradnl"/>
        </w:rPr>
        <w:t xml:space="preserve">tomar parte en actividades educativas </w:t>
      </w:r>
      <w:r w:rsidRPr="007F5613">
        <w:rPr>
          <w:rFonts w:ascii="Arial" w:hAnsi="Arial" w:cs="Arial"/>
          <w:sz w:val="22"/>
          <w:szCs w:val="22"/>
          <w:lang w:val="es-ES_tradnl"/>
        </w:rPr>
        <w:t xml:space="preserve">y </w:t>
      </w:r>
      <w:r w:rsidR="00D76AC3">
        <w:rPr>
          <w:rFonts w:ascii="Arial" w:hAnsi="Arial" w:cs="Arial"/>
          <w:sz w:val="22"/>
          <w:szCs w:val="22"/>
          <w:lang w:val="es-ES_tradnl"/>
        </w:rPr>
        <w:t>de aprendizaje</w:t>
      </w:r>
      <w:r w:rsidR="007F5613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7F5613">
        <w:rPr>
          <w:rFonts w:ascii="Arial" w:hAnsi="Arial" w:cs="Arial"/>
          <w:sz w:val="22"/>
          <w:szCs w:val="22"/>
          <w:lang w:val="es-ES_tradnl"/>
        </w:rPr>
        <w:t>Muchos países dominantes han monopolizado la propiedad intelectual de importancia primordial.</w:t>
      </w:r>
      <w:r w:rsidR="00F24176" w:rsidRPr="007F5613">
        <w:rPr>
          <w:rFonts w:ascii="Arial" w:hAnsi="Arial" w:cs="Arial"/>
          <w:sz w:val="22"/>
          <w:szCs w:val="22"/>
          <w:lang w:val="es-419"/>
        </w:rPr>
        <w:t xml:space="preserve"> </w:t>
      </w:r>
      <w:r w:rsidRPr="007F5613">
        <w:rPr>
          <w:rFonts w:ascii="Arial" w:hAnsi="Arial" w:cs="Arial"/>
          <w:sz w:val="22"/>
          <w:szCs w:val="22"/>
          <w:lang w:val="es-ES_tradnl"/>
        </w:rPr>
        <w:t xml:space="preserve">Especialmente en la actualidad, en una pandemia, la dependencia de Internet y de la tecnología para llevar a cabo actividades cotidianas hace que esta desigualdad sea aún más </w:t>
      </w:r>
      <w:r w:rsidR="00D76AC3">
        <w:rPr>
          <w:rFonts w:ascii="Arial" w:hAnsi="Arial" w:cs="Arial"/>
          <w:sz w:val="22"/>
          <w:szCs w:val="22"/>
          <w:lang w:val="es-ES_tradnl"/>
        </w:rPr>
        <w:t>acusada</w:t>
      </w:r>
      <w:r w:rsidRPr="007F5613">
        <w:rPr>
          <w:rFonts w:ascii="Arial" w:hAnsi="Arial" w:cs="Arial"/>
          <w:sz w:val="22"/>
          <w:szCs w:val="22"/>
          <w:lang w:val="es-ES_tradnl"/>
        </w:rPr>
        <w:t>.</w:t>
      </w:r>
      <w:r w:rsidR="00F24176" w:rsidRPr="007F5613">
        <w:rPr>
          <w:rFonts w:ascii="Arial" w:hAnsi="Arial" w:cs="Arial"/>
          <w:sz w:val="22"/>
          <w:szCs w:val="22"/>
          <w:lang w:val="es-419"/>
        </w:rPr>
        <w:t xml:space="preserve"> </w:t>
      </w:r>
      <w:r w:rsidR="00EC75CF" w:rsidRPr="007F5613">
        <w:rPr>
          <w:rFonts w:ascii="Arial" w:hAnsi="Arial" w:cs="Arial"/>
          <w:sz w:val="22"/>
          <w:szCs w:val="22"/>
          <w:lang w:val="es-ES_tradnl"/>
        </w:rPr>
        <w:t xml:space="preserve">Por lo tanto, </w:t>
      </w:r>
      <w:r w:rsidR="00D76AC3" w:rsidRPr="007F5613">
        <w:rPr>
          <w:rFonts w:ascii="Arial" w:hAnsi="Arial" w:cs="Arial"/>
          <w:sz w:val="22"/>
          <w:szCs w:val="22"/>
          <w:lang w:val="es-ES_tradnl"/>
        </w:rPr>
        <w:t>debe</w:t>
      </w:r>
      <w:r w:rsidR="00D76AC3">
        <w:rPr>
          <w:rFonts w:ascii="Arial" w:hAnsi="Arial" w:cs="Arial"/>
          <w:sz w:val="22"/>
          <w:szCs w:val="22"/>
          <w:lang w:val="es-ES_tradnl"/>
        </w:rPr>
        <w:t>n</w:t>
      </w:r>
      <w:r w:rsidR="00D76AC3" w:rsidRPr="007F5613">
        <w:rPr>
          <w:rFonts w:ascii="Arial" w:hAnsi="Arial" w:cs="Arial"/>
          <w:sz w:val="22"/>
          <w:szCs w:val="22"/>
          <w:lang w:val="es-ES_tradnl"/>
        </w:rPr>
        <w:t xml:space="preserve"> integrarse</w:t>
      </w:r>
      <w:r w:rsidR="00D76AC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C75CF" w:rsidRPr="007F5613">
        <w:rPr>
          <w:rFonts w:ascii="Arial" w:hAnsi="Arial" w:cs="Arial"/>
          <w:sz w:val="22"/>
          <w:szCs w:val="22"/>
          <w:lang w:val="es-ES_tradnl"/>
        </w:rPr>
        <w:t>la</w:t>
      </w:r>
      <w:r w:rsidR="00D76AC3">
        <w:rPr>
          <w:rFonts w:ascii="Arial" w:hAnsi="Arial" w:cs="Arial"/>
          <w:sz w:val="22"/>
          <w:szCs w:val="22"/>
          <w:lang w:val="es-ES_tradnl"/>
        </w:rPr>
        <w:t>s</w:t>
      </w:r>
      <w:r w:rsidR="00EC75CF" w:rsidRPr="007F5613">
        <w:rPr>
          <w:rFonts w:ascii="Arial" w:hAnsi="Arial" w:cs="Arial"/>
          <w:sz w:val="22"/>
          <w:szCs w:val="22"/>
          <w:lang w:val="es-ES_tradnl"/>
        </w:rPr>
        <w:t xml:space="preserve"> política</w:t>
      </w:r>
      <w:r w:rsidR="00D76AC3">
        <w:rPr>
          <w:rFonts w:ascii="Arial" w:hAnsi="Arial" w:cs="Arial"/>
          <w:sz w:val="22"/>
          <w:szCs w:val="22"/>
          <w:lang w:val="es-ES_tradnl"/>
        </w:rPr>
        <w:t>s</w:t>
      </w:r>
      <w:r w:rsidR="00EC75CF" w:rsidRPr="007F5613">
        <w:rPr>
          <w:rFonts w:ascii="Arial" w:hAnsi="Arial" w:cs="Arial"/>
          <w:sz w:val="22"/>
          <w:szCs w:val="22"/>
          <w:lang w:val="es-ES_tradnl"/>
        </w:rPr>
        <w:t xml:space="preserve"> de desarrollo en la protección de la propiedad intelectual.</w:t>
      </w:r>
    </w:p>
    <w:p w:rsidR="000B027E" w:rsidRPr="008A61FB" w:rsidRDefault="00D76AC3" w:rsidP="008A61FB">
      <w:pPr>
        <w:pStyle w:val="NormalWeb"/>
        <w:spacing w:before="0" w:beforeAutospacing="0" w:after="240" w:afterAutospacing="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 labor d</w:t>
      </w:r>
      <w:r w:rsidR="00EC75CF" w:rsidRPr="007F5613">
        <w:rPr>
          <w:rFonts w:ascii="Arial" w:hAnsi="Arial" w:cs="Arial"/>
          <w:sz w:val="22"/>
          <w:szCs w:val="22"/>
          <w:lang w:val="es-ES_tradnl"/>
        </w:rPr>
        <w:t xml:space="preserve">el Comité </w:t>
      </w:r>
      <w:r>
        <w:rPr>
          <w:rFonts w:ascii="Arial" w:hAnsi="Arial" w:cs="Arial"/>
          <w:sz w:val="22"/>
          <w:szCs w:val="22"/>
          <w:lang w:val="es-ES_tradnl"/>
        </w:rPr>
        <w:t xml:space="preserve">en el presente año </w:t>
      </w:r>
      <w:r w:rsidR="00EC75CF" w:rsidRPr="007F5613">
        <w:rPr>
          <w:rFonts w:ascii="Arial" w:hAnsi="Arial" w:cs="Arial"/>
          <w:sz w:val="22"/>
          <w:szCs w:val="22"/>
          <w:lang w:val="es-ES_tradnl"/>
        </w:rPr>
        <w:t>se centra en la innovación en tecnologías ecológicas para el desarrollo sostenible, la identificación y el uso de invenciones que están en el dominio público, etc.</w:t>
      </w:r>
      <w:r w:rsidR="00F24176" w:rsidRPr="00D76AC3">
        <w:rPr>
          <w:rFonts w:ascii="Arial" w:hAnsi="Arial" w:cs="Arial"/>
          <w:sz w:val="22"/>
          <w:szCs w:val="22"/>
          <w:lang w:val="es-DO"/>
        </w:rPr>
        <w:t xml:space="preserve"> </w:t>
      </w:r>
      <w:r w:rsidR="00EC75CF" w:rsidRPr="007F5613">
        <w:rPr>
          <w:rFonts w:ascii="Arial" w:hAnsi="Arial" w:cs="Arial"/>
          <w:i/>
          <w:sz w:val="22"/>
          <w:szCs w:val="22"/>
          <w:lang w:val="es-ES_tradnl"/>
        </w:rPr>
        <w:t>IP Justice</w:t>
      </w:r>
      <w:r w:rsidR="00EC75CF" w:rsidRPr="007F5613">
        <w:rPr>
          <w:rFonts w:ascii="Arial" w:hAnsi="Arial" w:cs="Arial"/>
          <w:sz w:val="22"/>
          <w:szCs w:val="22"/>
          <w:lang w:val="es-ES_tradnl"/>
        </w:rPr>
        <w:t xml:space="preserve"> desea formular comentarios sobre los temas siguientes: equidad en la energía ecológica y accesibilidad de los datos de formación para apoyar el uso de la IA en los países en desarrollo.</w:t>
      </w:r>
    </w:p>
    <w:p w:rsidR="000B027E" w:rsidRPr="007F5613" w:rsidRDefault="00EC75CF" w:rsidP="008A61FB">
      <w:pPr>
        <w:pStyle w:val="NormalWeb"/>
        <w:spacing w:before="0" w:beforeAutospacing="0" w:after="240" w:afterAutospacing="0"/>
        <w:rPr>
          <w:rFonts w:ascii="Arial" w:hAnsi="Arial" w:cs="Arial"/>
          <w:sz w:val="22"/>
          <w:szCs w:val="22"/>
          <w:lang w:val="es-419"/>
        </w:rPr>
      </w:pPr>
      <w:r w:rsidRPr="007F5613">
        <w:rPr>
          <w:rFonts w:ascii="Arial" w:hAnsi="Arial" w:cs="Arial"/>
          <w:sz w:val="22"/>
          <w:szCs w:val="22"/>
          <w:lang w:val="es-ES_tradnl"/>
        </w:rPr>
        <w:t>Actualmente, existe un desequilibrio arraigado de la tecnología disponible para el desarrollo de la sostenibilidad en los países de renta baja y en desarrollo.</w:t>
      </w:r>
      <w:r w:rsidR="00F24176" w:rsidRPr="00992234">
        <w:rPr>
          <w:rFonts w:ascii="Arial" w:hAnsi="Arial" w:cs="Arial"/>
          <w:sz w:val="22"/>
          <w:szCs w:val="22"/>
          <w:lang w:val="es-DO"/>
        </w:rPr>
        <w:t xml:space="preserve"> </w:t>
      </w:r>
      <w:r w:rsidRPr="007F5613">
        <w:rPr>
          <w:rFonts w:ascii="Arial" w:hAnsi="Arial" w:cs="Arial"/>
          <w:sz w:val="22"/>
          <w:szCs w:val="22"/>
          <w:lang w:val="es-ES_tradnl"/>
        </w:rPr>
        <w:t>Sin embargo, estos países son los más vulnerables al cambio climático.</w:t>
      </w:r>
      <w:r w:rsidR="00F24176" w:rsidRPr="007F5613">
        <w:rPr>
          <w:rFonts w:ascii="Arial" w:hAnsi="Arial" w:cs="Arial"/>
          <w:sz w:val="22"/>
          <w:szCs w:val="22"/>
          <w:lang w:val="es-419"/>
        </w:rPr>
        <w:t xml:space="preserve"> </w:t>
      </w:r>
      <w:r w:rsidRPr="007F5613">
        <w:rPr>
          <w:rFonts w:ascii="Arial" w:hAnsi="Arial" w:cs="Arial"/>
          <w:sz w:val="22"/>
          <w:szCs w:val="22"/>
          <w:lang w:val="es-ES_tradnl"/>
        </w:rPr>
        <w:t>Muchas de las principales empresas de energías renovables no contemplan la transferencia de tecnología al sur global.</w:t>
      </w:r>
      <w:r w:rsidR="00F24176" w:rsidRPr="007F5613">
        <w:rPr>
          <w:rFonts w:ascii="Arial" w:hAnsi="Arial" w:cs="Arial"/>
          <w:sz w:val="22"/>
          <w:szCs w:val="22"/>
          <w:lang w:val="es-419"/>
        </w:rPr>
        <w:t xml:space="preserve"> </w:t>
      </w:r>
      <w:r w:rsidRPr="007F5613">
        <w:rPr>
          <w:rFonts w:ascii="Arial" w:hAnsi="Arial" w:cs="Arial"/>
          <w:sz w:val="22"/>
          <w:szCs w:val="22"/>
          <w:lang w:val="es-ES_tradnl"/>
        </w:rPr>
        <w:t>Si el desarrollo sostenible sólo es accesible para los países ricos se irá en contra del objetivo del desarrollo ecológico.</w:t>
      </w:r>
      <w:r w:rsidR="00F24176" w:rsidRPr="007F5613">
        <w:rPr>
          <w:rFonts w:ascii="Arial" w:hAnsi="Arial" w:cs="Arial"/>
          <w:sz w:val="22"/>
          <w:szCs w:val="22"/>
          <w:lang w:val="es-419"/>
        </w:rPr>
        <w:t xml:space="preserve"> </w:t>
      </w:r>
      <w:r w:rsidRPr="007F5613">
        <w:rPr>
          <w:rFonts w:ascii="Arial" w:hAnsi="Arial" w:cs="Arial"/>
          <w:sz w:val="22"/>
          <w:szCs w:val="22"/>
          <w:lang w:val="es-ES_tradnl"/>
        </w:rPr>
        <w:t>Sin una adopción a escala mundial, no será posible un futuro ecológico y sostenible.</w:t>
      </w:r>
    </w:p>
    <w:p w:rsidR="000B027E" w:rsidRPr="008A61FB" w:rsidRDefault="00EC75CF" w:rsidP="008A61FB">
      <w:pPr>
        <w:pStyle w:val="NormalWeb"/>
        <w:spacing w:before="0" w:beforeAutospacing="0" w:after="240" w:afterAutospacing="0"/>
        <w:rPr>
          <w:rFonts w:ascii="Arial" w:hAnsi="Arial" w:cs="Arial"/>
          <w:sz w:val="22"/>
          <w:szCs w:val="22"/>
          <w:lang w:val="es-ES_tradnl"/>
        </w:rPr>
      </w:pPr>
      <w:r w:rsidRPr="007F5613">
        <w:rPr>
          <w:rFonts w:ascii="Arial" w:hAnsi="Arial" w:cs="Arial"/>
          <w:sz w:val="22"/>
          <w:szCs w:val="22"/>
          <w:lang w:val="es-ES_tradnl"/>
        </w:rPr>
        <w:t xml:space="preserve">Esperamos que los países en desarrollo también tengan acceso a datos de entrenamiento sobre el desarrollo de la IA. Actualmente no se dispone de muchos contenidos protegidos por derechos de autor, marcas y patentes a fin de construir modelos de IA para que los países en desarrollo mejoren los diagnósticos de salud, </w:t>
      </w:r>
      <w:r w:rsidR="00992234">
        <w:rPr>
          <w:rFonts w:ascii="Arial" w:hAnsi="Arial" w:cs="Arial"/>
          <w:sz w:val="22"/>
          <w:szCs w:val="22"/>
          <w:lang w:val="es-ES_tradnl"/>
        </w:rPr>
        <w:t>la cartografía</w:t>
      </w:r>
      <w:r w:rsidRPr="007F5613">
        <w:rPr>
          <w:rFonts w:ascii="Arial" w:hAnsi="Arial" w:cs="Arial"/>
          <w:sz w:val="22"/>
          <w:szCs w:val="22"/>
          <w:lang w:val="es-ES_tradnl"/>
        </w:rPr>
        <w:t xml:space="preserve"> de incendios forestales, la conservación de alimentos, etc.</w:t>
      </w:r>
      <w:r w:rsidR="00F24176" w:rsidRPr="007F5613">
        <w:rPr>
          <w:rFonts w:ascii="Arial" w:hAnsi="Arial" w:cs="Arial"/>
          <w:sz w:val="22"/>
          <w:szCs w:val="22"/>
          <w:lang w:val="es-419"/>
        </w:rPr>
        <w:t xml:space="preserve"> </w:t>
      </w:r>
      <w:r w:rsidRPr="007F5613">
        <w:rPr>
          <w:rFonts w:ascii="Arial" w:hAnsi="Arial" w:cs="Arial"/>
          <w:sz w:val="22"/>
          <w:szCs w:val="22"/>
          <w:lang w:val="es-ES_tradnl"/>
        </w:rPr>
        <w:t xml:space="preserve">Estos países en desarrollo </w:t>
      </w:r>
      <w:r w:rsidR="00D76AC3">
        <w:rPr>
          <w:rFonts w:ascii="Arial" w:hAnsi="Arial" w:cs="Arial"/>
          <w:sz w:val="22"/>
          <w:szCs w:val="22"/>
          <w:lang w:val="es-ES_tradnl"/>
        </w:rPr>
        <w:t xml:space="preserve">tienen una mayor necesidad de </w:t>
      </w:r>
      <w:r w:rsidRPr="007F5613">
        <w:rPr>
          <w:rFonts w:ascii="Arial" w:hAnsi="Arial" w:cs="Arial"/>
          <w:sz w:val="22"/>
          <w:szCs w:val="22"/>
          <w:lang w:val="es-ES_tradnl"/>
        </w:rPr>
        <w:t>datos disponibles para la automatización innovadora que muchos países desarrollados.</w:t>
      </w:r>
      <w:r w:rsidR="00F24176" w:rsidRPr="007F5613">
        <w:rPr>
          <w:rFonts w:ascii="Arial" w:hAnsi="Arial" w:cs="Arial"/>
          <w:sz w:val="22"/>
          <w:szCs w:val="22"/>
          <w:lang w:val="es-419"/>
        </w:rPr>
        <w:t xml:space="preserve"> </w:t>
      </w:r>
      <w:r w:rsidR="007F5613" w:rsidRPr="007F5613">
        <w:rPr>
          <w:rFonts w:ascii="Arial" w:hAnsi="Arial" w:cs="Arial"/>
          <w:sz w:val="22"/>
          <w:szCs w:val="22"/>
          <w:lang w:val="es-ES_tradnl"/>
        </w:rPr>
        <w:t xml:space="preserve">La identificación y utilización de las invenciones que están en el dominio público desempeña una función fundamental en la puesta a disposición de contenidos para el entrenamiento de herramientas de IA </w:t>
      </w:r>
      <w:r w:rsidR="00D76AC3" w:rsidRPr="007F5613">
        <w:rPr>
          <w:rFonts w:ascii="Arial" w:hAnsi="Arial" w:cs="Arial"/>
          <w:sz w:val="22"/>
          <w:szCs w:val="22"/>
          <w:lang w:val="es-ES_tradnl"/>
        </w:rPr>
        <w:t xml:space="preserve">que permiten salvar vidas </w:t>
      </w:r>
      <w:r w:rsidR="007F5613" w:rsidRPr="007F5613">
        <w:rPr>
          <w:rFonts w:ascii="Arial" w:hAnsi="Arial" w:cs="Arial"/>
          <w:sz w:val="22"/>
          <w:szCs w:val="22"/>
          <w:lang w:val="es-ES_tradnl"/>
        </w:rPr>
        <w:t>en los países en desarrollo y los países de bajos ingresos.</w:t>
      </w:r>
    </w:p>
    <w:p w:rsidR="000B027E" w:rsidRPr="007F5613" w:rsidRDefault="007F5613" w:rsidP="008A61FB">
      <w:pPr>
        <w:pStyle w:val="NormalWeb"/>
        <w:spacing w:before="0" w:beforeAutospacing="0" w:after="240" w:afterAutospacing="0"/>
        <w:rPr>
          <w:rFonts w:ascii="Arial" w:hAnsi="Arial" w:cs="Arial"/>
          <w:sz w:val="22"/>
          <w:szCs w:val="22"/>
          <w:lang w:val="es-DO"/>
        </w:rPr>
      </w:pPr>
      <w:r w:rsidRPr="007F5613">
        <w:rPr>
          <w:rFonts w:ascii="Arial" w:hAnsi="Arial" w:cs="Arial"/>
          <w:sz w:val="22"/>
          <w:szCs w:val="22"/>
          <w:lang w:val="es-ES_tradnl"/>
        </w:rPr>
        <w:t>La tecnología no debe dejar a nadie atrás.</w:t>
      </w:r>
    </w:p>
    <w:sectPr w:rsidR="000B027E" w:rsidRPr="007F5613" w:rsidSect="00190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440" w:bottom="1440" w:left="1440" w:header="28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B0" w:rsidRDefault="007479B0" w:rsidP="00F24176">
      <w:r>
        <w:separator/>
      </w:r>
    </w:p>
  </w:endnote>
  <w:endnote w:type="continuationSeparator" w:id="0">
    <w:p w:rsidR="007479B0" w:rsidRDefault="007479B0" w:rsidP="00F2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13" w:rsidRDefault="007F5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6" w:rsidRDefault="00F2417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24176" w:rsidRDefault="00F24176" w:rsidP="00F24176">
                          <w:pPr>
                            <w:jc w:val="center"/>
                          </w:pPr>
                          <w:r w:rsidRPr="00F2417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24176" w:rsidRDefault="00F24176" w:rsidP="00F24176">
                    <w:pPr>
                      <w:jc w:val="center"/>
                    </w:pPr>
                    <w:r w:rsidRPr="00F2417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13" w:rsidRDefault="007F5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B0" w:rsidRDefault="007479B0" w:rsidP="00F24176">
      <w:r>
        <w:separator/>
      </w:r>
    </w:p>
  </w:footnote>
  <w:footnote w:type="continuationSeparator" w:id="0">
    <w:p w:rsidR="007479B0" w:rsidRDefault="007479B0" w:rsidP="00F2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6" w:rsidRDefault="00F24176" w:rsidP="00F24176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24176" w:rsidRDefault="00F24176" w:rsidP="00F24176">
                          <w:pPr>
                            <w:jc w:val="center"/>
                          </w:pPr>
                          <w:r w:rsidRPr="00F2417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24176" w:rsidRDefault="00F24176" w:rsidP="00F24176">
                    <w:pPr>
                      <w:jc w:val="center"/>
                    </w:pPr>
                    <w:r w:rsidRPr="00F2417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13" w:rsidRDefault="007F5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13" w:rsidRDefault="007F5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s Template|TextBase TMs\WorkspaceSTS\UPOV\U Instruments"/>
    <w:docVar w:name="TextBaseURL" w:val="empty"/>
    <w:docVar w:name="UILng" w:val="en"/>
  </w:docVars>
  <w:rsids>
    <w:rsidRoot w:val="00F24176"/>
    <w:rsid w:val="00075DE7"/>
    <w:rsid w:val="000B027E"/>
    <w:rsid w:val="00190BBE"/>
    <w:rsid w:val="002816AC"/>
    <w:rsid w:val="00466AE0"/>
    <w:rsid w:val="00635A8F"/>
    <w:rsid w:val="00711CF7"/>
    <w:rsid w:val="007479B0"/>
    <w:rsid w:val="007F5613"/>
    <w:rsid w:val="00817C77"/>
    <w:rsid w:val="008A61FB"/>
    <w:rsid w:val="00992234"/>
    <w:rsid w:val="00AB30E8"/>
    <w:rsid w:val="00AC3C9D"/>
    <w:rsid w:val="00D76AC3"/>
    <w:rsid w:val="00EC75CF"/>
    <w:rsid w:val="00F2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FD651D7-325F-4D5F-9FE9-1B12D92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76"/>
    <w:pPr>
      <w:spacing w:after="0" w:line="240" w:lineRule="auto"/>
    </w:pPr>
    <w:rPr>
      <w:rFonts w:ascii="Times New Roman" w:hAnsi="Times New Roman" w:cs="Times New Roman"/>
      <w:sz w:val="24"/>
      <w:szCs w:val="24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41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417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241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76"/>
    <w:rPr>
      <w:rFonts w:ascii="Times New Roman" w:hAnsi="Times New Roman" w:cs="Times New Roman"/>
      <w:sz w:val="24"/>
      <w:szCs w:val="24"/>
      <w:lang w:val="fr-CH" w:eastAsia="fr-CH"/>
    </w:rPr>
  </w:style>
  <w:style w:type="paragraph" w:styleId="Footer">
    <w:name w:val="footer"/>
    <w:basedOn w:val="Normal"/>
    <w:link w:val="FooterChar"/>
    <w:uiPriority w:val="99"/>
    <w:unhideWhenUsed/>
    <w:rsid w:val="00F24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76"/>
    <w:rPr>
      <w:rFonts w:ascii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2426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ESTEVES DOS SANTOS Anabela</dc:creator>
  <cp:keywords>FOR OFFICIAL USE ONLY</cp:keywords>
  <dc:description/>
  <cp:lastModifiedBy>ESTEVES DOS SANTOS Anabela</cp:lastModifiedBy>
  <cp:revision>3</cp:revision>
  <dcterms:created xsi:type="dcterms:W3CDTF">2021-12-02T08:50:00Z</dcterms:created>
  <dcterms:modified xsi:type="dcterms:W3CDTF">2021-12-02T16:37:00Z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2b3f601d-ebec-4189-ad33-7cfb1b19c526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