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W w:w="9356" w:type="dxa"/>
        <w:tblInd w:w="108" w:type="dxa"/>
        <w:tblLayout w:type="fixed"/>
        <w:tblLook w:val="01E0" w:firstRow="1" w:lastRow="1" w:firstColumn="1" w:lastColumn="1" w:noHBand="0" w:noVBand="0"/>
      </w:tblPr>
      <w:tblGrid>
        <w:gridCol w:w="4513"/>
        <w:gridCol w:w="4337"/>
        <w:gridCol w:w="506"/>
      </w:tblGrid>
      <w:tr w:rsidR="009D386D" w:rsidRPr="00CB1AF4" w:rsidTr="00FA6258">
        <w:tc>
          <w:tcPr>
            <w:tcW w:w="4513" w:type="dxa"/>
            <w:tcBorders>
              <w:bottom w:val="single" w:sz="4" w:space="0" w:color="auto"/>
            </w:tcBorders>
            <w:tcMar>
              <w:bottom w:w="170" w:type="dxa"/>
            </w:tcMar>
          </w:tcPr>
          <w:p w:rsidR="009D386D" w:rsidRPr="00CB1AF4" w:rsidRDefault="009D386D" w:rsidP="00FA6258">
            <w:pPr>
              <w:rPr>
                <w:lang w:val="es-419"/>
              </w:rPr>
            </w:pPr>
            <w:bookmarkStart w:id="0" w:name="_GoBack"/>
            <w:bookmarkEnd w:id="0"/>
          </w:p>
        </w:tc>
        <w:tc>
          <w:tcPr>
            <w:tcW w:w="4337" w:type="dxa"/>
            <w:tcBorders>
              <w:bottom w:val="single" w:sz="4" w:space="0" w:color="auto"/>
            </w:tcBorders>
            <w:tcMar>
              <w:left w:w="0" w:type="dxa"/>
              <w:right w:w="0" w:type="dxa"/>
            </w:tcMar>
          </w:tcPr>
          <w:p w:rsidR="009D386D" w:rsidRPr="00CB1AF4" w:rsidRDefault="009D386D" w:rsidP="00FA6258">
            <w:pPr>
              <w:rPr>
                <w:lang w:val="es-419"/>
              </w:rPr>
            </w:pPr>
            <w:r w:rsidRPr="00CB1AF4">
              <w:rPr>
                <w:noProof/>
                <w:lang w:val="en-US" w:eastAsia="en-US"/>
              </w:rPr>
              <w:drawing>
                <wp:inline distT="0" distB="0" distL="0" distR="0" wp14:anchorId="05297B84" wp14:editId="23743BE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D386D" w:rsidRPr="00CB1AF4" w:rsidRDefault="009D386D" w:rsidP="00FA6258">
            <w:pPr>
              <w:jc w:val="right"/>
              <w:rPr>
                <w:lang w:val="es-419"/>
              </w:rPr>
            </w:pPr>
            <w:r w:rsidRPr="00CB1AF4">
              <w:rPr>
                <w:b/>
                <w:sz w:val="40"/>
                <w:szCs w:val="40"/>
                <w:lang w:val="es-419"/>
              </w:rPr>
              <w:t>S</w:t>
            </w:r>
          </w:p>
        </w:tc>
      </w:tr>
      <w:tr w:rsidR="009D386D" w:rsidRPr="00CB1AF4" w:rsidTr="00FA6258">
        <w:trPr>
          <w:trHeight w:hRule="exact" w:val="357"/>
        </w:trPr>
        <w:tc>
          <w:tcPr>
            <w:tcW w:w="9356" w:type="dxa"/>
            <w:gridSpan w:val="3"/>
            <w:tcBorders>
              <w:top w:val="single" w:sz="4" w:space="0" w:color="auto"/>
            </w:tcBorders>
            <w:tcMar>
              <w:top w:w="170" w:type="dxa"/>
              <w:left w:w="0" w:type="dxa"/>
              <w:right w:w="0" w:type="dxa"/>
            </w:tcMar>
            <w:vAlign w:val="bottom"/>
          </w:tcPr>
          <w:p w:rsidR="009D386D" w:rsidRPr="00CB1AF4" w:rsidRDefault="009D386D" w:rsidP="00FA6258">
            <w:pPr>
              <w:jc w:val="right"/>
              <w:rPr>
                <w:rFonts w:ascii="Arial Black" w:hAnsi="Arial Black"/>
                <w:caps/>
                <w:sz w:val="15"/>
                <w:lang w:val="es-419"/>
              </w:rPr>
            </w:pPr>
            <w:r w:rsidRPr="00CB1AF4">
              <w:rPr>
                <w:rFonts w:ascii="Arial Black" w:hAnsi="Arial Black"/>
                <w:caps/>
                <w:sz w:val="15"/>
                <w:lang w:val="es-419"/>
              </w:rPr>
              <w:t>CDIP/24/</w:t>
            </w:r>
            <w:bookmarkStart w:id="1" w:name="Code"/>
            <w:bookmarkEnd w:id="1"/>
            <w:r w:rsidRPr="00CB1AF4">
              <w:rPr>
                <w:rFonts w:ascii="Arial Black" w:hAnsi="Arial Black"/>
                <w:caps/>
                <w:sz w:val="15"/>
                <w:lang w:val="es-419"/>
              </w:rPr>
              <w:t>4</w:t>
            </w:r>
          </w:p>
        </w:tc>
      </w:tr>
      <w:tr w:rsidR="009D386D" w:rsidRPr="00CB1AF4" w:rsidTr="00FA6258">
        <w:trPr>
          <w:trHeight w:hRule="exact" w:val="170"/>
        </w:trPr>
        <w:tc>
          <w:tcPr>
            <w:tcW w:w="9356" w:type="dxa"/>
            <w:gridSpan w:val="3"/>
            <w:noWrap/>
            <w:tcMar>
              <w:left w:w="0" w:type="dxa"/>
              <w:right w:w="0" w:type="dxa"/>
            </w:tcMar>
            <w:vAlign w:val="bottom"/>
          </w:tcPr>
          <w:p w:rsidR="009D386D" w:rsidRPr="00CB1AF4" w:rsidRDefault="009D386D" w:rsidP="00FA6258">
            <w:pPr>
              <w:jc w:val="right"/>
              <w:rPr>
                <w:rFonts w:ascii="Arial Black" w:hAnsi="Arial Black"/>
                <w:caps/>
                <w:sz w:val="15"/>
                <w:lang w:val="es-419"/>
              </w:rPr>
            </w:pPr>
            <w:r w:rsidRPr="00CB1AF4">
              <w:rPr>
                <w:rFonts w:ascii="Arial Black" w:hAnsi="Arial Black"/>
                <w:caps/>
                <w:sz w:val="15"/>
                <w:lang w:val="es-419"/>
              </w:rPr>
              <w:t xml:space="preserve">ORIGINAL: InGLÉS  </w:t>
            </w:r>
            <w:bookmarkStart w:id="2" w:name="Original"/>
            <w:bookmarkEnd w:id="2"/>
            <w:r w:rsidRPr="00CB1AF4">
              <w:rPr>
                <w:rFonts w:ascii="Arial Black" w:hAnsi="Arial Black"/>
                <w:caps/>
                <w:sz w:val="15"/>
                <w:lang w:val="es-419"/>
              </w:rPr>
              <w:t xml:space="preserve"> </w:t>
            </w:r>
          </w:p>
        </w:tc>
      </w:tr>
      <w:tr w:rsidR="009D386D" w:rsidRPr="00CB1AF4" w:rsidTr="00FA6258">
        <w:trPr>
          <w:trHeight w:hRule="exact" w:val="198"/>
        </w:trPr>
        <w:tc>
          <w:tcPr>
            <w:tcW w:w="9356" w:type="dxa"/>
            <w:gridSpan w:val="3"/>
            <w:tcMar>
              <w:left w:w="0" w:type="dxa"/>
              <w:right w:w="0" w:type="dxa"/>
            </w:tcMar>
            <w:vAlign w:val="bottom"/>
          </w:tcPr>
          <w:p w:rsidR="009D386D" w:rsidRPr="00CB1AF4" w:rsidRDefault="009D386D" w:rsidP="00FA6258">
            <w:pPr>
              <w:jc w:val="right"/>
              <w:rPr>
                <w:rFonts w:ascii="Arial Black" w:hAnsi="Arial Black"/>
                <w:caps/>
                <w:sz w:val="15"/>
                <w:lang w:val="es-419"/>
              </w:rPr>
            </w:pPr>
            <w:r w:rsidRPr="00CB1AF4">
              <w:rPr>
                <w:rFonts w:ascii="Arial Black" w:hAnsi="Arial Black"/>
                <w:caps/>
                <w:sz w:val="15"/>
                <w:lang w:val="es-419"/>
              </w:rPr>
              <w:t>fecha:</w:t>
            </w:r>
            <w:r w:rsidR="000116EE">
              <w:rPr>
                <w:rFonts w:ascii="Arial Black" w:hAnsi="Arial Black"/>
                <w:caps/>
                <w:sz w:val="15"/>
                <w:lang w:val="es-419"/>
              </w:rPr>
              <w:t xml:space="preserve"> </w:t>
            </w:r>
            <w:r w:rsidR="00661C45" w:rsidRPr="00CB1AF4">
              <w:rPr>
                <w:rFonts w:ascii="Arial Black" w:hAnsi="Arial Black"/>
                <w:caps/>
                <w:sz w:val="15"/>
                <w:lang w:val="es-419"/>
              </w:rPr>
              <w:t>1 de septiembre</w:t>
            </w:r>
            <w:r w:rsidRPr="00CB1AF4">
              <w:rPr>
                <w:rFonts w:ascii="Arial Black" w:hAnsi="Arial Black"/>
                <w:caps/>
                <w:sz w:val="15"/>
                <w:lang w:val="es-419"/>
              </w:rPr>
              <w:t xml:space="preserve"> DE 2019  </w:t>
            </w:r>
            <w:bookmarkStart w:id="3" w:name="Date"/>
            <w:bookmarkEnd w:id="3"/>
            <w:r w:rsidRPr="00CB1AF4">
              <w:rPr>
                <w:rFonts w:ascii="Arial Black" w:hAnsi="Arial Black"/>
                <w:caps/>
                <w:sz w:val="15"/>
                <w:lang w:val="es-419"/>
              </w:rPr>
              <w:t xml:space="preserve"> </w:t>
            </w:r>
          </w:p>
        </w:tc>
      </w:tr>
    </w:tbl>
    <w:p w:rsidR="009D386D" w:rsidRPr="00CB1AF4" w:rsidRDefault="009D386D" w:rsidP="009D386D">
      <w:pPr>
        <w:rPr>
          <w:lang w:val="es-419"/>
        </w:rPr>
      </w:pPr>
    </w:p>
    <w:p w:rsidR="009D386D" w:rsidRPr="00CB1AF4" w:rsidRDefault="009D386D" w:rsidP="009D386D">
      <w:pPr>
        <w:rPr>
          <w:lang w:val="es-419"/>
        </w:rPr>
      </w:pPr>
    </w:p>
    <w:p w:rsidR="009D386D" w:rsidRPr="00CB1AF4" w:rsidRDefault="009D386D" w:rsidP="009D386D">
      <w:pPr>
        <w:rPr>
          <w:lang w:val="es-419"/>
        </w:rPr>
      </w:pPr>
    </w:p>
    <w:p w:rsidR="009D386D" w:rsidRPr="00CB1AF4" w:rsidRDefault="009D386D" w:rsidP="009D386D">
      <w:pPr>
        <w:rPr>
          <w:lang w:val="es-419"/>
        </w:rPr>
      </w:pPr>
    </w:p>
    <w:p w:rsidR="009D386D" w:rsidRPr="00CB1AF4" w:rsidRDefault="009D386D" w:rsidP="009D386D">
      <w:pPr>
        <w:rPr>
          <w:lang w:val="es-419"/>
        </w:rPr>
      </w:pPr>
    </w:p>
    <w:p w:rsidR="009D386D" w:rsidRPr="00CB1AF4" w:rsidRDefault="009D386D" w:rsidP="009D386D">
      <w:pPr>
        <w:rPr>
          <w:b/>
          <w:sz w:val="28"/>
          <w:szCs w:val="28"/>
          <w:lang w:val="es-419"/>
        </w:rPr>
      </w:pPr>
      <w:r w:rsidRPr="00CB1AF4">
        <w:rPr>
          <w:b/>
          <w:sz w:val="28"/>
          <w:szCs w:val="28"/>
          <w:lang w:val="es-419"/>
        </w:rPr>
        <w:t>Comité de Desarrollo y Propiedad Intelectual (CDIP)</w:t>
      </w:r>
    </w:p>
    <w:p w:rsidR="009D386D" w:rsidRPr="00CB1AF4" w:rsidRDefault="009D386D" w:rsidP="009D386D">
      <w:pPr>
        <w:rPr>
          <w:lang w:val="es-419"/>
        </w:rPr>
      </w:pPr>
    </w:p>
    <w:p w:rsidR="009D386D" w:rsidRPr="00CB1AF4" w:rsidRDefault="009D386D" w:rsidP="009D386D">
      <w:pPr>
        <w:rPr>
          <w:lang w:val="es-419"/>
        </w:rPr>
      </w:pPr>
    </w:p>
    <w:p w:rsidR="009D386D" w:rsidRPr="00CB1AF4" w:rsidRDefault="009D386D" w:rsidP="009D386D">
      <w:pPr>
        <w:rPr>
          <w:b/>
          <w:sz w:val="24"/>
          <w:szCs w:val="24"/>
          <w:lang w:val="es-419"/>
        </w:rPr>
      </w:pPr>
      <w:r w:rsidRPr="00CB1AF4">
        <w:rPr>
          <w:b/>
          <w:sz w:val="24"/>
          <w:szCs w:val="24"/>
          <w:lang w:val="es-419"/>
        </w:rPr>
        <w:t>Vigesimocuarta sesión</w:t>
      </w:r>
    </w:p>
    <w:p w:rsidR="009D386D" w:rsidRPr="00CB1AF4" w:rsidRDefault="009D386D" w:rsidP="009D386D">
      <w:pPr>
        <w:rPr>
          <w:b/>
          <w:sz w:val="24"/>
          <w:szCs w:val="24"/>
          <w:lang w:val="es-419"/>
        </w:rPr>
      </w:pPr>
      <w:r w:rsidRPr="00CB1AF4">
        <w:rPr>
          <w:b/>
          <w:sz w:val="24"/>
          <w:szCs w:val="24"/>
          <w:lang w:val="es-419"/>
        </w:rPr>
        <w:t>Ginebra, 18 a 22 de noviembre de 2019</w:t>
      </w:r>
    </w:p>
    <w:p w:rsidR="009D386D" w:rsidRPr="00CB1AF4" w:rsidRDefault="009D386D" w:rsidP="009D386D">
      <w:pPr>
        <w:rPr>
          <w:lang w:val="es-419"/>
        </w:rPr>
      </w:pPr>
    </w:p>
    <w:p w:rsidR="009D386D" w:rsidRPr="00CB1AF4" w:rsidRDefault="009D386D" w:rsidP="009D386D">
      <w:pPr>
        <w:rPr>
          <w:lang w:val="es-419"/>
        </w:rPr>
      </w:pPr>
    </w:p>
    <w:p w:rsidR="009D386D" w:rsidRPr="00CB1AF4" w:rsidRDefault="009D386D" w:rsidP="009D386D">
      <w:pPr>
        <w:rPr>
          <w:lang w:val="es-419"/>
        </w:rPr>
      </w:pPr>
    </w:p>
    <w:p w:rsidR="00027F7D" w:rsidRPr="00CB1AF4" w:rsidRDefault="00027F7D" w:rsidP="00027F7D">
      <w:pPr>
        <w:rPr>
          <w:caps/>
          <w:sz w:val="24"/>
          <w:lang w:val="es-419"/>
        </w:rPr>
      </w:pPr>
      <w:bookmarkStart w:id="4" w:name="TitleOfDoc"/>
      <w:bookmarkEnd w:id="4"/>
      <w:r w:rsidRPr="00CB1AF4">
        <w:rPr>
          <w:caps/>
          <w:sz w:val="24"/>
          <w:szCs w:val="24"/>
          <w:lang w:val="es-419"/>
        </w:rPr>
        <w:t>Informe de finalización del proyecto sobre</w:t>
      </w:r>
      <w:r w:rsidR="009D386D" w:rsidRPr="00CB1AF4">
        <w:rPr>
          <w:caps/>
          <w:sz w:val="24"/>
          <w:szCs w:val="24"/>
          <w:lang w:val="es-419"/>
        </w:rPr>
        <w:t xml:space="preserve"> </w:t>
      </w:r>
      <w:r w:rsidRPr="00CB1AF4">
        <w:rPr>
          <w:caps/>
          <w:sz w:val="24"/>
          <w:lang w:val="es-419"/>
        </w:rPr>
        <w:t>PROPIEDAD INTELECTUAL, TURISMO Y CULTURA</w:t>
      </w:r>
      <w:r w:rsidR="00D92485" w:rsidRPr="00CB1AF4">
        <w:rPr>
          <w:caps/>
          <w:sz w:val="24"/>
          <w:lang w:val="es-419"/>
        </w:rPr>
        <w:t xml:space="preserve">: </w:t>
      </w:r>
      <w:r w:rsidRPr="00CB1AF4">
        <w:rPr>
          <w:caps/>
          <w:sz w:val="24"/>
          <w:lang w:val="es-419"/>
        </w:rPr>
        <w:t>APOYO A LOS OBJETIVOS DE DESARROLLO y PROMOCIÓN del patrimonio cultural de egipto y otros Países en desarrollo</w:t>
      </w:r>
    </w:p>
    <w:p w:rsidR="009D386D" w:rsidRPr="00CB1AF4" w:rsidRDefault="009D386D" w:rsidP="009D386D">
      <w:pPr>
        <w:rPr>
          <w:caps/>
          <w:szCs w:val="22"/>
          <w:lang w:val="es-419"/>
        </w:rPr>
      </w:pPr>
    </w:p>
    <w:p w:rsidR="009D386D" w:rsidRPr="00CB1AF4" w:rsidRDefault="009D386D" w:rsidP="009D386D">
      <w:pPr>
        <w:rPr>
          <w:szCs w:val="22"/>
          <w:lang w:val="es-419"/>
        </w:rPr>
      </w:pPr>
    </w:p>
    <w:p w:rsidR="009D386D" w:rsidRPr="00CB1AF4" w:rsidRDefault="00027F7D" w:rsidP="009D386D">
      <w:pPr>
        <w:rPr>
          <w:szCs w:val="22"/>
          <w:lang w:val="es-419"/>
        </w:rPr>
      </w:pPr>
      <w:r w:rsidRPr="00CB1AF4">
        <w:rPr>
          <w:i/>
          <w:szCs w:val="22"/>
          <w:lang w:val="es-419"/>
        </w:rPr>
        <w:t>preparado por la Secretaría</w:t>
      </w:r>
    </w:p>
    <w:p w:rsidR="009D386D" w:rsidRPr="00CB1AF4" w:rsidRDefault="009D386D" w:rsidP="009D386D">
      <w:pPr>
        <w:rPr>
          <w:szCs w:val="22"/>
          <w:lang w:val="es-419"/>
        </w:rPr>
      </w:pPr>
    </w:p>
    <w:p w:rsidR="009D386D" w:rsidRPr="00CB1AF4" w:rsidRDefault="009D386D" w:rsidP="009D386D">
      <w:pPr>
        <w:rPr>
          <w:szCs w:val="22"/>
          <w:lang w:val="es-419"/>
        </w:rPr>
      </w:pPr>
    </w:p>
    <w:p w:rsidR="009D386D" w:rsidRPr="00CB1AF4" w:rsidRDefault="009D386D" w:rsidP="009D386D">
      <w:pPr>
        <w:rPr>
          <w:szCs w:val="22"/>
          <w:lang w:val="es-419"/>
        </w:rPr>
      </w:pPr>
    </w:p>
    <w:p w:rsidR="009D386D" w:rsidRPr="00CB1AF4" w:rsidRDefault="009D386D" w:rsidP="009D386D">
      <w:pPr>
        <w:rPr>
          <w:szCs w:val="22"/>
          <w:lang w:val="es-419"/>
        </w:rPr>
      </w:pPr>
    </w:p>
    <w:p w:rsidR="009D386D" w:rsidRPr="00CB1AF4" w:rsidRDefault="009D386D" w:rsidP="009D386D">
      <w:pPr>
        <w:rPr>
          <w:szCs w:val="22"/>
          <w:lang w:val="es-419"/>
        </w:rPr>
      </w:pPr>
    </w:p>
    <w:p w:rsidR="009D386D" w:rsidRPr="00CB1AF4" w:rsidRDefault="00027F7D" w:rsidP="00FF0422">
      <w:pPr>
        <w:pStyle w:val="ONUMFS"/>
        <w:rPr>
          <w:lang w:val="es-419"/>
        </w:rPr>
      </w:pPr>
      <w:r w:rsidRPr="00CB1AF4">
        <w:rPr>
          <w:lang w:val="es-419"/>
        </w:rPr>
        <w:t xml:space="preserve">En el Anexo del presente documento figura el informe de finalización del </w:t>
      </w:r>
      <w:r w:rsidR="00D92485" w:rsidRPr="00CB1AF4">
        <w:rPr>
          <w:lang w:val="es-419"/>
        </w:rPr>
        <w:t>Proyecto sobre</w:t>
      </w:r>
      <w:r w:rsidR="00D92485" w:rsidRPr="00CB1AF4">
        <w:rPr>
          <w:caps/>
          <w:sz w:val="24"/>
          <w:lang w:val="es-419"/>
        </w:rPr>
        <w:t xml:space="preserve"> </w:t>
      </w:r>
      <w:r w:rsidR="00D92485" w:rsidRPr="00CB1AF4">
        <w:rPr>
          <w:lang w:val="es-419"/>
        </w:rPr>
        <w:t>Propiedad Intelectual, Turismo y Cultura: Apoyo a los Objetivos de Desarrollo y Protección del Patrimonio Cultural de Egipto y Otros Países en Desarrollo,</w:t>
      </w:r>
      <w:r w:rsidR="00D92485" w:rsidRPr="00CB1AF4">
        <w:rPr>
          <w:i/>
          <w:lang w:val="es-419"/>
        </w:rPr>
        <w:t xml:space="preserve"> </w:t>
      </w:r>
      <w:r w:rsidR="00D92485" w:rsidRPr="00CB1AF4">
        <w:rPr>
          <w:lang w:val="es-419"/>
        </w:rPr>
        <w:t>de la Agenda para el Desarrollo</w:t>
      </w:r>
      <w:r w:rsidR="009C3588" w:rsidRPr="00CB1AF4">
        <w:rPr>
          <w:lang w:val="es-419"/>
        </w:rPr>
        <w:t>. El informe abarca el período completo de ejecución del proyecto, es decir, de enero de 2016 a abril de 2019.</w:t>
      </w:r>
    </w:p>
    <w:p w:rsidR="009D386D" w:rsidRPr="00CB1AF4" w:rsidRDefault="009D386D" w:rsidP="00FF0422">
      <w:pPr>
        <w:ind w:left="5529"/>
        <w:rPr>
          <w:szCs w:val="22"/>
          <w:lang w:val="es-419"/>
        </w:rPr>
      </w:pPr>
      <w:r w:rsidRPr="00CB1AF4">
        <w:rPr>
          <w:i/>
          <w:szCs w:val="22"/>
          <w:lang w:val="es-419"/>
        </w:rPr>
        <w:t>2</w:t>
      </w:r>
      <w:r w:rsidRPr="00CB1AF4">
        <w:rPr>
          <w:szCs w:val="22"/>
          <w:lang w:val="es-419"/>
        </w:rPr>
        <w:t>.</w:t>
      </w:r>
      <w:r w:rsidRPr="00CB1AF4">
        <w:rPr>
          <w:szCs w:val="22"/>
          <w:lang w:val="es-419"/>
        </w:rPr>
        <w:tab/>
      </w:r>
      <w:r w:rsidR="009C3588" w:rsidRPr="00CB1AF4">
        <w:rPr>
          <w:i/>
          <w:iCs/>
          <w:szCs w:val="22"/>
          <w:lang w:val="es-419"/>
        </w:rPr>
        <w:t>Se invita al CDIP a tomar nota de la información que figura en el Anexo del presente documento</w:t>
      </w:r>
      <w:r w:rsidR="009C3588" w:rsidRPr="00CB1AF4">
        <w:rPr>
          <w:i/>
          <w:szCs w:val="22"/>
          <w:lang w:val="es-419"/>
        </w:rPr>
        <w:t>.</w:t>
      </w:r>
    </w:p>
    <w:p w:rsidR="009D386D" w:rsidRPr="00CB1AF4" w:rsidRDefault="009D386D" w:rsidP="00FF0422">
      <w:pPr>
        <w:ind w:left="5529"/>
        <w:rPr>
          <w:szCs w:val="22"/>
          <w:lang w:val="es-419"/>
        </w:rPr>
      </w:pPr>
    </w:p>
    <w:p w:rsidR="009D386D" w:rsidRPr="00CB1AF4" w:rsidRDefault="009D386D" w:rsidP="00FF0422">
      <w:pPr>
        <w:ind w:left="5529"/>
        <w:rPr>
          <w:szCs w:val="22"/>
          <w:lang w:val="es-419"/>
        </w:rPr>
      </w:pPr>
    </w:p>
    <w:p w:rsidR="009D386D" w:rsidRPr="00CB1AF4" w:rsidRDefault="009D386D" w:rsidP="00FF0422">
      <w:pPr>
        <w:ind w:left="5529"/>
        <w:rPr>
          <w:szCs w:val="22"/>
          <w:lang w:val="es-419"/>
        </w:rPr>
      </w:pPr>
    </w:p>
    <w:p w:rsidR="00FF0422" w:rsidRPr="00CB1AF4" w:rsidRDefault="00FF0422" w:rsidP="00FF0422">
      <w:pPr>
        <w:ind w:left="5529"/>
        <w:rPr>
          <w:szCs w:val="22"/>
          <w:lang w:val="es-419"/>
        </w:rPr>
      </w:pPr>
    </w:p>
    <w:p w:rsidR="009D386D" w:rsidRPr="00CB1AF4" w:rsidRDefault="009C3588" w:rsidP="00FF0422">
      <w:pPr>
        <w:ind w:left="5529"/>
        <w:rPr>
          <w:szCs w:val="22"/>
          <w:lang w:val="es-419"/>
        </w:rPr>
      </w:pPr>
      <w:r w:rsidRPr="00CB1AF4">
        <w:rPr>
          <w:szCs w:val="22"/>
          <w:lang w:val="es-419"/>
        </w:rPr>
        <w:t>[Sigue el Anexo</w:t>
      </w:r>
      <w:r w:rsidR="009D386D" w:rsidRPr="00CB1AF4">
        <w:rPr>
          <w:szCs w:val="22"/>
          <w:lang w:val="es-419"/>
        </w:rPr>
        <w:t>]</w:t>
      </w:r>
    </w:p>
    <w:p w:rsidR="009D386D" w:rsidRPr="00CB1AF4" w:rsidRDefault="009D386D" w:rsidP="009D386D">
      <w:pPr>
        <w:rPr>
          <w:szCs w:val="22"/>
          <w:lang w:val="es-419"/>
        </w:rPr>
      </w:pPr>
    </w:p>
    <w:p w:rsidR="009D386D" w:rsidRPr="00CB1AF4" w:rsidRDefault="009D386D" w:rsidP="009D386D">
      <w:pPr>
        <w:rPr>
          <w:szCs w:val="22"/>
          <w:lang w:val="es-419"/>
        </w:rPr>
      </w:pPr>
    </w:p>
    <w:p w:rsidR="009D386D" w:rsidRPr="00CB1AF4" w:rsidRDefault="009D386D" w:rsidP="009D386D">
      <w:pPr>
        <w:rPr>
          <w:szCs w:val="22"/>
          <w:lang w:val="es-419"/>
        </w:rPr>
        <w:sectPr w:rsidR="009D386D" w:rsidRPr="00CB1AF4" w:rsidSect="0019210E">
          <w:headerReference w:type="even" r:id="rId8"/>
          <w:headerReference w:type="default" r:id="rId9"/>
          <w:footerReference w:type="even" r:id="rId10"/>
          <w:footerReference w:type="default" r:id="rId11"/>
          <w:headerReference w:type="first" r:id="rId12"/>
          <w:endnotePr>
            <w:numFmt w:val="decimal"/>
          </w:endnotePr>
          <w:pgSz w:w="11907" w:h="16840" w:code="9"/>
          <w:pgMar w:top="562" w:right="1138" w:bottom="1411" w:left="1411" w:header="504" w:footer="1022" w:gutter="0"/>
          <w:pgNumType w:start="0"/>
          <w:cols w:space="720"/>
          <w:titlePg/>
          <w:docGrid w:linePitch="299"/>
        </w:sect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
        <w:gridCol w:w="2263"/>
        <w:gridCol w:w="142"/>
        <w:gridCol w:w="6804"/>
      </w:tblGrid>
      <w:tr w:rsidR="001A6F7F" w:rsidRPr="00CB1AF4" w:rsidTr="000116EE">
        <w:tc>
          <w:tcPr>
            <w:tcW w:w="9356" w:type="dxa"/>
            <w:gridSpan w:val="4"/>
            <w:shd w:val="clear" w:color="auto" w:fill="auto"/>
          </w:tcPr>
          <w:p w:rsidR="001A6F7F" w:rsidRPr="00CB1AF4" w:rsidRDefault="001A6F7F" w:rsidP="00FF0422">
            <w:pPr>
              <w:spacing w:before="240"/>
              <w:rPr>
                <w:bCs/>
                <w:iCs/>
                <w:lang w:val="es-419"/>
              </w:rPr>
            </w:pPr>
            <w:r w:rsidRPr="00CB1AF4">
              <w:rPr>
                <w:bCs/>
                <w:iCs/>
                <w:lang w:val="es-419"/>
              </w:rPr>
              <w:lastRenderedPageBreak/>
              <w:t>RESUMEN DEL PROYECTO</w:t>
            </w:r>
          </w:p>
          <w:p w:rsidR="001A6F7F" w:rsidRPr="00CB1AF4" w:rsidRDefault="001A6F7F" w:rsidP="00FA6258">
            <w:pPr>
              <w:rPr>
                <w:bCs/>
                <w:iCs/>
                <w:lang w:val="es-419"/>
              </w:rPr>
            </w:pPr>
          </w:p>
        </w:tc>
      </w:tr>
      <w:tr w:rsidR="001A6F7F" w:rsidRPr="00CB1AF4" w:rsidTr="000116EE">
        <w:tc>
          <w:tcPr>
            <w:tcW w:w="2410" w:type="dxa"/>
            <w:gridSpan w:val="2"/>
            <w:shd w:val="clear" w:color="auto" w:fill="auto"/>
          </w:tcPr>
          <w:p w:rsidR="001A6F7F" w:rsidRPr="00CB1AF4" w:rsidRDefault="001A6F7F" w:rsidP="00FA6258">
            <w:pPr>
              <w:spacing w:before="120" w:after="120"/>
              <w:rPr>
                <w:b/>
                <w:lang w:val="es-419"/>
              </w:rPr>
            </w:pPr>
            <w:r w:rsidRPr="00CB1AF4">
              <w:rPr>
                <w:bCs/>
                <w:u w:val="single"/>
                <w:lang w:val="es-419"/>
              </w:rPr>
              <w:t>Código del proyecto</w:t>
            </w:r>
          </w:p>
        </w:tc>
        <w:tc>
          <w:tcPr>
            <w:tcW w:w="6946" w:type="dxa"/>
            <w:gridSpan w:val="2"/>
            <w:shd w:val="clear" w:color="auto" w:fill="auto"/>
          </w:tcPr>
          <w:p w:rsidR="001A6F7F" w:rsidRPr="00CB1AF4" w:rsidRDefault="001A6F7F" w:rsidP="00FA6258">
            <w:pPr>
              <w:spacing w:before="120" w:after="120"/>
              <w:rPr>
                <w:i/>
                <w:lang w:val="es-419"/>
              </w:rPr>
            </w:pPr>
            <w:r w:rsidRPr="00CB1AF4">
              <w:rPr>
                <w:i/>
                <w:lang w:val="es-419"/>
              </w:rPr>
              <w:t>DA_1_10_12_40_01</w:t>
            </w:r>
          </w:p>
        </w:tc>
      </w:tr>
      <w:tr w:rsidR="001A6F7F" w:rsidRPr="00CB1AF4" w:rsidTr="000116EE">
        <w:tc>
          <w:tcPr>
            <w:tcW w:w="2410" w:type="dxa"/>
            <w:gridSpan w:val="2"/>
            <w:shd w:val="clear" w:color="auto" w:fill="auto"/>
          </w:tcPr>
          <w:p w:rsidR="001A6F7F" w:rsidRPr="00CB1AF4" w:rsidRDefault="001A6F7F" w:rsidP="00FA6258">
            <w:pPr>
              <w:spacing w:before="120" w:after="120"/>
              <w:rPr>
                <w:b/>
                <w:lang w:val="es-419"/>
              </w:rPr>
            </w:pPr>
            <w:r w:rsidRPr="00CB1AF4">
              <w:rPr>
                <w:u w:val="single"/>
                <w:lang w:val="es-419"/>
              </w:rPr>
              <w:t>Título</w:t>
            </w:r>
          </w:p>
        </w:tc>
        <w:tc>
          <w:tcPr>
            <w:tcW w:w="6946" w:type="dxa"/>
            <w:gridSpan w:val="2"/>
            <w:shd w:val="clear" w:color="auto" w:fill="auto"/>
          </w:tcPr>
          <w:p w:rsidR="001A6F7F" w:rsidRPr="00CB1AF4" w:rsidRDefault="00D92485" w:rsidP="001A6F7F">
            <w:pPr>
              <w:spacing w:before="120" w:after="120"/>
              <w:rPr>
                <w:i/>
                <w:lang w:val="es-419"/>
              </w:rPr>
            </w:pPr>
            <w:r w:rsidRPr="00CB1AF4">
              <w:rPr>
                <w:iCs/>
                <w:szCs w:val="22"/>
                <w:lang w:val="es-419"/>
              </w:rPr>
              <w:t>Proyecto sobre</w:t>
            </w:r>
            <w:r w:rsidRPr="00CB1AF4">
              <w:rPr>
                <w:caps/>
                <w:sz w:val="24"/>
                <w:lang w:val="es-419"/>
              </w:rPr>
              <w:t xml:space="preserve"> </w:t>
            </w:r>
            <w:r w:rsidRPr="00CB1AF4">
              <w:rPr>
                <w:iCs/>
                <w:szCs w:val="22"/>
                <w:lang w:val="es-419"/>
              </w:rPr>
              <w:t>Propiedad Intelectual, Turismo y Cultura: Apoyo a los Objetivos de Desarrollo y Protección del Patrimonio Cultural de Egipto y Otros Países en Desarrollo</w:t>
            </w:r>
          </w:p>
        </w:tc>
      </w:tr>
      <w:tr w:rsidR="001A6F7F" w:rsidRPr="00CB1AF4" w:rsidTr="000116EE">
        <w:tc>
          <w:tcPr>
            <w:tcW w:w="2410" w:type="dxa"/>
            <w:gridSpan w:val="2"/>
            <w:shd w:val="clear" w:color="auto" w:fill="auto"/>
          </w:tcPr>
          <w:p w:rsidR="001A6F7F" w:rsidRPr="00CB1AF4" w:rsidRDefault="001A6F7F" w:rsidP="00FA6258">
            <w:pPr>
              <w:spacing w:before="120" w:after="120"/>
              <w:rPr>
                <w:u w:val="single"/>
                <w:lang w:val="es-419"/>
              </w:rPr>
            </w:pPr>
            <w:r w:rsidRPr="00CB1AF4">
              <w:rPr>
                <w:bCs/>
                <w:u w:val="single"/>
                <w:lang w:val="es-419"/>
              </w:rPr>
              <w:t>Recomendaciones de la Agenda para el Desarrollo:</w:t>
            </w:r>
          </w:p>
          <w:p w:rsidR="001A6F7F" w:rsidRPr="00CB1AF4" w:rsidRDefault="001A6F7F" w:rsidP="00FA6258">
            <w:pPr>
              <w:spacing w:before="120" w:after="120"/>
              <w:rPr>
                <w:b/>
                <w:lang w:val="es-419"/>
              </w:rPr>
            </w:pPr>
          </w:p>
        </w:tc>
        <w:tc>
          <w:tcPr>
            <w:tcW w:w="6946" w:type="dxa"/>
            <w:gridSpan w:val="2"/>
            <w:shd w:val="clear" w:color="auto" w:fill="auto"/>
          </w:tcPr>
          <w:p w:rsidR="001A6F7F" w:rsidRPr="00CB1AF4" w:rsidRDefault="001A6F7F" w:rsidP="00FA6258">
            <w:pPr>
              <w:spacing w:before="120" w:after="120"/>
              <w:rPr>
                <w:lang w:val="es-419"/>
              </w:rPr>
            </w:pPr>
            <w:r w:rsidRPr="00CB1AF4">
              <w:rPr>
                <w:i/>
                <w:lang w:val="es-419"/>
              </w:rPr>
              <w:t>Recomendación 1:</w:t>
            </w:r>
            <w:r w:rsidRPr="00CB1AF4">
              <w:rPr>
                <w:lang w:val="es-419"/>
              </w:rPr>
              <w:t xml:space="preserve">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rsidR="001A6F7F" w:rsidRPr="00CB1AF4" w:rsidRDefault="001A6F7F" w:rsidP="00FA6258">
            <w:pPr>
              <w:spacing w:before="120" w:after="120"/>
              <w:rPr>
                <w:lang w:val="es-419"/>
              </w:rPr>
            </w:pPr>
            <w:r w:rsidRPr="00CB1AF4">
              <w:rPr>
                <w:i/>
                <w:lang w:val="es-419"/>
              </w:rPr>
              <w:t>Recomendación 10:</w:t>
            </w:r>
            <w:r w:rsidRPr="00CB1AF4">
              <w:rPr>
                <w:lang w:val="es-419"/>
              </w:rPr>
              <w:t xml:space="preserve"> 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 Este tipo de asistencia técnica debe beneficiar también a las organizaciones regionales y subregionales de PI.</w:t>
            </w:r>
          </w:p>
          <w:p w:rsidR="001A6F7F" w:rsidRPr="00CB1AF4" w:rsidRDefault="001A6F7F" w:rsidP="00FA6258">
            <w:pPr>
              <w:spacing w:before="120" w:after="120"/>
              <w:rPr>
                <w:lang w:val="es-419"/>
              </w:rPr>
            </w:pPr>
            <w:r w:rsidRPr="00CB1AF4">
              <w:rPr>
                <w:i/>
                <w:lang w:val="es-419"/>
              </w:rPr>
              <w:t>Recomendación 12:</w:t>
            </w:r>
            <w:r w:rsidRPr="00CB1AF4">
              <w:rPr>
                <w:lang w:val="es-419"/>
              </w:rPr>
              <w:t xml:space="preserve"> Facilitar la incorporación de las cuestiones de desarrollo a las actividades y los debates de asistencia técnica y de otra índole que lleva a cabo la OMPI, con arreglo a su mandato.</w:t>
            </w:r>
          </w:p>
          <w:p w:rsidR="001A6F7F" w:rsidRPr="00CB1AF4" w:rsidRDefault="001A6F7F" w:rsidP="00FA6258">
            <w:pPr>
              <w:spacing w:before="120" w:after="120"/>
              <w:rPr>
                <w:iCs/>
                <w:lang w:val="es-419"/>
              </w:rPr>
            </w:pPr>
            <w:r w:rsidRPr="00CB1AF4">
              <w:rPr>
                <w:i/>
                <w:lang w:val="es-419"/>
              </w:rPr>
              <w:t>Recomendación 40</w:t>
            </w:r>
            <w:r w:rsidRPr="00CB1AF4">
              <w:rPr>
                <w:lang w:val="es-419"/>
              </w:rPr>
              <w:t>: 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p>
        </w:tc>
      </w:tr>
      <w:tr w:rsidR="001A6F7F" w:rsidRPr="00CB1AF4" w:rsidTr="000116EE">
        <w:tc>
          <w:tcPr>
            <w:tcW w:w="2410" w:type="dxa"/>
            <w:gridSpan w:val="2"/>
            <w:shd w:val="clear" w:color="auto" w:fill="auto"/>
          </w:tcPr>
          <w:p w:rsidR="001A6F7F" w:rsidRPr="00CB1AF4" w:rsidRDefault="001A6F7F" w:rsidP="00762321">
            <w:pPr>
              <w:spacing w:before="240" w:after="60"/>
              <w:outlineLvl w:val="2"/>
              <w:rPr>
                <w:bCs/>
                <w:szCs w:val="26"/>
                <w:u w:val="single"/>
                <w:lang w:val="es-419" w:eastAsia="en-US"/>
              </w:rPr>
            </w:pPr>
            <w:r w:rsidRPr="00CB1AF4">
              <w:rPr>
                <w:bCs/>
                <w:szCs w:val="26"/>
                <w:u w:val="single"/>
                <w:lang w:val="es-419" w:eastAsia="en-US"/>
              </w:rPr>
              <w:t>Presupuesto del proyecto</w:t>
            </w:r>
          </w:p>
          <w:p w:rsidR="001A6F7F" w:rsidRPr="00CB1AF4" w:rsidRDefault="001A6F7F" w:rsidP="00762321">
            <w:pPr>
              <w:rPr>
                <w:rFonts w:eastAsia="Times New Roman"/>
                <w:lang w:val="es-419" w:eastAsia="en-US"/>
              </w:rPr>
            </w:pPr>
          </w:p>
        </w:tc>
        <w:tc>
          <w:tcPr>
            <w:tcW w:w="6946" w:type="dxa"/>
            <w:gridSpan w:val="2"/>
            <w:shd w:val="clear" w:color="auto" w:fill="auto"/>
          </w:tcPr>
          <w:p w:rsidR="001A6F7F" w:rsidRPr="00CB1AF4" w:rsidRDefault="001A6F7F" w:rsidP="00762321">
            <w:pPr>
              <w:rPr>
                <w:rFonts w:eastAsia="Times New Roman"/>
                <w:lang w:val="es-419" w:eastAsia="en-US"/>
              </w:rPr>
            </w:pPr>
          </w:p>
          <w:p w:rsidR="001A6F7F" w:rsidRPr="00CB1AF4" w:rsidRDefault="001A6F7F" w:rsidP="00762321">
            <w:pPr>
              <w:rPr>
                <w:rFonts w:eastAsia="Times New Roman"/>
                <w:lang w:val="es-419" w:eastAsia="en-US"/>
              </w:rPr>
            </w:pPr>
            <w:r w:rsidRPr="00CB1AF4">
              <w:rPr>
                <w:rFonts w:eastAsia="Times New Roman"/>
                <w:lang w:val="es-419" w:eastAsia="en-US"/>
              </w:rPr>
              <w:t>Gastos no relativos al personal:</w:t>
            </w:r>
            <w:r w:rsidR="00D92485" w:rsidRPr="00CB1AF4">
              <w:rPr>
                <w:rFonts w:eastAsia="Times New Roman"/>
                <w:lang w:val="es-419" w:eastAsia="en-US"/>
              </w:rPr>
              <w:t xml:space="preserve"> </w:t>
            </w:r>
            <w:r w:rsidRPr="00CB1AF4">
              <w:rPr>
                <w:rFonts w:eastAsia="Times New Roman"/>
                <w:lang w:val="es-419" w:eastAsia="en-US"/>
              </w:rPr>
              <w:t>320.000 francos suizos</w:t>
            </w:r>
          </w:p>
          <w:p w:rsidR="001A6F7F" w:rsidRPr="00CB1AF4" w:rsidRDefault="001A6F7F" w:rsidP="00762321">
            <w:pPr>
              <w:rPr>
                <w:rFonts w:eastAsia="Times New Roman"/>
                <w:lang w:val="es-419" w:eastAsia="en-US"/>
              </w:rPr>
            </w:pPr>
          </w:p>
        </w:tc>
      </w:tr>
      <w:tr w:rsidR="009D386D" w:rsidRPr="00CB1AF4" w:rsidTr="000116EE">
        <w:tc>
          <w:tcPr>
            <w:tcW w:w="2410" w:type="dxa"/>
            <w:gridSpan w:val="2"/>
            <w:shd w:val="clear" w:color="auto" w:fill="auto"/>
          </w:tcPr>
          <w:p w:rsidR="009D386D" w:rsidRPr="00CB1AF4" w:rsidRDefault="008D01A1" w:rsidP="00762321">
            <w:pPr>
              <w:pStyle w:val="Heading3"/>
              <w:keepNext w:val="0"/>
              <w:rPr>
                <w:szCs w:val="22"/>
                <w:lang w:val="es-419"/>
              </w:rPr>
            </w:pPr>
            <w:r w:rsidRPr="00CB1AF4">
              <w:rPr>
                <w:szCs w:val="22"/>
                <w:lang w:val="es-419"/>
              </w:rPr>
              <w:t>Duración del proyecto</w:t>
            </w:r>
          </w:p>
          <w:p w:rsidR="009D386D" w:rsidRPr="00CB1AF4" w:rsidRDefault="009D386D" w:rsidP="00762321">
            <w:pPr>
              <w:rPr>
                <w:szCs w:val="22"/>
                <w:lang w:val="es-419"/>
              </w:rPr>
            </w:pPr>
          </w:p>
        </w:tc>
        <w:tc>
          <w:tcPr>
            <w:tcW w:w="6946" w:type="dxa"/>
            <w:gridSpan w:val="2"/>
            <w:shd w:val="clear" w:color="auto" w:fill="auto"/>
          </w:tcPr>
          <w:p w:rsidR="009D386D" w:rsidRPr="00CB1AF4" w:rsidRDefault="009D386D" w:rsidP="00762321">
            <w:pPr>
              <w:rPr>
                <w:szCs w:val="22"/>
                <w:lang w:val="es-419"/>
              </w:rPr>
            </w:pPr>
          </w:p>
          <w:p w:rsidR="009D386D" w:rsidRPr="00CB1AF4" w:rsidRDefault="009D386D" w:rsidP="00762321">
            <w:pPr>
              <w:rPr>
                <w:szCs w:val="22"/>
                <w:lang w:val="es-419"/>
              </w:rPr>
            </w:pPr>
            <w:r w:rsidRPr="00CB1AF4">
              <w:rPr>
                <w:szCs w:val="22"/>
                <w:lang w:val="es-419"/>
              </w:rPr>
              <w:t xml:space="preserve">40 </w:t>
            </w:r>
            <w:r w:rsidR="008D01A1" w:rsidRPr="00CB1AF4">
              <w:rPr>
                <w:szCs w:val="22"/>
                <w:lang w:val="es-419"/>
              </w:rPr>
              <w:t>meses</w:t>
            </w:r>
            <w:r w:rsidRPr="00CB1AF4">
              <w:rPr>
                <w:szCs w:val="22"/>
                <w:lang w:val="es-419"/>
              </w:rPr>
              <w:t xml:space="preserve">, </w:t>
            </w:r>
            <w:r w:rsidR="008D01A1" w:rsidRPr="00CB1AF4">
              <w:rPr>
                <w:szCs w:val="22"/>
                <w:lang w:val="es-419"/>
              </w:rPr>
              <w:t>desde el 1 de enero de 2016 al 30 de abril de 2019</w:t>
            </w:r>
          </w:p>
        </w:tc>
      </w:tr>
      <w:tr w:rsidR="009D386D" w:rsidRPr="00CB1AF4" w:rsidTr="000116EE">
        <w:trPr>
          <w:gridBefore w:val="1"/>
          <w:wBefore w:w="147" w:type="dxa"/>
        </w:trPr>
        <w:tc>
          <w:tcPr>
            <w:tcW w:w="2263" w:type="dxa"/>
            <w:shd w:val="clear" w:color="auto" w:fill="auto"/>
          </w:tcPr>
          <w:p w:rsidR="009D386D" w:rsidRPr="00CB1AF4" w:rsidRDefault="008D01A1" w:rsidP="00FA6258">
            <w:pPr>
              <w:pStyle w:val="Heading3"/>
              <w:rPr>
                <w:szCs w:val="22"/>
                <w:lang w:val="es-419"/>
              </w:rPr>
            </w:pPr>
            <w:r w:rsidRPr="00CB1AF4">
              <w:rPr>
                <w:lang w:val="es-419" w:eastAsia="en-US"/>
              </w:rPr>
              <w:lastRenderedPageBreak/>
              <w:t>Principales sectores de la OMPI interesados y vínculos con los programas de la Organización</w:t>
            </w:r>
          </w:p>
        </w:tc>
        <w:tc>
          <w:tcPr>
            <w:tcW w:w="6946" w:type="dxa"/>
            <w:gridSpan w:val="2"/>
            <w:shd w:val="clear" w:color="auto" w:fill="auto"/>
          </w:tcPr>
          <w:p w:rsidR="009D386D" w:rsidRPr="00CB1AF4" w:rsidRDefault="009D386D" w:rsidP="00FA6258">
            <w:pPr>
              <w:rPr>
                <w:szCs w:val="22"/>
                <w:lang w:val="es-419"/>
              </w:rPr>
            </w:pPr>
          </w:p>
          <w:p w:rsidR="009D386D" w:rsidRPr="00CB1AF4" w:rsidRDefault="008D01A1" w:rsidP="0065470D">
            <w:pPr>
              <w:rPr>
                <w:szCs w:val="22"/>
                <w:lang w:val="es-419"/>
              </w:rPr>
            </w:pPr>
            <w:r w:rsidRPr="00CB1AF4">
              <w:rPr>
                <w:szCs w:val="22"/>
                <w:lang w:val="es-419"/>
              </w:rPr>
              <w:t>Ejecutado por el Sector de Desarrollo (Prog</w:t>
            </w:r>
            <w:r w:rsidR="0065470D" w:rsidRPr="00CB1AF4">
              <w:rPr>
                <w:szCs w:val="22"/>
                <w:lang w:val="es-419"/>
              </w:rPr>
              <w:t>rama 9) en el mar</w:t>
            </w:r>
            <w:r w:rsidR="00F11D9D" w:rsidRPr="00CB1AF4">
              <w:rPr>
                <w:szCs w:val="22"/>
                <w:lang w:val="es-419"/>
              </w:rPr>
              <w:t>co de la meta estratégica III (F</w:t>
            </w:r>
            <w:r w:rsidR="0065470D" w:rsidRPr="00CB1AF4">
              <w:rPr>
                <w:szCs w:val="22"/>
                <w:lang w:val="es-419"/>
              </w:rPr>
              <w:t>acilitar el uso de la PI en aras de</w:t>
            </w:r>
            <w:r w:rsidRPr="00CB1AF4">
              <w:rPr>
                <w:szCs w:val="22"/>
                <w:lang w:val="es-419"/>
              </w:rPr>
              <w:t>l desarrollo</w:t>
            </w:r>
            <w:r w:rsidR="0065470D" w:rsidRPr="00CB1AF4">
              <w:rPr>
                <w:szCs w:val="22"/>
                <w:lang w:val="es-419"/>
              </w:rPr>
              <w:t>)</w:t>
            </w:r>
            <w:r w:rsidRPr="00CB1AF4">
              <w:rPr>
                <w:szCs w:val="22"/>
                <w:lang w:val="es-419"/>
              </w:rPr>
              <w:t>, el proyecto también está vinculado al Programa 30 (</w:t>
            </w:r>
            <w:r w:rsidR="0065470D" w:rsidRPr="00CB1AF4">
              <w:rPr>
                <w:szCs w:val="22"/>
                <w:lang w:val="es-419"/>
              </w:rPr>
              <w:t>Apoyo a las pequeñas y medianas empresas (pymes) y a la capacidad empresarial) por la repercusión</w:t>
            </w:r>
            <w:r w:rsidR="005E600D" w:rsidRPr="00CB1AF4">
              <w:rPr>
                <w:szCs w:val="22"/>
                <w:lang w:val="es-419"/>
              </w:rPr>
              <w:t xml:space="preserve"> de las</w:t>
            </w:r>
            <w:r w:rsidRPr="00CB1AF4">
              <w:rPr>
                <w:szCs w:val="22"/>
                <w:lang w:val="es-419"/>
              </w:rPr>
              <w:t xml:space="preserve"> conclusi</w:t>
            </w:r>
            <w:r w:rsidR="0065470D" w:rsidRPr="00CB1AF4">
              <w:rPr>
                <w:szCs w:val="22"/>
                <w:lang w:val="es-419"/>
              </w:rPr>
              <w:t>ones y recomendaciones relativas</w:t>
            </w:r>
            <w:r w:rsidRPr="00CB1AF4">
              <w:rPr>
                <w:szCs w:val="22"/>
                <w:lang w:val="es-419"/>
              </w:rPr>
              <w:t xml:space="preserve"> a la indu</w:t>
            </w:r>
            <w:r w:rsidR="005E600D" w:rsidRPr="00CB1AF4">
              <w:rPr>
                <w:szCs w:val="22"/>
                <w:lang w:val="es-419"/>
              </w:rPr>
              <w:t>stria turística, entre cuyos actores figuran</w:t>
            </w:r>
            <w:r w:rsidR="0065470D" w:rsidRPr="00CB1AF4">
              <w:rPr>
                <w:szCs w:val="22"/>
                <w:lang w:val="es-419"/>
              </w:rPr>
              <w:t xml:space="preserve"> las p</w:t>
            </w:r>
            <w:r w:rsidRPr="00CB1AF4">
              <w:rPr>
                <w:szCs w:val="22"/>
                <w:lang w:val="es-419"/>
              </w:rPr>
              <w:t>ymes que operan en el sector turístico; al Programa 3 y</w:t>
            </w:r>
            <w:r w:rsidR="0065470D" w:rsidRPr="00CB1AF4">
              <w:rPr>
                <w:szCs w:val="22"/>
                <w:lang w:val="es-419"/>
              </w:rPr>
              <w:t xml:space="preserve"> al Programa 4 (</w:t>
            </w:r>
            <w:r w:rsidRPr="00CB1AF4">
              <w:rPr>
                <w:szCs w:val="22"/>
                <w:lang w:val="es-419"/>
              </w:rPr>
              <w:t>Dere</w:t>
            </w:r>
            <w:r w:rsidR="0065470D" w:rsidRPr="00CB1AF4">
              <w:rPr>
                <w:szCs w:val="22"/>
                <w:lang w:val="es-419"/>
              </w:rPr>
              <w:t>cho de autor y derechos conexos;</w:t>
            </w:r>
            <w:r w:rsidRPr="00CB1AF4">
              <w:rPr>
                <w:szCs w:val="22"/>
                <w:lang w:val="es-419"/>
              </w:rPr>
              <w:t xml:space="preserve"> y Conocimientos tradicionales, expresiones culturales tradicionales y recursos genéticos</w:t>
            </w:r>
            <w:r w:rsidR="0065470D" w:rsidRPr="00CB1AF4">
              <w:rPr>
                <w:szCs w:val="22"/>
                <w:lang w:val="es-419"/>
              </w:rPr>
              <w:t>, respectivamente</w:t>
            </w:r>
            <w:r w:rsidR="005E600D" w:rsidRPr="00CB1AF4">
              <w:rPr>
                <w:szCs w:val="22"/>
                <w:lang w:val="es-419"/>
              </w:rPr>
              <w:t>) por las</w:t>
            </w:r>
            <w:r w:rsidRPr="00CB1AF4">
              <w:rPr>
                <w:szCs w:val="22"/>
                <w:lang w:val="es-419"/>
              </w:rPr>
              <w:t xml:space="preserve"> conclusiones y recomendaciones relativas a los conocimientos</w:t>
            </w:r>
            <w:r w:rsidR="0065470D" w:rsidRPr="00CB1AF4">
              <w:rPr>
                <w:szCs w:val="22"/>
                <w:lang w:val="es-419"/>
              </w:rPr>
              <w:t xml:space="preserve">, </w:t>
            </w:r>
            <w:r w:rsidRPr="00CB1AF4">
              <w:rPr>
                <w:szCs w:val="22"/>
                <w:lang w:val="es-419"/>
              </w:rPr>
              <w:t>la</w:t>
            </w:r>
            <w:r w:rsidR="0065470D" w:rsidRPr="00CB1AF4">
              <w:rPr>
                <w:szCs w:val="22"/>
                <w:lang w:val="es-419"/>
              </w:rPr>
              <w:t xml:space="preserve">s tradiciones y </w:t>
            </w:r>
            <w:r w:rsidRPr="00CB1AF4">
              <w:rPr>
                <w:szCs w:val="22"/>
                <w:lang w:val="es-419"/>
              </w:rPr>
              <w:t xml:space="preserve">la cultura a nivel nacional y </w:t>
            </w:r>
            <w:r w:rsidR="0065470D" w:rsidRPr="00CB1AF4">
              <w:rPr>
                <w:szCs w:val="22"/>
                <w:lang w:val="es-419"/>
              </w:rPr>
              <w:t>local; y al Programa 18 (La PI</w:t>
            </w:r>
            <w:r w:rsidRPr="00CB1AF4">
              <w:rPr>
                <w:szCs w:val="22"/>
                <w:lang w:val="es-419"/>
              </w:rPr>
              <w:t xml:space="preserve"> </w:t>
            </w:r>
            <w:r w:rsidR="0065470D" w:rsidRPr="00CB1AF4">
              <w:rPr>
                <w:szCs w:val="22"/>
                <w:lang w:val="es-419"/>
              </w:rPr>
              <w:t>y los desafíos mundiales), por los aspectos de la PI</w:t>
            </w:r>
            <w:r w:rsidR="005E600D" w:rsidRPr="00CB1AF4">
              <w:rPr>
                <w:szCs w:val="22"/>
                <w:lang w:val="es-419"/>
              </w:rPr>
              <w:t xml:space="preserve"> vinculados a</w:t>
            </w:r>
            <w:r w:rsidRPr="00CB1AF4">
              <w:rPr>
                <w:szCs w:val="22"/>
                <w:lang w:val="es-419"/>
              </w:rPr>
              <w:t xml:space="preserve"> la innovación y la rela</w:t>
            </w:r>
            <w:r w:rsidR="005E600D" w:rsidRPr="00CB1AF4">
              <w:rPr>
                <w:szCs w:val="22"/>
                <w:lang w:val="es-419"/>
              </w:rPr>
              <w:t>ción entre el turismo</w:t>
            </w:r>
            <w:r w:rsidRPr="00CB1AF4">
              <w:rPr>
                <w:szCs w:val="22"/>
                <w:lang w:val="es-419"/>
              </w:rPr>
              <w:t xml:space="preserve"> y el desarrollo sostenible</w:t>
            </w:r>
            <w:r w:rsidR="005E600D" w:rsidRPr="00CB1AF4">
              <w:rPr>
                <w:szCs w:val="22"/>
                <w:lang w:val="es-419"/>
              </w:rPr>
              <w:t>s</w:t>
            </w:r>
            <w:r w:rsidRPr="00CB1AF4">
              <w:rPr>
                <w:szCs w:val="22"/>
                <w:lang w:val="es-419"/>
              </w:rPr>
              <w:t>.</w:t>
            </w:r>
          </w:p>
          <w:p w:rsidR="0065470D" w:rsidRPr="00CB1AF4" w:rsidRDefault="0065470D" w:rsidP="0065470D">
            <w:pPr>
              <w:rPr>
                <w:szCs w:val="22"/>
                <w:lang w:val="es-419"/>
              </w:rPr>
            </w:pPr>
          </w:p>
        </w:tc>
      </w:tr>
      <w:tr w:rsidR="009D386D" w:rsidRPr="00CB1AF4" w:rsidTr="000116EE">
        <w:trPr>
          <w:gridBefore w:val="1"/>
          <w:wBefore w:w="147" w:type="dxa"/>
          <w:trHeight w:val="2664"/>
        </w:trPr>
        <w:tc>
          <w:tcPr>
            <w:tcW w:w="2405" w:type="dxa"/>
            <w:gridSpan w:val="2"/>
            <w:shd w:val="clear" w:color="auto" w:fill="auto"/>
          </w:tcPr>
          <w:p w:rsidR="009D386D" w:rsidRPr="00CB1AF4" w:rsidRDefault="00081532" w:rsidP="000116EE">
            <w:pPr>
              <w:pStyle w:val="Heading3"/>
              <w:keepNext w:val="0"/>
              <w:rPr>
                <w:szCs w:val="22"/>
                <w:lang w:val="es-419"/>
              </w:rPr>
            </w:pPr>
            <w:r w:rsidRPr="00CB1AF4">
              <w:rPr>
                <w:szCs w:val="22"/>
                <w:lang w:val="es-419"/>
              </w:rPr>
              <w:t>Breve descripción del proyecto</w:t>
            </w:r>
          </w:p>
        </w:tc>
        <w:tc>
          <w:tcPr>
            <w:tcW w:w="6804" w:type="dxa"/>
            <w:shd w:val="clear" w:color="auto" w:fill="auto"/>
          </w:tcPr>
          <w:p w:rsidR="009D386D" w:rsidRPr="00CB1AF4" w:rsidRDefault="009D386D" w:rsidP="00FA6258">
            <w:pPr>
              <w:rPr>
                <w:szCs w:val="22"/>
                <w:lang w:val="es-419"/>
              </w:rPr>
            </w:pPr>
          </w:p>
          <w:p w:rsidR="00081532" w:rsidRPr="00CB1AF4" w:rsidRDefault="00081532" w:rsidP="00081532">
            <w:pPr>
              <w:rPr>
                <w:szCs w:val="22"/>
                <w:lang w:val="es-419"/>
              </w:rPr>
            </w:pPr>
            <w:r w:rsidRPr="00CB1AF4">
              <w:rPr>
                <w:szCs w:val="22"/>
                <w:lang w:val="es-419"/>
              </w:rPr>
              <w:t>El proyecto, que se</w:t>
            </w:r>
            <w:r w:rsidR="00CF2706" w:rsidRPr="00CB1AF4">
              <w:rPr>
                <w:szCs w:val="22"/>
                <w:lang w:val="es-419"/>
              </w:rPr>
              <w:t xml:space="preserve"> ejecutó </w:t>
            </w:r>
            <w:r w:rsidRPr="00CB1AF4">
              <w:rPr>
                <w:szCs w:val="22"/>
                <w:lang w:val="es-419"/>
              </w:rPr>
              <w:t>en cuatro países</w:t>
            </w:r>
            <w:r w:rsidR="00CF2706" w:rsidRPr="00CB1AF4">
              <w:rPr>
                <w:szCs w:val="22"/>
                <w:lang w:val="es-419"/>
              </w:rPr>
              <w:t xml:space="preserve"> piloto</w:t>
            </w:r>
            <w:r w:rsidRPr="00CB1AF4">
              <w:rPr>
                <w:szCs w:val="22"/>
                <w:lang w:val="es-419"/>
              </w:rPr>
              <w:t xml:space="preserve"> (el Ecuador, Egipto, Namibia y Sri Lanka), tenía por objeto fomentar la capacidad de las principales partes interesadas y crear conciencia de los vínculos entre PI, turismo y desarrollo, en el marco de las políticas de crecimiento y desarrollo.  </w:t>
            </w:r>
          </w:p>
          <w:p w:rsidR="00081532" w:rsidRPr="00CB1AF4" w:rsidRDefault="00081532" w:rsidP="00081532">
            <w:pPr>
              <w:rPr>
                <w:szCs w:val="22"/>
                <w:lang w:val="es-419"/>
              </w:rPr>
            </w:pPr>
          </w:p>
          <w:p w:rsidR="00081532" w:rsidRPr="00CB1AF4" w:rsidRDefault="00081532" w:rsidP="00081532">
            <w:pPr>
              <w:rPr>
                <w:szCs w:val="22"/>
                <w:lang w:val="es-419"/>
              </w:rPr>
            </w:pPr>
            <w:r w:rsidRPr="00CB1AF4">
              <w:rPr>
                <w:szCs w:val="22"/>
                <w:lang w:val="es-419"/>
              </w:rPr>
              <w:t xml:space="preserve">¿Por qué centrarse en la PI y el turismo? </w:t>
            </w:r>
          </w:p>
          <w:p w:rsidR="00081532" w:rsidRPr="00CB1AF4" w:rsidRDefault="00081532" w:rsidP="00081532">
            <w:pPr>
              <w:rPr>
                <w:szCs w:val="22"/>
                <w:lang w:val="es-419"/>
              </w:rPr>
            </w:pPr>
          </w:p>
          <w:p w:rsidR="00081532" w:rsidRPr="00CB1AF4" w:rsidRDefault="00081532" w:rsidP="00081532">
            <w:pPr>
              <w:rPr>
                <w:szCs w:val="22"/>
                <w:lang w:val="es-419"/>
              </w:rPr>
            </w:pPr>
            <w:r w:rsidRPr="00CB1AF4">
              <w:rPr>
                <w:szCs w:val="22"/>
                <w:lang w:val="es-419"/>
              </w:rPr>
              <w:t>El proyecto surgió de una propuesta de la República Árabe de Egipto, aprobada por el Comité de Desarrollo y Propiedad Intelectual en su decimoquinta sesión, para exami</w:t>
            </w:r>
            <w:r w:rsidR="00865B25" w:rsidRPr="00CB1AF4">
              <w:rPr>
                <w:szCs w:val="22"/>
                <w:lang w:val="es-419"/>
              </w:rPr>
              <w:t>nar el papel del sistema de PI</w:t>
            </w:r>
            <w:r w:rsidRPr="00CB1AF4">
              <w:rPr>
                <w:szCs w:val="22"/>
                <w:lang w:val="es-419"/>
              </w:rPr>
              <w:t xml:space="preserve"> en la promoción de la actividad económica relacionada con el turismo, incluidas las ac</w:t>
            </w:r>
            <w:r w:rsidR="00865B25" w:rsidRPr="00CB1AF4">
              <w:rPr>
                <w:szCs w:val="22"/>
                <w:lang w:val="es-419"/>
              </w:rPr>
              <w:t>tividades ligadas a</w:t>
            </w:r>
            <w:r w:rsidRPr="00CB1AF4">
              <w:rPr>
                <w:szCs w:val="22"/>
                <w:lang w:val="es-419"/>
              </w:rPr>
              <w:t xml:space="preserve"> la promoción de los conocimientos, las tradiciones y la cultura nacionales y/o locales.</w:t>
            </w:r>
          </w:p>
          <w:p w:rsidR="00081532" w:rsidRPr="00CB1AF4" w:rsidRDefault="00081532" w:rsidP="00081532">
            <w:pPr>
              <w:rPr>
                <w:szCs w:val="22"/>
                <w:lang w:val="es-419"/>
              </w:rPr>
            </w:pPr>
          </w:p>
          <w:p w:rsidR="00081532" w:rsidRPr="00CB1AF4" w:rsidRDefault="00CF2706" w:rsidP="00081532">
            <w:pPr>
              <w:rPr>
                <w:szCs w:val="22"/>
                <w:lang w:val="es-419"/>
              </w:rPr>
            </w:pPr>
            <w:r w:rsidRPr="00CB1AF4">
              <w:rPr>
                <w:szCs w:val="22"/>
                <w:lang w:val="es-419"/>
              </w:rPr>
              <w:t xml:space="preserve">El proyecto se desarrolló partiendo de una premisa clave: </w:t>
            </w:r>
            <w:r w:rsidR="00081532" w:rsidRPr="00CB1AF4">
              <w:rPr>
                <w:szCs w:val="22"/>
                <w:lang w:val="es-419"/>
              </w:rPr>
              <w:t>que el turismo</w:t>
            </w:r>
            <w:r w:rsidR="00865B25" w:rsidRPr="00CB1AF4">
              <w:rPr>
                <w:szCs w:val="22"/>
                <w:lang w:val="es-419"/>
              </w:rPr>
              <w:t>, uno de los principales elementos</w:t>
            </w:r>
            <w:r w:rsidR="00081532" w:rsidRPr="00CB1AF4">
              <w:rPr>
                <w:szCs w:val="22"/>
                <w:lang w:val="es-419"/>
              </w:rPr>
              <w:t xml:space="preserve"> del</w:t>
            </w:r>
            <w:r w:rsidRPr="00CB1AF4">
              <w:rPr>
                <w:szCs w:val="22"/>
                <w:lang w:val="es-419"/>
              </w:rPr>
              <w:t xml:space="preserve"> comercio internacional, constituye</w:t>
            </w:r>
            <w:r w:rsidR="00865B25" w:rsidRPr="00CB1AF4">
              <w:rPr>
                <w:szCs w:val="22"/>
                <w:lang w:val="es-419"/>
              </w:rPr>
              <w:t xml:space="preserve"> una de las mayores</w:t>
            </w:r>
            <w:r w:rsidR="00081532" w:rsidRPr="00CB1AF4">
              <w:rPr>
                <w:szCs w:val="22"/>
                <w:lang w:val="es-419"/>
              </w:rPr>
              <w:t xml:space="preserve"> fuentes de ingresos par</w:t>
            </w:r>
            <w:r w:rsidRPr="00CB1AF4">
              <w:rPr>
                <w:szCs w:val="22"/>
                <w:lang w:val="es-419"/>
              </w:rPr>
              <w:t>a numerosos</w:t>
            </w:r>
            <w:r w:rsidR="00865B25" w:rsidRPr="00CB1AF4">
              <w:rPr>
                <w:szCs w:val="22"/>
                <w:lang w:val="es-419"/>
              </w:rPr>
              <w:t xml:space="preserve"> países en desarrollo. </w:t>
            </w:r>
            <w:r w:rsidR="00081532" w:rsidRPr="00CB1AF4">
              <w:rPr>
                <w:szCs w:val="22"/>
                <w:lang w:val="es-419"/>
              </w:rPr>
              <w:t>La demanda turística se diferencia cada vez más por un mercado que propone productos</w:t>
            </w:r>
            <w:r w:rsidR="00865B25" w:rsidRPr="00CB1AF4">
              <w:rPr>
                <w:szCs w:val="22"/>
                <w:lang w:val="es-419"/>
              </w:rPr>
              <w:t xml:space="preserve"> y servicios de valor añadido. En este contexto, los actores</w:t>
            </w:r>
            <w:r w:rsidR="00081532" w:rsidRPr="00CB1AF4">
              <w:rPr>
                <w:szCs w:val="22"/>
                <w:lang w:val="es-419"/>
              </w:rPr>
              <w:t xml:space="preserve"> del sector turístico pueden desempeñar un papel clave en el suministro de productos y servicios</w:t>
            </w:r>
            <w:r w:rsidR="00865B25" w:rsidRPr="00CB1AF4">
              <w:rPr>
                <w:szCs w:val="22"/>
                <w:lang w:val="es-419"/>
              </w:rPr>
              <w:t xml:space="preserve"> de alta calidad a los turistas</w:t>
            </w:r>
            <w:r w:rsidR="00081532" w:rsidRPr="00CB1AF4">
              <w:rPr>
                <w:szCs w:val="22"/>
                <w:lang w:val="es-419"/>
              </w:rPr>
              <w:t xml:space="preserve"> respondiendo a sus intereses </w:t>
            </w:r>
            <w:r w:rsidR="00865B25" w:rsidRPr="00CB1AF4">
              <w:rPr>
                <w:szCs w:val="22"/>
                <w:lang w:val="es-419"/>
              </w:rPr>
              <w:t xml:space="preserve">y necesidades más específicos. </w:t>
            </w:r>
            <w:r w:rsidR="00081532" w:rsidRPr="00CB1AF4">
              <w:rPr>
                <w:szCs w:val="22"/>
                <w:lang w:val="es-419"/>
              </w:rPr>
              <w:t xml:space="preserve">Al hacerlo, tanto los consumidores como los proveedores de productos y servicios turísticos pueden beneficiarse del uso estratégico del </w:t>
            </w:r>
            <w:r w:rsidR="00865B25" w:rsidRPr="00CB1AF4">
              <w:rPr>
                <w:szCs w:val="22"/>
                <w:lang w:val="es-419"/>
              </w:rPr>
              <w:t>sistema de PI</w:t>
            </w:r>
            <w:r w:rsidR="00081532" w:rsidRPr="00CB1AF4">
              <w:rPr>
                <w:szCs w:val="22"/>
                <w:lang w:val="es-419"/>
              </w:rPr>
              <w:t>.</w:t>
            </w:r>
          </w:p>
          <w:p w:rsidR="00081532" w:rsidRPr="00CB1AF4" w:rsidRDefault="00081532" w:rsidP="00081532">
            <w:pPr>
              <w:rPr>
                <w:szCs w:val="22"/>
                <w:lang w:val="es-419"/>
              </w:rPr>
            </w:pPr>
          </w:p>
          <w:p w:rsidR="00081532" w:rsidRPr="00CB1AF4" w:rsidRDefault="00081532" w:rsidP="00081532">
            <w:pPr>
              <w:rPr>
                <w:szCs w:val="22"/>
                <w:lang w:val="es-419"/>
              </w:rPr>
            </w:pPr>
            <w:r w:rsidRPr="00CB1AF4">
              <w:rPr>
                <w:szCs w:val="22"/>
                <w:lang w:val="es-419"/>
              </w:rPr>
              <w:t>Sobre la base de investigaciones realiz</w:t>
            </w:r>
            <w:r w:rsidR="00865B25" w:rsidRPr="00CB1AF4">
              <w:rPr>
                <w:szCs w:val="22"/>
                <w:lang w:val="es-419"/>
              </w:rPr>
              <w:t xml:space="preserve">adas en los cuatro países piloto, el proyecto </w:t>
            </w:r>
            <w:r w:rsidRPr="00CB1AF4">
              <w:rPr>
                <w:szCs w:val="22"/>
                <w:lang w:val="es-419"/>
              </w:rPr>
              <w:t xml:space="preserve">examinó </w:t>
            </w:r>
            <w:r w:rsidR="00865B25" w:rsidRPr="00CB1AF4">
              <w:rPr>
                <w:szCs w:val="22"/>
                <w:lang w:val="es-419"/>
              </w:rPr>
              <w:t xml:space="preserve">pormenorizadamente </w:t>
            </w:r>
            <w:r w:rsidRPr="00CB1AF4">
              <w:rPr>
                <w:szCs w:val="22"/>
                <w:lang w:val="es-419"/>
              </w:rPr>
              <w:t>las experiencias prácticas y formuló u</w:t>
            </w:r>
            <w:r w:rsidR="00865B25" w:rsidRPr="00CB1AF4">
              <w:rPr>
                <w:szCs w:val="22"/>
                <w:lang w:val="es-419"/>
              </w:rPr>
              <w:t>na serie de recomendaciones destinadas a</w:t>
            </w:r>
            <w:r w:rsidRPr="00CB1AF4">
              <w:rPr>
                <w:szCs w:val="22"/>
                <w:lang w:val="es-419"/>
              </w:rPr>
              <w:t xml:space="preserve"> ay</w:t>
            </w:r>
            <w:r w:rsidR="00865B25" w:rsidRPr="00CB1AF4">
              <w:rPr>
                <w:szCs w:val="22"/>
                <w:lang w:val="es-419"/>
              </w:rPr>
              <w:t xml:space="preserve">udar a los actores del sector turístico </w:t>
            </w:r>
            <w:r w:rsidRPr="00CB1AF4">
              <w:rPr>
                <w:szCs w:val="22"/>
                <w:lang w:val="es-419"/>
              </w:rPr>
              <w:t>a adoptar estrategias y</w:t>
            </w:r>
            <w:r w:rsidR="00865B25" w:rsidRPr="00CB1AF4">
              <w:rPr>
                <w:szCs w:val="22"/>
                <w:lang w:val="es-419"/>
              </w:rPr>
              <w:t xml:space="preserve"> políticas adecuadas para contribuir a</w:t>
            </w:r>
            <w:r w:rsidRPr="00CB1AF4">
              <w:rPr>
                <w:szCs w:val="22"/>
                <w:lang w:val="es-419"/>
              </w:rPr>
              <w:t xml:space="preserve"> la competitividad de las empresas y el desarrollo local.</w:t>
            </w:r>
          </w:p>
          <w:p w:rsidR="00081532" w:rsidRPr="00CB1AF4" w:rsidRDefault="00081532" w:rsidP="00081532">
            <w:pPr>
              <w:rPr>
                <w:szCs w:val="22"/>
                <w:lang w:val="es-419"/>
              </w:rPr>
            </w:pPr>
          </w:p>
          <w:p w:rsidR="00081532" w:rsidRPr="00CB1AF4" w:rsidRDefault="00081532" w:rsidP="00081532">
            <w:pPr>
              <w:rPr>
                <w:szCs w:val="22"/>
                <w:lang w:val="es-419"/>
              </w:rPr>
            </w:pPr>
            <w:r w:rsidRPr="00CB1AF4">
              <w:rPr>
                <w:szCs w:val="22"/>
                <w:lang w:val="es-419"/>
              </w:rPr>
              <w:lastRenderedPageBreak/>
              <w:t>El proyecto también abo</w:t>
            </w:r>
            <w:r w:rsidR="00865B25" w:rsidRPr="00CB1AF4">
              <w:rPr>
                <w:szCs w:val="22"/>
                <w:lang w:val="es-419"/>
              </w:rPr>
              <w:t>rdó la necesidad de concientizar en el ámbito</w:t>
            </w:r>
            <w:r w:rsidRPr="00CB1AF4">
              <w:rPr>
                <w:szCs w:val="22"/>
                <w:lang w:val="es-419"/>
              </w:rPr>
              <w:t xml:space="preserve"> académico sob</w:t>
            </w:r>
            <w:r w:rsidR="00865B25" w:rsidRPr="00CB1AF4">
              <w:rPr>
                <w:szCs w:val="22"/>
                <w:lang w:val="es-419"/>
              </w:rPr>
              <w:t>re los vínculos existentes entre la PI</w:t>
            </w:r>
            <w:r w:rsidRPr="00CB1AF4">
              <w:rPr>
                <w:szCs w:val="22"/>
                <w:lang w:val="es-419"/>
              </w:rPr>
              <w:t xml:space="preserve">, el turismo y el desarrollo, y contribuyó a estimular el debate académico sobre </w:t>
            </w:r>
            <w:r w:rsidR="00865B25" w:rsidRPr="00CB1AF4">
              <w:rPr>
                <w:szCs w:val="22"/>
                <w:lang w:val="es-419"/>
              </w:rPr>
              <w:t>un nuevo tema de investigación.</w:t>
            </w:r>
            <w:r w:rsidRPr="00CB1AF4">
              <w:rPr>
                <w:szCs w:val="22"/>
                <w:lang w:val="es-419"/>
              </w:rPr>
              <w:t xml:space="preserve"> Esto dio lugar a la elaboración de nuevos planes de estudio y materiales didácticos</w:t>
            </w:r>
            <w:r w:rsidR="00865B25" w:rsidRPr="00CB1AF4">
              <w:rPr>
                <w:szCs w:val="22"/>
                <w:lang w:val="es-419"/>
              </w:rPr>
              <w:t>,</w:t>
            </w:r>
            <w:r w:rsidRPr="00CB1AF4">
              <w:rPr>
                <w:szCs w:val="22"/>
                <w:lang w:val="es-419"/>
              </w:rPr>
              <w:t xml:space="preserve"> que se integrarán en los programas académicos </w:t>
            </w:r>
            <w:r w:rsidR="00865B25" w:rsidRPr="00CB1AF4">
              <w:rPr>
                <w:szCs w:val="22"/>
                <w:lang w:val="es-419"/>
              </w:rPr>
              <w:t>de determinadas universidades en</w:t>
            </w:r>
            <w:r w:rsidRPr="00CB1AF4">
              <w:rPr>
                <w:szCs w:val="22"/>
                <w:lang w:val="es-419"/>
              </w:rPr>
              <w:t xml:space="preserve"> países piloto. </w:t>
            </w:r>
          </w:p>
          <w:p w:rsidR="00081532" w:rsidRPr="00CB1AF4" w:rsidRDefault="00081532" w:rsidP="00081532">
            <w:pPr>
              <w:rPr>
                <w:szCs w:val="22"/>
                <w:lang w:val="es-419"/>
              </w:rPr>
            </w:pPr>
          </w:p>
          <w:p w:rsidR="009D386D" w:rsidRPr="00CB1AF4" w:rsidRDefault="00081532" w:rsidP="00865B25">
            <w:pPr>
              <w:rPr>
                <w:i/>
                <w:szCs w:val="22"/>
                <w:lang w:val="es-419"/>
              </w:rPr>
            </w:pPr>
            <w:r w:rsidRPr="00CB1AF4">
              <w:rPr>
                <w:szCs w:val="22"/>
                <w:lang w:val="es-419"/>
              </w:rPr>
              <w:t>Por último, las experiencias y las mejores prácticas documentadas a lo largo del proyecto se consolidaron en una serie de estudios nacional</w:t>
            </w:r>
            <w:r w:rsidR="00865B25" w:rsidRPr="00CB1AF4">
              <w:rPr>
                <w:szCs w:val="22"/>
                <w:lang w:val="es-419"/>
              </w:rPr>
              <w:t>es y en una guía práctica, en los</w:t>
            </w:r>
            <w:r w:rsidRPr="00CB1AF4">
              <w:rPr>
                <w:szCs w:val="22"/>
                <w:lang w:val="es-419"/>
              </w:rPr>
              <w:t xml:space="preserve"> que se destacan varias </w:t>
            </w:r>
            <w:r w:rsidRPr="000116EE">
              <w:rPr>
                <w:iCs/>
                <w:szCs w:val="22"/>
                <w:lang w:val="es-419"/>
              </w:rPr>
              <w:t>opciones</w:t>
            </w:r>
            <w:r w:rsidR="00865B25" w:rsidRPr="00CB1AF4">
              <w:rPr>
                <w:szCs w:val="22"/>
                <w:lang w:val="es-419"/>
              </w:rPr>
              <w:t xml:space="preserve"> para poner el sistema de PI al servicio de la promoción</w:t>
            </w:r>
            <w:r w:rsidRPr="00CB1AF4">
              <w:rPr>
                <w:szCs w:val="22"/>
                <w:lang w:val="es-419"/>
              </w:rPr>
              <w:t xml:space="preserve"> </w:t>
            </w:r>
            <w:r w:rsidR="00865B25" w:rsidRPr="00CB1AF4">
              <w:rPr>
                <w:szCs w:val="22"/>
                <w:lang w:val="es-419"/>
              </w:rPr>
              <w:t>d</w:t>
            </w:r>
            <w:r w:rsidRPr="00CB1AF4">
              <w:rPr>
                <w:szCs w:val="22"/>
                <w:lang w:val="es-419"/>
              </w:rPr>
              <w:t>el turismo y el patrimonio cultural, al tiempo que se apoyan los objetivos de desarrollo en los planos local y nacional.</w:t>
            </w:r>
            <w:r w:rsidR="009D386D" w:rsidRPr="00CB1AF4">
              <w:rPr>
                <w:szCs w:val="22"/>
                <w:lang w:val="es-419"/>
              </w:rPr>
              <w:t xml:space="preserve"> </w:t>
            </w:r>
          </w:p>
        </w:tc>
      </w:tr>
    </w:tbl>
    <w:tbl>
      <w:tblPr>
        <w:tblpPr w:leftFromText="180" w:rightFromText="180" w:vertAnchor="text" w:tblpY="1"/>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889"/>
      </w:tblGrid>
      <w:tr w:rsidR="004011CD" w:rsidRPr="00CB1AF4" w:rsidTr="00FA6258">
        <w:trPr>
          <w:trHeight w:val="484"/>
        </w:trPr>
        <w:tc>
          <w:tcPr>
            <w:tcW w:w="2376" w:type="dxa"/>
            <w:shd w:val="clear" w:color="auto" w:fill="auto"/>
          </w:tcPr>
          <w:p w:rsidR="004011CD" w:rsidRPr="00CB1AF4" w:rsidRDefault="004011CD" w:rsidP="004011CD">
            <w:pPr>
              <w:pStyle w:val="Heading3"/>
              <w:rPr>
                <w:szCs w:val="22"/>
                <w:lang w:val="es-419"/>
              </w:rPr>
            </w:pPr>
            <w:r w:rsidRPr="00CB1AF4">
              <w:rPr>
                <w:szCs w:val="22"/>
                <w:lang w:val="es-419"/>
              </w:rPr>
              <w:lastRenderedPageBreak/>
              <w:br w:type="page"/>
              <w:t>Dirección del proyecto</w:t>
            </w:r>
          </w:p>
          <w:p w:rsidR="004011CD" w:rsidRPr="00CB1AF4" w:rsidRDefault="004011CD" w:rsidP="004011CD">
            <w:pPr>
              <w:rPr>
                <w:lang w:val="es-419"/>
              </w:rPr>
            </w:pPr>
          </w:p>
        </w:tc>
        <w:tc>
          <w:tcPr>
            <w:tcW w:w="6889" w:type="dxa"/>
            <w:vAlign w:val="center"/>
          </w:tcPr>
          <w:p w:rsidR="004011CD" w:rsidRPr="00CB1AF4" w:rsidRDefault="004011CD" w:rsidP="004011CD">
            <w:pPr>
              <w:rPr>
                <w:iCs/>
                <w:szCs w:val="22"/>
                <w:lang w:val="es-419"/>
              </w:rPr>
            </w:pPr>
            <w:r w:rsidRPr="00CB1AF4">
              <w:rPr>
                <w:iCs/>
                <w:szCs w:val="22"/>
                <w:lang w:val="es-419"/>
              </w:rPr>
              <w:t>Sra. Francesca Toso, asesora principal, Sector de Desarrollo</w:t>
            </w:r>
          </w:p>
        </w:tc>
      </w:tr>
      <w:tr w:rsidR="00F40DDB" w:rsidRPr="00CB1AF4" w:rsidTr="00FA6258">
        <w:trPr>
          <w:trHeight w:val="1165"/>
        </w:trPr>
        <w:tc>
          <w:tcPr>
            <w:tcW w:w="2376" w:type="dxa"/>
            <w:shd w:val="clear" w:color="auto" w:fill="auto"/>
          </w:tcPr>
          <w:p w:rsidR="00F40DDB" w:rsidRPr="00CB1AF4" w:rsidRDefault="00F40DDB" w:rsidP="00F40DDB">
            <w:pPr>
              <w:pStyle w:val="Heading3"/>
              <w:rPr>
                <w:szCs w:val="22"/>
                <w:lang w:val="es-419"/>
              </w:rPr>
            </w:pPr>
            <w:r w:rsidRPr="00CB1AF4">
              <w:rPr>
                <w:szCs w:val="22"/>
                <w:lang w:val="es-419"/>
              </w:rPr>
              <w:t>Vínculos con los resultados previstos en el presupuesto por programas</w:t>
            </w:r>
          </w:p>
          <w:p w:rsidR="00F40DDB" w:rsidRPr="00CB1AF4" w:rsidDel="00196374" w:rsidRDefault="00F40DDB" w:rsidP="00F40DDB">
            <w:pPr>
              <w:rPr>
                <w:lang w:val="es-419"/>
              </w:rPr>
            </w:pPr>
          </w:p>
        </w:tc>
        <w:tc>
          <w:tcPr>
            <w:tcW w:w="6889" w:type="dxa"/>
          </w:tcPr>
          <w:p w:rsidR="00F40DDB" w:rsidRPr="00CB1AF4" w:rsidRDefault="00F40DDB" w:rsidP="00F40DDB">
            <w:pPr>
              <w:rPr>
                <w:iCs/>
                <w:szCs w:val="22"/>
                <w:lang w:val="es-419"/>
              </w:rPr>
            </w:pPr>
          </w:p>
          <w:p w:rsidR="00F40DDB" w:rsidRPr="00CB1AF4" w:rsidRDefault="00F40DDB" w:rsidP="00F40DDB">
            <w:pPr>
              <w:rPr>
                <w:iCs/>
                <w:szCs w:val="22"/>
                <w:lang w:val="es-419"/>
              </w:rPr>
            </w:pPr>
            <w:r w:rsidRPr="00CB1AF4">
              <w:rPr>
                <w:i/>
                <w:szCs w:val="22"/>
                <w:lang w:val="es-419"/>
              </w:rPr>
              <w:t>Resultado previsto III.1</w:t>
            </w:r>
            <w:r w:rsidRPr="00CB1AF4">
              <w:rPr>
                <w:iCs/>
                <w:szCs w:val="22"/>
                <w:lang w:val="es-419"/>
              </w:rPr>
              <w:t>.  Estrategias y planes nacionales de innovación y de PI que estén en sintonía con los objetivos nacionales de desarrollo.</w:t>
            </w:r>
          </w:p>
          <w:p w:rsidR="00F40DDB" w:rsidRPr="00CB1AF4" w:rsidRDefault="00F40DDB" w:rsidP="00F40DDB">
            <w:pPr>
              <w:rPr>
                <w:iCs/>
                <w:szCs w:val="22"/>
                <w:lang w:val="es-419"/>
              </w:rPr>
            </w:pPr>
          </w:p>
          <w:p w:rsidR="00F40DDB" w:rsidRPr="00CB1AF4" w:rsidRDefault="00F40DDB" w:rsidP="00F40DDB">
            <w:pPr>
              <w:rPr>
                <w:iCs/>
                <w:szCs w:val="22"/>
                <w:lang w:val="es-419"/>
              </w:rPr>
            </w:pPr>
            <w:r w:rsidRPr="00CB1AF4">
              <w:rPr>
                <w:i/>
                <w:iCs/>
                <w:szCs w:val="22"/>
                <w:lang w:val="es-419"/>
              </w:rPr>
              <w:t>Resultado previsto III.2</w:t>
            </w:r>
            <w:r w:rsidRPr="00CB1AF4">
              <w:rPr>
                <w:iCs/>
                <w:szCs w:val="22"/>
                <w:lang w:val="es-419"/>
              </w:rPr>
              <w:t>.  Mejora de las capacidades en el ámbito de los recursos humanos para hacer frente al amplio espectro de exigencias que supone la utilización eficaz de la PI en aras del desarrollo en los países en desarrollo, PMA y países con economías en transición.</w:t>
            </w:r>
          </w:p>
          <w:p w:rsidR="00F40DDB" w:rsidRPr="00CB1AF4" w:rsidDel="00196374" w:rsidRDefault="00F40DDB" w:rsidP="00F40DDB">
            <w:pPr>
              <w:rPr>
                <w:iCs/>
                <w:szCs w:val="22"/>
                <w:lang w:val="es-419"/>
              </w:rPr>
            </w:pPr>
          </w:p>
        </w:tc>
      </w:tr>
      <w:tr w:rsidR="009D386D" w:rsidRPr="00CB1AF4" w:rsidTr="00FA6258">
        <w:trPr>
          <w:trHeight w:val="1735"/>
        </w:trPr>
        <w:tc>
          <w:tcPr>
            <w:tcW w:w="2376" w:type="dxa"/>
            <w:shd w:val="clear" w:color="auto" w:fill="auto"/>
          </w:tcPr>
          <w:p w:rsidR="009D386D" w:rsidRPr="00CB1AF4" w:rsidRDefault="009D386D" w:rsidP="00FA6258">
            <w:pPr>
              <w:rPr>
                <w:bCs/>
                <w:szCs w:val="22"/>
                <w:u w:val="single"/>
                <w:lang w:val="es-419"/>
              </w:rPr>
            </w:pPr>
          </w:p>
          <w:p w:rsidR="009D386D" w:rsidRPr="00CB1AF4" w:rsidRDefault="00F40DDB" w:rsidP="00F40DDB">
            <w:pPr>
              <w:rPr>
                <w:szCs w:val="22"/>
                <w:lang w:val="es-419"/>
              </w:rPr>
            </w:pPr>
            <w:r w:rsidRPr="00CB1AF4">
              <w:rPr>
                <w:bCs/>
                <w:szCs w:val="22"/>
                <w:u w:val="single"/>
                <w:lang w:val="es-419"/>
              </w:rPr>
              <w:t>Resumen de la ejecución del proyecto</w:t>
            </w:r>
            <w:r w:rsidR="009D386D" w:rsidRPr="00CB1AF4">
              <w:rPr>
                <w:bCs/>
                <w:szCs w:val="22"/>
                <w:u w:val="single"/>
                <w:lang w:val="es-419"/>
              </w:rPr>
              <w:t xml:space="preserve"> </w:t>
            </w:r>
          </w:p>
        </w:tc>
        <w:tc>
          <w:tcPr>
            <w:tcW w:w="6889" w:type="dxa"/>
          </w:tcPr>
          <w:p w:rsidR="009D386D" w:rsidRPr="00CB1AF4" w:rsidRDefault="009D386D" w:rsidP="00FA6258">
            <w:pPr>
              <w:rPr>
                <w:szCs w:val="22"/>
                <w:lang w:val="es-419"/>
              </w:rPr>
            </w:pPr>
          </w:p>
          <w:p w:rsidR="00F40DDB" w:rsidRPr="00CB1AF4" w:rsidRDefault="00F40DDB" w:rsidP="00F40DDB">
            <w:pPr>
              <w:rPr>
                <w:szCs w:val="22"/>
                <w:lang w:val="es-419"/>
              </w:rPr>
            </w:pPr>
            <w:r w:rsidRPr="00CB1AF4">
              <w:rPr>
                <w:szCs w:val="22"/>
                <w:lang w:val="es-419"/>
              </w:rPr>
              <w:t xml:space="preserve">Una breve extensión del proyecto hasta el 30 de abril de 2019, lo que supuso una duración total de 40 meses, permitió finalizar una serie de actividades pendientes desde el último informe </w:t>
            </w:r>
            <w:r w:rsidR="00F11D9D" w:rsidRPr="00CB1AF4">
              <w:rPr>
                <w:szCs w:val="22"/>
                <w:lang w:val="es-419"/>
              </w:rPr>
              <w:t xml:space="preserve">sobre la marcha de la labor </w:t>
            </w:r>
            <w:r w:rsidRPr="00CB1AF4">
              <w:rPr>
                <w:szCs w:val="22"/>
                <w:lang w:val="es-419"/>
              </w:rPr>
              <w:t>(noviembre de 2018) y alcanzar los resultados y objetivos que se habían consignado en el documento original del proyecto.</w:t>
            </w:r>
          </w:p>
          <w:p w:rsidR="00F40DDB" w:rsidRPr="00CB1AF4" w:rsidRDefault="00F40DDB" w:rsidP="00F40DDB">
            <w:pPr>
              <w:rPr>
                <w:szCs w:val="22"/>
                <w:lang w:val="es-419"/>
              </w:rPr>
            </w:pPr>
          </w:p>
          <w:p w:rsidR="00F40DDB" w:rsidRPr="00CB1AF4" w:rsidRDefault="00F40DDB" w:rsidP="00F40DDB">
            <w:pPr>
              <w:rPr>
                <w:szCs w:val="22"/>
                <w:lang w:val="es-419"/>
              </w:rPr>
            </w:pPr>
            <w:r w:rsidRPr="00CB1AF4">
              <w:rPr>
                <w:szCs w:val="22"/>
                <w:lang w:val="es-419"/>
              </w:rPr>
              <w:t>En la ejecución del proyecto, los cuatro países piloto se beneficiaron del mismo enfoque metodológico, que incluyó: a) la creación de comités directivos para supervisar la ejecución en el plano nacional; b) la elaboración de planes nacionales; c) la participación en actividades sectoriales de creación de capacidad; y d) la elaboración y adopción de materiales didácticos sobre PI y turismo.</w:t>
            </w:r>
          </w:p>
          <w:p w:rsidR="00F40DDB" w:rsidRPr="00CB1AF4" w:rsidRDefault="00F40DDB" w:rsidP="00F40DDB">
            <w:pPr>
              <w:rPr>
                <w:szCs w:val="22"/>
                <w:lang w:val="es-419"/>
              </w:rPr>
            </w:pPr>
          </w:p>
          <w:p w:rsidR="00F40DDB" w:rsidRPr="00CB1AF4" w:rsidRDefault="00F40DDB" w:rsidP="00F40DDB">
            <w:pPr>
              <w:rPr>
                <w:szCs w:val="22"/>
                <w:lang w:val="es-419"/>
              </w:rPr>
            </w:pPr>
            <w:r w:rsidRPr="00CB1AF4">
              <w:rPr>
                <w:szCs w:val="22"/>
                <w:lang w:val="es-419"/>
              </w:rPr>
              <w:t>El proyecto se ejecutó principalmente a nivel nacional, en colaboración con los organismos nacionales designados</w:t>
            </w:r>
            <w:r w:rsidR="00AE0B1D" w:rsidRPr="00CB1AF4">
              <w:rPr>
                <w:szCs w:val="22"/>
                <w:lang w:val="es-419"/>
              </w:rPr>
              <w:t xml:space="preserve"> como coordinadores y los interesados nacionales. </w:t>
            </w:r>
            <w:r w:rsidRPr="00CB1AF4">
              <w:rPr>
                <w:szCs w:val="22"/>
                <w:lang w:val="es-419"/>
              </w:rPr>
              <w:t>Además, se llevaron a cabo varias actividades a nivel de la Secretaría, con el fin de crear una mayor conciencia sobre los nuevos ámbitos de la cooperación en materia de investigación y desarroll</w:t>
            </w:r>
            <w:r w:rsidR="00AE0B1D" w:rsidRPr="00CB1AF4">
              <w:rPr>
                <w:szCs w:val="22"/>
                <w:lang w:val="es-419"/>
              </w:rPr>
              <w:t>o, como</w:t>
            </w:r>
            <w:r w:rsidRPr="00CB1AF4">
              <w:rPr>
                <w:szCs w:val="22"/>
                <w:lang w:val="es-419"/>
              </w:rPr>
              <w:t xml:space="preserve"> la</w:t>
            </w:r>
            <w:r w:rsidR="00AE0B1D" w:rsidRPr="00CB1AF4">
              <w:rPr>
                <w:szCs w:val="22"/>
                <w:lang w:val="es-419"/>
              </w:rPr>
              <w:t xml:space="preserve"> utilización del sistema de PI</w:t>
            </w:r>
            <w:r w:rsidRPr="00CB1AF4">
              <w:rPr>
                <w:szCs w:val="22"/>
                <w:lang w:val="es-419"/>
              </w:rPr>
              <w:t xml:space="preserve"> en relación con el turismo y la promoción del patrimonio cultural.</w:t>
            </w:r>
          </w:p>
          <w:p w:rsidR="00F40DDB" w:rsidRPr="00CB1AF4" w:rsidRDefault="00F40DDB" w:rsidP="00F40DDB">
            <w:pPr>
              <w:rPr>
                <w:szCs w:val="22"/>
                <w:lang w:val="es-419"/>
              </w:rPr>
            </w:pPr>
          </w:p>
          <w:p w:rsidR="009D386D" w:rsidRPr="00CB1AF4" w:rsidRDefault="00AE0B1D" w:rsidP="009D386D">
            <w:pPr>
              <w:numPr>
                <w:ilvl w:val="0"/>
                <w:numId w:val="8"/>
              </w:numPr>
              <w:rPr>
                <w:szCs w:val="22"/>
                <w:lang w:val="es-419"/>
              </w:rPr>
            </w:pPr>
            <w:r w:rsidRPr="00CB1AF4">
              <w:rPr>
                <w:szCs w:val="22"/>
                <w:u w:val="single"/>
                <w:lang w:val="es-419"/>
              </w:rPr>
              <w:t>Ejecución del proyecto a nivel nacional</w:t>
            </w:r>
          </w:p>
          <w:p w:rsidR="009D386D" w:rsidRPr="00CB1AF4" w:rsidRDefault="009D386D" w:rsidP="00FA6258">
            <w:pPr>
              <w:rPr>
                <w:szCs w:val="22"/>
                <w:lang w:val="es-419"/>
              </w:rPr>
            </w:pPr>
          </w:p>
          <w:p w:rsidR="009D386D" w:rsidRPr="00CB1AF4" w:rsidRDefault="009D386D" w:rsidP="00FA6258">
            <w:pPr>
              <w:rPr>
                <w:szCs w:val="22"/>
                <w:lang w:val="es-419"/>
              </w:rPr>
            </w:pPr>
            <w:r w:rsidRPr="00CB1AF4">
              <w:rPr>
                <w:szCs w:val="22"/>
                <w:u w:val="single"/>
                <w:lang w:val="es-419"/>
              </w:rPr>
              <w:t>Ecuador</w:t>
            </w:r>
          </w:p>
          <w:p w:rsidR="009D386D" w:rsidRPr="00CB1AF4" w:rsidRDefault="009D386D" w:rsidP="00FA6258">
            <w:pPr>
              <w:rPr>
                <w:szCs w:val="22"/>
                <w:lang w:val="es-419"/>
              </w:rPr>
            </w:pPr>
          </w:p>
          <w:p w:rsidR="00AE0B1D" w:rsidRPr="00CB1AF4" w:rsidRDefault="00AE0B1D" w:rsidP="00AE0B1D">
            <w:pPr>
              <w:rPr>
                <w:szCs w:val="22"/>
                <w:lang w:val="es-419"/>
              </w:rPr>
            </w:pPr>
            <w:r w:rsidRPr="00CB1AF4">
              <w:rPr>
                <w:szCs w:val="22"/>
                <w:lang w:val="es-419"/>
              </w:rPr>
              <w:t xml:space="preserve">El Ecuador avanzó a pasos agigantados hacia el logro pleno de los objetivos del proyecto, con el apoyo de varias partes interesadas y asociados en la ejecución. Dicho progreso se debió, sin duda, al compromiso institucional del organismo coordinador, el Servicio Nacional de Derechos Intelectuales (SENADI), que desde 2017 ha asignado una serie de recursos (humanos y financieros) a la ejecución de proyectos a nivel nacional. </w:t>
            </w:r>
          </w:p>
          <w:p w:rsidR="00AE0B1D" w:rsidRPr="00CB1AF4" w:rsidRDefault="00AE0B1D" w:rsidP="00AE0B1D">
            <w:pPr>
              <w:rPr>
                <w:szCs w:val="22"/>
                <w:lang w:val="es-419"/>
              </w:rPr>
            </w:pPr>
          </w:p>
          <w:p w:rsidR="00AE0B1D" w:rsidRPr="00CB1AF4" w:rsidRDefault="00AE0B1D" w:rsidP="00AE0B1D">
            <w:pPr>
              <w:rPr>
                <w:szCs w:val="22"/>
                <w:lang w:val="es-419"/>
              </w:rPr>
            </w:pPr>
            <w:r w:rsidRPr="00CB1AF4">
              <w:rPr>
                <w:szCs w:val="22"/>
                <w:lang w:val="es-419"/>
              </w:rPr>
              <w:t xml:space="preserve">1. Uno de los primeros instrumentos de cooperación entre la OMPI y el Gobierno del Ecuador para la ejecución de proyectos fue el </w:t>
            </w:r>
            <w:r w:rsidR="00750477" w:rsidRPr="00CB1AF4">
              <w:rPr>
                <w:szCs w:val="22"/>
                <w:lang w:val="es-419"/>
              </w:rPr>
              <w:t>Acuerdo de C</w:t>
            </w:r>
            <w:r w:rsidRPr="00CB1AF4">
              <w:rPr>
                <w:szCs w:val="22"/>
                <w:lang w:val="es-419"/>
              </w:rPr>
              <w:t>oop</w:t>
            </w:r>
            <w:r w:rsidR="00750477" w:rsidRPr="00CB1AF4">
              <w:rPr>
                <w:szCs w:val="22"/>
                <w:lang w:val="es-419"/>
              </w:rPr>
              <w:t>eración firmado con la O</w:t>
            </w:r>
            <w:r w:rsidRPr="00CB1AF4">
              <w:rPr>
                <w:szCs w:val="22"/>
                <w:lang w:val="es-419"/>
              </w:rPr>
              <w:t>fici</w:t>
            </w:r>
            <w:r w:rsidR="00750477" w:rsidRPr="00CB1AF4">
              <w:rPr>
                <w:szCs w:val="22"/>
                <w:lang w:val="es-419"/>
              </w:rPr>
              <w:t>na N</w:t>
            </w:r>
            <w:r w:rsidRPr="00CB1AF4">
              <w:rPr>
                <w:szCs w:val="22"/>
                <w:lang w:val="es-419"/>
              </w:rPr>
              <w:t>acional de Propiedad Intelectual en octubre de 2016. En el primer semestre de 2017 se llevó a cabo un estudio general sobre la posible utilización del sistema de PI para impulsar el crecimiento económico local y el desarrollo en determinados destinos t</w:t>
            </w:r>
            <w:r w:rsidR="00750477" w:rsidRPr="00CB1AF4">
              <w:rPr>
                <w:szCs w:val="22"/>
                <w:lang w:val="es-419"/>
              </w:rPr>
              <w:t>urísticos, entre ellos lugares donde se celebran festivales tradicionales y</w:t>
            </w:r>
            <w:r w:rsidRPr="00CB1AF4">
              <w:rPr>
                <w:szCs w:val="22"/>
                <w:lang w:val="es-419"/>
              </w:rPr>
              <w:t xml:space="preserve"> zonas naturales. En la provincia de Imbabura se llevó a cabo un estudio más pormenorizado, que se centró en la utilización de la PI para fomentar el turismo en una zona geográfica conocida como el Proyecto del Geoparque de Imbabura. </w:t>
            </w:r>
          </w:p>
          <w:p w:rsidR="00AE0B1D" w:rsidRPr="00CB1AF4" w:rsidRDefault="00AE0B1D" w:rsidP="00AE0B1D">
            <w:pPr>
              <w:rPr>
                <w:szCs w:val="22"/>
                <w:lang w:val="es-419"/>
              </w:rPr>
            </w:pPr>
          </w:p>
          <w:p w:rsidR="00AE0B1D" w:rsidRPr="00CB1AF4" w:rsidRDefault="00AE0B1D" w:rsidP="00AE0B1D">
            <w:pPr>
              <w:rPr>
                <w:szCs w:val="22"/>
                <w:lang w:val="es-419"/>
              </w:rPr>
            </w:pPr>
            <w:r w:rsidRPr="00CB1AF4">
              <w:rPr>
                <w:szCs w:val="22"/>
                <w:lang w:val="es-419"/>
              </w:rPr>
              <w:t>En este territorio, una de las provincias más atractivas del Ecuador, el SENADI organizó una serie de programas de capacitació</w:t>
            </w:r>
            <w:r w:rsidR="00FA6258" w:rsidRPr="00CB1AF4">
              <w:rPr>
                <w:szCs w:val="22"/>
                <w:lang w:val="es-419"/>
              </w:rPr>
              <w:t>n para las comunidades locales, en los que se destacaron</w:t>
            </w:r>
            <w:r w:rsidRPr="00CB1AF4">
              <w:rPr>
                <w:szCs w:val="22"/>
                <w:lang w:val="es-419"/>
              </w:rPr>
              <w:t xml:space="preserve"> los vínculos entre el</w:t>
            </w:r>
            <w:r w:rsidR="00FA6258" w:rsidRPr="00CB1AF4">
              <w:rPr>
                <w:szCs w:val="22"/>
                <w:lang w:val="es-419"/>
              </w:rPr>
              <w:t xml:space="preserve"> uso de la PI</w:t>
            </w:r>
            <w:r w:rsidRPr="00CB1AF4">
              <w:rPr>
                <w:szCs w:val="22"/>
                <w:lang w:val="es-419"/>
              </w:rPr>
              <w:t xml:space="preserve">, la actividad económica local (principalmente la artesanía) </w:t>
            </w:r>
            <w:r w:rsidR="00750477" w:rsidRPr="00CB1AF4">
              <w:rPr>
                <w:szCs w:val="22"/>
                <w:lang w:val="es-419"/>
              </w:rPr>
              <w:t xml:space="preserve">y el desarrollo local, </w:t>
            </w:r>
            <w:r w:rsidR="00FA6258" w:rsidRPr="00CB1AF4">
              <w:rPr>
                <w:szCs w:val="22"/>
                <w:lang w:val="es-419"/>
              </w:rPr>
              <w:t>y se hizo</w:t>
            </w:r>
            <w:r w:rsidRPr="00CB1AF4">
              <w:rPr>
                <w:szCs w:val="22"/>
                <w:lang w:val="es-419"/>
              </w:rPr>
              <w:t xml:space="preserve"> hincapié también en el respeto de la identidad y las tradiciones culturales.</w:t>
            </w:r>
          </w:p>
          <w:p w:rsidR="00AE0B1D" w:rsidRPr="00CB1AF4" w:rsidRDefault="00AE0B1D" w:rsidP="00AE0B1D">
            <w:pPr>
              <w:rPr>
                <w:szCs w:val="22"/>
                <w:lang w:val="es-419"/>
              </w:rPr>
            </w:pPr>
          </w:p>
          <w:p w:rsidR="00AE0B1D" w:rsidRPr="00CB1AF4" w:rsidRDefault="00AE0B1D" w:rsidP="00AE0B1D">
            <w:pPr>
              <w:rPr>
                <w:szCs w:val="22"/>
                <w:lang w:val="es-419"/>
              </w:rPr>
            </w:pPr>
            <w:r w:rsidRPr="00CB1AF4">
              <w:rPr>
                <w:szCs w:val="22"/>
                <w:lang w:val="es-419"/>
              </w:rPr>
              <w:t xml:space="preserve">La intensa actividad de capacitación llevada </w:t>
            </w:r>
            <w:r w:rsidR="00FA6258" w:rsidRPr="00CB1AF4">
              <w:rPr>
                <w:szCs w:val="22"/>
                <w:lang w:val="es-419"/>
              </w:rPr>
              <w:t>a cabo en la provincia y su Geop</w:t>
            </w:r>
            <w:r w:rsidRPr="00CB1AF4">
              <w:rPr>
                <w:szCs w:val="22"/>
                <w:lang w:val="es-419"/>
              </w:rPr>
              <w:t xml:space="preserve">arque durante los últimos 24 meses condujo a la redacción de un nuevo acuerdo entre el SENADI y el gobierno provincial de Imbabura, con el fin de utilizar estrategias apropiadas de </w:t>
            </w:r>
            <w:r w:rsidR="00FA6258" w:rsidRPr="00CB1AF4">
              <w:rPr>
                <w:szCs w:val="22"/>
                <w:lang w:val="es-419"/>
              </w:rPr>
              <w:t>PI y de desarrollo de marcas para la dinamización</w:t>
            </w:r>
            <w:r w:rsidRPr="00CB1AF4">
              <w:rPr>
                <w:szCs w:val="22"/>
                <w:lang w:val="es-419"/>
              </w:rPr>
              <w:t xml:space="preserve"> de la actividad económica de la provincia sobre la base de la singularidad de su ecoturismo. </w:t>
            </w:r>
          </w:p>
          <w:p w:rsidR="00AE0B1D" w:rsidRPr="00CB1AF4" w:rsidRDefault="00AE0B1D" w:rsidP="00AE0B1D">
            <w:pPr>
              <w:rPr>
                <w:szCs w:val="22"/>
                <w:lang w:val="es-419"/>
              </w:rPr>
            </w:pPr>
          </w:p>
          <w:p w:rsidR="00AE0B1D" w:rsidRPr="00CB1AF4" w:rsidRDefault="00AE0B1D" w:rsidP="00AE0B1D">
            <w:pPr>
              <w:rPr>
                <w:szCs w:val="22"/>
                <w:lang w:val="es-419"/>
              </w:rPr>
            </w:pPr>
            <w:r w:rsidRPr="00CB1AF4">
              <w:rPr>
                <w:szCs w:val="22"/>
                <w:lang w:val="es-419"/>
              </w:rPr>
              <w:t>2. Se obtu</w:t>
            </w:r>
            <w:r w:rsidR="00750477" w:rsidRPr="00CB1AF4">
              <w:rPr>
                <w:szCs w:val="22"/>
                <w:lang w:val="es-419"/>
              </w:rPr>
              <w:t>vieron resultados remarcables</w:t>
            </w:r>
            <w:r w:rsidRPr="00CB1AF4">
              <w:rPr>
                <w:szCs w:val="22"/>
                <w:lang w:val="es-419"/>
              </w:rPr>
              <w:t xml:space="preserve"> en la ejecución de uno de los principales </w:t>
            </w:r>
            <w:r w:rsidR="00844EA9" w:rsidRPr="00CB1AF4">
              <w:rPr>
                <w:szCs w:val="22"/>
                <w:lang w:val="es-419"/>
              </w:rPr>
              <w:t>objetivos del proyecto, la</w:t>
            </w:r>
            <w:r w:rsidRPr="00CB1AF4">
              <w:rPr>
                <w:szCs w:val="22"/>
                <w:lang w:val="es-419"/>
              </w:rPr>
              <w:t xml:space="preserve"> </w:t>
            </w:r>
            <w:r w:rsidR="000F1199" w:rsidRPr="00CB1AF4">
              <w:rPr>
                <w:szCs w:val="22"/>
                <w:lang w:val="es-419"/>
              </w:rPr>
              <w:t>“</w:t>
            </w:r>
            <w:r w:rsidR="00844EA9" w:rsidRPr="00CB1AF4">
              <w:rPr>
                <w:szCs w:val="22"/>
                <w:lang w:val="es-419"/>
              </w:rPr>
              <w:t>sensibilización de</w:t>
            </w:r>
            <w:r w:rsidR="00CF3940" w:rsidRPr="00CB1AF4">
              <w:rPr>
                <w:szCs w:val="22"/>
                <w:lang w:val="es-419"/>
              </w:rPr>
              <w:t xml:space="preserve"> </w:t>
            </w:r>
            <w:r w:rsidR="001E501A" w:rsidRPr="00CB1AF4">
              <w:rPr>
                <w:szCs w:val="22"/>
                <w:lang w:val="es-419"/>
              </w:rPr>
              <w:t>la comunidad académica</w:t>
            </w:r>
            <w:r w:rsidR="00CF3940" w:rsidRPr="00CB1AF4">
              <w:rPr>
                <w:szCs w:val="22"/>
                <w:lang w:val="es-419"/>
              </w:rPr>
              <w:t xml:space="preserve"> sobre </w:t>
            </w:r>
            <w:r w:rsidR="001E501A" w:rsidRPr="00CB1AF4">
              <w:rPr>
                <w:szCs w:val="22"/>
                <w:lang w:val="es-419"/>
              </w:rPr>
              <w:t>la</w:t>
            </w:r>
            <w:r w:rsidR="001E501A" w:rsidRPr="00CB1AF4">
              <w:rPr>
                <w:rFonts w:eastAsia="Times New Roman"/>
                <w:lang w:val="es-419" w:eastAsia="en-US"/>
              </w:rPr>
              <w:t xml:space="preserve"> utilización de sistemas e instrumentos de PI para promover el turismo</w:t>
            </w:r>
            <w:r w:rsidR="000F1199" w:rsidRPr="00CB1AF4">
              <w:rPr>
                <w:szCs w:val="22"/>
                <w:lang w:val="es-419"/>
              </w:rPr>
              <w:t>”</w:t>
            </w:r>
            <w:r w:rsidR="00CF3940" w:rsidRPr="00CB1AF4">
              <w:rPr>
                <w:szCs w:val="22"/>
                <w:lang w:val="es-419"/>
              </w:rPr>
              <w:t xml:space="preserve">. </w:t>
            </w:r>
            <w:r w:rsidRPr="00CB1AF4">
              <w:rPr>
                <w:szCs w:val="22"/>
                <w:lang w:val="es-419"/>
              </w:rPr>
              <w:t xml:space="preserve">Esto </w:t>
            </w:r>
            <w:r w:rsidR="00CF3940" w:rsidRPr="00CB1AF4">
              <w:rPr>
                <w:szCs w:val="22"/>
                <w:lang w:val="es-419"/>
              </w:rPr>
              <w:t>se logró gracias a la colaboración entre el SENADI</w:t>
            </w:r>
            <w:r w:rsidRPr="00CB1AF4">
              <w:rPr>
                <w:szCs w:val="22"/>
                <w:lang w:val="es-419"/>
              </w:rPr>
              <w:t xml:space="preserve"> y una conocida universidad pú</w:t>
            </w:r>
            <w:r w:rsidR="00CF3940" w:rsidRPr="00CB1AF4">
              <w:rPr>
                <w:szCs w:val="22"/>
                <w:lang w:val="es-419"/>
              </w:rPr>
              <w:t xml:space="preserve">blica, la Escuela Politécnica del Ejército (ESPE). A tal efecto, se creó </w:t>
            </w:r>
            <w:r w:rsidRPr="00CB1AF4">
              <w:rPr>
                <w:szCs w:val="22"/>
                <w:lang w:val="es-419"/>
              </w:rPr>
              <w:t>un cu</w:t>
            </w:r>
            <w:r w:rsidR="00CF3940" w:rsidRPr="00CB1AF4">
              <w:rPr>
                <w:szCs w:val="22"/>
                <w:lang w:val="es-419"/>
              </w:rPr>
              <w:t>rso académico especializado, que se benefició de orientación y comentarios de</w:t>
            </w:r>
            <w:r w:rsidRPr="00CB1AF4">
              <w:rPr>
                <w:szCs w:val="22"/>
                <w:lang w:val="es-419"/>
              </w:rPr>
              <w:t xml:space="preserve"> la OMPI, sobre los vínculos entre el t</w:t>
            </w:r>
            <w:r w:rsidR="00CF3940" w:rsidRPr="00CB1AF4">
              <w:rPr>
                <w:szCs w:val="22"/>
                <w:lang w:val="es-419"/>
              </w:rPr>
              <w:t>urismo y la PI</w:t>
            </w:r>
            <w:r w:rsidRPr="00CB1AF4">
              <w:rPr>
                <w:szCs w:val="22"/>
                <w:lang w:val="es-419"/>
              </w:rPr>
              <w:t xml:space="preserve"> y sobre </w:t>
            </w:r>
            <w:r w:rsidR="00CF3940" w:rsidRPr="00CB1AF4">
              <w:rPr>
                <w:szCs w:val="22"/>
                <w:lang w:val="es-419"/>
              </w:rPr>
              <w:t xml:space="preserve">la importancia de utilizar la PI en ese sector en concreto de la economía nacional. </w:t>
            </w:r>
            <w:r w:rsidRPr="00CB1AF4">
              <w:rPr>
                <w:szCs w:val="22"/>
                <w:lang w:val="es-419"/>
              </w:rPr>
              <w:t>Los elementos de la cooperación SENADI-ESPE incluyen:</w:t>
            </w:r>
          </w:p>
          <w:p w:rsidR="00AE0B1D" w:rsidRPr="00CB1AF4" w:rsidRDefault="00AE0B1D" w:rsidP="00580A4C">
            <w:pPr>
              <w:pStyle w:val="ListParagraph"/>
              <w:numPr>
                <w:ilvl w:val="0"/>
                <w:numId w:val="13"/>
              </w:numPr>
              <w:ind w:left="300" w:hanging="300"/>
              <w:rPr>
                <w:szCs w:val="22"/>
                <w:lang w:val="es-419"/>
              </w:rPr>
            </w:pPr>
            <w:r w:rsidRPr="00CB1AF4">
              <w:rPr>
                <w:szCs w:val="22"/>
                <w:lang w:val="es-419"/>
              </w:rPr>
              <w:t>la firma de un Acuerdo de Cooperación Interinstitucion</w:t>
            </w:r>
            <w:r w:rsidR="00580A4C" w:rsidRPr="00CB1AF4">
              <w:rPr>
                <w:szCs w:val="22"/>
                <w:lang w:val="es-419"/>
              </w:rPr>
              <w:t>al (noviembre de 2017), en virtud del cual</w:t>
            </w:r>
            <w:r w:rsidRPr="00CB1AF4">
              <w:rPr>
                <w:szCs w:val="22"/>
                <w:lang w:val="es-419"/>
              </w:rPr>
              <w:t xml:space="preserve"> la Universidad se </w:t>
            </w:r>
            <w:r w:rsidRPr="00CB1AF4">
              <w:rPr>
                <w:szCs w:val="22"/>
                <w:lang w:val="es-419"/>
              </w:rPr>
              <w:lastRenderedPageBreak/>
              <w:t xml:space="preserve">compromete a incorporar la asignatura de </w:t>
            </w:r>
            <w:r w:rsidR="00580A4C" w:rsidRPr="00CB1AF4">
              <w:rPr>
                <w:szCs w:val="22"/>
                <w:lang w:val="es-419"/>
              </w:rPr>
              <w:t>PI</w:t>
            </w:r>
            <w:r w:rsidR="00813415" w:rsidRPr="00CB1AF4">
              <w:rPr>
                <w:szCs w:val="22"/>
                <w:lang w:val="es-419"/>
              </w:rPr>
              <w:t xml:space="preserve"> en la oferta </w:t>
            </w:r>
            <w:r w:rsidR="00580A4C" w:rsidRPr="00CB1AF4">
              <w:rPr>
                <w:szCs w:val="22"/>
                <w:lang w:val="es-419"/>
              </w:rPr>
              <w:t>de estudios</w:t>
            </w:r>
            <w:r w:rsidRPr="00CB1AF4">
              <w:rPr>
                <w:szCs w:val="22"/>
                <w:lang w:val="es-419"/>
              </w:rPr>
              <w:t xml:space="preserve"> de su Escuela de Turismo;</w:t>
            </w:r>
          </w:p>
          <w:p w:rsidR="00AE0B1D" w:rsidRPr="00CB1AF4" w:rsidRDefault="00AE0B1D" w:rsidP="00580A4C">
            <w:pPr>
              <w:pStyle w:val="ListParagraph"/>
              <w:numPr>
                <w:ilvl w:val="0"/>
                <w:numId w:val="13"/>
              </w:numPr>
              <w:ind w:left="300" w:hanging="300"/>
              <w:rPr>
                <w:szCs w:val="22"/>
                <w:lang w:val="es-419"/>
              </w:rPr>
            </w:pPr>
            <w:r w:rsidRPr="00CB1AF4">
              <w:rPr>
                <w:szCs w:val="22"/>
                <w:lang w:val="es-419"/>
              </w:rPr>
              <w:t xml:space="preserve">la creación de un programa de estudios y materiales didácticos para un nuevo curso </w:t>
            </w:r>
            <w:r w:rsidR="00813415" w:rsidRPr="00CB1AF4">
              <w:rPr>
                <w:szCs w:val="22"/>
                <w:lang w:val="es-419"/>
              </w:rPr>
              <w:t>de nivel de maestría sobre PI</w:t>
            </w:r>
            <w:r w:rsidRPr="00CB1AF4">
              <w:rPr>
                <w:szCs w:val="22"/>
                <w:lang w:val="es-419"/>
              </w:rPr>
              <w:t xml:space="preserve"> y turismo, que se impartirá en el quinto semestre de la Maestría de Turismo (2021);</w:t>
            </w:r>
          </w:p>
          <w:p w:rsidR="00AE0B1D" w:rsidRPr="00CB1AF4" w:rsidRDefault="00AE0B1D" w:rsidP="00580A4C">
            <w:pPr>
              <w:pStyle w:val="ListParagraph"/>
              <w:numPr>
                <w:ilvl w:val="0"/>
                <w:numId w:val="13"/>
              </w:numPr>
              <w:ind w:left="300" w:hanging="300"/>
              <w:rPr>
                <w:szCs w:val="22"/>
                <w:lang w:val="es-419"/>
              </w:rPr>
            </w:pPr>
            <w:r w:rsidRPr="00CB1AF4">
              <w:rPr>
                <w:szCs w:val="22"/>
                <w:lang w:val="es-419"/>
              </w:rPr>
              <w:t>la o</w:t>
            </w:r>
            <w:r w:rsidR="00813415" w:rsidRPr="00CB1AF4">
              <w:rPr>
                <w:szCs w:val="22"/>
                <w:lang w:val="es-419"/>
              </w:rPr>
              <w:t>rganización de un programa de formación de formadores sobre PI</w:t>
            </w:r>
            <w:r w:rsidRPr="00CB1AF4">
              <w:rPr>
                <w:szCs w:val="22"/>
                <w:lang w:val="es-419"/>
              </w:rPr>
              <w:t xml:space="preserve"> para profesores de la ESPE (julio de 2019);</w:t>
            </w:r>
          </w:p>
          <w:p w:rsidR="00AE0B1D" w:rsidRPr="00CB1AF4" w:rsidRDefault="00AE0B1D" w:rsidP="00580A4C">
            <w:pPr>
              <w:pStyle w:val="ListParagraph"/>
              <w:numPr>
                <w:ilvl w:val="0"/>
                <w:numId w:val="13"/>
              </w:numPr>
              <w:ind w:left="300" w:hanging="300"/>
              <w:rPr>
                <w:szCs w:val="22"/>
                <w:lang w:val="es-419"/>
              </w:rPr>
            </w:pPr>
            <w:r w:rsidRPr="00CB1AF4">
              <w:rPr>
                <w:szCs w:val="22"/>
                <w:lang w:val="es-419"/>
              </w:rPr>
              <w:t xml:space="preserve">la extensión del curso académico de nivel de maestría a otras universidades nacionales y regionales, tras el curso de formación de formadores de julio de 2019. </w:t>
            </w:r>
          </w:p>
          <w:p w:rsidR="00AE0B1D" w:rsidRPr="00CB1AF4" w:rsidRDefault="00AE0B1D" w:rsidP="00AE0B1D">
            <w:pPr>
              <w:rPr>
                <w:szCs w:val="22"/>
                <w:lang w:val="es-419"/>
              </w:rPr>
            </w:pPr>
          </w:p>
          <w:p w:rsidR="00C57E70" w:rsidRPr="00CB1AF4" w:rsidRDefault="00C57E70" w:rsidP="00AE0B1D">
            <w:pPr>
              <w:rPr>
                <w:szCs w:val="22"/>
                <w:lang w:val="es-419"/>
              </w:rPr>
            </w:pPr>
          </w:p>
          <w:p w:rsidR="00AE0B1D" w:rsidRPr="00CB1AF4" w:rsidRDefault="00AE0B1D" w:rsidP="00AE0B1D">
            <w:pPr>
              <w:rPr>
                <w:szCs w:val="22"/>
                <w:lang w:val="es-419"/>
              </w:rPr>
            </w:pPr>
            <w:r w:rsidRPr="00CB1AF4">
              <w:rPr>
                <w:szCs w:val="22"/>
                <w:lang w:val="es-419"/>
              </w:rPr>
              <w:t>3. El tercer pilar de la implementación de</w:t>
            </w:r>
            <w:r w:rsidR="00813415" w:rsidRPr="00CB1AF4">
              <w:rPr>
                <w:szCs w:val="22"/>
                <w:lang w:val="es-419"/>
              </w:rPr>
              <w:t>l proyecto</w:t>
            </w:r>
            <w:r w:rsidRPr="00CB1AF4">
              <w:rPr>
                <w:szCs w:val="22"/>
                <w:lang w:val="es-419"/>
              </w:rPr>
              <w:t xml:space="preserve"> a nivel </w:t>
            </w:r>
            <w:r w:rsidR="00F11D9D" w:rsidRPr="00CB1AF4">
              <w:rPr>
                <w:szCs w:val="22"/>
                <w:lang w:val="es-419"/>
              </w:rPr>
              <w:t xml:space="preserve">nacional </w:t>
            </w:r>
            <w:r w:rsidRPr="00CB1AF4">
              <w:rPr>
                <w:szCs w:val="22"/>
                <w:lang w:val="es-419"/>
              </w:rPr>
              <w:t xml:space="preserve">en </w:t>
            </w:r>
            <w:r w:rsidR="00813415" w:rsidRPr="00CB1AF4">
              <w:rPr>
                <w:szCs w:val="22"/>
                <w:lang w:val="es-419"/>
              </w:rPr>
              <w:t xml:space="preserve">el </w:t>
            </w:r>
            <w:r w:rsidRPr="00CB1AF4">
              <w:rPr>
                <w:szCs w:val="22"/>
                <w:lang w:val="es-419"/>
              </w:rPr>
              <w:t xml:space="preserve">Ecuador </w:t>
            </w:r>
            <w:r w:rsidR="00813415" w:rsidRPr="00CB1AF4">
              <w:rPr>
                <w:szCs w:val="22"/>
                <w:lang w:val="es-419"/>
              </w:rPr>
              <w:t xml:space="preserve">es </w:t>
            </w:r>
            <w:r w:rsidRPr="00CB1AF4">
              <w:rPr>
                <w:szCs w:val="22"/>
                <w:lang w:val="es-419"/>
              </w:rPr>
              <w:t>la cooperación entre el SENADI y el Ministerio de Turismo, con el fin de alentar a las princi</w:t>
            </w:r>
            <w:r w:rsidR="00813415" w:rsidRPr="00CB1AF4">
              <w:rPr>
                <w:szCs w:val="22"/>
                <w:lang w:val="es-419"/>
              </w:rPr>
              <w:t>pales partes interesadas en el</w:t>
            </w:r>
            <w:r w:rsidRPr="00CB1AF4">
              <w:rPr>
                <w:szCs w:val="22"/>
                <w:lang w:val="es-419"/>
              </w:rPr>
              <w:t xml:space="preserve"> sector a utilizar la PI como una herra</w:t>
            </w:r>
            <w:r w:rsidR="00813415" w:rsidRPr="00CB1AF4">
              <w:rPr>
                <w:szCs w:val="22"/>
                <w:lang w:val="es-419"/>
              </w:rPr>
              <w:t xml:space="preserve">mienta de gestión estratégica. </w:t>
            </w:r>
            <w:r w:rsidRPr="00CB1AF4">
              <w:rPr>
                <w:szCs w:val="22"/>
                <w:lang w:val="es-419"/>
              </w:rPr>
              <w:t>En este sentido, el Ministerio de Turismo:</w:t>
            </w:r>
          </w:p>
          <w:p w:rsidR="00AE0B1D" w:rsidRPr="00CB1AF4" w:rsidRDefault="00AE0B1D" w:rsidP="00813415">
            <w:pPr>
              <w:pStyle w:val="ListParagraph"/>
              <w:numPr>
                <w:ilvl w:val="0"/>
                <w:numId w:val="15"/>
              </w:numPr>
              <w:ind w:left="300" w:hanging="300"/>
              <w:rPr>
                <w:szCs w:val="22"/>
                <w:lang w:val="es-419"/>
              </w:rPr>
            </w:pPr>
            <w:r w:rsidRPr="00CB1AF4">
              <w:rPr>
                <w:szCs w:val="22"/>
                <w:lang w:val="es-419"/>
              </w:rPr>
              <w:t xml:space="preserve">incorporó la capacitación en PI, con la participación de funcionarios del SENADI, en los cursos regulares de capacitación destinados a funcionarios de turismo; </w:t>
            </w:r>
          </w:p>
          <w:p w:rsidR="00AE0B1D" w:rsidRPr="00CB1AF4" w:rsidRDefault="00813415" w:rsidP="00813415">
            <w:pPr>
              <w:pStyle w:val="ListParagraph"/>
              <w:numPr>
                <w:ilvl w:val="0"/>
                <w:numId w:val="15"/>
              </w:numPr>
              <w:ind w:left="300" w:hanging="300"/>
              <w:rPr>
                <w:szCs w:val="22"/>
                <w:lang w:val="es-419"/>
              </w:rPr>
            </w:pPr>
            <w:r w:rsidRPr="00CB1AF4">
              <w:rPr>
                <w:szCs w:val="22"/>
                <w:lang w:val="es-419"/>
              </w:rPr>
              <w:t>incluyó nociones de PI en</w:t>
            </w:r>
            <w:r w:rsidR="00AE0B1D" w:rsidRPr="00CB1AF4">
              <w:rPr>
                <w:szCs w:val="22"/>
                <w:lang w:val="es-419"/>
              </w:rPr>
              <w:t xml:space="preserve"> su plataforma de formación virtual sobre gestión del turismo;</w:t>
            </w:r>
          </w:p>
          <w:p w:rsidR="009D386D" w:rsidRPr="00CB1AF4" w:rsidRDefault="00AE0B1D" w:rsidP="00813415">
            <w:pPr>
              <w:pStyle w:val="ListParagraph"/>
              <w:numPr>
                <w:ilvl w:val="0"/>
                <w:numId w:val="15"/>
              </w:numPr>
              <w:ind w:left="300" w:hanging="300"/>
              <w:rPr>
                <w:szCs w:val="22"/>
                <w:u w:val="single"/>
                <w:lang w:val="es-419"/>
              </w:rPr>
            </w:pPr>
            <w:r w:rsidRPr="00CB1AF4">
              <w:rPr>
                <w:szCs w:val="22"/>
                <w:lang w:val="es-419"/>
              </w:rPr>
              <w:t>animó una serie de debates sobre el uso de</w:t>
            </w:r>
            <w:r w:rsidR="00813415" w:rsidRPr="00CB1AF4">
              <w:rPr>
                <w:szCs w:val="22"/>
                <w:lang w:val="es-419"/>
              </w:rPr>
              <w:t xml:space="preserve"> la PI</w:t>
            </w:r>
            <w:r w:rsidRPr="00CB1AF4">
              <w:rPr>
                <w:szCs w:val="22"/>
                <w:lang w:val="es-419"/>
              </w:rPr>
              <w:t xml:space="preserve"> en el desarrollo y el apoyo al turismo local y nacional.</w:t>
            </w:r>
          </w:p>
          <w:p w:rsidR="009D386D" w:rsidRPr="00CB1AF4" w:rsidRDefault="009D386D" w:rsidP="00FA6258">
            <w:pPr>
              <w:rPr>
                <w:szCs w:val="22"/>
                <w:u w:val="single"/>
                <w:lang w:val="es-419"/>
              </w:rPr>
            </w:pPr>
          </w:p>
          <w:p w:rsidR="009D386D" w:rsidRPr="00CB1AF4" w:rsidRDefault="00813415" w:rsidP="00FA6258">
            <w:pPr>
              <w:rPr>
                <w:szCs w:val="22"/>
                <w:u w:val="single"/>
                <w:lang w:val="es-419"/>
              </w:rPr>
            </w:pPr>
            <w:r w:rsidRPr="00CB1AF4">
              <w:rPr>
                <w:szCs w:val="22"/>
                <w:u w:val="single"/>
                <w:lang w:val="es-419"/>
              </w:rPr>
              <w:t>Egipto</w:t>
            </w:r>
          </w:p>
          <w:p w:rsidR="008E5AD1" w:rsidRPr="00CB1AF4" w:rsidRDefault="008E5AD1" w:rsidP="00FA6258">
            <w:pPr>
              <w:rPr>
                <w:szCs w:val="22"/>
                <w:u w:val="single"/>
                <w:lang w:val="es-419"/>
              </w:rPr>
            </w:pPr>
          </w:p>
          <w:p w:rsidR="00813415" w:rsidRPr="00CB1AF4" w:rsidRDefault="00813415" w:rsidP="00813415">
            <w:pPr>
              <w:rPr>
                <w:szCs w:val="22"/>
                <w:lang w:val="es-419"/>
              </w:rPr>
            </w:pPr>
            <w:r w:rsidRPr="00CB1AF4">
              <w:rPr>
                <w:szCs w:val="22"/>
                <w:lang w:val="es-419"/>
              </w:rPr>
              <w:t>Gracias al interés sostenido del Comité Dir</w:t>
            </w:r>
            <w:r w:rsidR="00376BCB" w:rsidRPr="00CB1AF4">
              <w:rPr>
                <w:szCs w:val="22"/>
                <w:lang w:val="es-419"/>
              </w:rPr>
              <w:t>ectivo y del organismo coordinador</w:t>
            </w:r>
            <w:r w:rsidRPr="00CB1AF4">
              <w:rPr>
                <w:szCs w:val="22"/>
                <w:lang w:val="es-419"/>
              </w:rPr>
              <w:t xml:space="preserve"> (</w:t>
            </w:r>
            <w:r w:rsidR="00376BCB" w:rsidRPr="00CB1AF4">
              <w:rPr>
                <w:szCs w:val="22"/>
                <w:lang w:val="es-419"/>
              </w:rPr>
              <w:t xml:space="preserve">el </w:t>
            </w:r>
            <w:r w:rsidRPr="00CB1AF4">
              <w:rPr>
                <w:szCs w:val="22"/>
                <w:lang w:val="es-419"/>
              </w:rPr>
              <w:t>Ministerio de Relaciones Exteriores) en la ejec</w:t>
            </w:r>
            <w:r w:rsidR="00376BCB" w:rsidRPr="00CB1AF4">
              <w:rPr>
                <w:szCs w:val="22"/>
                <w:lang w:val="es-419"/>
              </w:rPr>
              <w:t>ución del proyecto, se concientizó</w:t>
            </w:r>
            <w:r w:rsidRPr="00CB1AF4">
              <w:rPr>
                <w:szCs w:val="22"/>
                <w:lang w:val="es-419"/>
              </w:rPr>
              <w:t xml:space="preserve"> a varias partes interesadas sob</w:t>
            </w:r>
            <w:r w:rsidR="00376BCB" w:rsidRPr="00CB1AF4">
              <w:rPr>
                <w:szCs w:val="22"/>
                <w:lang w:val="es-419"/>
              </w:rPr>
              <w:t>re el papel estratégico de la PI</w:t>
            </w:r>
            <w:r w:rsidRPr="00CB1AF4">
              <w:rPr>
                <w:szCs w:val="22"/>
                <w:lang w:val="es-419"/>
              </w:rPr>
              <w:t xml:space="preserve"> en la promoción del tur</w:t>
            </w:r>
            <w:r w:rsidR="00376BCB" w:rsidRPr="00CB1AF4">
              <w:rPr>
                <w:szCs w:val="22"/>
                <w:lang w:val="es-419"/>
              </w:rPr>
              <w:t xml:space="preserve">ismo y el patrimonio cultural. </w:t>
            </w:r>
            <w:r w:rsidRPr="00CB1AF4">
              <w:rPr>
                <w:szCs w:val="22"/>
                <w:lang w:val="es-419"/>
              </w:rPr>
              <w:t>En un estudio de ámbito nacional, realizado con el apoyo del Comité Directivo nacional, se analizó e</w:t>
            </w:r>
            <w:r w:rsidR="00376BCB" w:rsidRPr="00CB1AF4">
              <w:rPr>
                <w:szCs w:val="22"/>
                <w:lang w:val="es-419"/>
              </w:rPr>
              <w:t>l posible uso del sistema de PI</w:t>
            </w:r>
            <w:r w:rsidRPr="00CB1AF4">
              <w:rPr>
                <w:szCs w:val="22"/>
                <w:lang w:val="es-419"/>
              </w:rPr>
              <w:t xml:space="preserve"> para impulsar la actividad económica y promover el patrimo</w:t>
            </w:r>
            <w:r w:rsidR="00376BCB" w:rsidRPr="00CB1AF4">
              <w:rPr>
                <w:szCs w:val="22"/>
                <w:lang w:val="es-419"/>
              </w:rPr>
              <w:t xml:space="preserve">nio cultural en cuatro lugares </w:t>
            </w:r>
            <w:r w:rsidRPr="00CB1AF4">
              <w:rPr>
                <w:szCs w:val="22"/>
                <w:lang w:val="es-419"/>
              </w:rPr>
              <w:t xml:space="preserve">seleccionados </w:t>
            </w:r>
            <w:r w:rsidR="00376BCB" w:rsidRPr="00CB1AF4">
              <w:rPr>
                <w:szCs w:val="22"/>
                <w:lang w:val="es-419"/>
              </w:rPr>
              <w:t xml:space="preserve">por </w:t>
            </w:r>
            <w:r w:rsidRPr="00CB1AF4">
              <w:rPr>
                <w:szCs w:val="22"/>
                <w:lang w:val="es-419"/>
              </w:rPr>
              <w:t xml:space="preserve">su </w:t>
            </w:r>
            <w:r w:rsidR="00376BCB" w:rsidRPr="00CB1AF4">
              <w:rPr>
                <w:szCs w:val="22"/>
                <w:lang w:val="es-419"/>
              </w:rPr>
              <w:t>singular interés turístico: a) la ruta de Nubia</w:t>
            </w:r>
            <w:r w:rsidRPr="00CB1AF4">
              <w:rPr>
                <w:szCs w:val="22"/>
                <w:lang w:val="es-419"/>
              </w:rPr>
              <w:t xml:space="preserve"> (Tierra</w:t>
            </w:r>
            <w:r w:rsidR="00376BCB" w:rsidRPr="00CB1AF4">
              <w:rPr>
                <w:szCs w:val="22"/>
                <w:lang w:val="es-419"/>
              </w:rPr>
              <w:t xml:space="preserve"> de Or</w:t>
            </w:r>
            <w:r w:rsidR="00844EA9" w:rsidRPr="00CB1AF4">
              <w:rPr>
                <w:szCs w:val="22"/>
                <w:lang w:val="es-419"/>
              </w:rPr>
              <w:t>o); b) la ruta del viaje de la Sagrada F</w:t>
            </w:r>
            <w:r w:rsidR="00376BCB" w:rsidRPr="00CB1AF4">
              <w:rPr>
                <w:szCs w:val="22"/>
                <w:lang w:val="es-419"/>
              </w:rPr>
              <w:t>amilia</w:t>
            </w:r>
            <w:r w:rsidRPr="00CB1AF4">
              <w:rPr>
                <w:szCs w:val="22"/>
                <w:lang w:val="es-419"/>
              </w:rPr>
              <w:t>; c) la ruta</w:t>
            </w:r>
            <w:r w:rsidR="00376BCB" w:rsidRPr="00CB1AF4">
              <w:rPr>
                <w:szCs w:val="22"/>
                <w:lang w:val="es-419"/>
              </w:rPr>
              <w:t xml:space="preserve"> del oasis de Siwa</w:t>
            </w:r>
            <w:r w:rsidRPr="00CB1AF4">
              <w:rPr>
                <w:szCs w:val="22"/>
                <w:lang w:val="es-419"/>
              </w:rPr>
              <w:t xml:space="preserve">; y d) el Museo Nacional de la Civilización Egipcia (NMEC) en El Cairo. </w:t>
            </w:r>
          </w:p>
          <w:p w:rsidR="00813415" w:rsidRPr="00CB1AF4" w:rsidRDefault="00813415" w:rsidP="00813415">
            <w:pPr>
              <w:rPr>
                <w:szCs w:val="22"/>
                <w:lang w:val="es-419"/>
              </w:rPr>
            </w:pPr>
          </w:p>
          <w:p w:rsidR="00813415" w:rsidRPr="00CB1AF4" w:rsidRDefault="00813415" w:rsidP="00813415">
            <w:pPr>
              <w:rPr>
                <w:szCs w:val="22"/>
                <w:lang w:val="es-419"/>
              </w:rPr>
            </w:pPr>
            <w:r w:rsidRPr="00CB1AF4">
              <w:rPr>
                <w:szCs w:val="22"/>
                <w:lang w:val="es-419"/>
              </w:rPr>
              <w:t xml:space="preserve">En este contexto, el proyecto se centró, por una parte, en las necesidades del sector de la artesanía (que ocupó un lugar destacado en los tres primeros lugares) y, por otra, en las necesidades de </w:t>
            </w:r>
            <w:r w:rsidR="00376BCB" w:rsidRPr="00CB1AF4">
              <w:rPr>
                <w:szCs w:val="22"/>
                <w:lang w:val="es-419"/>
              </w:rPr>
              <w:t>los museos y las colecciones de</w:t>
            </w:r>
            <w:r w:rsidRPr="00CB1AF4">
              <w:rPr>
                <w:szCs w:val="22"/>
                <w:lang w:val="es-419"/>
              </w:rPr>
              <w:t xml:space="preserve"> patrimonio mundial, con miras a ayudarlos a gestion</w:t>
            </w:r>
            <w:r w:rsidR="00376BCB" w:rsidRPr="00CB1AF4">
              <w:rPr>
                <w:szCs w:val="22"/>
                <w:lang w:val="es-419"/>
              </w:rPr>
              <w:t>ar eficazmente sus activos de PI</w:t>
            </w:r>
            <w:r w:rsidRPr="00CB1AF4">
              <w:rPr>
                <w:szCs w:val="22"/>
                <w:lang w:val="es-419"/>
              </w:rPr>
              <w:t xml:space="preserve"> y sus estrategias para atraer a más visitantes.</w:t>
            </w:r>
          </w:p>
          <w:p w:rsidR="00813415" w:rsidRPr="00CB1AF4" w:rsidRDefault="00813415" w:rsidP="00813415">
            <w:pPr>
              <w:rPr>
                <w:szCs w:val="22"/>
                <w:lang w:val="es-419"/>
              </w:rPr>
            </w:pPr>
          </w:p>
          <w:p w:rsidR="009D386D" w:rsidRPr="00CB1AF4" w:rsidRDefault="00813415" w:rsidP="00813415">
            <w:pPr>
              <w:rPr>
                <w:szCs w:val="22"/>
                <w:lang w:val="es-419"/>
              </w:rPr>
            </w:pPr>
            <w:r w:rsidRPr="00CB1AF4">
              <w:rPr>
                <w:szCs w:val="22"/>
                <w:lang w:val="es-419"/>
              </w:rPr>
              <w:t>Una presentación completa de ese estudio y de sus numerosas conclusiones atr</w:t>
            </w:r>
            <w:r w:rsidR="00376BCB" w:rsidRPr="00CB1AF4">
              <w:rPr>
                <w:szCs w:val="22"/>
                <w:lang w:val="es-419"/>
              </w:rPr>
              <w:t>ajo la atención de los Estados m</w:t>
            </w:r>
            <w:r w:rsidRPr="00CB1AF4">
              <w:rPr>
                <w:szCs w:val="22"/>
                <w:lang w:val="es-419"/>
              </w:rPr>
              <w:t>iembros</w:t>
            </w:r>
            <w:r w:rsidR="00376BCB" w:rsidRPr="00CB1AF4">
              <w:rPr>
                <w:szCs w:val="22"/>
                <w:lang w:val="es-419"/>
              </w:rPr>
              <w:t xml:space="preserve"> en una sesión plenaria de la vigesimotercera sesión del Comité de Desarrollo y Propiedad Intelectual. </w:t>
            </w:r>
            <w:r w:rsidRPr="00CB1AF4">
              <w:rPr>
                <w:szCs w:val="22"/>
                <w:lang w:val="es-419"/>
              </w:rPr>
              <w:t>Una serie de programas</w:t>
            </w:r>
            <w:r w:rsidR="00376BCB" w:rsidRPr="00CB1AF4">
              <w:rPr>
                <w:szCs w:val="22"/>
                <w:lang w:val="es-419"/>
              </w:rPr>
              <w:t xml:space="preserve"> a medida</w:t>
            </w:r>
            <w:r w:rsidRPr="00CB1AF4">
              <w:rPr>
                <w:szCs w:val="22"/>
                <w:lang w:val="es-419"/>
              </w:rPr>
              <w:t xml:space="preserve"> de fortale</w:t>
            </w:r>
            <w:r w:rsidR="00F54CC3" w:rsidRPr="00CB1AF4">
              <w:rPr>
                <w:szCs w:val="22"/>
                <w:lang w:val="es-419"/>
              </w:rPr>
              <w:t>cimiento de capacidades</w:t>
            </w:r>
            <w:r w:rsidRPr="00CB1AF4">
              <w:rPr>
                <w:szCs w:val="22"/>
                <w:lang w:val="es-419"/>
              </w:rPr>
              <w:t xml:space="preserve"> también gener</w:t>
            </w:r>
            <w:r w:rsidR="00376BCB" w:rsidRPr="00CB1AF4">
              <w:rPr>
                <w:szCs w:val="22"/>
                <w:lang w:val="es-419"/>
              </w:rPr>
              <w:t>ó un gran interés y expectación</w:t>
            </w:r>
            <w:r w:rsidRPr="00CB1AF4">
              <w:rPr>
                <w:szCs w:val="22"/>
                <w:lang w:val="es-419"/>
              </w:rPr>
              <w:t xml:space="preserve"> entre las partes interesadas, tanto dentro de </w:t>
            </w:r>
            <w:r w:rsidRPr="00CB1AF4">
              <w:rPr>
                <w:szCs w:val="22"/>
                <w:lang w:val="es-419"/>
              </w:rPr>
              <w:lastRenderedPageBreak/>
              <w:t>la comunidad museística nacional como en el rico y variado sector de la artes</w:t>
            </w:r>
            <w:r w:rsidR="00376BCB" w:rsidRPr="00CB1AF4">
              <w:rPr>
                <w:szCs w:val="22"/>
                <w:lang w:val="es-419"/>
              </w:rPr>
              <w:t>anía. Se hacen públicas las</w:t>
            </w:r>
            <w:r w:rsidRPr="00CB1AF4">
              <w:rPr>
                <w:szCs w:val="22"/>
                <w:lang w:val="es-419"/>
              </w:rPr>
              <w:t xml:space="preserve"> recomendaciones concretas del</w:t>
            </w:r>
            <w:r w:rsidR="009D0987" w:rsidRPr="00CB1AF4">
              <w:rPr>
                <w:szCs w:val="22"/>
                <w:lang w:val="es-419"/>
              </w:rPr>
              <w:t xml:space="preserve"> estudio y</w:t>
            </w:r>
            <w:r w:rsidR="00376BCB" w:rsidRPr="00CB1AF4">
              <w:rPr>
                <w:szCs w:val="22"/>
                <w:lang w:val="es-419"/>
              </w:rPr>
              <w:t xml:space="preserve"> los talleres, con el fin de acercar el proyecto a</w:t>
            </w:r>
            <w:r w:rsidRPr="00CB1AF4">
              <w:rPr>
                <w:szCs w:val="22"/>
                <w:lang w:val="es-419"/>
              </w:rPr>
              <w:t xml:space="preserve"> sus beneficiarios finales.</w:t>
            </w:r>
          </w:p>
          <w:p w:rsidR="00376BCB" w:rsidRPr="00CB1AF4" w:rsidRDefault="00376BCB" w:rsidP="00813415">
            <w:pPr>
              <w:rPr>
                <w:szCs w:val="22"/>
                <w:lang w:val="es-419"/>
              </w:rPr>
            </w:pPr>
          </w:p>
          <w:p w:rsidR="009D386D" w:rsidRPr="00CB1AF4" w:rsidRDefault="009D386D" w:rsidP="00FA6258">
            <w:pPr>
              <w:rPr>
                <w:szCs w:val="22"/>
                <w:lang w:val="es-419"/>
              </w:rPr>
            </w:pPr>
            <w:r w:rsidRPr="00CB1AF4">
              <w:rPr>
                <w:szCs w:val="22"/>
                <w:u w:val="single"/>
                <w:lang w:val="es-419"/>
              </w:rPr>
              <w:t>Namibia</w:t>
            </w:r>
          </w:p>
          <w:p w:rsidR="009D386D" w:rsidRPr="00CB1AF4" w:rsidRDefault="009D386D" w:rsidP="00FA6258">
            <w:pPr>
              <w:rPr>
                <w:szCs w:val="22"/>
                <w:lang w:val="es-419"/>
              </w:rPr>
            </w:pPr>
          </w:p>
          <w:p w:rsidR="00F54CC3" w:rsidRPr="00CB1AF4" w:rsidRDefault="00F54CC3" w:rsidP="00F54CC3">
            <w:pPr>
              <w:rPr>
                <w:szCs w:val="22"/>
                <w:lang w:val="es-419"/>
              </w:rPr>
            </w:pPr>
            <w:r w:rsidRPr="00CB1AF4">
              <w:rPr>
                <w:szCs w:val="22"/>
                <w:lang w:val="es-419"/>
              </w:rPr>
              <w:t>En Namibia, el proyecto se puso en marcha con el objetivo de realizar una investigación exhaustiva sobre algunos de los principales atractivos turísticos del país en los que el uso del sistema de la PI podría impulsar la actividad económica relacionada con el turismo. Un equipo compuesto por un experto en PI y o</w:t>
            </w:r>
            <w:r w:rsidR="009D0987" w:rsidRPr="00CB1AF4">
              <w:rPr>
                <w:szCs w:val="22"/>
                <w:lang w:val="es-419"/>
              </w:rPr>
              <w:t>tro en turismo llevó a cabo la</w:t>
            </w:r>
            <w:r w:rsidRPr="00CB1AF4">
              <w:rPr>
                <w:szCs w:val="22"/>
                <w:lang w:val="es-419"/>
              </w:rPr>
              <w:t xml:space="preserve"> investigación y elaboró un primer i</w:t>
            </w:r>
            <w:r w:rsidR="009D0987" w:rsidRPr="00CB1AF4">
              <w:rPr>
                <w:szCs w:val="22"/>
                <w:lang w:val="es-419"/>
              </w:rPr>
              <w:t>nforme que fue refrendado por e</w:t>
            </w:r>
            <w:r w:rsidRPr="00CB1AF4">
              <w:rPr>
                <w:szCs w:val="22"/>
                <w:lang w:val="es-419"/>
              </w:rPr>
              <w:t>l Comité Directivo nacional. El hecho de que algunos miembros del Comité Directivo estuvieran estrechamente involucrados en algunos aspectos de la investigación de campo contribuyó a que algunos actores del sector en el país apoyasen el proyecto.</w:t>
            </w:r>
          </w:p>
          <w:p w:rsidR="00F54CC3" w:rsidRPr="00CB1AF4" w:rsidRDefault="00F54CC3" w:rsidP="00F54CC3">
            <w:pPr>
              <w:rPr>
                <w:szCs w:val="22"/>
                <w:lang w:val="es-419"/>
              </w:rPr>
            </w:pPr>
          </w:p>
          <w:p w:rsidR="00F54CC3" w:rsidRPr="00CB1AF4" w:rsidRDefault="00F54CC3" w:rsidP="00F54CC3">
            <w:pPr>
              <w:rPr>
                <w:szCs w:val="22"/>
                <w:lang w:val="es-419"/>
              </w:rPr>
            </w:pPr>
            <w:r w:rsidRPr="00CB1AF4">
              <w:rPr>
                <w:szCs w:val="22"/>
                <w:lang w:val="es-419"/>
              </w:rPr>
              <w:t>Como complemento a este estudio más amplio, y en un intento por profundizar en dos estudios de caso</w:t>
            </w:r>
            <w:r w:rsidR="009D0987" w:rsidRPr="00CB1AF4">
              <w:rPr>
                <w:szCs w:val="22"/>
                <w:lang w:val="es-419"/>
              </w:rPr>
              <w:t>s</w:t>
            </w:r>
            <w:r w:rsidRPr="00CB1AF4">
              <w:rPr>
                <w:szCs w:val="22"/>
                <w:lang w:val="es-419"/>
              </w:rPr>
              <w:t xml:space="preserve"> de particular interés para la vinculación entre el uso de la PI y el turismo sostenible, se encargó un segundo estudio en el marco del proyecto. Esta investigación adicional aportó información importante, pues se analizaron dos ejemplos de cómo la población rural de Namibia ha podido beneficiarse del turismo utilizando aspectos de su identidad cultural y conocimientos tradicionales para crear productos atractivos para el mercado turístico. Ambos ejemplos también documentan la relación entre el conocimiento tradicional y la protección de la PI y la manera en que la población rural de Namibia ha tenido o no acceso a dicha protección. De ambos estudios surgieron una serie de recomendaciones prácticas que se compartieron con el Comité Directivo y </w:t>
            </w:r>
            <w:r w:rsidR="008C11BA" w:rsidRPr="00CB1AF4">
              <w:rPr>
                <w:szCs w:val="22"/>
                <w:lang w:val="es-419"/>
              </w:rPr>
              <w:t>con ciertos responsables</w:t>
            </w:r>
            <w:r w:rsidRPr="00CB1AF4">
              <w:rPr>
                <w:szCs w:val="22"/>
                <w:lang w:val="es-419"/>
              </w:rPr>
              <w:t xml:space="preserve"> de </w:t>
            </w:r>
            <w:r w:rsidR="008C11BA" w:rsidRPr="00CB1AF4">
              <w:rPr>
                <w:szCs w:val="22"/>
                <w:lang w:val="es-419"/>
              </w:rPr>
              <w:t>la formulación de políticas</w:t>
            </w:r>
            <w:r w:rsidRPr="00CB1AF4">
              <w:rPr>
                <w:szCs w:val="22"/>
                <w:lang w:val="es-419"/>
              </w:rPr>
              <w:t>, en particular en el Ministerio de Medio Ambiente y Turismo, el Ministerio de Industrialización, C</w:t>
            </w:r>
            <w:r w:rsidR="008C11BA" w:rsidRPr="00CB1AF4">
              <w:rPr>
                <w:szCs w:val="22"/>
                <w:lang w:val="es-419"/>
              </w:rPr>
              <w:t>omercio y Desarrollo de las Pymes</w:t>
            </w:r>
            <w:r w:rsidRPr="00CB1AF4">
              <w:rPr>
                <w:szCs w:val="22"/>
                <w:lang w:val="es-419"/>
              </w:rPr>
              <w:t xml:space="preserve"> y el Ministerio de Relaciones Internacionales y Cooperación.</w:t>
            </w:r>
          </w:p>
          <w:p w:rsidR="00F54CC3" w:rsidRPr="00CB1AF4" w:rsidRDefault="00F54CC3" w:rsidP="00F54CC3">
            <w:pPr>
              <w:rPr>
                <w:szCs w:val="22"/>
                <w:lang w:val="es-419"/>
              </w:rPr>
            </w:pPr>
          </w:p>
          <w:p w:rsidR="009D386D" w:rsidRPr="00CB1AF4" w:rsidRDefault="00F54CC3" w:rsidP="00F54CC3">
            <w:pPr>
              <w:rPr>
                <w:szCs w:val="22"/>
                <w:lang w:val="es-419"/>
              </w:rPr>
            </w:pPr>
            <w:r w:rsidRPr="00CB1AF4">
              <w:rPr>
                <w:szCs w:val="22"/>
                <w:lang w:val="es-419"/>
              </w:rPr>
              <w:t>En Namibia también se lograron avances notables en la colaboración con determinadas universidades que part</w:t>
            </w:r>
            <w:r w:rsidR="008C11BA" w:rsidRPr="00CB1AF4">
              <w:rPr>
                <w:szCs w:val="22"/>
                <w:lang w:val="es-419"/>
              </w:rPr>
              <w:t>icipan en la integración de la PI</w:t>
            </w:r>
            <w:r w:rsidRPr="00CB1AF4">
              <w:rPr>
                <w:szCs w:val="22"/>
                <w:lang w:val="es-419"/>
              </w:rPr>
              <w:t xml:space="preserve"> en sus</w:t>
            </w:r>
            <w:r w:rsidR="008C11BA" w:rsidRPr="00CB1AF4">
              <w:rPr>
                <w:szCs w:val="22"/>
                <w:lang w:val="es-419"/>
              </w:rPr>
              <w:t xml:space="preserve"> respectivos planes de estudio.</w:t>
            </w:r>
            <w:r w:rsidRPr="00CB1AF4">
              <w:rPr>
                <w:szCs w:val="22"/>
                <w:lang w:val="es-419"/>
              </w:rPr>
              <w:t xml:space="preserve"> En el marco del plan más amplio destinado a</w:t>
            </w:r>
            <w:r w:rsidR="008B409C" w:rsidRPr="00CB1AF4">
              <w:rPr>
                <w:szCs w:val="22"/>
                <w:lang w:val="es-419"/>
              </w:rPr>
              <w:t xml:space="preserve"> instaurar la enseñanza de la PI</w:t>
            </w:r>
            <w:r w:rsidRPr="00CB1AF4">
              <w:rPr>
                <w:szCs w:val="22"/>
                <w:lang w:val="es-419"/>
              </w:rPr>
              <w:t xml:space="preserve"> en las univer</w:t>
            </w:r>
            <w:r w:rsidR="008B409C" w:rsidRPr="00CB1AF4">
              <w:rPr>
                <w:szCs w:val="22"/>
                <w:lang w:val="es-419"/>
              </w:rPr>
              <w:t>sidades de Namibia, se ha avanzado considerablemente en la docencia de cursos específicos sobre PI y turismo</w:t>
            </w:r>
            <w:r w:rsidRPr="00CB1AF4">
              <w:rPr>
                <w:szCs w:val="22"/>
                <w:lang w:val="es-419"/>
              </w:rPr>
              <w:t>, en particular en la Universidad Internacional de Gestión</w:t>
            </w:r>
            <w:r w:rsidR="008B409C" w:rsidRPr="00CB1AF4">
              <w:rPr>
                <w:szCs w:val="22"/>
                <w:lang w:val="es-419"/>
              </w:rPr>
              <w:t xml:space="preserve"> (IUM) y la Universidad</w:t>
            </w:r>
            <w:r w:rsidRPr="00CB1AF4">
              <w:rPr>
                <w:szCs w:val="22"/>
                <w:lang w:val="es-419"/>
              </w:rPr>
              <w:t xml:space="preserve"> de Ciencia y Tecnología de Namibia</w:t>
            </w:r>
            <w:r w:rsidR="008B409C" w:rsidRPr="00CB1AF4">
              <w:rPr>
                <w:szCs w:val="22"/>
                <w:lang w:val="es-419"/>
              </w:rPr>
              <w:t xml:space="preserve"> (NUST)</w:t>
            </w:r>
            <w:r w:rsidRPr="00CB1AF4">
              <w:rPr>
                <w:szCs w:val="22"/>
                <w:lang w:val="es-419"/>
              </w:rPr>
              <w:t>.  A este respe</w:t>
            </w:r>
            <w:r w:rsidR="008B409C" w:rsidRPr="00CB1AF4">
              <w:rPr>
                <w:szCs w:val="22"/>
                <w:lang w:val="es-419"/>
              </w:rPr>
              <w:t>cto, esta institución</w:t>
            </w:r>
            <w:r w:rsidRPr="00CB1AF4">
              <w:rPr>
                <w:szCs w:val="22"/>
                <w:lang w:val="es-419"/>
              </w:rPr>
              <w:t xml:space="preserve"> anunció que el conjunto de </w:t>
            </w:r>
            <w:r w:rsidR="008B409C" w:rsidRPr="00CB1AF4">
              <w:rPr>
                <w:szCs w:val="22"/>
                <w:lang w:val="es-419"/>
              </w:rPr>
              <w:t>materiales didácticos sobre PI</w:t>
            </w:r>
            <w:r w:rsidRPr="00CB1AF4">
              <w:rPr>
                <w:szCs w:val="22"/>
                <w:lang w:val="es-419"/>
              </w:rPr>
              <w:t xml:space="preserve"> y turismo que había elaborado como resultado concreto del proyecto podría utilizarse como base para la e</w:t>
            </w:r>
            <w:r w:rsidR="008B409C" w:rsidRPr="00CB1AF4">
              <w:rPr>
                <w:szCs w:val="22"/>
                <w:lang w:val="es-419"/>
              </w:rPr>
              <w:t>laboración ulterior del programa preliminar</w:t>
            </w:r>
            <w:r w:rsidRPr="00CB1AF4">
              <w:rPr>
                <w:szCs w:val="22"/>
                <w:lang w:val="es-419"/>
              </w:rPr>
              <w:t xml:space="preserve"> de</w:t>
            </w:r>
            <w:r w:rsidR="008B409C" w:rsidRPr="00CB1AF4">
              <w:rPr>
                <w:szCs w:val="22"/>
                <w:lang w:val="es-419"/>
              </w:rPr>
              <w:t xml:space="preserve"> un</w:t>
            </w:r>
            <w:r w:rsidRPr="00CB1AF4">
              <w:rPr>
                <w:szCs w:val="22"/>
                <w:lang w:val="es-419"/>
              </w:rPr>
              <w:t xml:space="preserve"> curso que sería compartido por otras univer</w:t>
            </w:r>
            <w:r w:rsidR="008B409C" w:rsidRPr="00CB1AF4">
              <w:rPr>
                <w:szCs w:val="22"/>
                <w:lang w:val="es-419"/>
              </w:rPr>
              <w:t>sidades nacionales, entre ellas</w:t>
            </w:r>
            <w:r w:rsidRPr="00CB1AF4">
              <w:rPr>
                <w:szCs w:val="22"/>
                <w:lang w:val="es-419"/>
              </w:rPr>
              <w:t xml:space="preserve"> la Universidad de Namibia (UNAM).</w:t>
            </w:r>
          </w:p>
          <w:p w:rsidR="00F54CC3" w:rsidRPr="00CB1AF4" w:rsidRDefault="00F54CC3" w:rsidP="00F54CC3">
            <w:pPr>
              <w:rPr>
                <w:szCs w:val="22"/>
                <w:lang w:val="es-419"/>
              </w:rPr>
            </w:pPr>
          </w:p>
          <w:p w:rsidR="000116EE" w:rsidRDefault="000116EE" w:rsidP="000116EE">
            <w:pPr>
              <w:rPr>
                <w:szCs w:val="22"/>
                <w:u w:val="single"/>
                <w:lang w:val="es-419"/>
              </w:rPr>
            </w:pPr>
          </w:p>
          <w:p w:rsidR="000116EE" w:rsidRDefault="000116EE" w:rsidP="000116EE">
            <w:pPr>
              <w:rPr>
                <w:szCs w:val="22"/>
                <w:u w:val="single"/>
                <w:lang w:val="es-419"/>
              </w:rPr>
            </w:pPr>
          </w:p>
          <w:p w:rsidR="009D386D" w:rsidRPr="00CB1AF4" w:rsidRDefault="009D386D" w:rsidP="000116EE">
            <w:pPr>
              <w:rPr>
                <w:szCs w:val="22"/>
                <w:lang w:val="es-419"/>
              </w:rPr>
            </w:pPr>
            <w:r w:rsidRPr="00CB1AF4">
              <w:rPr>
                <w:szCs w:val="22"/>
                <w:u w:val="single"/>
                <w:lang w:val="es-419"/>
              </w:rPr>
              <w:lastRenderedPageBreak/>
              <w:t>Sri Lanka</w:t>
            </w:r>
          </w:p>
          <w:p w:rsidR="009D386D" w:rsidRPr="00CB1AF4" w:rsidRDefault="009D386D" w:rsidP="000116EE">
            <w:pPr>
              <w:rPr>
                <w:szCs w:val="22"/>
                <w:lang w:val="es-419"/>
              </w:rPr>
            </w:pPr>
          </w:p>
          <w:p w:rsidR="0005435A" w:rsidRPr="00CB1AF4" w:rsidRDefault="0005435A" w:rsidP="000116EE">
            <w:pPr>
              <w:rPr>
                <w:szCs w:val="22"/>
                <w:lang w:val="es-419"/>
              </w:rPr>
            </w:pPr>
            <w:r w:rsidRPr="00CB1AF4">
              <w:rPr>
                <w:szCs w:val="22"/>
                <w:lang w:val="es-419"/>
              </w:rPr>
              <w:t>Sri Lanka fue el prime</w:t>
            </w:r>
            <w:r w:rsidR="00A73E7B" w:rsidRPr="00CB1AF4">
              <w:rPr>
                <w:szCs w:val="22"/>
                <w:lang w:val="es-419"/>
              </w:rPr>
              <w:t xml:space="preserve">r país en llevar a cabo con éxito y completar </w:t>
            </w:r>
            <w:r w:rsidRPr="00CB1AF4">
              <w:rPr>
                <w:szCs w:val="22"/>
                <w:lang w:val="es-419"/>
              </w:rPr>
              <w:t>un estudio nacional sobre la PI en el turismo y la cultura. El proyecto logró un alto perfil mediático y apoyo político cuando el estudio se presentó oficialmente en noviembre de 2017, en presencia de expertos, responsables de la formulación de políticas y medios de comunicación del país.</w:t>
            </w:r>
          </w:p>
          <w:p w:rsidR="0005435A" w:rsidRPr="00CB1AF4" w:rsidRDefault="0005435A" w:rsidP="0005435A">
            <w:pPr>
              <w:rPr>
                <w:szCs w:val="22"/>
                <w:lang w:val="es-419"/>
              </w:rPr>
            </w:pPr>
          </w:p>
          <w:p w:rsidR="0005435A" w:rsidRPr="00CB1AF4" w:rsidRDefault="0005435A" w:rsidP="0005435A">
            <w:pPr>
              <w:rPr>
                <w:szCs w:val="22"/>
                <w:lang w:val="es-419"/>
              </w:rPr>
            </w:pPr>
            <w:r w:rsidRPr="00CB1AF4">
              <w:rPr>
                <w:szCs w:val="22"/>
                <w:lang w:val="es-419"/>
              </w:rPr>
              <w:t>Se reconoció que tres áreas del grupo eran de interés prioritario para el turismo en Sri Lanka: el turismo cultural, el ecológico y el de</w:t>
            </w:r>
            <w:r w:rsidR="009E18C8" w:rsidRPr="00CB1AF4">
              <w:rPr>
                <w:szCs w:val="22"/>
                <w:lang w:val="es-419"/>
              </w:rPr>
              <w:t xml:space="preserve"> bienestar</w:t>
            </w:r>
            <w:r w:rsidRPr="00CB1AF4">
              <w:rPr>
                <w:szCs w:val="22"/>
                <w:lang w:val="es-419"/>
              </w:rPr>
              <w:t>. En 2017 se llevaron a cabo dos actividades de fomento de la capacidad para los actores vinculados al sector turístico en las zonas de la capital, Colombo, y la provincia meridional de Gaulle. Esas actividades pusieron de relieve algunos de los actuales obstáculos para el desarrollo del turismo, pero también permitieron identificar los beneficios que</w:t>
            </w:r>
            <w:r w:rsidR="004A2F6F" w:rsidRPr="00CB1AF4">
              <w:rPr>
                <w:szCs w:val="22"/>
                <w:lang w:val="es-419"/>
              </w:rPr>
              <w:t xml:space="preserve"> un mejor uso del sistema de PI podría reportar a</w:t>
            </w:r>
            <w:r w:rsidRPr="00CB1AF4">
              <w:rPr>
                <w:szCs w:val="22"/>
                <w:lang w:val="es-419"/>
              </w:rPr>
              <w:t xml:space="preserve"> las actividades económicas relacionadas con el turismo. Con respecto a las áreas específicas del turismo cultural y el ecoturismo, se hizo un claro hincapié en la necesidad de que las partes interesadas crearan las condiciones para la sostenibilidad ambiental y social, especialmente en beneficio de las comunidades locales.</w:t>
            </w:r>
          </w:p>
          <w:p w:rsidR="0005435A" w:rsidRPr="00CB1AF4" w:rsidRDefault="0005435A" w:rsidP="0005435A">
            <w:pPr>
              <w:rPr>
                <w:szCs w:val="22"/>
                <w:lang w:val="es-419"/>
              </w:rPr>
            </w:pPr>
          </w:p>
          <w:p w:rsidR="0005435A" w:rsidRPr="00CB1AF4" w:rsidRDefault="0005435A" w:rsidP="0005435A">
            <w:pPr>
              <w:rPr>
                <w:szCs w:val="22"/>
                <w:lang w:val="es-419"/>
              </w:rPr>
            </w:pPr>
            <w:r w:rsidRPr="00CB1AF4">
              <w:rPr>
                <w:szCs w:val="22"/>
                <w:lang w:val="es-419"/>
              </w:rPr>
              <w:t>En 2017 se organizó una mesa redonda de encargados de la formulación de políticas en la que participaron altos funcionarios de instituciones pertinentes de diversas esferas no</w:t>
            </w:r>
            <w:r w:rsidR="00144B3A" w:rsidRPr="00CB1AF4">
              <w:rPr>
                <w:szCs w:val="22"/>
                <w:lang w:val="es-419"/>
              </w:rPr>
              <w:t>rmativas y productivas, tales como ministerios y d</w:t>
            </w:r>
            <w:r w:rsidRPr="00CB1AF4">
              <w:rPr>
                <w:szCs w:val="22"/>
                <w:lang w:val="es-419"/>
              </w:rPr>
              <w:t>epartamentos de Ciencia y Tecnología, Inno</w:t>
            </w:r>
            <w:r w:rsidR="00144B3A" w:rsidRPr="00CB1AF4">
              <w:rPr>
                <w:szCs w:val="22"/>
                <w:lang w:val="es-419"/>
              </w:rPr>
              <w:t xml:space="preserve">vación, </w:t>
            </w:r>
            <w:r w:rsidRPr="00CB1AF4">
              <w:rPr>
                <w:szCs w:val="22"/>
                <w:lang w:val="es-419"/>
              </w:rPr>
              <w:t>Medicina</w:t>
            </w:r>
            <w:r w:rsidR="00144B3A" w:rsidRPr="00CB1AF4">
              <w:rPr>
                <w:szCs w:val="22"/>
                <w:lang w:val="es-419"/>
              </w:rPr>
              <w:t xml:space="preserve"> Ayurvédica y </w:t>
            </w:r>
            <w:r w:rsidRPr="00CB1AF4">
              <w:rPr>
                <w:szCs w:val="22"/>
                <w:lang w:val="es-419"/>
              </w:rPr>
              <w:t xml:space="preserve">Tradicional, Fauna y Flora Silvestres, Medio Ambiente, la Junta de Desarrollo de las Exportaciones, la Junta de Té de Ceilán, además de </w:t>
            </w:r>
            <w:r w:rsidR="00144B3A" w:rsidRPr="00CB1AF4">
              <w:rPr>
                <w:szCs w:val="22"/>
                <w:lang w:val="es-419"/>
              </w:rPr>
              <w:t xml:space="preserve">la Autoridad para el Desarrollo del Turismo de Sri Lanka (SLTDA), </w:t>
            </w:r>
            <w:r w:rsidRPr="00CB1AF4">
              <w:rPr>
                <w:szCs w:val="22"/>
                <w:lang w:val="es-419"/>
              </w:rPr>
              <w:t xml:space="preserve">la Oficina Nacional de Propiedad Intelectual </w:t>
            </w:r>
            <w:r w:rsidR="00144B3A" w:rsidRPr="00CB1AF4">
              <w:rPr>
                <w:szCs w:val="22"/>
                <w:lang w:val="es-419"/>
              </w:rPr>
              <w:t xml:space="preserve">de Sri Lanka </w:t>
            </w:r>
            <w:r w:rsidRPr="00CB1AF4">
              <w:rPr>
                <w:szCs w:val="22"/>
                <w:lang w:val="es-419"/>
              </w:rPr>
              <w:t xml:space="preserve">y la Universidad de Colombo. </w:t>
            </w:r>
          </w:p>
          <w:p w:rsidR="0005435A" w:rsidRPr="00CB1AF4" w:rsidRDefault="0005435A" w:rsidP="0005435A">
            <w:pPr>
              <w:rPr>
                <w:szCs w:val="22"/>
                <w:lang w:val="es-419"/>
              </w:rPr>
            </w:pPr>
          </w:p>
          <w:p w:rsidR="0005435A" w:rsidRPr="00CB1AF4" w:rsidRDefault="0005435A" w:rsidP="0005435A">
            <w:pPr>
              <w:rPr>
                <w:szCs w:val="22"/>
                <w:lang w:val="es-419"/>
              </w:rPr>
            </w:pPr>
            <w:r w:rsidRPr="00CB1AF4">
              <w:rPr>
                <w:szCs w:val="22"/>
                <w:lang w:val="es-419"/>
              </w:rPr>
              <w:t xml:space="preserve">Los </w:t>
            </w:r>
            <w:r w:rsidR="00144B3A" w:rsidRPr="00CB1AF4">
              <w:rPr>
                <w:szCs w:val="22"/>
                <w:lang w:val="es-419"/>
              </w:rPr>
              <w:t xml:space="preserve">significativos </w:t>
            </w:r>
            <w:r w:rsidRPr="00CB1AF4">
              <w:rPr>
                <w:szCs w:val="22"/>
                <w:lang w:val="es-419"/>
              </w:rPr>
              <w:t>avances logrados en Sri Lanka en la ejecución del proyecto durante 2016 y 2017 se vieron desgraciadamente paralizados en 2018 por los cambios políticos internos que afectaron a las estructuras gubernamentales en general y, en particular,</w:t>
            </w:r>
            <w:r w:rsidR="00144B3A" w:rsidRPr="00CB1AF4">
              <w:rPr>
                <w:szCs w:val="22"/>
                <w:lang w:val="es-419"/>
              </w:rPr>
              <w:t xml:space="preserve"> al liderazgo de la SLTDA</w:t>
            </w:r>
            <w:r w:rsidRPr="00CB1AF4">
              <w:rPr>
                <w:szCs w:val="22"/>
                <w:lang w:val="es-419"/>
              </w:rPr>
              <w:t>, que hasta entonces había sido un aliado importante</w:t>
            </w:r>
            <w:r w:rsidR="00144B3A" w:rsidRPr="00CB1AF4">
              <w:rPr>
                <w:szCs w:val="22"/>
                <w:lang w:val="es-419"/>
              </w:rPr>
              <w:t xml:space="preserve"> en la ejecución del proyecto. La ausencia de</w:t>
            </w:r>
            <w:r w:rsidRPr="00CB1AF4">
              <w:rPr>
                <w:szCs w:val="22"/>
                <w:lang w:val="es-419"/>
              </w:rPr>
              <w:t xml:space="preserve"> </w:t>
            </w:r>
            <w:r w:rsidR="00144B3A" w:rsidRPr="00CB1AF4">
              <w:rPr>
                <w:szCs w:val="22"/>
                <w:lang w:val="es-419"/>
              </w:rPr>
              <w:t xml:space="preserve">una contraparte dedicada y la existencia de </w:t>
            </w:r>
            <w:r w:rsidRPr="00CB1AF4">
              <w:rPr>
                <w:szCs w:val="22"/>
                <w:lang w:val="es-419"/>
              </w:rPr>
              <w:t>prioridades</w:t>
            </w:r>
            <w:r w:rsidR="00144B3A" w:rsidRPr="00CB1AF4">
              <w:rPr>
                <w:szCs w:val="22"/>
                <w:lang w:val="es-419"/>
              </w:rPr>
              <w:t xml:space="preserve"> divergentes dificultaron el mantenimiento de un apoyo sostenido para el proyecto.</w:t>
            </w:r>
          </w:p>
          <w:p w:rsidR="0005435A" w:rsidRPr="00CB1AF4" w:rsidRDefault="0005435A" w:rsidP="0005435A">
            <w:pPr>
              <w:rPr>
                <w:szCs w:val="22"/>
                <w:lang w:val="es-419"/>
              </w:rPr>
            </w:pPr>
          </w:p>
          <w:p w:rsidR="0005435A" w:rsidRPr="00CB1AF4" w:rsidRDefault="0005435A" w:rsidP="0005435A">
            <w:pPr>
              <w:rPr>
                <w:szCs w:val="22"/>
                <w:lang w:val="es-419"/>
              </w:rPr>
            </w:pPr>
            <w:r w:rsidRPr="00CB1AF4">
              <w:rPr>
                <w:szCs w:val="22"/>
                <w:lang w:val="es-419"/>
              </w:rPr>
              <w:t>A pesar de estos obstáculos, el proyect</w:t>
            </w:r>
            <w:r w:rsidR="000D4ABA" w:rsidRPr="00CB1AF4">
              <w:rPr>
                <w:szCs w:val="22"/>
                <w:lang w:val="es-419"/>
              </w:rPr>
              <w:t>o avanzó de manera remarcable</w:t>
            </w:r>
            <w:r w:rsidRPr="00CB1AF4">
              <w:rPr>
                <w:szCs w:val="22"/>
                <w:lang w:val="es-419"/>
              </w:rPr>
              <w:t xml:space="preserve"> hacia el logro del indicad</w:t>
            </w:r>
            <w:r w:rsidR="00F11D9D" w:rsidRPr="00CB1AF4">
              <w:rPr>
                <w:szCs w:val="22"/>
                <w:lang w:val="es-419"/>
              </w:rPr>
              <w:t xml:space="preserve">or de resultados </w:t>
            </w:r>
            <w:r w:rsidR="000F1199" w:rsidRPr="00CB1AF4">
              <w:rPr>
                <w:szCs w:val="22"/>
                <w:lang w:val="es-419"/>
              </w:rPr>
              <w:t>“</w:t>
            </w:r>
            <w:r w:rsidRPr="00CB1AF4">
              <w:rPr>
                <w:szCs w:val="22"/>
                <w:lang w:val="es-419"/>
              </w:rPr>
              <w:t>adopción de planes de estudio y material</w:t>
            </w:r>
            <w:r w:rsidR="004A2F6F" w:rsidRPr="00CB1AF4">
              <w:rPr>
                <w:szCs w:val="22"/>
                <w:lang w:val="es-419"/>
              </w:rPr>
              <w:t>es didácticos</w:t>
            </w:r>
            <w:r w:rsidR="00F11D9D" w:rsidRPr="00CB1AF4">
              <w:rPr>
                <w:szCs w:val="22"/>
                <w:lang w:val="es-419"/>
              </w:rPr>
              <w:t xml:space="preserve"> y de formación</w:t>
            </w:r>
            <w:r w:rsidR="000F1199" w:rsidRPr="00CB1AF4">
              <w:rPr>
                <w:szCs w:val="22"/>
                <w:lang w:val="es-419"/>
              </w:rPr>
              <w:t>”</w:t>
            </w:r>
            <w:r w:rsidR="000D4ABA" w:rsidRPr="00CB1AF4">
              <w:rPr>
                <w:szCs w:val="22"/>
                <w:lang w:val="es-419"/>
              </w:rPr>
              <w:t xml:space="preserve">. </w:t>
            </w:r>
            <w:r w:rsidRPr="00CB1AF4">
              <w:rPr>
                <w:szCs w:val="22"/>
                <w:lang w:val="es-419"/>
              </w:rPr>
              <w:t>A este respecto, el proyecto siguió dedicando recursos y atención a la elaboración de materiale</w:t>
            </w:r>
            <w:r w:rsidR="000D4ABA" w:rsidRPr="00CB1AF4">
              <w:rPr>
                <w:szCs w:val="22"/>
                <w:lang w:val="es-419"/>
              </w:rPr>
              <w:t>s didácticos, lo cual ha permitido elaborar</w:t>
            </w:r>
            <w:r w:rsidRPr="00CB1AF4">
              <w:rPr>
                <w:szCs w:val="22"/>
                <w:lang w:val="es-419"/>
              </w:rPr>
              <w:t xml:space="preserve"> un programa de estudios com</w:t>
            </w:r>
            <w:r w:rsidR="000D4ABA" w:rsidRPr="00CB1AF4">
              <w:rPr>
                <w:szCs w:val="22"/>
                <w:lang w:val="es-419"/>
              </w:rPr>
              <w:t>pleto que consta de 8 módulos (equivalentes a</w:t>
            </w:r>
            <w:r w:rsidRPr="00CB1AF4">
              <w:rPr>
                <w:szCs w:val="22"/>
                <w:lang w:val="es-419"/>
              </w:rPr>
              <w:t xml:space="preserve"> 45 horas de crédito</w:t>
            </w:r>
            <w:r w:rsidR="000D4ABA" w:rsidRPr="00CB1AF4">
              <w:rPr>
                <w:szCs w:val="22"/>
                <w:lang w:val="es-419"/>
              </w:rPr>
              <w:t xml:space="preserve"> académico)</w:t>
            </w:r>
            <w:r w:rsidRPr="00CB1AF4">
              <w:rPr>
                <w:szCs w:val="22"/>
                <w:lang w:val="es-419"/>
              </w:rPr>
              <w:t>.</w:t>
            </w:r>
          </w:p>
          <w:p w:rsidR="009D386D" w:rsidRDefault="009D386D" w:rsidP="0005435A">
            <w:pPr>
              <w:rPr>
                <w:szCs w:val="22"/>
                <w:lang w:val="es-419"/>
              </w:rPr>
            </w:pPr>
          </w:p>
          <w:p w:rsidR="000116EE" w:rsidRPr="00CB1AF4" w:rsidRDefault="000116EE" w:rsidP="0005435A">
            <w:pPr>
              <w:rPr>
                <w:szCs w:val="22"/>
                <w:lang w:val="es-419"/>
              </w:rPr>
            </w:pPr>
          </w:p>
          <w:p w:rsidR="009D386D" w:rsidRPr="00CB1AF4" w:rsidRDefault="000D4ABA" w:rsidP="009D386D">
            <w:pPr>
              <w:numPr>
                <w:ilvl w:val="0"/>
                <w:numId w:val="8"/>
              </w:numPr>
              <w:rPr>
                <w:szCs w:val="22"/>
                <w:u w:val="single"/>
                <w:lang w:val="es-419"/>
              </w:rPr>
            </w:pPr>
            <w:r w:rsidRPr="00CB1AF4">
              <w:rPr>
                <w:szCs w:val="22"/>
                <w:u w:val="single"/>
                <w:lang w:val="es-419"/>
              </w:rPr>
              <w:lastRenderedPageBreak/>
              <w:t>Ejecución del proyecto a nivel de la Secretaría</w:t>
            </w:r>
          </w:p>
          <w:p w:rsidR="009D386D" w:rsidRPr="00CB1AF4" w:rsidRDefault="009D386D" w:rsidP="00FA6258">
            <w:pPr>
              <w:rPr>
                <w:szCs w:val="22"/>
                <w:u w:val="single"/>
                <w:lang w:val="es-419"/>
              </w:rPr>
            </w:pPr>
          </w:p>
          <w:p w:rsidR="000D4ABA" w:rsidRPr="00CB1AF4" w:rsidRDefault="000D4ABA" w:rsidP="000D4ABA">
            <w:pPr>
              <w:rPr>
                <w:szCs w:val="22"/>
                <w:lang w:val="es-419"/>
              </w:rPr>
            </w:pPr>
            <w:r w:rsidRPr="00CB1AF4">
              <w:rPr>
                <w:szCs w:val="22"/>
                <w:lang w:val="es-419"/>
              </w:rPr>
              <w:t>Paralelamente a la ejecución en los países, la Secretaría gestionó de forma centralizada una serie d</w:t>
            </w:r>
            <w:r w:rsidR="00B400C5" w:rsidRPr="00CB1AF4">
              <w:rPr>
                <w:szCs w:val="22"/>
                <w:lang w:val="es-419"/>
              </w:rPr>
              <w:t>e actividades genéricas de concientización</w:t>
            </w:r>
            <w:r w:rsidRPr="00CB1AF4">
              <w:rPr>
                <w:szCs w:val="22"/>
                <w:lang w:val="es-419"/>
              </w:rPr>
              <w:t>, en consonancia con el objetivo del proyecto</w:t>
            </w:r>
            <w:r w:rsidR="00B400C5" w:rsidRPr="00CB1AF4">
              <w:rPr>
                <w:szCs w:val="22"/>
                <w:lang w:val="es-419"/>
              </w:rPr>
              <w:t xml:space="preserve"> relativo a la sensibilización.</w:t>
            </w:r>
            <w:r w:rsidRPr="00CB1AF4">
              <w:rPr>
                <w:szCs w:val="22"/>
                <w:lang w:val="es-419"/>
              </w:rPr>
              <w:t xml:space="preserve"> A este respecto, </w:t>
            </w:r>
            <w:r w:rsidR="00B400C5" w:rsidRPr="00CB1AF4">
              <w:rPr>
                <w:szCs w:val="22"/>
                <w:lang w:val="es-419"/>
              </w:rPr>
              <w:t>la Secretaría coordinó la elaboración</w:t>
            </w:r>
            <w:r w:rsidRPr="00CB1AF4">
              <w:rPr>
                <w:szCs w:val="22"/>
                <w:lang w:val="es-419"/>
              </w:rPr>
              <w:t xml:space="preserve"> de una guía práctica sobre el uso de l</w:t>
            </w:r>
            <w:r w:rsidR="00B400C5" w:rsidRPr="00CB1AF4">
              <w:rPr>
                <w:szCs w:val="22"/>
                <w:lang w:val="es-419"/>
              </w:rPr>
              <w:t>os sistemas y herramientas de PI</w:t>
            </w:r>
            <w:r w:rsidRPr="00CB1AF4">
              <w:rPr>
                <w:szCs w:val="22"/>
                <w:lang w:val="es-419"/>
              </w:rPr>
              <w:t xml:space="preserve"> para la promoción</w:t>
            </w:r>
            <w:r w:rsidR="00B400C5" w:rsidRPr="00CB1AF4">
              <w:rPr>
                <w:szCs w:val="22"/>
                <w:lang w:val="es-419"/>
              </w:rPr>
              <w:t xml:space="preserve"> del turismo, con miras a incorporar los conceptos esenciales extraídos</w:t>
            </w:r>
            <w:r w:rsidRPr="00CB1AF4">
              <w:rPr>
                <w:szCs w:val="22"/>
                <w:lang w:val="es-419"/>
              </w:rPr>
              <w:t xml:space="preserve"> de las investigaciones originales realizadas en los cuatro países pilo</w:t>
            </w:r>
            <w:r w:rsidR="004A2F6F" w:rsidRPr="00CB1AF4">
              <w:rPr>
                <w:szCs w:val="22"/>
                <w:lang w:val="es-419"/>
              </w:rPr>
              <w:t>to y</w:t>
            </w:r>
            <w:r w:rsidRPr="00CB1AF4">
              <w:rPr>
                <w:szCs w:val="22"/>
                <w:lang w:val="es-419"/>
              </w:rPr>
              <w:t xml:space="preserve"> de las mejores prácticas internacionales en materia de prom</w:t>
            </w:r>
            <w:r w:rsidR="00B400C5" w:rsidRPr="00CB1AF4">
              <w:rPr>
                <w:szCs w:val="22"/>
                <w:lang w:val="es-419"/>
              </w:rPr>
              <w:t>oción del turismo sostenible. A</w:t>
            </w:r>
            <w:r w:rsidRPr="00CB1AF4">
              <w:rPr>
                <w:szCs w:val="22"/>
                <w:lang w:val="es-419"/>
              </w:rPr>
              <w:t xml:space="preserve">demás, </w:t>
            </w:r>
            <w:r w:rsidR="00B400C5" w:rsidRPr="00CB1AF4">
              <w:rPr>
                <w:szCs w:val="22"/>
                <w:lang w:val="es-419"/>
              </w:rPr>
              <w:t>la Secretaría suscribió</w:t>
            </w:r>
            <w:r w:rsidRPr="00CB1AF4">
              <w:rPr>
                <w:szCs w:val="22"/>
                <w:lang w:val="es-419"/>
              </w:rPr>
              <w:t xml:space="preserve"> un acuerdo de cooperación con la Organización Mundial del Turismo de las Naciones U</w:t>
            </w:r>
            <w:r w:rsidR="00B400C5" w:rsidRPr="00CB1AF4">
              <w:rPr>
                <w:szCs w:val="22"/>
                <w:lang w:val="es-419"/>
              </w:rPr>
              <w:t>nidas (OMT) para la elaboración conjunta</w:t>
            </w:r>
            <w:r w:rsidRPr="00CB1AF4">
              <w:rPr>
                <w:szCs w:val="22"/>
                <w:lang w:val="es-419"/>
              </w:rPr>
              <w:t xml:space="preserve"> de una </w:t>
            </w:r>
            <w:r w:rsidR="00B400C5" w:rsidRPr="00CB1AF4">
              <w:rPr>
                <w:szCs w:val="22"/>
                <w:lang w:val="es-419"/>
              </w:rPr>
              <w:t>guía sobre PI y turismo, que se completará</w:t>
            </w:r>
            <w:r w:rsidRPr="00CB1AF4">
              <w:rPr>
                <w:szCs w:val="22"/>
                <w:lang w:val="es-419"/>
              </w:rPr>
              <w:t xml:space="preserve"> a final</w:t>
            </w:r>
            <w:r w:rsidR="00B400C5" w:rsidRPr="00CB1AF4">
              <w:rPr>
                <w:szCs w:val="22"/>
                <w:lang w:val="es-419"/>
              </w:rPr>
              <w:t xml:space="preserve">es de 2019. </w:t>
            </w:r>
            <w:r w:rsidRPr="00CB1AF4">
              <w:rPr>
                <w:szCs w:val="22"/>
                <w:lang w:val="es-419"/>
              </w:rPr>
              <w:t xml:space="preserve">El objetivo de </w:t>
            </w:r>
            <w:r w:rsidR="00B400C5" w:rsidRPr="00CB1AF4">
              <w:rPr>
                <w:szCs w:val="22"/>
                <w:lang w:val="es-419"/>
              </w:rPr>
              <w:t>esta publicación es concientizar</w:t>
            </w:r>
            <w:r w:rsidRPr="00CB1AF4">
              <w:rPr>
                <w:szCs w:val="22"/>
                <w:lang w:val="es-419"/>
              </w:rPr>
              <w:t xml:space="preserve"> a las partes interesadas sobre el uso de la P</w:t>
            </w:r>
            <w:r w:rsidR="00B400C5" w:rsidRPr="00CB1AF4">
              <w:rPr>
                <w:szCs w:val="22"/>
                <w:lang w:val="es-419"/>
              </w:rPr>
              <w:t>I</w:t>
            </w:r>
            <w:r w:rsidRPr="00CB1AF4">
              <w:rPr>
                <w:szCs w:val="22"/>
                <w:lang w:val="es-419"/>
              </w:rPr>
              <w:t xml:space="preserve"> en el sector del turismo, y será distribuida por la OMPI y la OMT entre sus respectivos grupos de interés.</w:t>
            </w:r>
          </w:p>
          <w:p w:rsidR="000D4ABA" w:rsidRPr="00CB1AF4" w:rsidRDefault="000D4ABA" w:rsidP="000D4ABA">
            <w:pPr>
              <w:rPr>
                <w:szCs w:val="22"/>
                <w:lang w:val="es-419"/>
              </w:rPr>
            </w:pPr>
          </w:p>
          <w:p w:rsidR="009D386D" w:rsidRPr="00CB1AF4" w:rsidRDefault="004A2F6F" w:rsidP="004A2F6F">
            <w:pPr>
              <w:rPr>
                <w:szCs w:val="22"/>
                <w:lang w:val="es-419"/>
              </w:rPr>
            </w:pPr>
            <w:r w:rsidRPr="00CB1AF4">
              <w:rPr>
                <w:szCs w:val="22"/>
                <w:lang w:val="es-419"/>
              </w:rPr>
              <w:t>Como parte del proyecto, s</w:t>
            </w:r>
            <w:r w:rsidR="000D4ABA" w:rsidRPr="00CB1AF4">
              <w:rPr>
                <w:szCs w:val="22"/>
                <w:lang w:val="es-419"/>
              </w:rPr>
              <w:t>e llevaron a cabo actividad</w:t>
            </w:r>
            <w:r w:rsidRPr="00CB1AF4">
              <w:rPr>
                <w:szCs w:val="22"/>
                <w:lang w:val="es-419"/>
              </w:rPr>
              <w:t xml:space="preserve">es adicionales para favorecer el logro del resultado que se había formulado como </w:t>
            </w:r>
            <w:r w:rsidR="000F1199" w:rsidRPr="00CB1AF4">
              <w:rPr>
                <w:szCs w:val="22"/>
                <w:lang w:val="es-419"/>
              </w:rPr>
              <w:t>“</w:t>
            </w:r>
            <w:r w:rsidR="001E501A" w:rsidRPr="00CB1AF4">
              <w:rPr>
                <w:rFonts w:eastAsia="Times New Roman"/>
                <w:lang w:val="es-419" w:eastAsia="en-US"/>
              </w:rPr>
              <w:t xml:space="preserve">Mayor concienciación en la comunidad académica sobre la interrelación de la PI con el turismo y la promoción de los conocimientos, las tradiciones y la cultura nacionales en pos del </w:t>
            </w:r>
            <w:r w:rsidR="001E501A" w:rsidRPr="00CB1AF4">
              <w:rPr>
                <w:szCs w:val="22"/>
                <w:lang w:val="es-419"/>
              </w:rPr>
              <w:t>desarrollo</w:t>
            </w:r>
            <w:r w:rsidR="000F1199" w:rsidRPr="00CB1AF4">
              <w:rPr>
                <w:szCs w:val="22"/>
                <w:lang w:val="es-419"/>
              </w:rPr>
              <w:t>”</w:t>
            </w:r>
            <w:r w:rsidR="001E501A" w:rsidRPr="00CB1AF4">
              <w:rPr>
                <w:szCs w:val="22"/>
                <w:lang w:val="es-419"/>
              </w:rPr>
              <w:t xml:space="preserve">. </w:t>
            </w:r>
            <w:r w:rsidR="000D4ABA" w:rsidRPr="00CB1AF4">
              <w:rPr>
                <w:szCs w:val="22"/>
                <w:lang w:val="es-419"/>
              </w:rPr>
              <w:t xml:space="preserve">A este respecto, </w:t>
            </w:r>
            <w:r w:rsidRPr="00CB1AF4">
              <w:rPr>
                <w:szCs w:val="22"/>
                <w:lang w:val="es-419"/>
              </w:rPr>
              <w:t>en el marco d</w:t>
            </w:r>
            <w:r w:rsidR="000D4ABA" w:rsidRPr="00CB1AF4">
              <w:rPr>
                <w:szCs w:val="22"/>
                <w:lang w:val="es-419"/>
              </w:rPr>
              <w:t xml:space="preserve">el proyecto </w:t>
            </w:r>
            <w:r w:rsidRPr="00CB1AF4">
              <w:rPr>
                <w:szCs w:val="22"/>
                <w:lang w:val="es-419"/>
              </w:rPr>
              <w:t>se establecieron</w:t>
            </w:r>
            <w:r w:rsidR="000D4ABA" w:rsidRPr="00CB1AF4">
              <w:rPr>
                <w:szCs w:val="22"/>
                <w:lang w:val="es-419"/>
              </w:rPr>
              <w:t xml:space="preserve"> valiosos contactos </w:t>
            </w:r>
            <w:r w:rsidRPr="00CB1AF4">
              <w:rPr>
                <w:szCs w:val="22"/>
                <w:lang w:val="es-419"/>
              </w:rPr>
              <w:t xml:space="preserve">con redes académicas participantes en </w:t>
            </w:r>
            <w:r w:rsidR="000D4ABA" w:rsidRPr="00CB1AF4">
              <w:rPr>
                <w:szCs w:val="22"/>
                <w:lang w:val="es-419"/>
              </w:rPr>
              <w:t>el Proyecto Erasmus de la Unión Europea (</w:t>
            </w:r>
            <w:r w:rsidRPr="00CB1AF4">
              <w:rPr>
                <w:szCs w:val="22"/>
                <w:lang w:val="es-419"/>
              </w:rPr>
              <w:t>con un enfoque centrado en el</w:t>
            </w:r>
            <w:r w:rsidR="000D4ABA" w:rsidRPr="00CB1AF4">
              <w:rPr>
                <w:szCs w:val="22"/>
                <w:lang w:val="es-419"/>
              </w:rPr>
              <w:t xml:space="preserve"> intercambio</w:t>
            </w:r>
            <w:r w:rsidR="001E501A" w:rsidRPr="00CB1AF4">
              <w:rPr>
                <w:szCs w:val="22"/>
                <w:lang w:val="es-419"/>
              </w:rPr>
              <w:t xml:space="preserve"> con países latinoamericanos). </w:t>
            </w:r>
            <w:r w:rsidR="000D4ABA" w:rsidRPr="00CB1AF4">
              <w:rPr>
                <w:szCs w:val="22"/>
                <w:lang w:val="es-419"/>
              </w:rPr>
              <w:t xml:space="preserve">Esto se hizo con miras a intercambiar información para el diseño de planes de estudio especializados en el ámbito del turismo y para </w:t>
            </w:r>
            <w:r w:rsidR="001E501A" w:rsidRPr="00CB1AF4">
              <w:rPr>
                <w:szCs w:val="22"/>
                <w:lang w:val="es-419"/>
              </w:rPr>
              <w:t>introducir consideraciones de PI</w:t>
            </w:r>
            <w:r w:rsidR="000D4ABA" w:rsidRPr="00CB1AF4">
              <w:rPr>
                <w:szCs w:val="22"/>
                <w:lang w:val="es-419"/>
              </w:rPr>
              <w:t xml:space="preserve"> en el contexto de la enseña</w:t>
            </w:r>
            <w:r w:rsidR="001E501A" w:rsidRPr="00CB1AF4">
              <w:rPr>
                <w:szCs w:val="22"/>
                <w:lang w:val="es-419"/>
              </w:rPr>
              <w:t xml:space="preserve">nza de la gestión del turismo. </w:t>
            </w:r>
            <w:r w:rsidR="000D4ABA" w:rsidRPr="00CB1AF4">
              <w:rPr>
                <w:szCs w:val="22"/>
                <w:lang w:val="es-419"/>
              </w:rPr>
              <w:t xml:space="preserve">Un resultado interesante de esta colaboración fue la organización de un seminario en </w:t>
            </w:r>
            <w:r w:rsidR="001E501A" w:rsidRPr="00CB1AF4">
              <w:rPr>
                <w:szCs w:val="22"/>
                <w:lang w:val="es-419"/>
              </w:rPr>
              <w:t xml:space="preserve">línea por  </w:t>
            </w:r>
            <w:r w:rsidR="001E501A" w:rsidRPr="00CB1AF4">
              <w:rPr>
                <w:i/>
                <w:szCs w:val="22"/>
                <w:lang w:val="es-419"/>
              </w:rPr>
              <w:t>European IPR Helpdesk</w:t>
            </w:r>
            <w:r w:rsidR="001E501A" w:rsidRPr="00CB1AF4">
              <w:rPr>
                <w:szCs w:val="22"/>
                <w:lang w:val="es-419"/>
              </w:rPr>
              <w:t>, en agosto de 2018,</w:t>
            </w:r>
            <w:r w:rsidR="00861218" w:rsidRPr="00CB1AF4">
              <w:rPr>
                <w:szCs w:val="22"/>
                <w:lang w:val="es-419"/>
              </w:rPr>
              <w:t xml:space="preserve"> sobre PI, turismo y d</w:t>
            </w:r>
            <w:r w:rsidR="0062341A" w:rsidRPr="00CB1AF4">
              <w:rPr>
                <w:szCs w:val="22"/>
                <w:lang w:val="es-419"/>
              </w:rPr>
              <w:t>esarrollo</w:t>
            </w:r>
            <w:r w:rsidR="000D4ABA" w:rsidRPr="00CB1AF4">
              <w:rPr>
                <w:szCs w:val="22"/>
                <w:lang w:val="es-419"/>
              </w:rPr>
              <w:t>, al que asistieron más de 70 participantes de 15 países europeos.</w:t>
            </w:r>
          </w:p>
        </w:tc>
      </w:tr>
      <w:tr w:rsidR="009D386D" w:rsidRPr="00CB1AF4" w:rsidTr="00FA6258">
        <w:trPr>
          <w:trHeight w:val="1212"/>
        </w:trPr>
        <w:tc>
          <w:tcPr>
            <w:tcW w:w="2376" w:type="dxa"/>
            <w:shd w:val="clear" w:color="auto" w:fill="auto"/>
          </w:tcPr>
          <w:p w:rsidR="009D386D" w:rsidRPr="00CB1AF4" w:rsidRDefault="009D386D" w:rsidP="00DA290A">
            <w:pPr>
              <w:pStyle w:val="Heading3"/>
              <w:rPr>
                <w:szCs w:val="22"/>
                <w:lang w:val="es-419"/>
              </w:rPr>
            </w:pPr>
            <w:r w:rsidRPr="00CB1AF4">
              <w:rPr>
                <w:szCs w:val="22"/>
                <w:lang w:val="es-419"/>
              </w:rPr>
              <w:lastRenderedPageBreak/>
              <w:t>R</w:t>
            </w:r>
            <w:r w:rsidR="00DA290A" w:rsidRPr="00CB1AF4">
              <w:rPr>
                <w:szCs w:val="22"/>
                <w:lang w:val="es-419"/>
              </w:rPr>
              <w:t>esultados e incidencia del proyecto y enseñanzas extraídas</w:t>
            </w:r>
          </w:p>
        </w:tc>
        <w:tc>
          <w:tcPr>
            <w:tcW w:w="6889" w:type="dxa"/>
            <w:vAlign w:val="center"/>
          </w:tcPr>
          <w:p w:rsidR="009D386D" w:rsidRPr="00CB1AF4" w:rsidRDefault="009D386D" w:rsidP="00FA6258">
            <w:pPr>
              <w:rPr>
                <w:iCs/>
                <w:szCs w:val="22"/>
                <w:lang w:val="es-419"/>
              </w:rPr>
            </w:pPr>
          </w:p>
          <w:p w:rsidR="00DA290A" w:rsidRPr="00CB1AF4" w:rsidRDefault="00DA290A" w:rsidP="00DA290A">
            <w:pPr>
              <w:rPr>
                <w:iCs/>
                <w:szCs w:val="22"/>
                <w:lang w:val="es-419"/>
              </w:rPr>
            </w:pPr>
            <w:r w:rsidRPr="00CB1AF4">
              <w:rPr>
                <w:iCs/>
                <w:szCs w:val="22"/>
                <w:lang w:val="es-419"/>
              </w:rPr>
              <w:t xml:space="preserve">En los cuatro países, el proyecto logró un buen nivel de visibilidad y aceptación a través de la creación de comités directivos, en los que estaban representados instituciones gubernamentales, operadores turísticos del sector privado y el mundo académico. </w:t>
            </w:r>
            <w:r w:rsidR="00861218" w:rsidRPr="00CB1AF4">
              <w:rPr>
                <w:iCs/>
                <w:szCs w:val="22"/>
                <w:lang w:val="es-419"/>
              </w:rPr>
              <w:t xml:space="preserve">La firma </w:t>
            </w:r>
            <w:r w:rsidRPr="00CB1AF4">
              <w:rPr>
                <w:iCs/>
                <w:szCs w:val="22"/>
                <w:lang w:val="es-419"/>
              </w:rPr>
              <w:t>de memorandos de entendimiento/acuerdos de cooperación entre la OMPI y las instituciones coordinadoras en cada país piloto contribuyó además a recabar el apoyo político y la participación de las partes interesada</w:t>
            </w:r>
            <w:r w:rsidR="00861218" w:rsidRPr="00CB1AF4">
              <w:rPr>
                <w:iCs/>
                <w:szCs w:val="22"/>
                <w:lang w:val="es-419"/>
              </w:rPr>
              <w:t>s, de cara a</w:t>
            </w:r>
            <w:r w:rsidRPr="00CB1AF4">
              <w:rPr>
                <w:iCs/>
                <w:szCs w:val="22"/>
                <w:lang w:val="es-419"/>
              </w:rPr>
              <w:t>l logro de los resultados del proyecto.</w:t>
            </w:r>
          </w:p>
          <w:p w:rsidR="00DA290A" w:rsidRPr="00CB1AF4" w:rsidRDefault="00DA290A" w:rsidP="00DA290A">
            <w:pPr>
              <w:rPr>
                <w:iCs/>
                <w:szCs w:val="22"/>
                <w:lang w:val="es-419"/>
              </w:rPr>
            </w:pPr>
          </w:p>
          <w:p w:rsidR="00DA290A" w:rsidRPr="00CB1AF4" w:rsidRDefault="00DA290A" w:rsidP="00DA290A">
            <w:pPr>
              <w:rPr>
                <w:iCs/>
                <w:szCs w:val="22"/>
                <w:lang w:val="es-419"/>
              </w:rPr>
            </w:pPr>
            <w:r w:rsidRPr="00CB1AF4">
              <w:rPr>
                <w:iCs/>
                <w:szCs w:val="22"/>
                <w:lang w:val="es-419"/>
              </w:rPr>
              <w:t xml:space="preserve">Uno de los principales resultados fueron las conclusiones de una investigación original realizada en un ámbito temático en el que se disponía de poca bibliografía y se carecía de </w:t>
            </w:r>
            <w:r w:rsidR="00861218" w:rsidRPr="00CB1AF4">
              <w:rPr>
                <w:iCs/>
                <w:szCs w:val="22"/>
                <w:lang w:val="es-419"/>
              </w:rPr>
              <w:t>datos específicos para</w:t>
            </w:r>
            <w:r w:rsidRPr="00CB1AF4">
              <w:rPr>
                <w:iCs/>
                <w:szCs w:val="22"/>
                <w:lang w:val="es-419"/>
              </w:rPr>
              <w:t xml:space="preserve"> cada país: el análisis de los vínculos conceptuales </w:t>
            </w:r>
            <w:r w:rsidR="00861218" w:rsidRPr="00CB1AF4">
              <w:rPr>
                <w:iCs/>
                <w:szCs w:val="22"/>
                <w:lang w:val="es-419"/>
              </w:rPr>
              <w:t xml:space="preserve">existentes </w:t>
            </w:r>
            <w:r w:rsidRPr="00CB1AF4">
              <w:rPr>
                <w:iCs/>
                <w:szCs w:val="22"/>
                <w:lang w:val="es-419"/>
              </w:rPr>
              <w:t xml:space="preserve">entre los instrumentos de PI y las actividades comerciales relacionadas con el turismo y la promoción del patrimonio cultural y de </w:t>
            </w:r>
            <w:r w:rsidR="00861218" w:rsidRPr="00CB1AF4">
              <w:rPr>
                <w:iCs/>
                <w:szCs w:val="22"/>
                <w:lang w:val="es-419"/>
              </w:rPr>
              <w:t>las estrategias aplicables a</w:t>
            </w:r>
            <w:r w:rsidRPr="00CB1AF4">
              <w:rPr>
                <w:iCs/>
                <w:szCs w:val="22"/>
                <w:lang w:val="es-419"/>
              </w:rPr>
              <w:t xml:space="preserve"> la utilización de dichos instrumentos en </w:t>
            </w:r>
            <w:r w:rsidRPr="00CB1AF4">
              <w:rPr>
                <w:iCs/>
                <w:szCs w:val="22"/>
                <w:lang w:val="es-419"/>
              </w:rPr>
              <w:lastRenderedPageBreak/>
              <w:t xml:space="preserve">tales actividades. </w:t>
            </w:r>
            <w:r w:rsidR="00861218" w:rsidRPr="00CB1AF4">
              <w:rPr>
                <w:iCs/>
                <w:szCs w:val="22"/>
                <w:lang w:val="es-419"/>
              </w:rPr>
              <w:t xml:space="preserve"> </w:t>
            </w:r>
            <w:r w:rsidRPr="00CB1AF4">
              <w:rPr>
                <w:iCs/>
                <w:szCs w:val="22"/>
                <w:lang w:val="es-419"/>
              </w:rPr>
              <w:t>Los seis estudios realizados a nivel nacional (1 en Egipto, 2 en el Ecuador, 2 en Namibia y 1 en Sri Lanka) han abierto una amplia gama de oportunidades en cada uno de los cuatro países para seguir involucrando a las partes inter</w:t>
            </w:r>
            <w:r w:rsidR="00E21A5A" w:rsidRPr="00CB1AF4">
              <w:rPr>
                <w:iCs/>
                <w:szCs w:val="22"/>
                <w:lang w:val="es-419"/>
              </w:rPr>
              <w:t>esadas en el turismo en iniciativas concretas de introducción de estrategias de PI</w:t>
            </w:r>
            <w:r w:rsidRPr="00CB1AF4">
              <w:rPr>
                <w:iCs/>
                <w:szCs w:val="22"/>
                <w:lang w:val="es-419"/>
              </w:rPr>
              <w:t xml:space="preserve"> en la gestión de las empresas turísticas y en el desarrollo de políticas turísticas.</w:t>
            </w:r>
          </w:p>
          <w:p w:rsidR="00DA290A" w:rsidRPr="00CB1AF4" w:rsidRDefault="00DA290A" w:rsidP="00DA290A">
            <w:pPr>
              <w:rPr>
                <w:iCs/>
                <w:szCs w:val="22"/>
                <w:lang w:val="es-419"/>
              </w:rPr>
            </w:pPr>
          </w:p>
          <w:p w:rsidR="00DA290A" w:rsidRPr="00CB1AF4" w:rsidRDefault="00DA290A" w:rsidP="00DA290A">
            <w:pPr>
              <w:rPr>
                <w:iCs/>
                <w:szCs w:val="22"/>
                <w:lang w:val="es-419"/>
              </w:rPr>
            </w:pPr>
            <w:r w:rsidRPr="00CB1AF4">
              <w:rPr>
                <w:iCs/>
                <w:szCs w:val="22"/>
                <w:lang w:val="es-419"/>
              </w:rPr>
              <w:t>Queda por ver cómo se abordarán estas posibilidades mediante nuevos p</w:t>
            </w:r>
            <w:r w:rsidR="00E21A5A" w:rsidRPr="00CB1AF4">
              <w:rPr>
                <w:iCs/>
                <w:szCs w:val="22"/>
                <w:lang w:val="es-419"/>
              </w:rPr>
              <w:t>royectos específicos sobre la PI</w:t>
            </w:r>
            <w:r w:rsidRPr="00CB1AF4">
              <w:rPr>
                <w:iCs/>
                <w:szCs w:val="22"/>
                <w:lang w:val="es-419"/>
              </w:rPr>
              <w:t xml:space="preserve"> para el turismo y la prom</w:t>
            </w:r>
            <w:r w:rsidR="00E21A5A" w:rsidRPr="00CB1AF4">
              <w:rPr>
                <w:iCs/>
                <w:szCs w:val="22"/>
                <w:lang w:val="es-419"/>
              </w:rPr>
              <w:t>oción del patrimonio cultural. El tema</w:t>
            </w:r>
            <w:r w:rsidRPr="00CB1AF4">
              <w:rPr>
                <w:iCs/>
                <w:szCs w:val="22"/>
                <w:lang w:val="es-419"/>
              </w:rPr>
              <w:t xml:space="preserve"> merece una atención sostenida por parte de las autoridades de</w:t>
            </w:r>
            <w:r w:rsidR="00E21A5A" w:rsidRPr="00CB1AF4">
              <w:rPr>
                <w:iCs/>
                <w:szCs w:val="22"/>
                <w:lang w:val="es-419"/>
              </w:rPr>
              <w:t>l ámbito de la</w:t>
            </w:r>
            <w:r w:rsidRPr="00CB1AF4">
              <w:rPr>
                <w:iCs/>
                <w:szCs w:val="22"/>
                <w:lang w:val="es-419"/>
              </w:rPr>
              <w:t xml:space="preserve"> </w:t>
            </w:r>
            <w:r w:rsidR="00E21A5A" w:rsidRPr="00CB1AF4">
              <w:rPr>
                <w:iCs/>
                <w:szCs w:val="22"/>
                <w:lang w:val="es-419"/>
              </w:rPr>
              <w:t xml:space="preserve">PI </w:t>
            </w:r>
            <w:r w:rsidRPr="00CB1AF4">
              <w:rPr>
                <w:iCs/>
                <w:szCs w:val="22"/>
                <w:lang w:val="es-419"/>
              </w:rPr>
              <w:t xml:space="preserve">y </w:t>
            </w:r>
            <w:r w:rsidR="00E21A5A" w:rsidRPr="00CB1AF4">
              <w:rPr>
                <w:iCs/>
                <w:szCs w:val="22"/>
                <w:lang w:val="es-419"/>
              </w:rPr>
              <w:t xml:space="preserve">del </w:t>
            </w:r>
            <w:r w:rsidRPr="00CB1AF4">
              <w:rPr>
                <w:iCs/>
                <w:szCs w:val="22"/>
                <w:lang w:val="es-419"/>
              </w:rPr>
              <w:t>turismo de los países en cuestión, si se quiere que las recomendacione</w:t>
            </w:r>
            <w:r w:rsidR="00E21A5A" w:rsidRPr="00CB1AF4">
              <w:rPr>
                <w:iCs/>
                <w:szCs w:val="22"/>
                <w:lang w:val="es-419"/>
              </w:rPr>
              <w:t>s que surjan de las investigaciones en el plano nacional</w:t>
            </w:r>
            <w:r w:rsidRPr="00CB1AF4">
              <w:rPr>
                <w:iCs/>
                <w:szCs w:val="22"/>
                <w:lang w:val="es-419"/>
              </w:rPr>
              <w:t xml:space="preserve"> produzcan resultados concretos a nivel local.</w:t>
            </w:r>
          </w:p>
          <w:p w:rsidR="00DA290A" w:rsidRPr="00CB1AF4" w:rsidRDefault="00DA290A" w:rsidP="00DA290A">
            <w:pPr>
              <w:rPr>
                <w:iCs/>
                <w:szCs w:val="22"/>
                <w:lang w:val="es-419"/>
              </w:rPr>
            </w:pPr>
          </w:p>
          <w:p w:rsidR="00DA290A" w:rsidRPr="00CB1AF4" w:rsidRDefault="00E21A5A" w:rsidP="008E5AD1">
            <w:pPr>
              <w:keepNext/>
              <w:keepLines/>
              <w:rPr>
                <w:iCs/>
                <w:szCs w:val="22"/>
                <w:lang w:val="es-419"/>
              </w:rPr>
            </w:pPr>
            <w:r w:rsidRPr="00CB1AF4">
              <w:rPr>
                <w:iCs/>
                <w:szCs w:val="22"/>
                <w:lang w:val="es-419"/>
              </w:rPr>
              <w:t>El proyecto buscaba fomentar la capacidad de los actores del sector turístico</w:t>
            </w:r>
            <w:r w:rsidR="00861218" w:rsidRPr="00CB1AF4">
              <w:rPr>
                <w:iCs/>
                <w:szCs w:val="22"/>
                <w:lang w:val="es-419"/>
              </w:rPr>
              <w:t xml:space="preserve"> respecto a</w:t>
            </w:r>
            <w:r w:rsidR="00DA290A" w:rsidRPr="00CB1AF4">
              <w:rPr>
                <w:iCs/>
                <w:szCs w:val="22"/>
                <w:lang w:val="es-419"/>
              </w:rPr>
              <w:t xml:space="preserve"> la forma en que las herramientas y</w:t>
            </w:r>
            <w:r w:rsidRPr="00CB1AF4">
              <w:rPr>
                <w:iCs/>
                <w:szCs w:val="22"/>
                <w:lang w:val="es-419"/>
              </w:rPr>
              <w:t xml:space="preserve"> estrategias adecuadas de gestión de la PI</w:t>
            </w:r>
            <w:r w:rsidR="00861218" w:rsidRPr="00CB1AF4">
              <w:rPr>
                <w:iCs/>
                <w:szCs w:val="22"/>
                <w:lang w:val="es-419"/>
              </w:rPr>
              <w:t xml:space="preserve"> pueden</w:t>
            </w:r>
            <w:r w:rsidR="00DA290A" w:rsidRPr="00CB1AF4">
              <w:rPr>
                <w:iCs/>
                <w:szCs w:val="22"/>
                <w:lang w:val="es-419"/>
              </w:rPr>
              <w:t xml:space="preserve"> mejorar la competitividad de la</w:t>
            </w:r>
            <w:r w:rsidRPr="00CB1AF4">
              <w:rPr>
                <w:iCs/>
                <w:szCs w:val="22"/>
                <w:lang w:val="es-419"/>
              </w:rPr>
              <w:t>s empresas turísticas locales.</w:t>
            </w:r>
            <w:r w:rsidR="00861218" w:rsidRPr="00CB1AF4">
              <w:rPr>
                <w:iCs/>
                <w:szCs w:val="22"/>
                <w:lang w:val="es-419"/>
              </w:rPr>
              <w:t xml:space="preserve"> Una de las principales aportaciones de l</w:t>
            </w:r>
            <w:r w:rsidR="00DA290A" w:rsidRPr="00CB1AF4">
              <w:rPr>
                <w:iCs/>
                <w:szCs w:val="22"/>
                <w:lang w:val="es-419"/>
              </w:rPr>
              <w:t>os talleres iniciales celebrados en los cuatro paíse</w:t>
            </w:r>
            <w:r w:rsidR="00861218" w:rsidRPr="00CB1AF4">
              <w:rPr>
                <w:iCs/>
                <w:szCs w:val="22"/>
                <w:lang w:val="es-419"/>
              </w:rPr>
              <w:t>s fue familiarizar</w:t>
            </w:r>
            <w:r w:rsidR="00DA290A" w:rsidRPr="00CB1AF4">
              <w:rPr>
                <w:iCs/>
                <w:szCs w:val="22"/>
                <w:lang w:val="es-419"/>
              </w:rPr>
              <w:t xml:space="preserve"> a un grupo sele</w:t>
            </w:r>
            <w:r w:rsidR="00861218" w:rsidRPr="00CB1AF4">
              <w:rPr>
                <w:iCs/>
                <w:szCs w:val="22"/>
                <w:lang w:val="es-419"/>
              </w:rPr>
              <w:t>ccionado de partes interesadas con</w:t>
            </w:r>
            <w:r w:rsidR="00DA290A" w:rsidRPr="00CB1AF4">
              <w:rPr>
                <w:iCs/>
                <w:szCs w:val="22"/>
                <w:lang w:val="es-419"/>
              </w:rPr>
              <w:t xml:space="preserve"> las n</w:t>
            </w:r>
            <w:r w:rsidRPr="00CB1AF4">
              <w:rPr>
                <w:iCs/>
                <w:szCs w:val="22"/>
                <w:lang w:val="es-419"/>
              </w:rPr>
              <w:t>ociones fundamentales de la PI vinculadas a</w:t>
            </w:r>
            <w:r w:rsidR="00DA290A" w:rsidRPr="00CB1AF4">
              <w:rPr>
                <w:iCs/>
                <w:szCs w:val="22"/>
                <w:lang w:val="es-419"/>
              </w:rPr>
              <w:t>l turismo y la promoción del patrimon</w:t>
            </w:r>
            <w:r w:rsidR="00861218" w:rsidRPr="00CB1AF4">
              <w:rPr>
                <w:iCs/>
                <w:szCs w:val="22"/>
                <w:lang w:val="es-419"/>
              </w:rPr>
              <w:t xml:space="preserve">io cultural. </w:t>
            </w:r>
            <w:r w:rsidRPr="00CB1AF4">
              <w:rPr>
                <w:iCs/>
                <w:szCs w:val="22"/>
                <w:lang w:val="es-419"/>
              </w:rPr>
              <w:t>Es necesario continuar trabajando para ampliar la repercusión de esas actividades.</w:t>
            </w:r>
            <w:r w:rsidR="00DA290A" w:rsidRPr="00CB1AF4">
              <w:rPr>
                <w:iCs/>
                <w:szCs w:val="22"/>
                <w:lang w:val="es-419"/>
              </w:rPr>
              <w:t xml:space="preserve"> Una de las mejores prácticas a este respecto es la experiencia de la Oficina de Propiedad Intelectua</w:t>
            </w:r>
            <w:r w:rsidRPr="00CB1AF4">
              <w:rPr>
                <w:iCs/>
                <w:szCs w:val="22"/>
                <w:lang w:val="es-419"/>
              </w:rPr>
              <w:t>l del Ecuador, que ha suscrito</w:t>
            </w:r>
            <w:r w:rsidR="00DA290A" w:rsidRPr="00CB1AF4">
              <w:rPr>
                <w:iCs/>
                <w:szCs w:val="22"/>
                <w:lang w:val="es-419"/>
              </w:rPr>
              <w:t xml:space="preserve"> un acuerdo con el Ministe</w:t>
            </w:r>
            <w:r w:rsidRPr="00CB1AF4">
              <w:rPr>
                <w:iCs/>
                <w:szCs w:val="22"/>
                <w:lang w:val="es-419"/>
              </w:rPr>
              <w:t xml:space="preserve">rio de Turismo para incluir </w:t>
            </w:r>
            <w:r w:rsidR="00DA290A" w:rsidRPr="00CB1AF4">
              <w:rPr>
                <w:iCs/>
                <w:szCs w:val="22"/>
                <w:lang w:val="es-419"/>
              </w:rPr>
              <w:t>co</w:t>
            </w:r>
            <w:r w:rsidRPr="00CB1AF4">
              <w:rPr>
                <w:iCs/>
                <w:szCs w:val="22"/>
                <w:lang w:val="es-419"/>
              </w:rPr>
              <w:t>nceptos de PI</w:t>
            </w:r>
            <w:r w:rsidR="00DA290A" w:rsidRPr="00CB1AF4">
              <w:rPr>
                <w:iCs/>
                <w:szCs w:val="22"/>
                <w:lang w:val="es-419"/>
              </w:rPr>
              <w:t xml:space="preserve"> en la formación impartida en todo el país a los funcionarios de turismo de cada una de las provincias.</w:t>
            </w:r>
          </w:p>
          <w:p w:rsidR="00DA290A" w:rsidRPr="00CB1AF4" w:rsidRDefault="00DA290A" w:rsidP="00DA290A">
            <w:pPr>
              <w:rPr>
                <w:iCs/>
                <w:szCs w:val="22"/>
                <w:lang w:val="es-419"/>
              </w:rPr>
            </w:pPr>
          </w:p>
          <w:p w:rsidR="00DA290A" w:rsidRPr="00CB1AF4" w:rsidRDefault="00DA290A" w:rsidP="00DA290A">
            <w:pPr>
              <w:rPr>
                <w:iCs/>
                <w:szCs w:val="22"/>
                <w:lang w:val="es-419"/>
              </w:rPr>
            </w:pPr>
            <w:r w:rsidRPr="00CB1AF4">
              <w:rPr>
                <w:iCs/>
                <w:szCs w:val="22"/>
                <w:lang w:val="es-419"/>
              </w:rPr>
              <w:t xml:space="preserve">Gracias a la elaboración de material didáctico y de formación y a la adopción </w:t>
            </w:r>
            <w:r w:rsidR="00CA43D5" w:rsidRPr="00CB1AF4">
              <w:rPr>
                <w:iCs/>
                <w:szCs w:val="22"/>
                <w:lang w:val="es-419"/>
              </w:rPr>
              <w:t>de planes de estudio sobre la PI</w:t>
            </w:r>
            <w:r w:rsidRPr="00CB1AF4">
              <w:rPr>
                <w:iCs/>
                <w:szCs w:val="22"/>
                <w:lang w:val="es-419"/>
              </w:rPr>
              <w:t xml:space="preserve"> y el turismo en las escuelas y universidades de turismo, el proyecto seguirá teniendo un</w:t>
            </w:r>
            <w:r w:rsidR="00CA43D5" w:rsidRPr="00CB1AF4">
              <w:rPr>
                <w:iCs/>
                <w:szCs w:val="22"/>
                <w:lang w:val="es-419"/>
              </w:rPr>
              <w:t>a repercusión duradera</w:t>
            </w:r>
            <w:r w:rsidRPr="00CB1AF4">
              <w:rPr>
                <w:iCs/>
                <w:szCs w:val="22"/>
                <w:lang w:val="es-419"/>
              </w:rPr>
              <w:t>, más allá de su d</w:t>
            </w:r>
            <w:r w:rsidR="00CA43D5" w:rsidRPr="00CB1AF4">
              <w:rPr>
                <w:iCs/>
                <w:szCs w:val="22"/>
                <w:lang w:val="es-419"/>
              </w:rPr>
              <w:t xml:space="preserve">uración limitada en el tiempo. </w:t>
            </w:r>
            <w:r w:rsidRPr="00CB1AF4">
              <w:rPr>
                <w:iCs/>
                <w:szCs w:val="22"/>
                <w:lang w:val="es-419"/>
              </w:rPr>
              <w:t>A este respecto, la experiencia del Ecuador, Namibia y Sri Lanka, donde se elaboraron mat</w:t>
            </w:r>
            <w:r w:rsidR="00CA43D5" w:rsidRPr="00CB1AF4">
              <w:rPr>
                <w:iCs/>
                <w:szCs w:val="22"/>
                <w:lang w:val="es-419"/>
              </w:rPr>
              <w:t>eriales didácticos (adaptados a cada país) y se tomaron medidas</w:t>
            </w:r>
            <w:r w:rsidRPr="00CB1AF4">
              <w:rPr>
                <w:iCs/>
                <w:szCs w:val="22"/>
                <w:lang w:val="es-419"/>
              </w:rPr>
              <w:t xml:space="preserve"> para incluir cursos específicos en los planes de estudio aprobados, debe ser observada atentamente y apoy</w:t>
            </w:r>
            <w:r w:rsidR="00CA43D5" w:rsidRPr="00CB1AF4">
              <w:rPr>
                <w:iCs/>
                <w:szCs w:val="22"/>
                <w:lang w:val="es-419"/>
              </w:rPr>
              <w:t>ada durante los próximos años. Ha de</w:t>
            </w:r>
            <w:r w:rsidRPr="00CB1AF4">
              <w:rPr>
                <w:iCs/>
                <w:szCs w:val="22"/>
                <w:lang w:val="es-419"/>
              </w:rPr>
              <w:t xml:space="preserve"> explorar</w:t>
            </w:r>
            <w:r w:rsidR="00CA43D5" w:rsidRPr="00CB1AF4">
              <w:rPr>
                <w:iCs/>
                <w:szCs w:val="22"/>
                <w:lang w:val="es-419"/>
              </w:rPr>
              <w:t>se la posibilidad de adaptar es</w:t>
            </w:r>
            <w:r w:rsidRPr="00CB1AF4">
              <w:rPr>
                <w:iCs/>
                <w:szCs w:val="22"/>
                <w:lang w:val="es-419"/>
              </w:rPr>
              <w:t xml:space="preserve">os </w:t>
            </w:r>
            <w:r w:rsidR="00CA43D5" w:rsidRPr="00CB1AF4">
              <w:rPr>
                <w:iCs/>
                <w:szCs w:val="22"/>
                <w:lang w:val="es-419"/>
              </w:rPr>
              <w:t xml:space="preserve">materiales de enseñanza a un ámbito geográfico más amplio que </w:t>
            </w:r>
            <w:r w:rsidRPr="00CB1AF4">
              <w:rPr>
                <w:iCs/>
                <w:szCs w:val="22"/>
                <w:lang w:val="es-419"/>
              </w:rPr>
              <w:t>el país en el que se produjeron inicialmente (por ejemplo, de</w:t>
            </w:r>
            <w:r w:rsidR="00CA43D5" w:rsidRPr="00CB1AF4">
              <w:rPr>
                <w:iCs/>
                <w:szCs w:val="22"/>
                <w:lang w:val="es-419"/>
              </w:rPr>
              <w:t>l</w:t>
            </w:r>
            <w:r w:rsidRPr="00CB1AF4">
              <w:rPr>
                <w:iCs/>
                <w:szCs w:val="22"/>
                <w:lang w:val="es-419"/>
              </w:rPr>
              <w:t xml:space="preserve"> Ec</w:t>
            </w:r>
            <w:r w:rsidR="00CA43D5" w:rsidRPr="00CB1AF4">
              <w:rPr>
                <w:iCs/>
                <w:szCs w:val="22"/>
                <w:lang w:val="es-419"/>
              </w:rPr>
              <w:t>uador a un contexto latinoamericano</w:t>
            </w:r>
            <w:r w:rsidRPr="00CB1AF4">
              <w:rPr>
                <w:iCs/>
                <w:szCs w:val="22"/>
                <w:lang w:val="es-419"/>
              </w:rPr>
              <w:t xml:space="preserve"> de habla hispana).</w:t>
            </w:r>
          </w:p>
          <w:p w:rsidR="00DA290A" w:rsidRPr="00CB1AF4" w:rsidRDefault="00DA290A" w:rsidP="00DA290A">
            <w:pPr>
              <w:rPr>
                <w:iCs/>
                <w:szCs w:val="22"/>
                <w:lang w:val="es-419"/>
              </w:rPr>
            </w:pPr>
          </w:p>
          <w:p w:rsidR="00DA290A" w:rsidRPr="00CB1AF4" w:rsidRDefault="00DA290A" w:rsidP="00DA290A">
            <w:pPr>
              <w:rPr>
                <w:iCs/>
                <w:szCs w:val="22"/>
                <w:lang w:val="es-419"/>
              </w:rPr>
            </w:pPr>
            <w:r w:rsidRPr="00CB1AF4">
              <w:rPr>
                <w:iCs/>
                <w:szCs w:val="22"/>
                <w:lang w:val="es-419"/>
              </w:rPr>
              <w:t xml:space="preserve">Por último, el hecho de que otras redes académicas, más allá de los cuatro países piloto, sigan expresando </w:t>
            </w:r>
            <w:r w:rsidR="00CA43D5" w:rsidRPr="00CB1AF4">
              <w:rPr>
                <w:iCs/>
                <w:szCs w:val="22"/>
                <w:lang w:val="es-419"/>
              </w:rPr>
              <w:t>interés en la inclusión de la PI</w:t>
            </w:r>
            <w:r w:rsidRPr="00CB1AF4">
              <w:rPr>
                <w:iCs/>
                <w:szCs w:val="22"/>
                <w:lang w:val="es-419"/>
              </w:rPr>
              <w:t xml:space="preserve"> en el diseño de cursos y planes de estudio sobr</w:t>
            </w:r>
            <w:r w:rsidR="00CA43D5" w:rsidRPr="00CB1AF4">
              <w:rPr>
                <w:iCs/>
                <w:szCs w:val="22"/>
                <w:lang w:val="es-419"/>
              </w:rPr>
              <w:t>e turismo, demuestra la repercusión</w:t>
            </w:r>
            <w:r w:rsidRPr="00CB1AF4">
              <w:rPr>
                <w:iCs/>
                <w:szCs w:val="22"/>
                <w:lang w:val="es-419"/>
              </w:rPr>
              <w:t xml:space="preserve"> que el proyecto ha tenido más allá de su objetivo inmediato de ejecución.  </w:t>
            </w:r>
          </w:p>
          <w:p w:rsidR="009D386D" w:rsidRPr="00CB1AF4" w:rsidRDefault="009D386D" w:rsidP="00DA290A">
            <w:pPr>
              <w:rPr>
                <w:iCs/>
                <w:szCs w:val="22"/>
                <w:lang w:val="es-419"/>
              </w:rPr>
            </w:pPr>
          </w:p>
        </w:tc>
      </w:tr>
      <w:tr w:rsidR="009D386D" w:rsidRPr="00CB1AF4" w:rsidTr="00FA6258">
        <w:trPr>
          <w:trHeight w:val="713"/>
        </w:trPr>
        <w:tc>
          <w:tcPr>
            <w:tcW w:w="2376" w:type="dxa"/>
            <w:shd w:val="clear" w:color="auto" w:fill="auto"/>
          </w:tcPr>
          <w:p w:rsidR="009D386D" w:rsidRPr="00CB1AF4" w:rsidRDefault="007B2645" w:rsidP="00661C45">
            <w:pPr>
              <w:pStyle w:val="Heading3"/>
              <w:rPr>
                <w:szCs w:val="22"/>
                <w:lang w:val="es-419"/>
              </w:rPr>
            </w:pPr>
            <w:r w:rsidRPr="00CB1AF4">
              <w:rPr>
                <w:szCs w:val="22"/>
                <w:lang w:val="es-419"/>
              </w:rPr>
              <w:lastRenderedPageBreak/>
              <w:t>Riesgos</w:t>
            </w:r>
            <w:r w:rsidR="00661C45" w:rsidRPr="00CB1AF4">
              <w:rPr>
                <w:szCs w:val="22"/>
                <w:lang w:val="es-419"/>
              </w:rPr>
              <w:t xml:space="preserve"> </w:t>
            </w:r>
            <w:r w:rsidRPr="00CB1AF4">
              <w:rPr>
                <w:szCs w:val="22"/>
                <w:lang w:val="es-419"/>
              </w:rPr>
              <w:t xml:space="preserve">y </w:t>
            </w:r>
            <w:r w:rsidR="00661C45" w:rsidRPr="00CB1AF4">
              <w:rPr>
                <w:szCs w:val="22"/>
                <w:lang w:val="es-419"/>
              </w:rPr>
              <w:t>medidas paliativas</w:t>
            </w:r>
          </w:p>
        </w:tc>
        <w:tc>
          <w:tcPr>
            <w:tcW w:w="6889" w:type="dxa"/>
          </w:tcPr>
          <w:p w:rsidR="009D386D" w:rsidRPr="00CB1AF4" w:rsidRDefault="009D386D" w:rsidP="00FA6258">
            <w:pPr>
              <w:rPr>
                <w:szCs w:val="22"/>
                <w:lang w:val="es-419"/>
              </w:rPr>
            </w:pPr>
          </w:p>
          <w:p w:rsidR="009D386D" w:rsidRPr="00CB1AF4" w:rsidRDefault="007B2645" w:rsidP="00FA6258">
            <w:pPr>
              <w:rPr>
                <w:szCs w:val="22"/>
                <w:lang w:val="es-419"/>
              </w:rPr>
            </w:pPr>
            <w:r w:rsidRPr="00CB1AF4">
              <w:rPr>
                <w:szCs w:val="22"/>
                <w:lang w:val="es-419"/>
              </w:rPr>
              <w:t>Desde un principio, se identificaron riesgos en la ejecución del proyecto</w:t>
            </w:r>
            <w:r w:rsidR="00102865" w:rsidRPr="00CB1AF4">
              <w:rPr>
                <w:szCs w:val="22"/>
                <w:lang w:val="es-419"/>
              </w:rPr>
              <w:t>,</w:t>
            </w:r>
            <w:r w:rsidRPr="00CB1AF4">
              <w:rPr>
                <w:szCs w:val="22"/>
                <w:lang w:val="es-419"/>
              </w:rPr>
              <w:t xml:space="preserve"> tanto a nivel de la Secretaría como de los países. </w:t>
            </w:r>
            <w:r w:rsidR="009D386D" w:rsidRPr="00CB1AF4">
              <w:rPr>
                <w:szCs w:val="22"/>
                <w:lang w:val="es-419"/>
              </w:rPr>
              <w:br/>
            </w:r>
          </w:p>
          <w:p w:rsidR="007B2645" w:rsidRPr="00CB1AF4" w:rsidRDefault="007B2645" w:rsidP="007B2645">
            <w:pPr>
              <w:rPr>
                <w:szCs w:val="22"/>
                <w:lang w:val="es-419"/>
              </w:rPr>
            </w:pPr>
            <w:r w:rsidRPr="00CB1AF4">
              <w:rPr>
                <w:szCs w:val="22"/>
                <w:lang w:val="es-419"/>
              </w:rPr>
              <w:t xml:space="preserve">La dificultad de encontrar expertos en la materia, con conocimientos y experiencia en ámbitos temáticos sustancialmente diferentes –como la PI y el turismo– y con sólidas competencias investigadoras y de análisis, se planteó tanto en la Secretaría como en los países.  Esto tuvo repercusiones en el componente de investigación del proyecto. En la Secretaría, este riesgo se abordó colaborando con la Organización Mundial del Turismo de las Naciones Unidas (OMT) en la coedición de una guía sobre PI y turismo, en la que cada organización era responsable del </w:t>
            </w:r>
            <w:r w:rsidR="00B3175B" w:rsidRPr="00CB1AF4">
              <w:rPr>
                <w:szCs w:val="22"/>
                <w:lang w:val="es-419"/>
              </w:rPr>
              <w:t>contenido sustantivo que se encuadraba en su mandato respectivo. No obstante, para la coedición de la guía se tomaron como base numerosos elementos de</w:t>
            </w:r>
            <w:r w:rsidRPr="00CB1AF4">
              <w:rPr>
                <w:szCs w:val="22"/>
                <w:lang w:val="es-419"/>
              </w:rPr>
              <w:t xml:space="preserve"> la </w:t>
            </w:r>
            <w:r w:rsidR="00B3175B" w:rsidRPr="00CB1AF4">
              <w:rPr>
                <w:szCs w:val="22"/>
                <w:lang w:val="es-419"/>
              </w:rPr>
              <w:t>investigación original llevada a cabo</w:t>
            </w:r>
            <w:r w:rsidRPr="00CB1AF4">
              <w:rPr>
                <w:szCs w:val="22"/>
                <w:lang w:val="es-419"/>
              </w:rPr>
              <w:t xml:space="preserve"> en el mar</w:t>
            </w:r>
            <w:r w:rsidR="00B3175B" w:rsidRPr="00CB1AF4">
              <w:rPr>
                <w:szCs w:val="22"/>
                <w:lang w:val="es-419"/>
              </w:rPr>
              <w:t>co del proyecto</w:t>
            </w:r>
            <w:r w:rsidRPr="00CB1AF4">
              <w:rPr>
                <w:szCs w:val="22"/>
                <w:lang w:val="es-419"/>
              </w:rPr>
              <w:t>.</w:t>
            </w:r>
          </w:p>
          <w:p w:rsidR="007B2645" w:rsidRPr="00CB1AF4" w:rsidRDefault="007B2645" w:rsidP="007B2645">
            <w:pPr>
              <w:rPr>
                <w:szCs w:val="22"/>
                <w:lang w:val="es-419"/>
              </w:rPr>
            </w:pPr>
          </w:p>
          <w:p w:rsidR="007B2645" w:rsidRPr="00CB1AF4" w:rsidRDefault="007B2645" w:rsidP="007B2645">
            <w:pPr>
              <w:rPr>
                <w:szCs w:val="22"/>
                <w:lang w:val="es-419"/>
              </w:rPr>
            </w:pPr>
            <w:r w:rsidRPr="00CB1AF4">
              <w:rPr>
                <w:szCs w:val="22"/>
                <w:lang w:val="es-419"/>
              </w:rPr>
              <w:t>En el plano nacional, encontrar</w:t>
            </w:r>
            <w:r w:rsidR="00B3175B" w:rsidRPr="00CB1AF4">
              <w:rPr>
                <w:szCs w:val="22"/>
                <w:lang w:val="es-419"/>
              </w:rPr>
              <w:t xml:space="preserve"> a profesionales con</w:t>
            </w:r>
            <w:r w:rsidRPr="00CB1AF4">
              <w:rPr>
                <w:szCs w:val="22"/>
                <w:lang w:val="es-419"/>
              </w:rPr>
              <w:t xml:space="preserve"> los conocimientos técnicos adecuados para </w:t>
            </w:r>
            <w:r w:rsidR="00B3175B" w:rsidRPr="00CB1AF4">
              <w:rPr>
                <w:szCs w:val="22"/>
                <w:lang w:val="es-419"/>
              </w:rPr>
              <w:t xml:space="preserve">llevar a cabo los estudios a nivel de país constituyó un reto todavía mayor. </w:t>
            </w:r>
            <w:r w:rsidRPr="00CB1AF4">
              <w:rPr>
                <w:szCs w:val="22"/>
                <w:lang w:val="es-419"/>
              </w:rPr>
              <w:t>En do</w:t>
            </w:r>
            <w:r w:rsidR="00B3175B" w:rsidRPr="00CB1AF4">
              <w:rPr>
                <w:szCs w:val="22"/>
                <w:lang w:val="es-419"/>
              </w:rPr>
              <w:t>s casos, ante el riesgo de menoscabar</w:t>
            </w:r>
            <w:r w:rsidRPr="00CB1AF4">
              <w:rPr>
                <w:szCs w:val="22"/>
                <w:lang w:val="es-419"/>
              </w:rPr>
              <w:t xml:space="preserve"> la calidad de los estudios nacionales debido a la debilidad de las metodologías de investigación, el equipo del proyecto decidió encargar un segund</w:t>
            </w:r>
            <w:r w:rsidR="00B3175B" w:rsidRPr="00CB1AF4">
              <w:rPr>
                <w:szCs w:val="22"/>
                <w:lang w:val="es-419"/>
              </w:rPr>
              <w:t xml:space="preserve">o estudio a nuevos consultores seleccionados en una fase posterior. </w:t>
            </w:r>
            <w:r w:rsidRPr="00CB1AF4">
              <w:rPr>
                <w:szCs w:val="22"/>
                <w:lang w:val="es-419"/>
              </w:rPr>
              <w:t xml:space="preserve">Esta solución produjo resultados </w:t>
            </w:r>
            <w:r w:rsidR="00B3175B" w:rsidRPr="00CB1AF4">
              <w:rPr>
                <w:szCs w:val="22"/>
                <w:lang w:val="es-419"/>
              </w:rPr>
              <w:t>plenamente satisfactorios, lo que revistió interés para los países interesados y para el</w:t>
            </w:r>
            <w:r w:rsidRPr="00CB1AF4">
              <w:rPr>
                <w:szCs w:val="22"/>
                <w:lang w:val="es-419"/>
              </w:rPr>
              <w:t xml:space="preserve"> propio proyecto.</w:t>
            </w:r>
          </w:p>
          <w:p w:rsidR="007B2645" w:rsidRPr="00CB1AF4" w:rsidRDefault="007B2645" w:rsidP="007B2645">
            <w:pPr>
              <w:rPr>
                <w:szCs w:val="22"/>
                <w:lang w:val="es-419"/>
              </w:rPr>
            </w:pPr>
          </w:p>
          <w:p w:rsidR="007B2645" w:rsidRPr="00CB1AF4" w:rsidRDefault="007B2645" w:rsidP="007B2645">
            <w:pPr>
              <w:rPr>
                <w:szCs w:val="22"/>
                <w:lang w:val="es-419"/>
              </w:rPr>
            </w:pPr>
            <w:r w:rsidRPr="00CB1AF4">
              <w:rPr>
                <w:szCs w:val="22"/>
                <w:lang w:val="es-419"/>
              </w:rPr>
              <w:t>En el documento de inicio del proyecto se señalaron otros riesgos en relación con la ejecució</w:t>
            </w:r>
            <w:r w:rsidR="00B3175B" w:rsidRPr="00CB1AF4">
              <w:rPr>
                <w:szCs w:val="22"/>
                <w:lang w:val="es-419"/>
              </w:rPr>
              <w:t>n del proyecto a nivel de país. Entre ellos figuraban lo</w:t>
            </w:r>
            <w:r w:rsidRPr="00CB1AF4">
              <w:rPr>
                <w:szCs w:val="22"/>
                <w:lang w:val="es-419"/>
              </w:rPr>
              <w:t>s siguientes: dificultades para identificar a los interesados pertinentes en el sector del turismo; dificultades para organizar actividades de fomento de la capacidad y sensibilización; falta de acuerdo entre los interesados sobre las</w:t>
            </w:r>
            <w:r w:rsidR="00F31476" w:rsidRPr="00CB1AF4">
              <w:rPr>
                <w:szCs w:val="22"/>
                <w:lang w:val="es-419"/>
              </w:rPr>
              <w:t xml:space="preserve"> posibles estrategias que deberían</w:t>
            </w:r>
            <w:r w:rsidRPr="00CB1AF4">
              <w:rPr>
                <w:szCs w:val="22"/>
                <w:lang w:val="es-419"/>
              </w:rPr>
              <w:t xml:space="preserve"> adoptarse; falta de acuerdo entre la comunidad académica sobre la adopción de los planes de estudio y materiales didácticos propuestos.  </w:t>
            </w:r>
          </w:p>
          <w:p w:rsidR="007B2645" w:rsidRPr="00CB1AF4" w:rsidRDefault="007B2645" w:rsidP="007B2645">
            <w:pPr>
              <w:rPr>
                <w:szCs w:val="22"/>
                <w:lang w:val="es-419"/>
              </w:rPr>
            </w:pPr>
          </w:p>
          <w:p w:rsidR="009D386D" w:rsidRPr="00CB1AF4" w:rsidRDefault="007B2645" w:rsidP="007B2645">
            <w:pPr>
              <w:rPr>
                <w:szCs w:val="22"/>
                <w:lang w:val="es-419"/>
              </w:rPr>
            </w:pPr>
            <w:r w:rsidRPr="00CB1AF4">
              <w:rPr>
                <w:szCs w:val="22"/>
                <w:lang w:val="es-419"/>
              </w:rPr>
              <w:t>Muchas de estas situaci</w:t>
            </w:r>
            <w:r w:rsidR="00F31476" w:rsidRPr="00CB1AF4">
              <w:rPr>
                <w:szCs w:val="22"/>
                <w:lang w:val="es-419"/>
              </w:rPr>
              <w:t xml:space="preserve">ones se materializaron en diferentes etapas de la ejecución. </w:t>
            </w:r>
            <w:r w:rsidRPr="00CB1AF4">
              <w:rPr>
                <w:szCs w:val="22"/>
                <w:lang w:val="es-419"/>
              </w:rPr>
              <w:t>Sin embargo, la pronta designaci</w:t>
            </w:r>
            <w:r w:rsidR="00F31476" w:rsidRPr="00CB1AF4">
              <w:rPr>
                <w:szCs w:val="22"/>
                <w:lang w:val="es-419"/>
              </w:rPr>
              <w:t>ón de los organismos coordinadores</w:t>
            </w:r>
            <w:r w:rsidRPr="00CB1AF4">
              <w:rPr>
                <w:szCs w:val="22"/>
                <w:lang w:val="es-419"/>
              </w:rPr>
              <w:t xml:space="preserve"> en cada país ayudó a superar</w:t>
            </w:r>
            <w:r w:rsidR="00F31476" w:rsidRPr="00CB1AF4">
              <w:rPr>
                <w:szCs w:val="22"/>
                <w:lang w:val="es-419"/>
              </w:rPr>
              <w:t xml:space="preserve"> los obstáculos y a optimizar</w:t>
            </w:r>
            <w:r w:rsidRPr="00CB1AF4">
              <w:rPr>
                <w:szCs w:val="22"/>
                <w:lang w:val="es-419"/>
              </w:rPr>
              <w:t xml:space="preserve"> las respu</w:t>
            </w:r>
            <w:r w:rsidR="00F31476" w:rsidRPr="00CB1AF4">
              <w:rPr>
                <w:szCs w:val="22"/>
                <w:lang w:val="es-419"/>
              </w:rPr>
              <w:t>estas adecuadas según las exigencias de las circunstancias. Se plantearon</w:t>
            </w:r>
            <w:r w:rsidRPr="00CB1AF4">
              <w:rPr>
                <w:szCs w:val="22"/>
                <w:lang w:val="es-419"/>
              </w:rPr>
              <w:t xml:space="preserve"> problemas más complejos cuando se produjo un cambio de liderazgo, seguido de un vacío de autoridad, en los organismos coordinadores</w:t>
            </w:r>
            <w:r w:rsidR="00F31476" w:rsidRPr="00CB1AF4">
              <w:rPr>
                <w:szCs w:val="22"/>
                <w:lang w:val="es-419"/>
              </w:rPr>
              <w:t xml:space="preserve">. </w:t>
            </w:r>
            <w:r w:rsidRPr="00CB1AF4">
              <w:rPr>
                <w:szCs w:val="22"/>
                <w:lang w:val="es-419"/>
              </w:rPr>
              <w:t>En estos casos, el proyecto respondió centrándose en los aspectos que podrían coordinarse directamente desde la Secretaría (es decir, la elaboración de material didáctico) e intensificando los contactos con otras partes interesadas influyentes, en particular por conducto de las Misiones Perma</w:t>
            </w:r>
            <w:r w:rsidR="00F31476" w:rsidRPr="00CB1AF4">
              <w:rPr>
                <w:szCs w:val="22"/>
                <w:lang w:val="es-419"/>
              </w:rPr>
              <w:t xml:space="preserve">nentes de los países en cuestión. Esta estrategia tuvo éxito para reactivar </w:t>
            </w:r>
            <w:r w:rsidRPr="00CB1AF4">
              <w:rPr>
                <w:szCs w:val="22"/>
                <w:lang w:val="es-419"/>
              </w:rPr>
              <w:t>los mecanismos de coordinación a nivel de los países.</w:t>
            </w:r>
          </w:p>
          <w:p w:rsidR="007B2645" w:rsidRPr="00CB1AF4" w:rsidRDefault="007B2645" w:rsidP="007B2645">
            <w:pPr>
              <w:rPr>
                <w:szCs w:val="22"/>
                <w:lang w:val="es-419"/>
              </w:rPr>
            </w:pPr>
          </w:p>
        </w:tc>
      </w:tr>
      <w:tr w:rsidR="009D386D" w:rsidRPr="00CB1AF4" w:rsidTr="00FA6258">
        <w:trPr>
          <w:trHeight w:val="848"/>
        </w:trPr>
        <w:tc>
          <w:tcPr>
            <w:tcW w:w="2376" w:type="dxa"/>
            <w:shd w:val="clear" w:color="auto" w:fill="auto"/>
          </w:tcPr>
          <w:p w:rsidR="009D386D" w:rsidRPr="00CB1AF4" w:rsidRDefault="00661C45" w:rsidP="00661C45">
            <w:pPr>
              <w:pStyle w:val="Heading3"/>
              <w:rPr>
                <w:szCs w:val="22"/>
                <w:lang w:val="es-419"/>
              </w:rPr>
            </w:pPr>
            <w:r w:rsidRPr="00CB1AF4">
              <w:rPr>
                <w:szCs w:val="22"/>
                <w:lang w:val="es-419"/>
              </w:rPr>
              <w:lastRenderedPageBreak/>
              <w:t>Porcentaje de ejecución del proyecto</w:t>
            </w:r>
            <w:r w:rsidR="009D386D" w:rsidRPr="00CB1AF4">
              <w:rPr>
                <w:szCs w:val="22"/>
                <w:lang w:val="es-419"/>
              </w:rPr>
              <w:t xml:space="preserve"> </w:t>
            </w:r>
          </w:p>
        </w:tc>
        <w:tc>
          <w:tcPr>
            <w:tcW w:w="6889" w:type="dxa"/>
          </w:tcPr>
          <w:p w:rsidR="009D386D" w:rsidRPr="00CB1AF4" w:rsidRDefault="009D386D" w:rsidP="00FA6258">
            <w:pPr>
              <w:rPr>
                <w:iCs/>
                <w:szCs w:val="22"/>
                <w:lang w:val="es-419"/>
              </w:rPr>
            </w:pPr>
          </w:p>
          <w:p w:rsidR="009D386D" w:rsidRPr="00CB1AF4" w:rsidRDefault="000116EE" w:rsidP="000116EE">
            <w:pPr>
              <w:rPr>
                <w:iCs/>
                <w:szCs w:val="22"/>
                <w:lang w:val="es-419"/>
              </w:rPr>
            </w:pPr>
            <w:r>
              <w:rPr>
                <w:iCs/>
                <w:szCs w:val="22"/>
                <w:lang w:val="es-419"/>
              </w:rPr>
              <w:t>P</w:t>
            </w:r>
            <w:r w:rsidRPr="000116EE">
              <w:rPr>
                <w:iCs/>
                <w:szCs w:val="22"/>
                <w:lang w:val="es-419"/>
              </w:rPr>
              <w:t xml:space="preserve">orcentaje de utilización del presupuesto a fines de julio </w:t>
            </w:r>
            <w:r>
              <w:rPr>
                <w:iCs/>
                <w:szCs w:val="22"/>
                <w:lang w:val="es-419"/>
              </w:rPr>
              <w:t>de 2019: </w:t>
            </w:r>
            <w:r w:rsidR="009D386D" w:rsidRPr="00CB1AF4">
              <w:rPr>
                <w:iCs/>
                <w:szCs w:val="22"/>
                <w:lang w:val="es-419"/>
              </w:rPr>
              <w:t>92%</w:t>
            </w:r>
          </w:p>
        </w:tc>
      </w:tr>
      <w:tr w:rsidR="009D386D" w:rsidRPr="00CB1AF4" w:rsidTr="00FA6258">
        <w:trPr>
          <w:trHeight w:val="848"/>
        </w:trPr>
        <w:tc>
          <w:tcPr>
            <w:tcW w:w="2376" w:type="dxa"/>
            <w:shd w:val="clear" w:color="auto" w:fill="auto"/>
          </w:tcPr>
          <w:p w:rsidR="009D386D" w:rsidRPr="00CB1AF4" w:rsidRDefault="00661C45" w:rsidP="00661C45">
            <w:pPr>
              <w:pStyle w:val="Heading3"/>
              <w:rPr>
                <w:szCs w:val="22"/>
                <w:lang w:val="es-419"/>
              </w:rPr>
            </w:pPr>
            <w:r w:rsidRPr="00CB1AF4">
              <w:rPr>
                <w:szCs w:val="22"/>
                <w:lang w:val="es-419"/>
              </w:rPr>
              <w:t>Informes/documentos previos</w:t>
            </w:r>
          </w:p>
        </w:tc>
        <w:tc>
          <w:tcPr>
            <w:tcW w:w="6889" w:type="dxa"/>
          </w:tcPr>
          <w:p w:rsidR="009D386D" w:rsidRPr="00CB1AF4" w:rsidRDefault="009D386D" w:rsidP="00FA6258">
            <w:pPr>
              <w:rPr>
                <w:iCs/>
                <w:szCs w:val="22"/>
                <w:lang w:val="es-419"/>
              </w:rPr>
            </w:pPr>
          </w:p>
          <w:p w:rsidR="009D386D" w:rsidRPr="00CB1AF4" w:rsidRDefault="00661C45" w:rsidP="00FA6258">
            <w:pPr>
              <w:rPr>
                <w:iCs/>
                <w:szCs w:val="22"/>
                <w:lang w:val="es-419"/>
              </w:rPr>
            </w:pPr>
            <w:r w:rsidRPr="00CB1AF4">
              <w:rPr>
                <w:iCs/>
                <w:szCs w:val="22"/>
                <w:lang w:val="es-419"/>
              </w:rPr>
              <w:t>El presente es el cuarto informe que se presenta al CDIP</w:t>
            </w:r>
            <w:r w:rsidR="009D386D" w:rsidRPr="00CB1AF4">
              <w:rPr>
                <w:iCs/>
                <w:szCs w:val="22"/>
                <w:lang w:val="es-419"/>
              </w:rPr>
              <w:t>.</w:t>
            </w:r>
          </w:p>
          <w:p w:rsidR="009D386D" w:rsidRPr="00CB1AF4" w:rsidRDefault="009D386D" w:rsidP="00FA6258">
            <w:pPr>
              <w:rPr>
                <w:iCs/>
                <w:szCs w:val="22"/>
                <w:lang w:val="es-419"/>
              </w:rPr>
            </w:pPr>
          </w:p>
          <w:p w:rsidR="009D386D" w:rsidRPr="00CB1AF4" w:rsidRDefault="00661C45" w:rsidP="00FA6258">
            <w:pPr>
              <w:rPr>
                <w:szCs w:val="22"/>
                <w:lang w:val="es-419"/>
              </w:rPr>
            </w:pPr>
            <w:r w:rsidRPr="00CB1AF4">
              <w:rPr>
                <w:szCs w:val="22"/>
                <w:lang w:val="es-419"/>
              </w:rPr>
              <w:t>El primer informe figura en el documento CDIP/18/2, An</w:t>
            </w:r>
            <w:r w:rsidR="009D386D" w:rsidRPr="00CB1AF4">
              <w:rPr>
                <w:szCs w:val="22"/>
                <w:lang w:val="es-419"/>
              </w:rPr>
              <w:t>ex</w:t>
            </w:r>
            <w:r w:rsidRPr="00CB1AF4">
              <w:rPr>
                <w:szCs w:val="22"/>
                <w:lang w:val="es-419"/>
              </w:rPr>
              <w:t>o</w:t>
            </w:r>
            <w:r w:rsidR="009D386D" w:rsidRPr="00CB1AF4">
              <w:rPr>
                <w:szCs w:val="22"/>
                <w:lang w:val="es-419"/>
              </w:rPr>
              <w:t xml:space="preserve"> I.  </w:t>
            </w:r>
            <w:r w:rsidRPr="00CB1AF4">
              <w:rPr>
                <w:szCs w:val="22"/>
                <w:lang w:val="es-419"/>
              </w:rPr>
              <w:t xml:space="preserve">El segundo informe figura en el documento </w:t>
            </w:r>
            <w:r w:rsidR="009D386D" w:rsidRPr="00CB1AF4">
              <w:rPr>
                <w:szCs w:val="22"/>
                <w:lang w:val="es-419"/>
              </w:rPr>
              <w:t>CDIP/20/2</w:t>
            </w:r>
            <w:r w:rsidRPr="00CB1AF4">
              <w:rPr>
                <w:szCs w:val="22"/>
                <w:lang w:val="es-419"/>
              </w:rPr>
              <w:t>, A</w:t>
            </w:r>
            <w:r w:rsidR="009D386D" w:rsidRPr="00CB1AF4">
              <w:rPr>
                <w:szCs w:val="22"/>
                <w:lang w:val="es-419"/>
              </w:rPr>
              <w:t>nex</w:t>
            </w:r>
            <w:r w:rsidRPr="00CB1AF4">
              <w:rPr>
                <w:szCs w:val="22"/>
                <w:lang w:val="es-419"/>
              </w:rPr>
              <w:t>o</w:t>
            </w:r>
            <w:r w:rsidR="009D386D" w:rsidRPr="00CB1AF4">
              <w:rPr>
                <w:szCs w:val="22"/>
                <w:lang w:val="es-419"/>
              </w:rPr>
              <w:t xml:space="preserve"> I</w:t>
            </w:r>
            <w:r w:rsidRPr="00CB1AF4">
              <w:rPr>
                <w:szCs w:val="22"/>
                <w:lang w:val="es-419"/>
              </w:rPr>
              <w:t>I</w:t>
            </w:r>
            <w:r w:rsidR="009D386D" w:rsidRPr="00CB1AF4">
              <w:rPr>
                <w:szCs w:val="22"/>
                <w:lang w:val="es-419"/>
              </w:rPr>
              <w:t xml:space="preserve">. </w:t>
            </w:r>
            <w:r w:rsidRPr="00CB1AF4">
              <w:rPr>
                <w:szCs w:val="22"/>
                <w:lang w:val="es-419"/>
              </w:rPr>
              <w:t xml:space="preserve">El tercer informe figura en el </w:t>
            </w:r>
            <w:r w:rsidR="009D386D" w:rsidRPr="00CB1AF4">
              <w:rPr>
                <w:szCs w:val="22"/>
                <w:lang w:val="es-419"/>
              </w:rPr>
              <w:t>document</w:t>
            </w:r>
            <w:r w:rsidRPr="00CB1AF4">
              <w:rPr>
                <w:szCs w:val="22"/>
                <w:lang w:val="es-419"/>
              </w:rPr>
              <w:t>o CDIP/22/2, A</w:t>
            </w:r>
            <w:r w:rsidR="009D386D" w:rsidRPr="00CB1AF4">
              <w:rPr>
                <w:szCs w:val="22"/>
                <w:lang w:val="es-419"/>
              </w:rPr>
              <w:t>nex</w:t>
            </w:r>
            <w:r w:rsidRPr="00CB1AF4">
              <w:rPr>
                <w:szCs w:val="22"/>
                <w:lang w:val="es-419"/>
              </w:rPr>
              <w:t>o</w:t>
            </w:r>
            <w:r w:rsidR="009D386D" w:rsidRPr="00CB1AF4">
              <w:rPr>
                <w:szCs w:val="22"/>
                <w:lang w:val="es-419"/>
              </w:rPr>
              <w:t xml:space="preserve"> IV.</w:t>
            </w:r>
          </w:p>
          <w:p w:rsidR="009D386D" w:rsidRPr="00CB1AF4" w:rsidRDefault="009D386D" w:rsidP="00FA6258">
            <w:pPr>
              <w:rPr>
                <w:iCs/>
                <w:szCs w:val="22"/>
                <w:lang w:val="es-419"/>
              </w:rPr>
            </w:pPr>
          </w:p>
        </w:tc>
      </w:tr>
      <w:tr w:rsidR="009D386D" w:rsidRPr="00CB1AF4" w:rsidTr="00FA6258">
        <w:trPr>
          <w:trHeight w:val="848"/>
        </w:trPr>
        <w:tc>
          <w:tcPr>
            <w:tcW w:w="2376" w:type="dxa"/>
            <w:shd w:val="clear" w:color="auto" w:fill="auto"/>
          </w:tcPr>
          <w:p w:rsidR="009D386D" w:rsidRPr="00CB1AF4" w:rsidRDefault="00661C45" w:rsidP="00E179B4">
            <w:pPr>
              <w:pStyle w:val="Heading3"/>
              <w:rPr>
                <w:szCs w:val="22"/>
                <w:lang w:val="es-419"/>
              </w:rPr>
            </w:pPr>
            <w:r w:rsidRPr="00CB1AF4">
              <w:rPr>
                <w:szCs w:val="22"/>
                <w:lang w:val="es-419"/>
              </w:rPr>
              <w:t>S</w:t>
            </w:r>
            <w:r w:rsidR="00E179B4" w:rsidRPr="00CB1AF4">
              <w:rPr>
                <w:szCs w:val="22"/>
                <w:lang w:val="es-419"/>
              </w:rPr>
              <w:t>eguimiento</w:t>
            </w:r>
          </w:p>
        </w:tc>
        <w:tc>
          <w:tcPr>
            <w:tcW w:w="6889" w:type="dxa"/>
          </w:tcPr>
          <w:p w:rsidR="009D386D" w:rsidRPr="00CB1AF4" w:rsidRDefault="009D386D" w:rsidP="00FA6258">
            <w:pPr>
              <w:rPr>
                <w:iCs/>
                <w:szCs w:val="22"/>
                <w:lang w:val="es-419"/>
              </w:rPr>
            </w:pPr>
          </w:p>
          <w:p w:rsidR="00661C45" w:rsidRPr="00CB1AF4" w:rsidRDefault="00661C45" w:rsidP="00661C45">
            <w:pPr>
              <w:rPr>
                <w:iCs/>
                <w:szCs w:val="22"/>
                <w:lang w:val="es-419"/>
              </w:rPr>
            </w:pPr>
            <w:r w:rsidRPr="00CB1AF4">
              <w:rPr>
                <w:iCs/>
                <w:szCs w:val="22"/>
                <w:lang w:val="es-419"/>
              </w:rPr>
              <w:t xml:space="preserve">Si bien los resultados del proyecto se lograron en gran medida, que este tenga repercusiones duraderas dependerá de </w:t>
            </w:r>
            <w:r w:rsidR="00216726" w:rsidRPr="00CB1AF4">
              <w:rPr>
                <w:iCs/>
                <w:szCs w:val="22"/>
                <w:lang w:val="es-419"/>
              </w:rPr>
              <w:t>un seguimiento sostenido</w:t>
            </w:r>
            <w:r w:rsidRPr="00CB1AF4">
              <w:rPr>
                <w:iCs/>
                <w:szCs w:val="22"/>
                <w:lang w:val="es-419"/>
              </w:rPr>
              <w:t xml:space="preserve"> a varios niveles.</w:t>
            </w:r>
          </w:p>
          <w:p w:rsidR="00661C45" w:rsidRPr="00CB1AF4" w:rsidRDefault="00661C45" w:rsidP="00661C45">
            <w:pPr>
              <w:rPr>
                <w:iCs/>
                <w:szCs w:val="22"/>
                <w:lang w:val="es-419"/>
              </w:rPr>
            </w:pPr>
          </w:p>
          <w:p w:rsidR="00661C45" w:rsidRPr="00CB1AF4" w:rsidRDefault="00661C45" w:rsidP="008E5AD1">
            <w:pPr>
              <w:pStyle w:val="ListParagraph"/>
              <w:numPr>
                <w:ilvl w:val="0"/>
                <w:numId w:val="17"/>
              </w:numPr>
              <w:ind w:left="570"/>
              <w:rPr>
                <w:iCs/>
                <w:szCs w:val="22"/>
                <w:lang w:val="es-419"/>
              </w:rPr>
            </w:pPr>
            <w:r w:rsidRPr="00CB1AF4">
              <w:rPr>
                <w:iCs/>
                <w:szCs w:val="22"/>
                <w:lang w:val="es-419"/>
              </w:rPr>
              <w:t>Se aumentará la sensibilización general so</w:t>
            </w:r>
            <w:r w:rsidR="00216726" w:rsidRPr="00CB1AF4">
              <w:rPr>
                <w:iCs/>
                <w:szCs w:val="22"/>
                <w:lang w:val="es-419"/>
              </w:rPr>
              <w:t>bre la gestión eficaz de la PI</w:t>
            </w:r>
            <w:r w:rsidRPr="00CB1AF4">
              <w:rPr>
                <w:iCs/>
                <w:szCs w:val="22"/>
                <w:lang w:val="es-419"/>
              </w:rPr>
              <w:t xml:space="preserve"> en el sector del turismo mediante una difusión </w:t>
            </w:r>
            <w:r w:rsidR="00216726" w:rsidRPr="00CB1AF4">
              <w:rPr>
                <w:iCs/>
                <w:szCs w:val="22"/>
                <w:lang w:val="es-419"/>
              </w:rPr>
              <w:t>bien orientada</w:t>
            </w:r>
            <w:r w:rsidRPr="00CB1AF4">
              <w:rPr>
                <w:iCs/>
                <w:szCs w:val="22"/>
                <w:lang w:val="es-419"/>
              </w:rPr>
              <w:t xml:space="preserve"> de la public</w:t>
            </w:r>
            <w:r w:rsidR="00216726" w:rsidRPr="00CB1AF4">
              <w:rPr>
                <w:iCs/>
                <w:szCs w:val="22"/>
                <w:lang w:val="es-419"/>
              </w:rPr>
              <w:t xml:space="preserve">ación conjunta </w:t>
            </w:r>
            <w:r w:rsidR="00102865" w:rsidRPr="00CB1AF4">
              <w:rPr>
                <w:iCs/>
                <w:szCs w:val="22"/>
                <w:lang w:val="es-419"/>
              </w:rPr>
              <w:t xml:space="preserve">de la OMPI y la </w:t>
            </w:r>
            <w:r w:rsidR="00216726" w:rsidRPr="00CB1AF4">
              <w:rPr>
                <w:iCs/>
                <w:szCs w:val="22"/>
                <w:lang w:val="es-419"/>
              </w:rPr>
              <w:t>OMT sobre PI</w:t>
            </w:r>
            <w:r w:rsidR="00102865" w:rsidRPr="00CB1AF4">
              <w:rPr>
                <w:iCs/>
                <w:szCs w:val="22"/>
                <w:lang w:val="es-419"/>
              </w:rPr>
              <w:t xml:space="preserve"> y turismo. </w:t>
            </w:r>
            <w:r w:rsidRPr="00CB1AF4">
              <w:rPr>
                <w:iCs/>
                <w:szCs w:val="22"/>
                <w:lang w:val="es-419"/>
              </w:rPr>
              <w:t xml:space="preserve">A este respecto, se prevé </w:t>
            </w:r>
            <w:r w:rsidR="00216726" w:rsidRPr="00CB1AF4">
              <w:rPr>
                <w:iCs/>
                <w:szCs w:val="22"/>
                <w:lang w:val="es-419"/>
              </w:rPr>
              <w:t xml:space="preserve">elaborar </w:t>
            </w:r>
            <w:r w:rsidRPr="00CB1AF4">
              <w:rPr>
                <w:iCs/>
                <w:szCs w:val="22"/>
                <w:lang w:val="es-419"/>
              </w:rPr>
              <w:t>un plan concertado y</w:t>
            </w:r>
            <w:r w:rsidR="00216726" w:rsidRPr="00CB1AF4">
              <w:rPr>
                <w:iCs/>
                <w:szCs w:val="22"/>
                <w:lang w:val="es-419"/>
              </w:rPr>
              <w:t xml:space="preserve"> continuar</w:t>
            </w:r>
            <w:r w:rsidRPr="00CB1AF4">
              <w:rPr>
                <w:iCs/>
                <w:szCs w:val="22"/>
                <w:lang w:val="es-419"/>
              </w:rPr>
              <w:t xml:space="preserve"> la colaboración interinstitucional.</w:t>
            </w:r>
          </w:p>
          <w:p w:rsidR="00661C45" w:rsidRPr="00CB1AF4" w:rsidRDefault="00661C45" w:rsidP="008E5AD1">
            <w:pPr>
              <w:rPr>
                <w:iCs/>
                <w:szCs w:val="22"/>
                <w:lang w:val="es-419"/>
              </w:rPr>
            </w:pPr>
          </w:p>
          <w:p w:rsidR="008E5AD1" w:rsidRPr="00CB1AF4" w:rsidRDefault="00661C45" w:rsidP="008E5AD1">
            <w:pPr>
              <w:pStyle w:val="ListParagraph"/>
              <w:numPr>
                <w:ilvl w:val="0"/>
                <w:numId w:val="17"/>
              </w:numPr>
              <w:ind w:left="570"/>
              <w:rPr>
                <w:iCs/>
                <w:szCs w:val="22"/>
                <w:lang w:val="es-419"/>
              </w:rPr>
            </w:pPr>
            <w:r w:rsidRPr="00CB1AF4">
              <w:rPr>
                <w:iCs/>
                <w:szCs w:val="22"/>
                <w:lang w:val="es-419"/>
              </w:rPr>
              <w:t xml:space="preserve">Los países piloto difundirán las conclusiones de los estudios nacionales a través de los </w:t>
            </w:r>
            <w:r w:rsidR="00216726" w:rsidRPr="00CB1AF4">
              <w:rPr>
                <w:iCs/>
                <w:szCs w:val="22"/>
                <w:lang w:val="es-419"/>
              </w:rPr>
              <w:t xml:space="preserve">comités directivos nacionales. </w:t>
            </w:r>
            <w:r w:rsidRPr="00CB1AF4">
              <w:rPr>
                <w:iCs/>
                <w:szCs w:val="22"/>
                <w:lang w:val="es-419"/>
              </w:rPr>
              <w:t>Deben planificarse actividades regulares de asistencia técnica en esos países para mantener los resultados iniciales del proyecto.</w:t>
            </w:r>
          </w:p>
          <w:p w:rsidR="008E5AD1" w:rsidRPr="00CB1AF4" w:rsidRDefault="008E5AD1" w:rsidP="008E5AD1">
            <w:pPr>
              <w:pStyle w:val="ListParagraph"/>
              <w:ind w:left="570"/>
              <w:rPr>
                <w:iCs/>
                <w:szCs w:val="22"/>
                <w:lang w:val="es-419"/>
              </w:rPr>
            </w:pPr>
          </w:p>
          <w:p w:rsidR="009D386D" w:rsidRPr="00CB1AF4" w:rsidRDefault="00216726" w:rsidP="008E5AD1">
            <w:pPr>
              <w:pStyle w:val="ListParagraph"/>
              <w:numPr>
                <w:ilvl w:val="0"/>
                <w:numId w:val="17"/>
              </w:numPr>
              <w:ind w:left="570"/>
              <w:rPr>
                <w:iCs/>
                <w:szCs w:val="22"/>
                <w:lang w:val="es-419"/>
              </w:rPr>
            </w:pPr>
            <w:r w:rsidRPr="00CB1AF4">
              <w:rPr>
                <w:iCs/>
                <w:szCs w:val="22"/>
                <w:lang w:val="es-419"/>
              </w:rPr>
              <w:t>Los progresos en el ámbito académico en materia de</w:t>
            </w:r>
            <w:r w:rsidR="00661C45" w:rsidRPr="00CB1AF4">
              <w:rPr>
                <w:iCs/>
                <w:szCs w:val="22"/>
                <w:lang w:val="es-419"/>
              </w:rPr>
              <w:t xml:space="preserve"> integració</w:t>
            </w:r>
            <w:r w:rsidRPr="00CB1AF4">
              <w:rPr>
                <w:iCs/>
                <w:szCs w:val="22"/>
                <w:lang w:val="es-419"/>
              </w:rPr>
              <w:t>n de los cursos sobre turismo y PI</w:t>
            </w:r>
            <w:r w:rsidR="00661C45" w:rsidRPr="00CB1AF4">
              <w:rPr>
                <w:iCs/>
                <w:szCs w:val="22"/>
                <w:lang w:val="es-419"/>
              </w:rPr>
              <w:t xml:space="preserve"> debe</w:t>
            </w:r>
            <w:r w:rsidRPr="00CB1AF4">
              <w:rPr>
                <w:iCs/>
                <w:szCs w:val="22"/>
                <w:lang w:val="es-419"/>
              </w:rPr>
              <w:t>n</w:t>
            </w:r>
            <w:r w:rsidR="00661C45" w:rsidRPr="00CB1AF4">
              <w:rPr>
                <w:iCs/>
                <w:szCs w:val="22"/>
                <w:lang w:val="es-419"/>
              </w:rPr>
              <w:t xml:space="preserve"> ser objeto de seg</w:t>
            </w:r>
            <w:r w:rsidRPr="00CB1AF4">
              <w:rPr>
                <w:iCs/>
                <w:szCs w:val="22"/>
                <w:lang w:val="es-419"/>
              </w:rPr>
              <w:t>uimiento en los países piloto. Al mismo tiempo, ha de</w:t>
            </w:r>
            <w:r w:rsidR="00661C45" w:rsidRPr="00CB1AF4">
              <w:rPr>
                <w:iCs/>
                <w:szCs w:val="22"/>
                <w:lang w:val="es-419"/>
              </w:rPr>
              <w:t xml:space="preserve"> explorar</w:t>
            </w:r>
            <w:r w:rsidRPr="00CB1AF4">
              <w:rPr>
                <w:iCs/>
                <w:szCs w:val="22"/>
                <w:lang w:val="es-419"/>
              </w:rPr>
              <w:t>se la posibilidad de ampliar</w:t>
            </w:r>
            <w:r w:rsidR="00661C45" w:rsidRPr="00CB1AF4">
              <w:rPr>
                <w:iCs/>
                <w:szCs w:val="22"/>
                <w:lang w:val="es-419"/>
              </w:rPr>
              <w:t xml:space="preserve"> el uso de los materiales didácticos desarrollados en el marco del proyecto a otros países interesados.</w:t>
            </w:r>
          </w:p>
        </w:tc>
      </w:tr>
    </w:tbl>
    <w:p w:rsidR="009D386D" w:rsidRPr="00CB1AF4" w:rsidRDefault="009D386D" w:rsidP="009D386D">
      <w:pPr>
        <w:rPr>
          <w:szCs w:val="22"/>
          <w:lang w:val="es-419"/>
        </w:rPr>
      </w:pPr>
    </w:p>
    <w:p w:rsidR="009D386D" w:rsidRPr="00CB1AF4" w:rsidRDefault="009D386D" w:rsidP="009D386D">
      <w:pPr>
        <w:rPr>
          <w:szCs w:val="22"/>
          <w:lang w:val="es-419"/>
        </w:rPr>
      </w:pPr>
    </w:p>
    <w:p w:rsidR="00F978A8" w:rsidRPr="00CB1AF4" w:rsidRDefault="00F978A8" w:rsidP="009D386D">
      <w:pPr>
        <w:rPr>
          <w:szCs w:val="22"/>
          <w:lang w:val="es-419"/>
        </w:rPr>
      </w:pPr>
    </w:p>
    <w:p w:rsidR="000116EE" w:rsidRDefault="000116EE">
      <w:r>
        <w:br w:type="page"/>
      </w:r>
    </w:p>
    <w:tbl>
      <w:tblPr>
        <w:tblW w:w="9288" w:type="dxa"/>
        <w:tblLayout w:type="fixed"/>
        <w:tblLook w:val="01E0" w:firstRow="1" w:lastRow="1" w:firstColumn="1" w:lastColumn="1" w:noHBand="0" w:noVBand="0"/>
      </w:tblPr>
      <w:tblGrid>
        <w:gridCol w:w="9288"/>
      </w:tblGrid>
      <w:tr w:rsidR="00AC7A96" w:rsidRPr="00CB1AF4" w:rsidTr="00750477">
        <w:trPr>
          <w:trHeight w:val="494"/>
        </w:trPr>
        <w:tc>
          <w:tcPr>
            <w:tcW w:w="9288" w:type="dxa"/>
            <w:vAlign w:val="center"/>
          </w:tcPr>
          <w:p w:rsidR="00AC7A96" w:rsidRPr="00CB1AF4" w:rsidRDefault="00AC7A96" w:rsidP="00750477">
            <w:pPr>
              <w:rPr>
                <w:rFonts w:eastAsia="Times New Roman"/>
                <w:lang w:val="es-419" w:eastAsia="en-US"/>
              </w:rPr>
            </w:pPr>
            <w:r w:rsidRPr="00CB1AF4">
              <w:rPr>
                <w:rFonts w:eastAsia="Times New Roman"/>
                <w:lang w:val="es-419" w:eastAsia="en-US"/>
              </w:rPr>
              <w:lastRenderedPageBreak/>
              <w:t>EVALUACIÓN INTERNA DEL PROYECTO</w:t>
            </w:r>
          </w:p>
        </w:tc>
      </w:tr>
    </w:tbl>
    <w:p w:rsidR="00AC7A96" w:rsidRPr="00CB1AF4" w:rsidRDefault="00AC7A96" w:rsidP="00AC7A96">
      <w:pPr>
        <w:rPr>
          <w:rFonts w:eastAsia="Times New Roman"/>
          <w:lang w:val="es-419" w:eastAsia="en-US"/>
        </w:rPr>
      </w:pPr>
    </w:p>
    <w:p w:rsidR="00AC7A96" w:rsidRPr="00CB1AF4" w:rsidRDefault="00AC7A96" w:rsidP="00AC7A96">
      <w:pPr>
        <w:rPr>
          <w:rFonts w:eastAsia="Times New Roman"/>
          <w:lang w:val="es-419" w:eastAsia="en-US"/>
        </w:rPr>
      </w:pPr>
      <w:r w:rsidRPr="00CB1AF4">
        <w:rPr>
          <w:rFonts w:eastAsia="Times New Roman"/>
          <w:lang w:val="es-419" w:eastAsia="en-US"/>
        </w:rPr>
        <w:t>Clave</w:t>
      </w:r>
    </w:p>
    <w:p w:rsidR="00AC7A96" w:rsidRPr="00CB1AF4" w:rsidRDefault="00AC7A96" w:rsidP="00AC7A96">
      <w:pPr>
        <w:rPr>
          <w:rFonts w:eastAsia="Times New Roman"/>
          <w:lang w:val="es-419"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AC7A96" w:rsidRPr="00CB1AF4" w:rsidTr="00750477">
        <w:trPr>
          <w:trHeight w:val="469"/>
        </w:trPr>
        <w:tc>
          <w:tcPr>
            <w:tcW w:w="1416" w:type="dxa"/>
            <w:shd w:val="clear" w:color="auto" w:fill="auto"/>
            <w:vAlign w:val="center"/>
          </w:tcPr>
          <w:p w:rsidR="00AC7A96" w:rsidRPr="00CB1AF4" w:rsidRDefault="00AC7A96" w:rsidP="00750477">
            <w:pPr>
              <w:rPr>
                <w:rFonts w:eastAsia="Times New Roman"/>
                <w:lang w:val="es-419" w:eastAsia="en-US"/>
              </w:rPr>
            </w:pPr>
            <w:r w:rsidRPr="00CB1AF4">
              <w:rPr>
                <w:rFonts w:eastAsia="Times New Roman"/>
                <w:lang w:val="es-419" w:eastAsia="en-US"/>
              </w:rPr>
              <w:t>****</w:t>
            </w:r>
          </w:p>
        </w:tc>
        <w:tc>
          <w:tcPr>
            <w:tcW w:w="1677" w:type="dxa"/>
            <w:shd w:val="clear" w:color="auto" w:fill="auto"/>
            <w:vAlign w:val="center"/>
          </w:tcPr>
          <w:p w:rsidR="00AC7A96" w:rsidRPr="00CB1AF4" w:rsidRDefault="00AC7A96" w:rsidP="00750477">
            <w:pPr>
              <w:rPr>
                <w:rFonts w:eastAsia="Times New Roman"/>
                <w:lang w:val="es-419" w:eastAsia="en-US"/>
              </w:rPr>
            </w:pPr>
            <w:r w:rsidRPr="00CB1AF4">
              <w:rPr>
                <w:rFonts w:eastAsia="Times New Roman"/>
                <w:lang w:val="es-419" w:eastAsia="en-US"/>
              </w:rPr>
              <w:t>***</w:t>
            </w:r>
          </w:p>
        </w:tc>
        <w:tc>
          <w:tcPr>
            <w:tcW w:w="1797" w:type="dxa"/>
            <w:shd w:val="clear" w:color="auto" w:fill="auto"/>
            <w:vAlign w:val="center"/>
          </w:tcPr>
          <w:p w:rsidR="00AC7A96" w:rsidRPr="00CB1AF4" w:rsidRDefault="00AC7A96" w:rsidP="00750477">
            <w:pPr>
              <w:rPr>
                <w:rFonts w:eastAsia="Times New Roman"/>
                <w:lang w:val="es-419" w:eastAsia="en-US"/>
              </w:rPr>
            </w:pPr>
            <w:r w:rsidRPr="00CB1AF4">
              <w:rPr>
                <w:rFonts w:eastAsia="Times New Roman"/>
                <w:lang w:val="es-419" w:eastAsia="en-US"/>
              </w:rPr>
              <w:t>**</w:t>
            </w:r>
          </w:p>
        </w:tc>
        <w:tc>
          <w:tcPr>
            <w:tcW w:w="1895" w:type="dxa"/>
            <w:shd w:val="clear" w:color="auto" w:fill="auto"/>
            <w:vAlign w:val="center"/>
          </w:tcPr>
          <w:p w:rsidR="00AC7A96" w:rsidRPr="00CB1AF4" w:rsidRDefault="00AC7A96" w:rsidP="00750477">
            <w:pPr>
              <w:rPr>
                <w:rFonts w:eastAsia="Times New Roman"/>
                <w:lang w:val="es-419" w:eastAsia="en-US"/>
              </w:rPr>
            </w:pPr>
            <w:r w:rsidRPr="00CB1AF4">
              <w:rPr>
                <w:rFonts w:eastAsia="Times New Roman"/>
                <w:lang w:val="es-419" w:eastAsia="en-US"/>
              </w:rPr>
              <w:t>NA</w:t>
            </w:r>
          </w:p>
        </w:tc>
        <w:tc>
          <w:tcPr>
            <w:tcW w:w="2563" w:type="dxa"/>
            <w:shd w:val="clear" w:color="auto" w:fill="auto"/>
            <w:vAlign w:val="center"/>
          </w:tcPr>
          <w:p w:rsidR="00AC7A96" w:rsidRPr="00CB1AF4" w:rsidRDefault="00AC7A96" w:rsidP="00750477">
            <w:pPr>
              <w:rPr>
                <w:rFonts w:eastAsia="Times New Roman"/>
                <w:lang w:val="es-419" w:eastAsia="en-US"/>
              </w:rPr>
            </w:pPr>
            <w:r w:rsidRPr="00CB1AF4">
              <w:rPr>
                <w:rFonts w:eastAsia="Times New Roman"/>
                <w:lang w:val="es-419" w:eastAsia="en-US"/>
              </w:rPr>
              <w:t>SE</w:t>
            </w:r>
          </w:p>
        </w:tc>
      </w:tr>
      <w:tr w:rsidR="00AC7A96" w:rsidRPr="00CB1AF4" w:rsidTr="00750477">
        <w:tc>
          <w:tcPr>
            <w:tcW w:w="1416"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Plenamente logrado</w:t>
            </w:r>
          </w:p>
        </w:tc>
        <w:tc>
          <w:tcPr>
            <w:tcW w:w="1677"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Avance notable</w:t>
            </w:r>
          </w:p>
        </w:tc>
        <w:tc>
          <w:tcPr>
            <w:tcW w:w="1797"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Avance parcial</w:t>
            </w:r>
          </w:p>
        </w:tc>
        <w:tc>
          <w:tcPr>
            <w:tcW w:w="1895"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Ningún avance</w:t>
            </w:r>
          </w:p>
        </w:tc>
        <w:tc>
          <w:tcPr>
            <w:tcW w:w="2563" w:type="dxa"/>
            <w:shd w:val="clear" w:color="auto" w:fill="auto"/>
          </w:tcPr>
          <w:p w:rsidR="00AC7A96" w:rsidRPr="00CB1AF4" w:rsidRDefault="00AC7A96" w:rsidP="00A65FF4">
            <w:pPr>
              <w:rPr>
                <w:rFonts w:eastAsia="Times New Roman"/>
                <w:lang w:val="es-419" w:eastAsia="en-US"/>
              </w:rPr>
            </w:pPr>
            <w:r w:rsidRPr="00CB1AF4">
              <w:rPr>
                <w:rFonts w:eastAsia="Times New Roman"/>
                <w:lang w:val="es-419" w:eastAsia="en-US"/>
              </w:rPr>
              <w:t xml:space="preserve">Sin evaluar /actividad </w:t>
            </w:r>
            <w:r w:rsidR="00A65FF4" w:rsidRPr="00CB1AF4">
              <w:rPr>
                <w:rFonts w:eastAsia="Times New Roman"/>
                <w:lang w:val="es-419" w:eastAsia="en-US"/>
              </w:rPr>
              <w:t>interrumpida</w:t>
            </w:r>
          </w:p>
        </w:tc>
      </w:tr>
    </w:tbl>
    <w:p w:rsidR="00AC7A96" w:rsidRPr="00CB1AF4" w:rsidRDefault="00AC7A96" w:rsidP="00AC7A96">
      <w:pPr>
        <w:rPr>
          <w:rFonts w:eastAsia="Times New Roman"/>
          <w:lang w:val="es-419" w:eastAsia="en-US"/>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977"/>
        <w:gridCol w:w="861"/>
      </w:tblGrid>
      <w:tr w:rsidR="00AC7A96" w:rsidRPr="00CB1AF4" w:rsidTr="00FE0708">
        <w:trPr>
          <w:trHeight w:val="616"/>
        </w:trPr>
        <w:tc>
          <w:tcPr>
            <w:tcW w:w="2518" w:type="dxa"/>
            <w:shd w:val="clear" w:color="auto" w:fill="auto"/>
          </w:tcPr>
          <w:p w:rsidR="00AC7A96" w:rsidRPr="00CB1AF4" w:rsidRDefault="00AC7A96" w:rsidP="00750477">
            <w:pPr>
              <w:rPr>
                <w:bCs/>
                <w:szCs w:val="26"/>
                <w:u w:val="single"/>
                <w:lang w:val="es-419" w:eastAsia="en-US"/>
              </w:rPr>
            </w:pPr>
          </w:p>
          <w:p w:rsidR="00AC7A96" w:rsidRPr="00CB1AF4" w:rsidRDefault="00AC7A96" w:rsidP="00750477">
            <w:pPr>
              <w:rPr>
                <w:rFonts w:eastAsia="Times New Roman"/>
                <w:lang w:val="es-419" w:eastAsia="en-US"/>
              </w:rPr>
            </w:pPr>
            <w:r w:rsidRPr="00CB1AF4">
              <w:rPr>
                <w:rFonts w:eastAsia="Times New Roman"/>
                <w:u w:val="single"/>
                <w:lang w:val="es-419" w:eastAsia="en-US"/>
              </w:rPr>
              <w:t>Productos del proyecto</w:t>
            </w:r>
            <w:r w:rsidRPr="00CB1AF4">
              <w:rPr>
                <w:rFonts w:eastAsia="Times New Roman"/>
                <w:lang w:val="es-419" w:eastAsia="en-US"/>
              </w:rPr>
              <w:t xml:space="preserve"> (Resultado previsto)</w:t>
            </w:r>
            <w:r w:rsidRPr="00CB1AF4">
              <w:rPr>
                <w:rStyle w:val="FootnoteReference"/>
                <w:rFonts w:eastAsia="Times New Roman"/>
                <w:lang w:val="es-419" w:eastAsia="en-US"/>
              </w:rPr>
              <w:footnoteReference w:id="1"/>
            </w:r>
          </w:p>
        </w:tc>
        <w:tc>
          <w:tcPr>
            <w:tcW w:w="2977" w:type="dxa"/>
            <w:shd w:val="clear" w:color="auto" w:fill="auto"/>
          </w:tcPr>
          <w:p w:rsidR="00AC7A96" w:rsidRPr="00CB1AF4" w:rsidRDefault="00AC7A96" w:rsidP="00750477">
            <w:pPr>
              <w:rPr>
                <w:bCs/>
                <w:szCs w:val="26"/>
                <w:u w:val="single"/>
                <w:lang w:val="es-419" w:eastAsia="en-US"/>
              </w:rPr>
            </w:pPr>
          </w:p>
          <w:p w:rsidR="00AC7A96" w:rsidRPr="00CB1AF4" w:rsidRDefault="00AC7A96" w:rsidP="00750477">
            <w:pPr>
              <w:rPr>
                <w:rFonts w:eastAsia="Times New Roman"/>
                <w:lang w:val="es-419" w:eastAsia="en-US"/>
              </w:rPr>
            </w:pPr>
            <w:r w:rsidRPr="00CB1AF4">
              <w:rPr>
                <w:rFonts w:eastAsia="Times New Roman"/>
                <w:u w:val="single"/>
                <w:lang w:val="es-419" w:eastAsia="en-US"/>
              </w:rPr>
              <w:t xml:space="preserve">Indicadores de </w:t>
            </w:r>
            <w:r w:rsidR="00A65FF4" w:rsidRPr="00CB1AF4">
              <w:rPr>
                <w:rFonts w:eastAsia="Times New Roman"/>
                <w:u w:val="single"/>
                <w:lang w:val="es-419" w:eastAsia="en-US"/>
              </w:rPr>
              <w:t>realización satisfactoria</w:t>
            </w:r>
            <w:r w:rsidRPr="00CB1AF4">
              <w:rPr>
                <w:rFonts w:eastAsia="Times New Roman"/>
                <w:lang w:val="es-419" w:eastAsia="en-US"/>
              </w:rPr>
              <w:t xml:space="preserve"> (Indicadores de producto</w:t>
            </w:r>
            <w:r w:rsidR="00A65FF4" w:rsidRPr="00CB1AF4">
              <w:rPr>
                <w:rFonts w:eastAsia="Times New Roman"/>
                <w:lang w:val="es-419" w:eastAsia="en-US"/>
              </w:rPr>
              <w:t>s</w:t>
            </w:r>
            <w:r w:rsidRPr="00CB1AF4">
              <w:rPr>
                <w:rFonts w:eastAsia="Times New Roman"/>
                <w:lang w:val="es-419" w:eastAsia="en-US"/>
              </w:rPr>
              <w:t>)</w:t>
            </w:r>
          </w:p>
          <w:p w:rsidR="00AC7A96" w:rsidRPr="00CB1AF4" w:rsidRDefault="00AC7A96" w:rsidP="00750477">
            <w:pPr>
              <w:rPr>
                <w:rFonts w:eastAsia="Times New Roman"/>
                <w:lang w:val="es-419" w:eastAsia="en-US"/>
              </w:rPr>
            </w:pPr>
          </w:p>
        </w:tc>
        <w:tc>
          <w:tcPr>
            <w:tcW w:w="2977" w:type="dxa"/>
            <w:shd w:val="clear" w:color="auto" w:fill="auto"/>
          </w:tcPr>
          <w:p w:rsidR="00AC7A96" w:rsidRPr="00CB1AF4" w:rsidRDefault="00AC7A96" w:rsidP="00750477">
            <w:pPr>
              <w:keepNext/>
              <w:spacing w:before="240" w:after="60"/>
              <w:outlineLvl w:val="2"/>
              <w:rPr>
                <w:bCs/>
                <w:szCs w:val="26"/>
                <w:u w:val="single"/>
                <w:lang w:val="es-419" w:eastAsia="en-US"/>
              </w:rPr>
            </w:pPr>
            <w:r w:rsidRPr="00CB1AF4">
              <w:rPr>
                <w:bCs/>
                <w:szCs w:val="26"/>
                <w:u w:val="single"/>
                <w:lang w:val="es-419" w:eastAsia="en-US"/>
              </w:rPr>
              <w:t>Datos sobre el rendimiento</w:t>
            </w:r>
          </w:p>
        </w:tc>
        <w:tc>
          <w:tcPr>
            <w:tcW w:w="861" w:type="dxa"/>
            <w:shd w:val="clear" w:color="auto" w:fill="auto"/>
          </w:tcPr>
          <w:p w:rsidR="00AC7A96" w:rsidRPr="00CB1AF4" w:rsidRDefault="00AC7A96" w:rsidP="00750477">
            <w:pPr>
              <w:keepNext/>
              <w:spacing w:before="240" w:after="60"/>
              <w:outlineLvl w:val="2"/>
              <w:rPr>
                <w:bCs/>
                <w:szCs w:val="26"/>
                <w:u w:val="single"/>
                <w:lang w:val="es-419" w:eastAsia="en-US"/>
              </w:rPr>
            </w:pPr>
            <w:r w:rsidRPr="00CB1AF4">
              <w:rPr>
                <w:bCs/>
                <w:szCs w:val="26"/>
                <w:u w:val="single"/>
                <w:lang w:val="es-419" w:eastAsia="en-US"/>
              </w:rPr>
              <w:t>Clave</w:t>
            </w:r>
          </w:p>
        </w:tc>
      </w:tr>
      <w:tr w:rsidR="00AC7A96" w:rsidRPr="00CB1AF4" w:rsidTr="00FE0708">
        <w:trPr>
          <w:trHeight w:val="509"/>
        </w:trPr>
        <w:tc>
          <w:tcPr>
            <w:tcW w:w="2518" w:type="dxa"/>
            <w:vMerge w:val="restart"/>
            <w:shd w:val="clear" w:color="auto" w:fill="auto"/>
          </w:tcPr>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r w:rsidRPr="00CB1AF4">
              <w:rPr>
                <w:rFonts w:eastAsia="Times New Roman"/>
                <w:lang w:val="es-419" w:eastAsia="en-US"/>
              </w:rPr>
              <w:t xml:space="preserve">Elaboración de una guía práctica sobre PI y turismo y documentación de cuatro estudios de casos </w:t>
            </w:r>
          </w:p>
          <w:p w:rsidR="00AC7A96" w:rsidRPr="00CB1AF4" w:rsidRDefault="00AC7A96" w:rsidP="00750477">
            <w:pPr>
              <w:rPr>
                <w:rFonts w:eastAsia="Times New Roman"/>
                <w:bCs/>
                <w:lang w:val="es-419" w:eastAsia="en-US"/>
              </w:rPr>
            </w:pPr>
          </w:p>
        </w:tc>
        <w:tc>
          <w:tcPr>
            <w:tcW w:w="2977"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a)</w:t>
            </w:r>
            <w:r w:rsidRPr="00CB1AF4">
              <w:rPr>
                <w:rFonts w:eastAsia="Times New Roman"/>
                <w:lang w:val="es-419" w:eastAsia="en-US"/>
              </w:rPr>
              <w:tab/>
              <w:t>Publicación de una guía práctica sobre la utilización de sistemas e instrumentos de PI para promover el turismo, entre otras cosas, mediante la promoción de los conocimientos, las tradic</w:t>
            </w:r>
            <w:r w:rsidR="00D35C5E" w:rsidRPr="00CB1AF4">
              <w:rPr>
                <w:rFonts w:eastAsia="Times New Roman"/>
                <w:lang w:val="es-419" w:eastAsia="en-US"/>
              </w:rPr>
              <w:t xml:space="preserve">iones y la cultura nacionales; </w:t>
            </w:r>
            <w:r w:rsidRPr="00CB1AF4">
              <w:rPr>
                <w:rFonts w:eastAsia="Times New Roman"/>
                <w:lang w:val="es-419" w:eastAsia="en-US"/>
              </w:rPr>
              <w:t>y</w:t>
            </w:r>
          </w:p>
          <w:p w:rsidR="00AC7A96" w:rsidRPr="00CB1AF4" w:rsidRDefault="00AC7A96" w:rsidP="00750477">
            <w:pPr>
              <w:rPr>
                <w:rFonts w:eastAsia="Times New Roman"/>
                <w:lang w:val="es-419" w:eastAsia="en-US"/>
              </w:rPr>
            </w:pPr>
          </w:p>
        </w:tc>
        <w:tc>
          <w:tcPr>
            <w:tcW w:w="2977" w:type="dxa"/>
            <w:shd w:val="clear" w:color="auto" w:fill="auto"/>
          </w:tcPr>
          <w:p w:rsidR="00AC7A96" w:rsidRPr="00CB1AF4" w:rsidRDefault="00AC7A96" w:rsidP="00AC7A96">
            <w:pPr>
              <w:rPr>
                <w:rFonts w:eastAsia="Times New Roman"/>
                <w:lang w:val="es-419" w:eastAsia="en-US"/>
              </w:rPr>
            </w:pPr>
            <w:r w:rsidRPr="00CB1AF4">
              <w:rPr>
                <w:rFonts w:eastAsia="Times New Roman"/>
                <w:lang w:val="es-419" w:eastAsia="en-US"/>
              </w:rPr>
              <w:t xml:space="preserve">El texto de una guía práctica se ha finalizado sobre la base de un estudio de la OMPI. Además, está en curso una publicación conjunta de la OMPI y la OMT, en la que se utiliza la </w:t>
            </w:r>
            <w:r w:rsidR="00D35C5E" w:rsidRPr="00CB1AF4">
              <w:rPr>
                <w:rFonts w:eastAsia="Times New Roman"/>
                <w:lang w:val="es-419" w:eastAsia="en-US"/>
              </w:rPr>
              <w:t>guía de la OMPI como material de referencia exhaustivo</w:t>
            </w:r>
            <w:r w:rsidRPr="00CB1AF4">
              <w:rPr>
                <w:rFonts w:eastAsia="Times New Roman"/>
                <w:lang w:val="es-419" w:eastAsia="en-US"/>
              </w:rPr>
              <w:t>.</w:t>
            </w:r>
          </w:p>
        </w:tc>
        <w:tc>
          <w:tcPr>
            <w:tcW w:w="861"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w:t>
            </w:r>
            <w:r w:rsidR="00D35C5E" w:rsidRPr="00CB1AF4">
              <w:rPr>
                <w:rFonts w:eastAsia="Times New Roman"/>
                <w:lang w:val="es-419" w:eastAsia="en-US"/>
              </w:rPr>
              <w:t>*</w:t>
            </w:r>
          </w:p>
        </w:tc>
      </w:tr>
      <w:tr w:rsidR="00AC7A96" w:rsidRPr="00CB1AF4" w:rsidTr="00FE0708">
        <w:trPr>
          <w:trHeight w:val="509"/>
        </w:trPr>
        <w:tc>
          <w:tcPr>
            <w:tcW w:w="2518" w:type="dxa"/>
            <w:vMerge/>
            <w:shd w:val="clear" w:color="auto" w:fill="auto"/>
          </w:tcPr>
          <w:p w:rsidR="00AC7A96" w:rsidRPr="00CB1AF4" w:rsidRDefault="00AC7A96" w:rsidP="00750477">
            <w:pPr>
              <w:rPr>
                <w:rFonts w:eastAsia="Times New Roman"/>
                <w:bCs/>
                <w:lang w:val="es-419" w:eastAsia="en-US"/>
              </w:rPr>
            </w:pPr>
          </w:p>
        </w:tc>
        <w:tc>
          <w:tcPr>
            <w:tcW w:w="2977"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b)</w:t>
            </w:r>
            <w:r w:rsidRPr="00CB1AF4">
              <w:rPr>
                <w:rFonts w:eastAsia="Times New Roman"/>
                <w:lang w:val="es-419" w:eastAsia="en-US"/>
              </w:rPr>
              <w:tab/>
              <w:t>Realización y documentación de cuatro estudios de casos (uno por país piloto)</w:t>
            </w:r>
          </w:p>
          <w:p w:rsidR="00AC7A96" w:rsidRPr="00CB1AF4" w:rsidRDefault="00AC7A96" w:rsidP="00750477">
            <w:pPr>
              <w:rPr>
                <w:rFonts w:eastAsia="Times New Roman"/>
                <w:lang w:val="es-419" w:eastAsia="en-US"/>
              </w:rPr>
            </w:pPr>
          </w:p>
        </w:tc>
        <w:tc>
          <w:tcPr>
            <w:tcW w:w="2977" w:type="dxa"/>
            <w:shd w:val="clear" w:color="auto" w:fill="auto"/>
          </w:tcPr>
          <w:p w:rsidR="00AC7A96" w:rsidRPr="00CB1AF4" w:rsidRDefault="00D35C5E" w:rsidP="00D35C5E">
            <w:pPr>
              <w:rPr>
                <w:rFonts w:eastAsia="Times New Roman"/>
                <w:lang w:val="es-419" w:eastAsia="en-US"/>
              </w:rPr>
            </w:pPr>
            <w:r w:rsidRPr="00CB1AF4">
              <w:rPr>
                <w:rFonts w:eastAsia="Times New Roman"/>
                <w:lang w:val="es-419" w:eastAsia="en-US"/>
              </w:rPr>
              <w:t>Se han finalizado seis estudios de caso</w:t>
            </w:r>
          </w:p>
          <w:p w:rsidR="00D35C5E" w:rsidRPr="00CB1AF4" w:rsidRDefault="00D35C5E" w:rsidP="00D35C5E">
            <w:pPr>
              <w:rPr>
                <w:rFonts w:eastAsia="Times New Roman"/>
                <w:lang w:val="es-419" w:eastAsia="en-US"/>
              </w:rPr>
            </w:pPr>
            <w:r w:rsidRPr="00CB1AF4">
              <w:rPr>
                <w:rFonts w:eastAsia="Times New Roman"/>
                <w:lang w:val="es-419" w:eastAsia="en-US"/>
              </w:rPr>
              <w:t xml:space="preserve">2 en </w:t>
            </w:r>
            <w:r w:rsidR="00505524" w:rsidRPr="00CB1AF4">
              <w:rPr>
                <w:rFonts w:eastAsia="Times New Roman"/>
                <w:lang w:val="es-419" w:eastAsia="en-US"/>
              </w:rPr>
              <w:t xml:space="preserve">el </w:t>
            </w:r>
            <w:r w:rsidRPr="00CB1AF4">
              <w:rPr>
                <w:rFonts w:eastAsia="Times New Roman"/>
                <w:lang w:val="es-419" w:eastAsia="en-US"/>
              </w:rPr>
              <w:t>Ecuador</w:t>
            </w:r>
          </w:p>
          <w:p w:rsidR="00D35C5E" w:rsidRPr="00CB1AF4" w:rsidRDefault="00D35C5E" w:rsidP="00D35C5E">
            <w:pPr>
              <w:rPr>
                <w:rFonts w:eastAsia="Times New Roman"/>
                <w:lang w:val="es-419" w:eastAsia="en-US"/>
              </w:rPr>
            </w:pPr>
            <w:r w:rsidRPr="00CB1AF4">
              <w:rPr>
                <w:rFonts w:eastAsia="Times New Roman"/>
                <w:lang w:val="es-419" w:eastAsia="en-US"/>
              </w:rPr>
              <w:t>1 en Egipto</w:t>
            </w:r>
          </w:p>
          <w:p w:rsidR="00D35C5E" w:rsidRPr="00CB1AF4" w:rsidRDefault="00D35C5E" w:rsidP="00D35C5E">
            <w:pPr>
              <w:rPr>
                <w:rFonts w:eastAsia="Times New Roman"/>
                <w:lang w:val="es-419" w:eastAsia="en-US"/>
              </w:rPr>
            </w:pPr>
            <w:r w:rsidRPr="00CB1AF4">
              <w:rPr>
                <w:rFonts w:eastAsia="Times New Roman"/>
                <w:lang w:val="es-419" w:eastAsia="en-US"/>
              </w:rPr>
              <w:t>2 en Namibia</w:t>
            </w:r>
          </w:p>
          <w:p w:rsidR="00D35C5E" w:rsidRPr="00CB1AF4" w:rsidRDefault="00D35C5E" w:rsidP="00D35C5E">
            <w:pPr>
              <w:rPr>
                <w:rFonts w:eastAsia="Times New Roman"/>
                <w:lang w:val="es-419" w:eastAsia="en-US"/>
              </w:rPr>
            </w:pPr>
            <w:r w:rsidRPr="00CB1AF4">
              <w:rPr>
                <w:rFonts w:eastAsia="Times New Roman"/>
                <w:lang w:val="es-419" w:eastAsia="en-US"/>
              </w:rPr>
              <w:t>1 en Sri Lanka</w:t>
            </w:r>
          </w:p>
        </w:tc>
        <w:tc>
          <w:tcPr>
            <w:tcW w:w="861"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w:t>
            </w:r>
            <w:r w:rsidR="00D35C5E" w:rsidRPr="00CB1AF4">
              <w:rPr>
                <w:rFonts w:eastAsia="Times New Roman"/>
                <w:lang w:val="es-419" w:eastAsia="en-US"/>
              </w:rPr>
              <w:t>*</w:t>
            </w:r>
          </w:p>
        </w:tc>
      </w:tr>
      <w:tr w:rsidR="00AC7A96" w:rsidRPr="00CB1AF4" w:rsidTr="00FE0708">
        <w:tc>
          <w:tcPr>
            <w:tcW w:w="2518"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 xml:space="preserve">Selección de tres países piloto (además de Egipto) </w:t>
            </w:r>
          </w:p>
        </w:tc>
        <w:tc>
          <w:tcPr>
            <w:tcW w:w="2977"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a)</w:t>
            </w:r>
            <w:r w:rsidRPr="00CB1AF4">
              <w:rPr>
                <w:rFonts w:eastAsia="Times New Roman"/>
                <w:lang w:val="es-419" w:eastAsia="en-US"/>
              </w:rPr>
              <w:tab/>
              <w:t>Selección de tres países (con arreglo a criterios de selección acordados), y</w:t>
            </w:r>
          </w:p>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r w:rsidRPr="00CB1AF4">
              <w:rPr>
                <w:rFonts w:eastAsia="Times New Roman"/>
                <w:lang w:val="es-419" w:eastAsia="en-US"/>
              </w:rPr>
              <w:t>b)</w:t>
            </w:r>
            <w:r w:rsidRPr="00CB1AF4">
              <w:rPr>
                <w:rFonts w:eastAsia="Times New Roman"/>
                <w:lang w:val="es-419" w:eastAsia="en-US"/>
              </w:rPr>
              <w:tab/>
              <w:t>Designación de organi</w:t>
            </w:r>
            <w:r w:rsidR="00102865" w:rsidRPr="00CB1AF4">
              <w:rPr>
                <w:rFonts w:eastAsia="Times New Roman"/>
                <w:lang w:val="es-419" w:eastAsia="en-US"/>
              </w:rPr>
              <w:t>smos o instituciones de coordinación</w:t>
            </w:r>
            <w:r w:rsidRPr="00CB1AF4">
              <w:rPr>
                <w:rFonts w:eastAsia="Times New Roman"/>
                <w:lang w:val="es-419" w:eastAsia="en-US"/>
              </w:rPr>
              <w:t xml:space="preserve"> para la ejecución de los proyectos en los países.</w:t>
            </w:r>
          </w:p>
          <w:p w:rsidR="00AC7A96" w:rsidRPr="00CB1AF4" w:rsidRDefault="00AC7A96" w:rsidP="00750477">
            <w:pPr>
              <w:rPr>
                <w:rFonts w:eastAsia="Times New Roman"/>
                <w:lang w:val="es-419" w:eastAsia="en-US"/>
              </w:rPr>
            </w:pPr>
          </w:p>
        </w:tc>
        <w:tc>
          <w:tcPr>
            <w:tcW w:w="2977" w:type="dxa"/>
            <w:shd w:val="clear" w:color="auto" w:fill="auto"/>
          </w:tcPr>
          <w:p w:rsidR="00AC7A96" w:rsidRPr="00CB1AF4" w:rsidRDefault="001C187F" w:rsidP="00750477">
            <w:pPr>
              <w:rPr>
                <w:rFonts w:eastAsia="Times New Roman"/>
                <w:lang w:val="es-419" w:eastAsia="en-US"/>
              </w:rPr>
            </w:pPr>
            <w:r w:rsidRPr="00CB1AF4">
              <w:rPr>
                <w:rFonts w:eastAsia="Times New Roman"/>
                <w:lang w:val="es-419" w:eastAsia="en-US"/>
              </w:rPr>
              <w:t xml:space="preserve">a)   </w:t>
            </w:r>
            <w:r w:rsidR="00D35C5E" w:rsidRPr="00CB1AF4">
              <w:rPr>
                <w:rFonts w:eastAsia="Times New Roman"/>
                <w:lang w:val="es-419" w:eastAsia="en-US"/>
              </w:rPr>
              <w:t xml:space="preserve">El </w:t>
            </w:r>
            <w:r w:rsidR="00AC7A96" w:rsidRPr="00CB1AF4">
              <w:rPr>
                <w:rFonts w:eastAsia="Times New Roman"/>
                <w:lang w:val="es-419" w:eastAsia="en-US"/>
              </w:rPr>
              <w:t>Ecuador, Namibia y Sri Lanka se han seleccionado como países piloto (además de Egipto)</w:t>
            </w:r>
          </w:p>
          <w:p w:rsidR="00AC7A96" w:rsidRPr="00CB1AF4" w:rsidRDefault="00AC7A96" w:rsidP="00750477">
            <w:pPr>
              <w:rPr>
                <w:rFonts w:eastAsia="Times New Roman"/>
                <w:lang w:val="es-419" w:eastAsia="en-US"/>
              </w:rPr>
            </w:pPr>
          </w:p>
          <w:p w:rsidR="00AC7A96" w:rsidRPr="00CB1AF4" w:rsidRDefault="00D35C5E" w:rsidP="00D35C5E">
            <w:pPr>
              <w:rPr>
                <w:rFonts w:eastAsia="Times New Roman"/>
                <w:lang w:val="es-419" w:eastAsia="en-US"/>
              </w:rPr>
            </w:pPr>
            <w:r w:rsidRPr="00CB1AF4">
              <w:rPr>
                <w:rFonts w:eastAsia="Times New Roman"/>
                <w:lang w:val="es-419" w:eastAsia="en-US"/>
              </w:rPr>
              <w:t xml:space="preserve">b) </w:t>
            </w:r>
            <w:r w:rsidR="001C187F" w:rsidRPr="00CB1AF4">
              <w:rPr>
                <w:rFonts w:eastAsia="Times New Roman"/>
                <w:lang w:val="es-419" w:eastAsia="en-US"/>
              </w:rPr>
              <w:t xml:space="preserve">  </w:t>
            </w:r>
            <w:r w:rsidRPr="00CB1AF4">
              <w:rPr>
                <w:rFonts w:eastAsia="Times New Roman"/>
                <w:lang w:val="es-419" w:eastAsia="en-US"/>
              </w:rPr>
              <w:t>SENADI</w:t>
            </w:r>
            <w:r w:rsidR="00AC7A96" w:rsidRPr="00CB1AF4">
              <w:rPr>
                <w:rFonts w:eastAsia="Times New Roman"/>
                <w:lang w:val="es-419" w:eastAsia="en-US"/>
              </w:rPr>
              <w:t xml:space="preserve"> (</w:t>
            </w:r>
            <w:r w:rsidRPr="00CB1AF4">
              <w:rPr>
                <w:rFonts w:eastAsia="Times New Roman"/>
                <w:lang w:val="es-419" w:eastAsia="en-US"/>
              </w:rPr>
              <w:t>Servicio Nacional de Derechos Intelectuales</w:t>
            </w:r>
            <w:r w:rsidR="00AC7A96" w:rsidRPr="00CB1AF4">
              <w:rPr>
                <w:rFonts w:eastAsia="Times New Roman"/>
                <w:lang w:val="es-419" w:eastAsia="en-US"/>
              </w:rPr>
              <w:t>); BIPA (</w:t>
            </w:r>
            <w:r w:rsidR="00AC7A96" w:rsidRPr="00CB1AF4">
              <w:rPr>
                <w:rFonts w:eastAsia="Times New Roman"/>
                <w:i/>
                <w:lang w:val="es-419" w:eastAsia="en-US"/>
              </w:rPr>
              <w:t>Business and Intellectual Property Authority, Namibia</w:t>
            </w:r>
            <w:r w:rsidR="00AC7A96" w:rsidRPr="00CB1AF4">
              <w:rPr>
                <w:rFonts w:eastAsia="Times New Roman"/>
                <w:lang w:val="es-419" w:eastAsia="en-US"/>
              </w:rPr>
              <w:t>); SLTDA (</w:t>
            </w:r>
            <w:r w:rsidR="00AC7A96" w:rsidRPr="00CB1AF4">
              <w:rPr>
                <w:rFonts w:eastAsia="Times New Roman"/>
                <w:i/>
                <w:lang w:val="es-419" w:eastAsia="en-US"/>
              </w:rPr>
              <w:t>Sri Lanka Tourism Development Authority</w:t>
            </w:r>
            <w:r w:rsidR="00AC7A96" w:rsidRPr="00CB1AF4">
              <w:rPr>
                <w:rFonts w:eastAsia="Times New Roman"/>
                <w:lang w:val="es-419" w:eastAsia="en-US"/>
              </w:rPr>
              <w:t>, Sri Lanka); Ministerio de Asuntos Exteriores de Egipto (Egipto)</w:t>
            </w:r>
          </w:p>
          <w:p w:rsidR="00FE0708" w:rsidRPr="00CB1AF4" w:rsidRDefault="00FE0708" w:rsidP="00D35C5E">
            <w:pPr>
              <w:rPr>
                <w:rFonts w:eastAsia="Times New Roman"/>
                <w:lang w:val="es-419" w:eastAsia="en-US"/>
              </w:rPr>
            </w:pPr>
          </w:p>
        </w:tc>
        <w:tc>
          <w:tcPr>
            <w:tcW w:w="861"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w:t>
            </w:r>
          </w:p>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r w:rsidRPr="00CB1AF4">
              <w:rPr>
                <w:rFonts w:eastAsia="Times New Roman"/>
                <w:lang w:val="es-419" w:eastAsia="en-US"/>
              </w:rPr>
              <w:t>****</w:t>
            </w:r>
          </w:p>
        </w:tc>
      </w:tr>
      <w:tr w:rsidR="00AC7A96" w:rsidRPr="00CB1AF4" w:rsidTr="00FE0708">
        <w:tc>
          <w:tcPr>
            <w:tcW w:w="2518" w:type="dxa"/>
            <w:shd w:val="clear" w:color="auto" w:fill="auto"/>
          </w:tcPr>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r w:rsidRPr="00CB1AF4">
              <w:rPr>
                <w:rFonts w:eastAsia="Times New Roman"/>
                <w:lang w:val="es-419" w:eastAsia="en-US"/>
              </w:rPr>
              <w:t xml:space="preserve">Determinación de las partes interesadas en </w:t>
            </w:r>
            <w:r w:rsidRPr="00CB1AF4">
              <w:rPr>
                <w:rFonts w:eastAsia="Times New Roman"/>
                <w:lang w:val="es-419" w:eastAsia="en-US"/>
              </w:rPr>
              <w:lastRenderedPageBreak/>
              <w:t>el sector del turismo y las autoridades nacionales</w:t>
            </w:r>
          </w:p>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p>
        </w:tc>
        <w:tc>
          <w:tcPr>
            <w:tcW w:w="2977" w:type="dxa"/>
            <w:shd w:val="clear" w:color="auto" w:fill="auto"/>
          </w:tcPr>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r w:rsidRPr="00CB1AF4">
              <w:rPr>
                <w:rFonts w:eastAsia="Times New Roman"/>
                <w:lang w:val="es-419" w:eastAsia="en-US"/>
              </w:rPr>
              <w:t xml:space="preserve">Determinación en cada país de las partes interesadas </w:t>
            </w:r>
            <w:r w:rsidRPr="00CB1AF4">
              <w:rPr>
                <w:rFonts w:eastAsia="Times New Roman"/>
                <w:lang w:val="es-419" w:eastAsia="en-US"/>
              </w:rPr>
              <w:lastRenderedPageBreak/>
              <w:t xml:space="preserve">pertinentes en el sector del turismo en </w:t>
            </w:r>
            <w:r w:rsidR="004444B5" w:rsidRPr="00CB1AF4">
              <w:rPr>
                <w:rFonts w:eastAsia="Times New Roman"/>
                <w:lang w:val="es-419" w:eastAsia="en-US"/>
              </w:rPr>
              <w:t>colaboración con las</w:t>
            </w:r>
            <w:r w:rsidRPr="00CB1AF4">
              <w:rPr>
                <w:rFonts w:eastAsia="Times New Roman"/>
                <w:lang w:val="es-419" w:eastAsia="en-US"/>
              </w:rPr>
              <w:t xml:space="preserve"> instituciones</w:t>
            </w:r>
            <w:r w:rsidR="004444B5" w:rsidRPr="00CB1AF4">
              <w:rPr>
                <w:rFonts w:eastAsia="Times New Roman"/>
                <w:lang w:val="es-419" w:eastAsia="en-US"/>
              </w:rPr>
              <w:t>/organismos de coordinación.</w:t>
            </w:r>
          </w:p>
          <w:p w:rsidR="00AC7A96" w:rsidRPr="00CB1AF4" w:rsidRDefault="00AC7A96" w:rsidP="00750477">
            <w:pPr>
              <w:rPr>
                <w:rFonts w:eastAsia="Times New Roman"/>
                <w:lang w:val="es-419" w:eastAsia="en-US"/>
              </w:rPr>
            </w:pPr>
          </w:p>
        </w:tc>
        <w:tc>
          <w:tcPr>
            <w:tcW w:w="2977" w:type="dxa"/>
            <w:shd w:val="clear" w:color="auto" w:fill="auto"/>
          </w:tcPr>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r w:rsidRPr="00CB1AF4">
              <w:rPr>
                <w:rFonts w:eastAsia="Times New Roman"/>
                <w:lang w:val="es-419" w:eastAsia="en-US"/>
              </w:rPr>
              <w:t xml:space="preserve">Se han identificado las partes interesadas clave y </w:t>
            </w:r>
            <w:r w:rsidRPr="00CB1AF4">
              <w:rPr>
                <w:rFonts w:eastAsia="Times New Roman"/>
                <w:lang w:val="es-419" w:eastAsia="en-US"/>
              </w:rPr>
              <w:lastRenderedPageBreak/>
              <w:t>se han organizado en comités de dirección nacionales en los 4 países, bajo la coordinación del correspondiente organismo.</w:t>
            </w:r>
          </w:p>
          <w:p w:rsidR="00FE0708" w:rsidRPr="00CB1AF4" w:rsidRDefault="00FE0708" w:rsidP="00750477">
            <w:pPr>
              <w:rPr>
                <w:rFonts w:eastAsia="Times New Roman"/>
                <w:lang w:val="es-419" w:eastAsia="en-US"/>
              </w:rPr>
            </w:pPr>
          </w:p>
        </w:tc>
        <w:tc>
          <w:tcPr>
            <w:tcW w:w="861" w:type="dxa"/>
            <w:shd w:val="clear" w:color="auto" w:fill="auto"/>
          </w:tcPr>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r w:rsidRPr="00CB1AF4">
              <w:rPr>
                <w:rFonts w:eastAsia="Times New Roman"/>
                <w:lang w:val="es-419" w:eastAsia="en-US"/>
              </w:rPr>
              <w:t>****</w:t>
            </w:r>
          </w:p>
        </w:tc>
      </w:tr>
      <w:tr w:rsidR="00AC7A96" w:rsidRPr="00CB1AF4" w:rsidTr="00FE0708">
        <w:tc>
          <w:tcPr>
            <w:tcW w:w="2518"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Aprobación de los planes en relación con los proyectos por país</w:t>
            </w:r>
          </w:p>
          <w:p w:rsidR="00AC7A96" w:rsidRPr="00CB1AF4" w:rsidRDefault="00AC7A96" w:rsidP="00750477">
            <w:pPr>
              <w:rPr>
                <w:rFonts w:eastAsia="Times New Roman"/>
                <w:lang w:val="es-419" w:eastAsia="en-US"/>
              </w:rPr>
            </w:pPr>
          </w:p>
        </w:tc>
        <w:tc>
          <w:tcPr>
            <w:tcW w:w="2977"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Redacción de los planes de ejecución de los proyectos (uno por país)</w:t>
            </w:r>
          </w:p>
        </w:tc>
        <w:tc>
          <w:tcPr>
            <w:tcW w:w="2977" w:type="dxa"/>
            <w:shd w:val="clear" w:color="auto" w:fill="auto"/>
          </w:tcPr>
          <w:p w:rsidR="00AC7A96" w:rsidRPr="00CB1AF4" w:rsidRDefault="00AC7A96" w:rsidP="008840B4">
            <w:pPr>
              <w:rPr>
                <w:rFonts w:eastAsia="Times New Roman"/>
                <w:lang w:val="es-419" w:eastAsia="en-US"/>
              </w:rPr>
            </w:pPr>
            <w:r w:rsidRPr="00CB1AF4">
              <w:rPr>
                <w:rFonts w:eastAsia="Times New Roman"/>
                <w:lang w:val="es-419" w:eastAsia="en-US"/>
              </w:rPr>
              <w:t>Se han firmado acuerdos de colaboración/se ha intercambiado correspondencia entre la OMPI y los or</w:t>
            </w:r>
            <w:r w:rsidR="00D35C5E" w:rsidRPr="00CB1AF4">
              <w:rPr>
                <w:rFonts w:eastAsia="Times New Roman"/>
                <w:lang w:val="es-419" w:eastAsia="en-US"/>
              </w:rPr>
              <w:t>ganismos de coordinación en cuatro</w:t>
            </w:r>
            <w:r w:rsidRPr="00CB1AF4">
              <w:rPr>
                <w:rFonts w:eastAsia="Times New Roman"/>
                <w:lang w:val="es-419" w:eastAsia="en-US"/>
              </w:rPr>
              <w:t xml:space="preserve"> países</w:t>
            </w:r>
            <w:r w:rsidR="00E42953" w:rsidRPr="00CB1AF4">
              <w:rPr>
                <w:rFonts w:eastAsia="Times New Roman"/>
                <w:lang w:val="es-419" w:eastAsia="en-US"/>
              </w:rPr>
              <w:t>. Las recomendaciones de los estudios nacionales fueron refrendadas por los comités directivos, pero no se ejecutaron plenamente.</w:t>
            </w:r>
          </w:p>
          <w:p w:rsidR="00FE0708" w:rsidRPr="00CB1AF4" w:rsidRDefault="00FE0708" w:rsidP="008840B4">
            <w:pPr>
              <w:rPr>
                <w:rFonts w:eastAsia="Times New Roman"/>
                <w:lang w:val="es-419" w:eastAsia="en-US"/>
              </w:rPr>
            </w:pPr>
          </w:p>
        </w:tc>
        <w:tc>
          <w:tcPr>
            <w:tcW w:w="861"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w:t>
            </w:r>
          </w:p>
        </w:tc>
      </w:tr>
      <w:tr w:rsidR="00AC7A96" w:rsidRPr="00CB1AF4" w:rsidTr="00FE0708">
        <w:tc>
          <w:tcPr>
            <w:tcW w:w="2518" w:type="dxa"/>
            <w:tcBorders>
              <w:bottom w:val="single" w:sz="4" w:space="0" w:color="auto"/>
            </w:tcBorders>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 xml:space="preserve">Sensibilización de las partes interesadas en el sector del turismo y las autoridades nacionales, en particular las oficinas de PI </w:t>
            </w:r>
          </w:p>
          <w:p w:rsidR="00AC7A96" w:rsidRPr="00CB1AF4" w:rsidRDefault="00AC7A96" w:rsidP="00750477">
            <w:pPr>
              <w:rPr>
                <w:rFonts w:eastAsia="Times New Roman"/>
                <w:lang w:val="es-419" w:eastAsia="en-US"/>
              </w:rPr>
            </w:pPr>
          </w:p>
          <w:p w:rsidR="00AC7A96" w:rsidRPr="00CB1AF4" w:rsidRDefault="00AC7A96" w:rsidP="00750477">
            <w:pPr>
              <w:rPr>
                <w:rFonts w:eastAsia="Times New Roman"/>
                <w:lang w:val="es-419" w:eastAsia="en-US"/>
              </w:rPr>
            </w:pPr>
          </w:p>
        </w:tc>
        <w:tc>
          <w:tcPr>
            <w:tcW w:w="2977" w:type="dxa"/>
            <w:tcBorders>
              <w:bottom w:val="single" w:sz="4" w:space="0" w:color="auto"/>
            </w:tcBorders>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En cada país piloto, organización de dos eventos de fortalecimiento de las capacidades para sensibilizar a las partes interesadas en el sector del turismo y desarrollar la capacidad de las autoridades nacionales de ofrecer medidas de apoyo específicas a las actividades económicas relacionadas con el turismo me</w:t>
            </w:r>
            <w:r w:rsidR="001C187F" w:rsidRPr="00CB1AF4">
              <w:rPr>
                <w:rFonts w:eastAsia="Times New Roman"/>
                <w:lang w:val="es-419" w:eastAsia="en-US"/>
              </w:rPr>
              <w:t>diante la utilización de la PI.</w:t>
            </w:r>
          </w:p>
        </w:tc>
        <w:tc>
          <w:tcPr>
            <w:tcW w:w="2977" w:type="dxa"/>
            <w:tcBorders>
              <w:bottom w:val="single" w:sz="4" w:space="0" w:color="auto"/>
            </w:tcBorders>
            <w:shd w:val="clear" w:color="auto" w:fill="auto"/>
          </w:tcPr>
          <w:p w:rsidR="00E42953" w:rsidRPr="00CB1AF4" w:rsidRDefault="00E42953" w:rsidP="00E42953">
            <w:pPr>
              <w:rPr>
                <w:rFonts w:eastAsia="Times New Roman"/>
                <w:lang w:val="es-419" w:eastAsia="en-US"/>
              </w:rPr>
            </w:pPr>
            <w:r w:rsidRPr="00CB1AF4">
              <w:rPr>
                <w:rFonts w:eastAsia="Times New Roman"/>
                <w:lang w:val="es-419" w:eastAsia="en-US"/>
              </w:rPr>
              <w:t>-Ecuador: 3 talleres para las partes interesadas y más de 20 iniciativas de sensibilización por parte de las autoridades nacionales de PI;</w:t>
            </w:r>
          </w:p>
          <w:p w:rsidR="00E42953" w:rsidRPr="00CB1AF4" w:rsidRDefault="00E42953" w:rsidP="00E42953">
            <w:pPr>
              <w:rPr>
                <w:rFonts w:eastAsia="Times New Roman"/>
                <w:lang w:val="es-419" w:eastAsia="en-US"/>
              </w:rPr>
            </w:pPr>
            <w:r w:rsidRPr="00CB1AF4">
              <w:rPr>
                <w:rFonts w:eastAsia="Times New Roman"/>
                <w:lang w:val="es-419" w:eastAsia="en-US"/>
              </w:rPr>
              <w:t>- Egipto: 3 seminarios de sensibilización con miembros del Comité Directivo; 2 actividades de fomento de la capacidad;</w:t>
            </w:r>
          </w:p>
          <w:p w:rsidR="00E42953" w:rsidRPr="00CB1AF4" w:rsidRDefault="00E42953" w:rsidP="00E42953">
            <w:pPr>
              <w:rPr>
                <w:rFonts w:eastAsia="Times New Roman"/>
                <w:lang w:val="es-419" w:eastAsia="en-US"/>
              </w:rPr>
            </w:pPr>
            <w:r w:rsidRPr="00CB1AF4">
              <w:rPr>
                <w:rFonts w:eastAsia="Times New Roman"/>
                <w:lang w:val="es-419" w:eastAsia="en-US"/>
              </w:rPr>
              <w:t>- Namibia: 4 talleres nacionales para agentes del sector turístico y responsables de la formulación de políticas;</w:t>
            </w:r>
          </w:p>
          <w:p w:rsidR="00AC7A96" w:rsidRPr="00CB1AF4" w:rsidRDefault="00E42953" w:rsidP="00E42953">
            <w:pPr>
              <w:rPr>
                <w:rFonts w:eastAsia="Times New Roman"/>
                <w:lang w:val="es-419" w:eastAsia="en-US"/>
              </w:rPr>
            </w:pPr>
            <w:r w:rsidRPr="00CB1AF4">
              <w:rPr>
                <w:rFonts w:eastAsia="Times New Roman"/>
                <w:lang w:val="es-419" w:eastAsia="en-US"/>
              </w:rPr>
              <w:t>- Sri Lanka: 3 talleres nacionales para agentes del sector turístico y responsables de la formulación de políticas.</w:t>
            </w:r>
          </w:p>
          <w:p w:rsidR="00FE0708" w:rsidRPr="00CB1AF4" w:rsidRDefault="00FE0708" w:rsidP="00E42953">
            <w:pPr>
              <w:rPr>
                <w:rFonts w:eastAsia="Times New Roman"/>
                <w:lang w:val="es-419" w:eastAsia="en-US"/>
              </w:rPr>
            </w:pPr>
          </w:p>
        </w:tc>
        <w:tc>
          <w:tcPr>
            <w:tcW w:w="861" w:type="dxa"/>
            <w:tcBorders>
              <w:bottom w:val="single" w:sz="4" w:space="0" w:color="auto"/>
            </w:tcBorders>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w:t>
            </w:r>
            <w:r w:rsidR="00E42953" w:rsidRPr="00CB1AF4">
              <w:rPr>
                <w:rFonts w:eastAsia="Times New Roman"/>
                <w:lang w:val="es-419" w:eastAsia="en-US"/>
              </w:rPr>
              <w:t>**</w:t>
            </w:r>
          </w:p>
        </w:tc>
      </w:tr>
      <w:tr w:rsidR="00AC7A96" w:rsidRPr="00CB1AF4" w:rsidTr="00FE0708">
        <w:tc>
          <w:tcPr>
            <w:tcW w:w="2518" w:type="dxa"/>
            <w:tcBorders>
              <w:bottom w:val="single" w:sz="4" w:space="0" w:color="auto"/>
            </w:tcBorders>
            <w:shd w:val="clear" w:color="auto" w:fill="auto"/>
          </w:tcPr>
          <w:p w:rsidR="00AC7A96" w:rsidRPr="00CB1AF4" w:rsidRDefault="00E42953" w:rsidP="00750477">
            <w:pPr>
              <w:rPr>
                <w:rFonts w:eastAsia="Times New Roman"/>
                <w:lang w:val="es-419" w:eastAsia="en-US"/>
              </w:rPr>
            </w:pPr>
            <w:r w:rsidRPr="00CB1AF4">
              <w:rPr>
                <w:rFonts w:eastAsia="Times New Roman"/>
                <w:lang w:val="es-419" w:eastAsia="en-US"/>
              </w:rPr>
              <w:t>Mayor concientización</w:t>
            </w:r>
            <w:r w:rsidR="00AC7A96" w:rsidRPr="00CB1AF4">
              <w:rPr>
                <w:rFonts w:eastAsia="Times New Roman"/>
                <w:lang w:val="es-419" w:eastAsia="en-US"/>
              </w:rPr>
              <w:t xml:space="preserve"> en la comunidad académica sobre la interrelación de la PI con el turismo y la promoción de los conocimientos, las tradiciones y la cultura nacionales en pos del desarrollo</w:t>
            </w:r>
          </w:p>
          <w:p w:rsidR="00AC7A96" w:rsidRPr="00CB1AF4" w:rsidRDefault="00AC7A96" w:rsidP="00750477">
            <w:pPr>
              <w:rPr>
                <w:rFonts w:eastAsia="Times New Roman"/>
                <w:lang w:val="es-419" w:eastAsia="en-US"/>
              </w:rPr>
            </w:pPr>
          </w:p>
        </w:tc>
        <w:tc>
          <w:tcPr>
            <w:tcW w:w="2977" w:type="dxa"/>
            <w:tcBorders>
              <w:bottom w:val="single" w:sz="4" w:space="0" w:color="auto"/>
            </w:tcBorders>
            <w:shd w:val="clear" w:color="auto" w:fill="auto"/>
          </w:tcPr>
          <w:p w:rsidR="00AC7A96" w:rsidRPr="00CB1AF4" w:rsidRDefault="00AC7A96" w:rsidP="00750477">
            <w:pPr>
              <w:rPr>
                <w:rFonts w:eastAsia="Times New Roman"/>
                <w:bCs/>
                <w:lang w:val="es-419" w:eastAsia="en-US"/>
              </w:rPr>
            </w:pPr>
            <w:r w:rsidRPr="00CB1AF4">
              <w:rPr>
                <w:rFonts w:eastAsia="Times New Roman"/>
                <w:bCs/>
                <w:lang w:val="es-419" w:eastAsia="en-US"/>
              </w:rPr>
              <w:t>a)</w:t>
            </w:r>
            <w:r w:rsidRPr="00CB1AF4">
              <w:rPr>
                <w:rFonts w:eastAsia="Times New Roman"/>
                <w:bCs/>
                <w:lang w:val="es-419" w:eastAsia="en-US"/>
              </w:rPr>
              <w:tab/>
              <w:t>Elaboración de materiales de información/concienciación (al menos un documental en vídeo), y</w:t>
            </w:r>
          </w:p>
          <w:p w:rsidR="00AC7A96" w:rsidRPr="00CB1AF4" w:rsidRDefault="00AC7A96" w:rsidP="00750477">
            <w:pPr>
              <w:rPr>
                <w:rFonts w:eastAsia="Times New Roman"/>
                <w:bCs/>
                <w:lang w:val="es-419" w:eastAsia="en-US"/>
              </w:rPr>
            </w:pPr>
          </w:p>
          <w:p w:rsidR="00AC7A96" w:rsidRPr="00CB1AF4" w:rsidRDefault="00AC7A96" w:rsidP="00750477">
            <w:pPr>
              <w:rPr>
                <w:rFonts w:eastAsia="Times New Roman"/>
                <w:lang w:val="es-419" w:eastAsia="en-US"/>
              </w:rPr>
            </w:pPr>
            <w:r w:rsidRPr="00CB1AF4">
              <w:rPr>
                <w:rFonts w:eastAsia="Times New Roman"/>
                <w:lang w:val="es-419" w:eastAsia="en-US"/>
              </w:rPr>
              <w:t>b)</w:t>
            </w:r>
            <w:r w:rsidRPr="00CB1AF4">
              <w:rPr>
                <w:rFonts w:eastAsia="Times New Roman"/>
                <w:lang w:val="es-419" w:eastAsia="en-US"/>
              </w:rPr>
              <w:tab/>
              <w:t>Elaboración de materiales didácticos o de formación (al menos un conjunto de ellos) que se integrarán en los planes de estudios</w:t>
            </w:r>
          </w:p>
        </w:tc>
        <w:tc>
          <w:tcPr>
            <w:tcW w:w="2977" w:type="dxa"/>
            <w:tcBorders>
              <w:bottom w:val="single" w:sz="4" w:space="0" w:color="auto"/>
            </w:tcBorders>
            <w:shd w:val="clear" w:color="auto" w:fill="auto"/>
          </w:tcPr>
          <w:p w:rsidR="00E42953" w:rsidRPr="00CB1AF4" w:rsidRDefault="00E42953" w:rsidP="00E42953">
            <w:pPr>
              <w:rPr>
                <w:rFonts w:eastAsia="Times New Roman"/>
                <w:lang w:val="es-419" w:eastAsia="en-US"/>
              </w:rPr>
            </w:pPr>
            <w:r w:rsidRPr="00CB1AF4">
              <w:rPr>
                <w:rFonts w:eastAsia="Times New Roman"/>
                <w:lang w:val="es-419" w:eastAsia="en-US"/>
              </w:rPr>
              <w:t>a)</w:t>
            </w:r>
            <w:r w:rsidR="00C57E70" w:rsidRPr="00CB1AF4">
              <w:rPr>
                <w:rFonts w:eastAsia="Times New Roman"/>
                <w:lang w:val="es-419" w:eastAsia="en-US"/>
              </w:rPr>
              <w:t xml:space="preserve">  </w:t>
            </w:r>
            <w:r w:rsidRPr="00CB1AF4">
              <w:rPr>
                <w:rFonts w:eastAsia="Times New Roman"/>
                <w:lang w:val="es-419" w:eastAsia="en-US"/>
              </w:rPr>
              <w:t xml:space="preserve"> al menos un seminario en línea sobre PI, turismo y cultura (en sustitución del documental en vídeo);</w:t>
            </w:r>
          </w:p>
          <w:p w:rsidR="00E42953" w:rsidRPr="00CB1AF4" w:rsidRDefault="00E42953" w:rsidP="00E42953">
            <w:pPr>
              <w:rPr>
                <w:rFonts w:eastAsia="Times New Roman"/>
                <w:lang w:val="es-419" w:eastAsia="en-US"/>
              </w:rPr>
            </w:pPr>
          </w:p>
          <w:p w:rsidR="00AC7A96" w:rsidRPr="00CB1AF4" w:rsidRDefault="00E42953" w:rsidP="00E42953">
            <w:pPr>
              <w:rPr>
                <w:rFonts w:eastAsia="Times New Roman"/>
                <w:lang w:val="es-419" w:eastAsia="en-US"/>
              </w:rPr>
            </w:pPr>
            <w:r w:rsidRPr="00CB1AF4">
              <w:rPr>
                <w:rFonts w:eastAsia="Times New Roman"/>
                <w:lang w:val="es-419" w:eastAsia="en-US"/>
              </w:rPr>
              <w:t xml:space="preserve">b) </w:t>
            </w:r>
            <w:r w:rsidR="00C57E70" w:rsidRPr="00CB1AF4">
              <w:rPr>
                <w:rFonts w:eastAsia="Times New Roman"/>
                <w:lang w:val="es-419" w:eastAsia="en-US"/>
              </w:rPr>
              <w:t xml:space="preserve">  </w:t>
            </w:r>
            <w:r w:rsidRPr="00CB1AF4">
              <w:rPr>
                <w:rFonts w:eastAsia="Times New Roman"/>
                <w:lang w:val="es-419" w:eastAsia="en-US"/>
              </w:rPr>
              <w:t>Finalización de tres conjuntos de materiales didácticos (el Ecuador, Namibia y Sri Lanka).</w:t>
            </w:r>
          </w:p>
        </w:tc>
        <w:tc>
          <w:tcPr>
            <w:tcW w:w="861" w:type="dxa"/>
            <w:tcBorders>
              <w:bottom w:val="single" w:sz="4" w:space="0" w:color="auto"/>
            </w:tcBorders>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w:t>
            </w:r>
            <w:r w:rsidR="00226DC5" w:rsidRPr="00CB1AF4">
              <w:rPr>
                <w:rFonts w:eastAsia="Times New Roman"/>
                <w:lang w:val="es-419" w:eastAsia="en-US"/>
              </w:rPr>
              <w:t>**</w:t>
            </w:r>
          </w:p>
        </w:tc>
      </w:tr>
    </w:tbl>
    <w:p w:rsidR="00FE0708" w:rsidRPr="00CB1AF4" w:rsidRDefault="00FE0708">
      <w:pPr>
        <w:rPr>
          <w:lang w:val="es-419"/>
        </w:rPr>
      </w:pPr>
    </w:p>
    <w:p w:rsidR="00FE0708" w:rsidRPr="00CB1AF4" w:rsidRDefault="00FE0708">
      <w:pPr>
        <w:rPr>
          <w:lang w:val="es-419"/>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977"/>
        <w:gridCol w:w="3011"/>
        <w:gridCol w:w="850"/>
      </w:tblGrid>
      <w:tr w:rsidR="00226DC5" w:rsidRPr="00CB1AF4" w:rsidTr="00FE0708">
        <w:trPr>
          <w:trHeight w:val="616"/>
        </w:trPr>
        <w:tc>
          <w:tcPr>
            <w:tcW w:w="2518" w:type="dxa"/>
            <w:shd w:val="clear" w:color="auto" w:fill="auto"/>
          </w:tcPr>
          <w:p w:rsidR="00AC7A96" w:rsidRPr="00CB1AF4" w:rsidRDefault="00AC7A96" w:rsidP="00750477">
            <w:pPr>
              <w:rPr>
                <w:rFonts w:eastAsia="Times New Roman"/>
                <w:bCs/>
                <w:u w:val="single"/>
                <w:lang w:val="es-419" w:eastAsia="en-US"/>
              </w:rPr>
            </w:pPr>
            <w:r w:rsidRPr="00CB1AF4">
              <w:rPr>
                <w:rFonts w:eastAsia="Times New Roman"/>
                <w:bCs/>
                <w:u w:val="single"/>
                <w:lang w:val="es-419" w:eastAsia="en-US"/>
              </w:rPr>
              <w:t>Objetivos del proyecto</w:t>
            </w:r>
          </w:p>
        </w:tc>
        <w:tc>
          <w:tcPr>
            <w:tcW w:w="2977" w:type="dxa"/>
            <w:shd w:val="clear" w:color="auto" w:fill="auto"/>
          </w:tcPr>
          <w:p w:rsidR="00C31793" w:rsidRPr="00CB1AF4" w:rsidRDefault="00C31793" w:rsidP="00C31793">
            <w:pPr>
              <w:rPr>
                <w:rFonts w:eastAsia="Times New Roman"/>
                <w:bCs/>
                <w:u w:val="single"/>
                <w:lang w:val="es-419" w:eastAsia="en-US"/>
              </w:rPr>
            </w:pPr>
            <w:r w:rsidRPr="00CB1AF4">
              <w:rPr>
                <w:rFonts w:eastAsia="Times New Roman"/>
                <w:bCs/>
                <w:u w:val="single"/>
                <w:lang w:val="es-419" w:eastAsia="en-US"/>
              </w:rPr>
              <w:t>Indicadores de consecución satisfactoria del objetivo del proyecto (Indicadores de resultados)</w:t>
            </w:r>
          </w:p>
        </w:tc>
        <w:tc>
          <w:tcPr>
            <w:tcW w:w="3011" w:type="dxa"/>
            <w:shd w:val="clear" w:color="auto" w:fill="auto"/>
          </w:tcPr>
          <w:p w:rsidR="00AC7A96" w:rsidRPr="00CB1AF4" w:rsidRDefault="00AC7A96" w:rsidP="00750477">
            <w:pPr>
              <w:rPr>
                <w:rFonts w:eastAsia="Times New Roman"/>
                <w:bCs/>
                <w:u w:val="single"/>
                <w:lang w:val="es-419" w:eastAsia="en-US"/>
              </w:rPr>
            </w:pPr>
            <w:r w:rsidRPr="00CB1AF4">
              <w:rPr>
                <w:rFonts w:eastAsia="Times New Roman"/>
                <w:bCs/>
                <w:u w:val="single"/>
                <w:lang w:val="es-419" w:eastAsia="en-US"/>
              </w:rPr>
              <w:t>Datos sobre el rendimiento</w:t>
            </w:r>
          </w:p>
        </w:tc>
        <w:tc>
          <w:tcPr>
            <w:tcW w:w="850" w:type="dxa"/>
            <w:shd w:val="clear" w:color="auto" w:fill="auto"/>
          </w:tcPr>
          <w:p w:rsidR="00AC7A96" w:rsidRPr="00CB1AF4" w:rsidRDefault="00AC7A96" w:rsidP="00750477">
            <w:pPr>
              <w:rPr>
                <w:rFonts w:eastAsia="Times New Roman"/>
                <w:bCs/>
                <w:u w:val="single"/>
                <w:lang w:val="es-419" w:eastAsia="en-US"/>
              </w:rPr>
            </w:pPr>
            <w:r w:rsidRPr="00CB1AF4">
              <w:rPr>
                <w:rFonts w:eastAsia="Times New Roman"/>
                <w:bCs/>
                <w:u w:val="single"/>
                <w:lang w:val="es-419" w:eastAsia="en-US"/>
              </w:rPr>
              <w:t>Clave</w:t>
            </w:r>
          </w:p>
        </w:tc>
      </w:tr>
      <w:tr w:rsidR="00AC7A96" w:rsidRPr="00CB1AF4" w:rsidTr="00FE0708">
        <w:trPr>
          <w:trHeight w:val="509"/>
        </w:trPr>
        <w:tc>
          <w:tcPr>
            <w:tcW w:w="2518" w:type="dxa"/>
            <w:vMerge w:val="restart"/>
            <w:shd w:val="clear" w:color="auto" w:fill="auto"/>
          </w:tcPr>
          <w:p w:rsidR="00AC7A96" w:rsidRPr="00CB1AF4" w:rsidRDefault="00AC7A96" w:rsidP="00750477">
            <w:pPr>
              <w:rPr>
                <w:rFonts w:eastAsia="Times New Roman"/>
                <w:bCs/>
                <w:lang w:val="es-419" w:eastAsia="en-US"/>
              </w:rPr>
            </w:pPr>
            <w:r w:rsidRPr="00CB1AF4">
              <w:rPr>
                <w:rFonts w:eastAsia="Times New Roman"/>
                <w:bCs/>
                <w:lang w:val="es-419" w:eastAsia="en-US"/>
              </w:rPr>
              <w:t>Formar a las partes interesadas clave en el sector del turismo así como a las autoridades nacionales y locales, en particular las oficinas de PI, sobre la forma de utilizar los instrumentos y estrategias de PI para añadir valor a las actividades económicas relacionadas con el turismo, especialmente a las actividades de promoción del turismo, los conocimientos, las tradiciones y la cultura nacionales y/o locales, y diversificarlas.</w:t>
            </w:r>
          </w:p>
        </w:tc>
        <w:tc>
          <w:tcPr>
            <w:tcW w:w="2977"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 xml:space="preserve">Las autoridades nacionales de los cuatro países piloto </w:t>
            </w:r>
            <w:r w:rsidR="00AA309C" w:rsidRPr="00CB1AF4">
              <w:rPr>
                <w:rFonts w:eastAsia="Times New Roman"/>
                <w:lang w:val="es-419" w:eastAsia="en-US"/>
              </w:rPr>
              <w:t>han desarrollado</w:t>
            </w:r>
            <w:r w:rsidRPr="00CB1AF4">
              <w:rPr>
                <w:rFonts w:eastAsia="Times New Roman"/>
                <w:lang w:val="es-419" w:eastAsia="en-US"/>
              </w:rPr>
              <w:t xml:space="preserve"> estructuras para proporcionar servicios de asesoramiento sobre la PI y el turismo para el crecimiento y el desarrollo nacional.</w:t>
            </w:r>
          </w:p>
        </w:tc>
        <w:tc>
          <w:tcPr>
            <w:tcW w:w="3011" w:type="dxa"/>
            <w:shd w:val="clear" w:color="auto" w:fill="auto"/>
          </w:tcPr>
          <w:p w:rsidR="00AC7A96" w:rsidRPr="00CB1AF4" w:rsidRDefault="00226DC5" w:rsidP="00750477">
            <w:pPr>
              <w:rPr>
                <w:rFonts w:eastAsia="Times New Roman"/>
                <w:lang w:val="es-419" w:eastAsia="en-US"/>
              </w:rPr>
            </w:pPr>
            <w:r w:rsidRPr="00CB1AF4">
              <w:rPr>
                <w:rFonts w:eastAsia="Times New Roman"/>
                <w:lang w:val="es-419" w:eastAsia="en-US"/>
              </w:rPr>
              <w:t>Se han creado comités directivos</w:t>
            </w:r>
            <w:r w:rsidR="00AC7A96" w:rsidRPr="00CB1AF4">
              <w:rPr>
                <w:rFonts w:eastAsia="Times New Roman"/>
                <w:lang w:val="es-419" w:eastAsia="en-US"/>
              </w:rPr>
              <w:t xml:space="preserve"> sobre PI y turismo en los cuatro países. </w:t>
            </w:r>
            <w:r w:rsidRPr="00CB1AF4">
              <w:rPr>
                <w:rFonts w:eastAsia="Times New Roman"/>
                <w:lang w:val="es-419" w:eastAsia="en-US"/>
              </w:rPr>
              <w:t>Con la excepción de un país, y a pesar de las recomendaciones de la OMPI a este respecto, las autoridades nacionales no han logrado crear estructuras más permanentes para prestar servicios de asesoramiento sobre la PI y la promoción del turismo. Sin embargo, los estudios nacionales han proporcionado pruebas suficientes de los beneficios de las actuaciones específicas con partes interesadas y beneficiarios bien identificados.</w:t>
            </w:r>
          </w:p>
          <w:p w:rsidR="00AC7A96" w:rsidRPr="00CB1AF4" w:rsidRDefault="00AC7A96" w:rsidP="00750477">
            <w:pPr>
              <w:rPr>
                <w:rFonts w:eastAsia="Times New Roman"/>
                <w:lang w:val="es-419" w:eastAsia="en-US"/>
              </w:rPr>
            </w:pPr>
          </w:p>
        </w:tc>
        <w:tc>
          <w:tcPr>
            <w:tcW w:w="850"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w:t>
            </w:r>
            <w:r w:rsidR="00226DC5" w:rsidRPr="00CB1AF4">
              <w:rPr>
                <w:rFonts w:eastAsia="Times New Roman"/>
                <w:lang w:val="es-419" w:eastAsia="en-US"/>
              </w:rPr>
              <w:t>*</w:t>
            </w:r>
          </w:p>
        </w:tc>
      </w:tr>
      <w:tr w:rsidR="00AC7A96" w:rsidRPr="00CB1AF4" w:rsidTr="00FE0708">
        <w:trPr>
          <w:trHeight w:val="509"/>
        </w:trPr>
        <w:tc>
          <w:tcPr>
            <w:tcW w:w="2518" w:type="dxa"/>
            <w:vMerge/>
            <w:shd w:val="clear" w:color="auto" w:fill="auto"/>
          </w:tcPr>
          <w:p w:rsidR="00AC7A96" w:rsidRPr="00CB1AF4" w:rsidRDefault="00AC7A96" w:rsidP="00750477">
            <w:pPr>
              <w:rPr>
                <w:rFonts w:eastAsia="Times New Roman"/>
                <w:bCs/>
                <w:lang w:val="es-419" w:eastAsia="en-US"/>
              </w:rPr>
            </w:pPr>
          </w:p>
        </w:tc>
        <w:tc>
          <w:tcPr>
            <w:tcW w:w="2977"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Las partes interesadas en el sector del turismo de dos países, como mínimo, inician o elaboran planes para utilizar instrumentos y estrategias de PI a fin de reforzar la competitividad, promover el turismo, los conocimientos, las tradiciones y la cultura nacionales y/o locales.</w:t>
            </w:r>
          </w:p>
        </w:tc>
        <w:tc>
          <w:tcPr>
            <w:tcW w:w="3011" w:type="dxa"/>
            <w:shd w:val="clear" w:color="auto" w:fill="auto"/>
          </w:tcPr>
          <w:p w:rsidR="00226DC5" w:rsidRPr="00CB1AF4" w:rsidRDefault="00226DC5" w:rsidP="00226DC5">
            <w:pPr>
              <w:rPr>
                <w:rFonts w:eastAsia="Times New Roman"/>
                <w:lang w:val="es-419" w:eastAsia="en-US"/>
              </w:rPr>
            </w:pPr>
            <w:r w:rsidRPr="00CB1AF4">
              <w:rPr>
                <w:rFonts w:eastAsia="Times New Roman"/>
                <w:lang w:val="es-419" w:eastAsia="en-US"/>
              </w:rPr>
              <w:t>1. Ecuador: planes elaborados por el SENADI en colaboración con</w:t>
            </w:r>
            <w:r w:rsidR="004444B5" w:rsidRPr="00CB1AF4">
              <w:rPr>
                <w:rFonts w:eastAsia="Times New Roman"/>
                <w:lang w:val="es-419" w:eastAsia="en-US"/>
              </w:rPr>
              <w:t xml:space="preserve"> el Ministerio de Turismo y el P</w:t>
            </w:r>
            <w:r w:rsidRPr="00CB1AF4">
              <w:rPr>
                <w:rFonts w:eastAsia="Times New Roman"/>
                <w:lang w:val="es-419" w:eastAsia="en-US"/>
              </w:rPr>
              <w:t>royecto Geoparque para utilizar las herramientas de PI para fomentar la competitividad de las empresas turísticas;</w:t>
            </w:r>
          </w:p>
          <w:p w:rsidR="00226DC5" w:rsidRPr="00CB1AF4" w:rsidRDefault="00226DC5" w:rsidP="00226DC5">
            <w:pPr>
              <w:rPr>
                <w:rFonts w:eastAsia="Times New Roman"/>
                <w:lang w:val="es-419" w:eastAsia="en-US"/>
              </w:rPr>
            </w:pPr>
            <w:r w:rsidRPr="00CB1AF4">
              <w:rPr>
                <w:rFonts w:eastAsia="Times New Roman"/>
                <w:lang w:val="es-419" w:eastAsia="en-US"/>
              </w:rPr>
              <w:t>2. Namibia: apoyo práctico a la gestión de la PI para la realización de dos estudios de casos plenamente identificados; las partes interesadas aprobaron la hoja de ruta para la adopción de nuevas medidas en materia de PI en el sector del turismo;</w:t>
            </w:r>
          </w:p>
          <w:p w:rsidR="00AC7A96" w:rsidRPr="00CB1AF4" w:rsidRDefault="00226DC5" w:rsidP="009E18C8">
            <w:pPr>
              <w:rPr>
                <w:rFonts w:eastAsia="Times New Roman"/>
                <w:lang w:val="es-419" w:eastAsia="en-US"/>
              </w:rPr>
            </w:pPr>
            <w:r w:rsidRPr="00CB1AF4">
              <w:rPr>
                <w:rFonts w:eastAsia="Times New Roman"/>
                <w:lang w:val="es-419" w:eastAsia="en-US"/>
              </w:rPr>
              <w:t>3. Sri Lanka: las partes interesadas en el turismo de bienestar</w:t>
            </w:r>
            <w:r w:rsidR="009E18C8" w:rsidRPr="00CB1AF4">
              <w:rPr>
                <w:rFonts w:eastAsia="Times New Roman"/>
                <w:lang w:val="es-419" w:eastAsia="en-US"/>
              </w:rPr>
              <w:t xml:space="preserve"> solicitaron la elaboración de un plan de utilización de la PI</w:t>
            </w:r>
            <w:r w:rsidRPr="00CB1AF4">
              <w:rPr>
                <w:rFonts w:eastAsia="Times New Roman"/>
                <w:lang w:val="es-419" w:eastAsia="en-US"/>
              </w:rPr>
              <w:t xml:space="preserve"> como herramienta estratégica para el sector.</w:t>
            </w:r>
          </w:p>
        </w:tc>
        <w:tc>
          <w:tcPr>
            <w:tcW w:w="850" w:type="dxa"/>
            <w:shd w:val="clear" w:color="auto" w:fill="auto"/>
          </w:tcPr>
          <w:p w:rsidR="00AC7A96" w:rsidRPr="00CB1AF4" w:rsidRDefault="00226DC5" w:rsidP="00750477">
            <w:pPr>
              <w:rPr>
                <w:rFonts w:eastAsia="Times New Roman"/>
                <w:lang w:val="es-419" w:eastAsia="en-US"/>
              </w:rPr>
            </w:pPr>
            <w:r w:rsidRPr="00CB1AF4">
              <w:rPr>
                <w:rFonts w:eastAsia="Times New Roman"/>
                <w:lang w:val="es-419" w:eastAsia="en-US"/>
              </w:rPr>
              <w:t>****</w:t>
            </w:r>
          </w:p>
          <w:p w:rsidR="00AC7A96" w:rsidRPr="00CB1AF4" w:rsidRDefault="00AC7A96" w:rsidP="00750477">
            <w:pPr>
              <w:rPr>
                <w:rFonts w:eastAsia="Times New Roman"/>
                <w:lang w:val="es-419" w:eastAsia="en-US"/>
              </w:rPr>
            </w:pPr>
          </w:p>
        </w:tc>
      </w:tr>
      <w:tr w:rsidR="00AC7A96" w:rsidRPr="00CB1AF4" w:rsidTr="00FE0708">
        <w:trPr>
          <w:trHeight w:val="509"/>
        </w:trPr>
        <w:tc>
          <w:tcPr>
            <w:tcW w:w="2518" w:type="dxa"/>
            <w:shd w:val="clear" w:color="auto" w:fill="auto"/>
          </w:tcPr>
          <w:p w:rsidR="00AC7A96" w:rsidRPr="00CB1AF4" w:rsidRDefault="00AC7A96" w:rsidP="00750477">
            <w:pPr>
              <w:rPr>
                <w:rFonts w:eastAsia="Times New Roman"/>
                <w:bCs/>
                <w:lang w:val="es-419" w:eastAsia="en-US"/>
              </w:rPr>
            </w:pPr>
            <w:r w:rsidRPr="00CB1AF4">
              <w:rPr>
                <w:rFonts w:eastAsia="Times New Roman"/>
                <w:bCs/>
                <w:lang w:val="es-419" w:eastAsia="en-US"/>
              </w:rPr>
              <w:lastRenderedPageBreak/>
              <w:t>Sensibilizar a la comunidad académica sobre la interrelación entre la PI y el turismo en el marco de las políticas de desarrollo con miras a elaborar materiales didácticos y promover la introducción de planes de estudios especializados en las escuelas de turismo y las academias nacionales de PI</w:t>
            </w:r>
          </w:p>
        </w:tc>
        <w:tc>
          <w:tcPr>
            <w:tcW w:w="2977"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 xml:space="preserve">Hasta dos escuelas de turismo y al menos una academia nacional de PI </w:t>
            </w:r>
            <w:r w:rsidR="00AA309C" w:rsidRPr="00CB1AF4">
              <w:rPr>
                <w:rFonts w:eastAsia="Times New Roman"/>
                <w:lang w:val="es-419" w:eastAsia="en-US"/>
              </w:rPr>
              <w:t>han adoptado</w:t>
            </w:r>
            <w:r w:rsidRPr="00CB1AF4">
              <w:rPr>
                <w:rFonts w:eastAsia="Times New Roman"/>
                <w:lang w:val="es-419" w:eastAsia="en-US"/>
              </w:rPr>
              <w:t xml:space="preserve"> planes de estudios y materiales didácticos y de formación desarrollados en el marco del proyecto.</w:t>
            </w:r>
          </w:p>
        </w:tc>
        <w:tc>
          <w:tcPr>
            <w:tcW w:w="3011" w:type="dxa"/>
            <w:shd w:val="clear" w:color="auto" w:fill="auto"/>
          </w:tcPr>
          <w:p w:rsidR="009E18C8" w:rsidRPr="00CB1AF4" w:rsidRDefault="009E18C8" w:rsidP="009E18C8">
            <w:pPr>
              <w:rPr>
                <w:rFonts w:eastAsia="Times New Roman"/>
                <w:lang w:val="es-419" w:eastAsia="en-US"/>
              </w:rPr>
            </w:pPr>
            <w:r w:rsidRPr="00CB1AF4">
              <w:rPr>
                <w:rFonts w:eastAsia="Times New Roman"/>
                <w:lang w:val="es-419" w:eastAsia="en-US"/>
              </w:rPr>
              <w:t>-</w:t>
            </w:r>
            <w:r w:rsidRPr="00CB1AF4">
              <w:rPr>
                <w:rFonts w:eastAsia="Times New Roman"/>
                <w:u w:val="single"/>
                <w:lang w:val="es-419" w:eastAsia="en-US"/>
              </w:rPr>
              <w:t>Ecuador</w:t>
            </w:r>
            <w:r w:rsidRPr="00CB1AF4">
              <w:rPr>
                <w:rFonts w:eastAsia="Times New Roman"/>
                <w:lang w:val="es-419" w:eastAsia="en-US"/>
              </w:rPr>
              <w:t xml:space="preserve">: finalización de un programa de estudios y material didáctico completo para un curso académico sobre PI, turismo y desarrollo local; inicio del curso de formación de formadores (40 horas) en julio de 2019; </w:t>
            </w:r>
          </w:p>
          <w:p w:rsidR="009E18C8" w:rsidRPr="00CB1AF4" w:rsidRDefault="009E18C8" w:rsidP="009E18C8">
            <w:pPr>
              <w:rPr>
                <w:rFonts w:eastAsia="Times New Roman"/>
                <w:lang w:val="es-419" w:eastAsia="en-US"/>
              </w:rPr>
            </w:pPr>
            <w:r w:rsidRPr="00CB1AF4">
              <w:rPr>
                <w:rFonts w:eastAsia="Times New Roman"/>
                <w:lang w:val="es-419" w:eastAsia="en-US"/>
              </w:rPr>
              <w:t xml:space="preserve">- </w:t>
            </w:r>
            <w:r w:rsidRPr="00CB1AF4">
              <w:rPr>
                <w:rFonts w:eastAsia="Times New Roman"/>
                <w:u w:val="single"/>
                <w:lang w:val="es-419" w:eastAsia="en-US"/>
              </w:rPr>
              <w:t>Namibia</w:t>
            </w:r>
            <w:r w:rsidRPr="00CB1AF4">
              <w:rPr>
                <w:rFonts w:eastAsia="Times New Roman"/>
                <w:lang w:val="es-419" w:eastAsia="en-US"/>
              </w:rPr>
              <w:t>: la Escuela de Hostelería NUST acordó integrar un curso sobre gestión de la PI y el turismo;</w:t>
            </w:r>
          </w:p>
          <w:p w:rsidR="00AC7A96" w:rsidRPr="00CB1AF4" w:rsidRDefault="009E18C8" w:rsidP="009E18C8">
            <w:pPr>
              <w:rPr>
                <w:rFonts w:eastAsia="Times New Roman"/>
                <w:lang w:val="es-419" w:eastAsia="en-US"/>
              </w:rPr>
            </w:pPr>
            <w:r w:rsidRPr="00CB1AF4">
              <w:rPr>
                <w:rFonts w:eastAsia="Times New Roman"/>
                <w:lang w:val="es-419" w:eastAsia="en-US"/>
              </w:rPr>
              <w:t xml:space="preserve">- </w:t>
            </w:r>
            <w:r w:rsidRPr="00CB1AF4">
              <w:rPr>
                <w:rFonts w:eastAsia="Times New Roman"/>
                <w:u w:val="single"/>
                <w:lang w:val="es-419" w:eastAsia="en-US"/>
              </w:rPr>
              <w:t>Sri Lanka</w:t>
            </w:r>
            <w:r w:rsidRPr="00CB1AF4">
              <w:rPr>
                <w:rFonts w:eastAsia="Times New Roman"/>
                <w:lang w:val="es-419" w:eastAsia="en-US"/>
              </w:rPr>
              <w:t>: negociaciones en curso para la introducción de un curso sobre PI y turismo en la Universidad de Colombo (45 horas de crédito académico).</w:t>
            </w:r>
          </w:p>
        </w:tc>
        <w:tc>
          <w:tcPr>
            <w:tcW w:w="850" w:type="dxa"/>
            <w:shd w:val="clear" w:color="auto" w:fill="auto"/>
          </w:tcPr>
          <w:p w:rsidR="00AC7A96" w:rsidRPr="00CB1AF4" w:rsidRDefault="00AC7A96" w:rsidP="00750477">
            <w:pPr>
              <w:rPr>
                <w:rFonts w:eastAsia="Times New Roman"/>
                <w:lang w:val="es-419" w:eastAsia="en-US"/>
              </w:rPr>
            </w:pPr>
            <w:r w:rsidRPr="00CB1AF4">
              <w:rPr>
                <w:rFonts w:eastAsia="Times New Roman"/>
                <w:lang w:val="es-419" w:eastAsia="en-US"/>
              </w:rPr>
              <w:t>**</w:t>
            </w:r>
            <w:r w:rsidR="00226DC5" w:rsidRPr="00CB1AF4">
              <w:rPr>
                <w:rFonts w:eastAsia="Times New Roman"/>
                <w:lang w:val="es-419" w:eastAsia="en-US"/>
              </w:rPr>
              <w:t>**</w:t>
            </w:r>
          </w:p>
        </w:tc>
      </w:tr>
    </w:tbl>
    <w:p w:rsidR="00FD0D68" w:rsidRPr="00CB1AF4" w:rsidRDefault="009D386D" w:rsidP="00FD0D68">
      <w:pPr>
        <w:rPr>
          <w:b/>
          <w:szCs w:val="22"/>
          <w:lang w:val="es-419"/>
        </w:rPr>
      </w:pPr>
      <w:r w:rsidRPr="00CB1AF4">
        <w:rPr>
          <w:szCs w:val="22"/>
          <w:lang w:val="es-419"/>
        </w:rPr>
        <w:br w:type="page"/>
      </w:r>
      <w:r w:rsidR="00FD0D68" w:rsidRPr="00CB1AF4">
        <w:rPr>
          <w:b/>
          <w:szCs w:val="22"/>
          <w:lang w:val="es-419"/>
        </w:rPr>
        <w:lastRenderedPageBreak/>
        <w:t>CALENDARIO DE EJECUCIÓN</w:t>
      </w:r>
    </w:p>
    <w:p w:rsidR="00FD0D68" w:rsidRPr="00CB1AF4" w:rsidRDefault="00FD0D68" w:rsidP="00FD0D68">
      <w:pPr>
        <w:rPr>
          <w:szCs w:val="22"/>
          <w:lang w:val="es-419"/>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301"/>
        <w:gridCol w:w="452"/>
        <w:gridCol w:w="519"/>
        <w:gridCol w:w="474"/>
        <w:gridCol w:w="463"/>
        <w:gridCol w:w="452"/>
        <w:gridCol w:w="519"/>
        <w:gridCol w:w="474"/>
        <w:gridCol w:w="463"/>
        <w:gridCol w:w="452"/>
        <w:gridCol w:w="519"/>
        <w:gridCol w:w="474"/>
        <w:gridCol w:w="465"/>
        <w:gridCol w:w="526"/>
        <w:gridCol w:w="490"/>
      </w:tblGrid>
      <w:tr w:rsidR="00FD0D68" w:rsidRPr="00CB1AF4" w:rsidTr="00750477">
        <w:trPr>
          <w:trHeight w:val="519"/>
        </w:trPr>
        <w:tc>
          <w:tcPr>
            <w:tcW w:w="1272" w:type="pct"/>
            <w:tcBorders>
              <w:top w:val="single" w:sz="12" w:space="0" w:color="auto"/>
            </w:tcBorders>
          </w:tcPr>
          <w:p w:rsidR="00FD0D68" w:rsidRPr="00CB1AF4" w:rsidRDefault="00FD0D68" w:rsidP="00750477">
            <w:pPr>
              <w:jc w:val="center"/>
              <w:rPr>
                <w:szCs w:val="22"/>
                <w:lang w:val="es-419"/>
              </w:rPr>
            </w:pPr>
            <w:r w:rsidRPr="00CB1AF4">
              <w:rPr>
                <w:szCs w:val="22"/>
                <w:lang w:val="es-419"/>
              </w:rPr>
              <w:t>Actividad</w:t>
            </w:r>
          </w:p>
        </w:tc>
        <w:tc>
          <w:tcPr>
            <w:tcW w:w="3728" w:type="pct"/>
            <w:gridSpan w:val="14"/>
            <w:tcBorders>
              <w:top w:val="single" w:sz="12" w:space="0" w:color="auto"/>
            </w:tcBorders>
          </w:tcPr>
          <w:p w:rsidR="00FD0D68" w:rsidRPr="00CB1AF4" w:rsidRDefault="00FD0D68" w:rsidP="00750477">
            <w:pPr>
              <w:jc w:val="center"/>
              <w:rPr>
                <w:szCs w:val="22"/>
                <w:lang w:val="es-419"/>
              </w:rPr>
            </w:pPr>
            <w:r w:rsidRPr="00CB1AF4">
              <w:rPr>
                <w:szCs w:val="22"/>
                <w:lang w:val="es-419"/>
              </w:rPr>
              <w:t>Trimestres</w:t>
            </w:r>
          </w:p>
          <w:p w:rsidR="00FD0D68" w:rsidRPr="00CB1AF4" w:rsidRDefault="00FD0D68" w:rsidP="00750477">
            <w:pPr>
              <w:jc w:val="center"/>
              <w:rPr>
                <w:szCs w:val="22"/>
                <w:lang w:val="es-419"/>
              </w:rPr>
            </w:pPr>
          </w:p>
        </w:tc>
      </w:tr>
      <w:tr w:rsidR="00FD0D68" w:rsidRPr="00CB1AF4" w:rsidTr="00750477">
        <w:trPr>
          <w:trHeight w:val="283"/>
        </w:trPr>
        <w:tc>
          <w:tcPr>
            <w:tcW w:w="1272" w:type="pct"/>
          </w:tcPr>
          <w:p w:rsidR="00FD0D68" w:rsidRPr="00CB1AF4" w:rsidRDefault="00FD0D68" w:rsidP="00750477">
            <w:pPr>
              <w:jc w:val="center"/>
              <w:rPr>
                <w:szCs w:val="22"/>
                <w:lang w:val="es-419"/>
              </w:rPr>
            </w:pPr>
          </w:p>
          <w:p w:rsidR="00FD0D68" w:rsidRPr="00CB1AF4" w:rsidRDefault="00FD0D68" w:rsidP="00750477">
            <w:pPr>
              <w:jc w:val="center"/>
              <w:rPr>
                <w:szCs w:val="22"/>
                <w:lang w:val="es-419"/>
              </w:rPr>
            </w:pPr>
          </w:p>
        </w:tc>
        <w:tc>
          <w:tcPr>
            <w:tcW w:w="250" w:type="pct"/>
            <w:shd w:val="clear" w:color="auto" w:fill="BFBFBF"/>
          </w:tcPr>
          <w:p w:rsidR="00FD0D68" w:rsidRPr="00CB1AF4" w:rsidRDefault="00FD0D68" w:rsidP="00750477">
            <w:pPr>
              <w:jc w:val="center"/>
              <w:rPr>
                <w:szCs w:val="22"/>
                <w:lang w:val="es-419"/>
              </w:rPr>
            </w:pPr>
            <w:r w:rsidRPr="00CB1AF4">
              <w:rPr>
                <w:szCs w:val="22"/>
                <w:lang w:val="es-419"/>
              </w:rPr>
              <w:t>1º</w:t>
            </w:r>
          </w:p>
        </w:tc>
        <w:tc>
          <w:tcPr>
            <w:tcW w:w="287" w:type="pct"/>
            <w:shd w:val="clear" w:color="auto" w:fill="BFBFBF"/>
          </w:tcPr>
          <w:p w:rsidR="00FD0D68" w:rsidRPr="00CB1AF4" w:rsidRDefault="00FD0D68" w:rsidP="00750477">
            <w:pPr>
              <w:jc w:val="center"/>
              <w:rPr>
                <w:szCs w:val="22"/>
                <w:lang w:val="es-419"/>
              </w:rPr>
            </w:pPr>
            <w:r w:rsidRPr="00CB1AF4">
              <w:rPr>
                <w:szCs w:val="22"/>
                <w:lang w:val="es-419"/>
              </w:rPr>
              <w:t>2º</w:t>
            </w:r>
          </w:p>
        </w:tc>
        <w:tc>
          <w:tcPr>
            <w:tcW w:w="262" w:type="pct"/>
            <w:shd w:val="clear" w:color="auto" w:fill="BFBFBF"/>
          </w:tcPr>
          <w:p w:rsidR="00FD0D68" w:rsidRPr="00CB1AF4" w:rsidRDefault="00FD0D68" w:rsidP="00750477">
            <w:pPr>
              <w:jc w:val="center"/>
              <w:rPr>
                <w:szCs w:val="22"/>
                <w:lang w:val="es-419"/>
              </w:rPr>
            </w:pPr>
            <w:r w:rsidRPr="00CB1AF4">
              <w:rPr>
                <w:szCs w:val="22"/>
                <w:lang w:val="es-419"/>
              </w:rPr>
              <w:t>3º</w:t>
            </w:r>
          </w:p>
        </w:tc>
        <w:tc>
          <w:tcPr>
            <w:tcW w:w="256" w:type="pct"/>
            <w:shd w:val="clear" w:color="auto" w:fill="BFBFBF"/>
          </w:tcPr>
          <w:p w:rsidR="00FD0D68" w:rsidRPr="00CB1AF4" w:rsidRDefault="00FD0D68" w:rsidP="00750477">
            <w:pPr>
              <w:jc w:val="center"/>
              <w:rPr>
                <w:szCs w:val="22"/>
                <w:lang w:val="es-419"/>
              </w:rPr>
            </w:pPr>
            <w:r w:rsidRPr="00CB1AF4">
              <w:rPr>
                <w:szCs w:val="22"/>
                <w:lang w:val="es-419"/>
              </w:rPr>
              <w:t>4º</w:t>
            </w:r>
          </w:p>
        </w:tc>
        <w:tc>
          <w:tcPr>
            <w:tcW w:w="250" w:type="pct"/>
          </w:tcPr>
          <w:p w:rsidR="00FD0D68" w:rsidRPr="00CB1AF4" w:rsidRDefault="00FD0D68" w:rsidP="00750477">
            <w:pPr>
              <w:jc w:val="center"/>
              <w:rPr>
                <w:szCs w:val="22"/>
                <w:lang w:val="es-419"/>
              </w:rPr>
            </w:pPr>
            <w:r w:rsidRPr="00CB1AF4">
              <w:rPr>
                <w:szCs w:val="22"/>
                <w:lang w:val="es-419"/>
              </w:rPr>
              <w:t>1º</w:t>
            </w:r>
          </w:p>
        </w:tc>
        <w:tc>
          <w:tcPr>
            <w:tcW w:w="287" w:type="pct"/>
          </w:tcPr>
          <w:p w:rsidR="00FD0D68" w:rsidRPr="00CB1AF4" w:rsidRDefault="00FD0D68" w:rsidP="00750477">
            <w:pPr>
              <w:jc w:val="center"/>
              <w:rPr>
                <w:szCs w:val="22"/>
                <w:lang w:val="es-419"/>
              </w:rPr>
            </w:pPr>
            <w:r w:rsidRPr="00CB1AF4">
              <w:rPr>
                <w:szCs w:val="22"/>
                <w:lang w:val="es-419"/>
              </w:rPr>
              <w:t>2º</w:t>
            </w:r>
          </w:p>
        </w:tc>
        <w:tc>
          <w:tcPr>
            <w:tcW w:w="262" w:type="pct"/>
          </w:tcPr>
          <w:p w:rsidR="00FD0D68" w:rsidRPr="00CB1AF4" w:rsidRDefault="00FD0D68" w:rsidP="00750477">
            <w:pPr>
              <w:jc w:val="center"/>
              <w:rPr>
                <w:szCs w:val="22"/>
                <w:lang w:val="es-419"/>
              </w:rPr>
            </w:pPr>
            <w:r w:rsidRPr="00CB1AF4">
              <w:rPr>
                <w:szCs w:val="22"/>
                <w:lang w:val="es-419"/>
              </w:rPr>
              <w:t>3º</w:t>
            </w:r>
          </w:p>
        </w:tc>
        <w:tc>
          <w:tcPr>
            <w:tcW w:w="256" w:type="pct"/>
          </w:tcPr>
          <w:p w:rsidR="00FD0D68" w:rsidRPr="00CB1AF4" w:rsidRDefault="00FD0D68" w:rsidP="00750477">
            <w:pPr>
              <w:jc w:val="center"/>
              <w:rPr>
                <w:szCs w:val="22"/>
                <w:lang w:val="es-419"/>
              </w:rPr>
            </w:pPr>
            <w:r w:rsidRPr="00CB1AF4">
              <w:rPr>
                <w:szCs w:val="22"/>
                <w:lang w:val="es-419"/>
              </w:rPr>
              <w:t>4º</w:t>
            </w:r>
          </w:p>
        </w:tc>
        <w:tc>
          <w:tcPr>
            <w:tcW w:w="250" w:type="pct"/>
            <w:shd w:val="clear" w:color="auto" w:fill="BFBFBF"/>
          </w:tcPr>
          <w:p w:rsidR="00FD0D68" w:rsidRPr="00CB1AF4" w:rsidRDefault="00FD0D68" w:rsidP="00750477">
            <w:pPr>
              <w:jc w:val="center"/>
              <w:rPr>
                <w:szCs w:val="22"/>
                <w:lang w:val="es-419"/>
              </w:rPr>
            </w:pPr>
            <w:r w:rsidRPr="00CB1AF4">
              <w:rPr>
                <w:szCs w:val="22"/>
                <w:lang w:val="es-419"/>
              </w:rPr>
              <w:t>1º</w:t>
            </w:r>
          </w:p>
        </w:tc>
        <w:tc>
          <w:tcPr>
            <w:tcW w:w="287" w:type="pct"/>
            <w:shd w:val="clear" w:color="auto" w:fill="BFBFBF"/>
          </w:tcPr>
          <w:p w:rsidR="00FD0D68" w:rsidRPr="00CB1AF4" w:rsidRDefault="00FD0D68" w:rsidP="00750477">
            <w:pPr>
              <w:jc w:val="center"/>
              <w:rPr>
                <w:szCs w:val="22"/>
                <w:lang w:val="es-419"/>
              </w:rPr>
            </w:pPr>
            <w:r w:rsidRPr="00CB1AF4">
              <w:rPr>
                <w:szCs w:val="22"/>
                <w:lang w:val="es-419"/>
              </w:rPr>
              <w:t>2º</w:t>
            </w:r>
          </w:p>
        </w:tc>
        <w:tc>
          <w:tcPr>
            <w:tcW w:w="262" w:type="pct"/>
            <w:shd w:val="clear" w:color="auto" w:fill="BFBFBF"/>
          </w:tcPr>
          <w:p w:rsidR="00FD0D68" w:rsidRPr="00CB1AF4" w:rsidRDefault="00FD0D68" w:rsidP="00750477">
            <w:pPr>
              <w:jc w:val="center"/>
              <w:rPr>
                <w:szCs w:val="22"/>
                <w:lang w:val="es-419"/>
              </w:rPr>
            </w:pPr>
            <w:r w:rsidRPr="00CB1AF4">
              <w:rPr>
                <w:szCs w:val="22"/>
                <w:lang w:val="es-419"/>
              </w:rPr>
              <w:t>3º</w:t>
            </w:r>
          </w:p>
        </w:tc>
        <w:tc>
          <w:tcPr>
            <w:tcW w:w="257" w:type="pct"/>
            <w:shd w:val="clear" w:color="auto" w:fill="BFBFBF"/>
          </w:tcPr>
          <w:p w:rsidR="00FD0D68" w:rsidRPr="00CB1AF4" w:rsidRDefault="00FD0D68" w:rsidP="00750477">
            <w:pPr>
              <w:jc w:val="center"/>
              <w:rPr>
                <w:szCs w:val="22"/>
                <w:lang w:val="es-419"/>
              </w:rPr>
            </w:pPr>
            <w:r w:rsidRPr="00CB1AF4">
              <w:rPr>
                <w:szCs w:val="22"/>
                <w:lang w:val="es-419"/>
              </w:rPr>
              <w:t>4º</w:t>
            </w:r>
          </w:p>
        </w:tc>
        <w:tc>
          <w:tcPr>
            <w:tcW w:w="291" w:type="pct"/>
            <w:tcBorders>
              <w:top w:val="single" w:sz="6" w:space="0" w:color="auto"/>
              <w:bottom w:val="single" w:sz="6" w:space="0" w:color="auto"/>
            </w:tcBorders>
            <w:shd w:val="clear" w:color="auto" w:fill="FFFFFF"/>
          </w:tcPr>
          <w:p w:rsidR="00FD0D68" w:rsidRPr="00CB1AF4" w:rsidRDefault="00FD0D68" w:rsidP="00750477">
            <w:pPr>
              <w:jc w:val="center"/>
              <w:rPr>
                <w:szCs w:val="22"/>
                <w:lang w:val="es-419"/>
              </w:rPr>
            </w:pPr>
            <w:r w:rsidRPr="00CB1AF4">
              <w:rPr>
                <w:szCs w:val="22"/>
                <w:lang w:val="es-419"/>
              </w:rPr>
              <w:t>1º</w:t>
            </w:r>
          </w:p>
        </w:tc>
        <w:tc>
          <w:tcPr>
            <w:tcW w:w="271" w:type="pct"/>
            <w:tcBorders>
              <w:top w:val="single" w:sz="6" w:space="0" w:color="auto"/>
              <w:bottom w:val="single" w:sz="6" w:space="0" w:color="auto"/>
            </w:tcBorders>
            <w:shd w:val="clear" w:color="auto" w:fill="FFFFFF"/>
          </w:tcPr>
          <w:p w:rsidR="00FD0D68" w:rsidRPr="00CB1AF4" w:rsidRDefault="00FD0D68" w:rsidP="00750477">
            <w:pPr>
              <w:jc w:val="center"/>
              <w:rPr>
                <w:szCs w:val="22"/>
                <w:lang w:val="es-419"/>
              </w:rPr>
            </w:pPr>
            <w:r w:rsidRPr="00CB1AF4">
              <w:rPr>
                <w:szCs w:val="22"/>
                <w:lang w:val="es-419"/>
              </w:rPr>
              <w:t>2º</w:t>
            </w:r>
          </w:p>
        </w:tc>
      </w:tr>
      <w:tr w:rsidR="00FD0D68" w:rsidRPr="00CB1AF4" w:rsidTr="00750477">
        <w:trPr>
          <w:trHeight w:val="259"/>
        </w:trPr>
        <w:tc>
          <w:tcPr>
            <w:tcW w:w="1272" w:type="pct"/>
          </w:tcPr>
          <w:p w:rsidR="00FD0D68" w:rsidRPr="00CB1AF4" w:rsidRDefault="00FD0D68" w:rsidP="00750477">
            <w:pPr>
              <w:rPr>
                <w:szCs w:val="22"/>
                <w:lang w:val="es-419"/>
              </w:rPr>
            </w:pPr>
            <w:r w:rsidRPr="00CB1AF4">
              <w:rPr>
                <w:szCs w:val="22"/>
                <w:lang w:val="es-419"/>
              </w:rPr>
              <w:t>Redacción de una guía práctica y de estudios de caso sobre PI y turismo</w:t>
            </w:r>
          </w:p>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 Establecimiento de una comisión de estudio (con expertos de la OMPI y externos)</w:t>
            </w:r>
          </w:p>
          <w:p w:rsidR="00FD0D68" w:rsidRPr="00CB1AF4" w:rsidRDefault="00FD0D68" w:rsidP="00750477">
            <w:pPr>
              <w:rPr>
                <w:szCs w:val="22"/>
                <w:lang w:val="es-419"/>
              </w:rPr>
            </w:pPr>
            <w:r w:rsidRPr="00CB1AF4">
              <w:rPr>
                <w:szCs w:val="22"/>
                <w:lang w:val="es-419"/>
              </w:rPr>
              <w:t>- Selección de expertos</w:t>
            </w:r>
          </w:p>
          <w:p w:rsidR="00FD0D68" w:rsidRPr="00CB1AF4" w:rsidRDefault="00FD0D68" w:rsidP="00750477">
            <w:pPr>
              <w:rPr>
                <w:szCs w:val="22"/>
                <w:lang w:val="es-419"/>
              </w:rPr>
            </w:pPr>
            <w:r w:rsidRPr="00CB1AF4">
              <w:rPr>
                <w:szCs w:val="22"/>
                <w:lang w:val="es-419"/>
              </w:rPr>
              <w:t>- Selección de estudios de caso</w:t>
            </w:r>
          </w:p>
          <w:p w:rsidR="00FD0D68" w:rsidRPr="00CB1AF4" w:rsidRDefault="00FD0D68" w:rsidP="00750477">
            <w:pPr>
              <w:rPr>
                <w:szCs w:val="22"/>
                <w:lang w:val="es-419"/>
              </w:rPr>
            </w:pPr>
            <w:r w:rsidRPr="00CB1AF4">
              <w:rPr>
                <w:szCs w:val="22"/>
                <w:lang w:val="es-419"/>
              </w:rPr>
              <w:t>- Redacción de la guía y de los estudios de caso</w:t>
            </w:r>
          </w:p>
        </w:tc>
        <w:tc>
          <w:tcPr>
            <w:tcW w:w="250" w:type="pct"/>
            <w:shd w:val="clear" w:color="auto" w:fill="BFBFBF"/>
          </w:tcPr>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x</w:t>
            </w:r>
          </w:p>
        </w:tc>
        <w:tc>
          <w:tcPr>
            <w:tcW w:w="287" w:type="pct"/>
            <w:shd w:val="clear" w:color="auto" w:fill="BFBFBF"/>
          </w:tcPr>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x</w:t>
            </w:r>
          </w:p>
          <w:p w:rsidR="00FD0D68" w:rsidRPr="00CB1AF4" w:rsidRDefault="00FD0D68" w:rsidP="00750477">
            <w:pPr>
              <w:rPr>
                <w:szCs w:val="22"/>
                <w:lang w:val="es-419"/>
              </w:rPr>
            </w:pPr>
            <w:r w:rsidRPr="00CB1AF4">
              <w:rPr>
                <w:szCs w:val="22"/>
                <w:lang w:val="es-419"/>
              </w:rPr>
              <w:t>x</w:t>
            </w:r>
          </w:p>
        </w:tc>
        <w:tc>
          <w:tcPr>
            <w:tcW w:w="262" w:type="pct"/>
            <w:shd w:val="clear" w:color="auto" w:fill="BFBFBF"/>
          </w:tcPr>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x</w:t>
            </w:r>
          </w:p>
          <w:p w:rsidR="00FD0D68" w:rsidRPr="00CB1AF4" w:rsidRDefault="00FD0D68" w:rsidP="00750477">
            <w:pPr>
              <w:rPr>
                <w:szCs w:val="22"/>
                <w:lang w:val="es-419"/>
              </w:rPr>
            </w:pPr>
            <w:r w:rsidRPr="00CB1AF4">
              <w:rPr>
                <w:szCs w:val="22"/>
                <w:lang w:val="es-419"/>
              </w:rPr>
              <w:t>x</w:t>
            </w:r>
          </w:p>
        </w:tc>
        <w:tc>
          <w:tcPr>
            <w:tcW w:w="256" w:type="pct"/>
            <w:shd w:val="clear" w:color="auto" w:fill="BFBFBF"/>
          </w:tcPr>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x</w:t>
            </w:r>
          </w:p>
        </w:tc>
        <w:tc>
          <w:tcPr>
            <w:tcW w:w="250" w:type="pct"/>
          </w:tcPr>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x</w:t>
            </w:r>
          </w:p>
        </w:tc>
        <w:tc>
          <w:tcPr>
            <w:tcW w:w="287" w:type="pct"/>
          </w:tcPr>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x</w:t>
            </w:r>
          </w:p>
        </w:tc>
        <w:tc>
          <w:tcPr>
            <w:tcW w:w="262" w:type="pct"/>
          </w:tcPr>
          <w:p w:rsidR="00FD0D68" w:rsidRPr="00CB1AF4" w:rsidRDefault="00FD0D68" w:rsidP="00750477">
            <w:pPr>
              <w:rPr>
                <w:szCs w:val="22"/>
                <w:lang w:val="es-419"/>
              </w:rPr>
            </w:pPr>
          </w:p>
        </w:tc>
        <w:tc>
          <w:tcPr>
            <w:tcW w:w="256" w:type="pct"/>
          </w:tcPr>
          <w:p w:rsidR="00FD0D68" w:rsidRPr="00CB1AF4" w:rsidRDefault="00FD0D68" w:rsidP="00750477">
            <w:pPr>
              <w:rPr>
                <w:szCs w:val="22"/>
                <w:lang w:val="es-419"/>
              </w:rPr>
            </w:pPr>
          </w:p>
        </w:tc>
        <w:tc>
          <w:tcPr>
            <w:tcW w:w="250" w:type="pct"/>
            <w:shd w:val="clear" w:color="auto" w:fill="BFBFBF"/>
          </w:tcPr>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x</w:t>
            </w:r>
          </w:p>
        </w:tc>
        <w:tc>
          <w:tcPr>
            <w:tcW w:w="287" w:type="pct"/>
            <w:shd w:val="clear" w:color="auto" w:fill="BFBFBF"/>
          </w:tcPr>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x</w:t>
            </w:r>
          </w:p>
        </w:tc>
        <w:tc>
          <w:tcPr>
            <w:tcW w:w="262" w:type="pct"/>
            <w:shd w:val="clear" w:color="auto" w:fill="BFBFBF"/>
          </w:tcPr>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x</w:t>
            </w:r>
          </w:p>
        </w:tc>
        <w:tc>
          <w:tcPr>
            <w:tcW w:w="257" w:type="pct"/>
            <w:shd w:val="clear" w:color="auto" w:fill="BFBFBF"/>
          </w:tcPr>
          <w:p w:rsidR="00FD0D68" w:rsidRPr="00CB1AF4" w:rsidRDefault="00FD0D68" w:rsidP="00750477">
            <w:pPr>
              <w:rPr>
                <w:szCs w:val="22"/>
                <w:lang w:val="es-419"/>
              </w:rPr>
            </w:pPr>
          </w:p>
        </w:tc>
        <w:tc>
          <w:tcPr>
            <w:tcW w:w="29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p>
        </w:tc>
        <w:tc>
          <w:tcPr>
            <w:tcW w:w="27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p>
        </w:tc>
      </w:tr>
      <w:tr w:rsidR="00FD0D68" w:rsidRPr="00CB1AF4" w:rsidTr="00750477">
        <w:trPr>
          <w:trHeight w:val="259"/>
        </w:trPr>
        <w:tc>
          <w:tcPr>
            <w:tcW w:w="1272" w:type="pct"/>
          </w:tcPr>
          <w:p w:rsidR="00FD0D68" w:rsidRPr="00CB1AF4" w:rsidRDefault="00FD0D68" w:rsidP="00750477">
            <w:pPr>
              <w:rPr>
                <w:szCs w:val="22"/>
                <w:lang w:val="es-419"/>
              </w:rPr>
            </w:pPr>
            <w:r w:rsidRPr="00CB1AF4">
              <w:rPr>
                <w:szCs w:val="22"/>
                <w:lang w:val="es-419"/>
              </w:rPr>
              <w:t>Selección de los países piloto</w:t>
            </w:r>
          </w:p>
          <w:p w:rsidR="00FD0D68" w:rsidRPr="00CB1AF4" w:rsidRDefault="00FD0D68" w:rsidP="00750477">
            <w:pPr>
              <w:rPr>
                <w:szCs w:val="22"/>
                <w:lang w:val="es-419"/>
              </w:rPr>
            </w:pPr>
          </w:p>
        </w:tc>
        <w:tc>
          <w:tcPr>
            <w:tcW w:w="250" w:type="pct"/>
            <w:shd w:val="clear" w:color="auto" w:fill="BFBFBF"/>
          </w:tcPr>
          <w:p w:rsidR="00FD0D68" w:rsidRPr="00CB1AF4" w:rsidRDefault="00FD0D68" w:rsidP="00750477">
            <w:pPr>
              <w:rPr>
                <w:szCs w:val="22"/>
                <w:lang w:val="es-419"/>
              </w:rPr>
            </w:pPr>
            <w:r w:rsidRPr="00CB1AF4">
              <w:rPr>
                <w:szCs w:val="22"/>
                <w:lang w:val="es-419"/>
              </w:rPr>
              <w:t>x</w:t>
            </w:r>
          </w:p>
        </w:tc>
        <w:tc>
          <w:tcPr>
            <w:tcW w:w="287" w:type="pct"/>
            <w:shd w:val="clear" w:color="auto" w:fill="BFBFBF"/>
          </w:tcPr>
          <w:p w:rsidR="00FD0D68" w:rsidRPr="00CB1AF4" w:rsidRDefault="00FD0D68" w:rsidP="00750477">
            <w:pPr>
              <w:rPr>
                <w:szCs w:val="22"/>
                <w:lang w:val="es-419"/>
              </w:rPr>
            </w:pPr>
          </w:p>
        </w:tc>
        <w:tc>
          <w:tcPr>
            <w:tcW w:w="262" w:type="pct"/>
            <w:shd w:val="clear" w:color="auto" w:fill="BFBFBF"/>
          </w:tcPr>
          <w:p w:rsidR="00FD0D68" w:rsidRPr="00CB1AF4" w:rsidRDefault="00FD0D68" w:rsidP="00750477">
            <w:pPr>
              <w:rPr>
                <w:szCs w:val="22"/>
                <w:lang w:val="es-419"/>
              </w:rPr>
            </w:pPr>
          </w:p>
        </w:tc>
        <w:tc>
          <w:tcPr>
            <w:tcW w:w="256" w:type="pct"/>
            <w:shd w:val="clear" w:color="auto" w:fill="BFBFBF"/>
          </w:tcPr>
          <w:p w:rsidR="00FD0D68" w:rsidRPr="00CB1AF4" w:rsidRDefault="00FD0D68" w:rsidP="00750477">
            <w:pPr>
              <w:rPr>
                <w:szCs w:val="22"/>
                <w:lang w:val="es-419"/>
              </w:rPr>
            </w:pPr>
          </w:p>
        </w:tc>
        <w:tc>
          <w:tcPr>
            <w:tcW w:w="250" w:type="pct"/>
          </w:tcPr>
          <w:p w:rsidR="00FD0D68" w:rsidRPr="00CB1AF4" w:rsidRDefault="00FD0D68" w:rsidP="00750477">
            <w:pPr>
              <w:rPr>
                <w:szCs w:val="22"/>
                <w:lang w:val="es-419"/>
              </w:rPr>
            </w:pPr>
          </w:p>
        </w:tc>
        <w:tc>
          <w:tcPr>
            <w:tcW w:w="287" w:type="pct"/>
          </w:tcPr>
          <w:p w:rsidR="00FD0D68" w:rsidRPr="00CB1AF4" w:rsidRDefault="00FD0D68" w:rsidP="00750477">
            <w:pPr>
              <w:rPr>
                <w:szCs w:val="22"/>
                <w:lang w:val="es-419"/>
              </w:rPr>
            </w:pPr>
          </w:p>
        </w:tc>
        <w:tc>
          <w:tcPr>
            <w:tcW w:w="262" w:type="pct"/>
          </w:tcPr>
          <w:p w:rsidR="00FD0D68" w:rsidRPr="00CB1AF4" w:rsidRDefault="00FD0D68" w:rsidP="00750477">
            <w:pPr>
              <w:rPr>
                <w:szCs w:val="22"/>
                <w:lang w:val="es-419"/>
              </w:rPr>
            </w:pPr>
          </w:p>
        </w:tc>
        <w:tc>
          <w:tcPr>
            <w:tcW w:w="256" w:type="pct"/>
          </w:tcPr>
          <w:p w:rsidR="00FD0D68" w:rsidRPr="00CB1AF4" w:rsidRDefault="00FD0D68" w:rsidP="00750477">
            <w:pPr>
              <w:rPr>
                <w:szCs w:val="22"/>
                <w:lang w:val="es-419"/>
              </w:rPr>
            </w:pPr>
          </w:p>
        </w:tc>
        <w:tc>
          <w:tcPr>
            <w:tcW w:w="250" w:type="pct"/>
            <w:shd w:val="clear" w:color="auto" w:fill="BFBFBF"/>
          </w:tcPr>
          <w:p w:rsidR="00FD0D68" w:rsidRPr="00CB1AF4" w:rsidRDefault="00FD0D68" w:rsidP="00750477">
            <w:pPr>
              <w:rPr>
                <w:szCs w:val="22"/>
                <w:lang w:val="es-419"/>
              </w:rPr>
            </w:pPr>
          </w:p>
        </w:tc>
        <w:tc>
          <w:tcPr>
            <w:tcW w:w="287" w:type="pct"/>
            <w:shd w:val="clear" w:color="auto" w:fill="BFBFBF"/>
          </w:tcPr>
          <w:p w:rsidR="00FD0D68" w:rsidRPr="00CB1AF4" w:rsidRDefault="00FD0D68" w:rsidP="00750477">
            <w:pPr>
              <w:rPr>
                <w:szCs w:val="22"/>
                <w:lang w:val="es-419"/>
              </w:rPr>
            </w:pPr>
          </w:p>
        </w:tc>
        <w:tc>
          <w:tcPr>
            <w:tcW w:w="262" w:type="pct"/>
            <w:shd w:val="clear" w:color="auto" w:fill="BFBFBF"/>
          </w:tcPr>
          <w:p w:rsidR="00FD0D68" w:rsidRPr="00CB1AF4" w:rsidRDefault="00FD0D68" w:rsidP="00750477">
            <w:pPr>
              <w:rPr>
                <w:szCs w:val="22"/>
                <w:lang w:val="es-419"/>
              </w:rPr>
            </w:pPr>
          </w:p>
        </w:tc>
        <w:tc>
          <w:tcPr>
            <w:tcW w:w="257" w:type="pct"/>
            <w:shd w:val="clear" w:color="auto" w:fill="BFBFBF"/>
          </w:tcPr>
          <w:p w:rsidR="00FD0D68" w:rsidRPr="00CB1AF4" w:rsidRDefault="00FD0D68" w:rsidP="00750477">
            <w:pPr>
              <w:rPr>
                <w:szCs w:val="22"/>
                <w:lang w:val="es-419"/>
              </w:rPr>
            </w:pPr>
          </w:p>
        </w:tc>
        <w:tc>
          <w:tcPr>
            <w:tcW w:w="29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p>
        </w:tc>
        <w:tc>
          <w:tcPr>
            <w:tcW w:w="27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p>
        </w:tc>
      </w:tr>
      <w:tr w:rsidR="00FD0D68" w:rsidRPr="00CB1AF4" w:rsidTr="00750477">
        <w:trPr>
          <w:trHeight w:val="283"/>
        </w:trPr>
        <w:tc>
          <w:tcPr>
            <w:tcW w:w="1272" w:type="pct"/>
          </w:tcPr>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Designación de los organismos de coordinación</w:t>
            </w:r>
          </w:p>
        </w:tc>
        <w:tc>
          <w:tcPr>
            <w:tcW w:w="250" w:type="pct"/>
            <w:shd w:val="clear" w:color="auto" w:fill="BFBFBF"/>
          </w:tcPr>
          <w:p w:rsidR="00FD0D68" w:rsidRPr="00CB1AF4" w:rsidRDefault="00FD0D68" w:rsidP="00750477">
            <w:pPr>
              <w:rPr>
                <w:szCs w:val="22"/>
                <w:lang w:val="es-419"/>
              </w:rPr>
            </w:pPr>
            <w:r w:rsidRPr="00CB1AF4">
              <w:rPr>
                <w:szCs w:val="22"/>
                <w:lang w:val="es-419"/>
              </w:rPr>
              <w:t>x</w:t>
            </w:r>
          </w:p>
        </w:tc>
        <w:tc>
          <w:tcPr>
            <w:tcW w:w="287" w:type="pct"/>
            <w:shd w:val="clear" w:color="auto" w:fill="BFBFBF"/>
          </w:tcPr>
          <w:p w:rsidR="00FD0D68" w:rsidRPr="00CB1AF4" w:rsidRDefault="00FD0D68" w:rsidP="00750477">
            <w:pPr>
              <w:rPr>
                <w:szCs w:val="22"/>
                <w:lang w:val="es-419"/>
              </w:rPr>
            </w:pPr>
            <w:r w:rsidRPr="00CB1AF4">
              <w:rPr>
                <w:szCs w:val="22"/>
                <w:lang w:val="es-419"/>
              </w:rPr>
              <w:t>x</w:t>
            </w:r>
          </w:p>
        </w:tc>
        <w:tc>
          <w:tcPr>
            <w:tcW w:w="262" w:type="pct"/>
            <w:shd w:val="clear" w:color="auto" w:fill="BFBFBF"/>
          </w:tcPr>
          <w:p w:rsidR="00FD0D68" w:rsidRPr="00CB1AF4" w:rsidRDefault="00FD0D68" w:rsidP="00750477">
            <w:pPr>
              <w:rPr>
                <w:szCs w:val="22"/>
                <w:lang w:val="es-419"/>
              </w:rPr>
            </w:pPr>
          </w:p>
        </w:tc>
        <w:tc>
          <w:tcPr>
            <w:tcW w:w="256" w:type="pct"/>
            <w:shd w:val="clear" w:color="auto" w:fill="BFBFBF"/>
          </w:tcPr>
          <w:p w:rsidR="00FD0D68" w:rsidRPr="00CB1AF4" w:rsidRDefault="00FD0D68" w:rsidP="00750477">
            <w:pPr>
              <w:rPr>
                <w:szCs w:val="22"/>
                <w:lang w:val="es-419"/>
              </w:rPr>
            </w:pPr>
          </w:p>
        </w:tc>
        <w:tc>
          <w:tcPr>
            <w:tcW w:w="250" w:type="pct"/>
          </w:tcPr>
          <w:p w:rsidR="00FD0D68" w:rsidRPr="00CB1AF4" w:rsidRDefault="00FD0D68" w:rsidP="00750477">
            <w:pPr>
              <w:rPr>
                <w:szCs w:val="22"/>
                <w:lang w:val="es-419"/>
              </w:rPr>
            </w:pPr>
          </w:p>
        </w:tc>
        <w:tc>
          <w:tcPr>
            <w:tcW w:w="287" w:type="pct"/>
          </w:tcPr>
          <w:p w:rsidR="00FD0D68" w:rsidRPr="00CB1AF4" w:rsidRDefault="00FD0D68" w:rsidP="00750477">
            <w:pPr>
              <w:rPr>
                <w:szCs w:val="22"/>
                <w:lang w:val="es-419"/>
              </w:rPr>
            </w:pPr>
          </w:p>
        </w:tc>
        <w:tc>
          <w:tcPr>
            <w:tcW w:w="262" w:type="pct"/>
          </w:tcPr>
          <w:p w:rsidR="00FD0D68" w:rsidRPr="00CB1AF4" w:rsidRDefault="00FD0D68" w:rsidP="00750477">
            <w:pPr>
              <w:rPr>
                <w:szCs w:val="22"/>
                <w:lang w:val="es-419"/>
              </w:rPr>
            </w:pPr>
          </w:p>
        </w:tc>
        <w:tc>
          <w:tcPr>
            <w:tcW w:w="256" w:type="pct"/>
          </w:tcPr>
          <w:p w:rsidR="00FD0D68" w:rsidRPr="00CB1AF4" w:rsidRDefault="00FD0D68" w:rsidP="00750477">
            <w:pPr>
              <w:rPr>
                <w:szCs w:val="22"/>
                <w:lang w:val="es-419"/>
              </w:rPr>
            </w:pPr>
          </w:p>
        </w:tc>
        <w:tc>
          <w:tcPr>
            <w:tcW w:w="250" w:type="pct"/>
            <w:shd w:val="clear" w:color="auto" w:fill="BFBFBF"/>
          </w:tcPr>
          <w:p w:rsidR="00FD0D68" w:rsidRPr="00CB1AF4" w:rsidRDefault="00FD0D68" w:rsidP="00750477">
            <w:pPr>
              <w:rPr>
                <w:szCs w:val="22"/>
                <w:lang w:val="es-419"/>
              </w:rPr>
            </w:pPr>
          </w:p>
        </w:tc>
        <w:tc>
          <w:tcPr>
            <w:tcW w:w="287" w:type="pct"/>
            <w:shd w:val="clear" w:color="auto" w:fill="BFBFBF"/>
          </w:tcPr>
          <w:p w:rsidR="00FD0D68" w:rsidRPr="00CB1AF4" w:rsidRDefault="00FD0D68" w:rsidP="00750477">
            <w:pPr>
              <w:rPr>
                <w:szCs w:val="22"/>
                <w:lang w:val="es-419"/>
              </w:rPr>
            </w:pPr>
          </w:p>
        </w:tc>
        <w:tc>
          <w:tcPr>
            <w:tcW w:w="262" w:type="pct"/>
            <w:shd w:val="clear" w:color="auto" w:fill="BFBFBF"/>
          </w:tcPr>
          <w:p w:rsidR="00FD0D68" w:rsidRPr="00CB1AF4" w:rsidRDefault="00FD0D68" w:rsidP="00750477">
            <w:pPr>
              <w:rPr>
                <w:szCs w:val="22"/>
                <w:lang w:val="es-419"/>
              </w:rPr>
            </w:pPr>
          </w:p>
        </w:tc>
        <w:tc>
          <w:tcPr>
            <w:tcW w:w="257" w:type="pct"/>
            <w:shd w:val="clear" w:color="auto" w:fill="BFBFBF"/>
          </w:tcPr>
          <w:p w:rsidR="00FD0D68" w:rsidRPr="00CB1AF4" w:rsidRDefault="00FD0D68" w:rsidP="00750477">
            <w:pPr>
              <w:rPr>
                <w:szCs w:val="22"/>
                <w:lang w:val="es-419"/>
              </w:rPr>
            </w:pPr>
          </w:p>
        </w:tc>
        <w:tc>
          <w:tcPr>
            <w:tcW w:w="29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p>
        </w:tc>
        <w:tc>
          <w:tcPr>
            <w:tcW w:w="27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p>
        </w:tc>
      </w:tr>
      <w:tr w:rsidR="00FD0D68" w:rsidRPr="00CB1AF4" w:rsidTr="00750477">
        <w:trPr>
          <w:trHeight w:val="259"/>
        </w:trPr>
        <w:tc>
          <w:tcPr>
            <w:tcW w:w="1272" w:type="pct"/>
          </w:tcPr>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Determinación de las partes interesadas de cada país</w:t>
            </w:r>
          </w:p>
        </w:tc>
        <w:tc>
          <w:tcPr>
            <w:tcW w:w="250" w:type="pct"/>
            <w:shd w:val="clear" w:color="auto" w:fill="BFBFBF"/>
          </w:tcPr>
          <w:p w:rsidR="00FD0D68" w:rsidRPr="00CB1AF4" w:rsidRDefault="00FD0D68" w:rsidP="00750477">
            <w:pPr>
              <w:rPr>
                <w:szCs w:val="22"/>
                <w:lang w:val="es-419"/>
              </w:rPr>
            </w:pPr>
          </w:p>
        </w:tc>
        <w:tc>
          <w:tcPr>
            <w:tcW w:w="287" w:type="pct"/>
            <w:shd w:val="clear" w:color="auto" w:fill="BFBFBF"/>
          </w:tcPr>
          <w:p w:rsidR="00FD0D68" w:rsidRPr="00CB1AF4" w:rsidRDefault="00FD0D68" w:rsidP="00750477">
            <w:pPr>
              <w:rPr>
                <w:szCs w:val="22"/>
                <w:lang w:val="es-419"/>
              </w:rPr>
            </w:pPr>
            <w:r w:rsidRPr="00CB1AF4">
              <w:rPr>
                <w:szCs w:val="22"/>
                <w:lang w:val="es-419"/>
              </w:rPr>
              <w:t>x</w:t>
            </w:r>
          </w:p>
        </w:tc>
        <w:tc>
          <w:tcPr>
            <w:tcW w:w="262" w:type="pct"/>
            <w:shd w:val="clear" w:color="auto" w:fill="BFBFBF"/>
          </w:tcPr>
          <w:p w:rsidR="00FD0D68" w:rsidRPr="00CB1AF4" w:rsidRDefault="00FD0D68" w:rsidP="00750477">
            <w:pPr>
              <w:rPr>
                <w:szCs w:val="22"/>
                <w:lang w:val="es-419"/>
              </w:rPr>
            </w:pPr>
            <w:r w:rsidRPr="00CB1AF4">
              <w:rPr>
                <w:szCs w:val="22"/>
                <w:lang w:val="es-419"/>
              </w:rPr>
              <w:t>x</w:t>
            </w:r>
          </w:p>
        </w:tc>
        <w:tc>
          <w:tcPr>
            <w:tcW w:w="256" w:type="pct"/>
            <w:shd w:val="clear" w:color="auto" w:fill="BFBFBF"/>
          </w:tcPr>
          <w:p w:rsidR="00FD0D68" w:rsidRPr="00CB1AF4" w:rsidRDefault="00FD0D68" w:rsidP="00750477">
            <w:pPr>
              <w:rPr>
                <w:szCs w:val="22"/>
                <w:lang w:val="es-419"/>
              </w:rPr>
            </w:pPr>
          </w:p>
        </w:tc>
        <w:tc>
          <w:tcPr>
            <w:tcW w:w="250" w:type="pct"/>
          </w:tcPr>
          <w:p w:rsidR="00FD0D68" w:rsidRPr="00CB1AF4" w:rsidRDefault="00FD0D68" w:rsidP="00750477">
            <w:pPr>
              <w:rPr>
                <w:szCs w:val="22"/>
                <w:lang w:val="es-419"/>
              </w:rPr>
            </w:pPr>
          </w:p>
        </w:tc>
        <w:tc>
          <w:tcPr>
            <w:tcW w:w="287" w:type="pct"/>
          </w:tcPr>
          <w:p w:rsidR="00FD0D68" w:rsidRPr="00CB1AF4" w:rsidRDefault="00FD0D68" w:rsidP="00750477">
            <w:pPr>
              <w:rPr>
                <w:szCs w:val="22"/>
                <w:lang w:val="es-419"/>
              </w:rPr>
            </w:pPr>
          </w:p>
        </w:tc>
        <w:tc>
          <w:tcPr>
            <w:tcW w:w="262" w:type="pct"/>
          </w:tcPr>
          <w:p w:rsidR="00FD0D68" w:rsidRPr="00CB1AF4" w:rsidRDefault="00FD0D68" w:rsidP="00750477">
            <w:pPr>
              <w:rPr>
                <w:szCs w:val="22"/>
                <w:lang w:val="es-419"/>
              </w:rPr>
            </w:pPr>
          </w:p>
        </w:tc>
        <w:tc>
          <w:tcPr>
            <w:tcW w:w="256" w:type="pct"/>
          </w:tcPr>
          <w:p w:rsidR="00FD0D68" w:rsidRPr="00CB1AF4" w:rsidRDefault="00FD0D68" w:rsidP="00750477">
            <w:pPr>
              <w:rPr>
                <w:szCs w:val="22"/>
                <w:lang w:val="es-419"/>
              </w:rPr>
            </w:pPr>
          </w:p>
        </w:tc>
        <w:tc>
          <w:tcPr>
            <w:tcW w:w="250" w:type="pct"/>
            <w:shd w:val="clear" w:color="auto" w:fill="BFBFBF"/>
          </w:tcPr>
          <w:p w:rsidR="00FD0D68" w:rsidRPr="00CB1AF4" w:rsidRDefault="00FD0D68" w:rsidP="00750477">
            <w:pPr>
              <w:rPr>
                <w:szCs w:val="22"/>
                <w:lang w:val="es-419"/>
              </w:rPr>
            </w:pPr>
          </w:p>
        </w:tc>
        <w:tc>
          <w:tcPr>
            <w:tcW w:w="287" w:type="pct"/>
            <w:shd w:val="clear" w:color="auto" w:fill="BFBFBF"/>
          </w:tcPr>
          <w:p w:rsidR="00FD0D68" w:rsidRPr="00CB1AF4" w:rsidRDefault="00FD0D68" w:rsidP="00750477">
            <w:pPr>
              <w:rPr>
                <w:szCs w:val="22"/>
                <w:lang w:val="es-419"/>
              </w:rPr>
            </w:pPr>
          </w:p>
        </w:tc>
        <w:tc>
          <w:tcPr>
            <w:tcW w:w="262" w:type="pct"/>
            <w:shd w:val="clear" w:color="auto" w:fill="BFBFBF"/>
          </w:tcPr>
          <w:p w:rsidR="00FD0D68" w:rsidRPr="00CB1AF4" w:rsidRDefault="00FD0D68" w:rsidP="00750477">
            <w:pPr>
              <w:rPr>
                <w:szCs w:val="22"/>
                <w:lang w:val="es-419"/>
              </w:rPr>
            </w:pPr>
          </w:p>
        </w:tc>
        <w:tc>
          <w:tcPr>
            <w:tcW w:w="257" w:type="pct"/>
            <w:shd w:val="clear" w:color="auto" w:fill="BFBFBF"/>
          </w:tcPr>
          <w:p w:rsidR="00FD0D68" w:rsidRPr="00CB1AF4" w:rsidRDefault="00FD0D68" w:rsidP="00750477">
            <w:pPr>
              <w:rPr>
                <w:szCs w:val="22"/>
                <w:lang w:val="es-419"/>
              </w:rPr>
            </w:pPr>
          </w:p>
        </w:tc>
        <w:tc>
          <w:tcPr>
            <w:tcW w:w="29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p>
        </w:tc>
        <w:tc>
          <w:tcPr>
            <w:tcW w:w="27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p>
        </w:tc>
      </w:tr>
      <w:tr w:rsidR="00FD0D68" w:rsidRPr="00CB1AF4" w:rsidTr="00750477">
        <w:trPr>
          <w:trHeight w:val="259"/>
        </w:trPr>
        <w:tc>
          <w:tcPr>
            <w:tcW w:w="1272" w:type="pct"/>
          </w:tcPr>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Elaboración y aprobación de los planes correspondientes a cada país</w:t>
            </w:r>
          </w:p>
          <w:p w:rsidR="00FD0D68" w:rsidRPr="00CB1AF4" w:rsidRDefault="00FD0D68" w:rsidP="00750477">
            <w:pPr>
              <w:rPr>
                <w:szCs w:val="22"/>
                <w:lang w:val="es-419"/>
              </w:rPr>
            </w:pPr>
            <w:r w:rsidRPr="00CB1AF4">
              <w:rPr>
                <w:szCs w:val="22"/>
                <w:lang w:val="es-419"/>
              </w:rPr>
              <w:t>(para asegurar la sostenibilidad de los resultados del proyecto en el plano institucional)</w:t>
            </w:r>
          </w:p>
        </w:tc>
        <w:tc>
          <w:tcPr>
            <w:tcW w:w="250" w:type="pct"/>
            <w:shd w:val="clear" w:color="auto" w:fill="BFBFBF"/>
          </w:tcPr>
          <w:p w:rsidR="00FD0D68" w:rsidRPr="00CB1AF4" w:rsidRDefault="00FD0D68" w:rsidP="00750477">
            <w:pPr>
              <w:rPr>
                <w:szCs w:val="22"/>
                <w:lang w:val="es-419"/>
              </w:rPr>
            </w:pPr>
          </w:p>
        </w:tc>
        <w:tc>
          <w:tcPr>
            <w:tcW w:w="287" w:type="pct"/>
            <w:shd w:val="clear" w:color="auto" w:fill="BFBFBF"/>
          </w:tcPr>
          <w:p w:rsidR="00FD0D68" w:rsidRPr="00CB1AF4" w:rsidRDefault="00FD0D68" w:rsidP="00750477">
            <w:pPr>
              <w:rPr>
                <w:szCs w:val="22"/>
                <w:lang w:val="es-419"/>
              </w:rPr>
            </w:pPr>
          </w:p>
        </w:tc>
        <w:tc>
          <w:tcPr>
            <w:tcW w:w="262" w:type="pct"/>
            <w:shd w:val="clear" w:color="auto" w:fill="BFBFBF"/>
          </w:tcPr>
          <w:p w:rsidR="00FD0D68" w:rsidRPr="00CB1AF4" w:rsidRDefault="00FD0D68" w:rsidP="00750477">
            <w:pPr>
              <w:rPr>
                <w:szCs w:val="22"/>
                <w:lang w:val="es-419"/>
              </w:rPr>
            </w:pPr>
            <w:r w:rsidRPr="00CB1AF4">
              <w:rPr>
                <w:szCs w:val="22"/>
                <w:lang w:val="es-419"/>
              </w:rPr>
              <w:t>x</w:t>
            </w:r>
          </w:p>
        </w:tc>
        <w:tc>
          <w:tcPr>
            <w:tcW w:w="256" w:type="pct"/>
            <w:shd w:val="clear" w:color="auto" w:fill="BFBFBF"/>
          </w:tcPr>
          <w:p w:rsidR="00FD0D68" w:rsidRPr="00CB1AF4" w:rsidRDefault="00FD0D68" w:rsidP="00750477">
            <w:pPr>
              <w:rPr>
                <w:szCs w:val="22"/>
                <w:lang w:val="es-419"/>
              </w:rPr>
            </w:pPr>
            <w:r w:rsidRPr="00CB1AF4">
              <w:rPr>
                <w:szCs w:val="22"/>
                <w:lang w:val="es-419"/>
              </w:rPr>
              <w:t>x</w:t>
            </w:r>
          </w:p>
        </w:tc>
        <w:tc>
          <w:tcPr>
            <w:tcW w:w="250" w:type="pct"/>
          </w:tcPr>
          <w:p w:rsidR="00FD0D68" w:rsidRPr="00CB1AF4" w:rsidRDefault="00FD0D68" w:rsidP="00750477">
            <w:pPr>
              <w:rPr>
                <w:szCs w:val="22"/>
                <w:lang w:val="es-419"/>
              </w:rPr>
            </w:pPr>
            <w:r w:rsidRPr="00CB1AF4">
              <w:rPr>
                <w:szCs w:val="22"/>
                <w:lang w:val="es-419"/>
              </w:rPr>
              <w:t>x</w:t>
            </w:r>
          </w:p>
        </w:tc>
        <w:tc>
          <w:tcPr>
            <w:tcW w:w="287" w:type="pct"/>
          </w:tcPr>
          <w:p w:rsidR="00FD0D68" w:rsidRPr="00CB1AF4" w:rsidRDefault="00FD0D68" w:rsidP="00750477">
            <w:pPr>
              <w:rPr>
                <w:szCs w:val="22"/>
                <w:lang w:val="es-419"/>
              </w:rPr>
            </w:pPr>
          </w:p>
        </w:tc>
        <w:tc>
          <w:tcPr>
            <w:tcW w:w="262" w:type="pct"/>
          </w:tcPr>
          <w:p w:rsidR="00FD0D68" w:rsidRPr="00CB1AF4" w:rsidRDefault="00FD0D68" w:rsidP="00750477">
            <w:pPr>
              <w:rPr>
                <w:szCs w:val="22"/>
                <w:lang w:val="es-419"/>
              </w:rPr>
            </w:pPr>
          </w:p>
        </w:tc>
        <w:tc>
          <w:tcPr>
            <w:tcW w:w="256" w:type="pct"/>
          </w:tcPr>
          <w:p w:rsidR="00FD0D68" w:rsidRPr="00CB1AF4" w:rsidRDefault="00FD0D68" w:rsidP="00750477">
            <w:pPr>
              <w:rPr>
                <w:szCs w:val="22"/>
                <w:lang w:val="es-419"/>
              </w:rPr>
            </w:pPr>
          </w:p>
        </w:tc>
        <w:tc>
          <w:tcPr>
            <w:tcW w:w="250" w:type="pct"/>
            <w:shd w:val="clear" w:color="auto" w:fill="BFBFBF"/>
          </w:tcPr>
          <w:p w:rsidR="00FD0D68" w:rsidRPr="00CB1AF4" w:rsidRDefault="00FD0D68" w:rsidP="00750477">
            <w:pPr>
              <w:rPr>
                <w:szCs w:val="22"/>
                <w:lang w:val="es-419"/>
              </w:rPr>
            </w:pPr>
          </w:p>
        </w:tc>
        <w:tc>
          <w:tcPr>
            <w:tcW w:w="287" w:type="pct"/>
            <w:shd w:val="clear" w:color="auto" w:fill="BFBFBF"/>
          </w:tcPr>
          <w:p w:rsidR="00FD0D68" w:rsidRPr="00CB1AF4" w:rsidRDefault="00FD0D68" w:rsidP="00750477">
            <w:pPr>
              <w:rPr>
                <w:szCs w:val="22"/>
                <w:lang w:val="es-419"/>
              </w:rPr>
            </w:pPr>
          </w:p>
        </w:tc>
        <w:tc>
          <w:tcPr>
            <w:tcW w:w="262" w:type="pct"/>
            <w:shd w:val="clear" w:color="auto" w:fill="BFBFBF"/>
          </w:tcPr>
          <w:p w:rsidR="00FD0D68" w:rsidRPr="00CB1AF4" w:rsidRDefault="00FD0D68" w:rsidP="00750477">
            <w:pPr>
              <w:rPr>
                <w:szCs w:val="22"/>
                <w:lang w:val="es-419"/>
              </w:rPr>
            </w:pPr>
          </w:p>
        </w:tc>
        <w:tc>
          <w:tcPr>
            <w:tcW w:w="257" w:type="pct"/>
            <w:shd w:val="clear" w:color="auto" w:fill="BFBFBF"/>
          </w:tcPr>
          <w:p w:rsidR="00FD0D68" w:rsidRPr="00CB1AF4" w:rsidRDefault="00FD0D68" w:rsidP="00750477">
            <w:pPr>
              <w:rPr>
                <w:szCs w:val="22"/>
                <w:lang w:val="es-419"/>
              </w:rPr>
            </w:pPr>
          </w:p>
        </w:tc>
        <w:tc>
          <w:tcPr>
            <w:tcW w:w="29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r w:rsidRPr="00CB1AF4">
              <w:rPr>
                <w:szCs w:val="22"/>
                <w:lang w:val="es-419"/>
              </w:rPr>
              <w:t>x</w:t>
            </w:r>
          </w:p>
        </w:tc>
        <w:tc>
          <w:tcPr>
            <w:tcW w:w="27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r w:rsidRPr="00CB1AF4">
              <w:rPr>
                <w:szCs w:val="22"/>
                <w:lang w:val="es-419"/>
              </w:rPr>
              <w:t>x</w:t>
            </w:r>
          </w:p>
        </w:tc>
      </w:tr>
      <w:tr w:rsidR="00FD0D68" w:rsidRPr="00CB1AF4" w:rsidTr="00750477">
        <w:trPr>
          <w:trHeight w:val="283"/>
        </w:trPr>
        <w:tc>
          <w:tcPr>
            <w:tcW w:w="1272" w:type="pct"/>
          </w:tcPr>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Primera serie de actividades de fortalecimiento de capacidades para las partes interesadas</w:t>
            </w:r>
          </w:p>
        </w:tc>
        <w:tc>
          <w:tcPr>
            <w:tcW w:w="250" w:type="pct"/>
            <w:shd w:val="clear" w:color="auto" w:fill="BFBFBF"/>
          </w:tcPr>
          <w:p w:rsidR="00FD0D68" w:rsidRPr="00CB1AF4" w:rsidRDefault="00FD0D68" w:rsidP="00750477">
            <w:pPr>
              <w:rPr>
                <w:szCs w:val="22"/>
                <w:lang w:val="es-419"/>
              </w:rPr>
            </w:pPr>
          </w:p>
        </w:tc>
        <w:tc>
          <w:tcPr>
            <w:tcW w:w="287" w:type="pct"/>
            <w:shd w:val="clear" w:color="auto" w:fill="BFBFBF"/>
          </w:tcPr>
          <w:p w:rsidR="00FD0D68" w:rsidRPr="00CB1AF4" w:rsidRDefault="00FD0D68" w:rsidP="00750477">
            <w:pPr>
              <w:rPr>
                <w:szCs w:val="22"/>
                <w:lang w:val="es-419"/>
              </w:rPr>
            </w:pPr>
          </w:p>
        </w:tc>
        <w:tc>
          <w:tcPr>
            <w:tcW w:w="262" w:type="pct"/>
            <w:shd w:val="clear" w:color="auto" w:fill="BFBFBF"/>
          </w:tcPr>
          <w:p w:rsidR="00FD0D68" w:rsidRPr="00CB1AF4" w:rsidRDefault="00FD0D68" w:rsidP="00750477">
            <w:pPr>
              <w:rPr>
                <w:szCs w:val="22"/>
                <w:lang w:val="es-419"/>
              </w:rPr>
            </w:pPr>
          </w:p>
        </w:tc>
        <w:tc>
          <w:tcPr>
            <w:tcW w:w="256" w:type="pct"/>
            <w:shd w:val="clear" w:color="auto" w:fill="BFBFBF"/>
          </w:tcPr>
          <w:p w:rsidR="00FD0D68" w:rsidRPr="00CB1AF4" w:rsidRDefault="00FD0D68" w:rsidP="00750477">
            <w:pPr>
              <w:rPr>
                <w:szCs w:val="22"/>
                <w:lang w:val="es-419"/>
              </w:rPr>
            </w:pPr>
          </w:p>
        </w:tc>
        <w:tc>
          <w:tcPr>
            <w:tcW w:w="250" w:type="pct"/>
          </w:tcPr>
          <w:p w:rsidR="00FD0D68" w:rsidRPr="00CB1AF4" w:rsidRDefault="00FD0D68" w:rsidP="00750477">
            <w:pPr>
              <w:rPr>
                <w:szCs w:val="22"/>
                <w:lang w:val="es-419"/>
              </w:rPr>
            </w:pPr>
            <w:r w:rsidRPr="00CB1AF4">
              <w:rPr>
                <w:szCs w:val="22"/>
                <w:lang w:val="es-419"/>
              </w:rPr>
              <w:t>x</w:t>
            </w:r>
          </w:p>
        </w:tc>
        <w:tc>
          <w:tcPr>
            <w:tcW w:w="287" w:type="pct"/>
          </w:tcPr>
          <w:p w:rsidR="00FD0D68" w:rsidRPr="00CB1AF4" w:rsidRDefault="00FD0D68" w:rsidP="00750477">
            <w:pPr>
              <w:rPr>
                <w:szCs w:val="22"/>
                <w:lang w:val="es-419"/>
              </w:rPr>
            </w:pPr>
            <w:r w:rsidRPr="00CB1AF4">
              <w:rPr>
                <w:szCs w:val="22"/>
                <w:lang w:val="es-419"/>
              </w:rPr>
              <w:t>x</w:t>
            </w:r>
          </w:p>
        </w:tc>
        <w:tc>
          <w:tcPr>
            <w:tcW w:w="262" w:type="pct"/>
          </w:tcPr>
          <w:p w:rsidR="00FD0D68" w:rsidRPr="00CB1AF4" w:rsidRDefault="00FD0D68" w:rsidP="00750477">
            <w:pPr>
              <w:rPr>
                <w:szCs w:val="22"/>
                <w:lang w:val="es-419"/>
              </w:rPr>
            </w:pPr>
            <w:r w:rsidRPr="00CB1AF4">
              <w:rPr>
                <w:szCs w:val="22"/>
                <w:lang w:val="es-419"/>
              </w:rPr>
              <w:t>x</w:t>
            </w:r>
          </w:p>
        </w:tc>
        <w:tc>
          <w:tcPr>
            <w:tcW w:w="256" w:type="pct"/>
          </w:tcPr>
          <w:p w:rsidR="00FD0D68" w:rsidRPr="00CB1AF4" w:rsidRDefault="00FD0D68" w:rsidP="00750477">
            <w:pPr>
              <w:rPr>
                <w:szCs w:val="22"/>
                <w:lang w:val="es-419"/>
              </w:rPr>
            </w:pPr>
            <w:r w:rsidRPr="00CB1AF4">
              <w:rPr>
                <w:szCs w:val="22"/>
                <w:lang w:val="es-419"/>
              </w:rPr>
              <w:t>x</w:t>
            </w:r>
          </w:p>
        </w:tc>
        <w:tc>
          <w:tcPr>
            <w:tcW w:w="250" w:type="pct"/>
            <w:shd w:val="clear" w:color="auto" w:fill="BFBFBF"/>
          </w:tcPr>
          <w:p w:rsidR="00FD0D68" w:rsidRPr="00CB1AF4" w:rsidRDefault="00FD0D68" w:rsidP="00750477">
            <w:pPr>
              <w:rPr>
                <w:szCs w:val="22"/>
                <w:lang w:val="es-419"/>
              </w:rPr>
            </w:pPr>
          </w:p>
        </w:tc>
        <w:tc>
          <w:tcPr>
            <w:tcW w:w="287" w:type="pct"/>
            <w:shd w:val="clear" w:color="auto" w:fill="BFBFBF"/>
          </w:tcPr>
          <w:p w:rsidR="00FD0D68" w:rsidRPr="00CB1AF4" w:rsidRDefault="00FD0D68" w:rsidP="00750477">
            <w:pPr>
              <w:rPr>
                <w:szCs w:val="22"/>
                <w:lang w:val="es-419"/>
              </w:rPr>
            </w:pPr>
          </w:p>
        </w:tc>
        <w:tc>
          <w:tcPr>
            <w:tcW w:w="262" w:type="pct"/>
            <w:shd w:val="clear" w:color="auto" w:fill="BFBFBF"/>
          </w:tcPr>
          <w:p w:rsidR="00FD0D68" w:rsidRPr="00CB1AF4" w:rsidRDefault="00FD0D68" w:rsidP="00750477">
            <w:pPr>
              <w:rPr>
                <w:szCs w:val="22"/>
                <w:lang w:val="es-419"/>
              </w:rPr>
            </w:pPr>
          </w:p>
        </w:tc>
        <w:tc>
          <w:tcPr>
            <w:tcW w:w="257" w:type="pct"/>
            <w:shd w:val="clear" w:color="auto" w:fill="BFBFBF"/>
          </w:tcPr>
          <w:p w:rsidR="00FD0D68" w:rsidRPr="00CB1AF4" w:rsidRDefault="00FD0D68" w:rsidP="00750477">
            <w:pPr>
              <w:rPr>
                <w:szCs w:val="22"/>
                <w:lang w:val="es-419"/>
              </w:rPr>
            </w:pPr>
          </w:p>
        </w:tc>
        <w:tc>
          <w:tcPr>
            <w:tcW w:w="29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r w:rsidRPr="00CB1AF4">
              <w:rPr>
                <w:szCs w:val="22"/>
                <w:lang w:val="es-419"/>
              </w:rPr>
              <w:t>x</w:t>
            </w:r>
          </w:p>
        </w:tc>
        <w:tc>
          <w:tcPr>
            <w:tcW w:w="27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p>
        </w:tc>
      </w:tr>
      <w:tr w:rsidR="00FD0D68" w:rsidRPr="00CB1AF4" w:rsidTr="00750477">
        <w:trPr>
          <w:trHeight w:val="283"/>
        </w:trPr>
        <w:tc>
          <w:tcPr>
            <w:tcW w:w="1272" w:type="pct"/>
          </w:tcPr>
          <w:p w:rsidR="00FD0D68" w:rsidRPr="00CB1AF4" w:rsidRDefault="00FD0D68" w:rsidP="00FE0708">
            <w:pPr>
              <w:keepNext/>
              <w:rPr>
                <w:szCs w:val="22"/>
                <w:lang w:val="es-419"/>
              </w:rPr>
            </w:pPr>
            <w:r w:rsidRPr="00CB1AF4">
              <w:rPr>
                <w:szCs w:val="22"/>
                <w:lang w:val="es-419"/>
              </w:rPr>
              <w:lastRenderedPageBreak/>
              <w:t xml:space="preserve">Elaboración de materiales de sensibilización (en video e impresos) y de materiales didácticos </w:t>
            </w:r>
          </w:p>
        </w:tc>
        <w:tc>
          <w:tcPr>
            <w:tcW w:w="250" w:type="pct"/>
            <w:shd w:val="clear" w:color="auto" w:fill="BFBFBF"/>
          </w:tcPr>
          <w:p w:rsidR="00FD0D68" w:rsidRPr="00CB1AF4" w:rsidRDefault="00FD0D68" w:rsidP="00FE0708">
            <w:pPr>
              <w:keepNext/>
              <w:rPr>
                <w:szCs w:val="22"/>
                <w:lang w:val="es-419"/>
              </w:rPr>
            </w:pPr>
          </w:p>
        </w:tc>
        <w:tc>
          <w:tcPr>
            <w:tcW w:w="287" w:type="pct"/>
            <w:shd w:val="clear" w:color="auto" w:fill="BFBFBF"/>
          </w:tcPr>
          <w:p w:rsidR="00FD0D68" w:rsidRPr="00CB1AF4" w:rsidRDefault="00FD0D68" w:rsidP="00FE0708">
            <w:pPr>
              <w:keepNext/>
              <w:rPr>
                <w:szCs w:val="22"/>
                <w:lang w:val="es-419"/>
              </w:rPr>
            </w:pPr>
          </w:p>
        </w:tc>
        <w:tc>
          <w:tcPr>
            <w:tcW w:w="262" w:type="pct"/>
            <w:shd w:val="clear" w:color="auto" w:fill="BFBFBF"/>
          </w:tcPr>
          <w:p w:rsidR="00FD0D68" w:rsidRPr="00CB1AF4" w:rsidRDefault="00FD0D68" w:rsidP="00FE0708">
            <w:pPr>
              <w:keepNext/>
              <w:rPr>
                <w:szCs w:val="22"/>
                <w:lang w:val="es-419"/>
              </w:rPr>
            </w:pPr>
          </w:p>
        </w:tc>
        <w:tc>
          <w:tcPr>
            <w:tcW w:w="256" w:type="pct"/>
            <w:shd w:val="clear" w:color="auto" w:fill="BFBFBF"/>
          </w:tcPr>
          <w:p w:rsidR="00FD0D68" w:rsidRPr="00CB1AF4" w:rsidRDefault="00FD0D68" w:rsidP="00FE0708">
            <w:pPr>
              <w:keepNext/>
              <w:rPr>
                <w:szCs w:val="22"/>
                <w:lang w:val="es-419"/>
              </w:rPr>
            </w:pPr>
          </w:p>
        </w:tc>
        <w:tc>
          <w:tcPr>
            <w:tcW w:w="250" w:type="pct"/>
          </w:tcPr>
          <w:p w:rsidR="00FD0D68" w:rsidRPr="00CB1AF4" w:rsidRDefault="00FD0D68" w:rsidP="00FE0708">
            <w:pPr>
              <w:keepNext/>
              <w:rPr>
                <w:szCs w:val="22"/>
                <w:lang w:val="es-419"/>
              </w:rPr>
            </w:pPr>
          </w:p>
        </w:tc>
        <w:tc>
          <w:tcPr>
            <w:tcW w:w="287" w:type="pct"/>
          </w:tcPr>
          <w:p w:rsidR="00FD0D68" w:rsidRPr="00CB1AF4" w:rsidRDefault="00FD0D68" w:rsidP="00FE0708">
            <w:pPr>
              <w:keepNext/>
              <w:rPr>
                <w:szCs w:val="22"/>
                <w:lang w:val="es-419"/>
              </w:rPr>
            </w:pPr>
          </w:p>
        </w:tc>
        <w:tc>
          <w:tcPr>
            <w:tcW w:w="262" w:type="pct"/>
          </w:tcPr>
          <w:p w:rsidR="00FD0D68" w:rsidRPr="00CB1AF4" w:rsidRDefault="00FD0D68" w:rsidP="00FE0708">
            <w:pPr>
              <w:keepNext/>
              <w:rPr>
                <w:szCs w:val="22"/>
                <w:lang w:val="es-419"/>
              </w:rPr>
            </w:pPr>
            <w:r w:rsidRPr="00CB1AF4">
              <w:rPr>
                <w:szCs w:val="22"/>
                <w:lang w:val="es-419"/>
              </w:rPr>
              <w:t>x</w:t>
            </w:r>
          </w:p>
        </w:tc>
        <w:tc>
          <w:tcPr>
            <w:tcW w:w="256" w:type="pct"/>
          </w:tcPr>
          <w:p w:rsidR="00FD0D68" w:rsidRPr="00CB1AF4" w:rsidRDefault="00FD0D68" w:rsidP="00FE0708">
            <w:pPr>
              <w:keepNext/>
              <w:rPr>
                <w:szCs w:val="22"/>
                <w:lang w:val="es-419"/>
              </w:rPr>
            </w:pPr>
            <w:r w:rsidRPr="00CB1AF4">
              <w:rPr>
                <w:szCs w:val="22"/>
                <w:lang w:val="es-419"/>
              </w:rPr>
              <w:t>x</w:t>
            </w:r>
          </w:p>
        </w:tc>
        <w:tc>
          <w:tcPr>
            <w:tcW w:w="250" w:type="pct"/>
            <w:shd w:val="clear" w:color="auto" w:fill="BFBFBF"/>
          </w:tcPr>
          <w:p w:rsidR="00FD0D68" w:rsidRPr="00CB1AF4" w:rsidRDefault="00FD0D68" w:rsidP="00FE0708">
            <w:pPr>
              <w:keepNext/>
              <w:rPr>
                <w:szCs w:val="22"/>
                <w:lang w:val="es-419"/>
              </w:rPr>
            </w:pPr>
            <w:r w:rsidRPr="00CB1AF4">
              <w:rPr>
                <w:szCs w:val="22"/>
                <w:lang w:val="es-419"/>
              </w:rPr>
              <w:t>x</w:t>
            </w:r>
          </w:p>
        </w:tc>
        <w:tc>
          <w:tcPr>
            <w:tcW w:w="287" w:type="pct"/>
            <w:shd w:val="clear" w:color="auto" w:fill="BFBFBF"/>
          </w:tcPr>
          <w:p w:rsidR="00FD0D68" w:rsidRPr="00CB1AF4" w:rsidRDefault="00FD0D68" w:rsidP="00FE0708">
            <w:pPr>
              <w:keepNext/>
              <w:rPr>
                <w:szCs w:val="22"/>
                <w:lang w:val="es-419"/>
              </w:rPr>
            </w:pPr>
            <w:r w:rsidRPr="00CB1AF4">
              <w:rPr>
                <w:szCs w:val="22"/>
                <w:lang w:val="es-419"/>
              </w:rPr>
              <w:t>x</w:t>
            </w:r>
          </w:p>
        </w:tc>
        <w:tc>
          <w:tcPr>
            <w:tcW w:w="262" w:type="pct"/>
            <w:shd w:val="clear" w:color="auto" w:fill="BFBFBF"/>
          </w:tcPr>
          <w:p w:rsidR="00FD0D68" w:rsidRPr="00CB1AF4" w:rsidRDefault="00FD0D68" w:rsidP="00FE0708">
            <w:pPr>
              <w:keepNext/>
              <w:rPr>
                <w:szCs w:val="22"/>
                <w:lang w:val="es-419"/>
              </w:rPr>
            </w:pPr>
            <w:r w:rsidRPr="00CB1AF4">
              <w:rPr>
                <w:szCs w:val="22"/>
                <w:lang w:val="es-419"/>
              </w:rPr>
              <w:t>x</w:t>
            </w:r>
          </w:p>
        </w:tc>
        <w:tc>
          <w:tcPr>
            <w:tcW w:w="257" w:type="pct"/>
            <w:shd w:val="clear" w:color="auto" w:fill="BFBFBF"/>
          </w:tcPr>
          <w:p w:rsidR="00FD0D68" w:rsidRPr="00CB1AF4" w:rsidRDefault="00FD0D68" w:rsidP="00FE0708">
            <w:pPr>
              <w:keepNext/>
              <w:rPr>
                <w:szCs w:val="22"/>
                <w:lang w:val="es-419"/>
              </w:rPr>
            </w:pPr>
            <w:r w:rsidRPr="00CB1AF4">
              <w:rPr>
                <w:szCs w:val="22"/>
                <w:lang w:val="es-419"/>
              </w:rPr>
              <w:t>x</w:t>
            </w:r>
          </w:p>
        </w:tc>
        <w:tc>
          <w:tcPr>
            <w:tcW w:w="291" w:type="pct"/>
            <w:tcBorders>
              <w:top w:val="single" w:sz="6" w:space="0" w:color="auto"/>
              <w:bottom w:val="single" w:sz="6" w:space="0" w:color="auto"/>
            </w:tcBorders>
            <w:shd w:val="clear" w:color="auto" w:fill="FFFFFF"/>
          </w:tcPr>
          <w:p w:rsidR="00FD0D68" w:rsidRPr="00CB1AF4" w:rsidRDefault="00FD0D68" w:rsidP="00FE0708">
            <w:pPr>
              <w:keepNext/>
              <w:rPr>
                <w:szCs w:val="22"/>
                <w:lang w:val="es-419"/>
              </w:rPr>
            </w:pPr>
            <w:r w:rsidRPr="00CB1AF4">
              <w:rPr>
                <w:szCs w:val="22"/>
                <w:lang w:val="es-419"/>
              </w:rPr>
              <w:t>x</w:t>
            </w:r>
          </w:p>
        </w:tc>
        <w:tc>
          <w:tcPr>
            <w:tcW w:w="271" w:type="pct"/>
            <w:tcBorders>
              <w:top w:val="single" w:sz="6" w:space="0" w:color="auto"/>
              <w:bottom w:val="single" w:sz="6" w:space="0" w:color="auto"/>
            </w:tcBorders>
            <w:shd w:val="clear" w:color="auto" w:fill="FFFFFF"/>
          </w:tcPr>
          <w:p w:rsidR="00FD0D68" w:rsidRPr="00CB1AF4" w:rsidRDefault="00FD0D68" w:rsidP="00FE0708">
            <w:pPr>
              <w:keepNext/>
              <w:rPr>
                <w:szCs w:val="22"/>
                <w:lang w:val="es-419"/>
              </w:rPr>
            </w:pPr>
          </w:p>
        </w:tc>
      </w:tr>
      <w:tr w:rsidR="00FD0D68" w:rsidRPr="00CB1AF4" w:rsidTr="00750477">
        <w:trPr>
          <w:trHeight w:val="283"/>
        </w:trPr>
        <w:tc>
          <w:tcPr>
            <w:tcW w:w="1272" w:type="pct"/>
          </w:tcPr>
          <w:p w:rsidR="00FD0D68" w:rsidRPr="00CB1AF4" w:rsidRDefault="00FD0D68" w:rsidP="00FE0708">
            <w:pPr>
              <w:keepNext/>
              <w:rPr>
                <w:szCs w:val="22"/>
                <w:lang w:val="es-419"/>
              </w:rPr>
            </w:pPr>
            <w:r w:rsidRPr="00CB1AF4">
              <w:rPr>
                <w:szCs w:val="22"/>
                <w:lang w:val="es-419"/>
              </w:rPr>
              <w:t xml:space="preserve">Segunda serie de actividades de fortalecimiento de capacidades y de sensibilización para las partes interesadas </w:t>
            </w:r>
          </w:p>
        </w:tc>
        <w:tc>
          <w:tcPr>
            <w:tcW w:w="250" w:type="pct"/>
            <w:shd w:val="clear" w:color="auto" w:fill="BFBFBF"/>
          </w:tcPr>
          <w:p w:rsidR="00FD0D68" w:rsidRPr="00CB1AF4" w:rsidRDefault="00FD0D68" w:rsidP="00FE0708">
            <w:pPr>
              <w:keepNext/>
              <w:rPr>
                <w:szCs w:val="22"/>
                <w:lang w:val="es-419"/>
              </w:rPr>
            </w:pPr>
          </w:p>
        </w:tc>
        <w:tc>
          <w:tcPr>
            <w:tcW w:w="287" w:type="pct"/>
            <w:shd w:val="clear" w:color="auto" w:fill="BFBFBF"/>
          </w:tcPr>
          <w:p w:rsidR="00FD0D68" w:rsidRPr="00CB1AF4" w:rsidRDefault="00FD0D68" w:rsidP="00FE0708">
            <w:pPr>
              <w:keepNext/>
              <w:rPr>
                <w:szCs w:val="22"/>
                <w:lang w:val="es-419"/>
              </w:rPr>
            </w:pPr>
          </w:p>
        </w:tc>
        <w:tc>
          <w:tcPr>
            <w:tcW w:w="262" w:type="pct"/>
            <w:shd w:val="clear" w:color="auto" w:fill="BFBFBF"/>
          </w:tcPr>
          <w:p w:rsidR="00FD0D68" w:rsidRPr="00CB1AF4" w:rsidRDefault="00FD0D68" w:rsidP="00FE0708">
            <w:pPr>
              <w:keepNext/>
              <w:rPr>
                <w:szCs w:val="22"/>
                <w:lang w:val="es-419"/>
              </w:rPr>
            </w:pPr>
          </w:p>
        </w:tc>
        <w:tc>
          <w:tcPr>
            <w:tcW w:w="256" w:type="pct"/>
            <w:shd w:val="clear" w:color="auto" w:fill="BFBFBF"/>
          </w:tcPr>
          <w:p w:rsidR="00FD0D68" w:rsidRPr="00CB1AF4" w:rsidRDefault="00FD0D68" w:rsidP="00FE0708">
            <w:pPr>
              <w:keepNext/>
              <w:rPr>
                <w:szCs w:val="22"/>
                <w:lang w:val="es-419"/>
              </w:rPr>
            </w:pPr>
          </w:p>
        </w:tc>
        <w:tc>
          <w:tcPr>
            <w:tcW w:w="250" w:type="pct"/>
          </w:tcPr>
          <w:p w:rsidR="00FD0D68" w:rsidRPr="00CB1AF4" w:rsidRDefault="00FD0D68" w:rsidP="00FE0708">
            <w:pPr>
              <w:keepNext/>
              <w:rPr>
                <w:szCs w:val="22"/>
                <w:lang w:val="es-419"/>
              </w:rPr>
            </w:pPr>
          </w:p>
        </w:tc>
        <w:tc>
          <w:tcPr>
            <w:tcW w:w="287" w:type="pct"/>
          </w:tcPr>
          <w:p w:rsidR="00FD0D68" w:rsidRPr="00CB1AF4" w:rsidRDefault="00FD0D68" w:rsidP="00FE0708">
            <w:pPr>
              <w:keepNext/>
              <w:rPr>
                <w:szCs w:val="22"/>
                <w:lang w:val="es-419"/>
              </w:rPr>
            </w:pPr>
          </w:p>
        </w:tc>
        <w:tc>
          <w:tcPr>
            <w:tcW w:w="262" w:type="pct"/>
          </w:tcPr>
          <w:p w:rsidR="00FD0D68" w:rsidRPr="00CB1AF4" w:rsidRDefault="00FD0D68" w:rsidP="00FE0708">
            <w:pPr>
              <w:keepNext/>
              <w:rPr>
                <w:szCs w:val="22"/>
                <w:lang w:val="es-419"/>
              </w:rPr>
            </w:pPr>
          </w:p>
        </w:tc>
        <w:tc>
          <w:tcPr>
            <w:tcW w:w="256" w:type="pct"/>
          </w:tcPr>
          <w:p w:rsidR="00FD0D68" w:rsidRPr="00CB1AF4" w:rsidRDefault="00FD0D68" w:rsidP="00FE0708">
            <w:pPr>
              <w:keepNext/>
              <w:rPr>
                <w:szCs w:val="22"/>
                <w:lang w:val="es-419"/>
              </w:rPr>
            </w:pPr>
          </w:p>
          <w:p w:rsidR="00FD0D68" w:rsidRPr="00CB1AF4" w:rsidRDefault="00FD0D68" w:rsidP="00FE0708">
            <w:pPr>
              <w:keepNext/>
              <w:rPr>
                <w:szCs w:val="22"/>
                <w:lang w:val="es-419"/>
              </w:rPr>
            </w:pPr>
          </w:p>
        </w:tc>
        <w:tc>
          <w:tcPr>
            <w:tcW w:w="250" w:type="pct"/>
            <w:shd w:val="clear" w:color="auto" w:fill="BFBFBF"/>
          </w:tcPr>
          <w:p w:rsidR="00FD0D68" w:rsidRPr="00CB1AF4" w:rsidRDefault="00FD0D68" w:rsidP="00FE0708">
            <w:pPr>
              <w:keepNext/>
              <w:rPr>
                <w:szCs w:val="22"/>
                <w:lang w:val="es-419"/>
              </w:rPr>
            </w:pPr>
          </w:p>
          <w:p w:rsidR="00FD0D68" w:rsidRPr="00CB1AF4" w:rsidRDefault="00FD0D68" w:rsidP="00FE0708">
            <w:pPr>
              <w:keepNext/>
              <w:rPr>
                <w:szCs w:val="22"/>
                <w:lang w:val="es-419"/>
              </w:rPr>
            </w:pPr>
            <w:r w:rsidRPr="00CB1AF4">
              <w:rPr>
                <w:szCs w:val="22"/>
                <w:lang w:val="es-419"/>
              </w:rPr>
              <w:t>x</w:t>
            </w:r>
          </w:p>
        </w:tc>
        <w:tc>
          <w:tcPr>
            <w:tcW w:w="287" w:type="pct"/>
            <w:shd w:val="clear" w:color="auto" w:fill="BFBFBF"/>
          </w:tcPr>
          <w:p w:rsidR="00FD0D68" w:rsidRPr="00CB1AF4" w:rsidRDefault="00FD0D68" w:rsidP="00FE0708">
            <w:pPr>
              <w:keepNext/>
              <w:rPr>
                <w:szCs w:val="22"/>
                <w:lang w:val="es-419"/>
              </w:rPr>
            </w:pPr>
          </w:p>
          <w:p w:rsidR="00FD0D68" w:rsidRPr="00CB1AF4" w:rsidRDefault="00FD0D68" w:rsidP="00FE0708">
            <w:pPr>
              <w:keepNext/>
              <w:rPr>
                <w:szCs w:val="22"/>
                <w:lang w:val="es-419"/>
              </w:rPr>
            </w:pPr>
            <w:r w:rsidRPr="00CB1AF4">
              <w:rPr>
                <w:szCs w:val="22"/>
                <w:lang w:val="es-419"/>
              </w:rPr>
              <w:t>x</w:t>
            </w:r>
          </w:p>
        </w:tc>
        <w:tc>
          <w:tcPr>
            <w:tcW w:w="262" w:type="pct"/>
            <w:shd w:val="clear" w:color="auto" w:fill="BFBFBF"/>
          </w:tcPr>
          <w:p w:rsidR="00FD0D68" w:rsidRPr="00CB1AF4" w:rsidRDefault="00FD0D68" w:rsidP="00FE0708">
            <w:pPr>
              <w:keepNext/>
              <w:rPr>
                <w:szCs w:val="22"/>
                <w:lang w:val="es-419"/>
              </w:rPr>
            </w:pPr>
          </w:p>
          <w:p w:rsidR="00FD0D68" w:rsidRPr="00CB1AF4" w:rsidRDefault="00FD0D68" w:rsidP="00FE0708">
            <w:pPr>
              <w:keepNext/>
              <w:rPr>
                <w:szCs w:val="22"/>
                <w:lang w:val="es-419"/>
              </w:rPr>
            </w:pPr>
            <w:r w:rsidRPr="00CB1AF4">
              <w:rPr>
                <w:szCs w:val="22"/>
                <w:lang w:val="es-419"/>
              </w:rPr>
              <w:t>x</w:t>
            </w:r>
          </w:p>
        </w:tc>
        <w:tc>
          <w:tcPr>
            <w:tcW w:w="257" w:type="pct"/>
            <w:shd w:val="clear" w:color="auto" w:fill="BFBFBF"/>
          </w:tcPr>
          <w:p w:rsidR="00FD0D68" w:rsidRPr="00CB1AF4" w:rsidRDefault="00FD0D68" w:rsidP="00FE0708">
            <w:pPr>
              <w:keepNext/>
              <w:rPr>
                <w:szCs w:val="22"/>
                <w:lang w:val="es-419"/>
              </w:rPr>
            </w:pPr>
          </w:p>
        </w:tc>
        <w:tc>
          <w:tcPr>
            <w:tcW w:w="291" w:type="pct"/>
            <w:tcBorders>
              <w:top w:val="single" w:sz="6" w:space="0" w:color="auto"/>
              <w:bottom w:val="single" w:sz="6" w:space="0" w:color="auto"/>
            </w:tcBorders>
            <w:shd w:val="clear" w:color="auto" w:fill="FFFFFF"/>
          </w:tcPr>
          <w:p w:rsidR="00FD0D68" w:rsidRPr="00CB1AF4" w:rsidRDefault="00FD0D68" w:rsidP="00FE0708">
            <w:pPr>
              <w:keepNext/>
              <w:rPr>
                <w:szCs w:val="22"/>
                <w:lang w:val="es-419"/>
              </w:rPr>
            </w:pPr>
            <w:r w:rsidRPr="00CB1AF4">
              <w:rPr>
                <w:szCs w:val="22"/>
                <w:lang w:val="es-419"/>
              </w:rPr>
              <w:t>x</w:t>
            </w:r>
          </w:p>
        </w:tc>
        <w:tc>
          <w:tcPr>
            <w:tcW w:w="271" w:type="pct"/>
            <w:tcBorders>
              <w:top w:val="single" w:sz="6" w:space="0" w:color="auto"/>
              <w:bottom w:val="single" w:sz="6" w:space="0" w:color="auto"/>
            </w:tcBorders>
            <w:shd w:val="clear" w:color="auto" w:fill="FFFFFF"/>
          </w:tcPr>
          <w:p w:rsidR="00FD0D68" w:rsidRPr="00CB1AF4" w:rsidRDefault="00FD0D68" w:rsidP="00FE0708">
            <w:pPr>
              <w:keepNext/>
              <w:rPr>
                <w:szCs w:val="22"/>
                <w:lang w:val="es-419"/>
              </w:rPr>
            </w:pPr>
          </w:p>
        </w:tc>
      </w:tr>
      <w:tr w:rsidR="00FD0D68" w:rsidRPr="00CB1AF4" w:rsidTr="00750477">
        <w:trPr>
          <w:trHeight w:val="283"/>
        </w:trPr>
        <w:tc>
          <w:tcPr>
            <w:tcW w:w="1272" w:type="pct"/>
          </w:tcPr>
          <w:p w:rsidR="00FD0D68" w:rsidRPr="00CB1AF4" w:rsidRDefault="00FD0D68" w:rsidP="00750477">
            <w:pPr>
              <w:rPr>
                <w:szCs w:val="22"/>
                <w:lang w:val="es-419"/>
              </w:rPr>
            </w:pPr>
          </w:p>
          <w:p w:rsidR="00FD0D68" w:rsidRPr="00CB1AF4" w:rsidRDefault="00FD0D68" w:rsidP="00750477">
            <w:pPr>
              <w:rPr>
                <w:szCs w:val="22"/>
                <w:lang w:val="es-419"/>
              </w:rPr>
            </w:pPr>
            <w:r w:rsidRPr="00CB1AF4">
              <w:rPr>
                <w:szCs w:val="22"/>
                <w:lang w:val="es-419"/>
              </w:rPr>
              <w:t>Adopción de los materiales didácticos y los planes de estudio</w:t>
            </w:r>
          </w:p>
        </w:tc>
        <w:tc>
          <w:tcPr>
            <w:tcW w:w="250" w:type="pct"/>
            <w:shd w:val="clear" w:color="auto" w:fill="BFBFBF"/>
          </w:tcPr>
          <w:p w:rsidR="00FD0D68" w:rsidRPr="00CB1AF4" w:rsidRDefault="00FD0D68" w:rsidP="00750477">
            <w:pPr>
              <w:rPr>
                <w:szCs w:val="22"/>
                <w:lang w:val="es-419"/>
              </w:rPr>
            </w:pPr>
          </w:p>
        </w:tc>
        <w:tc>
          <w:tcPr>
            <w:tcW w:w="287" w:type="pct"/>
            <w:shd w:val="clear" w:color="auto" w:fill="BFBFBF"/>
          </w:tcPr>
          <w:p w:rsidR="00FD0D68" w:rsidRPr="00CB1AF4" w:rsidRDefault="00FD0D68" w:rsidP="00750477">
            <w:pPr>
              <w:rPr>
                <w:szCs w:val="22"/>
                <w:lang w:val="es-419"/>
              </w:rPr>
            </w:pPr>
          </w:p>
        </w:tc>
        <w:tc>
          <w:tcPr>
            <w:tcW w:w="262" w:type="pct"/>
            <w:shd w:val="clear" w:color="auto" w:fill="BFBFBF"/>
          </w:tcPr>
          <w:p w:rsidR="00FD0D68" w:rsidRPr="00CB1AF4" w:rsidRDefault="00FD0D68" w:rsidP="00750477">
            <w:pPr>
              <w:rPr>
                <w:szCs w:val="22"/>
                <w:lang w:val="es-419"/>
              </w:rPr>
            </w:pPr>
          </w:p>
        </w:tc>
        <w:tc>
          <w:tcPr>
            <w:tcW w:w="256" w:type="pct"/>
            <w:shd w:val="clear" w:color="auto" w:fill="BFBFBF"/>
          </w:tcPr>
          <w:p w:rsidR="00FD0D68" w:rsidRPr="00CB1AF4" w:rsidRDefault="00FD0D68" w:rsidP="00750477">
            <w:pPr>
              <w:rPr>
                <w:szCs w:val="22"/>
                <w:lang w:val="es-419"/>
              </w:rPr>
            </w:pPr>
          </w:p>
        </w:tc>
        <w:tc>
          <w:tcPr>
            <w:tcW w:w="250" w:type="pct"/>
          </w:tcPr>
          <w:p w:rsidR="00FD0D68" w:rsidRPr="00CB1AF4" w:rsidRDefault="00FD0D68" w:rsidP="00750477">
            <w:pPr>
              <w:rPr>
                <w:szCs w:val="22"/>
                <w:lang w:val="es-419"/>
              </w:rPr>
            </w:pPr>
          </w:p>
        </w:tc>
        <w:tc>
          <w:tcPr>
            <w:tcW w:w="287" w:type="pct"/>
          </w:tcPr>
          <w:p w:rsidR="00FD0D68" w:rsidRPr="00CB1AF4" w:rsidRDefault="00FD0D68" w:rsidP="00750477">
            <w:pPr>
              <w:rPr>
                <w:szCs w:val="22"/>
                <w:lang w:val="es-419"/>
              </w:rPr>
            </w:pPr>
          </w:p>
        </w:tc>
        <w:tc>
          <w:tcPr>
            <w:tcW w:w="262" w:type="pct"/>
          </w:tcPr>
          <w:p w:rsidR="00FD0D68" w:rsidRPr="00CB1AF4" w:rsidRDefault="00FD0D68" w:rsidP="00750477">
            <w:pPr>
              <w:rPr>
                <w:szCs w:val="22"/>
                <w:lang w:val="es-419"/>
              </w:rPr>
            </w:pPr>
          </w:p>
        </w:tc>
        <w:tc>
          <w:tcPr>
            <w:tcW w:w="256" w:type="pct"/>
          </w:tcPr>
          <w:p w:rsidR="00FD0D68" w:rsidRPr="00CB1AF4" w:rsidRDefault="00FD0D68" w:rsidP="00750477">
            <w:pPr>
              <w:rPr>
                <w:szCs w:val="22"/>
                <w:lang w:val="es-419"/>
              </w:rPr>
            </w:pPr>
          </w:p>
        </w:tc>
        <w:tc>
          <w:tcPr>
            <w:tcW w:w="250" w:type="pct"/>
            <w:shd w:val="clear" w:color="auto" w:fill="BFBFBF"/>
          </w:tcPr>
          <w:p w:rsidR="00FD0D68" w:rsidRPr="00CB1AF4" w:rsidRDefault="00FD0D68" w:rsidP="00750477">
            <w:pPr>
              <w:rPr>
                <w:szCs w:val="22"/>
                <w:lang w:val="es-419"/>
              </w:rPr>
            </w:pPr>
          </w:p>
        </w:tc>
        <w:tc>
          <w:tcPr>
            <w:tcW w:w="287" w:type="pct"/>
            <w:shd w:val="clear" w:color="auto" w:fill="BFBFBF"/>
          </w:tcPr>
          <w:p w:rsidR="00FD0D68" w:rsidRPr="00CB1AF4" w:rsidRDefault="00FD0D68" w:rsidP="00750477">
            <w:pPr>
              <w:rPr>
                <w:szCs w:val="22"/>
                <w:lang w:val="es-419"/>
              </w:rPr>
            </w:pPr>
          </w:p>
        </w:tc>
        <w:tc>
          <w:tcPr>
            <w:tcW w:w="262" w:type="pct"/>
            <w:shd w:val="clear" w:color="auto" w:fill="BFBFBF"/>
          </w:tcPr>
          <w:p w:rsidR="00FD0D68" w:rsidRPr="00CB1AF4" w:rsidRDefault="00FD0D68" w:rsidP="00750477">
            <w:pPr>
              <w:rPr>
                <w:szCs w:val="22"/>
                <w:lang w:val="es-419"/>
              </w:rPr>
            </w:pPr>
          </w:p>
        </w:tc>
        <w:tc>
          <w:tcPr>
            <w:tcW w:w="257" w:type="pct"/>
            <w:shd w:val="clear" w:color="auto" w:fill="BFBFBF"/>
          </w:tcPr>
          <w:p w:rsidR="00FD0D68" w:rsidRPr="00CB1AF4" w:rsidRDefault="00FD0D68" w:rsidP="00750477">
            <w:pPr>
              <w:rPr>
                <w:szCs w:val="22"/>
                <w:lang w:val="es-419"/>
              </w:rPr>
            </w:pPr>
            <w:r w:rsidRPr="00CB1AF4">
              <w:rPr>
                <w:szCs w:val="22"/>
                <w:lang w:val="es-419"/>
              </w:rPr>
              <w:t>x</w:t>
            </w:r>
          </w:p>
        </w:tc>
        <w:tc>
          <w:tcPr>
            <w:tcW w:w="29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r w:rsidRPr="00CB1AF4">
              <w:rPr>
                <w:szCs w:val="22"/>
                <w:lang w:val="es-419"/>
              </w:rPr>
              <w:t>x</w:t>
            </w:r>
          </w:p>
        </w:tc>
        <w:tc>
          <w:tcPr>
            <w:tcW w:w="271" w:type="pct"/>
            <w:tcBorders>
              <w:top w:val="single" w:sz="6" w:space="0" w:color="auto"/>
              <w:bottom w:val="single" w:sz="6" w:space="0" w:color="auto"/>
            </w:tcBorders>
            <w:shd w:val="clear" w:color="auto" w:fill="FFFFFF"/>
          </w:tcPr>
          <w:p w:rsidR="00FD0D68" w:rsidRPr="00CB1AF4" w:rsidRDefault="00FD0D68" w:rsidP="00750477">
            <w:pPr>
              <w:rPr>
                <w:szCs w:val="22"/>
                <w:lang w:val="es-419"/>
              </w:rPr>
            </w:pPr>
            <w:r w:rsidRPr="00CB1AF4">
              <w:rPr>
                <w:szCs w:val="22"/>
                <w:lang w:val="es-419"/>
              </w:rPr>
              <w:t>X</w:t>
            </w:r>
          </w:p>
        </w:tc>
      </w:tr>
      <w:tr w:rsidR="00FD0D68" w:rsidRPr="00CB1AF4" w:rsidTr="00750477">
        <w:trPr>
          <w:trHeight w:val="283"/>
        </w:trPr>
        <w:tc>
          <w:tcPr>
            <w:tcW w:w="1272" w:type="pct"/>
            <w:tcBorders>
              <w:bottom w:val="single" w:sz="12" w:space="0" w:color="auto"/>
            </w:tcBorders>
          </w:tcPr>
          <w:p w:rsidR="00FD0D68" w:rsidRPr="00CB1AF4" w:rsidRDefault="00FD0D68" w:rsidP="00750477">
            <w:pPr>
              <w:rPr>
                <w:szCs w:val="22"/>
                <w:lang w:val="es-419"/>
              </w:rPr>
            </w:pPr>
            <w:r w:rsidRPr="00CB1AF4">
              <w:rPr>
                <w:szCs w:val="22"/>
                <w:lang w:val="es-419"/>
              </w:rPr>
              <w:t>Informe de evaluación final</w:t>
            </w:r>
          </w:p>
        </w:tc>
        <w:tc>
          <w:tcPr>
            <w:tcW w:w="250" w:type="pct"/>
            <w:tcBorders>
              <w:bottom w:val="single" w:sz="12" w:space="0" w:color="auto"/>
            </w:tcBorders>
            <w:shd w:val="clear" w:color="auto" w:fill="BFBFBF"/>
          </w:tcPr>
          <w:p w:rsidR="00FD0D68" w:rsidRPr="00CB1AF4" w:rsidRDefault="00FD0D68" w:rsidP="00750477">
            <w:pPr>
              <w:rPr>
                <w:szCs w:val="22"/>
                <w:lang w:val="es-419"/>
              </w:rPr>
            </w:pPr>
          </w:p>
        </w:tc>
        <w:tc>
          <w:tcPr>
            <w:tcW w:w="287" w:type="pct"/>
            <w:tcBorders>
              <w:bottom w:val="single" w:sz="12" w:space="0" w:color="auto"/>
            </w:tcBorders>
            <w:shd w:val="clear" w:color="auto" w:fill="BFBFBF"/>
          </w:tcPr>
          <w:p w:rsidR="00FD0D68" w:rsidRPr="00CB1AF4" w:rsidRDefault="00FD0D68" w:rsidP="00750477">
            <w:pPr>
              <w:rPr>
                <w:szCs w:val="22"/>
                <w:lang w:val="es-419"/>
              </w:rPr>
            </w:pPr>
          </w:p>
        </w:tc>
        <w:tc>
          <w:tcPr>
            <w:tcW w:w="262" w:type="pct"/>
            <w:tcBorders>
              <w:bottom w:val="single" w:sz="12" w:space="0" w:color="auto"/>
            </w:tcBorders>
            <w:shd w:val="clear" w:color="auto" w:fill="BFBFBF"/>
          </w:tcPr>
          <w:p w:rsidR="00FD0D68" w:rsidRPr="00CB1AF4" w:rsidRDefault="00FD0D68" w:rsidP="00750477">
            <w:pPr>
              <w:rPr>
                <w:szCs w:val="22"/>
                <w:lang w:val="es-419"/>
              </w:rPr>
            </w:pPr>
          </w:p>
        </w:tc>
        <w:tc>
          <w:tcPr>
            <w:tcW w:w="256" w:type="pct"/>
            <w:tcBorders>
              <w:bottom w:val="single" w:sz="12" w:space="0" w:color="auto"/>
            </w:tcBorders>
            <w:shd w:val="clear" w:color="auto" w:fill="BFBFBF"/>
          </w:tcPr>
          <w:p w:rsidR="00FD0D68" w:rsidRPr="00CB1AF4" w:rsidRDefault="00FD0D68" w:rsidP="00750477">
            <w:pPr>
              <w:rPr>
                <w:szCs w:val="22"/>
                <w:lang w:val="es-419"/>
              </w:rPr>
            </w:pPr>
          </w:p>
        </w:tc>
        <w:tc>
          <w:tcPr>
            <w:tcW w:w="250" w:type="pct"/>
            <w:tcBorders>
              <w:bottom w:val="single" w:sz="12" w:space="0" w:color="auto"/>
            </w:tcBorders>
          </w:tcPr>
          <w:p w:rsidR="00FD0D68" w:rsidRPr="00CB1AF4" w:rsidRDefault="00FD0D68" w:rsidP="00750477">
            <w:pPr>
              <w:rPr>
                <w:szCs w:val="22"/>
                <w:lang w:val="es-419"/>
              </w:rPr>
            </w:pPr>
          </w:p>
        </w:tc>
        <w:tc>
          <w:tcPr>
            <w:tcW w:w="287" w:type="pct"/>
            <w:tcBorders>
              <w:bottom w:val="single" w:sz="12" w:space="0" w:color="auto"/>
            </w:tcBorders>
          </w:tcPr>
          <w:p w:rsidR="00FD0D68" w:rsidRPr="00CB1AF4" w:rsidRDefault="00FD0D68" w:rsidP="00750477">
            <w:pPr>
              <w:rPr>
                <w:szCs w:val="22"/>
                <w:lang w:val="es-419"/>
              </w:rPr>
            </w:pPr>
          </w:p>
        </w:tc>
        <w:tc>
          <w:tcPr>
            <w:tcW w:w="262" w:type="pct"/>
            <w:tcBorders>
              <w:bottom w:val="single" w:sz="12" w:space="0" w:color="auto"/>
            </w:tcBorders>
          </w:tcPr>
          <w:p w:rsidR="00FD0D68" w:rsidRPr="00CB1AF4" w:rsidRDefault="00FD0D68" w:rsidP="00750477">
            <w:pPr>
              <w:rPr>
                <w:szCs w:val="22"/>
                <w:lang w:val="es-419"/>
              </w:rPr>
            </w:pPr>
          </w:p>
        </w:tc>
        <w:tc>
          <w:tcPr>
            <w:tcW w:w="256" w:type="pct"/>
            <w:tcBorders>
              <w:bottom w:val="single" w:sz="12" w:space="0" w:color="auto"/>
            </w:tcBorders>
          </w:tcPr>
          <w:p w:rsidR="00FD0D68" w:rsidRPr="00CB1AF4" w:rsidRDefault="00FD0D68" w:rsidP="00750477">
            <w:pPr>
              <w:rPr>
                <w:szCs w:val="22"/>
                <w:lang w:val="es-419"/>
              </w:rPr>
            </w:pPr>
          </w:p>
        </w:tc>
        <w:tc>
          <w:tcPr>
            <w:tcW w:w="250" w:type="pct"/>
            <w:tcBorders>
              <w:bottom w:val="single" w:sz="12" w:space="0" w:color="auto"/>
            </w:tcBorders>
            <w:shd w:val="clear" w:color="auto" w:fill="BFBFBF"/>
          </w:tcPr>
          <w:p w:rsidR="00FD0D68" w:rsidRPr="00CB1AF4" w:rsidRDefault="00FD0D68" w:rsidP="00750477">
            <w:pPr>
              <w:rPr>
                <w:szCs w:val="22"/>
                <w:lang w:val="es-419"/>
              </w:rPr>
            </w:pPr>
          </w:p>
        </w:tc>
        <w:tc>
          <w:tcPr>
            <w:tcW w:w="287" w:type="pct"/>
            <w:tcBorders>
              <w:bottom w:val="single" w:sz="12" w:space="0" w:color="auto"/>
            </w:tcBorders>
            <w:shd w:val="clear" w:color="auto" w:fill="BFBFBF"/>
          </w:tcPr>
          <w:p w:rsidR="00FD0D68" w:rsidRPr="00CB1AF4" w:rsidRDefault="00FD0D68" w:rsidP="00750477">
            <w:pPr>
              <w:rPr>
                <w:szCs w:val="22"/>
                <w:lang w:val="es-419"/>
              </w:rPr>
            </w:pPr>
          </w:p>
        </w:tc>
        <w:tc>
          <w:tcPr>
            <w:tcW w:w="262" w:type="pct"/>
            <w:tcBorders>
              <w:bottom w:val="single" w:sz="12" w:space="0" w:color="auto"/>
            </w:tcBorders>
            <w:shd w:val="clear" w:color="auto" w:fill="BFBFBF"/>
          </w:tcPr>
          <w:p w:rsidR="00FD0D68" w:rsidRPr="00CB1AF4" w:rsidRDefault="00FD0D68" w:rsidP="00750477">
            <w:pPr>
              <w:rPr>
                <w:szCs w:val="22"/>
                <w:lang w:val="es-419"/>
              </w:rPr>
            </w:pPr>
          </w:p>
        </w:tc>
        <w:tc>
          <w:tcPr>
            <w:tcW w:w="257" w:type="pct"/>
            <w:tcBorders>
              <w:bottom w:val="single" w:sz="12" w:space="0" w:color="auto"/>
            </w:tcBorders>
            <w:shd w:val="clear" w:color="auto" w:fill="BFBFBF"/>
          </w:tcPr>
          <w:p w:rsidR="00FD0D68" w:rsidRPr="00CB1AF4" w:rsidRDefault="00FD0D68" w:rsidP="00750477">
            <w:pPr>
              <w:rPr>
                <w:szCs w:val="22"/>
                <w:lang w:val="es-419"/>
              </w:rPr>
            </w:pPr>
          </w:p>
        </w:tc>
        <w:tc>
          <w:tcPr>
            <w:tcW w:w="291" w:type="pct"/>
            <w:tcBorders>
              <w:top w:val="single" w:sz="6" w:space="0" w:color="auto"/>
              <w:bottom w:val="single" w:sz="12" w:space="0" w:color="auto"/>
            </w:tcBorders>
            <w:shd w:val="clear" w:color="auto" w:fill="FFFFFF"/>
          </w:tcPr>
          <w:p w:rsidR="00FD0D68" w:rsidRPr="00CB1AF4" w:rsidRDefault="00FD0D68" w:rsidP="00750477">
            <w:pPr>
              <w:rPr>
                <w:szCs w:val="22"/>
                <w:lang w:val="es-419"/>
              </w:rPr>
            </w:pPr>
          </w:p>
        </w:tc>
        <w:tc>
          <w:tcPr>
            <w:tcW w:w="271" w:type="pct"/>
            <w:tcBorders>
              <w:top w:val="single" w:sz="6" w:space="0" w:color="auto"/>
              <w:bottom w:val="single" w:sz="12" w:space="0" w:color="auto"/>
            </w:tcBorders>
            <w:shd w:val="clear" w:color="auto" w:fill="FFFFFF"/>
          </w:tcPr>
          <w:p w:rsidR="00FD0D68" w:rsidRPr="00CB1AF4" w:rsidRDefault="00FD0D68" w:rsidP="00750477">
            <w:pPr>
              <w:rPr>
                <w:szCs w:val="22"/>
                <w:lang w:val="es-419"/>
              </w:rPr>
            </w:pPr>
            <w:r w:rsidRPr="00CB1AF4">
              <w:rPr>
                <w:szCs w:val="22"/>
                <w:lang w:val="es-419"/>
              </w:rPr>
              <w:t>x</w:t>
            </w:r>
          </w:p>
        </w:tc>
      </w:tr>
    </w:tbl>
    <w:p w:rsidR="00FD0D68" w:rsidRPr="00CB1AF4" w:rsidRDefault="00FD0D68" w:rsidP="00FD0D68">
      <w:pPr>
        <w:rPr>
          <w:szCs w:val="22"/>
          <w:lang w:val="es-419"/>
        </w:rPr>
      </w:pPr>
    </w:p>
    <w:p w:rsidR="009D386D" w:rsidRPr="00CB1AF4" w:rsidRDefault="009D386D" w:rsidP="00415C1B">
      <w:pPr>
        <w:rPr>
          <w:szCs w:val="22"/>
          <w:lang w:val="es-419"/>
        </w:rPr>
      </w:pPr>
    </w:p>
    <w:p w:rsidR="009D386D" w:rsidRPr="00CB1AF4" w:rsidRDefault="009D386D" w:rsidP="009D386D">
      <w:pPr>
        <w:rPr>
          <w:szCs w:val="22"/>
          <w:lang w:val="es-419"/>
        </w:rPr>
      </w:pPr>
    </w:p>
    <w:p w:rsidR="009D386D" w:rsidRPr="00CB1AF4" w:rsidRDefault="009D386D" w:rsidP="009D386D">
      <w:pPr>
        <w:rPr>
          <w:szCs w:val="22"/>
          <w:lang w:val="es-419"/>
        </w:rPr>
      </w:pPr>
    </w:p>
    <w:p w:rsidR="000F5E56" w:rsidRPr="00CB1AF4" w:rsidRDefault="009D386D" w:rsidP="001C187F">
      <w:pPr>
        <w:ind w:left="5529"/>
        <w:rPr>
          <w:szCs w:val="22"/>
          <w:lang w:val="es-419"/>
        </w:rPr>
      </w:pPr>
      <w:r w:rsidRPr="00CB1AF4">
        <w:rPr>
          <w:szCs w:val="22"/>
          <w:lang w:val="es-419"/>
        </w:rPr>
        <w:t>[</w:t>
      </w:r>
      <w:r w:rsidR="00FD0D68" w:rsidRPr="00CB1AF4">
        <w:rPr>
          <w:szCs w:val="22"/>
          <w:lang w:val="es-419"/>
        </w:rPr>
        <w:t>Fin del Anexo y del documento</w:t>
      </w:r>
      <w:r w:rsidRPr="00CB1AF4">
        <w:rPr>
          <w:szCs w:val="22"/>
          <w:lang w:val="es-419"/>
        </w:rPr>
        <w:t>]</w:t>
      </w:r>
      <w:bookmarkStart w:id="5" w:name="Prepared"/>
      <w:bookmarkEnd w:id="5"/>
    </w:p>
    <w:sectPr w:rsidR="000F5E56" w:rsidRPr="00CB1AF4" w:rsidSect="00804DB7">
      <w:headerReference w:type="even" r:id="rId13"/>
      <w:headerReference w:type="default" r:id="rId14"/>
      <w:footerReference w:type="even" r:id="rId15"/>
      <w:footerReference w:type="default" r:id="rId16"/>
      <w:headerReference w:type="first" r:id="rId17"/>
      <w:footerReference w:type="first" r:id="rId18"/>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FD4" w:rsidRDefault="00930FD4" w:rsidP="009D386D">
      <w:r>
        <w:separator/>
      </w:r>
    </w:p>
  </w:endnote>
  <w:endnote w:type="continuationSeparator" w:id="0">
    <w:p w:rsidR="00930FD4" w:rsidRDefault="00930FD4" w:rsidP="009D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0E" w:rsidRDefault="0019210E" w:rsidP="00192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0E" w:rsidRDefault="001921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0E" w:rsidRDefault="0019210E" w:rsidP="001921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0E" w:rsidRDefault="001921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0E" w:rsidRDefault="00192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FD4" w:rsidRDefault="00930FD4" w:rsidP="009D386D">
      <w:r>
        <w:separator/>
      </w:r>
    </w:p>
  </w:footnote>
  <w:footnote w:type="continuationSeparator" w:id="0">
    <w:p w:rsidR="00930FD4" w:rsidRDefault="00930FD4" w:rsidP="009D386D">
      <w:r>
        <w:continuationSeparator/>
      </w:r>
    </w:p>
  </w:footnote>
  <w:footnote w:id="1">
    <w:p w:rsidR="00750477" w:rsidRPr="004543C4" w:rsidRDefault="00750477" w:rsidP="00AC7A96">
      <w:pPr>
        <w:pStyle w:val="FootnoteText"/>
      </w:pPr>
      <w:r>
        <w:rPr>
          <w:rStyle w:val="FootnoteReference"/>
        </w:rPr>
        <w:footnoteRef/>
      </w:r>
      <w:r w:rsidRPr="00104D98">
        <w:t xml:space="preserve"> </w:t>
      </w:r>
      <w:r>
        <w:tab/>
      </w:r>
      <w:r w:rsidRPr="00D35C5E">
        <w:rPr>
          <w:color w:val="000000" w:themeColor="text1"/>
          <w:lang w:val="es-ES_tradnl"/>
        </w:rPr>
        <w:t>Según la sección 3.2 del documento original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0E" w:rsidRDefault="0019210E" w:rsidP="0019210E">
    <w:pPr>
      <w:jc w:val="right"/>
    </w:pPr>
    <w:r>
      <w:t>CDIP/24/4</w:t>
    </w:r>
  </w:p>
  <w:p w:rsidR="0019210E" w:rsidRDefault="0019210E" w:rsidP="0019210E">
    <w:pPr>
      <w:jc w:val="right"/>
      <w:rPr>
        <w:noProof/>
      </w:rPr>
    </w:pPr>
    <w:r>
      <w:rPr>
        <w:rStyle w:val="PageNumber"/>
      </w:rPr>
      <w:t>Anexo, página</w:t>
    </w:r>
    <w:r>
      <w:t xml:space="preserve"> </w:t>
    </w:r>
    <w:sdt>
      <w:sdtPr>
        <w:id w:val="-211835539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17</w:t>
        </w:r>
        <w:r>
          <w:rPr>
            <w:noProof/>
          </w:rPr>
          <w:fldChar w:fldCharType="end"/>
        </w:r>
      </w:sdtContent>
    </w:sdt>
  </w:p>
  <w:p w:rsidR="0019210E" w:rsidRDefault="0019210E" w:rsidP="0019210E">
    <w:pPr>
      <w:jc w:val="right"/>
      <w:rPr>
        <w:noProof/>
      </w:rPr>
    </w:pPr>
  </w:p>
  <w:p w:rsidR="0019210E" w:rsidRDefault="0019210E" w:rsidP="0019210E">
    <w:pP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77" w:rsidRDefault="00750477" w:rsidP="00FA6258">
    <w:pPr>
      <w:jc w:val="right"/>
    </w:pPr>
    <w:r>
      <w:t>CDIP/24/4</w:t>
    </w:r>
  </w:p>
  <w:p w:rsidR="00750477" w:rsidRDefault="00750477" w:rsidP="00FA6258">
    <w:pPr>
      <w:jc w:val="right"/>
      <w:rPr>
        <w:noProof/>
      </w:rPr>
    </w:pPr>
    <w:r>
      <w:rPr>
        <w:rStyle w:val="PageNumber"/>
      </w:rPr>
      <w:t>Anexo, página</w:t>
    </w:r>
    <w:r>
      <w:t xml:space="preserve"> </w:t>
    </w:r>
    <w:sdt>
      <w:sdtPr>
        <w:id w:val="37011945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116EE">
          <w:rPr>
            <w:noProof/>
          </w:rPr>
          <w:t>17</w:t>
        </w:r>
        <w:r>
          <w:rPr>
            <w:noProof/>
          </w:rPr>
          <w:fldChar w:fldCharType="end"/>
        </w:r>
      </w:sdtContent>
    </w:sdt>
  </w:p>
  <w:p w:rsidR="00750477" w:rsidRDefault="00750477" w:rsidP="00FA6258">
    <w:pPr>
      <w:jc w:val="right"/>
      <w:rPr>
        <w:noProof/>
      </w:rPr>
    </w:pPr>
  </w:p>
  <w:p w:rsidR="00750477" w:rsidRDefault="00750477" w:rsidP="00FA6258">
    <w:pP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0E" w:rsidRDefault="001921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0E" w:rsidRDefault="0019210E" w:rsidP="0019210E">
    <w:pPr>
      <w:jc w:val="right"/>
    </w:pPr>
    <w:r>
      <w:t>CDIP/24/4</w:t>
    </w:r>
  </w:p>
  <w:p w:rsidR="0019210E" w:rsidRDefault="0019210E" w:rsidP="0019210E">
    <w:pPr>
      <w:jc w:val="right"/>
      <w:rPr>
        <w:noProof/>
      </w:rPr>
    </w:pPr>
    <w:r>
      <w:rPr>
        <w:rStyle w:val="PageNumber"/>
      </w:rPr>
      <w:t>Anexo, página</w:t>
    </w:r>
    <w:r>
      <w:t xml:space="preserve"> </w:t>
    </w:r>
    <w:sdt>
      <w:sdtPr>
        <w:id w:val="-16759500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84349">
          <w:rPr>
            <w:noProof/>
          </w:rPr>
          <w:t>16</w:t>
        </w:r>
        <w:r>
          <w:rPr>
            <w:noProof/>
          </w:rPr>
          <w:fldChar w:fldCharType="end"/>
        </w:r>
      </w:sdtContent>
    </w:sdt>
  </w:p>
  <w:p w:rsidR="0019210E" w:rsidRDefault="0019210E" w:rsidP="0019210E">
    <w:pPr>
      <w:jc w:val="right"/>
      <w:rPr>
        <w:noProof/>
      </w:rPr>
    </w:pPr>
  </w:p>
  <w:p w:rsidR="0019210E" w:rsidRDefault="0019210E" w:rsidP="0019210E">
    <w:pPr>
      <w:jc w:val="right"/>
      <w:rPr>
        <w:noProof/>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0E" w:rsidRDefault="0019210E" w:rsidP="00FA6258">
    <w:pPr>
      <w:jc w:val="right"/>
    </w:pPr>
    <w:r>
      <w:t>CDIP/24/4</w:t>
    </w:r>
  </w:p>
  <w:p w:rsidR="0019210E" w:rsidRDefault="0019210E" w:rsidP="00FA6258">
    <w:pPr>
      <w:jc w:val="right"/>
      <w:rPr>
        <w:noProof/>
      </w:rPr>
    </w:pPr>
    <w:r>
      <w:rPr>
        <w:rStyle w:val="PageNumber"/>
      </w:rPr>
      <w:t>Anexo, página</w:t>
    </w:r>
    <w:r>
      <w:t xml:space="preserve"> </w:t>
    </w:r>
    <w:sdt>
      <w:sdtPr>
        <w:id w:val="-122944645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84349">
          <w:rPr>
            <w:noProof/>
          </w:rPr>
          <w:t>17</w:t>
        </w:r>
        <w:r>
          <w:rPr>
            <w:noProof/>
          </w:rPr>
          <w:fldChar w:fldCharType="end"/>
        </w:r>
      </w:sdtContent>
    </w:sdt>
  </w:p>
  <w:p w:rsidR="0019210E" w:rsidRDefault="0019210E" w:rsidP="00FA6258">
    <w:pPr>
      <w:jc w:val="right"/>
      <w:rPr>
        <w:noProof/>
      </w:rPr>
    </w:pPr>
  </w:p>
  <w:p w:rsidR="0019210E" w:rsidRDefault="0019210E" w:rsidP="00FA6258">
    <w:pPr>
      <w:jc w:val="right"/>
      <w:rPr>
        <w:noProof/>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77" w:rsidRDefault="00750477" w:rsidP="009D386D">
    <w:pPr>
      <w:jc w:val="right"/>
    </w:pPr>
    <w:r>
      <w:t>CDIP/24/4</w:t>
    </w:r>
  </w:p>
  <w:p w:rsidR="00750477" w:rsidRDefault="00750477" w:rsidP="009D386D">
    <w:pPr>
      <w:jc w:val="right"/>
      <w:rPr>
        <w:rStyle w:val="PageNumber"/>
      </w:rPr>
    </w:pPr>
    <w:r>
      <w:rPr>
        <w:rStyle w:val="PageNumber"/>
      </w:rPr>
      <w:t>ANEXO</w:t>
    </w:r>
  </w:p>
  <w:p w:rsidR="00750477" w:rsidRDefault="00750477" w:rsidP="009D386D">
    <w:pPr>
      <w:jc w:val="right"/>
      <w:rPr>
        <w:noProof/>
      </w:rPr>
    </w:pPr>
  </w:p>
  <w:p w:rsidR="00750477" w:rsidRDefault="00750477" w:rsidP="00FF04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AE36A9C"/>
    <w:multiLevelType w:val="hybridMultilevel"/>
    <w:tmpl w:val="B9F4632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6AD0D5A"/>
    <w:multiLevelType w:val="hybridMultilevel"/>
    <w:tmpl w:val="FD66D240"/>
    <w:lvl w:ilvl="0" w:tplc="1B70F56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29578A9"/>
    <w:multiLevelType w:val="multilevel"/>
    <w:tmpl w:val="4FFAA09E"/>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008000"/>
      </w:rPr>
    </w:lvl>
    <w:lvl w:ilvl="3">
      <w:start w:val="1"/>
      <w:numFmt w:val="decimal"/>
      <w:isLgl/>
      <w:lvlText w:val="%1.%2.%3.%4."/>
      <w:lvlJc w:val="left"/>
      <w:pPr>
        <w:ind w:left="1440" w:hanging="1080"/>
      </w:pPr>
      <w:rPr>
        <w:rFonts w:hint="default"/>
        <w:color w:val="008000"/>
      </w:rPr>
    </w:lvl>
    <w:lvl w:ilvl="4">
      <w:start w:val="1"/>
      <w:numFmt w:val="decimal"/>
      <w:isLgl/>
      <w:lvlText w:val="%1.%2.%3.%4.%5."/>
      <w:lvlJc w:val="left"/>
      <w:pPr>
        <w:ind w:left="1440" w:hanging="1080"/>
      </w:pPr>
      <w:rPr>
        <w:rFonts w:hint="default"/>
        <w:color w:val="008000"/>
      </w:rPr>
    </w:lvl>
    <w:lvl w:ilvl="5">
      <w:start w:val="1"/>
      <w:numFmt w:val="decimal"/>
      <w:isLgl/>
      <w:lvlText w:val="%1.%2.%3.%4.%5.%6."/>
      <w:lvlJc w:val="left"/>
      <w:pPr>
        <w:ind w:left="1800" w:hanging="1440"/>
      </w:pPr>
      <w:rPr>
        <w:rFonts w:hint="default"/>
        <w:color w:val="008000"/>
      </w:rPr>
    </w:lvl>
    <w:lvl w:ilvl="6">
      <w:start w:val="1"/>
      <w:numFmt w:val="decimal"/>
      <w:isLgl/>
      <w:lvlText w:val="%1.%2.%3.%4.%5.%6.%7."/>
      <w:lvlJc w:val="left"/>
      <w:pPr>
        <w:ind w:left="1800" w:hanging="1440"/>
      </w:pPr>
      <w:rPr>
        <w:rFonts w:hint="default"/>
        <w:color w:val="008000"/>
      </w:rPr>
    </w:lvl>
    <w:lvl w:ilvl="7">
      <w:start w:val="1"/>
      <w:numFmt w:val="decimal"/>
      <w:isLgl/>
      <w:lvlText w:val="%1.%2.%3.%4.%5.%6.%7.%8."/>
      <w:lvlJc w:val="left"/>
      <w:pPr>
        <w:ind w:left="2160" w:hanging="1800"/>
      </w:pPr>
      <w:rPr>
        <w:rFonts w:hint="default"/>
        <w:color w:val="008000"/>
      </w:rPr>
    </w:lvl>
    <w:lvl w:ilvl="8">
      <w:start w:val="1"/>
      <w:numFmt w:val="decimal"/>
      <w:isLgl/>
      <w:lvlText w:val="%1.%2.%3.%4.%5.%6.%7.%8.%9."/>
      <w:lvlJc w:val="left"/>
      <w:pPr>
        <w:ind w:left="2160" w:hanging="1800"/>
      </w:pPr>
      <w:rPr>
        <w:rFonts w:hint="default"/>
        <w:color w:val="008000"/>
      </w:rPr>
    </w:lvl>
  </w:abstractNum>
  <w:abstractNum w:abstractNumId="5" w15:restartNumberingAfterBreak="0">
    <w:nsid w:val="271769C8"/>
    <w:multiLevelType w:val="hybridMultilevel"/>
    <w:tmpl w:val="C356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216D7"/>
    <w:multiLevelType w:val="hybridMultilevel"/>
    <w:tmpl w:val="B6F096AE"/>
    <w:lvl w:ilvl="0" w:tplc="04090001">
      <w:start w:val="1"/>
      <w:numFmt w:val="bullet"/>
      <w:lvlText w:val=""/>
      <w:lvlJc w:val="left"/>
      <w:pPr>
        <w:ind w:left="720" w:hanging="360"/>
      </w:pPr>
      <w:rPr>
        <w:rFonts w:ascii="Symbol" w:hAnsi="Symbol" w:hint="default"/>
      </w:rPr>
    </w:lvl>
    <w:lvl w:ilvl="1" w:tplc="179AB488">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D240C3"/>
    <w:multiLevelType w:val="hybridMultilevel"/>
    <w:tmpl w:val="7F06997A"/>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81E3123"/>
    <w:multiLevelType w:val="hybridMultilevel"/>
    <w:tmpl w:val="95AA322C"/>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8EB66DB"/>
    <w:multiLevelType w:val="hybridMultilevel"/>
    <w:tmpl w:val="56A686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9411EC"/>
    <w:multiLevelType w:val="hybridMultilevel"/>
    <w:tmpl w:val="00D2E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C371B42"/>
    <w:multiLevelType w:val="hybridMultilevel"/>
    <w:tmpl w:val="B6321F00"/>
    <w:lvl w:ilvl="0" w:tplc="F4E6C5C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E01331A"/>
    <w:multiLevelType w:val="hybridMultilevel"/>
    <w:tmpl w:val="2AB85326"/>
    <w:lvl w:ilvl="0" w:tplc="3CB0B5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13"/>
  </w:num>
  <w:num w:numId="5">
    <w:abstractNumId w:val="0"/>
  </w:num>
  <w:num w:numId="6">
    <w:abstractNumId w:val="12"/>
  </w:num>
  <w:num w:numId="7">
    <w:abstractNumId w:val="11"/>
  </w:num>
  <w:num w:numId="8">
    <w:abstractNumId w:val="16"/>
  </w:num>
  <w:num w:numId="9">
    <w:abstractNumId w:val="8"/>
  </w:num>
  <w:num w:numId="10">
    <w:abstractNumId w:val="9"/>
  </w:num>
  <w:num w:numId="11">
    <w:abstractNumId w:val="1"/>
  </w:num>
  <w:num w:numId="12">
    <w:abstractNumId w:val="4"/>
  </w:num>
  <w:num w:numId="13">
    <w:abstractNumId w:val="6"/>
  </w:num>
  <w:num w:numId="14">
    <w:abstractNumId w:val="2"/>
  </w:num>
  <w:num w:numId="15">
    <w:abstractNumId w:val="5"/>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6D"/>
    <w:rsid w:val="000116EE"/>
    <w:rsid w:val="00027F7D"/>
    <w:rsid w:val="0005435A"/>
    <w:rsid w:val="00081532"/>
    <w:rsid w:val="00084349"/>
    <w:rsid w:val="000D4ABA"/>
    <w:rsid w:val="000F1199"/>
    <w:rsid w:val="000F5E56"/>
    <w:rsid w:val="00102865"/>
    <w:rsid w:val="00144B3A"/>
    <w:rsid w:val="0019210E"/>
    <w:rsid w:val="001A3BC6"/>
    <w:rsid w:val="001A6F7F"/>
    <w:rsid w:val="001C187F"/>
    <w:rsid w:val="001E501A"/>
    <w:rsid w:val="001F3BF0"/>
    <w:rsid w:val="00216726"/>
    <w:rsid w:val="00226DC5"/>
    <w:rsid w:val="00235B2D"/>
    <w:rsid w:val="002B0A82"/>
    <w:rsid w:val="0030471E"/>
    <w:rsid w:val="00376BCB"/>
    <w:rsid w:val="003E6531"/>
    <w:rsid w:val="004011CD"/>
    <w:rsid w:val="00415C1B"/>
    <w:rsid w:val="00431118"/>
    <w:rsid w:val="004444B5"/>
    <w:rsid w:val="004A2F6F"/>
    <w:rsid w:val="00505524"/>
    <w:rsid w:val="00522ABF"/>
    <w:rsid w:val="00530ADC"/>
    <w:rsid w:val="00580A4C"/>
    <w:rsid w:val="005E600D"/>
    <w:rsid w:val="0062341A"/>
    <w:rsid w:val="0065470D"/>
    <w:rsid w:val="00661C45"/>
    <w:rsid w:val="007231EE"/>
    <w:rsid w:val="00750477"/>
    <w:rsid w:val="00762321"/>
    <w:rsid w:val="00782A50"/>
    <w:rsid w:val="007B240C"/>
    <w:rsid w:val="007B2645"/>
    <w:rsid w:val="007D53C7"/>
    <w:rsid w:val="007F4A06"/>
    <w:rsid w:val="00804DB7"/>
    <w:rsid w:val="00813415"/>
    <w:rsid w:val="00844EA9"/>
    <w:rsid w:val="00861218"/>
    <w:rsid w:val="00865B25"/>
    <w:rsid w:val="008840B4"/>
    <w:rsid w:val="008B409C"/>
    <w:rsid w:val="008C11BA"/>
    <w:rsid w:val="008D01A1"/>
    <w:rsid w:val="008E5AD1"/>
    <w:rsid w:val="00930FD4"/>
    <w:rsid w:val="00953B6C"/>
    <w:rsid w:val="009C3588"/>
    <w:rsid w:val="009D0987"/>
    <w:rsid w:val="009D386D"/>
    <w:rsid w:val="009E18C8"/>
    <w:rsid w:val="00A65FF4"/>
    <w:rsid w:val="00A73E7B"/>
    <w:rsid w:val="00AA309C"/>
    <w:rsid w:val="00AC7A96"/>
    <w:rsid w:val="00AE0B1D"/>
    <w:rsid w:val="00B3175B"/>
    <w:rsid w:val="00B400C5"/>
    <w:rsid w:val="00BE7F8F"/>
    <w:rsid w:val="00C31793"/>
    <w:rsid w:val="00C554EC"/>
    <w:rsid w:val="00C57E70"/>
    <w:rsid w:val="00C61173"/>
    <w:rsid w:val="00CA43D5"/>
    <w:rsid w:val="00CB1AF4"/>
    <w:rsid w:val="00CF2706"/>
    <w:rsid w:val="00CF3940"/>
    <w:rsid w:val="00D041BC"/>
    <w:rsid w:val="00D2462A"/>
    <w:rsid w:val="00D35C5E"/>
    <w:rsid w:val="00D92485"/>
    <w:rsid w:val="00DA290A"/>
    <w:rsid w:val="00E11A5D"/>
    <w:rsid w:val="00E179B4"/>
    <w:rsid w:val="00E21A5A"/>
    <w:rsid w:val="00E2361D"/>
    <w:rsid w:val="00E42953"/>
    <w:rsid w:val="00E64308"/>
    <w:rsid w:val="00F11D9D"/>
    <w:rsid w:val="00F31476"/>
    <w:rsid w:val="00F40DDB"/>
    <w:rsid w:val="00F54CC3"/>
    <w:rsid w:val="00F562AE"/>
    <w:rsid w:val="00F963B4"/>
    <w:rsid w:val="00F978A8"/>
    <w:rsid w:val="00FA6258"/>
    <w:rsid w:val="00FD0D68"/>
    <w:rsid w:val="00FE03A0"/>
    <w:rsid w:val="00FE0708"/>
    <w:rsid w:val="00FF042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868845-8A5C-43AC-94B5-16AD8AC8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86D"/>
    <w:rPr>
      <w:rFonts w:ascii="Arial" w:eastAsia="SimSun" w:hAnsi="Arial" w:cs="Arial"/>
      <w:sz w:val="22"/>
      <w:lang w:val="es-E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3Char">
    <w:name w:val="Heading 3 Char"/>
    <w:link w:val="Heading3"/>
    <w:rsid w:val="009D386D"/>
    <w:rPr>
      <w:rFonts w:ascii="Arial" w:eastAsia="SimSun" w:hAnsi="Arial" w:cs="Arial"/>
      <w:bCs/>
      <w:sz w:val="22"/>
      <w:szCs w:val="26"/>
      <w:u w:val="single"/>
      <w:lang w:val="es-419"/>
    </w:rPr>
  </w:style>
  <w:style w:type="character" w:styleId="FootnoteReference">
    <w:name w:val="footnote reference"/>
    <w:aliases w:val="callout,Footnote"/>
    <w:uiPriority w:val="99"/>
    <w:rsid w:val="009D386D"/>
    <w:rPr>
      <w:vertAlign w:val="superscript"/>
    </w:rPr>
  </w:style>
  <w:style w:type="character" w:styleId="PageNumber">
    <w:name w:val="page number"/>
    <w:basedOn w:val="DefaultParagraphFont"/>
    <w:rsid w:val="009D386D"/>
  </w:style>
  <w:style w:type="paragraph" w:styleId="NormalWeb">
    <w:name w:val="Normal (Web)"/>
    <w:basedOn w:val="Normal"/>
    <w:uiPriority w:val="99"/>
    <w:rsid w:val="009D386D"/>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tlid-translation">
    <w:name w:val="tlid-translation"/>
    <w:rsid w:val="009D386D"/>
  </w:style>
  <w:style w:type="paragraph" w:styleId="ListParagraph">
    <w:name w:val="List Paragraph"/>
    <w:basedOn w:val="Normal"/>
    <w:uiPriority w:val="34"/>
    <w:qFormat/>
    <w:rsid w:val="001A6F7F"/>
    <w:pPr>
      <w:ind w:left="720"/>
      <w:contextualSpacing/>
    </w:pPr>
    <w:rPr>
      <w:lang w:val="en-US"/>
    </w:rPr>
  </w:style>
  <w:style w:type="character" w:customStyle="1" w:styleId="FootnoteTextChar">
    <w:name w:val="Footnote Text Char"/>
    <w:basedOn w:val="DefaultParagraphFont"/>
    <w:link w:val="FootnoteText"/>
    <w:semiHidden/>
    <w:rsid w:val="00AC7A96"/>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6141</Words>
  <Characters>32429</Characters>
  <Application>Microsoft Office Word</Application>
  <DocSecurity>0</DocSecurity>
  <Lines>1351</Lines>
  <Paragraphs>296</Paragraphs>
  <ScaleCrop>false</ScaleCrop>
  <HeadingPairs>
    <vt:vector size="2" baseType="variant">
      <vt:variant>
        <vt:lpstr>Title</vt:lpstr>
      </vt:variant>
      <vt:variant>
        <vt:i4>1</vt:i4>
      </vt:variant>
    </vt:vector>
  </HeadingPairs>
  <TitlesOfParts>
    <vt:vector size="1" baseType="lpstr">
      <vt:lpstr>CDIP_24_4_ES</vt:lpstr>
    </vt:vector>
  </TitlesOfParts>
  <Company>World Intellectual Property Organization</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CDIP_24_4_ES</dc:title>
  <dc:subject>Wipo Templates</dc:subject>
  <dc:creator>SANDOVAL Barbara</dc:creator>
  <cp:keywords>FOR OFFICIAL USE ONLY</cp:keywords>
  <dc:description/>
  <cp:lastModifiedBy>ESTEVES DOS SANTOS Anabela</cp:lastModifiedBy>
  <cp:revision>9</cp:revision>
  <cp:lastPrinted>2019-08-30T12:48:00Z</cp:lastPrinted>
  <dcterms:created xsi:type="dcterms:W3CDTF">2019-08-30T10:22:00Z</dcterms:created>
  <dcterms:modified xsi:type="dcterms:W3CDTF">2019-08-30T12:48:00Z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5939be60-acb4-41b9-875e-b7c3e88bff02</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