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7070" w:rsidP="008525EB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CDIP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/2</w:t>
            </w:r>
            <w:r w:rsidR="008525E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47C37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47C37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47C37">
              <w:rPr>
                <w:rFonts w:ascii="Arial Black" w:hAnsi="Arial Black"/>
                <w:caps/>
                <w:sz w:val="15"/>
              </w:rPr>
              <w:t>16 DE OCTUBRE DE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CA7070" w:rsidP="00B67CDC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</w:t>
      </w:r>
      <w:proofErr w:type="spellStart"/>
      <w:r w:rsidRPr="00603F32">
        <w:rPr>
          <w:b/>
          <w:sz w:val="28"/>
          <w:szCs w:val="28"/>
        </w:rPr>
        <w:t>CDIP</w:t>
      </w:r>
      <w:proofErr w:type="spellEnd"/>
      <w:r w:rsidRPr="00603F32">
        <w:rPr>
          <w:b/>
          <w:sz w:val="28"/>
          <w:szCs w:val="28"/>
        </w:rPr>
        <w:t>)</w:t>
      </w:r>
    </w:p>
    <w:p w:rsidR="003845C1" w:rsidRDefault="003845C1" w:rsidP="003845C1"/>
    <w:p w:rsidR="003845C1" w:rsidRDefault="003845C1" w:rsidP="003845C1"/>
    <w:p w:rsidR="008525EB" w:rsidRPr="00603F32" w:rsidRDefault="008525EB" w:rsidP="0085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Vigesimocuarta </w:t>
      </w:r>
      <w:r w:rsidRPr="00603F32">
        <w:rPr>
          <w:b/>
          <w:sz w:val="24"/>
          <w:szCs w:val="24"/>
        </w:rPr>
        <w:t>sesión</w:t>
      </w:r>
    </w:p>
    <w:p w:rsidR="008525EB" w:rsidRPr="00603F32" w:rsidRDefault="008525EB" w:rsidP="0085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18</w:t>
      </w:r>
      <w:r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22</w:t>
      </w:r>
      <w:r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 de 2019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147C3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NUEVA </w:t>
      </w:r>
      <w:r w:rsidRPr="00526695">
        <w:rPr>
          <w:caps/>
          <w:sz w:val="24"/>
        </w:rPr>
        <w:t xml:space="preserve">PROPUESTA DE LOS ESTADOS MIEMBROS SOBRE LAS MODALIDADES Y ESTRATEGIAS DE APLICACIÓN DE LAS RECOMENDACIONES ADOPTADAS </w:t>
      </w:r>
      <w:r w:rsidR="00526695" w:rsidRPr="00526695">
        <w:rPr>
          <w:caps/>
          <w:sz w:val="24"/>
        </w:rPr>
        <w:t xml:space="preserve">en el marco </w:t>
      </w:r>
      <w:r w:rsidRPr="00526695">
        <w:rPr>
          <w:caps/>
          <w:sz w:val="24"/>
        </w:rPr>
        <w:t>DEL EXAMEN INDEPENDIENTE</w:t>
      </w:r>
    </w:p>
    <w:p w:rsidR="008B2CC1" w:rsidRDefault="008B2CC1" w:rsidP="008B2CC1"/>
    <w:p w:rsidR="00B66591" w:rsidRPr="008B2CC1" w:rsidRDefault="00B66591" w:rsidP="008B2CC1"/>
    <w:p w:rsidR="008B2CC1" w:rsidRPr="008B2CC1" w:rsidRDefault="00147C37" w:rsidP="008B2CC1">
      <w:pPr>
        <w:rPr>
          <w:i/>
        </w:rPr>
      </w:pPr>
      <w:bookmarkStart w:id="5" w:name="Prepared"/>
      <w:bookmarkEnd w:id="5"/>
      <w:r>
        <w:rPr>
          <w:i/>
        </w:rPr>
        <w:t>preparada la Secretaría</w:t>
      </w:r>
    </w:p>
    <w:p w:rsidR="008B2CC1" w:rsidRDefault="008B2CC1" w:rsidP="003845C1"/>
    <w:p w:rsidR="000F5E56" w:rsidRDefault="000F5E56"/>
    <w:p w:rsidR="00147C37" w:rsidRDefault="00147C37" w:rsidP="00147C37"/>
    <w:p w:rsidR="00147C37" w:rsidRDefault="00147C37" w:rsidP="00147C37"/>
    <w:p w:rsidR="00147C37" w:rsidRDefault="00526695" w:rsidP="00147C37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>
        <w:rPr>
          <w:lang w:val="es-ES"/>
        </w:rPr>
        <w:t>E</w:t>
      </w:r>
      <w:r w:rsidRPr="00BD2289">
        <w:rPr>
          <w:lang w:val="es-ES_tradnl"/>
        </w:rPr>
        <w:t>n su vigesimotercera sesión</w:t>
      </w:r>
      <w:r>
        <w:rPr>
          <w:lang w:val="es-ES_tradnl"/>
        </w:rPr>
        <w:t>, e</w:t>
      </w:r>
      <w:r w:rsidR="00147C37" w:rsidRPr="00BD2289">
        <w:rPr>
          <w:lang w:val="es-ES_tradnl"/>
        </w:rPr>
        <w:t>l Comité de Desarrollo y Propiedad Intelectual (</w:t>
      </w:r>
      <w:proofErr w:type="spellStart"/>
      <w:r w:rsidR="00147C37" w:rsidRPr="00BD2289">
        <w:rPr>
          <w:lang w:val="es-ES_tradnl"/>
        </w:rPr>
        <w:t>CDIP</w:t>
      </w:r>
      <w:proofErr w:type="spellEnd"/>
      <w:r w:rsidR="00147C37" w:rsidRPr="00BD2289">
        <w:rPr>
          <w:lang w:val="es-ES_tradnl"/>
        </w:rPr>
        <w:t xml:space="preserve">), al examinar el documento </w:t>
      </w:r>
      <w:proofErr w:type="spellStart"/>
      <w:r w:rsidR="00147C37" w:rsidRPr="00BD2289">
        <w:rPr>
          <w:lang w:val="es-ES_tradnl"/>
        </w:rPr>
        <w:t>CDIP</w:t>
      </w:r>
      <w:proofErr w:type="spellEnd"/>
      <w:r w:rsidR="00147C37" w:rsidRPr="00BD2289">
        <w:rPr>
          <w:lang w:val="es-ES_tradnl"/>
        </w:rPr>
        <w:t xml:space="preserve">/23/8 </w:t>
      </w:r>
      <w:r>
        <w:rPr>
          <w:lang w:val="es-ES_tradnl"/>
        </w:rPr>
        <w:t>relativo a</w:t>
      </w:r>
      <w:r w:rsidR="00147C37" w:rsidRPr="00BD2289">
        <w:rPr>
          <w:lang w:val="es-ES_tradnl"/>
        </w:rPr>
        <w:t xml:space="preserve"> la </w:t>
      </w:r>
      <w:r>
        <w:rPr>
          <w:lang w:val="es-ES_tradnl"/>
        </w:rPr>
        <w:t>p</w:t>
      </w:r>
      <w:r w:rsidR="00147C37" w:rsidRPr="00BD2289">
        <w:rPr>
          <w:lang w:val="es-ES_tradnl"/>
        </w:rPr>
        <w:t>ropuesta de la Secretaría sobre las modalidades y estrategias de aplicación de las recomendaciones adoptadas en el marco del examen independiente y opciones relativas al proceso de presentación de informes y examen, decidió:</w:t>
      </w:r>
    </w:p>
    <w:p w:rsidR="00147C37" w:rsidRDefault="00147C37" w:rsidP="00147C37">
      <w:pPr>
        <w:pStyle w:val="ListParagraph"/>
        <w:ind w:left="0"/>
        <w:rPr>
          <w:lang w:val="es-ES"/>
        </w:rPr>
      </w:pPr>
    </w:p>
    <w:p w:rsidR="00147C37" w:rsidRPr="00FF0C38" w:rsidRDefault="00147C37" w:rsidP="00147C37">
      <w:pPr>
        <w:pStyle w:val="ListParagraph"/>
        <w:ind w:left="567"/>
        <w:rPr>
          <w:lang w:val="es-419"/>
        </w:rPr>
      </w:pPr>
      <w:r w:rsidRPr="00BD2289">
        <w:rPr>
          <w:lang w:val="es-ES_tradnl"/>
        </w:rPr>
        <w:t xml:space="preserve">"(...) </w:t>
      </w:r>
      <w:r w:rsidR="00526695">
        <w:rPr>
          <w:lang w:val="es-ES_tradnl"/>
        </w:rPr>
        <w:t xml:space="preserve">continuar </w:t>
      </w:r>
      <w:r w:rsidRPr="00BD2289">
        <w:rPr>
          <w:lang w:val="es-ES_tradnl"/>
        </w:rPr>
        <w:t xml:space="preserve">examinando, en la próxima sesión, las estrategias de aplicación 1, 2, 3, 4, 7, 13 y 15 y las nuevas propuestas </w:t>
      </w:r>
      <w:r w:rsidR="00503E94">
        <w:rPr>
          <w:lang w:val="es-ES_tradnl"/>
        </w:rPr>
        <w:t xml:space="preserve">que </w:t>
      </w:r>
      <w:r w:rsidRPr="00BD2289">
        <w:rPr>
          <w:lang w:val="es-ES_tradnl"/>
        </w:rPr>
        <w:t>present</w:t>
      </w:r>
      <w:r w:rsidR="00503E94">
        <w:rPr>
          <w:lang w:val="es-ES_tradnl"/>
        </w:rPr>
        <w:t>en</w:t>
      </w:r>
      <w:r w:rsidRPr="00BD2289">
        <w:rPr>
          <w:lang w:val="es-ES_tradnl"/>
        </w:rPr>
        <w:t xml:space="preserve"> los Estados miembros</w:t>
      </w:r>
      <w:r w:rsidR="00503E94">
        <w:rPr>
          <w:lang w:val="es-ES_tradnl"/>
        </w:rPr>
        <w:t xml:space="preserve"> conforme al</w:t>
      </w:r>
      <w:r w:rsidRPr="00BD2289">
        <w:rPr>
          <w:lang w:val="es-ES_tradnl"/>
        </w:rPr>
        <w:t xml:space="preserve"> Anexo I del documento</w:t>
      </w:r>
      <w:r w:rsidR="00503E94">
        <w:rPr>
          <w:lang w:val="es-ES_tradnl"/>
        </w:rPr>
        <w:t xml:space="preserve"> antes del 18 de septiembre de 2019</w:t>
      </w:r>
      <w:r w:rsidRPr="00BD2289">
        <w:rPr>
          <w:lang w:val="es-ES_tradnl"/>
        </w:rPr>
        <w:t>, así como las opciones para la presen</w:t>
      </w:r>
      <w:r w:rsidR="00503E94">
        <w:rPr>
          <w:lang w:val="es-ES_tradnl"/>
        </w:rPr>
        <w:t xml:space="preserve">tación de informes y el examen, </w:t>
      </w:r>
      <w:r w:rsidRPr="00BD2289">
        <w:rPr>
          <w:lang w:val="es-ES_tradnl"/>
        </w:rPr>
        <w:t xml:space="preserve">con arreglo al documento </w:t>
      </w:r>
      <w:proofErr w:type="spellStart"/>
      <w:r w:rsidRPr="00BD2289">
        <w:rPr>
          <w:lang w:val="es-ES_tradnl"/>
        </w:rPr>
        <w:t>CDIP</w:t>
      </w:r>
      <w:proofErr w:type="spellEnd"/>
      <w:r w:rsidRPr="00BD2289">
        <w:rPr>
          <w:lang w:val="es-ES_tradnl"/>
        </w:rPr>
        <w:t xml:space="preserve">/23/8" (párrafo 9.8 del Resumen de la Presidencia, </w:t>
      </w:r>
      <w:r w:rsidR="00526695">
        <w:rPr>
          <w:lang w:val="es-ES_tradnl"/>
        </w:rPr>
        <w:t xml:space="preserve">documento </w:t>
      </w:r>
      <w:proofErr w:type="spellStart"/>
      <w:r w:rsidRPr="00BD2289">
        <w:rPr>
          <w:lang w:val="es-ES_tradnl"/>
        </w:rPr>
        <w:t>CDIP</w:t>
      </w:r>
      <w:proofErr w:type="spellEnd"/>
      <w:r w:rsidRPr="00BD2289">
        <w:rPr>
          <w:lang w:val="es-ES_tradnl"/>
        </w:rPr>
        <w:t>/23).</w:t>
      </w:r>
      <w:r w:rsidRPr="00FF0C38">
        <w:rPr>
          <w:lang w:val="es-419"/>
        </w:rPr>
        <w:t xml:space="preserve"> </w:t>
      </w:r>
    </w:p>
    <w:p w:rsidR="00147C37" w:rsidRPr="00FF0C38" w:rsidRDefault="00147C37" w:rsidP="00147C37">
      <w:pPr>
        <w:rPr>
          <w:lang w:val="es-419"/>
        </w:rPr>
      </w:pPr>
    </w:p>
    <w:p w:rsidR="00147C37" w:rsidRDefault="00147C37" w:rsidP="00147C37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BD2289">
        <w:rPr>
          <w:lang w:val="es-ES_tradnl"/>
        </w:rPr>
        <w:t>En una comunicación de fecha 16 de octubre de 2019, la Secretaría recibió una contribución de Sudáfrica</w:t>
      </w:r>
      <w:r w:rsidR="00526695">
        <w:rPr>
          <w:lang w:val="es-ES_tradnl"/>
        </w:rPr>
        <w:t>,</w:t>
      </w:r>
      <w:r w:rsidRPr="00BD2289">
        <w:rPr>
          <w:lang w:val="es-ES_tradnl"/>
        </w:rPr>
        <w:t xml:space="preserve"> que figura en el Anexo del presente documento.</w:t>
      </w:r>
      <w:r w:rsidRPr="00BD2289">
        <w:rPr>
          <w:lang w:val="es-ES"/>
        </w:rPr>
        <w:t xml:space="preserve">  </w:t>
      </w:r>
    </w:p>
    <w:p w:rsidR="00147C37" w:rsidRDefault="00147C37" w:rsidP="00147C37"/>
    <w:p w:rsidR="00147C37" w:rsidRPr="00FF0C38" w:rsidRDefault="00147C37" w:rsidP="00BC7D8C">
      <w:pPr>
        <w:pStyle w:val="DecisionInvitingPara"/>
        <w:ind w:left="5529"/>
        <w:rPr>
          <w:rFonts w:cs="Arial"/>
          <w:iCs/>
          <w:sz w:val="22"/>
          <w:lang w:val="es-419"/>
        </w:rPr>
      </w:pPr>
      <w:r w:rsidRPr="00BD2289">
        <w:rPr>
          <w:rFonts w:cs="Arial"/>
          <w:iCs/>
          <w:sz w:val="22"/>
          <w:lang w:val="es-ES_tradnl"/>
        </w:rPr>
        <w:t>3.</w:t>
      </w:r>
      <w:r w:rsidRPr="00BD2289">
        <w:rPr>
          <w:rFonts w:cs="Arial"/>
          <w:i w:val="0"/>
          <w:iCs/>
          <w:sz w:val="22"/>
          <w:lang w:val="es-ES_tradnl"/>
        </w:rPr>
        <w:tab/>
      </w:r>
      <w:r w:rsidRPr="00BD2289">
        <w:rPr>
          <w:rFonts w:cs="Arial"/>
          <w:iCs/>
          <w:sz w:val="22"/>
          <w:lang w:val="es-ES_tradnl"/>
        </w:rPr>
        <w:t xml:space="preserve">Se invita al </w:t>
      </w:r>
      <w:proofErr w:type="spellStart"/>
      <w:r w:rsidRPr="00BD2289">
        <w:rPr>
          <w:rFonts w:cs="Arial"/>
          <w:iCs/>
          <w:sz w:val="22"/>
          <w:lang w:val="es-ES_tradnl"/>
        </w:rPr>
        <w:t>CDIP</w:t>
      </w:r>
      <w:proofErr w:type="spellEnd"/>
      <w:r w:rsidRPr="00BD2289">
        <w:rPr>
          <w:rFonts w:cs="Arial"/>
          <w:iCs/>
          <w:sz w:val="22"/>
          <w:lang w:val="es-ES_tradnl"/>
        </w:rPr>
        <w:t xml:space="preserve"> a examinar la información contenida en </w:t>
      </w:r>
      <w:r w:rsidR="00526695">
        <w:rPr>
          <w:rFonts w:cs="Arial"/>
          <w:iCs/>
          <w:sz w:val="22"/>
          <w:lang w:val="es-ES_tradnl"/>
        </w:rPr>
        <w:t xml:space="preserve">el </w:t>
      </w:r>
      <w:r w:rsidRPr="00BD2289">
        <w:rPr>
          <w:rFonts w:cs="Arial"/>
          <w:iCs/>
          <w:sz w:val="22"/>
          <w:lang w:val="es-ES_tradnl"/>
        </w:rPr>
        <w:t>Anexo del presente documento.</w:t>
      </w:r>
      <w:r w:rsidRPr="00FF0C38">
        <w:rPr>
          <w:rFonts w:cs="Arial"/>
          <w:iCs/>
          <w:sz w:val="22"/>
          <w:lang w:val="es-419"/>
        </w:rPr>
        <w:t xml:space="preserve"> </w:t>
      </w:r>
    </w:p>
    <w:p w:rsidR="00147C37" w:rsidRDefault="00147C37" w:rsidP="00147C37">
      <w:pPr>
        <w:rPr>
          <w:i/>
          <w:szCs w:val="22"/>
          <w:lang w:val="es-419"/>
        </w:rPr>
      </w:pPr>
    </w:p>
    <w:p w:rsidR="00BC7D8C" w:rsidRDefault="00BC7D8C" w:rsidP="00147C37">
      <w:pPr>
        <w:rPr>
          <w:i/>
          <w:szCs w:val="22"/>
          <w:lang w:val="es-419"/>
        </w:rPr>
      </w:pPr>
    </w:p>
    <w:p w:rsidR="00BC7D8C" w:rsidRPr="00FF0C38" w:rsidRDefault="00BC7D8C" w:rsidP="00147C37">
      <w:pPr>
        <w:rPr>
          <w:i/>
          <w:szCs w:val="22"/>
          <w:lang w:val="es-419"/>
        </w:rPr>
      </w:pPr>
    </w:p>
    <w:p w:rsidR="00147C37" w:rsidRPr="00526695" w:rsidRDefault="00BC7D8C" w:rsidP="00BC7D8C">
      <w:pPr>
        <w:pStyle w:val="Endofdocument-Annex"/>
        <w:rPr>
          <w:lang w:val="es-ES"/>
        </w:rPr>
      </w:pPr>
      <w:r w:rsidRPr="00526695">
        <w:rPr>
          <w:lang w:val="es-ES"/>
        </w:rPr>
        <w:t>[Sigue el Anexo</w:t>
      </w:r>
      <w:r w:rsidR="00147C37" w:rsidRPr="00526695">
        <w:rPr>
          <w:lang w:val="es-ES"/>
        </w:rPr>
        <w:t>]</w:t>
      </w:r>
    </w:p>
    <w:p w:rsidR="00147C37" w:rsidRDefault="00147C37" w:rsidP="00147C37">
      <w:pPr>
        <w:pStyle w:val="EndofDocument"/>
        <w:jc w:val="left"/>
        <w:rPr>
          <w:rFonts w:ascii="Arial" w:hAnsi="Arial" w:cs="Arial"/>
          <w:sz w:val="22"/>
          <w:szCs w:val="22"/>
          <w:lang w:val="es-419"/>
        </w:rPr>
        <w:sectPr w:rsidR="00147C37" w:rsidSect="00147C37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47C37" w:rsidRPr="00FF0C38" w:rsidRDefault="00147C37" w:rsidP="00147C37">
      <w:pPr>
        <w:rPr>
          <w:b/>
          <w:bCs/>
          <w:sz w:val="24"/>
          <w:szCs w:val="24"/>
          <w:lang w:val="es-419"/>
        </w:rPr>
      </w:pPr>
      <w:r w:rsidRPr="0070053C">
        <w:rPr>
          <w:b/>
          <w:bCs/>
          <w:sz w:val="24"/>
          <w:szCs w:val="24"/>
          <w:lang w:val="es-ES_tradnl"/>
        </w:rPr>
        <w:lastRenderedPageBreak/>
        <w:t>Contribución de Sudáfrica</w:t>
      </w:r>
    </w:p>
    <w:p w:rsidR="00147C37" w:rsidRPr="00FF0C38" w:rsidRDefault="00147C37" w:rsidP="00147C37">
      <w:pPr>
        <w:rPr>
          <w:color w:val="000000" w:themeColor="text1"/>
          <w:sz w:val="24"/>
          <w:szCs w:val="24"/>
          <w:lang w:val="es-419"/>
        </w:rPr>
      </w:pPr>
    </w:p>
    <w:tbl>
      <w:tblPr>
        <w:tblStyle w:val="TableGrid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  <w:gridCol w:w="4253"/>
      </w:tblGrid>
      <w:tr w:rsidR="00147C37" w:rsidRPr="00A75607" w:rsidTr="00C93C14">
        <w:trPr>
          <w:tblHeader/>
        </w:trPr>
        <w:tc>
          <w:tcPr>
            <w:tcW w:w="14318" w:type="dxa"/>
            <w:gridSpan w:val="3"/>
            <w:shd w:val="pct12" w:color="auto" w:fill="auto"/>
            <w:vAlign w:val="center"/>
          </w:tcPr>
          <w:p w:rsidR="00147C37" w:rsidRDefault="00147C37" w:rsidP="00C93C14">
            <w:pPr>
              <w:rPr>
                <w:sz w:val="16"/>
                <w:szCs w:val="16"/>
                <w:lang w:val="es-ES_tradnl"/>
              </w:rPr>
            </w:pPr>
            <w:r w:rsidRPr="0001552F">
              <w:rPr>
                <w:sz w:val="16"/>
                <w:szCs w:val="16"/>
                <w:highlight w:val="yellow"/>
              </w:rPr>
              <w:t>1</w:t>
            </w:r>
            <w:r w:rsidRPr="0070053C">
              <w:rPr>
                <w:sz w:val="16"/>
                <w:szCs w:val="16"/>
                <w:lang w:val="es-ES_tradnl"/>
              </w:rPr>
              <w:t xml:space="preserve"> </w:t>
            </w:r>
            <w:r w:rsidRPr="0070053C">
              <w:rPr>
                <w:sz w:val="16"/>
                <w:szCs w:val="16"/>
              </w:rPr>
              <w:t>–</w:t>
            </w:r>
            <w:r w:rsidRPr="0070053C">
              <w:rPr>
                <w:sz w:val="16"/>
                <w:szCs w:val="16"/>
                <w:lang w:val="es-ES_tradnl"/>
              </w:rPr>
              <w:t xml:space="preserve"> Es necesario consolidar los importantes avances realizados en el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CDIP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a través de un </w:t>
            </w:r>
            <w:r w:rsidRPr="0001552F">
              <w:rPr>
                <w:sz w:val="16"/>
                <w:szCs w:val="16"/>
                <w:highlight w:val="yellow"/>
              </w:rPr>
              <w:t>debate de más alto nivel</w:t>
            </w:r>
            <w:r w:rsidRPr="0001552F">
              <w:rPr>
                <w:sz w:val="16"/>
                <w:szCs w:val="16"/>
              </w:rPr>
              <w:t xml:space="preserve"> </w:t>
            </w:r>
            <w:r w:rsidRPr="0070053C">
              <w:rPr>
                <w:sz w:val="16"/>
                <w:szCs w:val="16"/>
                <w:lang w:val="es-ES_tradnl"/>
              </w:rPr>
              <w:t>en el que se aborden las nuevas necesidades que se plantean y se analice la labor de la Organización sobre nuevas cuestiones relacionadas con los derechos de PI. El Comité también debería facilitar el intercambio de las estrategias y las mejores prácticas de los Estados miembros que emanan de la experiencia que poseen dichos Estados miembros en lo que respecta a atender las preocupaciones rel</w:t>
            </w:r>
            <w:r>
              <w:rPr>
                <w:sz w:val="16"/>
                <w:szCs w:val="16"/>
                <w:lang w:val="es-ES_tradnl"/>
              </w:rPr>
              <w:t>ativas a la PI y el desarrollo.</w:t>
            </w:r>
          </w:p>
          <w:p w:rsidR="00147C37" w:rsidRDefault="00147C37" w:rsidP="00C93C14">
            <w:pPr>
              <w:rPr>
                <w:sz w:val="16"/>
                <w:szCs w:val="16"/>
              </w:rPr>
            </w:pPr>
            <w:r w:rsidRPr="00FF0C38">
              <w:rPr>
                <w:sz w:val="16"/>
                <w:szCs w:val="16"/>
                <w:highlight w:val="cyan"/>
                <w:lang w:val="es-419"/>
              </w:rPr>
              <w:t>2</w:t>
            </w:r>
            <w:r w:rsidRPr="0070053C">
              <w:rPr>
                <w:sz w:val="16"/>
                <w:szCs w:val="16"/>
              </w:rPr>
              <w:t xml:space="preserve"> – </w:t>
            </w:r>
            <w:r w:rsidRPr="0070053C">
              <w:rPr>
                <w:sz w:val="16"/>
                <w:szCs w:val="16"/>
                <w:lang w:val="es-ES_tradnl"/>
              </w:rPr>
              <w:t xml:space="preserve">Los Estados miembros deberían tomar medidas para </w:t>
            </w:r>
            <w:r w:rsidRPr="00FF0C38">
              <w:rPr>
                <w:sz w:val="16"/>
                <w:szCs w:val="16"/>
                <w:highlight w:val="cyan"/>
                <w:lang w:val="es-419"/>
              </w:rPr>
              <w:t>resolver las cuestiones pendientes relacionadas con el mandato del Comité y la aplicación del mecanismo de coordinación</w:t>
            </w:r>
            <w:r w:rsidRPr="0070053C">
              <w:rPr>
                <w:sz w:val="16"/>
                <w:szCs w:val="16"/>
                <w:lang w:val="es-ES_tradnl"/>
              </w:rPr>
              <w:t>.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  <w:lang w:val="es-ES_tradnl"/>
              </w:rPr>
            </w:pPr>
            <w:r w:rsidRPr="00FF0C38">
              <w:rPr>
                <w:sz w:val="16"/>
                <w:szCs w:val="16"/>
                <w:highlight w:val="magenta"/>
                <w:lang w:val="es-419"/>
              </w:rPr>
              <w:t>3</w:t>
            </w:r>
            <w:r w:rsidRPr="0070053C">
              <w:rPr>
                <w:sz w:val="16"/>
                <w:szCs w:val="16"/>
                <w:lang w:val="es-ES_tradnl"/>
              </w:rPr>
              <w:t xml:space="preserve"> </w:t>
            </w:r>
            <w:r w:rsidRPr="0070053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70053C">
              <w:rPr>
                <w:sz w:val="16"/>
                <w:szCs w:val="16"/>
                <w:lang w:val="es-ES_tradnl"/>
              </w:rPr>
              <w:t xml:space="preserve">La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OMPI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seguir garantizando la </w:t>
            </w:r>
            <w:r w:rsidRPr="00FF0C38">
              <w:rPr>
                <w:sz w:val="16"/>
                <w:szCs w:val="16"/>
                <w:highlight w:val="magenta"/>
                <w:lang w:val="es-419"/>
              </w:rPr>
              <w:t>coordinación, supervisión, presentación de informes, evaluación e integración efectivas</w:t>
            </w:r>
            <w:r w:rsidRPr="0070053C">
              <w:rPr>
                <w:sz w:val="16"/>
                <w:szCs w:val="16"/>
                <w:lang w:val="es-ES_tradnl"/>
              </w:rPr>
              <w:t xml:space="preserve"> de la aplicación de las recomendaciones de la AD. Debería fortalecerse el papel de la División de Coordinación de la Agenda para el Desarrollo (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DACD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>) en la coordinación de la aplicación de la AD.</w:t>
            </w:r>
          </w:p>
          <w:p w:rsidR="00147C37" w:rsidRDefault="00147C37" w:rsidP="00C93C14">
            <w:pPr>
              <w:ind w:right="545"/>
              <w:rPr>
                <w:sz w:val="16"/>
                <w:szCs w:val="16"/>
                <w:lang w:val="es-ES_tradnl"/>
              </w:rPr>
            </w:pPr>
            <w:r w:rsidRPr="00FF0C38">
              <w:rPr>
                <w:sz w:val="16"/>
                <w:szCs w:val="16"/>
                <w:highlight w:val="green"/>
                <w:lang w:val="es-419"/>
              </w:rPr>
              <w:t>4</w:t>
            </w:r>
            <w:r w:rsidR="008001B2">
              <w:rPr>
                <w:sz w:val="16"/>
                <w:szCs w:val="16"/>
                <w:lang w:val="es-ES_tradnl"/>
              </w:rPr>
              <w:t xml:space="preserve"> – </w:t>
            </w:r>
            <w:r w:rsidRPr="0070053C">
              <w:rPr>
                <w:sz w:val="16"/>
                <w:szCs w:val="16"/>
                <w:lang w:val="es-ES_tradnl"/>
              </w:rPr>
              <w:t xml:space="preserve">Al aplicar las recomendaciones de la AD, el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CDIP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considerar la forma de responder lo más adecuadamente posible a </w:t>
            </w:r>
            <w:r w:rsidRPr="00FF0C38">
              <w:rPr>
                <w:sz w:val="16"/>
                <w:szCs w:val="16"/>
                <w:highlight w:val="green"/>
                <w:lang w:val="es-419"/>
              </w:rPr>
              <w:t>circunstancias rápidamente cambiantes y a los nuevos retos de desarrollo que se planteen al sistema de PI</w:t>
            </w:r>
            <w:r w:rsidRPr="0070053C">
              <w:rPr>
                <w:sz w:val="16"/>
                <w:szCs w:val="16"/>
                <w:lang w:val="es-ES_tradnl"/>
              </w:rPr>
              <w:t xml:space="preserve">. A ello debería sumarse una cooperación activa con otros organismos de las Naciones Unidas que se ocupan del desarrollo a fin de aprovechar sus conocimientos en la aplicación de las recomendaciones de la AD y avanzar en la ejecución de los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ODS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>.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  <w:lang w:val="es-ES_tradnl"/>
              </w:rPr>
            </w:pPr>
            <w:r w:rsidRPr="00FF0C38">
              <w:rPr>
                <w:color w:val="FFFFFF" w:themeColor="background1"/>
                <w:sz w:val="16"/>
                <w:szCs w:val="16"/>
                <w:highlight w:val="blue"/>
                <w:lang w:val="es-419"/>
              </w:rPr>
              <w:t>6</w:t>
            </w:r>
            <w:r w:rsidRPr="0070053C">
              <w:rPr>
                <w:sz w:val="16"/>
                <w:szCs w:val="16"/>
                <w:lang w:val="es-ES_tradnl"/>
              </w:rPr>
              <w:t xml:space="preserve"> – </w:t>
            </w:r>
            <w:r w:rsidRPr="00FF0C38">
              <w:rPr>
                <w:color w:val="FFFFFF" w:themeColor="background1"/>
                <w:sz w:val="16"/>
                <w:szCs w:val="16"/>
                <w:highlight w:val="blue"/>
                <w:lang w:val="es-419"/>
              </w:rPr>
              <w:t>Se alienta a los Estados miembros a mejorar la coordinación entre las Misiones con base en Ginebra y sus oficinas de PI</w:t>
            </w:r>
            <w:r w:rsidRPr="0070053C">
              <w:rPr>
                <w:sz w:val="16"/>
                <w:szCs w:val="16"/>
                <w:lang w:val="es-ES_tradnl"/>
              </w:rPr>
              <w:t xml:space="preserve"> y otras autoridades en sus capitales a fin de lograr un enfoque coordinado en las relaciones con el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CDIP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y crear conciencia sobre los beneficios que aporta la AD. En los trabajos del Comité debería reforzarse la presencia de </w:t>
            </w:r>
            <w:r w:rsidRPr="00FF0C38">
              <w:rPr>
                <w:color w:val="FFFFFF" w:themeColor="background1"/>
                <w:sz w:val="16"/>
                <w:szCs w:val="16"/>
                <w:highlight w:val="blue"/>
                <w:lang w:val="es-419"/>
              </w:rPr>
              <w:t>especialistas nacionales</w:t>
            </w:r>
            <w:r w:rsidRPr="0070053C">
              <w:rPr>
                <w:sz w:val="16"/>
                <w:szCs w:val="16"/>
                <w:lang w:val="es-ES_tradnl"/>
              </w:rPr>
              <w:t xml:space="preserve">. El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CDIP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considerar modalidades de presentación de informes sobre lo realizado a nivel nacional con el fin aplicar las recomendaciones de la AD.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  <w:lang w:val="es-ES_tradnl"/>
              </w:rPr>
            </w:pPr>
            <w:r w:rsidRPr="00FF0C38">
              <w:rPr>
                <w:color w:val="FFFFFF" w:themeColor="background1"/>
                <w:sz w:val="16"/>
                <w:szCs w:val="16"/>
                <w:highlight w:val="darkGreen"/>
                <w:lang w:val="es-419"/>
              </w:rPr>
              <w:t>7</w:t>
            </w:r>
            <w:r w:rsidRPr="0070053C">
              <w:rPr>
                <w:sz w:val="16"/>
                <w:szCs w:val="16"/>
                <w:lang w:val="es-ES_tradnl"/>
              </w:rPr>
              <w:t xml:space="preserve"> – Se alienta a los Estados miembros a que, con arreglo a sus necesidades nacionales, formulen </w:t>
            </w:r>
            <w:r w:rsidRPr="00FF0C38">
              <w:rPr>
                <w:color w:val="FFFFFF" w:themeColor="background1"/>
                <w:sz w:val="16"/>
                <w:szCs w:val="16"/>
                <w:highlight w:val="darkGreen"/>
                <w:lang w:val="es-419"/>
              </w:rPr>
              <w:t>propuestas de nuevos proyectos</w:t>
            </w:r>
            <w:r w:rsidRPr="0070053C">
              <w:rPr>
                <w:sz w:val="16"/>
                <w:szCs w:val="16"/>
                <w:lang w:val="es-ES_tradnl"/>
              </w:rPr>
              <w:t xml:space="preserve"> y las presenten al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CDIP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para que las examine. Deberían considerar el establecimiento de un </w:t>
            </w:r>
            <w:r w:rsidRPr="00FF0C38">
              <w:rPr>
                <w:color w:val="FFFFFF" w:themeColor="background1"/>
                <w:sz w:val="16"/>
                <w:szCs w:val="16"/>
                <w:highlight w:val="darkGreen"/>
                <w:lang w:val="es-419"/>
              </w:rPr>
              <w:t>mecanismo de presentación de informes</w:t>
            </w:r>
            <w:r w:rsidRPr="0070053C">
              <w:rPr>
                <w:sz w:val="16"/>
                <w:szCs w:val="16"/>
                <w:lang w:val="es-ES_tradnl"/>
              </w:rPr>
              <w:t xml:space="preserve"> sobre las lecciones aprendidas y las mejores prácticas asociadas a la ejecución exitosa de proyectos y actividades de la AD. Dicho mecanismo debería incluir un examen periódico de la sostenibilidad de los proyectos concluidos y/o integrados en la labor, así como la </w:t>
            </w:r>
            <w:r w:rsidRPr="00FF0C38">
              <w:rPr>
                <w:color w:val="FFFFFF" w:themeColor="background1"/>
                <w:sz w:val="16"/>
                <w:szCs w:val="16"/>
                <w:highlight w:val="darkGreen"/>
                <w:lang w:val="es-419"/>
              </w:rPr>
              <w:t>incidencia</w:t>
            </w:r>
            <w:r w:rsidRPr="0070053C">
              <w:rPr>
                <w:sz w:val="16"/>
                <w:szCs w:val="16"/>
                <w:lang w:val="es-ES_tradnl"/>
              </w:rPr>
              <w:t xml:space="preserve"> de dichos proyectos en los beneficiarios. La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OMPI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establecer una </w:t>
            </w:r>
            <w:r w:rsidRPr="0001552F">
              <w:rPr>
                <w:color w:val="FFFFFF" w:themeColor="background1"/>
                <w:sz w:val="16"/>
                <w:szCs w:val="16"/>
                <w:highlight w:val="darkGreen"/>
              </w:rPr>
              <w:t>base de datos de lecciones aprendidas y mejores prácticas</w:t>
            </w:r>
            <w:r w:rsidRPr="0070053C">
              <w:rPr>
                <w:sz w:val="16"/>
                <w:szCs w:val="16"/>
                <w:lang w:val="es-ES_tradnl"/>
              </w:rPr>
              <w:t xml:space="preserve"> identificadas en la ejecución de los proyectos de la AD.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  <w:lang w:val="es-ES_tradnl"/>
              </w:rPr>
            </w:pPr>
            <w:r w:rsidRPr="00FF0C38">
              <w:rPr>
                <w:sz w:val="16"/>
                <w:szCs w:val="16"/>
                <w:highlight w:val="darkGray"/>
                <w:lang w:val="es-419"/>
              </w:rPr>
              <w:t>8</w:t>
            </w:r>
            <w:r w:rsidRPr="0070053C">
              <w:rPr>
                <w:sz w:val="16"/>
                <w:szCs w:val="16"/>
                <w:lang w:val="es-ES_tradnl"/>
              </w:rPr>
              <w:t xml:space="preserve"> – La labor futura relacionada con el desarrollo de nuevos proyectos </w:t>
            </w:r>
            <w:r w:rsidRPr="00FF0C38">
              <w:rPr>
                <w:sz w:val="16"/>
                <w:szCs w:val="16"/>
                <w:highlight w:val="darkGray"/>
                <w:lang w:val="es-419"/>
              </w:rPr>
              <w:t>debería ser modular y personalizable</w:t>
            </w:r>
            <w:r w:rsidRPr="0070053C">
              <w:rPr>
                <w:sz w:val="16"/>
                <w:szCs w:val="16"/>
                <w:lang w:val="es-ES_tradnl"/>
              </w:rPr>
              <w:t xml:space="preserve">, y tener en cuenta la capacidad de absorción y el nivel de conocimientos especializados de los beneficiarios. En la ejecución de proyectos a nivel nacional, la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OMPI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explorar una colaboración más estrecha con los organismos de las Naciones Unidas y con otras entidades para mejorar la eficacia, integridad y sostenibilidad.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  <w:lang w:val="es-ES_tradnl"/>
              </w:rPr>
            </w:pPr>
            <w:r w:rsidRPr="00FF0C38">
              <w:rPr>
                <w:sz w:val="16"/>
                <w:szCs w:val="16"/>
                <w:highlight w:val="red"/>
                <w:lang w:val="es-419"/>
              </w:rPr>
              <w:t>9</w:t>
            </w:r>
            <w:r w:rsidRPr="0070053C">
              <w:rPr>
                <w:sz w:val="16"/>
                <w:szCs w:val="16"/>
                <w:lang w:val="es-ES_tradnl"/>
              </w:rPr>
              <w:t xml:space="preserve"> – La </w:t>
            </w:r>
            <w:proofErr w:type="spellStart"/>
            <w:r w:rsidRPr="0070053C">
              <w:rPr>
                <w:sz w:val="16"/>
                <w:szCs w:val="16"/>
                <w:lang w:val="es-ES_tradnl"/>
              </w:rPr>
              <w:t>OMPI</w:t>
            </w:r>
            <w:proofErr w:type="spellEnd"/>
            <w:r w:rsidRPr="0070053C">
              <w:rPr>
                <w:sz w:val="16"/>
                <w:szCs w:val="16"/>
                <w:lang w:val="es-ES_tradnl"/>
              </w:rPr>
              <w:t xml:space="preserve"> debería prestar más atención a la contratación de </w:t>
            </w:r>
            <w:r w:rsidRPr="00FF0C38">
              <w:rPr>
                <w:sz w:val="16"/>
                <w:szCs w:val="16"/>
                <w:highlight w:val="red"/>
                <w:lang w:val="es-419"/>
              </w:rPr>
              <w:t>especialistas con sólidos conocimientos de las condiciones socioeconómicas de los países receptores</w:t>
            </w:r>
            <w:r w:rsidRPr="0070053C">
              <w:rPr>
                <w:sz w:val="16"/>
                <w:szCs w:val="16"/>
                <w:lang w:val="es-ES_tradnl"/>
              </w:rPr>
              <w:t xml:space="preserve">. Los países beneficiarios deberían garantizar un alto grado de coordinación interna entre sus diversos organismos para facilitar la ejecución y sostenibilidad a largo plazo de cada proyecto. </w:t>
            </w:r>
          </w:p>
          <w:p w:rsidR="00147C37" w:rsidRDefault="00147C37" w:rsidP="00C93C14">
            <w:pPr>
              <w:ind w:right="455"/>
              <w:rPr>
                <w:sz w:val="16"/>
                <w:szCs w:val="16"/>
              </w:rPr>
            </w:pPr>
            <w:r w:rsidRPr="00FF0C38">
              <w:rPr>
                <w:color w:val="FFFFFF" w:themeColor="background1"/>
                <w:sz w:val="16"/>
                <w:szCs w:val="16"/>
                <w:highlight w:val="darkRed"/>
                <w:lang w:val="es-419"/>
              </w:rPr>
              <w:t>10</w:t>
            </w:r>
            <w:r w:rsidRPr="0070053C">
              <w:rPr>
                <w:sz w:val="16"/>
                <w:szCs w:val="16"/>
              </w:rPr>
              <w:t xml:space="preserve"> – Los informes sobre el avance de los trabajos de la Secretaría presentados al </w:t>
            </w:r>
            <w:proofErr w:type="spellStart"/>
            <w:r w:rsidRPr="0070053C">
              <w:rPr>
                <w:sz w:val="16"/>
                <w:szCs w:val="16"/>
              </w:rPr>
              <w:t>CDIP</w:t>
            </w:r>
            <w:proofErr w:type="spellEnd"/>
            <w:r w:rsidRPr="0070053C">
              <w:rPr>
                <w:sz w:val="16"/>
                <w:szCs w:val="16"/>
              </w:rPr>
              <w:t xml:space="preserve"> deberían incluir </w:t>
            </w:r>
            <w:r w:rsidRPr="00FF0C38">
              <w:rPr>
                <w:color w:val="FFFFFF" w:themeColor="background1"/>
                <w:sz w:val="16"/>
                <w:szCs w:val="16"/>
                <w:highlight w:val="darkRed"/>
                <w:lang w:val="es-419"/>
              </w:rPr>
              <w:t>información detallada de los recursos humanos y financieros</w:t>
            </w:r>
            <w:r w:rsidRPr="0070053C">
              <w:rPr>
                <w:sz w:val="16"/>
                <w:szCs w:val="16"/>
              </w:rPr>
              <w:t xml:space="preserve"> relacionados con los proyectos de la AD. Debería evitarse encomendar la dirección de varios proyectos a la vez a una sola persona.</w:t>
            </w:r>
          </w:p>
          <w:p w:rsidR="00147C37" w:rsidRPr="0070053C" w:rsidRDefault="00147C37" w:rsidP="00C93C14">
            <w:pPr>
              <w:ind w:right="455"/>
              <w:rPr>
                <w:i/>
                <w:szCs w:val="22"/>
              </w:rPr>
            </w:pPr>
            <w:r w:rsidRPr="00A25A6C">
              <w:rPr>
                <w:color w:val="FFFFFF" w:themeColor="background1"/>
                <w:sz w:val="16"/>
                <w:szCs w:val="16"/>
                <w:highlight w:val="black"/>
              </w:rPr>
              <w:t>12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70053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70053C">
              <w:rPr>
                <w:sz w:val="16"/>
                <w:szCs w:val="16"/>
                <w:lang w:val="es-ES_tradnl"/>
              </w:rPr>
              <w:t xml:space="preserve">Los Estados miembros y la Secretaría deberían considerar formas y medios de </w:t>
            </w:r>
            <w:r w:rsidRPr="00A25A6C">
              <w:rPr>
                <w:color w:val="FFFFFF" w:themeColor="background1"/>
                <w:sz w:val="16"/>
                <w:szCs w:val="16"/>
                <w:highlight w:val="black"/>
              </w:rPr>
              <w:t>difundir mejor la información</w:t>
            </w:r>
            <w:r w:rsidRPr="0070053C">
              <w:rPr>
                <w:sz w:val="16"/>
                <w:szCs w:val="16"/>
                <w:lang w:val="es-ES_tradnl"/>
              </w:rPr>
              <w:t xml:space="preserve"> sobre la AD y su aplicación.</w:t>
            </w:r>
          </w:p>
        </w:tc>
      </w:tr>
      <w:tr w:rsidR="00147C37" w:rsidRPr="00A75607" w:rsidTr="00BC7D8C">
        <w:tc>
          <w:tcPr>
            <w:tcW w:w="4679" w:type="dxa"/>
          </w:tcPr>
          <w:p w:rsidR="00147C37" w:rsidRDefault="00147C37" w:rsidP="00C93C14">
            <w:pPr>
              <w:keepLines/>
              <w:rPr>
                <w:color w:val="000000" w:themeColor="text1"/>
              </w:rPr>
            </w:pPr>
            <w:r w:rsidRPr="00FF0C38">
              <w:rPr>
                <w:color w:val="000000" w:themeColor="text1"/>
                <w:lang w:val="es-419"/>
              </w:rPr>
              <w:t xml:space="preserve">16. </w:t>
            </w:r>
            <w:r w:rsidRPr="001A255D">
              <w:rPr>
                <w:color w:val="000000" w:themeColor="text1"/>
              </w:rPr>
              <w:t xml:space="preserve">La </w:t>
            </w:r>
            <w:proofErr w:type="spellStart"/>
            <w:r w:rsidRPr="001A255D">
              <w:rPr>
                <w:color w:val="000000" w:themeColor="text1"/>
              </w:rPr>
              <w:t>OMPI</w:t>
            </w:r>
            <w:proofErr w:type="spellEnd"/>
            <w:r w:rsidRPr="001A255D">
              <w:rPr>
                <w:color w:val="000000" w:themeColor="text1"/>
              </w:rPr>
              <w:t xml:space="preserve"> elaborará indicadores para evaluar la incidencia y la eficiencia de la aplicación de la AD</w:t>
            </w:r>
            <w:r>
              <w:rPr>
                <w:rStyle w:val="FootnoteReference"/>
                <w:color w:val="000000" w:themeColor="text1"/>
                <w:lang w:val="en-AU"/>
              </w:rPr>
              <w:footnoteReference w:id="2"/>
            </w:r>
          </w:p>
          <w:p w:rsidR="00147C37" w:rsidRPr="001A255D" w:rsidRDefault="00147C37" w:rsidP="00C93C14">
            <w:pPr>
              <w:pStyle w:val="ListParagraph"/>
              <w:keepLines/>
              <w:ind w:left="0"/>
              <w:rPr>
                <w:color w:val="000000" w:themeColor="text1"/>
                <w:lang w:val="es-ES"/>
              </w:rPr>
            </w:pPr>
          </w:p>
        </w:tc>
        <w:tc>
          <w:tcPr>
            <w:tcW w:w="5386" w:type="dxa"/>
          </w:tcPr>
          <w:p w:rsidR="00147C37" w:rsidRPr="00177C9D" w:rsidRDefault="00147C37" w:rsidP="00C93C14">
            <w:pPr>
              <w:pStyle w:val="ListParagraph"/>
              <w:keepLines/>
              <w:ind w:left="0"/>
              <w:rPr>
                <w:lang w:val="es-ES"/>
              </w:rPr>
            </w:pPr>
            <w:r w:rsidRPr="00177C9D">
              <w:rPr>
                <w:lang w:val="es-ES"/>
              </w:rPr>
              <w:t xml:space="preserve">- La Secretaría (en colaboración con la División de Economía y Estadística) elaborará indicadores que permitan al </w:t>
            </w:r>
            <w:proofErr w:type="spellStart"/>
            <w:r w:rsidRPr="00177C9D">
              <w:rPr>
                <w:lang w:val="es-ES"/>
              </w:rPr>
              <w:t>CDIP</w:t>
            </w:r>
            <w:proofErr w:type="spellEnd"/>
            <w:r w:rsidRPr="00177C9D">
              <w:rPr>
                <w:lang w:val="es-ES"/>
              </w:rPr>
              <w:t xml:space="preserve"> garantizar la coordinación, supervisión, presentación de informes y evaluación de la incidencia y la eficiencia de la aplicación de la AD, incluida la sostenibilidad de los proyectos ejecutados en el marco de la AD</w:t>
            </w:r>
          </w:p>
        </w:tc>
        <w:tc>
          <w:tcPr>
            <w:tcW w:w="4253" w:type="dxa"/>
          </w:tcPr>
          <w:p w:rsidR="00147C37" w:rsidRPr="00FF0C38" w:rsidRDefault="00147C37" w:rsidP="00C93C14">
            <w:pPr>
              <w:pStyle w:val="ListParagraph"/>
              <w:keepLines/>
              <w:ind w:left="0"/>
              <w:rPr>
                <w:color w:val="FFFFFF" w:themeColor="background1"/>
                <w:highlight w:val="magenta"/>
                <w:lang w:val="es-419"/>
              </w:rPr>
            </w:pPr>
            <w:r w:rsidRPr="00FF0C38">
              <w:rPr>
                <w:color w:val="FFFFFF" w:themeColor="background1"/>
                <w:highlight w:val="magenta"/>
                <w:lang w:val="es-419"/>
              </w:rPr>
              <w:t>3</w:t>
            </w:r>
            <w:r w:rsidRPr="00FF0C38">
              <w:rPr>
                <w:color w:val="000000" w:themeColor="text1"/>
                <w:lang w:val="es-419"/>
              </w:rPr>
              <w:t xml:space="preserve"> (Secretaría)</w:t>
            </w:r>
          </w:p>
          <w:p w:rsidR="00147C37" w:rsidRPr="00177C9D" w:rsidRDefault="00147C37" w:rsidP="00C93C14">
            <w:pPr>
              <w:pStyle w:val="ListParagraph"/>
              <w:keepLines/>
              <w:ind w:left="0"/>
              <w:rPr>
                <w:color w:val="FFFFFF" w:themeColor="background1"/>
                <w:highlight w:val="darkGreen"/>
                <w:lang w:val="es-ES"/>
              </w:rPr>
            </w:pPr>
            <w:r w:rsidRPr="00177C9D">
              <w:rPr>
                <w:color w:val="FFFFFF" w:themeColor="background1"/>
                <w:highlight w:val="darkGreen"/>
                <w:lang w:val="es-ES"/>
              </w:rPr>
              <w:t>7</w:t>
            </w:r>
            <w:r w:rsidRPr="00177C9D">
              <w:rPr>
                <w:color w:val="FFFFFF" w:themeColor="background1"/>
                <w:lang w:val="es-ES"/>
              </w:rPr>
              <w:t xml:space="preserve"> (</w:t>
            </w:r>
            <w:r w:rsidRPr="00177C9D">
              <w:rPr>
                <w:color w:val="000000" w:themeColor="text1"/>
                <w:lang w:val="es-ES"/>
              </w:rPr>
              <w:t>(</w:t>
            </w:r>
            <w:r w:rsidRPr="00177C9D">
              <w:rPr>
                <w:lang w:val="es-ES"/>
              </w:rPr>
              <w:t xml:space="preserve">Estados </w:t>
            </w:r>
            <w:r>
              <w:rPr>
                <w:lang w:val="es-ES"/>
              </w:rPr>
              <w:t xml:space="preserve">miembros, </w:t>
            </w:r>
            <w:proofErr w:type="spellStart"/>
            <w:r>
              <w:rPr>
                <w:lang w:val="es-ES"/>
              </w:rPr>
              <w:t>CDIP</w:t>
            </w:r>
            <w:proofErr w:type="spellEnd"/>
            <w:r>
              <w:rPr>
                <w:lang w:val="es-ES"/>
              </w:rPr>
              <w:t xml:space="preserve"> y</w:t>
            </w:r>
            <w:r w:rsidRPr="00177C9D">
              <w:rPr>
                <w:lang w:val="es-ES"/>
              </w:rPr>
              <w:t xml:space="preserve"> </w:t>
            </w:r>
            <w:r>
              <w:rPr>
                <w:lang w:val="es-ES"/>
              </w:rPr>
              <w:t>Secretaría</w:t>
            </w:r>
            <w:r w:rsidRPr="00177C9D">
              <w:rPr>
                <w:lang w:val="es-ES"/>
              </w:rPr>
              <w:t>)</w:t>
            </w:r>
            <w:r w:rsidRPr="00177C9D">
              <w:rPr>
                <w:color w:val="000000" w:themeColor="text1"/>
                <w:lang w:val="es-ES"/>
              </w:rPr>
              <w:t xml:space="preserve"> </w:t>
            </w:r>
          </w:p>
          <w:p w:rsidR="00147C37" w:rsidRPr="00177C9D" w:rsidRDefault="00147C37" w:rsidP="00C93C14">
            <w:pPr>
              <w:pStyle w:val="ListParagraph"/>
              <w:keepLines/>
              <w:ind w:left="0"/>
              <w:rPr>
                <w:color w:val="000000" w:themeColor="text1"/>
                <w:highlight w:val="lightGray"/>
                <w:lang w:val="es-ES"/>
              </w:rPr>
            </w:pPr>
            <w:r w:rsidRPr="00177C9D">
              <w:rPr>
                <w:color w:val="000000" w:themeColor="text1"/>
                <w:highlight w:val="lightGray"/>
                <w:lang w:val="es-ES"/>
              </w:rPr>
              <w:t>8</w:t>
            </w:r>
            <w:r w:rsidRPr="00177C9D">
              <w:rPr>
                <w:color w:val="000000" w:themeColor="text1"/>
                <w:lang w:val="es-ES"/>
              </w:rPr>
              <w:t xml:space="preserve"> (</w:t>
            </w:r>
            <w:proofErr w:type="spellStart"/>
            <w:r w:rsidRPr="00177C9D">
              <w:rPr>
                <w:color w:val="000000" w:themeColor="text1"/>
                <w:lang w:val="es-ES"/>
              </w:rPr>
              <w:t>CDIP</w:t>
            </w:r>
            <w:proofErr w:type="spellEnd"/>
            <w:r w:rsidRPr="00177C9D">
              <w:rPr>
                <w:color w:val="000000" w:themeColor="text1"/>
                <w:lang w:val="es-ES"/>
              </w:rPr>
              <w:t xml:space="preserve"> y Secretaría)</w:t>
            </w:r>
          </w:p>
          <w:p w:rsidR="00147C37" w:rsidRPr="00177C9D" w:rsidRDefault="00147C37" w:rsidP="00C93C14">
            <w:pPr>
              <w:pStyle w:val="ListParagraph"/>
              <w:keepLines/>
              <w:ind w:left="0"/>
              <w:rPr>
                <w:color w:val="000000" w:themeColor="text1"/>
                <w:lang w:val="es-ES"/>
              </w:rPr>
            </w:pPr>
            <w:r w:rsidRPr="00177C9D">
              <w:rPr>
                <w:color w:val="FFFFFF" w:themeColor="background1"/>
                <w:highlight w:val="red"/>
                <w:lang w:val="es-ES"/>
              </w:rPr>
              <w:t>9</w:t>
            </w:r>
            <w:r w:rsidRPr="00177C9D">
              <w:rPr>
                <w:color w:val="000000" w:themeColor="text1"/>
                <w:lang w:val="es-ES"/>
              </w:rPr>
              <w:t xml:space="preserve"> (Estados miembros</w:t>
            </w:r>
            <w:r>
              <w:rPr>
                <w:color w:val="000000" w:themeColor="text1"/>
                <w:lang w:val="es-ES"/>
              </w:rPr>
              <w:t xml:space="preserve"> y</w:t>
            </w:r>
            <w:r w:rsidRPr="00177C9D">
              <w:rPr>
                <w:color w:val="000000" w:themeColor="text1"/>
                <w:lang w:val="es-ES"/>
              </w:rPr>
              <w:t xml:space="preserve"> </w:t>
            </w:r>
            <w:r>
              <w:rPr>
                <w:color w:val="000000" w:themeColor="text1"/>
                <w:lang w:val="es-ES"/>
              </w:rPr>
              <w:t>Secretaría</w:t>
            </w:r>
            <w:r w:rsidRPr="00177C9D">
              <w:rPr>
                <w:color w:val="000000" w:themeColor="text1"/>
                <w:lang w:val="es-ES"/>
              </w:rPr>
              <w:t>)</w:t>
            </w:r>
          </w:p>
          <w:p w:rsidR="00147C37" w:rsidRPr="00177C9D" w:rsidRDefault="00147C37" w:rsidP="00C93C14">
            <w:pPr>
              <w:pStyle w:val="ListParagraph"/>
              <w:keepLines/>
              <w:ind w:left="0"/>
              <w:rPr>
                <w:color w:val="FFFFFF" w:themeColor="background1"/>
                <w:highlight w:val="darkRed"/>
                <w:lang w:val="es-ES"/>
              </w:rPr>
            </w:pPr>
            <w:r w:rsidRPr="00177C9D">
              <w:rPr>
                <w:color w:val="FFFFFF" w:themeColor="background1"/>
                <w:highlight w:val="darkMagenta"/>
                <w:lang w:val="es-ES"/>
              </w:rPr>
              <w:t>10</w:t>
            </w:r>
            <w:r w:rsidRPr="00177C9D">
              <w:rPr>
                <w:color w:val="000000" w:themeColor="text1"/>
                <w:lang w:val="es-ES"/>
              </w:rPr>
              <w:t xml:space="preserve"> (Secretaría)</w:t>
            </w:r>
          </w:p>
          <w:p w:rsidR="00147C37" w:rsidRPr="00FF0C38" w:rsidRDefault="00147C37" w:rsidP="00C93C14">
            <w:pPr>
              <w:pStyle w:val="ListParagraph"/>
              <w:keepLines/>
              <w:ind w:left="0"/>
              <w:rPr>
                <w:lang w:val="es-419"/>
              </w:rPr>
            </w:pPr>
            <w:r w:rsidRPr="00FF0C38">
              <w:rPr>
                <w:color w:val="FFFFFF" w:themeColor="background1"/>
                <w:highlight w:val="black"/>
                <w:lang w:val="es-419"/>
              </w:rPr>
              <w:t>12</w:t>
            </w:r>
            <w:r w:rsidRPr="00FF0C38">
              <w:rPr>
                <w:lang w:val="es-419"/>
              </w:rPr>
              <w:t xml:space="preserve"> (Estados miembros y Secretaría)</w:t>
            </w:r>
          </w:p>
        </w:tc>
      </w:tr>
    </w:tbl>
    <w:p w:rsidR="00147C37" w:rsidRDefault="00147C37" w:rsidP="00BC7D8C">
      <w:pPr>
        <w:rPr>
          <w:color w:val="000000" w:themeColor="text1"/>
          <w:lang w:val="es-419"/>
        </w:rPr>
      </w:pPr>
    </w:p>
    <w:p w:rsidR="00147C37" w:rsidRPr="00FF0C38" w:rsidRDefault="00147C37" w:rsidP="00BC7D8C">
      <w:pPr>
        <w:rPr>
          <w:color w:val="000000" w:themeColor="text1"/>
          <w:lang w:val="es-419"/>
        </w:rPr>
      </w:pPr>
    </w:p>
    <w:p w:rsidR="00147C37" w:rsidRPr="002E3214" w:rsidRDefault="00147C37" w:rsidP="00BC7D8C">
      <w:pPr>
        <w:tabs>
          <w:tab w:val="left" w:pos="8931"/>
        </w:tabs>
        <w:ind w:left="9639"/>
        <w:jc w:val="center"/>
        <w:rPr>
          <w:color w:val="000000" w:themeColor="text1"/>
        </w:rPr>
      </w:pPr>
      <w:r w:rsidRPr="002E3214">
        <w:rPr>
          <w:color w:val="000000" w:themeColor="text1"/>
        </w:rPr>
        <w:t>[Fin del Anexo y del documento]</w:t>
      </w:r>
    </w:p>
    <w:sectPr w:rsidR="00147C37" w:rsidRPr="002E3214" w:rsidSect="00147C37">
      <w:headerReference w:type="first" r:id="rId9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37" w:rsidRDefault="00147C37">
      <w:r>
        <w:separator/>
      </w:r>
    </w:p>
  </w:endnote>
  <w:endnote w:type="continuationSeparator" w:id="0">
    <w:p w:rsidR="00147C37" w:rsidRPr="009D30E6" w:rsidRDefault="00147C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7C37" w:rsidRPr="007E663E" w:rsidRDefault="00147C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47C37" w:rsidRPr="007E663E" w:rsidRDefault="00147C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37" w:rsidRDefault="00147C37">
      <w:r>
        <w:separator/>
      </w:r>
    </w:p>
  </w:footnote>
  <w:footnote w:type="continuationSeparator" w:id="0">
    <w:p w:rsidR="00147C37" w:rsidRPr="009D30E6" w:rsidRDefault="00147C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47C37" w:rsidRPr="007E663E" w:rsidRDefault="00147C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47C37" w:rsidRPr="007E663E" w:rsidRDefault="00147C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147C37" w:rsidRPr="00A25A6C" w:rsidRDefault="00147C37" w:rsidP="00147C37">
      <w:pPr>
        <w:pStyle w:val="FootnoteText"/>
        <w:jc w:val="both"/>
      </w:pPr>
      <w:r>
        <w:rPr>
          <w:rStyle w:val="FootnoteReference"/>
        </w:rPr>
        <w:footnoteRef/>
      </w:r>
      <w:r w:rsidRPr="00A25A6C">
        <w:t xml:space="preserve"> En la página 34 del examen independiente se dice lo siguiente: "la incidencia de la AD aún no se ha materializado frente a las elevadas expectativas puestas en la misma".</w:t>
      </w:r>
      <w:r>
        <w:t xml:space="preserve"> Asimismo</w:t>
      </w:r>
      <w:r w:rsidRPr="00A25A6C">
        <w:t xml:space="preserve">, </w:t>
      </w:r>
      <w:r>
        <w:t xml:space="preserve">en la página 36 </w:t>
      </w:r>
      <w:r w:rsidR="004D4AEE">
        <w:t>se dice</w:t>
      </w:r>
      <w:r>
        <w:t xml:space="preserve"> lo siguiente:</w:t>
      </w:r>
      <w:r w:rsidRPr="00A25A6C">
        <w:t xml:space="preserve"> “La incidencia de proyectos y actividades está influida por la sospecha y el escepticismo sobre que la labor no esté suficientemente orientada al desarrollo y cuál es la conciliación que ofrece entre consideraciones relativas al desarrollo, la protección y la observancia de los derechos de propiedad intelectual</w:t>
      </w:r>
      <w:r>
        <w:t>”</w:t>
      </w:r>
      <w:r w:rsidRPr="00A25A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147C37" w:rsidP="00477D6B">
    <w:pPr>
      <w:jc w:val="right"/>
    </w:pPr>
    <w:bookmarkStart w:id="6" w:name="Code2"/>
    <w:bookmarkEnd w:id="6"/>
    <w:proofErr w:type="spellStart"/>
    <w:r>
      <w:t>CDIP</w:t>
    </w:r>
    <w:proofErr w:type="spellEnd"/>
    <w:r>
      <w:t>/24/15</w:t>
    </w:r>
  </w:p>
  <w:p w:rsidR="00AE7F20" w:rsidRDefault="00147C37" w:rsidP="00477D6B">
    <w:pPr>
      <w:jc w:val="right"/>
    </w:pPr>
    <w:r>
      <w:t xml:space="preserve">Anexo, </w:t>
    </w:r>
    <w:r w:rsidR="00AE7F20">
      <w:t xml:space="preserve">página </w:t>
    </w:r>
    <w:r w:rsidR="00CA7070">
      <w:fldChar w:fldCharType="begin"/>
    </w:r>
    <w:r w:rsidR="00CA7070">
      <w:instrText xml:space="preserve"> PAGE  \* Arabic  \* MERGEFORMAT </w:instrText>
    </w:r>
    <w:r w:rsidR="00CA7070">
      <w:fldChar w:fldCharType="separate"/>
    </w:r>
    <w:r w:rsidR="00BC7D8C">
      <w:rPr>
        <w:noProof/>
      </w:rPr>
      <w:t>3</w:t>
    </w:r>
    <w:r w:rsidR="00CA707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37" w:rsidRDefault="00147C37" w:rsidP="00147C37">
    <w:pPr>
      <w:pStyle w:val="Header"/>
      <w:jc w:val="right"/>
    </w:pPr>
    <w:proofErr w:type="spellStart"/>
    <w:r>
      <w:t>CDIP</w:t>
    </w:r>
    <w:proofErr w:type="spellEnd"/>
    <w:r>
      <w:t>/24/15</w:t>
    </w:r>
  </w:p>
  <w:p w:rsidR="00147C37" w:rsidRDefault="00147C37" w:rsidP="00147C37">
    <w:pPr>
      <w:pStyle w:val="Header"/>
      <w:jc w:val="right"/>
    </w:pPr>
    <w:r>
      <w:t>ANEXO</w:t>
    </w:r>
  </w:p>
  <w:p w:rsidR="00147C37" w:rsidRDefault="00147C37" w:rsidP="00147C37">
    <w:pPr>
      <w:pStyle w:val="Header"/>
      <w:jc w:val="right"/>
    </w:pPr>
  </w:p>
  <w:p w:rsidR="00147C37" w:rsidRPr="00147C37" w:rsidRDefault="00147C37" w:rsidP="00147C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7"/>
    <w:rsid w:val="00010686"/>
    <w:rsid w:val="00052915"/>
    <w:rsid w:val="000E3BB3"/>
    <w:rsid w:val="000F5E56"/>
    <w:rsid w:val="001362EE"/>
    <w:rsid w:val="00147C37"/>
    <w:rsid w:val="00152CEA"/>
    <w:rsid w:val="001832A6"/>
    <w:rsid w:val="002634C4"/>
    <w:rsid w:val="002C2342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D4AEE"/>
    <w:rsid w:val="004E297D"/>
    <w:rsid w:val="00503E94"/>
    <w:rsid w:val="00526695"/>
    <w:rsid w:val="00531B02"/>
    <w:rsid w:val="005332F0"/>
    <w:rsid w:val="0055013B"/>
    <w:rsid w:val="00571B99"/>
    <w:rsid w:val="005C0D4E"/>
    <w:rsid w:val="00605827"/>
    <w:rsid w:val="006734B6"/>
    <w:rsid w:val="00675021"/>
    <w:rsid w:val="006A06C6"/>
    <w:rsid w:val="007224C8"/>
    <w:rsid w:val="00794BE2"/>
    <w:rsid w:val="007A5581"/>
    <w:rsid w:val="007B71FE"/>
    <w:rsid w:val="007D781E"/>
    <w:rsid w:val="007E663E"/>
    <w:rsid w:val="008001B2"/>
    <w:rsid w:val="00815082"/>
    <w:rsid w:val="008525EB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6591"/>
    <w:rsid w:val="00B67CDC"/>
    <w:rsid w:val="00B72D36"/>
    <w:rsid w:val="00BC4164"/>
    <w:rsid w:val="00BC7D8C"/>
    <w:rsid w:val="00BD2DCC"/>
    <w:rsid w:val="00C90559"/>
    <w:rsid w:val="00CA2251"/>
    <w:rsid w:val="00CA7070"/>
    <w:rsid w:val="00D56C7C"/>
    <w:rsid w:val="00D71B4D"/>
    <w:rsid w:val="00D90289"/>
    <w:rsid w:val="00D93D55"/>
    <w:rsid w:val="00DC4C60"/>
    <w:rsid w:val="00DC73C3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6EEF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DDFBDC4-70BD-4475-8975-ABAF50E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semiHidden/>
    <w:rsid w:val="00147C37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147C37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147C37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147C37"/>
    <w:pPr>
      <w:ind w:left="720"/>
      <w:contextualSpacing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7C37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uiPriority w:val="39"/>
    <w:rsid w:val="00147C3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C3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47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(S)</Template>
  <TotalTime>0</TotalTime>
  <Pages>2</Pages>
  <Words>956</Words>
  <Characters>5070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</vt:lpstr>
    </vt:vector>
  </TitlesOfParts>
  <Company>WIPO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</dc:title>
  <dc:creator>SANDOVAL Barbara</dc:creator>
  <cp:keywords>FOR OFFICIAL USE ONLY</cp:keywords>
  <cp:lastModifiedBy>ESTEVES DOS SANTOS Anabela</cp:lastModifiedBy>
  <cp:revision>2</cp:revision>
  <dcterms:created xsi:type="dcterms:W3CDTF">2019-10-29T08:30:00Z</dcterms:created>
  <dcterms:modified xsi:type="dcterms:W3CDTF">2019-10-29T08:30:00Z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