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407763" w:rsidRPr="0089091E">
        <w:tc>
          <w:tcPr>
            <w:tcW w:w="4513" w:type="dxa"/>
            <w:tcBorders>
              <w:bottom w:val="single" w:sz="4" w:space="0" w:color="auto"/>
            </w:tcBorders>
            <w:tcMar>
              <w:bottom w:w="170" w:type="dxa"/>
            </w:tcMar>
          </w:tcPr>
          <w:p w:rsidR="00407763" w:rsidRPr="0089091E" w:rsidRDefault="00407763">
            <w:bookmarkStart w:id="0" w:name="_GoBack"/>
            <w:bookmarkEnd w:id="0"/>
          </w:p>
        </w:tc>
        <w:tc>
          <w:tcPr>
            <w:tcW w:w="4337" w:type="dxa"/>
            <w:tcBorders>
              <w:bottom w:val="single" w:sz="4" w:space="0" w:color="auto"/>
            </w:tcBorders>
            <w:tcMar>
              <w:left w:w="0" w:type="dxa"/>
              <w:right w:w="0" w:type="dxa"/>
            </w:tcMar>
          </w:tcPr>
          <w:p w:rsidR="00407763" w:rsidRPr="0089091E" w:rsidRDefault="00BB71E9">
            <w:r w:rsidRPr="0089091E">
              <w:rPr>
                <w:noProof/>
                <w:lang w:val="en-US" w:eastAsia="en-US"/>
              </w:rPr>
              <w:drawing>
                <wp:inline distT="0" distB="0" distL="0" distR="0" wp14:anchorId="1327551C" wp14:editId="66F8CD8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07763" w:rsidRPr="0089091E" w:rsidRDefault="00BB71E9">
            <w:pPr>
              <w:jc w:val="right"/>
            </w:pPr>
            <w:r w:rsidRPr="0089091E">
              <w:rPr>
                <w:b/>
                <w:sz w:val="40"/>
                <w:szCs w:val="40"/>
              </w:rPr>
              <w:t>S</w:t>
            </w:r>
          </w:p>
        </w:tc>
      </w:tr>
      <w:tr w:rsidR="00407763" w:rsidRPr="0089091E">
        <w:trPr>
          <w:trHeight w:hRule="exact" w:val="340"/>
        </w:trPr>
        <w:tc>
          <w:tcPr>
            <w:tcW w:w="9356" w:type="dxa"/>
            <w:gridSpan w:val="3"/>
            <w:tcBorders>
              <w:top w:val="single" w:sz="4" w:space="0" w:color="auto"/>
            </w:tcBorders>
            <w:tcMar>
              <w:top w:w="170" w:type="dxa"/>
              <w:left w:w="0" w:type="dxa"/>
              <w:right w:w="0" w:type="dxa"/>
            </w:tcMar>
            <w:vAlign w:val="bottom"/>
          </w:tcPr>
          <w:p w:rsidR="00407763" w:rsidRPr="0089091E" w:rsidRDefault="00BB71E9" w:rsidP="00AB727F">
            <w:pPr>
              <w:jc w:val="right"/>
              <w:rPr>
                <w:rFonts w:ascii="Arial Black" w:hAnsi="Arial Black"/>
                <w:caps/>
                <w:sz w:val="15"/>
              </w:rPr>
            </w:pPr>
            <w:bookmarkStart w:id="1" w:name="Code"/>
            <w:bookmarkEnd w:id="1"/>
            <w:r w:rsidRPr="0089091E">
              <w:rPr>
                <w:rFonts w:ascii="Arial Black" w:hAnsi="Arial Black"/>
                <w:caps/>
                <w:sz w:val="15"/>
              </w:rPr>
              <w:t>cdip/</w:t>
            </w:r>
            <w:r w:rsidR="00AB727F" w:rsidRPr="0089091E">
              <w:rPr>
                <w:rFonts w:ascii="Arial Black" w:hAnsi="Arial Black"/>
                <w:caps/>
                <w:sz w:val="15"/>
              </w:rPr>
              <w:t>22</w:t>
            </w:r>
            <w:r w:rsidRPr="0089091E">
              <w:rPr>
                <w:rFonts w:ascii="Arial Black" w:hAnsi="Arial Black"/>
                <w:caps/>
                <w:sz w:val="15"/>
              </w:rPr>
              <w:t>/INF/3</w:t>
            </w:r>
          </w:p>
        </w:tc>
      </w:tr>
      <w:tr w:rsidR="00407763" w:rsidRPr="0089091E">
        <w:trPr>
          <w:trHeight w:hRule="exact" w:val="170"/>
        </w:trPr>
        <w:tc>
          <w:tcPr>
            <w:tcW w:w="9356" w:type="dxa"/>
            <w:gridSpan w:val="3"/>
            <w:noWrap/>
            <w:tcMar>
              <w:left w:w="0" w:type="dxa"/>
              <w:right w:w="0" w:type="dxa"/>
            </w:tcMar>
            <w:vAlign w:val="bottom"/>
          </w:tcPr>
          <w:p w:rsidR="00407763" w:rsidRPr="0089091E" w:rsidRDefault="00061C4F">
            <w:pPr>
              <w:jc w:val="right"/>
              <w:rPr>
                <w:rFonts w:ascii="Arial Black" w:hAnsi="Arial Black"/>
                <w:caps/>
                <w:sz w:val="15"/>
              </w:rPr>
            </w:pPr>
            <w:r w:rsidRPr="0089091E">
              <w:rPr>
                <w:rFonts w:ascii="Arial Black" w:hAnsi="Arial Black"/>
                <w:caps/>
                <w:sz w:val="15"/>
              </w:rPr>
              <w:t>ORIGINAL:</w:t>
            </w:r>
            <w:r w:rsidR="00BB71E9" w:rsidRPr="0089091E">
              <w:rPr>
                <w:rFonts w:ascii="Arial Black" w:hAnsi="Arial Black"/>
                <w:caps/>
                <w:sz w:val="15"/>
              </w:rPr>
              <w:t xml:space="preserve"> </w:t>
            </w:r>
            <w:bookmarkStart w:id="2" w:name="Original"/>
            <w:bookmarkEnd w:id="2"/>
            <w:r w:rsidR="00BB71E9" w:rsidRPr="0089091E">
              <w:rPr>
                <w:rFonts w:ascii="Arial Black" w:hAnsi="Arial Black"/>
                <w:caps/>
                <w:sz w:val="15"/>
              </w:rPr>
              <w:t>INGLÉS</w:t>
            </w:r>
          </w:p>
        </w:tc>
      </w:tr>
      <w:tr w:rsidR="00407763" w:rsidRPr="0089091E">
        <w:trPr>
          <w:trHeight w:hRule="exact" w:val="198"/>
        </w:trPr>
        <w:tc>
          <w:tcPr>
            <w:tcW w:w="9356" w:type="dxa"/>
            <w:gridSpan w:val="3"/>
            <w:tcMar>
              <w:left w:w="0" w:type="dxa"/>
              <w:right w:w="0" w:type="dxa"/>
            </w:tcMar>
            <w:vAlign w:val="bottom"/>
          </w:tcPr>
          <w:p w:rsidR="00407763" w:rsidRPr="0089091E" w:rsidRDefault="00BB71E9" w:rsidP="00AB727F">
            <w:pPr>
              <w:jc w:val="right"/>
              <w:rPr>
                <w:rFonts w:ascii="Arial Black" w:hAnsi="Arial Black"/>
                <w:caps/>
                <w:sz w:val="15"/>
              </w:rPr>
            </w:pPr>
            <w:r w:rsidRPr="0089091E">
              <w:rPr>
                <w:rFonts w:ascii="Arial Black" w:hAnsi="Arial Black"/>
                <w:caps/>
                <w:sz w:val="15"/>
              </w:rPr>
              <w:t>fecha:</w:t>
            </w:r>
            <w:bookmarkStart w:id="3" w:name="Date"/>
            <w:bookmarkEnd w:id="3"/>
            <w:r w:rsidR="00061C4F" w:rsidRPr="0089091E">
              <w:rPr>
                <w:rFonts w:ascii="Arial Black" w:hAnsi="Arial Black"/>
                <w:caps/>
                <w:sz w:val="15"/>
              </w:rPr>
              <w:t xml:space="preserve"> </w:t>
            </w:r>
            <w:r w:rsidR="00AB727F" w:rsidRPr="0089091E">
              <w:rPr>
                <w:rFonts w:ascii="Arial Black" w:hAnsi="Arial Black"/>
                <w:caps/>
                <w:sz w:val="15"/>
              </w:rPr>
              <w:t>10</w:t>
            </w:r>
            <w:r w:rsidRPr="0089091E">
              <w:rPr>
                <w:rFonts w:ascii="Arial Black" w:hAnsi="Arial Black"/>
                <w:caps/>
                <w:sz w:val="15"/>
              </w:rPr>
              <w:t xml:space="preserve"> DE </w:t>
            </w:r>
            <w:r w:rsidR="00AB727F" w:rsidRPr="0089091E">
              <w:rPr>
                <w:rFonts w:ascii="Arial Black" w:hAnsi="Arial Black"/>
                <w:caps/>
                <w:sz w:val="15"/>
              </w:rPr>
              <w:t>octubre</w:t>
            </w:r>
            <w:r w:rsidRPr="0089091E">
              <w:rPr>
                <w:rFonts w:ascii="Arial Black" w:hAnsi="Arial Black"/>
                <w:caps/>
                <w:sz w:val="15"/>
              </w:rPr>
              <w:t xml:space="preserve"> DE </w:t>
            </w:r>
            <w:r w:rsidR="00AB727F" w:rsidRPr="0089091E">
              <w:rPr>
                <w:rFonts w:ascii="Arial Black" w:hAnsi="Arial Black"/>
                <w:caps/>
                <w:sz w:val="15"/>
              </w:rPr>
              <w:t>2018</w:t>
            </w:r>
          </w:p>
        </w:tc>
      </w:tr>
    </w:tbl>
    <w:p w:rsidR="008211A8" w:rsidRPr="0089091E" w:rsidRDefault="008211A8"/>
    <w:p w:rsidR="008211A8" w:rsidRPr="0089091E" w:rsidRDefault="008211A8"/>
    <w:p w:rsidR="008211A8" w:rsidRPr="0089091E" w:rsidRDefault="008211A8"/>
    <w:p w:rsidR="008211A8" w:rsidRPr="0089091E" w:rsidRDefault="008211A8"/>
    <w:p w:rsidR="008211A8" w:rsidRPr="0089091E" w:rsidRDefault="008211A8"/>
    <w:p w:rsidR="008211A8" w:rsidRPr="0089091E" w:rsidRDefault="00BB71E9">
      <w:pPr>
        <w:rPr>
          <w:b/>
          <w:sz w:val="28"/>
          <w:szCs w:val="28"/>
        </w:rPr>
      </w:pPr>
      <w:r w:rsidRPr="0089091E">
        <w:rPr>
          <w:b/>
          <w:sz w:val="28"/>
          <w:szCs w:val="28"/>
        </w:rPr>
        <w:t>Comité de Desarrollo y Propiedad Intelectual (CDIP)</w:t>
      </w:r>
    </w:p>
    <w:p w:rsidR="008211A8" w:rsidRPr="0089091E" w:rsidRDefault="008211A8"/>
    <w:p w:rsidR="008211A8" w:rsidRPr="0089091E" w:rsidRDefault="008211A8"/>
    <w:p w:rsidR="008211A8" w:rsidRPr="0089091E" w:rsidRDefault="005A3CC4">
      <w:pPr>
        <w:rPr>
          <w:b/>
          <w:sz w:val="24"/>
          <w:szCs w:val="24"/>
        </w:rPr>
      </w:pPr>
      <w:r w:rsidRPr="0089091E">
        <w:rPr>
          <w:b/>
          <w:sz w:val="24"/>
          <w:szCs w:val="24"/>
        </w:rPr>
        <w:t>Vigesimo</w:t>
      </w:r>
      <w:r w:rsidR="00CE0687" w:rsidRPr="0089091E">
        <w:rPr>
          <w:b/>
          <w:sz w:val="24"/>
          <w:szCs w:val="24"/>
        </w:rPr>
        <w:t>segunda</w:t>
      </w:r>
      <w:r w:rsidR="00BB71E9" w:rsidRPr="0089091E">
        <w:rPr>
          <w:b/>
          <w:sz w:val="24"/>
          <w:szCs w:val="24"/>
        </w:rPr>
        <w:t xml:space="preserve"> sesión</w:t>
      </w:r>
    </w:p>
    <w:p w:rsidR="008211A8" w:rsidRPr="0089091E" w:rsidRDefault="00BB71E9">
      <w:pPr>
        <w:rPr>
          <w:b/>
          <w:sz w:val="24"/>
          <w:szCs w:val="24"/>
        </w:rPr>
      </w:pPr>
      <w:r w:rsidRPr="0089091E">
        <w:rPr>
          <w:b/>
          <w:sz w:val="24"/>
          <w:szCs w:val="24"/>
        </w:rPr>
        <w:t xml:space="preserve">Ginebra, </w:t>
      </w:r>
      <w:r w:rsidR="00AB727F" w:rsidRPr="0089091E">
        <w:rPr>
          <w:b/>
          <w:sz w:val="24"/>
          <w:szCs w:val="24"/>
        </w:rPr>
        <w:t>19 a 23</w:t>
      </w:r>
      <w:r w:rsidRPr="0089091E">
        <w:rPr>
          <w:b/>
          <w:sz w:val="24"/>
          <w:szCs w:val="24"/>
        </w:rPr>
        <w:t xml:space="preserve"> de </w:t>
      </w:r>
      <w:r w:rsidR="00CE0687" w:rsidRPr="0089091E">
        <w:rPr>
          <w:b/>
          <w:sz w:val="24"/>
          <w:szCs w:val="24"/>
        </w:rPr>
        <w:t>noviembre</w:t>
      </w:r>
      <w:r w:rsidRPr="0089091E">
        <w:rPr>
          <w:b/>
          <w:sz w:val="24"/>
          <w:szCs w:val="24"/>
        </w:rPr>
        <w:t xml:space="preserve"> de 201</w:t>
      </w:r>
      <w:r w:rsidR="00AB727F" w:rsidRPr="0089091E">
        <w:rPr>
          <w:b/>
          <w:sz w:val="24"/>
          <w:szCs w:val="24"/>
        </w:rPr>
        <w:t>8</w:t>
      </w:r>
    </w:p>
    <w:p w:rsidR="008211A8" w:rsidRPr="0089091E" w:rsidRDefault="008211A8"/>
    <w:p w:rsidR="008211A8" w:rsidRPr="0089091E" w:rsidRDefault="008211A8"/>
    <w:p w:rsidR="008211A8" w:rsidRPr="0089091E" w:rsidRDefault="008211A8"/>
    <w:p w:rsidR="008211A8" w:rsidRPr="0089091E" w:rsidRDefault="008211A8"/>
    <w:p w:rsidR="008211A8" w:rsidRPr="0089091E" w:rsidRDefault="00B41E4D" w:rsidP="00AB727F">
      <w:pPr>
        <w:rPr>
          <w:caps/>
          <w:sz w:val="24"/>
        </w:rPr>
      </w:pPr>
      <w:bookmarkStart w:id="4" w:name="TitleOfDoc"/>
      <w:bookmarkEnd w:id="4"/>
      <w:r w:rsidRPr="0089091E">
        <w:rPr>
          <w:caps/>
          <w:sz w:val="24"/>
        </w:rPr>
        <w:t>RESUMEN DEL ESTUDIO SOBRE LA PROPIEDAD INTELECTUAL EN EL SISTEMA DE INNOVACIÓN DEL SECTOR DE LA SALUD EN POLONIA</w:t>
      </w:r>
      <w:bookmarkStart w:id="5" w:name="Prepared"/>
      <w:bookmarkEnd w:id="5"/>
    </w:p>
    <w:p w:rsidR="008211A8" w:rsidRPr="0089091E" w:rsidRDefault="008211A8" w:rsidP="00AB727F">
      <w:pPr>
        <w:rPr>
          <w:caps/>
          <w:sz w:val="24"/>
        </w:rPr>
      </w:pPr>
    </w:p>
    <w:p w:rsidR="008211A8" w:rsidRPr="0089091E" w:rsidRDefault="00B41E4D" w:rsidP="00AB727F">
      <w:pPr>
        <w:rPr>
          <w:i/>
        </w:rPr>
      </w:pPr>
      <w:r w:rsidRPr="0089091E">
        <w:rPr>
          <w:i/>
        </w:rPr>
        <w:t>preparado por la Secretaría</w:t>
      </w:r>
    </w:p>
    <w:p w:rsidR="008211A8" w:rsidRPr="0089091E" w:rsidRDefault="008211A8" w:rsidP="00AB727F">
      <w:pPr>
        <w:rPr>
          <w:i/>
        </w:rPr>
      </w:pPr>
    </w:p>
    <w:p w:rsidR="008211A8" w:rsidRPr="0089091E" w:rsidRDefault="008211A8" w:rsidP="00AB727F">
      <w:pPr>
        <w:rPr>
          <w:i/>
        </w:rPr>
      </w:pPr>
    </w:p>
    <w:p w:rsidR="008211A8" w:rsidRPr="0089091E" w:rsidRDefault="008211A8" w:rsidP="00AB727F">
      <w:pPr>
        <w:rPr>
          <w:i/>
        </w:rPr>
      </w:pPr>
    </w:p>
    <w:p w:rsidR="008211A8" w:rsidRPr="0089091E" w:rsidRDefault="008211A8" w:rsidP="00AB727F"/>
    <w:p w:rsidR="008211A8" w:rsidRPr="0089091E" w:rsidRDefault="008211A8" w:rsidP="00AB727F"/>
    <w:p w:rsidR="008211A8" w:rsidRPr="0089091E" w:rsidRDefault="00AB727F" w:rsidP="00AB727F">
      <w:pPr>
        <w:rPr>
          <w:rFonts w:eastAsia="Times New Roman"/>
          <w:szCs w:val="22"/>
          <w:lang w:eastAsia="en-US"/>
        </w:rPr>
      </w:pPr>
      <w:r w:rsidRPr="0089091E">
        <w:rPr>
          <w:rFonts w:eastAsia="Times New Roman"/>
          <w:szCs w:val="22"/>
          <w:lang w:eastAsia="en-US"/>
        </w:rPr>
        <w:t>1.</w:t>
      </w:r>
      <w:r w:rsidRPr="0089091E">
        <w:rPr>
          <w:rFonts w:eastAsia="Times New Roman"/>
          <w:szCs w:val="22"/>
          <w:lang w:eastAsia="en-US"/>
        </w:rPr>
        <w:tab/>
      </w:r>
      <w:r w:rsidR="00340A18" w:rsidRPr="0089091E">
        <w:rPr>
          <w:rFonts w:eastAsia="Times New Roman"/>
          <w:szCs w:val="22"/>
          <w:lang w:eastAsia="en-US"/>
        </w:rPr>
        <w:t xml:space="preserve">En el Anexo del presente documento consta un resumen del estudio "La propiedad intelectual en el sistema de innovación del sector de la salud en Polonia", preparado en el marco del </w:t>
      </w:r>
      <w:r w:rsidR="009E6218" w:rsidRPr="0089091E">
        <w:rPr>
          <w:rFonts w:eastAsia="Times New Roman"/>
          <w:szCs w:val="22"/>
          <w:lang w:eastAsia="en-US"/>
        </w:rPr>
        <w:t>P</w:t>
      </w:r>
      <w:r w:rsidR="00340A18" w:rsidRPr="0089091E">
        <w:rPr>
          <w:rFonts w:eastAsia="Times New Roman"/>
          <w:szCs w:val="22"/>
          <w:lang w:eastAsia="en-US"/>
        </w:rPr>
        <w:t>royecto sobre propiedad intelectual y desarrollo socioeconómico – Fase II (CDIP/14/7)</w:t>
      </w:r>
      <w:r w:rsidRPr="0089091E">
        <w:rPr>
          <w:rFonts w:eastAsia="Times New Roman"/>
          <w:szCs w:val="22"/>
          <w:lang w:eastAsia="en-US"/>
        </w:rPr>
        <w:t>.</w:t>
      </w:r>
      <w:r w:rsidR="00662AEA" w:rsidRPr="0089091E">
        <w:rPr>
          <w:rFonts w:eastAsia="Times New Roman"/>
          <w:szCs w:val="22"/>
          <w:lang w:eastAsia="en-US"/>
        </w:rPr>
        <w:t xml:space="preserve"> </w:t>
      </w:r>
      <w:r w:rsidR="00357B67" w:rsidRPr="0089091E">
        <w:rPr>
          <w:rFonts w:eastAsia="Times New Roman"/>
          <w:szCs w:val="22"/>
          <w:lang w:eastAsia="en-US"/>
        </w:rPr>
        <w:t>El estudio ha sido preparado bajo la coordinación de la Secretaría de la OMPI y en colaboración con la Oficina de Patentes de la República de Polonia (PPO).</w:t>
      </w:r>
    </w:p>
    <w:p w:rsidR="008211A8" w:rsidRPr="0089091E" w:rsidRDefault="008211A8" w:rsidP="00AB727F">
      <w:pPr>
        <w:rPr>
          <w:rFonts w:eastAsia="Times New Roman"/>
          <w:szCs w:val="22"/>
          <w:lang w:eastAsia="en-US"/>
        </w:rPr>
      </w:pPr>
    </w:p>
    <w:p w:rsidR="008211A8" w:rsidRPr="0089091E" w:rsidRDefault="00AB727F" w:rsidP="00AB727F">
      <w:pPr>
        <w:tabs>
          <w:tab w:val="left" w:pos="567"/>
        </w:tabs>
        <w:ind w:left="5534"/>
        <w:rPr>
          <w:i/>
        </w:rPr>
      </w:pPr>
      <w:r w:rsidRPr="0089091E">
        <w:rPr>
          <w:i/>
          <w:iCs/>
          <w:szCs w:val="22"/>
        </w:rPr>
        <w:t>2.</w:t>
      </w:r>
      <w:r w:rsidRPr="0089091E">
        <w:rPr>
          <w:i/>
          <w:iCs/>
          <w:szCs w:val="22"/>
        </w:rPr>
        <w:tab/>
      </w:r>
      <w:r w:rsidRPr="0089091E">
        <w:rPr>
          <w:i/>
          <w:iCs/>
          <w:szCs w:val="22"/>
        </w:rPr>
        <w:tab/>
      </w:r>
      <w:r w:rsidR="00357B67" w:rsidRPr="0089091E">
        <w:rPr>
          <w:i/>
          <w:iCs/>
          <w:szCs w:val="22"/>
        </w:rPr>
        <w:t>Se invita al CDIP a tomar nota de la información que figura en el Anexo del presente documento.</w:t>
      </w:r>
    </w:p>
    <w:p w:rsidR="008211A8" w:rsidRPr="0089091E" w:rsidRDefault="008211A8" w:rsidP="00AB727F">
      <w:pPr>
        <w:ind w:left="5534"/>
      </w:pPr>
    </w:p>
    <w:p w:rsidR="008211A8" w:rsidRPr="0089091E" w:rsidRDefault="008211A8" w:rsidP="00AB727F">
      <w:pPr>
        <w:ind w:left="5534"/>
      </w:pPr>
    </w:p>
    <w:p w:rsidR="008211A8" w:rsidRPr="0089091E" w:rsidRDefault="008211A8" w:rsidP="00AB727F">
      <w:pPr>
        <w:ind w:left="5534"/>
      </w:pPr>
    </w:p>
    <w:p w:rsidR="008211A8" w:rsidRPr="0089091E" w:rsidRDefault="00AB727F" w:rsidP="00AB727F">
      <w:pPr>
        <w:ind w:left="5534"/>
      </w:pPr>
      <w:r w:rsidRPr="0089091E">
        <w:t>[</w:t>
      </w:r>
      <w:r w:rsidR="00357B67" w:rsidRPr="0089091E">
        <w:t>Sigue el Anexo</w:t>
      </w:r>
      <w:r w:rsidRPr="0089091E">
        <w:t>]</w:t>
      </w:r>
    </w:p>
    <w:p w:rsidR="00AB727F" w:rsidRPr="0089091E" w:rsidRDefault="00AB727F" w:rsidP="00AB727F">
      <w:pPr>
        <w:widowControl w:val="0"/>
        <w:pBdr>
          <w:top w:val="nil"/>
          <w:left w:val="nil"/>
          <w:bottom w:val="nil"/>
          <w:right w:val="nil"/>
          <w:between w:val="nil"/>
        </w:pBdr>
        <w:rPr>
          <w:rFonts w:eastAsia="Arial"/>
          <w:color w:val="000000"/>
          <w:szCs w:val="22"/>
          <w:lang w:eastAsia="en-US"/>
        </w:rPr>
        <w:sectPr w:rsidR="00AB727F" w:rsidRPr="0089091E" w:rsidSect="0075691C">
          <w:headerReference w:type="default" r:id="rId9"/>
          <w:footerReference w:type="default" r:id="rId10"/>
          <w:pgSz w:w="11907" w:h="16839" w:code="9"/>
          <w:pgMar w:top="567" w:right="1134" w:bottom="1418" w:left="1418" w:header="0" w:footer="720" w:gutter="0"/>
          <w:pgNumType w:start="1"/>
          <w:cols w:space="720"/>
          <w:titlePg/>
          <w:docGrid w:linePitch="299"/>
        </w:sectPr>
      </w:pPr>
    </w:p>
    <w:p w:rsidR="008211A8" w:rsidRPr="0089091E" w:rsidRDefault="008211A8" w:rsidP="00AB727F">
      <w:pPr>
        <w:widowControl w:val="0"/>
        <w:pBdr>
          <w:top w:val="nil"/>
          <w:left w:val="nil"/>
          <w:bottom w:val="nil"/>
          <w:right w:val="nil"/>
          <w:between w:val="nil"/>
        </w:pBdr>
        <w:rPr>
          <w:rFonts w:eastAsia="Arial"/>
          <w:b/>
          <w:color w:val="000000"/>
          <w:sz w:val="28"/>
          <w:szCs w:val="28"/>
          <w:lang w:eastAsia="en-US"/>
        </w:rPr>
      </w:pPr>
    </w:p>
    <w:p w:rsidR="008211A8" w:rsidRPr="0089091E" w:rsidRDefault="00357B67" w:rsidP="00357B67">
      <w:pPr>
        <w:widowControl w:val="0"/>
        <w:pBdr>
          <w:top w:val="nil"/>
          <w:left w:val="nil"/>
          <w:bottom w:val="nil"/>
          <w:right w:val="nil"/>
          <w:between w:val="nil"/>
        </w:pBdr>
        <w:rPr>
          <w:rFonts w:eastAsia="Arial"/>
          <w:b/>
          <w:color w:val="000000"/>
          <w:sz w:val="28"/>
          <w:szCs w:val="28"/>
          <w:lang w:eastAsia="en-US"/>
        </w:rPr>
      </w:pPr>
      <w:r w:rsidRPr="0089091E">
        <w:rPr>
          <w:rFonts w:eastAsia="Arial"/>
          <w:b/>
          <w:color w:val="000000"/>
          <w:sz w:val="28"/>
          <w:szCs w:val="28"/>
          <w:lang w:eastAsia="en-US"/>
        </w:rPr>
        <w:t>La propiedad intelectual en el sistema de innovación del sector de la salud en Polonia</w:t>
      </w:r>
    </w:p>
    <w:p w:rsidR="008211A8" w:rsidRPr="0089091E" w:rsidRDefault="008211A8" w:rsidP="00AB727F">
      <w:pPr>
        <w:widowControl w:val="0"/>
        <w:pBdr>
          <w:top w:val="nil"/>
          <w:left w:val="nil"/>
          <w:bottom w:val="nil"/>
          <w:right w:val="nil"/>
          <w:between w:val="nil"/>
        </w:pBdr>
        <w:spacing w:after="120"/>
        <w:rPr>
          <w:rFonts w:eastAsia="Arial"/>
          <w:color w:val="000000"/>
          <w:szCs w:val="22"/>
          <w:lang w:eastAsia="en-US"/>
        </w:rPr>
      </w:pPr>
    </w:p>
    <w:p w:rsidR="008211A8" w:rsidRPr="0089091E" w:rsidRDefault="009E6218"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En 2015, el Gobierno de Polonia pidió a la Organización Mundial de la Propiedad Intelectual (OMPI) que realizara un estudio económico en Polonia con respecto de la segunda fase del proyecto sobre propiedad intelectual (IP) y desarrollo socioeconómico (CDIP/14/7).</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9B7DE0"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Las consultas bilaterales y las necesidades políticas del Gobierno de Polonia establecieron</w:t>
      </w:r>
      <w:r w:rsidR="004278C2" w:rsidRPr="0089091E">
        <w:rPr>
          <w:rFonts w:eastAsia="Arial"/>
          <w:color w:val="000000"/>
          <w:szCs w:val="22"/>
          <w:lang w:eastAsia="en-US"/>
        </w:rPr>
        <w:t xml:space="preserve"> como prioridad del estudio </w:t>
      </w:r>
      <w:r w:rsidR="006E50EB" w:rsidRPr="0089091E">
        <w:rPr>
          <w:rFonts w:eastAsia="Arial"/>
          <w:color w:val="000000"/>
          <w:szCs w:val="22"/>
          <w:lang w:eastAsia="en-US"/>
        </w:rPr>
        <w:t>de país</w:t>
      </w:r>
      <w:r w:rsidR="004278C2" w:rsidRPr="0089091E">
        <w:rPr>
          <w:rFonts w:eastAsia="Arial"/>
          <w:color w:val="000000"/>
          <w:szCs w:val="22"/>
          <w:lang w:eastAsia="en-US"/>
        </w:rPr>
        <w:t xml:space="preserve"> </w:t>
      </w:r>
      <w:r w:rsidRPr="0089091E">
        <w:rPr>
          <w:rFonts w:eastAsia="Arial"/>
          <w:color w:val="000000"/>
          <w:szCs w:val="22"/>
          <w:lang w:eastAsia="en-US"/>
        </w:rPr>
        <w:t xml:space="preserve">la función que desempeña la PI en el ecosistema </w:t>
      </w:r>
      <w:r w:rsidR="006276E3" w:rsidRPr="0089091E">
        <w:rPr>
          <w:rFonts w:eastAsia="Arial"/>
          <w:color w:val="000000"/>
          <w:szCs w:val="22"/>
          <w:lang w:eastAsia="en-US"/>
        </w:rPr>
        <w:t xml:space="preserve">de innovación </w:t>
      </w:r>
      <w:r w:rsidRPr="0089091E">
        <w:rPr>
          <w:rFonts w:eastAsia="Arial"/>
          <w:color w:val="000000"/>
          <w:szCs w:val="22"/>
          <w:lang w:eastAsia="en-US"/>
        </w:rPr>
        <w:t xml:space="preserve">del sector de la salud </w:t>
      </w:r>
      <w:r w:rsidR="00827505" w:rsidRPr="0089091E">
        <w:rPr>
          <w:rFonts w:eastAsia="Arial"/>
          <w:color w:val="000000"/>
          <w:szCs w:val="22"/>
          <w:lang w:eastAsia="en-US"/>
        </w:rPr>
        <w:t xml:space="preserve">en </w:t>
      </w:r>
      <w:r w:rsidR="00203EE0" w:rsidRPr="0089091E">
        <w:rPr>
          <w:rFonts w:eastAsia="Arial"/>
          <w:color w:val="000000"/>
          <w:szCs w:val="22"/>
          <w:lang w:eastAsia="en-US"/>
        </w:rPr>
        <w:t>un</w:t>
      </w:r>
      <w:r w:rsidR="00827505" w:rsidRPr="0089091E">
        <w:rPr>
          <w:rFonts w:eastAsia="Arial"/>
          <w:color w:val="000000"/>
          <w:szCs w:val="22"/>
          <w:lang w:eastAsia="en-US"/>
        </w:rPr>
        <w:t xml:space="preserve"> sentido amplio</w:t>
      </w:r>
      <w:r w:rsidR="00AB727F" w:rsidRPr="0089091E">
        <w:rPr>
          <w:rFonts w:eastAsia="Arial"/>
          <w:color w:val="000000"/>
          <w:szCs w:val="22"/>
          <w:lang w:eastAsia="en-US"/>
        </w:rPr>
        <w:t>.</w:t>
      </w:r>
      <w:r w:rsidR="00AB727F" w:rsidRPr="0089091E">
        <w:rPr>
          <w:rFonts w:eastAsia="Arial"/>
          <w:color w:val="000000"/>
          <w:sz w:val="20"/>
          <w:szCs w:val="22"/>
          <w:vertAlign w:val="superscript"/>
          <w:lang w:eastAsia="en-US"/>
        </w:rPr>
        <w:footnoteReference w:id="2"/>
      </w:r>
      <w:r w:rsidR="00AB727F" w:rsidRPr="0089091E">
        <w:rPr>
          <w:rFonts w:eastAsia="Arial"/>
          <w:color w:val="000000"/>
          <w:szCs w:val="22"/>
          <w:lang w:eastAsia="en-US"/>
        </w:rPr>
        <w:t xml:space="preserve"> </w:t>
      </w:r>
      <w:r w:rsidRPr="0089091E">
        <w:rPr>
          <w:rFonts w:eastAsia="Arial"/>
          <w:color w:val="000000"/>
          <w:szCs w:val="22"/>
          <w:lang w:eastAsia="en-US"/>
        </w:rPr>
        <w:t xml:space="preserve">Así pues, la </w:t>
      </w:r>
      <w:r w:rsidR="001D77C4">
        <w:rPr>
          <w:rFonts w:eastAsia="Arial"/>
          <w:color w:val="000000"/>
          <w:szCs w:val="22"/>
          <w:lang w:eastAsia="en-US"/>
        </w:rPr>
        <w:t>PPO</w:t>
      </w:r>
      <w:r w:rsidRPr="0089091E">
        <w:rPr>
          <w:rFonts w:eastAsia="Arial"/>
          <w:color w:val="000000"/>
          <w:szCs w:val="22"/>
          <w:lang w:eastAsia="en-US"/>
        </w:rPr>
        <w:t xml:space="preserve"> organizó un taller en el que contó con la participación de partes interesada</w:t>
      </w:r>
      <w:r w:rsidR="004278C2" w:rsidRPr="0089091E">
        <w:rPr>
          <w:rFonts w:eastAsia="Arial"/>
          <w:color w:val="000000"/>
          <w:szCs w:val="22"/>
          <w:lang w:eastAsia="en-US"/>
        </w:rPr>
        <w:t>s clave del sector de la salud entre las que se incluían</w:t>
      </w:r>
      <w:r w:rsidRPr="0089091E">
        <w:rPr>
          <w:rFonts w:eastAsia="Arial"/>
          <w:color w:val="000000"/>
          <w:szCs w:val="22"/>
          <w:lang w:eastAsia="en-US"/>
        </w:rPr>
        <w:t xml:space="preserve"> el Ministerio de Salud, el Ministerio de Economía, la Oficina Central de Estadística de Polonia, el Ministerio </w:t>
      </w:r>
      <w:r w:rsidR="00827505" w:rsidRPr="0089091E">
        <w:rPr>
          <w:rFonts w:eastAsia="Arial"/>
          <w:color w:val="000000"/>
          <w:szCs w:val="22"/>
          <w:lang w:eastAsia="en-US"/>
        </w:rPr>
        <w:t>de Ciencia y Educación Superior</w:t>
      </w:r>
      <w:r w:rsidRPr="0089091E">
        <w:rPr>
          <w:rFonts w:eastAsia="Arial"/>
          <w:color w:val="000000"/>
          <w:szCs w:val="22"/>
          <w:lang w:eastAsia="en-US"/>
        </w:rPr>
        <w:t xml:space="preserve">, la Academia de Ciencias de Polonia, la Universidad de Varsovia, la Universidad </w:t>
      </w:r>
      <w:r w:rsidR="00B4534F">
        <w:rPr>
          <w:rFonts w:eastAsia="Arial"/>
          <w:color w:val="000000"/>
          <w:szCs w:val="22"/>
          <w:lang w:eastAsia="en-US"/>
        </w:rPr>
        <w:t>Jagiellonian</w:t>
      </w:r>
      <w:r w:rsidRPr="0089091E">
        <w:rPr>
          <w:rFonts w:eastAsia="Arial"/>
          <w:color w:val="000000"/>
          <w:szCs w:val="22"/>
          <w:lang w:eastAsia="en-US"/>
        </w:rPr>
        <w:t xml:space="preserve"> de Cracovia y</w:t>
      </w:r>
      <w:r w:rsidR="00B67BA0" w:rsidRPr="0089091E">
        <w:rPr>
          <w:rFonts w:eastAsia="Arial"/>
          <w:color w:val="000000"/>
          <w:szCs w:val="22"/>
          <w:lang w:eastAsia="en-US"/>
        </w:rPr>
        <w:t xml:space="preserve"> representantes de la industria</w:t>
      </w:r>
      <w:r w:rsidR="004278C2" w:rsidRPr="0089091E">
        <w:rPr>
          <w:rFonts w:eastAsia="Arial"/>
          <w:color w:val="000000"/>
          <w:szCs w:val="22"/>
          <w:lang w:eastAsia="en-US"/>
        </w:rPr>
        <w:t>, entre otros</w:t>
      </w:r>
      <w:r w:rsidR="00B67BA0" w:rsidRPr="0089091E">
        <w:rPr>
          <w:rFonts w:eastAsia="Arial"/>
          <w:color w:val="000000"/>
          <w:szCs w:val="22"/>
          <w:lang w:eastAsia="en-US"/>
        </w:rPr>
        <w:t>.</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B67BA0" w:rsidP="005A6EB8">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 xml:space="preserve">La investigación de base y las misiones de </w:t>
      </w:r>
      <w:r w:rsidR="006276E3" w:rsidRPr="0089091E">
        <w:rPr>
          <w:rFonts w:eastAsia="Arial"/>
          <w:color w:val="000000"/>
          <w:szCs w:val="22"/>
          <w:lang w:eastAsia="en-US"/>
        </w:rPr>
        <w:t>exploración</w:t>
      </w:r>
      <w:r w:rsidRPr="0089091E">
        <w:rPr>
          <w:rFonts w:eastAsia="Arial"/>
          <w:color w:val="000000"/>
          <w:szCs w:val="22"/>
          <w:lang w:eastAsia="en-US"/>
        </w:rPr>
        <w:t xml:space="preserve"> revelaron que Polonia cuenta con una comunidad científica activa cada vez más numerosa en el campo de las ciencias de la vida, en parte debido al importante apoyo de los fondos estructurales de la Unión Europea.</w:t>
      </w:r>
      <w:r w:rsidR="00AB727F" w:rsidRPr="0089091E">
        <w:rPr>
          <w:rFonts w:eastAsia="Arial"/>
          <w:color w:val="000000"/>
          <w:szCs w:val="22"/>
          <w:lang w:eastAsia="en-US"/>
        </w:rPr>
        <w:t xml:space="preserve"> </w:t>
      </w:r>
      <w:r w:rsidR="00654188" w:rsidRPr="0089091E">
        <w:rPr>
          <w:rFonts w:eastAsia="Arial"/>
          <w:color w:val="000000"/>
          <w:szCs w:val="22"/>
          <w:lang w:eastAsia="en-US"/>
        </w:rPr>
        <w:t xml:space="preserve">Asimismo, Polonia parece contar con potencial innovador en subcampos como el de la investigación biotecnológica preliminar en ciertos campos de la medicina, la genómica personalizada, la telemedicina, los medicamentos genéticos y la realización de ensayos clínicos. </w:t>
      </w:r>
      <w:r w:rsidR="004278C2" w:rsidRPr="0089091E">
        <w:rPr>
          <w:rFonts w:eastAsia="Arial"/>
          <w:color w:val="000000"/>
          <w:szCs w:val="22"/>
          <w:lang w:eastAsia="en-US"/>
        </w:rPr>
        <w:t>Sin embargo, la mayor parte de la I+D todavía depende de la financiación pública, un hecho que en parte podría explicar los discretos resultados que han tenido las oficinas de transferencia de tecnología en la comercialización de las invenciones realizadas/concebidas en el ámbito universitario, a pesar del considerable n</w:t>
      </w:r>
      <w:r w:rsidR="00AA7450" w:rsidRPr="0089091E">
        <w:rPr>
          <w:rFonts w:eastAsia="Arial"/>
          <w:color w:val="000000"/>
          <w:szCs w:val="22"/>
          <w:lang w:eastAsia="en-US"/>
        </w:rPr>
        <w:t>úmero de solicitudes de patente</w:t>
      </w:r>
      <w:r w:rsidR="004278C2" w:rsidRPr="0089091E">
        <w:rPr>
          <w:rFonts w:eastAsia="Arial"/>
          <w:color w:val="000000"/>
          <w:szCs w:val="22"/>
          <w:lang w:eastAsia="en-US"/>
        </w:rPr>
        <w:t xml:space="preserve"> y de la creación de numerosas instituciones de transferencia de tecnología.</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552CB0" w:rsidP="00AB727F">
      <w:pPr>
        <w:widowControl w:val="0"/>
        <w:pBdr>
          <w:top w:val="nil"/>
          <w:left w:val="nil"/>
          <w:bottom w:val="nil"/>
          <w:right w:val="nil"/>
          <w:between w:val="nil"/>
        </w:pBdr>
        <w:spacing w:after="240"/>
        <w:rPr>
          <w:rFonts w:eastAsia="Arial"/>
          <w:color w:val="000000"/>
          <w:szCs w:val="22"/>
          <w:lang w:eastAsia="en-US"/>
        </w:rPr>
      </w:pPr>
      <w:r w:rsidRPr="0089091E">
        <w:rPr>
          <w:rFonts w:eastAsia="Arial"/>
          <w:color w:val="000000"/>
          <w:szCs w:val="22"/>
          <w:lang w:eastAsia="en-US"/>
        </w:rPr>
        <w:t xml:space="preserve">El estudio </w:t>
      </w:r>
      <w:r w:rsidR="006E50EB" w:rsidRPr="0089091E">
        <w:rPr>
          <w:rFonts w:eastAsia="Arial"/>
          <w:color w:val="000000"/>
          <w:szCs w:val="22"/>
          <w:lang w:eastAsia="en-US"/>
        </w:rPr>
        <w:t>de país</w:t>
      </w:r>
      <w:r w:rsidRPr="0089091E">
        <w:rPr>
          <w:rFonts w:eastAsia="Arial"/>
          <w:color w:val="000000"/>
          <w:szCs w:val="22"/>
          <w:lang w:eastAsia="en-US"/>
        </w:rPr>
        <w:t xml:space="preserve"> analizó más exhaustivamente dichos asuntos y otros relacionados, brindando un primer panorama de la innovación y el uso de la PI en el sector de la salud en Polonia.</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 xml:space="preserve">El estudio se llevó a cabo entre mayo de 2016 y agosto de 2018, en colaboración con la </w:t>
      </w:r>
      <w:r w:rsidR="001D77C4">
        <w:rPr>
          <w:rFonts w:eastAsia="Arial"/>
          <w:color w:val="000000"/>
          <w:szCs w:val="22"/>
          <w:lang w:eastAsia="en-US"/>
        </w:rPr>
        <w:t>PPO</w:t>
      </w:r>
      <w:r w:rsidRPr="0089091E">
        <w:rPr>
          <w:rFonts w:eastAsia="Arial"/>
          <w:color w:val="000000"/>
          <w:szCs w:val="22"/>
          <w:lang w:eastAsia="en-US"/>
        </w:rPr>
        <w:t xml:space="preserve"> y otros organismos estatales. En el presente documento se resumen la </w:t>
      </w:r>
      <w:r w:rsidR="00E52F62" w:rsidRPr="0089091E">
        <w:rPr>
          <w:rFonts w:eastAsia="Arial"/>
          <w:color w:val="000000"/>
          <w:szCs w:val="22"/>
          <w:lang w:eastAsia="en-US"/>
        </w:rPr>
        <w:t>ejecución</w:t>
      </w:r>
      <w:r w:rsidRPr="0089091E">
        <w:rPr>
          <w:rFonts w:eastAsia="Arial"/>
          <w:color w:val="000000"/>
          <w:szCs w:val="22"/>
          <w:lang w:eastAsia="en-US"/>
        </w:rPr>
        <w:t xml:space="preserve"> y los principales resultados del estudio.</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8211A8" w:rsidP="00AB727F">
      <w:pPr>
        <w:widowControl w:val="0"/>
        <w:pBdr>
          <w:top w:val="nil"/>
          <w:left w:val="nil"/>
          <w:bottom w:val="nil"/>
          <w:right w:val="nil"/>
          <w:between w:val="nil"/>
        </w:pBdr>
        <w:ind w:left="432" w:hanging="432"/>
        <w:outlineLvl w:val="0"/>
        <w:rPr>
          <w:rFonts w:eastAsia="Arial"/>
          <w:b/>
          <w:color w:val="000000"/>
          <w:sz w:val="24"/>
          <w:szCs w:val="24"/>
          <w:lang w:eastAsia="en-US"/>
        </w:rPr>
      </w:pPr>
      <w:r w:rsidRPr="0089091E">
        <w:rPr>
          <w:rFonts w:eastAsia="Arial"/>
          <w:b/>
          <w:color w:val="000000"/>
          <w:sz w:val="24"/>
          <w:szCs w:val="24"/>
          <w:lang w:eastAsia="en-US"/>
        </w:rPr>
        <w:t>Objetivos</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EF6648"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El principal objetivo del estudio fue prestar apoyo a la formulación de políticas sobre PI e innovación en el sector de la salud de Polonia.</w:t>
      </w:r>
      <w:r w:rsidR="00AB727F" w:rsidRPr="0089091E">
        <w:rPr>
          <w:rFonts w:eastAsia="Arial"/>
          <w:color w:val="000000"/>
          <w:szCs w:val="22"/>
          <w:lang w:eastAsia="en-US"/>
        </w:rPr>
        <w:t xml:space="preserve"> </w:t>
      </w:r>
      <w:r w:rsidR="00683D65" w:rsidRPr="0089091E">
        <w:rPr>
          <w:rFonts w:eastAsia="Arial"/>
          <w:color w:val="000000"/>
          <w:szCs w:val="22"/>
          <w:lang w:eastAsia="en-US"/>
        </w:rPr>
        <w:t>El estudio describió las últimas tendencias de la innovación y el uso de la PI en el sistema de innovación del sector de la salud en Polonia, así como el potencial de crecimiento del alcance y las formas de protección de la PI</w:t>
      </w:r>
      <w:r w:rsidR="000D661E" w:rsidRPr="0089091E">
        <w:rPr>
          <w:rFonts w:eastAsia="Arial"/>
          <w:color w:val="000000"/>
          <w:szCs w:val="22"/>
          <w:lang w:eastAsia="en-US"/>
        </w:rPr>
        <w:t>.</w:t>
      </w:r>
      <w:r w:rsidR="00F741F2" w:rsidRPr="0089091E">
        <w:t xml:space="preserve"> </w:t>
      </w:r>
      <w:r w:rsidR="00F741F2" w:rsidRPr="0089091E">
        <w:rPr>
          <w:rFonts w:eastAsia="Arial"/>
          <w:color w:val="000000"/>
          <w:szCs w:val="22"/>
          <w:lang w:eastAsia="en-US"/>
        </w:rPr>
        <w:t>Realizó un análisis cualitativo de la utilidad y las limitaciones de la PI en el sector de la salud de Polonia, en el que se describía la existencia de innovaciones en materia de salud no protegidas por patentes y se presentaban buenas prácticas en gestión de derechos de PI.</w:t>
      </w:r>
    </w:p>
    <w:p w:rsidR="008211A8" w:rsidRPr="0089091E" w:rsidRDefault="008211A8" w:rsidP="00AB727F">
      <w:pPr>
        <w:widowControl w:val="0"/>
        <w:pBdr>
          <w:top w:val="nil"/>
          <w:left w:val="nil"/>
          <w:bottom w:val="nil"/>
          <w:right w:val="nil"/>
          <w:between w:val="nil"/>
        </w:pBdr>
        <w:spacing w:line="276" w:lineRule="auto"/>
        <w:rPr>
          <w:rFonts w:eastAsia="Arial"/>
          <w:color w:val="000000"/>
          <w:szCs w:val="22"/>
          <w:lang w:eastAsia="en-US"/>
        </w:rPr>
      </w:pPr>
    </w:p>
    <w:p w:rsidR="008211A8" w:rsidRPr="0089091E" w:rsidRDefault="000D661E" w:rsidP="00AB727F">
      <w:pPr>
        <w:widowControl w:val="0"/>
        <w:pBdr>
          <w:top w:val="nil"/>
          <w:left w:val="nil"/>
          <w:bottom w:val="nil"/>
          <w:right w:val="nil"/>
          <w:between w:val="nil"/>
        </w:pBdr>
        <w:spacing w:line="276" w:lineRule="auto"/>
        <w:rPr>
          <w:rFonts w:eastAsia="Arial"/>
          <w:color w:val="000000"/>
          <w:szCs w:val="22"/>
          <w:lang w:eastAsia="en-US"/>
        </w:rPr>
      </w:pPr>
      <w:r w:rsidRPr="0089091E">
        <w:rPr>
          <w:rFonts w:eastAsia="Arial"/>
          <w:color w:val="000000"/>
          <w:szCs w:val="22"/>
          <w:lang w:eastAsia="en-US"/>
        </w:rPr>
        <w:t>El estudio giró en torno a</w:t>
      </w:r>
      <w:r w:rsidR="00A11C62" w:rsidRPr="0089091E">
        <w:rPr>
          <w:rFonts w:eastAsia="Arial"/>
          <w:color w:val="000000"/>
          <w:szCs w:val="22"/>
          <w:lang w:eastAsia="en-US"/>
        </w:rPr>
        <w:t xml:space="preserve"> las siguientes cuestiones</w:t>
      </w:r>
      <w:r w:rsidRPr="0089091E">
        <w:rPr>
          <w:rFonts w:eastAsia="Arial"/>
          <w:color w:val="000000"/>
          <w:szCs w:val="22"/>
          <w:lang w:eastAsia="en-US"/>
        </w:rPr>
        <w:t>, entre otras</w:t>
      </w:r>
      <w:r w:rsidR="00A11C62" w:rsidRPr="0089091E">
        <w:rPr>
          <w:rFonts w:eastAsia="Arial"/>
          <w:color w:val="000000"/>
          <w:szCs w:val="22"/>
          <w:lang w:eastAsia="en-US"/>
        </w:rPr>
        <w:t>:</w:t>
      </w:r>
    </w:p>
    <w:p w:rsidR="008211A8" w:rsidRPr="0089091E" w:rsidRDefault="008211A8" w:rsidP="00AB727F">
      <w:pPr>
        <w:widowControl w:val="0"/>
        <w:pBdr>
          <w:top w:val="nil"/>
          <w:left w:val="nil"/>
          <w:bottom w:val="nil"/>
          <w:right w:val="nil"/>
          <w:between w:val="nil"/>
        </w:pBdr>
        <w:spacing w:line="276" w:lineRule="auto"/>
        <w:rPr>
          <w:rFonts w:eastAsia="Arial"/>
          <w:b/>
          <w:color w:val="000000"/>
          <w:szCs w:val="22"/>
          <w:u w:val="single"/>
          <w:lang w:eastAsia="en-US"/>
        </w:rPr>
      </w:pPr>
    </w:p>
    <w:p w:rsidR="008211A8" w:rsidRPr="0089091E" w:rsidRDefault="008F4974" w:rsidP="008F4974">
      <w:pPr>
        <w:widowControl w:val="0"/>
        <w:numPr>
          <w:ilvl w:val="0"/>
          <w:numId w:val="7"/>
        </w:numPr>
        <w:pBdr>
          <w:top w:val="nil"/>
          <w:left w:val="nil"/>
          <w:bottom w:val="nil"/>
          <w:right w:val="nil"/>
          <w:between w:val="nil"/>
        </w:pBdr>
        <w:tabs>
          <w:tab w:val="left" w:pos="1134"/>
        </w:tabs>
        <w:spacing w:line="276" w:lineRule="auto"/>
        <w:ind w:left="567" w:firstLine="0"/>
        <w:jc w:val="both"/>
        <w:rPr>
          <w:rFonts w:eastAsia="Times New Roman"/>
          <w:color w:val="080000"/>
          <w:szCs w:val="22"/>
          <w:lang w:eastAsia="en-US"/>
        </w:rPr>
      </w:pPr>
      <w:r w:rsidRPr="0089091E">
        <w:rPr>
          <w:rFonts w:eastAsia="Times New Roman"/>
          <w:color w:val="080000"/>
          <w:szCs w:val="22"/>
          <w:lang w:eastAsia="en-US"/>
        </w:rPr>
        <w:lastRenderedPageBreak/>
        <w:t xml:space="preserve">¿Qué </w:t>
      </w:r>
      <w:r w:rsidRPr="0089091E">
        <w:rPr>
          <w:rFonts w:eastAsia="Arial"/>
          <w:color w:val="000000"/>
          <w:szCs w:val="22"/>
          <w:lang w:eastAsia="en-US"/>
        </w:rPr>
        <w:t>factores</w:t>
      </w:r>
      <w:r w:rsidRPr="0089091E">
        <w:rPr>
          <w:rFonts w:eastAsia="Times New Roman"/>
          <w:color w:val="080000"/>
          <w:szCs w:val="22"/>
          <w:lang w:eastAsia="en-US"/>
        </w:rPr>
        <w:t xml:space="preserve"> afectan a los resultados en materia de innovación en el sector de la salud de Polonia?</w:t>
      </w:r>
    </w:p>
    <w:p w:rsidR="008211A8" w:rsidRPr="0089091E" w:rsidRDefault="008F4974" w:rsidP="008F4974">
      <w:pPr>
        <w:widowControl w:val="0"/>
        <w:numPr>
          <w:ilvl w:val="0"/>
          <w:numId w:val="7"/>
        </w:numPr>
        <w:pBdr>
          <w:top w:val="nil"/>
          <w:left w:val="nil"/>
          <w:bottom w:val="nil"/>
          <w:right w:val="nil"/>
          <w:between w:val="nil"/>
        </w:pBdr>
        <w:tabs>
          <w:tab w:val="left" w:pos="1134"/>
        </w:tabs>
        <w:spacing w:line="276" w:lineRule="auto"/>
        <w:ind w:left="567" w:firstLine="0"/>
        <w:jc w:val="both"/>
        <w:rPr>
          <w:rFonts w:eastAsia="Arial"/>
          <w:color w:val="000000"/>
          <w:szCs w:val="22"/>
          <w:lang w:eastAsia="en-US"/>
        </w:rPr>
      </w:pPr>
      <w:r w:rsidRPr="0089091E">
        <w:rPr>
          <w:rFonts w:eastAsia="Arial"/>
          <w:color w:val="000000"/>
          <w:szCs w:val="22"/>
          <w:lang w:eastAsia="en-US"/>
        </w:rPr>
        <w:t>¿Qué relevancia tiene el sistema de PI en dicho sector?</w:t>
      </w:r>
    </w:p>
    <w:p w:rsidR="008211A8" w:rsidRPr="0089091E" w:rsidRDefault="000E44DC" w:rsidP="000E44DC">
      <w:pPr>
        <w:widowControl w:val="0"/>
        <w:numPr>
          <w:ilvl w:val="0"/>
          <w:numId w:val="7"/>
        </w:numPr>
        <w:pBdr>
          <w:top w:val="nil"/>
          <w:left w:val="nil"/>
          <w:bottom w:val="nil"/>
          <w:right w:val="nil"/>
          <w:between w:val="nil"/>
        </w:pBdr>
        <w:tabs>
          <w:tab w:val="left" w:pos="1134"/>
        </w:tabs>
        <w:spacing w:line="276" w:lineRule="auto"/>
        <w:ind w:left="567" w:firstLine="0"/>
        <w:jc w:val="both"/>
        <w:rPr>
          <w:rFonts w:eastAsia="Arial"/>
          <w:color w:val="000000"/>
          <w:szCs w:val="22"/>
          <w:lang w:eastAsia="en-US"/>
        </w:rPr>
      </w:pPr>
      <w:r w:rsidRPr="0089091E">
        <w:rPr>
          <w:rFonts w:eastAsia="Arial"/>
          <w:color w:val="000000"/>
          <w:szCs w:val="22"/>
          <w:lang w:eastAsia="en-US"/>
        </w:rPr>
        <w:t>¿Cuáles son las razones de las diferentes posturas respecto a las patentes por parte de las múltiples partes interesadas de la comunidad científica y la industria?</w:t>
      </w:r>
    </w:p>
    <w:p w:rsidR="008211A8" w:rsidRPr="0089091E" w:rsidRDefault="000E44DC" w:rsidP="000E44DC">
      <w:pPr>
        <w:widowControl w:val="0"/>
        <w:numPr>
          <w:ilvl w:val="0"/>
          <w:numId w:val="7"/>
        </w:numPr>
        <w:pBdr>
          <w:top w:val="nil"/>
          <w:left w:val="nil"/>
          <w:bottom w:val="nil"/>
          <w:right w:val="nil"/>
          <w:between w:val="nil"/>
        </w:pBdr>
        <w:tabs>
          <w:tab w:val="left" w:pos="1134"/>
        </w:tabs>
        <w:spacing w:line="276" w:lineRule="auto"/>
        <w:ind w:left="567" w:firstLine="0"/>
        <w:jc w:val="both"/>
        <w:rPr>
          <w:rFonts w:eastAsia="Arial"/>
          <w:color w:val="000000"/>
          <w:szCs w:val="22"/>
          <w:lang w:eastAsia="en-US"/>
        </w:rPr>
      </w:pPr>
      <w:r w:rsidRPr="0089091E">
        <w:rPr>
          <w:rFonts w:eastAsia="Arial"/>
          <w:color w:val="000000"/>
          <w:szCs w:val="22"/>
          <w:lang w:eastAsia="en-US"/>
        </w:rPr>
        <w:t>¿Cuáles son los métodos alternativos de protección de las innovaciones relacionadas con la salud?</w:t>
      </w:r>
    </w:p>
    <w:p w:rsidR="008211A8" w:rsidRPr="0089091E" w:rsidRDefault="00000035" w:rsidP="001B0CBD">
      <w:pPr>
        <w:widowControl w:val="0"/>
        <w:numPr>
          <w:ilvl w:val="0"/>
          <w:numId w:val="7"/>
        </w:numPr>
        <w:pBdr>
          <w:top w:val="nil"/>
          <w:left w:val="nil"/>
          <w:bottom w:val="nil"/>
          <w:right w:val="nil"/>
          <w:between w:val="nil"/>
        </w:pBdr>
        <w:tabs>
          <w:tab w:val="left" w:pos="1134"/>
        </w:tabs>
        <w:spacing w:line="276" w:lineRule="auto"/>
        <w:ind w:left="567" w:firstLine="0"/>
        <w:jc w:val="both"/>
        <w:rPr>
          <w:rFonts w:eastAsia="Arial"/>
          <w:color w:val="000000"/>
          <w:szCs w:val="22"/>
          <w:lang w:eastAsia="en-US"/>
        </w:rPr>
      </w:pPr>
      <w:r w:rsidRPr="0089091E">
        <w:rPr>
          <w:rFonts w:eastAsia="Arial"/>
          <w:color w:val="000000"/>
          <w:szCs w:val="22"/>
          <w:lang w:eastAsia="en-US"/>
        </w:rPr>
        <w:t xml:space="preserve">¿Qué son los ejemplos de mejores prácticas en materia de derechos de PI en el sector de la salud y las estrategias de patentamiento de los </w:t>
      </w:r>
      <w:r w:rsidR="00E52F62" w:rsidRPr="0089091E">
        <w:rPr>
          <w:rFonts w:eastAsia="Arial"/>
          <w:color w:val="000000"/>
          <w:szCs w:val="22"/>
          <w:lang w:eastAsia="en-US"/>
        </w:rPr>
        <w:t>integrantes del sector?</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6E50EB" w:rsidP="00AB727F">
      <w:pPr>
        <w:widowControl w:val="0"/>
        <w:pBdr>
          <w:top w:val="nil"/>
          <w:left w:val="nil"/>
          <w:bottom w:val="nil"/>
          <w:right w:val="nil"/>
          <w:between w:val="nil"/>
        </w:pBdr>
        <w:ind w:left="432" w:hanging="432"/>
        <w:outlineLvl w:val="0"/>
        <w:rPr>
          <w:rFonts w:eastAsia="Arial"/>
          <w:b/>
          <w:color w:val="000000"/>
          <w:sz w:val="24"/>
          <w:szCs w:val="24"/>
          <w:lang w:eastAsia="en-US"/>
        </w:rPr>
      </w:pPr>
      <w:r w:rsidRPr="0089091E">
        <w:rPr>
          <w:rFonts w:eastAsia="Arial"/>
          <w:b/>
          <w:color w:val="000000"/>
          <w:sz w:val="24"/>
          <w:szCs w:val="24"/>
          <w:lang w:eastAsia="en-US"/>
        </w:rPr>
        <w:t>Coordinación y ejecución</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2C09C4"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 xml:space="preserve">La </w:t>
      </w:r>
      <w:r w:rsidR="00201E8A" w:rsidRPr="0089091E">
        <w:rPr>
          <w:rFonts w:eastAsia="Arial"/>
          <w:color w:val="000000"/>
          <w:szCs w:val="22"/>
          <w:lang w:eastAsia="en-US"/>
        </w:rPr>
        <w:t>aplicación</w:t>
      </w:r>
      <w:r w:rsidRPr="0089091E">
        <w:rPr>
          <w:rFonts w:eastAsia="Arial"/>
          <w:color w:val="000000"/>
          <w:szCs w:val="22"/>
          <w:lang w:eastAsia="en-US"/>
        </w:rPr>
        <w:t xml:space="preserve"> del estudio requirió la coordinación entre la División de Economía y Estadística de la OMPI y la </w:t>
      </w:r>
      <w:r w:rsidR="001D77C4">
        <w:rPr>
          <w:rFonts w:eastAsia="Arial"/>
          <w:color w:val="000000"/>
          <w:szCs w:val="22"/>
          <w:lang w:eastAsia="en-US"/>
        </w:rPr>
        <w:t>PPO</w:t>
      </w:r>
      <w:r w:rsidRPr="0089091E">
        <w:rPr>
          <w:rFonts w:eastAsia="Arial"/>
          <w:color w:val="000000"/>
          <w:szCs w:val="22"/>
          <w:lang w:eastAsia="en-US"/>
        </w:rPr>
        <w:t>.</w:t>
      </w:r>
      <w:r w:rsidR="00662AEA" w:rsidRPr="0089091E">
        <w:rPr>
          <w:rFonts w:eastAsia="Arial"/>
          <w:color w:val="000000"/>
          <w:szCs w:val="22"/>
          <w:lang w:eastAsia="en-US"/>
        </w:rPr>
        <w:t xml:space="preserve"> </w:t>
      </w:r>
      <w:r w:rsidRPr="0089091E">
        <w:rPr>
          <w:rFonts w:eastAsia="Arial"/>
          <w:color w:val="000000"/>
          <w:szCs w:val="22"/>
          <w:lang w:eastAsia="en-US"/>
        </w:rPr>
        <w:t>Los componentes técnicos y analíticos de la labor de</w:t>
      </w:r>
      <w:r w:rsidR="00D1321E" w:rsidRPr="0089091E">
        <w:rPr>
          <w:rFonts w:eastAsia="Arial"/>
          <w:color w:val="000000"/>
          <w:szCs w:val="22"/>
          <w:lang w:eastAsia="en-US"/>
        </w:rPr>
        <w:t>l</w:t>
      </w:r>
      <w:r w:rsidRPr="0089091E">
        <w:rPr>
          <w:rFonts w:eastAsia="Arial"/>
          <w:color w:val="000000"/>
          <w:szCs w:val="22"/>
          <w:lang w:eastAsia="en-US"/>
        </w:rPr>
        <w:t xml:space="preserve"> estudio corrieron a cargo de consultores locales y miembros del personal de la </w:t>
      </w:r>
      <w:r w:rsidR="001D77C4">
        <w:rPr>
          <w:rFonts w:eastAsia="Arial"/>
          <w:color w:val="000000"/>
          <w:szCs w:val="22"/>
          <w:lang w:eastAsia="en-US"/>
        </w:rPr>
        <w:t>PPO</w:t>
      </w:r>
      <w:r w:rsidRPr="0089091E">
        <w:rPr>
          <w:rFonts w:eastAsia="Arial"/>
          <w:color w:val="000000"/>
          <w:szCs w:val="22"/>
          <w:lang w:eastAsia="en-US"/>
        </w:rPr>
        <w:t>, bajo la supervisión de la División de Eco</w:t>
      </w:r>
      <w:r w:rsidR="001D77C4">
        <w:rPr>
          <w:rFonts w:eastAsia="Arial"/>
          <w:color w:val="000000"/>
          <w:szCs w:val="22"/>
          <w:lang w:eastAsia="en-US"/>
        </w:rPr>
        <w:t>nomía y Estadística de la OMPI y</w:t>
      </w:r>
      <w:r w:rsidRPr="0089091E">
        <w:rPr>
          <w:rFonts w:eastAsia="Arial"/>
          <w:color w:val="000000"/>
          <w:szCs w:val="22"/>
          <w:lang w:eastAsia="en-US"/>
        </w:rPr>
        <w:t xml:space="preserve"> la </w:t>
      </w:r>
      <w:r w:rsidR="001D77C4">
        <w:rPr>
          <w:rFonts w:eastAsia="Arial"/>
          <w:color w:val="000000"/>
          <w:szCs w:val="22"/>
          <w:lang w:eastAsia="en-US"/>
        </w:rPr>
        <w:t>PPO</w:t>
      </w:r>
      <w:r w:rsidRPr="0089091E">
        <w:rPr>
          <w:rFonts w:eastAsia="Arial"/>
          <w:color w:val="000000"/>
          <w:szCs w:val="22"/>
          <w:lang w:eastAsia="en-US"/>
        </w:rPr>
        <w:t xml:space="preserve">. La OMPI y la </w:t>
      </w:r>
      <w:r w:rsidR="001D77C4">
        <w:rPr>
          <w:rFonts w:eastAsia="Arial"/>
          <w:color w:val="000000"/>
          <w:szCs w:val="22"/>
          <w:lang w:eastAsia="en-US"/>
        </w:rPr>
        <w:t>PPO</w:t>
      </w:r>
      <w:r w:rsidRPr="0089091E">
        <w:rPr>
          <w:rFonts w:eastAsia="Arial"/>
          <w:color w:val="000000"/>
          <w:szCs w:val="22"/>
          <w:lang w:eastAsia="en-US"/>
        </w:rPr>
        <w:t xml:space="preserve"> prestaron apoyo sustantivo</w:t>
      </w:r>
      <w:r w:rsidR="000D661E" w:rsidRPr="0089091E">
        <w:rPr>
          <w:rFonts w:eastAsia="Arial"/>
          <w:color w:val="000000"/>
          <w:szCs w:val="22"/>
          <w:lang w:eastAsia="en-US"/>
        </w:rPr>
        <w:t xml:space="preserve"> gracias a sus conocimientos específicos de índole </w:t>
      </w:r>
      <w:r w:rsidRPr="0089091E">
        <w:rPr>
          <w:rFonts w:eastAsia="Arial"/>
          <w:color w:val="000000"/>
          <w:szCs w:val="22"/>
          <w:lang w:eastAsia="en-US"/>
        </w:rPr>
        <w:t>internacional y nacional.</w:t>
      </w:r>
      <w:r w:rsidR="00201E8A" w:rsidRPr="0089091E">
        <w:rPr>
          <w:rFonts w:eastAsia="Arial"/>
          <w:color w:val="000000"/>
          <w:szCs w:val="22"/>
          <w:lang w:eastAsia="en-US"/>
        </w:rPr>
        <w:t xml:space="preserve"> Asimismo, el proyecto se basó en la pericia de las distintas partes interesadas en el gobierno, el mundo académico y el sector privado de Polonia, las cuales facilitaron información cualitativa para los datos de la encuesta, realizaron comentarios sobre la labor del estudio en un taller técnico y actuaron en calidad de revisores.</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201E8A" w:rsidP="00AB727F">
      <w:pPr>
        <w:widowControl w:val="0"/>
        <w:pBdr>
          <w:top w:val="nil"/>
          <w:left w:val="nil"/>
          <w:bottom w:val="nil"/>
          <w:right w:val="nil"/>
          <w:between w:val="nil"/>
        </w:pBdr>
        <w:ind w:left="432" w:hanging="432"/>
        <w:outlineLvl w:val="0"/>
        <w:rPr>
          <w:rFonts w:eastAsia="Arial"/>
          <w:b/>
          <w:color w:val="000000"/>
          <w:sz w:val="24"/>
          <w:szCs w:val="24"/>
          <w:lang w:eastAsia="en-US"/>
        </w:rPr>
      </w:pPr>
      <w:r w:rsidRPr="0089091E">
        <w:rPr>
          <w:rFonts w:eastAsia="Arial"/>
          <w:b/>
          <w:color w:val="000000"/>
          <w:sz w:val="24"/>
          <w:szCs w:val="24"/>
          <w:lang w:eastAsia="en-US"/>
        </w:rPr>
        <w:t>Diseño metodológico</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2F3E25"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 xml:space="preserve">La realización del estudio se dividió en tres partes principales: 1) un análisis estadístico de la innovación en </w:t>
      </w:r>
      <w:r w:rsidR="000D661E" w:rsidRPr="0089091E">
        <w:rPr>
          <w:rFonts w:eastAsia="Arial"/>
          <w:color w:val="000000"/>
          <w:szCs w:val="22"/>
          <w:lang w:eastAsia="en-US"/>
        </w:rPr>
        <w:t>las industrias farmacéutica y</w:t>
      </w:r>
      <w:r w:rsidR="0087397B">
        <w:rPr>
          <w:rFonts w:eastAsia="Arial"/>
          <w:color w:val="000000"/>
          <w:szCs w:val="22"/>
          <w:lang w:eastAsia="en-US"/>
        </w:rPr>
        <w:t xml:space="preserve"> de tecnología</w:t>
      </w:r>
      <w:r w:rsidR="000D661E" w:rsidRPr="0089091E">
        <w:rPr>
          <w:rFonts w:eastAsia="Arial"/>
          <w:color w:val="000000"/>
          <w:szCs w:val="22"/>
          <w:lang w:eastAsia="en-US"/>
        </w:rPr>
        <w:t xml:space="preserve"> médica</w:t>
      </w:r>
      <w:r w:rsidRPr="0089091E">
        <w:rPr>
          <w:rFonts w:eastAsia="Arial"/>
          <w:color w:val="000000"/>
          <w:szCs w:val="22"/>
          <w:lang w:eastAsia="en-US"/>
        </w:rPr>
        <w:t xml:space="preserve">; 2) un inventario de patentes de las industrias farmacéutica y </w:t>
      </w:r>
      <w:r w:rsidR="0087397B">
        <w:rPr>
          <w:rFonts w:eastAsia="Arial"/>
          <w:color w:val="000000"/>
          <w:szCs w:val="22"/>
          <w:lang w:eastAsia="en-US"/>
        </w:rPr>
        <w:t>de tecnología</w:t>
      </w:r>
      <w:r w:rsidR="0087397B" w:rsidRPr="0089091E">
        <w:rPr>
          <w:rFonts w:eastAsia="Arial"/>
          <w:color w:val="000000"/>
          <w:szCs w:val="22"/>
          <w:lang w:eastAsia="en-US"/>
        </w:rPr>
        <w:t xml:space="preserve"> </w:t>
      </w:r>
      <w:r w:rsidRPr="0089091E">
        <w:rPr>
          <w:rFonts w:eastAsia="Arial"/>
          <w:color w:val="000000"/>
          <w:szCs w:val="22"/>
          <w:lang w:eastAsia="en-US"/>
        </w:rPr>
        <w:t>médica; y 3) una evaluación cualitativa del potencial innovador de dichas industrias.</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B614BA"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Cada una de estas partes contaba con una estrategia metodológica específica, que se resume a continuación:</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AB727F" w:rsidP="00AB727F">
      <w:pPr>
        <w:widowControl w:val="0"/>
        <w:pBdr>
          <w:top w:val="nil"/>
          <w:left w:val="nil"/>
          <w:bottom w:val="nil"/>
          <w:right w:val="nil"/>
          <w:between w:val="nil"/>
        </w:pBdr>
        <w:ind w:left="432" w:hanging="432"/>
        <w:outlineLvl w:val="1"/>
        <w:rPr>
          <w:rFonts w:eastAsia="Arial"/>
          <w:i/>
          <w:color w:val="000000"/>
          <w:sz w:val="24"/>
          <w:szCs w:val="24"/>
          <w:lang w:eastAsia="en-US"/>
        </w:rPr>
      </w:pPr>
      <w:r w:rsidRPr="0089091E">
        <w:rPr>
          <w:rFonts w:eastAsia="Arial"/>
          <w:i/>
          <w:color w:val="000000"/>
          <w:sz w:val="24"/>
          <w:szCs w:val="24"/>
          <w:lang w:eastAsia="en-US"/>
        </w:rPr>
        <w:t xml:space="preserve">1 - </w:t>
      </w:r>
      <w:r w:rsidR="00ED2D68" w:rsidRPr="0089091E">
        <w:rPr>
          <w:rFonts w:eastAsia="Arial"/>
          <w:i/>
          <w:color w:val="000000"/>
          <w:sz w:val="24"/>
          <w:szCs w:val="24"/>
          <w:lang w:eastAsia="en-US"/>
        </w:rPr>
        <w:t>Innovación en el sector de</w:t>
      </w:r>
      <w:r w:rsidR="00DC65B1" w:rsidRPr="0089091E">
        <w:rPr>
          <w:rFonts w:eastAsia="Arial"/>
          <w:i/>
          <w:color w:val="000000"/>
          <w:sz w:val="24"/>
          <w:szCs w:val="24"/>
          <w:lang w:eastAsia="en-US"/>
        </w:rPr>
        <w:t xml:space="preserve"> </w:t>
      </w:r>
      <w:r w:rsidR="00A3414D">
        <w:rPr>
          <w:rFonts w:eastAsia="Arial"/>
          <w:i/>
          <w:color w:val="000000"/>
          <w:sz w:val="24"/>
          <w:szCs w:val="24"/>
          <w:lang w:eastAsia="en-US"/>
        </w:rPr>
        <w:t>la salud</w:t>
      </w:r>
      <w:r w:rsidR="00DC65B1" w:rsidRPr="0089091E">
        <w:rPr>
          <w:rFonts w:eastAsia="Arial"/>
          <w:i/>
          <w:color w:val="000000"/>
          <w:sz w:val="24"/>
          <w:szCs w:val="24"/>
          <w:lang w:eastAsia="en-US"/>
        </w:rPr>
        <w:t xml:space="preserve"> e</w:t>
      </w:r>
      <w:r w:rsidR="00A3414D">
        <w:rPr>
          <w:rFonts w:eastAsia="Arial"/>
          <w:i/>
          <w:color w:val="000000"/>
          <w:sz w:val="24"/>
          <w:szCs w:val="24"/>
          <w:lang w:eastAsia="en-US"/>
        </w:rPr>
        <w:t>n Polonia</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DC65B1"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 xml:space="preserve">El estudio se centró en determinados aspectos de las industrias farmacéutica y </w:t>
      </w:r>
      <w:r w:rsidR="0087397B">
        <w:rPr>
          <w:rFonts w:eastAsia="Arial"/>
          <w:color w:val="000000"/>
          <w:szCs w:val="22"/>
          <w:lang w:eastAsia="en-US"/>
        </w:rPr>
        <w:t>de tecnología</w:t>
      </w:r>
      <w:r w:rsidR="0087397B" w:rsidRPr="0089091E">
        <w:rPr>
          <w:rFonts w:eastAsia="Arial"/>
          <w:color w:val="000000"/>
          <w:szCs w:val="22"/>
          <w:lang w:eastAsia="en-US"/>
        </w:rPr>
        <w:t xml:space="preserve"> </w:t>
      </w:r>
      <w:r w:rsidRPr="0089091E">
        <w:rPr>
          <w:rFonts w:eastAsia="Arial"/>
          <w:color w:val="000000"/>
          <w:szCs w:val="22"/>
          <w:lang w:eastAsia="en-US"/>
        </w:rPr>
        <w:t>médica, prestando especial atención a su evolución y capacidad de innovación.</w:t>
      </w:r>
      <w:r w:rsidR="00AB727F" w:rsidRPr="0089091E">
        <w:rPr>
          <w:rFonts w:eastAsia="Arial"/>
          <w:color w:val="000000"/>
          <w:szCs w:val="22"/>
          <w:lang w:eastAsia="en-US"/>
        </w:rPr>
        <w:t xml:space="preserve"> </w:t>
      </w:r>
      <w:r w:rsidR="003B634C" w:rsidRPr="0089091E">
        <w:rPr>
          <w:rFonts w:eastAsia="Arial"/>
          <w:color w:val="000000"/>
          <w:szCs w:val="22"/>
          <w:lang w:eastAsia="en-US"/>
        </w:rPr>
        <w:t>Se basó en sólidas estadísticas descriptivas y datos debidamente referenciados</w:t>
      </w:r>
      <w:r w:rsidR="00AB727F" w:rsidRPr="0089091E">
        <w:rPr>
          <w:rFonts w:eastAsia="Arial"/>
          <w:color w:val="000000"/>
          <w:szCs w:val="22"/>
          <w:lang w:eastAsia="en-US"/>
        </w:rPr>
        <w:t>.</w:t>
      </w:r>
      <w:r w:rsidR="00662AEA" w:rsidRPr="0089091E">
        <w:rPr>
          <w:rFonts w:eastAsia="Arial"/>
          <w:color w:val="000000"/>
          <w:szCs w:val="22"/>
          <w:lang w:eastAsia="en-US"/>
        </w:rPr>
        <w:t xml:space="preserve"> </w:t>
      </w:r>
      <w:r w:rsidR="003B634C" w:rsidRPr="0089091E">
        <w:rPr>
          <w:rFonts w:eastAsia="Arial"/>
          <w:color w:val="000000"/>
          <w:szCs w:val="22"/>
          <w:lang w:eastAsia="en-US"/>
        </w:rPr>
        <w:t>El estudio documentó estadís</w:t>
      </w:r>
      <w:r w:rsidR="00B11C19">
        <w:rPr>
          <w:rFonts w:eastAsia="Arial"/>
          <w:color w:val="000000"/>
          <w:szCs w:val="22"/>
          <w:lang w:eastAsia="en-US"/>
        </w:rPr>
        <w:t xml:space="preserve">ticamente la evolución de ambos sectores </w:t>
      </w:r>
      <w:r w:rsidR="003B634C" w:rsidRPr="0089091E">
        <w:rPr>
          <w:rFonts w:eastAsia="Arial"/>
          <w:color w:val="000000"/>
          <w:szCs w:val="22"/>
          <w:lang w:eastAsia="en-US"/>
        </w:rPr>
        <w:t>y su capacidad de innovación. Comparó los principales indicadores, siempre que resultó posible, con los de los países de la Unión Europea (UE).</w:t>
      </w:r>
      <w:r w:rsidR="00662AEA" w:rsidRPr="0089091E">
        <w:rPr>
          <w:rFonts w:eastAsia="Arial"/>
          <w:color w:val="000000"/>
          <w:szCs w:val="22"/>
          <w:lang w:eastAsia="en-US"/>
        </w:rPr>
        <w:t xml:space="preserve"> </w:t>
      </w:r>
      <w:r w:rsidR="000B79E8" w:rsidRPr="0089091E">
        <w:rPr>
          <w:rFonts w:eastAsia="Arial"/>
          <w:color w:val="000000"/>
          <w:szCs w:val="22"/>
          <w:lang w:eastAsia="en-US"/>
        </w:rPr>
        <w:t>Asimismo, el análisis se basó en datos sobre innovación en las empresas para describir las actividades de innovación, las fuentes de financiación, la cooperación, las fuentes de c</w:t>
      </w:r>
      <w:r w:rsidR="002B3E7D" w:rsidRPr="0089091E">
        <w:rPr>
          <w:rFonts w:eastAsia="Arial"/>
          <w:color w:val="000000"/>
          <w:szCs w:val="22"/>
          <w:lang w:eastAsia="en-US"/>
        </w:rPr>
        <w:t>onocimiento</w:t>
      </w:r>
      <w:r w:rsidR="000B79E8" w:rsidRPr="0089091E">
        <w:rPr>
          <w:rFonts w:eastAsia="Arial"/>
          <w:color w:val="000000"/>
          <w:szCs w:val="22"/>
          <w:lang w:eastAsia="en-US"/>
        </w:rPr>
        <w:t xml:space="preserve"> y los factores obstaculizadores.</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0B79E8"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 xml:space="preserve">Las </w:t>
      </w:r>
      <w:r w:rsidR="005940F6" w:rsidRPr="0089091E">
        <w:rPr>
          <w:rFonts w:eastAsia="Arial"/>
          <w:color w:val="000000"/>
          <w:szCs w:val="22"/>
          <w:lang w:eastAsia="en-US"/>
        </w:rPr>
        <w:t>principales</w:t>
      </w:r>
      <w:r w:rsidRPr="0089091E">
        <w:rPr>
          <w:rFonts w:eastAsia="Arial"/>
          <w:color w:val="000000"/>
          <w:szCs w:val="22"/>
          <w:lang w:eastAsia="en-US"/>
        </w:rPr>
        <w:t xml:space="preserve"> fuentes para la realización del estudio fueron la Oficina Central de Estadística de Polonia, </w:t>
      </w:r>
      <w:r w:rsidRPr="0089091E">
        <w:rPr>
          <w:rFonts w:eastAsia="Arial"/>
          <w:i/>
          <w:color w:val="000000"/>
          <w:szCs w:val="22"/>
          <w:lang w:eastAsia="en-US"/>
        </w:rPr>
        <w:t>Eurostat</w:t>
      </w:r>
      <w:r w:rsidRPr="0089091E">
        <w:rPr>
          <w:rFonts w:eastAsia="Arial"/>
          <w:color w:val="000000"/>
          <w:szCs w:val="22"/>
          <w:lang w:eastAsia="en-US"/>
        </w:rPr>
        <w:t>, informes anuales del sector y la literatura científica y técnica existente.</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AB727F" w:rsidP="00994E42">
      <w:pPr>
        <w:keepNext/>
        <w:widowControl w:val="0"/>
        <w:pBdr>
          <w:top w:val="nil"/>
          <w:left w:val="nil"/>
          <w:bottom w:val="nil"/>
          <w:right w:val="nil"/>
          <w:between w:val="nil"/>
        </w:pBdr>
        <w:ind w:left="432" w:hanging="432"/>
        <w:outlineLvl w:val="1"/>
        <w:rPr>
          <w:rFonts w:eastAsia="Arial"/>
          <w:i/>
          <w:color w:val="000000"/>
          <w:sz w:val="24"/>
          <w:szCs w:val="24"/>
          <w:lang w:eastAsia="en-US"/>
        </w:rPr>
      </w:pPr>
      <w:r w:rsidRPr="0089091E">
        <w:rPr>
          <w:rFonts w:eastAsia="Arial"/>
          <w:i/>
          <w:color w:val="000000"/>
          <w:sz w:val="24"/>
          <w:szCs w:val="24"/>
          <w:lang w:eastAsia="en-US"/>
        </w:rPr>
        <w:lastRenderedPageBreak/>
        <w:t xml:space="preserve">2- </w:t>
      </w:r>
      <w:r w:rsidR="00AC1F39" w:rsidRPr="0089091E">
        <w:rPr>
          <w:rFonts w:eastAsia="Arial"/>
          <w:i/>
          <w:color w:val="000000"/>
          <w:sz w:val="24"/>
          <w:szCs w:val="24"/>
          <w:lang w:eastAsia="en-US"/>
        </w:rPr>
        <w:t>Inventario de patentes de las tecnologías relacionadas con la salud</w:t>
      </w:r>
    </w:p>
    <w:p w:rsidR="008211A8" w:rsidRPr="0089091E" w:rsidRDefault="008211A8" w:rsidP="00994E42">
      <w:pPr>
        <w:keepNext/>
        <w:widowControl w:val="0"/>
        <w:pBdr>
          <w:top w:val="nil"/>
          <w:left w:val="nil"/>
          <w:bottom w:val="nil"/>
          <w:right w:val="nil"/>
          <w:between w:val="nil"/>
        </w:pBdr>
        <w:rPr>
          <w:rFonts w:eastAsia="Arial"/>
          <w:color w:val="000000"/>
          <w:szCs w:val="22"/>
          <w:lang w:eastAsia="en-US"/>
        </w:rPr>
      </w:pPr>
    </w:p>
    <w:p w:rsidR="008211A8" w:rsidRPr="0089091E" w:rsidRDefault="007F26A5" w:rsidP="00994E42">
      <w:pPr>
        <w:keepNext/>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El estu</w:t>
      </w:r>
      <w:r w:rsidR="00662AEA" w:rsidRPr="0089091E">
        <w:rPr>
          <w:rFonts w:eastAsia="Arial"/>
          <w:color w:val="000000"/>
          <w:szCs w:val="22"/>
          <w:lang w:eastAsia="en-US"/>
        </w:rPr>
        <w:t>dio se centró en las tendencias</w:t>
      </w:r>
      <w:r w:rsidRPr="0089091E">
        <w:rPr>
          <w:rFonts w:eastAsia="Arial"/>
          <w:color w:val="000000"/>
          <w:szCs w:val="22"/>
          <w:lang w:eastAsia="en-US"/>
        </w:rPr>
        <w:t xml:space="preserve"> de presentación de soli</w:t>
      </w:r>
      <w:r w:rsidR="00AA7450" w:rsidRPr="0089091E">
        <w:rPr>
          <w:rFonts w:eastAsia="Arial"/>
          <w:color w:val="000000"/>
          <w:szCs w:val="22"/>
          <w:lang w:eastAsia="en-US"/>
        </w:rPr>
        <w:t>citudes de patente</w:t>
      </w:r>
      <w:r w:rsidRPr="0089091E">
        <w:rPr>
          <w:rFonts w:eastAsia="Arial"/>
          <w:color w:val="000000"/>
          <w:szCs w:val="22"/>
          <w:lang w:eastAsia="en-US"/>
        </w:rPr>
        <w:t xml:space="preserve"> y </w:t>
      </w:r>
      <w:r w:rsidR="00AA7450" w:rsidRPr="0089091E">
        <w:rPr>
          <w:rFonts w:eastAsia="Arial"/>
          <w:color w:val="000000"/>
          <w:szCs w:val="22"/>
          <w:lang w:eastAsia="en-US"/>
        </w:rPr>
        <w:t xml:space="preserve">de </w:t>
      </w:r>
      <w:r w:rsidRPr="0089091E">
        <w:rPr>
          <w:rFonts w:eastAsia="Arial"/>
          <w:color w:val="000000"/>
          <w:szCs w:val="22"/>
          <w:lang w:eastAsia="en-US"/>
        </w:rPr>
        <w:t xml:space="preserve">modelos de utilidad tanto en Polonia como en el extranjero por parte de solicitantes polacos. </w:t>
      </w:r>
      <w:r w:rsidR="009E6E0A" w:rsidRPr="0089091E">
        <w:rPr>
          <w:rFonts w:eastAsia="Arial"/>
          <w:color w:val="000000"/>
          <w:szCs w:val="22"/>
          <w:lang w:eastAsia="en-US"/>
        </w:rPr>
        <w:t xml:space="preserve">Se basó en los parámetros e indicadores utilizados para el análisis de las patentes, a partir de los conocimientos especializados sobre el examen de patentes y las estadísticas de PI de los equipos de la </w:t>
      </w:r>
      <w:r w:rsidR="001D77C4">
        <w:rPr>
          <w:rFonts w:eastAsia="Arial"/>
          <w:color w:val="000000"/>
          <w:szCs w:val="22"/>
          <w:lang w:eastAsia="en-US"/>
        </w:rPr>
        <w:t>PPO</w:t>
      </w:r>
      <w:r w:rsidR="009E6E0A" w:rsidRPr="0089091E">
        <w:rPr>
          <w:rFonts w:eastAsia="Arial"/>
          <w:color w:val="000000"/>
          <w:szCs w:val="22"/>
          <w:lang w:eastAsia="en-US"/>
        </w:rPr>
        <w:t xml:space="preserve"> y la División de Ec</w:t>
      </w:r>
      <w:r w:rsidR="00AB364E" w:rsidRPr="0089091E">
        <w:rPr>
          <w:rFonts w:eastAsia="Arial"/>
          <w:color w:val="000000"/>
          <w:szCs w:val="22"/>
          <w:lang w:eastAsia="en-US"/>
        </w:rPr>
        <w:t>onomía y Estadística de la OMPI</w:t>
      </w:r>
      <w:r w:rsidR="00AB727F" w:rsidRPr="0089091E">
        <w:rPr>
          <w:rFonts w:eastAsia="Arial"/>
          <w:color w:val="000000"/>
          <w:szCs w:val="22"/>
          <w:lang w:eastAsia="en-US"/>
        </w:rPr>
        <w:t>.</w:t>
      </w:r>
      <w:r w:rsidR="00662AEA" w:rsidRPr="0089091E">
        <w:rPr>
          <w:rFonts w:eastAsia="Arial"/>
          <w:color w:val="000000"/>
          <w:szCs w:val="22"/>
          <w:lang w:eastAsia="en-US"/>
        </w:rPr>
        <w:t xml:space="preserve"> </w:t>
      </w:r>
      <w:r w:rsidR="00AB364E" w:rsidRPr="0089091E">
        <w:rPr>
          <w:rFonts w:eastAsia="Arial"/>
          <w:color w:val="000000"/>
          <w:szCs w:val="22"/>
          <w:lang w:eastAsia="en-US"/>
        </w:rPr>
        <w:t>Los conceptos y las definiciones utilizados en el análisis respetaron las principales definiciones de la actual literatura científica relacionada con la PI</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1B1A5A"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 xml:space="preserve">Las fuentes de los datos de referencia consistieron en las solicitudes de patente y de modelos de utilidad presentadas ante la </w:t>
      </w:r>
      <w:r w:rsidR="001D77C4">
        <w:rPr>
          <w:rFonts w:eastAsia="Arial"/>
          <w:color w:val="000000"/>
          <w:szCs w:val="22"/>
          <w:lang w:eastAsia="en-US"/>
        </w:rPr>
        <w:t>PPO</w:t>
      </w:r>
      <w:r w:rsidRPr="0089091E">
        <w:rPr>
          <w:rFonts w:eastAsia="Arial"/>
          <w:color w:val="000000"/>
          <w:szCs w:val="22"/>
          <w:lang w:eastAsia="en-US"/>
        </w:rPr>
        <w:t xml:space="preserve"> por residentes y no residentes polacos, la OEP y validadas en Polonia por res</w:t>
      </w:r>
      <w:r w:rsidR="001B0CBD" w:rsidRPr="0089091E">
        <w:rPr>
          <w:rFonts w:eastAsia="Arial"/>
          <w:color w:val="000000"/>
          <w:szCs w:val="22"/>
          <w:lang w:eastAsia="en-US"/>
        </w:rPr>
        <w:t>identes y no residentes polacos</w:t>
      </w:r>
      <w:r w:rsidRPr="0089091E">
        <w:rPr>
          <w:rFonts w:eastAsia="Arial"/>
          <w:color w:val="000000"/>
          <w:szCs w:val="22"/>
          <w:lang w:eastAsia="en-US"/>
        </w:rPr>
        <w:t>, y en el extranjero por residentes polacos</w:t>
      </w:r>
      <w:r w:rsidR="00AB727F" w:rsidRPr="0089091E">
        <w:rPr>
          <w:rFonts w:eastAsia="Arial"/>
          <w:color w:val="000000"/>
          <w:szCs w:val="22"/>
          <w:lang w:eastAsia="en-US"/>
        </w:rPr>
        <w:t>.</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AB727F" w:rsidP="00AB727F">
      <w:pPr>
        <w:keepNext/>
        <w:keepLines/>
        <w:widowControl w:val="0"/>
        <w:pBdr>
          <w:top w:val="nil"/>
          <w:left w:val="nil"/>
          <w:bottom w:val="nil"/>
          <w:right w:val="nil"/>
          <w:between w:val="nil"/>
        </w:pBdr>
        <w:ind w:left="432" w:hanging="432"/>
        <w:outlineLvl w:val="1"/>
        <w:rPr>
          <w:rFonts w:eastAsia="Arial"/>
          <w:i/>
          <w:color w:val="000000"/>
          <w:sz w:val="24"/>
          <w:szCs w:val="24"/>
          <w:lang w:eastAsia="en-US"/>
        </w:rPr>
      </w:pPr>
      <w:r w:rsidRPr="0089091E">
        <w:rPr>
          <w:rFonts w:eastAsia="Arial"/>
          <w:i/>
          <w:color w:val="000000"/>
          <w:sz w:val="24"/>
          <w:szCs w:val="24"/>
          <w:lang w:eastAsia="en-US"/>
        </w:rPr>
        <w:t xml:space="preserve">3- </w:t>
      </w:r>
      <w:r w:rsidR="001B0CBD" w:rsidRPr="0089091E">
        <w:rPr>
          <w:rFonts w:eastAsia="Arial"/>
          <w:i/>
          <w:color w:val="000000"/>
          <w:sz w:val="24"/>
          <w:szCs w:val="24"/>
          <w:lang w:eastAsia="en-US"/>
        </w:rPr>
        <w:t>Evaluación cualitativa del sector de la salud en Polonia</w:t>
      </w:r>
    </w:p>
    <w:p w:rsidR="008211A8" w:rsidRPr="0089091E" w:rsidRDefault="008211A8" w:rsidP="00AB727F">
      <w:pPr>
        <w:keepNext/>
        <w:keepLines/>
        <w:widowControl w:val="0"/>
        <w:pBdr>
          <w:top w:val="nil"/>
          <w:left w:val="nil"/>
          <w:bottom w:val="nil"/>
          <w:right w:val="nil"/>
          <w:between w:val="nil"/>
        </w:pBdr>
        <w:rPr>
          <w:rFonts w:eastAsia="Arial"/>
          <w:color w:val="000000"/>
          <w:szCs w:val="22"/>
          <w:lang w:eastAsia="en-US"/>
        </w:rPr>
      </w:pPr>
    </w:p>
    <w:p w:rsidR="008211A8" w:rsidRPr="0089091E" w:rsidRDefault="00F96178" w:rsidP="00AB727F">
      <w:pPr>
        <w:keepNext/>
        <w:keepLines/>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La evaluación cualitativa de la</w:t>
      </w:r>
      <w:r w:rsidR="001B0CBD" w:rsidRPr="0089091E">
        <w:rPr>
          <w:rFonts w:eastAsia="Arial"/>
          <w:color w:val="000000"/>
          <w:szCs w:val="22"/>
          <w:lang w:eastAsia="en-US"/>
        </w:rPr>
        <w:t xml:space="preserve"> industria farmacéutica y </w:t>
      </w:r>
      <w:r>
        <w:rPr>
          <w:rFonts w:eastAsia="Arial"/>
          <w:color w:val="000000"/>
          <w:szCs w:val="22"/>
          <w:lang w:eastAsia="en-US"/>
        </w:rPr>
        <w:t xml:space="preserve">de tecnología </w:t>
      </w:r>
      <w:r w:rsidR="001B0CBD" w:rsidRPr="0089091E">
        <w:rPr>
          <w:rFonts w:eastAsia="Arial"/>
          <w:color w:val="000000"/>
          <w:szCs w:val="22"/>
          <w:lang w:eastAsia="en-US"/>
        </w:rPr>
        <w:t>médica de Polonia se basó en un exhaustivo estudio que contaba con más de 40 encuestas realizadas por las partes interesadas del ámbito local en dicho sector.</w:t>
      </w:r>
      <w:r w:rsidR="00662AEA" w:rsidRPr="0089091E">
        <w:rPr>
          <w:rFonts w:eastAsia="Arial"/>
          <w:color w:val="000000"/>
          <w:szCs w:val="22"/>
          <w:lang w:eastAsia="en-US"/>
        </w:rPr>
        <w:t xml:space="preserve"> </w:t>
      </w:r>
      <w:r w:rsidR="00855D04" w:rsidRPr="0089091E">
        <w:rPr>
          <w:rFonts w:eastAsia="Arial"/>
          <w:color w:val="000000"/>
          <w:szCs w:val="22"/>
          <w:lang w:eastAsia="en-US"/>
        </w:rPr>
        <w:t>El análisis se centró en el efecto de la protección por patente sobre las condi</w:t>
      </w:r>
      <w:r>
        <w:rPr>
          <w:rFonts w:eastAsia="Arial"/>
          <w:color w:val="000000"/>
          <w:szCs w:val="22"/>
          <w:lang w:eastAsia="en-US"/>
        </w:rPr>
        <w:t>ciones para la innovación en la</w:t>
      </w:r>
      <w:r w:rsidR="00855D04" w:rsidRPr="0089091E">
        <w:rPr>
          <w:rFonts w:eastAsia="Arial"/>
          <w:color w:val="000000"/>
          <w:szCs w:val="22"/>
          <w:lang w:eastAsia="en-US"/>
        </w:rPr>
        <w:t xml:space="preserve"> </w:t>
      </w:r>
      <w:r>
        <w:rPr>
          <w:rFonts w:eastAsia="Arial"/>
          <w:szCs w:val="22"/>
          <w:lang w:eastAsia="en-US"/>
        </w:rPr>
        <w:t>industria</w:t>
      </w:r>
      <w:r w:rsidR="000D661E" w:rsidRPr="0089091E">
        <w:rPr>
          <w:rFonts w:eastAsia="Arial"/>
          <w:szCs w:val="22"/>
          <w:lang w:eastAsia="en-US"/>
        </w:rPr>
        <w:t xml:space="preserve"> </w:t>
      </w:r>
      <w:r w:rsidR="00855D04" w:rsidRPr="0089091E">
        <w:rPr>
          <w:rFonts w:eastAsia="Arial"/>
          <w:szCs w:val="22"/>
          <w:lang w:eastAsia="en-US"/>
        </w:rPr>
        <w:t xml:space="preserve">farmacéutica y </w:t>
      </w:r>
      <w:r>
        <w:rPr>
          <w:rFonts w:eastAsia="Arial"/>
          <w:szCs w:val="22"/>
          <w:lang w:eastAsia="en-US"/>
        </w:rPr>
        <w:t xml:space="preserve">de tecnología </w:t>
      </w:r>
      <w:r w:rsidR="00855D04" w:rsidRPr="0089091E">
        <w:rPr>
          <w:rFonts w:eastAsia="Arial"/>
          <w:szCs w:val="22"/>
          <w:lang w:eastAsia="en-US"/>
        </w:rPr>
        <w:t>médica</w:t>
      </w:r>
      <w:r w:rsidR="00855D04" w:rsidRPr="0089091E">
        <w:rPr>
          <w:rFonts w:eastAsia="Arial"/>
          <w:color w:val="000000"/>
          <w:szCs w:val="22"/>
          <w:lang w:eastAsia="en-US"/>
        </w:rPr>
        <w:t>, teniendo en cuenta la experiencia de los empresarios polacos</w:t>
      </w:r>
    </w:p>
    <w:p w:rsidR="008211A8" w:rsidRPr="0089091E" w:rsidRDefault="008211A8" w:rsidP="00AB727F">
      <w:pPr>
        <w:keepNext/>
        <w:keepLines/>
        <w:widowControl w:val="0"/>
        <w:pBdr>
          <w:top w:val="nil"/>
          <w:left w:val="nil"/>
          <w:bottom w:val="nil"/>
          <w:right w:val="nil"/>
          <w:between w:val="nil"/>
        </w:pBdr>
        <w:rPr>
          <w:rFonts w:eastAsia="Arial"/>
          <w:color w:val="000000"/>
          <w:szCs w:val="22"/>
          <w:lang w:eastAsia="en-US"/>
        </w:rPr>
      </w:pPr>
    </w:p>
    <w:p w:rsidR="008211A8" w:rsidRPr="0089091E" w:rsidRDefault="004B6EA6"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 xml:space="preserve">Un consultor superior local y la </w:t>
      </w:r>
      <w:r w:rsidR="001D77C4">
        <w:rPr>
          <w:rFonts w:eastAsia="Arial"/>
          <w:color w:val="000000"/>
          <w:szCs w:val="22"/>
          <w:lang w:eastAsia="en-US"/>
        </w:rPr>
        <w:t>PPO</w:t>
      </w:r>
      <w:r w:rsidRPr="0089091E">
        <w:rPr>
          <w:rFonts w:eastAsia="Arial"/>
          <w:color w:val="000000"/>
          <w:szCs w:val="22"/>
          <w:lang w:eastAsia="en-US"/>
        </w:rPr>
        <w:t xml:space="preserve"> elaboraron conjuntamente un guion para la encuesta a fin de recabar información cualitativa y determinaron la muestra de </w:t>
      </w:r>
      <w:r w:rsidR="0070702F" w:rsidRPr="0089091E">
        <w:rPr>
          <w:rFonts w:eastAsia="Arial"/>
          <w:color w:val="000000"/>
          <w:szCs w:val="22"/>
          <w:lang w:eastAsia="en-US"/>
        </w:rPr>
        <w:t>encuestados</w:t>
      </w:r>
      <w:r w:rsidRPr="0089091E">
        <w:rPr>
          <w:rFonts w:eastAsia="Arial"/>
          <w:color w:val="000000"/>
          <w:szCs w:val="22"/>
          <w:lang w:eastAsia="en-US"/>
        </w:rPr>
        <w:t>.</w:t>
      </w:r>
      <w:r w:rsidR="00662AEA" w:rsidRPr="0089091E">
        <w:rPr>
          <w:rFonts w:eastAsia="Arial"/>
          <w:color w:val="000000"/>
          <w:szCs w:val="22"/>
          <w:lang w:eastAsia="en-US"/>
        </w:rPr>
        <w:t xml:space="preserve"> </w:t>
      </w:r>
      <w:r w:rsidRPr="0089091E">
        <w:rPr>
          <w:rFonts w:eastAsia="Arial"/>
          <w:color w:val="000000"/>
          <w:szCs w:val="22"/>
          <w:lang w:eastAsia="en-US"/>
        </w:rPr>
        <w:t xml:space="preserve">La </w:t>
      </w:r>
      <w:r w:rsidR="001D77C4">
        <w:rPr>
          <w:rFonts w:eastAsia="Arial"/>
          <w:color w:val="000000"/>
          <w:szCs w:val="22"/>
          <w:lang w:eastAsia="en-US"/>
        </w:rPr>
        <w:t>PPO</w:t>
      </w:r>
      <w:r w:rsidRPr="0089091E">
        <w:rPr>
          <w:rFonts w:eastAsia="Arial"/>
          <w:color w:val="000000"/>
          <w:szCs w:val="22"/>
          <w:lang w:eastAsia="en-US"/>
        </w:rPr>
        <w:t xml:space="preserve"> coordinó el trabajo de campo, llevado a cabo por jóvenes consultores del ámbito local, contratados y formados expresamente para este fin.</w:t>
      </w:r>
      <w:r w:rsidR="00662AEA" w:rsidRPr="0089091E">
        <w:rPr>
          <w:rFonts w:eastAsia="Arial"/>
          <w:color w:val="000000"/>
          <w:szCs w:val="22"/>
          <w:lang w:eastAsia="en-US"/>
        </w:rPr>
        <w:t xml:space="preserve"> </w:t>
      </w:r>
      <w:r w:rsidRPr="0089091E">
        <w:rPr>
          <w:rFonts w:eastAsia="Arial"/>
          <w:color w:val="000000"/>
          <w:szCs w:val="22"/>
          <w:lang w:eastAsia="en-US"/>
        </w:rPr>
        <w:t xml:space="preserve">Un consultor superior local realizó el estudio final bajo la supervisión de los equipos de la </w:t>
      </w:r>
      <w:r w:rsidR="001D77C4">
        <w:rPr>
          <w:rFonts w:eastAsia="Arial"/>
          <w:color w:val="000000"/>
          <w:szCs w:val="22"/>
          <w:lang w:eastAsia="en-US"/>
        </w:rPr>
        <w:t>PPO</w:t>
      </w:r>
      <w:r w:rsidRPr="0089091E">
        <w:rPr>
          <w:rFonts w:eastAsia="Arial"/>
          <w:color w:val="000000"/>
          <w:szCs w:val="22"/>
          <w:lang w:eastAsia="en-US"/>
        </w:rPr>
        <w:t xml:space="preserve"> y la División de Economía y Estadística de la OMPI.</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F33CF0" w:rsidP="00AB727F">
      <w:pPr>
        <w:widowControl w:val="0"/>
        <w:pBdr>
          <w:top w:val="nil"/>
          <w:left w:val="nil"/>
          <w:bottom w:val="nil"/>
          <w:right w:val="nil"/>
          <w:between w:val="nil"/>
        </w:pBdr>
        <w:ind w:left="432" w:hanging="432"/>
        <w:outlineLvl w:val="0"/>
        <w:rPr>
          <w:rFonts w:eastAsia="Arial"/>
          <w:b/>
          <w:color w:val="000000"/>
          <w:sz w:val="24"/>
          <w:szCs w:val="24"/>
          <w:lang w:eastAsia="en-US"/>
        </w:rPr>
      </w:pPr>
      <w:bookmarkStart w:id="6" w:name="_karvvw93relf" w:colFirst="0" w:colLast="0"/>
      <w:bookmarkEnd w:id="6"/>
      <w:r w:rsidRPr="0089091E">
        <w:rPr>
          <w:rFonts w:eastAsia="Arial"/>
          <w:b/>
          <w:color w:val="000000"/>
          <w:sz w:val="24"/>
          <w:szCs w:val="24"/>
          <w:lang w:eastAsia="en-US"/>
        </w:rPr>
        <w:t>Calendario de ejecución y principales actividades</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662AEA" w:rsidRPr="0089091E" w:rsidRDefault="0089091E" w:rsidP="00AB727F">
      <w:pPr>
        <w:widowControl w:val="0"/>
        <w:pBdr>
          <w:top w:val="nil"/>
          <w:left w:val="nil"/>
          <w:bottom w:val="nil"/>
          <w:right w:val="nil"/>
          <w:between w:val="nil"/>
        </w:pBdr>
        <w:rPr>
          <w:rFonts w:eastAsia="Arial"/>
          <w:color w:val="000000"/>
          <w:szCs w:val="22"/>
          <w:lang w:eastAsia="en-US"/>
        </w:rPr>
      </w:pPr>
      <w:r w:rsidRPr="0089091E">
        <w:rPr>
          <w:rFonts w:eastAsia="Arial"/>
          <w:color w:val="000000"/>
          <w:szCs w:val="22"/>
          <w:lang w:eastAsia="en-US"/>
        </w:rPr>
        <w:t xml:space="preserve">Los exámenes iniciales </w:t>
      </w:r>
      <w:r>
        <w:rPr>
          <w:rFonts w:eastAsia="Arial"/>
          <w:color w:val="000000"/>
          <w:szCs w:val="22"/>
          <w:lang w:eastAsia="en-US"/>
        </w:rPr>
        <w:t>sobre el estudio de país se iniciaron en 2015, y dieron lugar a una misión exploratoria en Varsovia y Cracovia en marzo de 2015, tras la cual la División de Economía y Estadística</w:t>
      </w:r>
      <w:r w:rsidRPr="0089091E">
        <w:rPr>
          <w:rFonts w:eastAsia="Arial"/>
          <w:color w:val="000000"/>
          <w:szCs w:val="22"/>
          <w:lang w:eastAsia="en-US"/>
        </w:rPr>
        <w:t xml:space="preserve"> </w:t>
      </w:r>
      <w:r>
        <w:rPr>
          <w:rFonts w:eastAsia="Arial"/>
          <w:color w:val="000000"/>
          <w:szCs w:val="22"/>
          <w:lang w:eastAsia="en-US"/>
        </w:rPr>
        <w:t xml:space="preserve">de la OMPI acordó emprender el estudio de país. La misión fue decisiva para establecer la viabilidad y el alcance del estudio en reuniones celebradas con las principales entidades gubernamentales polacas y los sectores académicos y privados interesados. El estudio se inició oficialmente en mayo de 2016 cuando la </w:t>
      </w:r>
      <w:r w:rsidR="001D77C4">
        <w:rPr>
          <w:rFonts w:eastAsia="Arial"/>
          <w:color w:val="000000"/>
          <w:szCs w:val="22"/>
          <w:lang w:eastAsia="en-US"/>
        </w:rPr>
        <w:t>PPO</w:t>
      </w:r>
      <w:r>
        <w:rPr>
          <w:rFonts w:eastAsia="Arial"/>
          <w:color w:val="000000"/>
          <w:szCs w:val="22"/>
          <w:lang w:eastAsia="en-US"/>
        </w:rPr>
        <w:t xml:space="preserve"> y la OMPI firmaron un acuerdo de investigación. En el acuerdo se preveía que la </w:t>
      </w:r>
      <w:r w:rsidR="001D77C4">
        <w:rPr>
          <w:rFonts w:eastAsia="Arial"/>
          <w:color w:val="000000"/>
          <w:szCs w:val="22"/>
          <w:lang w:eastAsia="en-US"/>
        </w:rPr>
        <w:t>PPO</w:t>
      </w:r>
      <w:r>
        <w:rPr>
          <w:rFonts w:eastAsia="Arial"/>
          <w:color w:val="000000"/>
          <w:szCs w:val="22"/>
          <w:lang w:eastAsia="en-US"/>
        </w:rPr>
        <w:t xml:space="preserve"> ejecutara la labor a nivel local, especialmente el trabajo de campo en relación </w:t>
      </w:r>
      <w:r w:rsidR="00FE28CB">
        <w:rPr>
          <w:rFonts w:eastAsia="Arial"/>
          <w:color w:val="000000"/>
          <w:szCs w:val="22"/>
          <w:lang w:eastAsia="en-US"/>
        </w:rPr>
        <w:t>con la calidad.</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Pr="0089091E" w:rsidRDefault="0089091E" w:rsidP="00E353D4">
      <w:pPr>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 xml:space="preserve">Los avances en la labor del estudio </w:t>
      </w:r>
      <w:r w:rsidR="00FE28CB">
        <w:rPr>
          <w:rFonts w:eastAsia="Arial"/>
          <w:color w:val="000000"/>
          <w:szCs w:val="22"/>
          <w:lang w:eastAsia="en-US"/>
        </w:rPr>
        <w:t xml:space="preserve">se examinaron conjuntamente en un taller especial celebrado en Cracovia en septiembre de 2016. La reunión sirvió para examinar los resultados preliminares de las partes 1 y 2, y la ejecución del trabajo de campo de la parte 3. Tras el examen de mitad del período, la </w:t>
      </w:r>
      <w:r w:rsidR="00FE28CB" w:rsidRPr="00FE28CB">
        <w:rPr>
          <w:rFonts w:eastAsia="Arial"/>
          <w:color w:val="000000"/>
          <w:szCs w:val="22"/>
          <w:lang w:eastAsia="en-US"/>
        </w:rPr>
        <w:t>División de Economía y Estadística de la OMPI</w:t>
      </w:r>
      <w:r w:rsidR="00FE28CB">
        <w:rPr>
          <w:rFonts w:eastAsia="Arial"/>
          <w:color w:val="000000"/>
          <w:szCs w:val="22"/>
          <w:lang w:eastAsia="en-US"/>
        </w:rPr>
        <w:t xml:space="preserve"> decidió cambiar la estrategia del análisis principal de las tres partes debido a </w:t>
      </w:r>
      <w:r w:rsidR="00E353D4">
        <w:rPr>
          <w:rFonts w:eastAsia="Arial"/>
          <w:color w:val="000000"/>
          <w:szCs w:val="22"/>
          <w:lang w:eastAsia="en-US"/>
        </w:rPr>
        <w:t>un problema de calendario</w:t>
      </w:r>
      <w:r w:rsidR="00FE28CB">
        <w:rPr>
          <w:rFonts w:eastAsia="Arial"/>
          <w:color w:val="000000"/>
          <w:szCs w:val="22"/>
          <w:lang w:eastAsia="en-US"/>
        </w:rPr>
        <w:t xml:space="preserve"> </w:t>
      </w:r>
      <w:r w:rsidR="00E353D4">
        <w:rPr>
          <w:rFonts w:eastAsia="Arial"/>
          <w:color w:val="000000"/>
          <w:szCs w:val="22"/>
          <w:lang w:eastAsia="en-US"/>
        </w:rPr>
        <w:t xml:space="preserve">con </w:t>
      </w:r>
      <w:r w:rsidR="00FE28CB">
        <w:rPr>
          <w:rFonts w:eastAsia="Arial"/>
          <w:color w:val="000000"/>
          <w:szCs w:val="22"/>
          <w:lang w:eastAsia="en-US"/>
        </w:rPr>
        <w:t xml:space="preserve">el consultor superior local. En consecuencia, </w:t>
      </w:r>
      <w:r w:rsidR="00E353D4">
        <w:rPr>
          <w:rFonts w:eastAsia="Arial"/>
          <w:color w:val="000000"/>
          <w:szCs w:val="22"/>
          <w:lang w:eastAsia="en-US"/>
        </w:rPr>
        <w:t xml:space="preserve">nuevos consultores asumieron la dirección de las tareas analíticas de las partes 1 y 3, mientras que el personal de la </w:t>
      </w:r>
      <w:r w:rsidR="001D77C4">
        <w:rPr>
          <w:rFonts w:eastAsia="Arial"/>
          <w:color w:val="000000"/>
          <w:szCs w:val="22"/>
          <w:lang w:eastAsia="en-US"/>
        </w:rPr>
        <w:t>PPO</w:t>
      </w:r>
      <w:r w:rsidR="00E353D4">
        <w:rPr>
          <w:rFonts w:eastAsia="Arial"/>
          <w:color w:val="000000"/>
          <w:szCs w:val="22"/>
          <w:lang w:eastAsia="en-US"/>
        </w:rPr>
        <w:t xml:space="preserve"> dirigió la labor analítica de la parte 2.</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662AEA" w:rsidRPr="0089091E" w:rsidRDefault="00E353D4" w:rsidP="00E353D4">
      <w:pPr>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 xml:space="preserve">Las tres partes se agruparon en 3 estudios independientes pero relacionados entre sí, que se finalizaron y </w:t>
      </w:r>
      <w:r w:rsidR="001B6F56">
        <w:rPr>
          <w:rFonts w:eastAsia="Arial"/>
          <w:color w:val="000000"/>
          <w:szCs w:val="22"/>
          <w:lang w:eastAsia="en-US"/>
        </w:rPr>
        <w:t xml:space="preserve">se sometieron a un examen </w:t>
      </w:r>
      <w:r>
        <w:rPr>
          <w:rFonts w:eastAsia="Arial"/>
          <w:color w:val="000000"/>
          <w:szCs w:val="22"/>
          <w:lang w:eastAsia="en-US"/>
        </w:rPr>
        <w:t xml:space="preserve">externo en julio de </w:t>
      </w:r>
      <w:r w:rsidR="00AB727F" w:rsidRPr="0089091E">
        <w:rPr>
          <w:rFonts w:eastAsia="Arial"/>
          <w:color w:val="000000"/>
          <w:szCs w:val="22"/>
          <w:lang w:eastAsia="en-US"/>
        </w:rPr>
        <w:t>2018.</w:t>
      </w:r>
    </w:p>
    <w:p w:rsidR="008211A8" w:rsidRPr="0089091E" w:rsidRDefault="008211A8" w:rsidP="00AB727F">
      <w:pPr>
        <w:widowControl w:val="0"/>
        <w:pBdr>
          <w:top w:val="nil"/>
          <w:left w:val="nil"/>
          <w:bottom w:val="nil"/>
          <w:right w:val="nil"/>
          <w:between w:val="nil"/>
        </w:pBdr>
        <w:spacing w:after="120"/>
        <w:rPr>
          <w:rFonts w:eastAsia="Arial"/>
          <w:color w:val="000000"/>
          <w:szCs w:val="22"/>
          <w:lang w:eastAsia="en-US"/>
        </w:rPr>
      </w:pPr>
    </w:p>
    <w:p w:rsidR="008211A8" w:rsidRPr="0089091E" w:rsidRDefault="001B6F56" w:rsidP="00912EE7">
      <w:pPr>
        <w:keepNext/>
        <w:widowControl w:val="0"/>
        <w:pBdr>
          <w:top w:val="nil"/>
          <w:left w:val="nil"/>
          <w:bottom w:val="nil"/>
          <w:right w:val="nil"/>
          <w:between w:val="nil"/>
        </w:pBdr>
        <w:ind w:left="432" w:hanging="432"/>
        <w:outlineLvl w:val="0"/>
        <w:rPr>
          <w:rFonts w:eastAsia="Arial"/>
          <w:b/>
          <w:color w:val="000000"/>
          <w:sz w:val="24"/>
          <w:szCs w:val="24"/>
          <w:lang w:eastAsia="en-US"/>
        </w:rPr>
      </w:pPr>
      <w:r>
        <w:rPr>
          <w:rFonts w:eastAsia="Arial"/>
          <w:b/>
          <w:color w:val="000000"/>
          <w:sz w:val="24"/>
          <w:szCs w:val="24"/>
          <w:lang w:eastAsia="en-US"/>
        </w:rPr>
        <w:lastRenderedPageBreak/>
        <w:t>Enseñanzas extraídas</w:t>
      </w:r>
    </w:p>
    <w:p w:rsidR="008211A8" w:rsidRPr="0089091E" w:rsidRDefault="008211A8" w:rsidP="00912EE7">
      <w:pPr>
        <w:keepNext/>
        <w:widowControl w:val="0"/>
        <w:pBdr>
          <w:top w:val="nil"/>
          <w:left w:val="nil"/>
          <w:bottom w:val="nil"/>
          <w:right w:val="nil"/>
          <w:between w:val="nil"/>
        </w:pBdr>
        <w:rPr>
          <w:rFonts w:eastAsia="Arial"/>
          <w:color w:val="000000"/>
          <w:szCs w:val="22"/>
          <w:lang w:eastAsia="en-US"/>
        </w:rPr>
      </w:pPr>
    </w:p>
    <w:p w:rsidR="005A4AA4" w:rsidRDefault="005A4AA4" w:rsidP="00912EE7">
      <w:pPr>
        <w:keepNext/>
        <w:widowControl w:val="0"/>
        <w:pBdr>
          <w:top w:val="nil"/>
          <w:left w:val="nil"/>
          <w:bottom w:val="nil"/>
          <w:right w:val="nil"/>
          <w:between w:val="nil"/>
        </w:pBdr>
        <w:rPr>
          <w:rFonts w:eastAsia="Arial"/>
          <w:color w:val="000000"/>
          <w:szCs w:val="22"/>
          <w:lang w:eastAsia="en-US"/>
        </w:rPr>
      </w:pPr>
      <w:r w:rsidRPr="005A4AA4">
        <w:rPr>
          <w:rFonts w:eastAsia="Arial"/>
          <w:color w:val="000000"/>
          <w:szCs w:val="22"/>
          <w:lang w:eastAsia="en-US"/>
        </w:rPr>
        <w:t xml:space="preserve">Por lo general, el estudio en el país se llevó a cabo con arreglo al alcance inicial establecido durante su concepción. No obstante, durante su ejecución se plantearon </w:t>
      </w:r>
      <w:r w:rsidR="00613637">
        <w:rPr>
          <w:rFonts w:eastAsia="Arial"/>
          <w:color w:val="000000"/>
          <w:szCs w:val="22"/>
          <w:lang w:eastAsia="en-US"/>
        </w:rPr>
        <w:t xml:space="preserve">algunas dificultades </w:t>
      </w:r>
      <w:r w:rsidRPr="005A4AA4">
        <w:rPr>
          <w:rFonts w:eastAsia="Arial"/>
          <w:color w:val="000000"/>
          <w:szCs w:val="22"/>
          <w:lang w:eastAsia="en-US"/>
        </w:rPr>
        <w:t xml:space="preserve">que repercutieron en el calendario previsto. En esta sección se explican esos desafíos y se </w:t>
      </w:r>
      <w:r w:rsidR="00613637">
        <w:rPr>
          <w:rFonts w:eastAsia="Arial"/>
          <w:color w:val="000000"/>
          <w:szCs w:val="22"/>
          <w:lang w:eastAsia="en-US"/>
        </w:rPr>
        <w:t>extraen algunas</w:t>
      </w:r>
      <w:r w:rsidRPr="005A4AA4">
        <w:rPr>
          <w:rFonts w:eastAsia="Arial"/>
          <w:color w:val="000000"/>
          <w:szCs w:val="22"/>
          <w:lang w:eastAsia="en-US"/>
        </w:rPr>
        <w:t xml:space="preserve"> </w:t>
      </w:r>
      <w:r w:rsidR="00613637">
        <w:rPr>
          <w:rFonts w:eastAsia="Arial"/>
          <w:color w:val="000000"/>
          <w:szCs w:val="22"/>
          <w:lang w:eastAsia="en-US"/>
        </w:rPr>
        <w:t>enseñanzas a partir de ella</w:t>
      </w:r>
      <w:r w:rsidRPr="005A4AA4">
        <w:rPr>
          <w:rFonts w:eastAsia="Arial"/>
          <w:color w:val="000000"/>
          <w:szCs w:val="22"/>
          <w:lang w:eastAsia="en-US"/>
        </w:rPr>
        <w:t>s.</w:t>
      </w:r>
    </w:p>
    <w:p w:rsidR="005A4AA4" w:rsidRPr="0089091E" w:rsidRDefault="005A4AA4" w:rsidP="00AB727F">
      <w:pPr>
        <w:widowControl w:val="0"/>
        <w:pBdr>
          <w:top w:val="nil"/>
          <w:left w:val="nil"/>
          <w:bottom w:val="nil"/>
          <w:right w:val="nil"/>
          <w:between w:val="nil"/>
        </w:pBdr>
        <w:rPr>
          <w:rFonts w:eastAsia="Arial"/>
          <w:color w:val="000000"/>
          <w:szCs w:val="22"/>
          <w:lang w:eastAsia="en-US"/>
        </w:rPr>
      </w:pPr>
    </w:p>
    <w:p w:rsidR="005A4AA4" w:rsidRDefault="005A4AA4" w:rsidP="00AB727F">
      <w:pPr>
        <w:widowControl w:val="0"/>
        <w:pBdr>
          <w:top w:val="nil"/>
          <w:left w:val="nil"/>
          <w:bottom w:val="nil"/>
          <w:right w:val="nil"/>
          <w:between w:val="nil"/>
        </w:pBdr>
        <w:rPr>
          <w:rFonts w:eastAsia="Arial"/>
          <w:color w:val="000000"/>
          <w:szCs w:val="22"/>
          <w:lang w:eastAsia="en-US"/>
        </w:rPr>
      </w:pPr>
      <w:r w:rsidRPr="005A4AA4">
        <w:rPr>
          <w:rFonts w:eastAsia="Arial"/>
          <w:color w:val="000000"/>
          <w:szCs w:val="22"/>
          <w:lang w:eastAsia="en-US"/>
        </w:rPr>
        <w:t>H</w:t>
      </w:r>
      <w:r w:rsidR="00613637">
        <w:rPr>
          <w:rFonts w:eastAsia="Arial"/>
          <w:color w:val="000000"/>
          <w:szCs w:val="22"/>
          <w:lang w:eastAsia="en-US"/>
        </w:rPr>
        <w:t xml:space="preserve">ubo </w:t>
      </w:r>
      <w:r w:rsidRPr="005A4AA4">
        <w:rPr>
          <w:rFonts w:eastAsia="Arial"/>
          <w:color w:val="000000"/>
          <w:szCs w:val="22"/>
          <w:lang w:eastAsia="en-US"/>
        </w:rPr>
        <w:t xml:space="preserve">tres </w:t>
      </w:r>
      <w:r w:rsidR="00377E33">
        <w:rPr>
          <w:rFonts w:eastAsia="Arial"/>
          <w:color w:val="000000"/>
          <w:szCs w:val="22"/>
          <w:lang w:eastAsia="en-US"/>
        </w:rPr>
        <w:t>contratiempos</w:t>
      </w:r>
      <w:r w:rsidRPr="005A4AA4">
        <w:rPr>
          <w:rFonts w:eastAsia="Arial"/>
          <w:color w:val="000000"/>
          <w:szCs w:val="22"/>
          <w:lang w:eastAsia="en-US"/>
        </w:rPr>
        <w:t xml:space="preserve"> que </w:t>
      </w:r>
      <w:r w:rsidR="00613637">
        <w:rPr>
          <w:rFonts w:eastAsia="Arial"/>
          <w:color w:val="000000"/>
          <w:szCs w:val="22"/>
          <w:lang w:eastAsia="en-US"/>
        </w:rPr>
        <w:t xml:space="preserve">tuvieron </w:t>
      </w:r>
      <w:r w:rsidRPr="005A4AA4">
        <w:rPr>
          <w:rFonts w:eastAsia="Arial"/>
          <w:color w:val="000000"/>
          <w:szCs w:val="22"/>
          <w:lang w:eastAsia="en-US"/>
        </w:rPr>
        <w:t xml:space="preserve">una incidencia </w:t>
      </w:r>
      <w:r w:rsidR="00613637">
        <w:rPr>
          <w:rFonts w:eastAsia="Arial"/>
          <w:color w:val="000000"/>
          <w:szCs w:val="22"/>
          <w:lang w:eastAsia="en-US"/>
        </w:rPr>
        <w:t>visible</w:t>
      </w:r>
      <w:r w:rsidRPr="005A4AA4">
        <w:rPr>
          <w:rFonts w:eastAsia="Arial"/>
          <w:color w:val="000000"/>
          <w:szCs w:val="22"/>
          <w:lang w:eastAsia="en-US"/>
        </w:rPr>
        <w:t xml:space="preserve"> en el calendario. </w:t>
      </w:r>
      <w:r w:rsidR="00C820D8">
        <w:rPr>
          <w:rFonts w:eastAsia="Arial"/>
          <w:color w:val="000000"/>
          <w:szCs w:val="22"/>
          <w:lang w:eastAsia="en-US"/>
        </w:rPr>
        <w:t>El primero</w:t>
      </w:r>
      <w:r w:rsidRPr="005A4AA4">
        <w:rPr>
          <w:rFonts w:eastAsia="Arial"/>
          <w:color w:val="000000"/>
          <w:szCs w:val="22"/>
          <w:lang w:eastAsia="en-US"/>
        </w:rPr>
        <w:t xml:space="preserve"> </w:t>
      </w:r>
      <w:r w:rsidR="00C820D8">
        <w:rPr>
          <w:rFonts w:eastAsia="Arial"/>
          <w:color w:val="000000"/>
          <w:szCs w:val="22"/>
          <w:lang w:eastAsia="en-US"/>
        </w:rPr>
        <w:t xml:space="preserve">atañe </w:t>
      </w:r>
      <w:r w:rsidRPr="005A4AA4">
        <w:rPr>
          <w:rFonts w:eastAsia="Arial"/>
          <w:color w:val="000000"/>
          <w:szCs w:val="22"/>
          <w:lang w:eastAsia="en-US"/>
        </w:rPr>
        <w:t xml:space="preserve">a la preparación de un acuerdo técnico entre la OMPI </w:t>
      </w:r>
      <w:r w:rsidR="00613637">
        <w:rPr>
          <w:rFonts w:eastAsia="Arial"/>
          <w:color w:val="000000"/>
          <w:szCs w:val="22"/>
          <w:lang w:eastAsia="en-US"/>
        </w:rPr>
        <w:t>y</w:t>
      </w:r>
      <w:r w:rsidRPr="005A4AA4">
        <w:rPr>
          <w:rFonts w:eastAsia="Arial"/>
          <w:color w:val="000000"/>
          <w:szCs w:val="22"/>
          <w:lang w:eastAsia="en-US"/>
        </w:rPr>
        <w:t xml:space="preserve"> la </w:t>
      </w:r>
      <w:r w:rsidR="001D77C4">
        <w:rPr>
          <w:rFonts w:eastAsia="Arial"/>
          <w:color w:val="000000"/>
          <w:szCs w:val="22"/>
          <w:lang w:eastAsia="en-US"/>
        </w:rPr>
        <w:t>PPO</w:t>
      </w:r>
      <w:r w:rsidRPr="005A4AA4">
        <w:rPr>
          <w:rFonts w:eastAsia="Arial"/>
          <w:color w:val="000000"/>
          <w:szCs w:val="22"/>
          <w:lang w:eastAsia="en-US"/>
        </w:rPr>
        <w:t xml:space="preserve">. Este tipo de acuerdo proporciona un marco claro y útil para poner en práctica este tipo de colaboración. Sin embargo, en su preparación y validación </w:t>
      </w:r>
      <w:r w:rsidR="00613637">
        <w:rPr>
          <w:rFonts w:eastAsia="Arial"/>
          <w:color w:val="000000"/>
          <w:szCs w:val="22"/>
          <w:lang w:eastAsia="en-US"/>
        </w:rPr>
        <w:t>no solamente fue necesario</w:t>
      </w:r>
      <w:r w:rsidRPr="005A4AA4">
        <w:rPr>
          <w:rFonts w:eastAsia="Arial"/>
          <w:color w:val="000000"/>
          <w:szCs w:val="22"/>
          <w:lang w:eastAsia="en-US"/>
        </w:rPr>
        <w:t xml:space="preserve"> </w:t>
      </w:r>
      <w:r w:rsidR="00613637">
        <w:rPr>
          <w:rFonts w:eastAsia="Arial"/>
          <w:color w:val="000000"/>
          <w:szCs w:val="22"/>
          <w:lang w:eastAsia="en-US"/>
        </w:rPr>
        <w:t xml:space="preserve">llevar a cabo numerosos ajustes de </w:t>
      </w:r>
      <w:r w:rsidRPr="005A4AA4">
        <w:rPr>
          <w:rFonts w:eastAsia="Arial"/>
          <w:color w:val="000000"/>
          <w:szCs w:val="22"/>
          <w:lang w:eastAsia="en-US"/>
        </w:rPr>
        <w:t xml:space="preserve">los aspectos técnicos de las instituciones participantes, </w:t>
      </w:r>
      <w:r w:rsidR="00613637">
        <w:rPr>
          <w:rFonts w:eastAsia="Arial"/>
          <w:color w:val="000000"/>
          <w:szCs w:val="22"/>
          <w:lang w:eastAsia="en-US"/>
        </w:rPr>
        <w:t xml:space="preserve">sino también de </w:t>
      </w:r>
      <w:r w:rsidRPr="005A4AA4">
        <w:rPr>
          <w:rFonts w:eastAsia="Arial"/>
          <w:color w:val="000000"/>
          <w:szCs w:val="22"/>
          <w:lang w:eastAsia="en-US"/>
        </w:rPr>
        <w:t>otras funciones</w:t>
      </w:r>
      <w:r w:rsidR="00613637">
        <w:rPr>
          <w:rFonts w:eastAsia="Arial"/>
          <w:color w:val="000000"/>
          <w:szCs w:val="22"/>
          <w:lang w:eastAsia="en-US"/>
        </w:rPr>
        <w:t xml:space="preserve"> administrativas que intervenían</w:t>
      </w:r>
      <w:r w:rsidRPr="005A4AA4">
        <w:rPr>
          <w:rFonts w:eastAsia="Arial"/>
          <w:color w:val="000000"/>
          <w:szCs w:val="22"/>
          <w:lang w:eastAsia="en-US"/>
        </w:rPr>
        <w:t xml:space="preserve"> en el proceso.</w:t>
      </w:r>
      <w:r w:rsidR="00613637">
        <w:rPr>
          <w:rFonts w:eastAsia="Arial"/>
          <w:color w:val="000000"/>
          <w:szCs w:val="22"/>
          <w:lang w:eastAsia="en-US"/>
        </w:rPr>
        <w:t xml:space="preserve"> Todo el tiempo empleado en esos ajustes aumentó</w:t>
      </w:r>
      <w:r w:rsidRPr="005A4AA4">
        <w:rPr>
          <w:rFonts w:eastAsia="Arial"/>
          <w:color w:val="000000"/>
          <w:szCs w:val="22"/>
          <w:lang w:eastAsia="en-US"/>
        </w:rPr>
        <w:t xml:space="preserve"> la probabilidad de </w:t>
      </w:r>
      <w:r w:rsidR="00613637">
        <w:rPr>
          <w:rFonts w:eastAsia="Arial"/>
          <w:color w:val="000000"/>
          <w:szCs w:val="22"/>
          <w:lang w:eastAsia="en-US"/>
        </w:rPr>
        <w:t xml:space="preserve">que se </w:t>
      </w:r>
      <w:r w:rsidRPr="005A4AA4">
        <w:rPr>
          <w:rFonts w:eastAsia="Arial"/>
          <w:color w:val="000000"/>
          <w:szCs w:val="22"/>
          <w:lang w:eastAsia="en-US"/>
        </w:rPr>
        <w:t>subestimar</w:t>
      </w:r>
      <w:r w:rsidR="00613637">
        <w:rPr>
          <w:rFonts w:eastAsia="Arial"/>
          <w:color w:val="000000"/>
          <w:szCs w:val="22"/>
          <w:lang w:eastAsia="en-US"/>
        </w:rPr>
        <w:t>a</w:t>
      </w:r>
      <w:r w:rsidRPr="005A4AA4">
        <w:rPr>
          <w:rFonts w:eastAsia="Arial"/>
          <w:color w:val="000000"/>
          <w:szCs w:val="22"/>
          <w:lang w:eastAsia="en-US"/>
        </w:rPr>
        <w:t xml:space="preserve"> su </w:t>
      </w:r>
      <w:r w:rsidR="00613637">
        <w:rPr>
          <w:rFonts w:eastAsia="Arial"/>
          <w:color w:val="000000"/>
          <w:szCs w:val="22"/>
          <w:lang w:eastAsia="en-US"/>
        </w:rPr>
        <w:t>incidencia</w:t>
      </w:r>
      <w:r w:rsidRPr="005A4AA4">
        <w:rPr>
          <w:rFonts w:eastAsia="Arial"/>
          <w:color w:val="000000"/>
          <w:szCs w:val="22"/>
          <w:lang w:eastAsia="en-US"/>
        </w:rPr>
        <w:t xml:space="preserve"> en el calendario general del estudio.</w:t>
      </w:r>
    </w:p>
    <w:p w:rsidR="005A4AA4" w:rsidRPr="0089091E" w:rsidRDefault="005A4AA4" w:rsidP="00AB727F">
      <w:pPr>
        <w:widowControl w:val="0"/>
        <w:pBdr>
          <w:top w:val="nil"/>
          <w:left w:val="nil"/>
          <w:bottom w:val="nil"/>
          <w:right w:val="nil"/>
          <w:between w:val="nil"/>
        </w:pBdr>
        <w:rPr>
          <w:rFonts w:eastAsia="Arial"/>
          <w:color w:val="000000"/>
          <w:szCs w:val="22"/>
          <w:lang w:eastAsia="en-US"/>
        </w:rPr>
      </w:pPr>
    </w:p>
    <w:p w:rsidR="005A4AA4" w:rsidRPr="0089091E" w:rsidRDefault="00C820D8" w:rsidP="00AB727F">
      <w:pPr>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 xml:space="preserve">El segundo contratiempo tiene que ver con </w:t>
      </w:r>
      <w:r w:rsidR="005A4AA4" w:rsidRPr="005A4AA4">
        <w:rPr>
          <w:rFonts w:eastAsia="Arial"/>
          <w:color w:val="000000"/>
          <w:szCs w:val="22"/>
          <w:lang w:eastAsia="en-US"/>
        </w:rPr>
        <w:t xml:space="preserve">la </w:t>
      </w:r>
      <w:r w:rsidR="00377E33">
        <w:rPr>
          <w:rFonts w:eastAsia="Arial"/>
          <w:color w:val="000000"/>
          <w:szCs w:val="22"/>
          <w:lang w:eastAsia="en-US"/>
        </w:rPr>
        <w:t xml:space="preserve">implementación y </w:t>
      </w:r>
      <w:r w:rsidR="005A4AA4" w:rsidRPr="005A4AA4">
        <w:rPr>
          <w:rFonts w:eastAsia="Arial"/>
          <w:color w:val="000000"/>
          <w:szCs w:val="22"/>
          <w:lang w:eastAsia="en-US"/>
        </w:rPr>
        <w:t>ejecución de</w:t>
      </w:r>
      <w:r w:rsidR="00377E33">
        <w:rPr>
          <w:rFonts w:eastAsia="Arial"/>
          <w:color w:val="000000"/>
          <w:szCs w:val="22"/>
          <w:lang w:eastAsia="en-US"/>
        </w:rPr>
        <w:t>l trabajo de campo</w:t>
      </w:r>
      <w:r w:rsidR="005A4AA4" w:rsidRPr="005A4AA4">
        <w:rPr>
          <w:rFonts w:eastAsia="Arial"/>
          <w:color w:val="000000"/>
          <w:szCs w:val="22"/>
          <w:lang w:eastAsia="en-US"/>
        </w:rPr>
        <w:t xml:space="preserve">, como las entrevistas realizadas en </w:t>
      </w:r>
      <w:r w:rsidR="00377E33">
        <w:rPr>
          <w:rFonts w:eastAsia="Arial"/>
          <w:color w:val="000000"/>
          <w:szCs w:val="22"/>
          <w:lang w:eastAsia="en-US"/>
        </w:rPr>
        <w:t xml:space="preserve">la parte </w:t>
      </w:r>
      <w:r w:rsidR="005A4AA4" w:rsidRPr="005A4AA4">
        <w:rPr>
          <w:rFonts w:eastAsia="Arial"/>
          <w:color w:val="000000"/>
          <w:szCs w:val="22"/>
          <w:lang w:eastAsia="en-US"/>
        </w:rPr>
        <w:t xml:space="preserve">3. Este </w:t>
      </w:r>
      <w:r w:rsidR="00377E33">
        <w:rPr>
          <w:rFonts w:eastAsia="Arial"/>
          <w:color w:val="000000"/>
          <w:szCs w:val="22"/>
          <w:lang w:eastAsia="en-US"/>
        </w:rPr>
        <w:t>t</w:t>
      </w:r>
      <w:r w:rsidR="005A4AA4" w:rsidRPr="005A4AA4">
        <w:rPr>
          <w:rFonts w:eastAsia="Arial"/>
          <w:color w:val="000000"/>
          <w:szCs w:val="22"/>
          <w:lang w:eastAsia="en-US"/>
        </w:rPr>
        <w:t xml:space="preserve">ipo de ejercicio empírico exige normalmente </w:t>
      </w:r>
      <w:r w:rsidR="00377E33">
        <w:rPr>
          <w:rFonts w:eastAsia="Arial"/>
          <w:color w:val="000000"/>
          <w:szCs w:val="22"/>
          <w:lang w:eastAsia="en-US"/>
        </w:rPr>
        <w:t xml:space="preserve">recursos </w:t>
      </w:r>
      <w:r w:rsidR="0075691C" w:rsidRPr="005A4AA4">
        <w:rPr>
          <w:rFonts w:eastAsia="Arial"/>
          <w:color w:val="000000"/>
          <w:szCs w:val="22"/>
          <w:lang w:eastAsia="en-US"/>
        </w:rPr>
        <w:t>sust</w:t>
      </w:r>
      <w:r w:rsidR="0075691C">
        <w:rPr>
          <w:rFonts w:eastAsia="Arial"/>
          <w:color w:val="000000"/>
          <w:szCs w:val="22"/>
          <w:lang w:eastAsia="en-US"/>
        </w:rPr>
        <w:t>anciales</w:t>
      </w:r>
      <w:r w:rsidR="0075691C" w:rsidRPr="005A4AA4">
        <w:rPr>
          <w:rFonts w:eastAsia="Arial"/>
          <w:color w:val="000000"/>
          <w:szCs w:val="22"/>
          <w:lang w:eastAsia="en-US"/>
        </w:rPr>
        <w:t xml:space="preserve"> </w:t>
      </w:r>
      <w:r w:rsidR="005A4AA4" w:rsidRPr="005A4AA4">
        <w:rPr>
          <w:rFonts w:eastAsia="Arial"/>
          <w:color w:val="000000"/>
          <w:szCs w:val="22"/>
          <w:lang w:eastAsia="en-US"/>
        </w:rPr>
        <w:t xml:space="preserve">y se enfrenta a una considerable incertidumbre, por ejemplo, la disponibilidad y la buena voluntad de los encuestados, que a menudo retrasan el calendario de ejecución </w:t>
      </w:r>
      <w:r w:rsidR="00377E33">
        <w:rPr>
          <w:rFonts w:eastAsia="Arial"/>
          <w:color w:val="000000"/>
          <w:szCs w:val="22"/>
          <w:lang w:eastAsia="en-US"/>
        </w:rPr>
        <w:t xml:space="preserve">establecido </w:t>
      </w:r>
      <w:r w:rsidR="005A4AA4" w:rsidRPr="005A4AA4">
        <w:rPr>
          <w:rFonts w:eastAsia="Arial"/>
          <w:color w:val="000000"/>
          <w:szCs w:val="22"/>
          <w:lang w:eastAsia="en-US"/>
        </w:rPr>
        <w:t xml:space="preserve">inicialmente. La </w:t>
      </w:r>
      <w:r w:rsidR="001D77C4">
        <w:rPr>
          <w:rFonts w:eastAsia="Arial"/>
          <w:color w:val="000000"/>
          <w:szCs w:val="22"/>
          <w:lang w:eastAsia="en-US"/>
        </w:rPr>
        <w:t>PPO</w:t>
      </w:r>
      <w:r w:rsidR="00377E33">
        <w:rPr>
          <w:rFonts w:eastAsia="Arial"/>
          <w:color w:val="000000"/>
          <w:szCs w:val="22"/>
          <w:lang w:eastAsia="en-US"/>
        </w:rPr>
        <w:t xml:space="preserve"> r</w:t>
      </w:r>
      <w:r w:rsidR="005A4AA4" w:rsidRPr="005A4AA4">
        <w:rPr>
          <w:rFonts w:eastAsia="Arial"/>
          <w:color w:val="000000"/>
          <w:szCs w:val="22"/>
          <w:lang w:eastAsia="en-US"/>
        </w:rPr>
        <w:t xml:space="preserve">ealizó una labor encomiable en la coordinación de las entrevistas, la capacitación de los entrevistadores y </w:t>
      </w:r>
      <w:r w:rsidR="00377E33">
        <w:rPr>
          <w:rFonts w:eastAsia="Arial"/>
          <w:color w:val="000000"/>
          <w:szCs w:val="22"/>
          <w:lang w:eastAsia="en-US"/>
        </w:rPr>
        <w:t xml:space="preserve">el procesamiento </w:t>
      </w:r>
      <w:r w:rsidR="005A4AA4" w:rsidRPr="005A4AA4">
        <w:rPr>
          <w:rFonts w:eastAsia="Arial"/>
          <w:color w:val="000000"/>
          <w:szCs w:val="22"/>
          <w:lang w:eastAsia="en-US"/>
        </w:rPr>
        <w:t xml:space="preserve">de los resultados; sin embargo, la tarea resultó muy difícil para el equipo local de </w:t>
      </w:r>
      <w:r w:rsidR="00377E33">
        <w:rPr>
          <w:rFonts w:eastAsia="Arial"/>
          <w:color w:val="000000"/>
          <w:szCs w:val="22"/>
          <w:lang w:eastAsia="en-US"/>
        </w:rPr>
        <w:t>dicha Oficina</w:t>
      </w:r>
      <w:r w:rsidR="005A4AA4" w:rsidRPr="005A4AA4">
        <w:rPr>
          <w:rFonts w:eastAsia="Arial"/>
          <w:color w:val="000000"/>
          <w:szCs w:val="22"/>
          <w:lang w:eastAsia="en-US"/>
        </w:rPr>
        <w:t>.</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8211A8" w:rsidRDefault="00C820D8" w:rsidP="00AB727F">
      <w:pPr>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El tercer contratiempo</w:t>
      </w:r>
      <w:r w:rsidR="00377E33">
        <w:rPr>
          <w:rFonts w:eastAsia="Arial"/>
          <w:color w:val="000000"/>
          <w:szCs w:val="22"/>
          <w:lang w:eastAsia="en-US"/>
        </w:rPr>
        <w:t xml:space="preserve"> </w:t>
      </w:r>
      <w:r>
        <w:rPr>
          <w:rFonts w:eastAsia="Arial"/>
          <w:color w:val="000000"/>
          <w:szCs w:val="22"/>
          <w:lang w:eastAsia="en-US"/>
        </w:rPr>
        <w:t xml:space="preserve">guarda relación con </w:t>
      </w:r>
      <w:r w:rsidR="005A4AA4" w:rsidRPr="005A4AA4">
        <w:rPr>
          <w:rFonts w:eastAsia="Arial"/>
          <w:color w:val="000000"/>
          <w:szCs w:val="22"/>
          <w:lang w:eastAsia="en-US"/>
        </w:rPr>
        <w:t xml:space="preserve">la disponibilidad de consultores locales </w:t>
      </w:r>
      <w:r w:rsidR="00377E33">
        <w:rPr>
          <w:rFonts w:eastAsia="Arial"/>
          <w:color w:val="000000"/>
          <w:szCs w:val="22"/>
          <w:lang w:eastAsia="en-US"/>
        </w:rPr>
        <w:t xml:space="preserve">dotados de </w:t>
      </w:r>
      <w:r w:rsidR="005A4AA4" w:rsidRPr="005A4AA4">
        <w:rPr>
          <w:rFonts w:eastAsia="Arial"/>
          <w:color w:val="000000"/>
          <w:szCs w:val="22"/>
          <w:lang w:eastAsia="en-US"/>
        </w:rPr>
        <w:t xml:space="preserve">aptitudes muy </w:t>
      </w:r>
      <w:r w:rsidR="00377E33">
        <w:rPr>
          <w:rFonts w:eastAsia="Arial"/>
          <w:color w:val="000000"/>
          <w:szCs w:val="22"/>
          <w:lang w:eastAsia="en-US"/>
        </w:rPr>
        <w:t>distintas</w:t>
      </w:r>
      <w:r w:rsidR="005A4AA4" w:rsidRPr="005A4AA4">
        <w:rPr>
          <w:rFonts w:eastAsia="Arial"/>
          <w:color w:val="000000"/>
          <w:szCs w:val="22"/>
          <w:lang w:eastAsia="en-US"/>
        </w:rPr>
        <w:t xml:space="preserve">. El plan original </w:t>
      </w:r>
      <w:r w:rsidR="00377E33">
        <w:rPr>
          <w:rFonts w:eastAsia="Arial"/>
          <w:color w:val="000000"/>
          <w:szCs w:val="22"/>
          <w:lang w:eastAsia="en-US"/>
        </w:rPr>
        <w:t xml:space="preserve">consistente en </w:t>
      </w:r>
      <w:r w:rsidR="005A4AA4" w:rsidRPr="005A4AA4">
        <w:rPr>
          <w:rFonts w:eastAsia="Arial"/>
          <w:color w:val="000000"/>
          <w:szCs w:val="22"/>
          <w:lang w:eastAsia="en-US"/>
        </w:rPr>
        <w:t xml:space="preserve">basarse en un único </w:t>
      </w:r>
      <w:r w:rsidR="00377E33" w:rsidRPr="005A4AA4">
        <w:rPr>
          <w:rFonts w:eastAsia="Arial"/>
          <w:color w:val="000000"/>
          <w:szCs w:val="22"/>
          <w:lang w:eastAsia="en-US"/>
        </w:rPr>
        <w:t xml:space="preserve">consultor local </w:t>
      </w:r>
      <w:r w:rsidR="005A4AA4" w:rsidRPr="005A4AA4">
        <w:rPr>
          <w:rFonts w:eastAsia="Arial"/>
          <w:color w:val="000000"/>
          <w:szCs w:val="22"/>
          <w:lang w:eastAsia="en-US"/>
        </w:rPr>
        <w:t xml:space="preserve">encargado de la gestión de </w:t>
      </w:r>
      <w:r w:rsidR="00377E33">
        <w:rPr>
          <w:rFonts w:eastAsia="Arial"/>
          <w:color w:val="000000"/>
          <w:szCs w:val="22"/>
          <w:lang w:eastAsia="en-US"/>
        </w:rPr>
        <w:t xml:space="preserve">las </w:t>
      </w:r>
      <w:r w:rsidR="005A4AA4" w:rsidRPr="005A4AA4">
        <w:rPr>
          <w:rFonts w:eastAsia="Arial"/>
          <w:color w:val="000000"/>
          <w:szCs w:val="22"/>
          <w:lang w:eastAsia="en-US"/>
        </w:rPr>
        <w:t xml:space="preserve">tres </w:t>
      </w:r>
      <w:r w:rsidR="00377E33">
        <w:rPr>
          <w:rFonts w:eastAsia="Arial"/>
          <w:color w:val="000000"/>
          <w:szCs w:val="22"/>
          <w:lang w:eastAsia="en-US"/>
        </w:rPr>
        <w:t xml:space="preserve">partes </w:t>
      </w:r>
      <w:r w:rsidR="005A4AA4" w:rsidRPr="005A4AA4">
        <w:rPr>
          <w:rFonts w:eastAsia="Arial"/>
          <w:color w:val="000000"/>
          <w:szCs w:val="22"/>
          <w:lang w:eastAsia="en-US"/>
        </w:rPr>
        <w:t xml:space="preserve">no ofrecía el mismo grado de diversidad de capacidades y flexibilidad horaria en comparación con el marco definitivo en el que </w:t>
      </w:r>
      <w:r w:rsidR="00377E33">
        <w:rPr>
          <w:rFonts w:eastAsia="Arial"/>
          <w:color w:val="000000"/>
          <w:szCs w:val="22"/>
          <w:lang w:eastAsia="en-US"/>
        </w:rPr>
        <w:t xml:space="preserve">hay </w:t>
      </w:r>
      <w:r w:rsidR="005A4AA4" w:rsidRPr="005A4AA4">
        <w:rPr>
          <w:rFonts w:eastAsia="Arial"/>
          <w:color w:val="000000"/>
          <w:szCs w:val="22"/>
          <w:lang w:eastAsia="en-US"/>
        </w:rPr>
        <w:t>un experto local diferente</w:t>
      </w:r>
      <w:r w:rsidR="00377E33">
        <w:rPr>
          <w:rFonts w:eastAsia="Arial"/>
          <w:color w:val="000000"/>
          <w:szCs w:val="22"/>
          <w:lang w:eastAsia="en-US"/>
        </w:rPr>
        <w:t xml:space="preserve"> para cada parte</w:t>
      </w:r>
      <w:r w:rsidR="005A4AA4" w:rsidRPr="005A4AA4">
        <w:rPr>
          <w:rFonts w:eastAsia="Arial"/>
          <w:color w:val="000000"/>
          <w:szCs w:val="22"/>
          <w:lang w:eastAsia="en-US"/>
        </w:rPr>
        <w:t xml:space="preserve">. </w:t>
      </w:r>
      <w:r w:rsidR="00377E33">
        <w:rPr>
          <w:rFonts w:eastAsia="Arial"/>
          <w:color w:val="000000"/>
          <w:szCs w:val="22"/>
          <w:lang w:eastAsia="en-US"/>
        </w:rPr>
        <w:t xml:space="preserve">Concretamente, parece que escasean </w:t>
      </w:r>
      <w:r w:rsidR="005A4AA4" w:rsidRPr="005A4AA4">
        <w:rPr>
          <w:rFonts w:eastAsia="Arial"/>
          <w:color w:val="000000"/>
          <w:szCs w:val="22"/>
          <w:lang w:eastAsia="en-US"/>
        </w:rPr>
        <w:t xml:space="preserve">las capacidades en </w:t>
      </w:r>
      <w:r w:rsidR="00377E33">
        <w:rPr>
          <w:rFonts w:eastAsia="Arial"/>
          <w:color w:val="000000"/>
          <w:szCs w:val="22"/>
          <w:lang w:eastAsia="en-US"/>
        </w:rPr>
        <w:t>m</w:t>
      </w:r>
      <w:r w:rsidR="005A4AA4" w:rsidRPr="005A4AA4">
        <w:rPr>
          <w:rFonts w:eastAsia="Arial"/>
          <w:color w:val="000000"/>
          <w:szCs w:val="22"/>
          <w:lang w:eastAsia="en-US"/>
        </w:rPr>
        <w:t xml:space="preserve">ateria de </w:t>
      </w:r>
      <w:r w:rsidR="00377E33">
        <w:rPr>
          <w:rFonts w:eastAsia="Arial"/>
          <w:color w:val="000000"/>
          <w:szCs w:val="22"/>
          <w:lang w:eastAsia="en-US"/>
        </w:rPr>
        <w:t>a</w:t>
      </w:r>
      <w:r w:rsidR="005A4AA4" w:rsidRPr="005A4AA4">
        <w:rPr>
          <w:rFonts w:eastAsia="Arial"/>
          <w:color w:val="000000"/>
          <w:szCs w:val="22"/>
          <w:lang w:eastAsia="en-US"/>
        </w:rPr>
        <w:t xml:space="preserve">nálisis y estadísticas de PI, lo que dio lugar a </w:t>
      </w:r>
      <w:r w:rsidR="00377E33">
        <w:rPr>
          <w:rFonts w:eastAsia="Arial"/>
          <w:color w:val="000000"/>
          <w:szCs w:val="22"/>
          <w:lang w:eastAsia="en-US"/>
        </w:rPr>
        <w:t>q</w:t>
      </w:r>
      <w:r w:rsidR="005A4AA4" w:rsidRPr="005A4AA4">
        <w:rPr>
          <w:rFonts w:eastAsia="Arial"/>
          <w:color w:val="000000"/>
          <w:szCs w:val="22"/>
          <w:lang w:eastAsia="en-US"/>
        </w:rPr>
        <w:t xml:space="preserve">ue la </w:t>
      </w:r>
      <w:r w:rsidR="001D77C4">
        <w:rPr>
          <w:rFonts w:eastAsia="Arial"/>
          <w:color w:val="000000"/>
          <w:szCs w:val="22"/>
          <w:lang w:eastAsia="en-US"/>
        </w:rPr>
        <w:t>PPO</w:t>
      </w:r>
      <w:r w:rsidR="00377E33">
        <w:rPr>
          <w:rFonts w:eastAsia="Arial"/>
          <w:color w:val="000000"/>
          <w:szCs w:val="22"/>
          <w:lang w:eastAsia="en-US"/>
        </w:rPr>
        <w:t xml:space="preserve"> se h</w:t>
      </w:r>
      <w:r w:rsidR="005A4AA4" w:rsidRPr="005A4AA4">
        <w:rPr>
          <w:rFonts w:eastAsia="Arial"/>
          <w:color w:val="000000"/>
          <w:szCs w:val="22"/>
          <w:lang w:eastAsia="en-US"/>
        </w:rPr>
        <w:t xml:space="preserve">iciera </w:t>
      </w:r>
      <w:r w:rsidR="00377E33">
        <w:rPr>
          <w:rFonts w:eastAsia="Arial"/>
          <w:color w:val="000000"/>
          <w:szCs w:val="22"/>
          <w:lang w:eastAsia="en-US"/>
        </w:rPr>
        <w:t>c</w:t>
      </w:r>
      <w:r w:rsidR="005A4AA4" w:rsidRPr="005A4AA4">
        <w:rPr>
          <w:rFonts w:eastAsia="Arial"/>
          <w:color w:val="000000"/>
          <w:szCs w:val="22"/>
          <w:lang w:eastAsia="en-US"/>
        </w:rPr>
        <w:t>argo del análisis de patentes.</w:t>
      </w:r>
    </w:p>
    <w:p w:rsidR="005A4AA4" w:rsidRDefault="005A4AA4" w:rsidP="00AB727F">
      <w:pPr>
        <w:widowControl w:val="0"/>
        <w:pBdr>
          <w:top w:val="nil"/>
          <w:left w:val="nil"/>
          <w:bottom w:val="nil"/>
          <w:right w:val="nil"/>
          <w:between w:val="nil"/>
        </w:pBdr>
        <w:rPr>
          <w:rFonts w:eastAsia="Arial"/>
          <w:color w:val="000000"/>
          <w:szCs w:val="22"/>
          <w:lang w:eastAsia="en-US"/>
        </w:rPr>
      </w:pPr>
    </w:p>
    <w:p w:rsidR="00F44091" w:rsidRPr="0089091E" w:rsidRDefault="00F44091" w:rsidP="00AB727F">
      <w:pPr>
        <w:widowControl w:val="0"/>
        <w:pBdr>
          <w:top w:val="nil"/>
          <w:left w:val="nil"/>
          <w:bottom w:val="nil"/>
          <w:right w:val="nil"/>
          <w:between w:val="nil"/>
        </w:pBdr>
        <w:rPr>
          <w:rFonts w:eastAsia="Arial"/>
          <w:color w:val="000000"/>
          <w:szCs w:val="22"/>
          <w:lang w:eastAsia="en-US"/>
        </w:rPr>
      </w:pPr>
    </w:p>
    <w:p w:rsidR="00662AEA" w:rsidRPr="0089091E" w:rsidRDefault="00617D1F" w:rsidP="00AB727F">
      <w:pPr>
        <w:widowControl w:val="0"/>
        <w:pBdr>
          <w:top w:val="nil"/>
          <w:left w:val="nil"/>
          <w:bottom w:val="nil"/>
          <w:right w:val="nil"/>
          <w:between w:val="nil"/>
        </w:pBdr>
        <w:ind w:left="432" w:hanging="432"/>
        <w:outlineLvl w:val="0"/>
        <w:rPr>
          <w:rFonts w:eastAsia="Arial"/>
          <w:b/>
          <w:color w:val="000000"/>
          <w:sz w:val="24"/>
          <w:szCs w:val="24"/>
          <w:lang w:eastAsia="en-US"/>
        </w:rPr>
      </w:pPr>
      <w:r>
        <w:rPr>
          <w:rFonts w:eastAsia="Arial"/>
          <w:b/>
          <w:color w:val="000000"/>
          <w:sz w:val="24"/>
          <w:szCs w:val="24"/>
          <w:lang w:eastAsia="en-US"/>
        </w:rPr>
        <w:t>Resumen de los estudios económicos</w:t>
      </w:r>
      <w:r w:rsidR="00AB727F" w:rsidRPr="0089091E">
        <w:rPr>
          <w:rFonts w:eastAsia="Arial"/>
          <w:b/>
          <w:color w:val="000000"/>
          <w:sz w:val="24"/>
          <w:szCs w:val="24"/>
          <w:vertAlign w:val="superscript"/>
          <w:lang w:eastAsia="en-US"/>
        </w:rPr>
        <w:footnoteReference w:id="3"/>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617D1F" w:rsidRPr="00617D1F" w:rsidRDefault="00AB727F" w:rsidP="00617D1F">
      <w:pPr>
        <w:widowControl w:val="0"/>
        <w:pBdr>
          <w:top w:val="nil"/>
          <w:left w:val="nil"/>
          <w:bottom w:val="nil"/>
          <w:right w:val="nil"/>
          <w:between w:val="nil"/>
        </w:pBdr>
        <w:ind w:left="432" w:hanging="432"/>
        <w:outlineLvl w:val="1"/>
        <w:rPr>
          <w:rFonts w:eastAsia="Arial"/>
          <w:i/>
          <w:color w:val="000000"/>
          <w:sz w:val="24"/>
          <w:szCs w:val="24"/>
          <w:lang w:eastAsia="en-US"/>
        </w:rPr>
      </w:pPr>
      <w:r w:rsidRPr="0089091E">
        <w:rPr>
          <w:rFonts w:eastAsia="Arial"/>
          <w:i/>
          <w:color w:val="000000"/>
          <w:sz w:val="24"/>
          <w:szCs w:val="24"/>
          <w:lang w:eastAsia="en-US"/>
        </w:rPr>
        <w:t xml:space="preserve">1 - </w:t>
      </w:r>
      <w:r w:rsidR="00617D1F" w:rsidRPr="00617D1F">
        <w:rPr>
          <w:rFonts w:eastAsia="Arial"/>
          <w:i/>
          <w:color w:val="000000"/>
          <w:sz w:val="24"/>
          <w:szCs w:val="24"/>
          <w:lang w:eastAsia="en-US"/>
        </w:rPr>
        <w:t>Innovación en el sector de</w:t>
      </w:r>
      <w:r w:rsidR="00A3414D">
        <w:rPr>
          <w:rFonts w:eastAsia="Arial"/>
          <w:i/>
          <w:color w:val="000000"/>
          <w:sz w:val="24"/>
          <w:szCs w:val="24"/>
          <w:lang w:eastAsia="en-US"/>
        </w:rPr>
        <w:t xml:space="preserve"> la salud en Polonia</w:t>
      </w:r>
    </w:p>
    <w:p w:rsidR="008211A8" w:rsidRPr="0089091E" w:rsidRDefault="008211A8" w:rsidP="00AB727F">
      <w:pPr>
        <w:widowControl w:val="0"/>
        <w:pBdr>
          <w:top w:val="nil"/>
          <w:left w:val="nil"/>
          <w:bottom w:val="nil"/>
          <w:right w:val="nil"/>
          <w:between w:val="nil"/>
        </w:pBdr>
        <w:ind w:left="432" w:hanging="432"/>
        <w:outlineLvl w:val="1"/>
        <w:rPr>
          <w:rFonts w:eastAsia="Arial"/>
          <w:i/>
          <w:color w:val="000000"/>
          <w:sz w:val="24"/>
          <w:szCs w:val="24"/>
          <w:lang w:eastAsia="en-US"/>
        </w:rPr>
      </w:pPr>
    </w:p>
    <w:p w:rsidR="005A4AA4" w:rsidRDefault="005A4AA4" w:rsidP="00AB727F">
      <w:pPr>
        <w:widowControl w:val="0"/>
        <w:pBdr>
          <w:top w:val="nil"/>
          <w:left w:val="nil"/>
          <w:bottom w:val="nil"/>
          <w:right w:val="nil"/>
          <w:between w:val="nil"/>
        </w:pBdr>
        <w:rPr>
          <w:rFonts w:eastAsia="Arial"/>
          <w:color w:val="000000"/>
          <w:szCs w:val="22"/>
          <w:lang w:eastAsia="en-US"/>
        </w:rPr>
      </w:pPr>
      <w:r w:rsidRPr="005A4AA4">
        <w:rPr>
          <w:rFonts w:eastAsia="Arial"/>
          <w:color w:val="000000"/>
          <w:szCs w:val="22"/>
          <w:lang w:eastAsia="en-US"/>
        </w:rPr>
        <w:t>En el primer documento se analizan los aspectos económicos y de inno</w:t>
      </w:r>
      <w:r w:rsidR="005D4385">
        <w:rPr>
          <w:rFonts w:eastAsia="Arial"/>
          <w:color w:val="000000"/>
          <w:szCs w:val="22"/>
          <w:lang w:eastAsia="en-US"/>
        </w:rPr>
        <w:t xml:space="preserve">vación del sector </w:t>
      </w:r>
      <w:r w:rsidR="0085775C">
        <w:rPr>
          <w:rFonts w:eastAsia="Arial"/>
          <w:color w:val="000000"/>
          <w:szCs w:val="22"/>
          <w:lang w:eastAsia="en-US"/>
        </w:rPr>
        <w:t>de la s</w:t>
      </w:r>
      <w:r w:rsidRPr="005A4AA4">
        <w:rPr>
          <w:rFonts w:eastAsia="Arial"/>
          <w:color w:val="000000"/>
          <w:szCs w:val="22"/>
          <w:lang w:eastAsia="en-US"/>
        </w:rPr>
        <w:t xml:space="preserve">alud de </w:t>
      </w:r>
      <w:r w:rsidR="0085775C">
        <w:rPr>
          <w:rFonts w:eastAsia="Arial"/>
          <w:color w:val="000000"/>
          <w:szCs w:val="22"/>
          <w:lang w:eastAsia="en-US"/>
        </w:rPr>
        <w:t>P</w:t>
      </w:r>
      <w:r w:rsidRPr="005A4AA4">
        <w:rPr>
          <w:rFonts w:eastAsia="Arial"/>
          <w:color w:val="000000"/>
          <w:szCs w:val="22"/>
          <w:lang w:eastAsia="en-US"/>
        </w:rPr>
        <w:t>olonia, a saber, las industrias farmacéutica y de tecnología</w:t>
      </w:r>
      <w:r w:rsidR="008F68DB">
        <w:rPr>
          <w:rFonts w:eastAsia="Arial"/>
          <w:color w:val="000000"/>
          <w:szCs w:val="22"/>
          <w:lang w:eastAsia="en-US"/>
        </w:rPr>
        <w:t xml:space="preserve"> médica</w:t>
      </w:r>
      <w:r w:rsidRPr="005A4AA4">
        <w:rPr>
          <w:rFonts w:eastAsia="Arial"/>
          <w:color w:val="000000"/>
          <w:szCs w:val="22"/>
          <w:lang w:eastAsia="en-US"/>
        </w:rPr>
        <w:t xml:space="preserve">. </w:t>
      </w:r>
      <w:r w:rsidR="008F68DB">
        <w:rPr>
          <w:rFonts w:eastAsia="Arial"/>
          <w:color w:val="000000"/>
          <w:szCs w:val="22"/>
          <w:lang w:eastAsia="en-US"/>
        </w:rPr>
        <w:t>El sector de la salud ha</w:t>
      </w:r>
      <w:r w:rsidRPr="005A4AA4">
        <w:rPr>
          <w:rFonts w:eastAsia="Arial"/>
          <w:color w:val="000000"/>
          <w:szCs w:val="22"/>
          <w:lang w:eastAsia="en-US"/>
        </w:rPr>
        <w:t xml:space="preserve"> experimentado un crecimiento notable desde </w:t>
      </w:r>
      <w:r w:rsidR="008F68DB">
        <w:rPr>
          <w:rFonts w:eastAsia="Arial"/>
          <w:color w:val="000000"/>
          <w:szCs w:val="22"/>
          <w:lang w:eastAsia="en-US"/>
        </w:rPr>
        <w:t xml:space="preserve">la </w:t>
      </w:r>
      <w:r w:rsidRPr="005A4AA4">
        <w:rPr>
          <w:rFonts w:eastAsia="Arial"/>
          <w:color w:val="000000"/>
          <w:szCs w:val="22"/>
          <w:lang w:eastAsia="en-US"/>
        </w:rPr>
        <w:t xml:space="preserve">entrada </w:t>
      </w:r>
      <w:r w:rsidR="008F68DB">
        <w:rPr>
          <w:rFonts w:eastAsia="Arial"/>
          <w:color w:val="000000"/>
          <w:szCs w:val="22"/>
          <w:lang w:eastAsia="en-US"/>
        </w:rPr>
        <w:t xml:space="preserve">del país </w:t>
      </w:r>
      <w:r w:rsidRPr="005A4AA4">
        <w:rPr>
          <w:rFonts w:eastAsia="Arial"/>
          <w:color w:val="000000"/>
          <w:szCs w:val="22"/>
          <w:lang w:eastAsia="en-US"/>
        </w:rPr>
        <w:t xml:space="preserve">en la UE. Si bien la industria farmacéutica se enfrenta a cierta desaceleración económica desde 2011, la industria de la tecnología </w:t>
      </w:r>
      <w:r w:rsidR="008F68DB">
        <w:rPr>
          <w:rFonts w:eastAsia="Arial"/>
          <w:color w:val="000000"/>
          <w:szCs w:val="22"/>
          <w:lang w:eastAsia="en-US"/>
        </w:rPr>
        <w:t>médica experimenta</w:t>
      </w:r>
      <w:r w:rsidRPr="005A4AA4">
        <w:rPr>
          <w:rFonts w:eastAsia="Arial"/>
          <w:color w:val="000000"/>
          <w:szCs w:val="22"/>
          <w:lang w:eastAsia="en-US"/>
        </w:rPr>
        <w:t xml:space="preserve"> un importante dinamismo </w:t>
      </w:r>
      <w:r w:rsidR="008F68DB">
        <w:rPr>
          <w:rFonts w:eastAsia="Arial"/>
          <w:color w:val="000000"/>
          <w:szCs w:val="22"/>
          <w:lang w:eastAsia="en-US"/>
        </w:rPr>
        <w:t xml:space="preserve">teniendo en cuenta </w:t>
      </w:r>
      <w:r w:rsidRPr="005A4AA4">
        <w:rPr>
          <w:rFonts w:eastAsia="Arial"/>
          <w:color w:val="000000"/>
          <w:szCs w:val="22"/>
          <w:lang w:eastAsia="en-US"/>
        </w:rPr>
        <w:t xml:space="preserve">su pequeño tamaño. </w:t>
      </w:r>
      <w:r w:rsidR="008F68DB">
        <w:rPr>
          <w:rFonts w:eastAsia="Arial"/>
          <w:color w:val="000000"/>
          <w:szCs w:val="22"/>
          <w:lang w:eastAsia="en-US"/>
        </w:rPr>
        <w:t>El sector</w:t>
      </w:r>
      <w:r w:rsidRPr="005A4AA4">
        <w:rPr>
          <w:rFonts w:eastAsia="Arial"/>
          <w:color w:val="000000"/>
          <w:szCs w:val="22"/>
          <w:lang w:eastAsia="en-US"/>
        </w:rPr>
        <w:t xml:space="preserve"> de la </w:t>
      </w:r>
      <w:r w:rsidR="008F68DB">
        <w:rPr>
          <w:rFonts w:eastAsia="Arial"/>
          <w:color w:val="000000"/>
          <w:szCs w:val="22"/>
          <w:lang w:eastAsia="en-US"/>
        </w:rPr>
        <w:t>s</w:t>
      </w:r>
      <w:r w:rsidRPr="005A4AA4">
        <w:rPr>
          <w:rFonts w:eastAsia="Arial"/>
          <w:color w:val="000000"/>
          <w:szCs w:val="22"/>
          <w:lang w:eastAsia="en-US"/>
        </w:rPr>
        <w:t xml:space="preserve">alud de </w:t>
      </w:r>
      <w:r w:rsidR="008F68DB">
        <w:rPr>
          <w:rFonts w:eastAsia="Arial"/>
          <w:color w:val="000000"/>
          <w:szCs w:val="22"/>
          <w:lang w:eastAsia="en-US"/>
        </w:rPr>
        <w:t>P</w:t>
      </w:r>
      <w:r w:rsidRPr="005A4AA4">
        <w:rPr>
          <w:rFonts w:eastAsia="Arial"/>
          <w:color w:val="000000"/>
          <w:szCs w:val="22"/>
          <w:lang w:eastAsia="en-US"/>
        </w:rPr>
        <w:t xml:space="preserve">olonia todavía tiene mucho que hacer para mejorar </w:t>
      </w:r>
      <w:r w:rsidR="008F68DB">
        <w:rPr>
          <w:rFonts w:eastAsia="Arial"/>
          <w:color w:val="000000"/>
          <w:szCs w:val="22"/>
          <w:lang w:eastAsia="en-US"/>
        </w:rPr>
        <w:t>la</w:t>
      </w:r>
      <w:r w:rsidRPr="005A4AA4">
        <w:rPr>
          <w:rFonts w:eastAsia="Arial"/>
          <w:color w:val="000000"/>
          <w:szCs w:val="22"/>
          <w:lang w:eastAsia="en-US"/>
        </w:rPr>
        <w:t xml:space="preserve"> situación </w:t>
      </w:r>
      <w:r w:rsidR="008F68DB">
        <w:rPr>
          <w:rFonts w:eastAsia="Arial"/>
          <w:color w:val="000000"/>
          <w:szCs w:val="22"/>
          <w:lang w:eastAsia="en-US"/>
        </w:rPr>
        <w:t xml:space="preserve">en que se halla su </w:t>
      </w:r>
      <w:r w:rsidRPr="005A4AA4">
        <w:rPr>
          <w:rFonts w:eastAsia="Arial"/>
          <w:color w:val="000000"/>
          <w:szCs w:val="22"/>
          <w:lang w:eastAsia="en-US"/>
        </w:rPr>
        <w:t xml:space="preserve">innovación. Sin embargo, la tendencia observada en la dinámica de la innovación es motivo de optimismo. Las empresas polacas </w:t>
      </w:r>
      <w:r w:rsidR="008F68DB">
        <w:rPr>
          <w:rFonts w:eastAsia="Arial"/>
          <w:color w:val="000000"/>
          <w:szCs w:val="22"/>
          <w:lang w:eastAsia="en-US"/>
        </w:rPr>
        <w:t>del sector de la salud so</w:t>
      </w:r>
      <w:r w:rsidRPr="005A4AA4">
        <w:rPr>
          <w:rFonts w:eastAsia="Arial"/>
          <w:color w:val="000000"/>
          <w:szCs w:val="22"/>
          <w:lang w:eastAsia="en-US"/>
        </w:rPr>
        <w:t>n cada vez más innovadoras y obtienen resultados económicos de esas innovaciones.</w:t>
      </w:r>
    </w:p>
    <w:p w:rsidR="005A4AA4" w:rsidRPr="0089091E" w:rsidRDefault="005A4AA4" w:rsidP="00AB727F">
      <w:pPr>
        <w:widowControl w:val="0"/>
        <w:pBdr>
          <w:top w:val="nil"/>
          <w:left w:val="nil"/>
          <w:bottom w:val="nil"/>
          <w:right w:val="nil"/>
          <w:between w:val="nil"/>
        </w:pBdr>
        <w:rPr>
          <w:rFonts w:eastAsia="Arial"/>
          <w:color w:val="000000"/>
          <w:szCs w:val="22"/>
          <w:lang w:eastAsia="en-US"/>
        </w:rPr>
      </w:pPr>
    </w:p>
    <w:p w:rsidR="005A4AA4" w:rsidRDefault="005A4AA4" w:rsidP="00AB727F">
      <w:pPr>
        <w:widowControl w:val="0"/>
        <w:pBdr>
          <w:top w:val="nil"/>
          <w:left w:val="nil"/>
          <w:bottom w:val="nil"/>
          <w:right w:val="nil"/>
          <w:between w:val="nil"/>
        </w:pBdr>
        <w:rPr>
          <w:rFonts w:eastAsia="Arial"/>
          <w:color w:val="000000"/>
          <w:szCs w:val="22"/>
          <w:lang w:eastAsia="en-US"/>
        </w:rPr>
      </w:pPr>
      <w:r w:rsidRPr="005A4AA4">
        <w:rPr>
          <w:rFonts w:eastAsia="Arial"/>
          <w:color w:val="000000"/>
          <w:szCs w:val="22"/>
          <w:lang w:eastAsia="en-US"/>
        </w:rPr>
        <w:t xml:space="preserve">Los medicamentos genéricos representan una parte considerable del </w:t>
      </w:r>
      <w:r w:rsidR="008F68DB">
        <w:rPr>
          <w:rFonts w:eastAsia="Arial"/>
          <w:color w:val="000000"/>
          <w:szCs w:val="22"/>
          <w:lang w:eastAsia="en-US"/>
        </w:rPr>
        <w:t>m</w:t>
      </w:r>
      <w:r w:rsidRPr="005A4AA4">
        <w:rPr>
          <w:rFonts w:eastAsia="Arial"/>
          <w:color w:val="000000"/>
          <w:szCs w:val="22"/>
          <w:lang w:eastAsia="en-US"/>
        </w:rPr>
        <w:t>ercado polaco de medicamentos y l</w:t>
      </w:r>
      <w:r w:rsidR="008F68DB">
        <w:rPr>
          <w:rFonts w:eastAsia="Arial"/>
          <w:color w:val="000000"/>
          <w:szCs w:val="22"/>
          <w:lang w:eastAsia="en-US"/>
        </w:rPr>
        <w:t>os</w:t>
      </w:r>
      <w:r w:rsidRPr="005A4AA4">
        <w:rPr>
          <w:rFonts w:eastAsia="Arial"/>
          <w:color w:val="000000"/>
          <w:szCs w:val="22"/>
          <w:lang w:eastAsia="en-US"/>
        </w:rPr>
        <w:t xml:space="preserve"> precio</w:t>
      </w:r>
      <w:r w:rsidR="008F68DB">
        <w:rPr>
          <w:rFonts w:eastAsia="Arial"/>
          <w:color w:val="000000"/>
          <w:szCs w:val="22"/>
          <w:lang w:eastAsia="en-US"/>
        </w:rPr>
        <w:t>s</w:t>
      </w:r>
      <w:r w:rsidRPr="005A4AA4">
        <w:rPr>
          <w:rFonts w:eastAsia="Arial"/>
          <w:color w:val="000000"/>
          <w:szCs w:val="22"/>
          <w:lang w:eastAsia="en-US"/>
        </w:rPr>
        <w:t xml:space="preserve"> de los productos farmacéuticos </w:t>
      </w:r>
      <w:r w:rsidR="008F68DB">
        <w:rPr>
          <w:rFonts w:eastAsia="Arial"/>
          <w:color w:val="000000"/>
          <w:szCs w:val="22"/>
          <w:lang w:eastAsia="en-US"/>
        </w:rPr>
        <w:t xml:space="preserve">son </w:t>
      </w:r>
      <w:r w:rsidRPr="005A4AA4">
        <w:rPr>
          <w:rFonts w:eastAsia="Arial"/>
          <w:color w:val="000000"/>
          <w:szCs w:val="22"/>
          <w:lang w:eastAsia="en-US"/>
        </w:rPr>
        <w:t xml:space="preserve">de los más bajos de </w:t>
      </w:r>
      <w:r w:rsidR="008F68DB">
        <w:rPr>
          <w:rFonts w:eastAsia="Arial"/>
          <w:color w:val="000000"/>
          <w:szCs w:val="22"/>
          <w:lang w:eastAsia="en-US"/>
        </w:rPr>
        <w:t>Europa. La proporción de</w:t>
      </w:r>
      <w:r w:rsidRPr="005A4AA4">
        <w:rPr>
          <w:rFonts w:eastAsia="Arial"/>
          <w:color w:val="000000"/>
          <w:szCs w:val="22"/>
          <w:lang w:eastAsia="en-US"/>
        </w:rPr>
        <w:t>l</w:t>
      </w:r>
      <w:r w:rsidR="008F68DB">
        <w:rPr>
          <w:rFonts w:eastAsia="Arial"/>
          <w:color w:val="000000"/>
          <w:szCs w:val="22"/>
          <w:lang w:eastAsia="en-US"/>
        </w:rPr>
        <w:t xml:space="preserve"> gasto público</w:t>
      </w:r>
      <w:r w:rsidRPr="005A4AA4">
        <w:rPr>
          <w:rFonts w:eastAsia="Arial"/>
          <w:color w:val="000000"/>
          <w:szCs w:val="22"/>
          <w:lang w:eastAsia="en-US"/>
        </w:rPr>
        <w:t xml:space="preserve"> en </w:t>
      </w:r>
      <w:r w:rsidR="008F68DB">
        <w:rPr>
          <w:rFonts w:eastAsia="Arial"/>
          <w:color w:val="000000"/>
          <w:szCs w:val="22"/>
          <w:lang w:eastAsia="en-US"/>
        </w:rPr>
        <w:t>e</w:t>
      </w:r>
      <w:r w:rsidRPr="005A4AA4">
        <w:rPr>
          <w:rFonts w:eastAsia="Arial"/>
          <w:color w:val="000000"/>
          <w:szCs w:val="22"/>
          <w:lang w:eastAsia="en-US"/>
        </w:rPr>
        <w:t>l</w:t>
      </w:r>
      <w:r w:rsidR="008F68DB">
        <w:rPr>
          <w:rFonts w:eastAsia="Arial"/>
          <w:color w:val="000000"/>
          <w:szCs w:val="22"/>
          <w:lang w:eastAsia="en-US"/>
        </w:rPr>
        <w:t xml:space="preserve"> costo</w:t>
      </w:r>
      <w:r w:rsidRPr="005A4AA4">
        <w:rPr>
          <w:rFonts w:eastAsia="Arial"/>
          <w:color w:val="000000"/>
          <w:szCs w:val="22"/>
          <w:lang w:eastAsia="en-US"/>
        </w:rPr>
        <w:t xml:space="preserve"> de los medicamentos en que incurre</w:t>
      </w:r>
      <w:r w:rsidR="008F68DB">
        <w:rPr>
          <w:rFonts w:eastAsia="Arial"/>
          <w:color w:val="000000"/>
          <w:szCs w:val="22"/>
          <w:lang w:eastAsia="en-US"/>
        </w:rPr>
        <w:t>n</w:t>
      </w:r>
      <w:r w:rsidRPr="005A4AA4">
        <w:rPr>
          <w:rFonts w:eastAsia="Arial"/>
          <w:color w:val="000000"/>
          <w:szCs w:val="22"/>
          <w:lang w:eastAsia="en-US"/>
        </w:rPr>
        <w:t xml:space="preserve"> los pacientes de </w:t>
      </w:r>
      <w:r w:rsidR="008F68DB">
        <w:rPr>
          <w:rFonts w:eastAsia="Arial"/>
          <w:color w:val="000000"/>
          <w:szCs w:val="22"/>
          <w:lang w:eastAsia="en-US"/>
        </w:rPr>
        <w:t>P</w:t>
      </w:r>
      <w:r w:rsidRPr="005A4AA4">
        <w:rPr>
          <w:rFonts w:eastAsia="Arial"/>
          <w:color w:val="000000"/>
          <w:szCs w:val="22"/>
          <w:lang w:eastAsia="en-US"/>
        </w:rPr>
        <w:t xml:space="preserve">olonia </w:t>
      </w:r>
      <w:r w:rsidR="008F68DB">
        <w:rPr>
          <w:rFonts w:eastAsia="Arial"/>
          <w:color w:val="000000"/>
          <w:szCs w:val="22"/>
          <w:lang w:eastAsia="en-US"/>
        </w:rPr>
        <w:t>es una de las más baja</w:t>
      </w:r>
      <w:r w:rsidRPr="005A4AA4">
        <w:rPr>
          <w:rFonts w:eastAsia="Arial"/>
          <w:color w:val="000000"/>
          <w:szCs w:val="22"/>
          <w:lang w:eastAsia="en-US"/>
        </w:rPr>
        <w:t xml:space="preserve">s de los </w:t>
      </w:r>
      <w:r w:rsidR="008F68DB">
        <w:rPr>
          <w:rFonts w:eastAsia="Arial"/>
          <w:color w:val="000000"/>
          <w:szCs w:val="22"/>
          <w:lang w:eastAsia="en-US"/>
        </w:rPr>
        <w:t>p</w:t>
      </w:r>
      <w:r w:rsidRPr="005A4AA4">
        <w:rPr>
          <w:rFonts w:eastAsia="Arial"/>
          <w:color w:val="000000"/>
          <w:szCs w:val="22"/>
          <w:lang w:eastAsia="en-US"/>
        </w:rPr>
        <w:t xml:space="preserve">aíses de la OCDE. La industria </w:t>
      </w:r>
      <w:r w:rsidR="008F68DB">
        <w:rPr>
          <w:rFonts w:eastAsia="Arial"/>
          <w:color w:val="000000"/>
          <w:szCs w:val="22"/>
          <w:lang w:eastAsia="en-US"/>
        </w:rPr>
        <w:t>f</w:t>
      </w:r>
      <w:r w:rsidRPr="005A4AA4">
        <w:rPr>
          <w:rFonts w:eastAsia="Arial"/>
          <w:color w:val="000000"/>
          <w:szCs w:val="22"/>
          <w:lang w:eastAsia="en-US"/>
        </w:rPr>
        <w:t xml:space="preserve">armacéutica </w:t>
      </w:r>
      <w:r w:rsidRPr="005A4AA4">
        <w:rPr>
          <w:rFonts w:eastAsia="Arial"/>
          <w:color w:val="000000"/>
          <w:szCs w:val="22"/>
          <w:lang w:eastAsia="en-US"/>
        </w:rPr>
        <w:lastRenderedPageBreak/>
        <w:t xml:space="preserve">polaca </w:t>
      </w:r>
      <w:r w:rsidR="008F68DB">
        <w:rPr>
          <w:rFonts w:eastAsia="Arial"/>
          <w:color w:val="000000"/>
          <w:szCs w:val="22"/>
          <w:lang w:eastAsia="en-US"/>
        </w:rPr>
        <w:t xml:space="preserve">experimentó </w:t>
      </w:r>
      <w:r w:rsidRPr="005A4AA4">
        <w:rPr>
          <w:rFonts w:eastAsia="Arial"/>
          <w:color w:val="000000"/>
          <w:szCs w:val="22"/>
          <w:lang w:eastAsia="en-US"/>
        </w:rPr>
        <w:t xml:space="preserve">un crecimiento notable después de </w:t>
      </w:r>
      <w:r w:rsidR="008F68DB">
        <w:rPr>
          <w:rFonts w:eastAsia="Arial"/>
          <w:color w:val="000000"/>
          <w:szCs w:val="22"/>
          <w:lang w:eastAsia="en-US"/>
        </w:rPr>
        <w:t xml:space="preserve">adherirse </w:t>
      </w:r>
      <w:r w:rsidRPr="005A4AA4">
        <w:rPr>
          <w:rFonts w:eastAsia="Arial"/>
          <w:color w:val="000000"/>
          <w:szCs w:val="22"/>
          <w:lang w:eastAsia="en-US"/>
        </w:rPr>
        <w:t xml:space="preserve">a la UE, </w:t>
      </w:r>
      <w:r w:rsidR="008F68DB">
        <w:rPr>
          <w:rFonts w:eastAsia="Arial"/>
          <w:color w:val="000000"/>
          <w:szCs w:val="22"/>
          <w:lang w:eastAsia="en-US"/>
        </w:rPr>
        <w:t>p</w:t>
      </w:r>
      <w:r w:rsidRPr="005A4AA4">
        <w:rPr>
          <w:rFonts w:eastAsia="Arial"/>
          <w:color w:val="000000"/>
          <w:szCs w:val="22"/>
          <w:lang w:eastAsia="en-US"/>
        </w:rPr>
        <w:t xml:space="preserve">ero ha </w:t>
      </w:r>
      <w:r w:rsidR="008F68DB">
        <w:rPr>
          <w:rFonts w:eastAsia="Arial"/>
          <w:color w:val="000000"/>
          <w:szCs w:val="22"/>
          <w:lang w:eastAsia="en-US"/>
        </w:rPr>
        <w:t>sufrido un fuerte bajón</w:t>
      </w:r>
      <w:r w:rsidRPr="005A4AA4">
        <w:rPr>
          <w:rFonts w:eastAsia="Arial"/>
          <w:color w:val="000000"/>
          <w:szCs w:val="22"/>
          <w:lang w:eastAsia="en-US"/>
        </w:rPr>
        <w:t xml:space="preserve"> </w:t>
      </w:r>
      <w:r w:rsidR="008F68DB">
        <w:rPr>
          <w:rFonts w:eastAsia="Arial"/>
          <w:color w:val="000000"/>
          <w:szCs w:val="22"/>
          <w:lang w:eastAsia="en-US"/>
        </w:rPr>
        <w:t xml:space="preserve">a partir de </w:t>
      </w:r>
      <w:r w:rsidRPr="005A4AA4">
        <w:rPr>
          <w:rFonts w:eastAsia="Arial"/>
          <w:color w:val="000000"/>
          <w:szCs w:val="22"/>
          <w:lang w:eastAsia="en-US"/>
        </w:rPr>
        <w:t xml:space="preserve">2011. </w:t>
      </w:r>
      <w:r w:rsidR="008F68DB">
        <w:rPr>
          <w:rFonts w:eastAsia="Arial"/>
          <w:color w:val="000000"/>
          <w:szCs w:val="22"/>
          <w:lang w:eastAsia="en-US"/>
        </w:rPr>
        <w:t xml:space="preserve">Al igual que </w:t>
      </w:r>
      <w:r w:rsidRPr="005A4AA4">
        <w:rPr>
          <w:rFonts w:eastAsia="Arial"/>
          <w:color w:val="000000"/>
          <w:szCs w:val="22"/>
          <w:lang w:eastAsia="en-US"/>
        </w:rPr>
        <w:t xml:space="preserve">la mayoría de los países de </w:t>
      </w:r>
      <w:r w:rsidR="008F68DB">
        <w:rPr>
          <w:rFonts w:eastAsia="Arial"/>
          <w:color w:val="000000"/>
          <w:szCs w:val="22"/>
          <w:lang w:eastAsia="en-US"/>
        </w:rPr>
        <w:t>Europa Central y Oriental</w:t>
      </w:r>
      <w:r w:rsidRPr="005A4AA4">
        <w:rPr>
          <w:rFonts w:eastAsia="Arial"/>
          <w:color w:val="000000"/>
          <w:szCs w:val="22"/>
          <w:lang w:eastAsia="en-US"/>
        </w:rPr>
        <w:t xml:space="preserve">, Polonia </w:t>
      </w:r>
      <w:r w:rsidR="008F68DB">
        <w:rPr>
          <w:rFonts w:eastAsia="Arial"/>
          <w:color w:val="000000"/>
          <w:szCs w:val="22"/>
          <w:lang w:eastAsia="en-US"/>
        </w:rPr>
        <w:t>h</w:t>
      </w:r>
      <w:r w:rsidRPr="005A4AA4">
        <w:rPr>
          <w:rFonts w:eastAsia="Arial"/>
          <w:color w:val="000000"/>
          <w:szCs w:val="22"/>
          <w:lang w:eastAsia="en-US"/>
        </w:rPr>
        <w:t xml:space="preserve">a </w:t>
      </w:r>
      <w:r w:rsidR="008F68DB">
        <w:rPr>
          <w:rFonts w:eastAsia="Arial"/>
          <w:color w:val="000000"/>
          <w:szCs w:val="22"/>
          <w:lang w:eastAsia="en-US"/>
        </w:rPr>
        <w:t xml:space="preserve">visto cómo aumentaba el </w:t>
      </w:r>
      <w:r w:rsidRPr="005A4AA4">
        <w:rPr>
          <w:rFonts w:eastAsia="Arial"/>
          <w:color w:val="000000"/>
          <w:szCs w:val="22"/>
          <w:lang w:eastAsia="en-US"/>
        </w:rPr>
        <w:t>número de empresas farmacéuticas</w:t>
      </w:r>
      <w:r w:rsidR="00354DF1">
        <w:rPr>
          <w:rFonts w:eastAsia="Arial"/>
          <w:color w:val="000000"/>
          <w:szCs w:val="22"/>
          <w:lang w:eastAsia="en-US"/>
        </w:rPr>
        <w:t xml:space="preserve"> en </w:t>
      </w:r>
      <w:r w:rsidR="008F68DB">
        <w:rPr>
          <w:rFonts w:eastAsia="Arial"/>
          <w:color w:val="000000"/>
          <w:szCs w:val="22"/>
          <w:lang w:eastAsia="en-US"/>
        </w:rPr>
        <w:t>el país</w:t>
      </w:r>
      <w:r w:rsidRPr="005A4AA4">
        <w:rPr>
          <w:rFonts w:eastAsia="Arial"/>
          <w:color w:val="000000"/>
          <w:szCs w:val="22"/>
          <w:lang w:eastAsia="en-US"/>
        </w:rPr>
        <w:t xml:space="preserve">. La entrada de empresas más pequeñas y la recesión económica </w:t>
      </w:r>
      <w:r w:rsidR="008F68DB">
        <w:rPr>
          <w:rFonts w:eastAsia="Arial"/>
          <w:color w:val="000000"/>
          <w:szCs w:val="22"/>
          <w:lang w:eastAsia="en-US"/>
        </w:rPr>
        <w:t>tienen relación</w:t>
      </w:r>
      <w:r w:rsidRPr="005A4AA4">
        <w:rPr>
          <w:rFonts w:eastAsia="Arial"/>
          <w:color w:val="000000"/>
          <w:szCs w:val="22"/>
          <w:lang w:eastAsia="en-US"/>
        </w:rPr>
        <w:t xml:space="preserve"> con la reducción del empleo, </w:t>
      </w:r>
      <w:r w:rsidR="008F68DB">
        <w:rPr>
          <w:rFonts w:eastAsia="Arial"/>
          <w:color w:val="000000"/>
          <w:szCs w:val="22"/>
          <w:lang w:eastAsia="en-US"/>
        </w:rPr>
        <w:t xml:space="preserve">circunstancia </w:t>
      </w:r>
      <w:r w:rsidRPr="005A4AA4">
        <w:rPr>
          <w:rFonts w:eastAsia="Arial"/>
          <w:color w:val="000000"/>
          <w:szCs w:val="22"/>
          <w:lang w:eastAsia="en-US"/>
        </w:rPr>
        <w:t xml:space="preserve">que también se observa en otros países de Europa Central y Oriental. </w:t>
      </w:r>
      <w:r w:rsidR="008F68DB">
        <w:rPr>
          <w:rFonts w:eastAsia="Arial"/>
          <w:color w:val="000000"/>
          <w:szCs w:val="22"/>
          <w:lang w:eastAsia="en-US"/>
        </w:rPr>
        <w:t>Con todo</w:t>
      </w:r>
      <w:r w:rsidRPr="005A4AA4">
        <w:rPr>
          <w:rFonts w:eastAsia="Arial"/>
          <w:color w:val="000000"/>
          <w:szCs w:val="22"/>
          <w:lang w:eastAsia="en-US"/>
        </w:rPr>
        <w:t xml:space="preserve">, </w:t>
      </w:r>
      <w:r w:rsidR="008F68DB">
        <w:rPr>
          <w:rFonts w:eastAsia="Arial"/>
          <w:color w:val="000000"/>
          <w:szCs w:val="22"/>
          <w:lang w:eastAsia="en-US"/>
        </w:rPr>
        <w:t>P</w:t>
      </w:r>
      <w:r w:rsidRPr="005A4AA4">
        <w:rPr>
          <w:rFonts w:eastAsia="Arial"/>
          <w:color w:val="000000"/>
          <w:szCs w:val="22"/>
          <w:lang w:eastAsia="en-US"/>
        </w:rPr>
        <w:t xml:space="preserve">olonia </w:t>
      </w:r>
      <w:r w:rsidR="00354DF1">
        <w:rPr>
          <w:rFonts w:eastAsia="Arial"/>
          <w:color w:val="000000"/>
          <w:szCs w:val="22"/>
          <w:lang w:eastAsia="en-US"/>
        </w:rPr>
        <w:t>posee</w:t>
      </w:r>
      <w:r w:rsidRPr="005A4AA4">
        <w:rPr>
          <w:rFonts w:eastAsia="Arial"/>
          <w:color w:val="000000"/>
          <w:szCs w:val="22"/>
          <w:lang w:eastAsia="en-US"/>
        </w:rPr>
        <w:t xml:space="preserve"> la mayor fuerza de trabajo </w:t>
      </w:r>
      <w:r w:rsidR="008F68DB">
        <w:rPr>
          <w:rFonts w:eastAsia="Arial"/>
          <w:color w:val="000000"/>
          <w:szCs w:val="22"/>
          <w:lang w:eastAsia="en-US"/>
        </w:rPr>
        <w:t xml:space="preserve">del sector </w:t>
      </w:r>
      <w:r w:rsidRPr="005A4AA4">
        <w:rPr>
          <w:rFonts w:eastAsia="Arial"/>
          <w:color w:val="000000"/>
          <w:szCs w:val="22"/>
          <w:lang w:eastAsia="en-US"/>
        </w:rPr>
        <w:t>farmacéutic</w:t>
      </w:r>
      <w:r w:rsidR="008F68DB">
        <w:rPr>
          <w:rFonts w:eastAsia="Arial"/>
          <w:color w:val="000000"/>
          <w:szCs w:val="22"/>
          <w:lang w:eastAsia="en-US"/>
        </w:rPr>
        <w:t>o</w:t>
      </w:r>
      <w:r w:rsidRPr="005A4AA4">
        <w:rPr>
          <w:rFonts w:eastAsia="Arial"/>
          <w:color w:val="000000"/>
          <w:szCs w:val="22"/>
          <w:lang w:eastAsia="en-US"/>
        </w:rPr>
        <w:t xml:space="preserve"> </w:t>
      </w:r>
      <w:r w:rsidR="008F68DB">
        <w:rPr>
          <w:rFonts w:eastAsia="Arial"/>
          <w:color w:val="000000"/>
          <w:szCs w:val="22"/>
          <w:lang w:eastAsia="en-US"/>
        </w:rPr>
        <w:t>d</w:t>
      </w:r>
      <w:r w:rsidRPr="005A4AA4">
        <w:rPr>
          <w:rFonts w:eastAsia="Arial"/>
          <w:color w:val="000000"/>
          <w:szCs w:val="22"/>
          <w:lang w:eastAsia="en-US"/>
        </w:rPr>
        <w:t>e la región.</w:t>
      </w:r>
    </w:p>
    <w:p w:rsidR="005A4AA4" w:rsidRDefault="005A4AA4" w:rsidP="00AB727F">
      <w:pPr>
        <w:widowControl w:val="0"/>
        <w:pBdr>
          <w:top w:val="nil"/>
          <w:left w:val="nil"/>
          <w:bottom w:val="nil"/>
          <w:right w:val="nil"/>
          <w:between w:val="nil"/>
        </w:pBdr>
        <w:rPr>
          <w:rFonts w:eastAsia="Arial"/>
          <w:color w:val="000000"/>
          <w:szCs w:val="22"/>
          <w:lang w:eastAsia="en-US"/>
        </w:rPr>
      </w:pPr>
    </w:p>
    <w:p w:rsidR="005A4AA4" w:rsidRDefault="005A4AA4" w:rsidP="00AB727F">
      <w:pPr>
        <w:widowControl w:val="0"/>
        <w:pBdr>
          <w:top w:val="nil"/>
          <w:left w:val="nil"/>
          <w:bottom w:val="nil"/>
          <w:right w:val="nil"/>
          <w:between w:val="nil"/>
        </w:pBdr>
        <w:rPr>
          <w:rFonts w:eastAsia="Arial"/>
          <w:color w:val="000000"/>
          <w:szCs w:val="22"/>
          <w:lang w:eastAsia="en-US"/>
        </w:rPr>
      </w:pPr>
      <w:r w:rsidRPr="005A4AA4">
        <w:rPr>
          <w:rFonts w:eastAsia="Arial"/>
          <w:color w:val="000000"/>
          <w:szCs w:val="22"/>
          <w:lang w:eastAsia="en-US"/>
        </w:rPr>
        <w:t xml:space="preserve">Desde 2011, la industria </w:t>
      </w:r>
      <w:r w:rsidR="008F68DB">
        <w:rPr>
          <w:rFonts w:eastAsia="Arial"/>
          <w:color w:val="000000"/>
          <w:szCs w:val="22"/>
          <w:lang w:eastAsia="en-US"/>
        </w:rPr>
        <w:t>médica</w:t>
      </w:r>
      <w:r w:rsidRPr="005A4AA4">
        <w:rPr>
          <w:rFonts w:eastAsia="Arial"/>
          <w:color w:val="000000"/>
          <w:szCs w:val="22"/>
          <w:lang w:eastAsia="en-US"/>
        </w:rPr>
        <w:t xml:space="preserve"> ha crecido de manera constante, pero sigue siendo una industria </w:t>
      </w:r>
      <w:r w:rsidR="00354DF1" w:rsidRPr="005A4AA4">
        <w:rPr>
          <w:rFonts w:eastAsia="Arial"/>
          <w:color w:val="000000"/>
          <w:szCs w:val="22"/>
          <w:lang w:eastAsia="en-US"/>
        </w:rPr>
        <w:t xml:space="preserve">pequeña </w:t>
      </w:r>
      <w:r w:rsidRPr="005A4AA4">
        <w:rPr>
          <w:rFonts w:eastAsia="Arial"/>
          <w:color w:val="000000"/>
          <w:szCs w:val="22"/>
          <w:lang w:eastAsia="en-US"/>
        </w:rPr>
        <w:t xml:space="preserve">en lo que respecta a las empresas y </w:t>
      </w:r>
      <w:r w:rsidR="00354DF1">
        <w:rPr>
          <w:rFonts w:eastAsia="Arial"/>
          <w:color w:val="000000"/>
          <w:szCs w:val="22"/>
          <w:lang w:eastAsia="en-US"/>
        </w:rPr>
        <w:t xml:space="preserve">a </w:t>
      </w:r>
      <w:r w:rsidRPr="005A4AA4">
        <w:rPr>
          <w:rFonts w:eastAsia="Arial"/>
          <w:color w:val="000000"/>
          <w:szCs w:val="22"/>
          <w:lang w:eastAsia="en-US"/>
        </w:rPr>
        <w:t xml:space="preserve">la producción. </w:t>
      </w:r>
      <w:r w:rsidR="008F68DB">
        <w:rPr>
          <w:rFonts w:eastAsia="Arial"/>
          <w:color w:val="000000"/>
          <w:szCs w:val="22"/>
          <w:lang w:eastAsia="en-US"/>
        </w:rPr>
        <w:t xml:space="preserve">El sector </w:t>
      </w:r>
      <w:r w:rsidRPr="005A4AA4">
        <w:rPr>
          <w:rFonts w:eastAsia="Arial"/>
          <w:color w:val="000000"/>
          <w:szCs w:val="22"/>
          <w:lang w:eastAsia="en-US"/>
        </w:rPr>
        <w:t xml:space="preserve">de la tecnología </w:t>
      </w:r>
      <w:r w:rsidR="008F68DB">
        <w:rPr>
          <w:rFonts w:eastAsia="Arial"/>
          <w:color w:val="000000"/>
          <w:szCs w:val="22"/>
          <w:lang w:eastAsia="en-US"/>
        </w:rPr>
        <w:t xml:space="preserve">médica </w:t>
      </w:r>
      <w:r w:rsidRPr="005A4AA4">
        <w:rPr>
          <w:rFonts w:eastAsia="Arial"/>
          <w:color w:val="000000"/>
          <w:szCs w:val="22"/>
          <w:lang w:eastAsia="en-US"/>
        </w:rPr>
        <w:t xml:space="preserve">de </w:t>
      </w:r>
      <w:r w:rsidR="008F68DB">
        <w:rPr>
          <w:rFonts w:eastAsia="Arial"/>
          <w:color w:val="000000"/>
          <w:szCs w:val="22"/>
          <w:lang w:eastAsia="en-US"/>
        </w:rPr>
        <w:t>P</w:t>
      </w:r>
      <w:r w:rsidRPr="005A4AA4">
        <w:rPr>
          <w:rFonts w:eastAsia="Arial"/>
          <w:color w:val="000000"/>
          <w:szCs w:val="22"/>
          <w:lang w:eastAsia="en-US"/>
        </w:rPr>
        <w:t xml:space="preserve">olonia cuenta con aproximadamente 100 </w:t>
      </w:r>
      <w:r w:rsidR="008F68DB">
        <w:rPr>
          <w:rFonts w:eastAsia="Arial"/>
          <w:color w:val="000000"/>
          <w:szCs w:val="22"/>
          <w:lang w:eastAsia="en-US"/>
        </w:rPr>
        <w:t>grandes</w:t>
      </w:r>
      <w:r w:rsidRPr="005A4AA4">
        <w:rPr>
          <w:rFonts w:eastAsia="Arial"/>
          <w:color w:val="000000"/>
          <w:szCs w:val="22"/>
          <w:lang w:eastAsia="en-US"/>
        </w:rPr>
        <w:t xml:space="preserve"> y pequeñas empresas que fabrican tecnologías médicas. Sin embargo, estas actividades han ido aumentando a ritmo constante, lo que también sucede en la mayoría de la </w:t>
      </w:r>
      <w:r w:rsidR="001F43DD">
        <w:rPr>
          <w:rFonts w:eastAsia="Arial"/>
          <w:color w:val="000000"/>
          <w:szCs w:val="22"/>
          <w:lang w:eastAsia="en-US"/>
        </w:rPr>
        <w:t>r</w:t>
      </w:r>
      <w:r w:rsidRPr="005A4AA4">
        <w:rPr>
          <w:rFonts w:eastAsia="Arial"/>
          <w:color w:val="000000"/>
          <w:szCs w:val="22"/>
          <w:lang w:eastAsia="en-US"/>
        </w:rPr>
        <w:t xml:space="preserve">egión de </w:t>
      </w:r>
      <w:r w:rsidR="001F43DD">
        <w:rPr>
          <w:rFonts w:eastAsia="Arial"/>
          <w:color w:val="000000"/>
          <w:szCs w:val="22"/>
          <w:lang w:eastAsia="en-US"/>
        </w:rPr>
        <w:t>E</w:t>
      </w:r>
      <w:r w:rsidRPr="005A4AA4">
        <w:rPr>
          <w:rFonts w:eastAsia="Arial"/>
          <w:color w:val="000000"/>
          <w:szCs w:val="22"/>
          <w:lang w:eastAsia="en-US"/>
        </w:rPr>
        <w:t xml:space="preserve">uropa </w:t>
      </w:r>
      <w:r w:rsidR="001F43DD">
        <w:rPr>
          <w:rFonts w:eastAsia="Arial"/>
          <w:color w:val="000000"/>
          <w:szCs w:val="22"/>
          <w:lang w:eastAsia="en-US"/>
        </w:rPr>
        <w:t>C</w:t>
      </w:r>
      <w:r w:rsidRPr="005A4AA4">
        <w:rPr>
          <w:rFonts w:eastAsia="Arial"/>
          <w:color w:val="000000"/>
          <w:szCs w:val="22"/>
          <w:lang w:eastAsia="en-US"/>
        </w:rPr>
        <w:t xml:space="preserve">entral y </w:t>
      </w:r>
      <w:r w:rsidR="001F43DD">
        <w:rPr>
          <w:rFonts w:eastAsia="Arial"/>
          <w:color w:val="000000"/>
          <w:szCs w:val="22"/>
          <w:lang w:eastAsia="en-US"/>
        </w:rPr>
        <w:t>O</w:t>
      </w:r>
      <w:r w:rsidRPr="005A4AA4">
        <w:rPr>
          <w:rFonts w:eastAsia="Arial"/>
          <w:color w:val="000000"/>
          <w:szCs w:val="22"/>
          <w:lang w:eastAsia="en-US"/>
        </w:rPr>
        <w:t xml:space="preserve">riental. Polonia también ha </w:t>
      </w:r>
      <w:r w:rsidR="001F43DD">
        <w:rPr>
          <w:rFonts w:eastAsia="Arial"/>
          <w:color w:val="000000"/>
          <w:szCs w:val="22"/>
          <w:lang w:eastAsia="en-US"/>
        </w:rPr>
        <w:t>visto cómo aumentaban</w:t>
      </w:r>
      <w:r w:rsidRPr="005A4AA4">
        <w:rPr>
          <w:rFonts w:eastAsia="Arial"/>
          <w:color w:val="000000"/>
          <w:szCs w:val="22"/>
          <w:lang w:eastAsia="en-US"/>
        </w:rPr>
        <w:t xml:space="preserve"> las ventas de </w:t>
      </w:r>
      <w:r w:rsidR="001F43DD">
        <w:rPr>
          <w:rFonts w:eastAsia="Arial"/>
          <w:color w:val="000000"/>
          <w:szCs w:val="22"/>
          <w:lang w:eastAsia="en-US"/>
        </w:rPr>
        <w:t>tecnología médica</w:t>
      </w:r>
      <w:r w:rsidRPr="005A4AA4">
        <w:rPr>
          <w:rFonts w:eastAsia="Arial"/>
          <w:color w:val="000000"/>
          <w:szCs w:val="22"/>
          <w:lang w:eastAsia="en-US"/>
        </w:rPr>
        <w:t xml:space="preserve">, lo que se debe en parte a las exportaciones y </w:t>
      </w:r>
      <w:r w:rsidR="001F43DD">
        <w:rPr>
          <w:rFonts w:eastAsia="Arial"/>
          <w:color w:val="000000"/>
          <w:szCs w:val="22"/>
          <w:lang w:eastAsia="en-US"/>
        </w:rPr>
        <w:t>a</w:t>
      </w:r>
      <w:r w:rsidRPr="005A4AA4">
        <w:rPr>
          <w:rFonts w:eastAsia="Arial"/>
          <w:color w:val="000000"/>
          <w:szCs w:val="22"/>
          <w:lang w:eastAsia="en-US"/>
        </w:rPr>
        <w:t xml:space="preserve">l apoyo público a través de la política de cohesión europea. Polonia también </w:t>
      </w:r>
      <w:r w:rsidR="001F43DD">
        <w:rPr>
          <w:rFonts w:eastAsia="Arial"/>
          <w:color w:val="000000"/>
          <w:szCs w:val="22"/>
          <w:lang w:eastAsia="en-US"/>
        </w:rPr>
        <w:t xml:space="preserve">experimentó </w:t>
      </w:r>
      <w:r w:rsidRPr="005A4AA4">
        <w:rPr>
          <w:rFonts w:eastAsia="Arial"/>
          <w:color w:val="000000"/>
          <w:szCs w:val="22"/>
          <w:lang w:eastAsia="en-US"/>
        </w:rPr>
        <w:t xml:space="preserve">el mayor aumento del empleo </w:t>
      </w:r>
      <w:r w:rsidR="001F43DD">
        <w:rPr>
          <w:rFonts w:eastAsia="Arial"/>
          <w:color w:val="000000"/>
          <w:szCs w:val="22"/>
          <w:lang w:eastAsia="en-US"/>
        </w:rPr>
        <w:t>en el sector de la tecnología médica</w:t>
      </w:r>
      <w:r w:rsidRPr="005A4AA4">
        <w:rPr>
          <w:rFonts w:eastAsia="Arial"/>
          <w:color w:val="000000"/>
          <w:szCs w:val="22"/>
          <w:lang w:eastAsia="en-US"/>
        </w:rPr>
        <w:t>, que per</w:t>
      </w:r>
      <w:r w:rsidR="001F43DD">
        <w:rPr>
          <w:rFonts w:eastAsia="Arial"/>
          <w:color w:val="000000"/>
          <w:szCs w:val="22"/>
          <w:lang w:eastAsia="en-US"/>
        </w:rPr>
        <w:t>manecía</w:t>
      </w:r>
      <w:r w:rsidRPr="005A4AA4">
        <w:rPr>
          <w:rFonts w:eastAsia="Arial"/>
          <w:color w:val="000000"/>
          <w:szCs w:val="22"/>
          <w:lang w:eastAsia="en-US"/>
        </w:rPr>
        <w:t xml:space="preserve"> estable en la mayoría de los países de Europa Central y Oriental. Polonia tiene la mayor industria de tecnología </w:t>
      </w:r>
      <w:r w:rsidR="001F43DD">
        <w:rPr>
          <w:rFonts w:eastAsia="Arial"/>
          <w:color w:val="000000"/>
          <w:szCs w:val="22"/>
          <w:lang w:eastAsia="en-US"/>
        </w:rPr>
        <w:t>médica d</w:t>
      </w:r>
      <w:r w:rsidRPr="005A4AA4">
        <w:rPr>
          <w:rFonts w:eastAsia="Arial"/>
          <w:color w:val="000000"/>
          <w:szCs w:val="22"/>
          <w:lang w:eastAsia="en-US"/>
        </w:rPr>
        <w:t xml:space="preserve">e los países de Europa Central y Oriental, pero </w:t>
      </w:r>
      <w:r w:rsidR="001F43DD">
        <w:rPr>
          <w:rFonts w:eastAsia="Arial"/>
          <w:color w:val="000000"/>
          <w:szCs w:val="22"/>
          <w:lang w:eastAsia="en-US"/>
        </w:rPr>
        <w:t>va a la zaga</w:t>
      </w:r>
      <w:r w:rsidRPr="005A4AA4">
        <w:rPr>
          <w:rFonts w:eastAsia="Arial"/>
          <w:color w:val="000000"/>
          <w:szCs w:val="22"/>
          <w:lang w:eastAsia="en-US"/>
        </w:rPr>
        <w:t xml:space="preserve"> en productividad. En todas las </w:t>
      </w:r>
      <w:r w:rsidR="001F43DD">
        <w:rPr>
          <w:rFonts w:eastAsia="Arial"/>
          <w:color w:val="000000"/>
          <w:szCs w:val="22"/>
          <w:lang w:eastAsia="en-US"/>
        </w:rPr>
        <w:t>e</w:t>
      </w:r>
      <w:r w:rsidRPr="005A4AA4">
        <w:rPr>
          <w:rFonts w:eastAsia="Arial"/>
          <w:color w:val="000000"/>
          <w:szCs w:val="22"/>
          <w:lang w:eastAsia="en-US"/>
        </w:rPr>
        <w:t xml:space="preserve">conomías de </w:t>
      </w:r>
      <w:r w:rsidR="001F43DD">
        <w:rPr>
          <w:rFonts w:eastAsia="Arial"/>
          <w:color w:val="000000"/>
          <w:szCs w:val="22"/>
          <w:lang w:eastAsia="en-US"/>
        </w:rPr>
        <w:t>E</w:t>
      </w:r>
      <w:r w:rsidRPr="005A4AA4">
        <w:rPr>
          <w:rFonts w:eastAsia="Arial"/>
          <w:color w:val="000000"/>
          <w:szCs w:val="22"/>
          <w:lang w:eastAsia="en-US"/>
        </w:rPr>
        <w:t xml:space="preserve">uropa </w:t>
      </w:r>
      <w:r w:rsidR="001F43DD">
        <w:rPr>
          <w:rFonts w:eastAsia="Arial"/>
          <w:color w:val="000000"/>
          <w:szCs w:val="22"/>
          <w:lang w:eastAsia="en-US"/>
        </w:rPr>
        <w:t>C</w:t>
      </w:r>
      <w:r w:rsidRPr="005A4AA4">
        <w:rPr>
          <w:rFonts w:eastAsia="Arial"/>
          <w:color w:val="000000"/>
          <w:szCs w:val="22"/>
          <w:lang w:eastAsia="en-US"/>
        </w:rPr>
        <w:t xml:space="preserve">entral y </w:t>
      </w:r>
      <w:r w:rsidR="001F43DD">
        <w:rPr>
          <w:rFonts w:eastAsia="Arial"/>
          <w:color w:val="000000"/>
          <w:szCs w:val="22"/>
          <w:lang w:eastAsia="en-US"/>
        </w:rPr>
        <w:t>O</w:t>
      </w:r>
      <w:r w:rsidRPr="005A4AA4">
        <w:rPr>
          <w:rFonts w:eastAsia="Arial"/>
          <w:color w:val="000000"/>
          <w:szCs w:val="22"/>
          <w:lang w:eastAsia="en-US"/>
        </w:rPr>
        <w:t xml:space="preserve">riental, la fabricación de instrumentos y suministros médicos y dentales es, </w:t>
      </w:r>
      <w:r w:rsidR="001F43DD">
        <w:rPr>
          <w:rFonts w:eastAsia="Arial"/>
          <w:color w:val="000000"/>
          <w:szCs w:val="22"/>
          <w:lang w:eastAsia="en-US"/>
        </w:rPr>
        <w:t>con creces</w:t>
      </w:r>
      <w:r w:rsidRPr="005A4AA4">
        <w:rPr>
          <w:rFonts w:eastAsia="Arial"/>
          <w:color w:val="000000"/>
          <w:szCs w:val="22"/>
          <w:lang w:eastAsia="en-US"/>
        </w:rPr>
        <w:t xml:space="preserve">, el principal segmento de la tecnología médica, pero </w:t>
      </w:r>
      <w:r w:rsidR="001F43DD">
        <w:rPr>
          <w:rFonts w:eastAsia="Arial"/>
          <w:color w:val="000000"/>
          <w:szCs w:val="22"/>
          <w:lang w:eastAsia="en-US"/>
        </w:rPr>
        <w:t>P</w:t>
      </w:r>
      <w:r w:rsidRPr="005A4AA4">
        <w:rPr>
          <w:rFonts w:eastAsia="Arial"/>
          <w:color w:val="000000"/>
          <w:szCs w:val="22"/>
          <w:lang w:eastAsia="en-US"/>
        </w:rPr>
        <w:t>olonia tiene la proporción más baja de empresas fabrican</w:t>
      </w:r>
      <w:r w:rsidR="001F43DD">
        <w:rPr>
          <w:rFonts w:eastAsia="Arial"/>
          <w:color w:val="000000"/>
          <w:szCs w:val="22"/>
          <w:lang w:eastAsia="en-US"/>
        </w:rPr>
        <w:t>tes de</w:t>
      </w:r>
      <w:r w:rsidRPr="005A4AA4">
        <w:rPr>
          <w:rFonts w:eastAsia="Arial"/>
          <w:color w:val="000000"/>
          <w:szCs w:val="22"/>
          <w:lang w:eastAsia="en-US"/>
        </w:rPr>
        <w:t xml:space="preserve"> equipos médicos.</w:t>
      </w:r>
    </w:p>
    <w:p w:rsidR="005A4AA4" w:rsidRPr="0089091E" w:rsidRDefault="005A4AA4" w:rsidP="00AB727F">
      <w:pPr>
        <w:widowControl w:val="0"/>
        <w:pBdr>
          <w:top w:val="nil"/>
          <w:left w:val="nil"/>
          <w:bottom w:val="nil"/>
          <w:right w:val="nil"/>
          <w:between w:val="nil"/>
        </w:pBdr>
        <w:rPr>
          <w:rFonts w:eastAsia="Arial"/>
          <w:color w:val="000000"/>
          <w:szCs w:val="22"/>
          <w:lang w:eastAsia="en-US"/>
        </w:rPr>
      </w:pPr>
    </w:p>
    <w:p w:rsidR="005A4AA4" w:rsidRPr="005A4AA4" w:rsidRDefault="001F43DD" w:rsidP="005A4AA4">
      <w:pPr>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 xml:space="preserve">El sector </w:t>
      </w:r>
      <w:r w:rsidR="005A4AA4" w:rsidRPr="005A4AA4">
        <w:rPr>
          <w:rFonts w:eastAsia="Arial"/>
          <w:color w:val="000000"/>
          <w:szCs w:val="22"/>
          <w:lang w:eastAsia="en-US"/>
        </w:rPr>
        <w:t xml:space="preserve">de la </w:t>
      </w:r>
      <w:r>
        <w:rPr>
          <w:rFonts w:eastAsia="Arial"/>
          <w:color w:val="000000"/>
          <w:szCs w:val="22"/>
          <w:lang w:eastAsia="en-US"/>
        </w:rPr>
        <w:t>s</w:t>
      </w:r>
      <w:r w:rsidR="005A4AA4" w:rsidRPr="005A4AA4">
        <w:rPr>
          <w:rFonts w:eastAsia="Arial"/>
          <w:color w:val="000000"/>
          <w:szCs w:val="22"/>
          <w:lang w:eastAsia="en-US"/>
        </w:rPr>
        <w:t xml:space="preserve">alud de </w:t>
      </w:r>
      <w:r>
        <w:rPr>
          <w:rFonts w:eastAsia="Arial"/>
          <w:color w:val="000000"/>
          <w:szCs w:val="22"/>
          <w:lang w:eastAsia="en-US"/>
        </w:rPr>
        <w:t>P</w:t>
      </w:r>
      <w:r w:rsidR="005A4AA4" w:rsidRPr="005A4AA4">
        <w:rPr>
          <w:rFonts w:eastAsia="Arial"/>
          <w:color w:val="000000"/>
          <w:szCs w:val="22"/>
          <w:lang w:eastAsia="en-US"/>
        </w:rPr>
        <w:t xml:space="preserve">olonia todavía tiene mucho que hacer para mejorar </w:t>
      </w:r>
      <w:r>
        <w:rPr>
          <w:rFonts w:eastAsia="Arial"/>
          <w:color w:val="000000"/>
          <w:szCs w:val="22"/>
          <w:lang w:eastAsia="en-US"/>
        </w:rPr>
        <w:t xml:space="preserve">la </w:t>
      </w:r>
      <w:r w:rsidR="005A4AA4" w:rsidRPr="005A4AA4">
        <w:rPr>
          <w:rFonts w:eastAsia="Arial"/>
          <w:color w:val="000000"/>
          <w:szCs w:val="22"/>
          <w:lang w:eastAsia="en-US"/>
        </w:rPr>
        <w:t xml:space="preserve">situación </w:t>
      </w:r>
      <w:r>
        <w:rPr>
          <w:rFonts w:eastAsia="Arial"/>
          <w:color w:val="000000"/>
          <w:szCs w:val="22"/>
          <w:lang w:eastAsia="en-US"/>
        </w:rPr>
        <w:t xml:space="preserve">en que se halla su </w:t>
      </w:r>
      <w:r w:rsidR="005A4AA4" w:rsidRPr="005A4AA4">
        <w:rPr>
          <w:rFonts w:eastAsia="Arial"/>
          <w:color w:val="000000"/>
          <w:szCs w:val="22"/>
          <w:lang w:eastAsia="en-US"/>
        </w:rPr>
        <w:t xml:space="preserve">innovación. Sin embargo, la tendencia observada en la dinámica de la innovación es motivo de optimismo. Las empresas polacas </w:t>
      </w:r>
      <w:r>
        <w:rPr>
          <w:rFonts w:eastAsia="Arial"/>
          <w:color w:val="000000"/>
          <w:szCs w:val="22"/>
          <w:lang w:eastAsia="en-US"/>
        </w:rPr>
        <w:t>del sector</w:t>
      </w:r>
      <w:r w:rsidR="005A4AA4" w:rsidRPr="005A4AA4">
        <w:rPr>
          <w:rFonts w:eastAsia="Arial"/>
          <w:color w:val="000000"/>
          <w:szCs w:val="22"/>
          <w:lang w:eastAsia="en-US"/>
        </w:rPr>
        <w:t xml:space="preserve"> de la salud </w:t>
      </w:r>
      <w:r>
        <w:rPr>
          <w:rFonts w:eastAsia="Arial"/>
          <w:color w:val="000000"/>
          <w:szCs w:val="22"/>
          <w:lang w:eastAsia="en-US"/>
        </w:rPr>
        <w:t xml:space="preserve">son </w:t>
      </w:r>
      <w:r w:rsidR="005A4AA4" w:rsidRPr="005A4AA4">
        <w:rPr>
          <w:rFonts w:eastAsia="Arial"/>
          <w:color w:val="000000"/>
          <w:szCs w:val="22"/>
          <w:lang w:eastAsia="en-US"/>
        </w:rPr>
        <w:t xml:space="preserve">cada vez más innovadoras y obtienen resultados económicos de esas innovaciones. </w:t>
      </w:r>
    </w:p>
    <w:p w:rsidR="001F43DD" w:rsidRDefault="001F43DD" w:rsidP="005A4AA4">
      <w:pPr>
        <w:widowControl w:val="0"/>
        <w:pBdr>
          <w:top w:val="nil"/>
          <w:left w:val="nil"/>
          <w:bottom w:val="nil"/>
          <w:right w:val="nil"/>
          <w:between w:val="nil"/>
        </w:pBdr>
        <w:rPr>
          <w:rFonts w:eastAsia="Arial"/>
          <w:color w:val="000000"/>
          <w:szCs w:val="22"/>
          <w:lang w:eastAsia="en-US"/>
        </w:rPr>
      </w:pPr>
    </w:p>
    <w:p w:rsidR="005A4AA4" w:rsidRPr="005A4AA4" w:rsidRDefault="005A4AA4" w:rsidP="005A4AA4">
      <w:pPr>
        <w:widowControl w:val="0"/>
        <w:pBdr>
          <w:top w:val="nil"/>
          <w:left w:val="nil"/>
          <w:bottom w:val="nil"/>
          <w:right w:val="nil"/>
          <w:between w:val="nil"/>
        </w:pBdr>
        <w:rPr>
          <w:rFonts w:eastAsia="Arial"/>
          <w:color w:val="000000"/>
          <w:szCs w:val="22"/>
          <w:lang w:eastAsia="en-US"/>
        </w:rPr>
      </w:pPr>
      <w:r w:rsidRPr="005A4AA4">
        <w:rPr>
          <w:rFonts w:eastAsia="Arial"/>
          <w:color w:val="000000"/>
          <w:szCs w:val="22"/>
          <w:lang w:eastAsia="en-US"/>
        </w:rPr>
        <w:t xml:space="preserve">Las industrias relacionadas con la salud figuran entre los principales sectores </w:t>
      </w:r>
      <w:r w:rsidR="001F43DD">
        <w:rPr>
          <w:rFonts w:eastAsia="Arial"/>
          <w:color w:val="000000"/>
          <w:szCs w:val="22"/>
          <w:lang w:eastAsia="en-US"/>
        </w:rPr>
        <w:t xml:space="preserve">en gasto </w:t>
      </w:r>
      <w:r w:rsidRPr="005A4AA4">
        <w:rPr>
          <w:rFonts w:eastAsia="Arial"/>
          <w:color w:val="000000"/>
          <w:szCs w:val="22"/>
          <w:lang w:eastAsia="en-US"/>
        </w:rPr>
        <w:t xml:space="preserve">de innovación en Polonia. Los gastos de </w:t>
      </w:r>
      <w:r w:rsidR="001F43DD">
        <w:rPr>
          <w:rFonts w:eastAsia="Arial"/>
          <w:color w:val="000000"/>
          <w:szCs w:val="22"/>
          <w:lang w:eastAsia="en-US"/>
        </w:rPr>
        <w:t xml:space="preserve">I+D </w:t>
      </w:r>
      <w:r w:rsidRPr="005A4AA4">
        <w:rPr>
          <w:rFonts w:eastAsia="Arial"/>
          <w:color w:val="000000"/>
          <w:szCs w:val="22"/>
          <w:lang w:eastAsia="en-US"/>
        </w:rPr>
        <w:t xml:space="preserve">representan la mayor parte de los gastos </w:t>
      </w:r>
      <w:r w:rsidR="00354DF1">
        <w:rPr>
          <w:rFonts w:eastAsia="Arial"/>
          <w:color w:val="000000"/>
          <w:szCs w:val="22"/>
          <w:lang w:eastAsia="en-US"/>
        </w:rPr>
        <w:t>d</w:t>
      </w:r>
      <w:r w:rsidRPr="005A4AA4">
        <w:rPr>
          <w:rFonts w:eastAsia="Arial"/>
          <w:color w:val="000000"/>
          <w:szCs w:val="22"/>
          <w:lang w:eastAsia="en-US"/>
        </w:rPr>
        <w:t>e innovación</w:t>
      </w:r>
      <w:r w:rsidR="001F43DD">
        <w:rPr>
          <w:rFonts w:eastAsia="Arial"/>
          <w:color w:val="000000"/>
          <w:szCs w:val="22"/>
          <w:lang w:eastAsia="en-US"/>
        </w:rPr>
        <w:t>, seguidos</w:t>
      </w:r>
      <w:r w:rsidRPr="005A4AA4">
        <w:rPr>
          <w:rFonts w:eastAsia="Arial"/>
          <w:color w:val="000000"/>
          <w:szCs w:val="22"/>
          <w:lang w:eastAsia="en-US"/>
        </w:rPr>
        <w:t xml:space="preserve"> de </w:t>
      </w:r>
      <w:r w:rsidR="001F43DD">
        <w:rPr>
          <w:rFonts w:eastAsia="Arial"/>
          <w:color w:val="000000"/>
          <w:szCs w:val="22"/>
          <w:lang w:eastAsia="en-US"/>
        </w:rPr>
        <w:t xml:space="preserve">las </w:t>
      </w:r>
      <w:r w:rsidRPr="005A4AA4">
        <w:rPr>
          <w:rFonts w:eastAsia="Arial"/>
          <w:color w:val="000000"/>
          <w:szCs w:val="22"/>
          <w:lang w:eastAsia="en-US"/>
        </w:rPr>
        <w:t xml:space="preserve">inversiones en bienes de capital con tecnología incorporada y en actividades de comercialización relacionadas con el lanzamiento de productos nuevos o </w:t>
      </w:r>
      <w:r w:rsidR="001F43DD">
        <w:rPr>
          <w:rFonts w:eastAsia="Arial"/>
          <w:color w:val="000000"/>
          <w:szCs w:val="22"/>
          <w:lang w:eastAsia="en-US"/>
        </w:rPr>
        <w:t>sensiblemente</w:t>
      </w:r>
      <w:r w:rsidR="00A410D6">
        <w:rPr>
          <w:rFonts w:eastAsia="Arial"/>
          <w:color w:val="000000"/>
          <w:szCs w:val="22"/>
          <w:lang w:eastAsia="en-US"/>
        </w:rPr>
        <w:t xml:space="preserve"> mejorados.</w:t>
      </w:r>
    </w:p>
    <w:p w:rsidR="005A4AA4" w:rsidRDefault="005A4AA4" w:rsidP="00AB727F">
      <w:pPr>
        <w:widowControl w:val="0"/>
        <w:pBdr>
          <w:top w:val="nil"/>
          <w:left w:val="nil"/>
          <w:bottom w:val="nil"/>
          <w:right w:val="nil"/>
          <w:between w:val="nil"/>
        </w:pBdr>
        <w:rPr>
          <w:rFonts w:eastAsia="Arial"/>
          <w:color w:val="000000"/>
          <w:szCs w:val="22"/>
          <w:lang w:eastAsia="en-US"/>
        </w:rPr>
      </w:pPr>
    </w:p>
    <w:p w:rsidR="008211A8" w:rsidRDefault="00354DF1" w:rsidP="00AB727F">
      <w:pPr>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El sector</w:t>
      </w:r>
      <w:r w:rsidR="005A4AA4" w:rsidRPr="005A4AA4">
        <w:rPr>
          <w:rFonts w:eastAsia="Arial"/>
          <w:color w:val="000000"/>
          <w:szCs w:val="22"/>
          <w:lang w:eastAsia="en-US"/>
        </w:rPr>
        <w:t xml:space="preserve"> de la </w:t>
      </w:r>
      <w:r w:rsidR="001F43DD">
        <w:rPr>
          <w:rFonts w:eastAsia="Arial"/>
          <w:color w:val="000000"/>
          <w:szCs w:val="22"/>
          <w:lang w:eastAsia="en-US"/>
        </w:rPr>
        <w:t>s</w:t>
      </w:r>
      <w:r w:rsidR="005A4AA4" w:rsidRPr="005A4AA4">
        <w:rPr>
          <w:rFonts w:eastAsia="Arial"/>
          <w:color w:val="000000"/>
          <w:szCs w:val="22"/>
          <w:lang w:eastAsia="en-US"/>
        </w:rPr>
        <w:t xml:space="preserve">alud de </w:t>
      </w:r>
      <w:r w:rsidR="001F43DD">
        <w:rPr>
          <w:rFonts w:eastAsia="Arial"/>
          <w:color w:val="000000"/>
          <w:szCs w:val="22"/>
          <w:lang w:eastAsia="en-US"/>
        </w:rPr>
        <w:t>P</w:t>
      </w:r>
      <w:r w:rsidR="005A4AA4" w:rsidRPr="005A4AA4">
        <w:rPr>
          <w:rFonts w:eastAsia="Arial"/>
          <w:color w:val="000000"/>
          <w:szCs w:val="22"/>
          <w:lang w:eastAsia="en-US"/>
        </w:rPr>
        <w:t xml:space="preserve">olonia ha innovado más que la media nacional, pero dista mucho de </w:t>
      </w:r>
      <w:r w:rsidR="001F43DD">
        <w:rPr>
          <w:rFonts w:eastAsia="Arial"/>
          <w:color w:val="000000"/>
          <w:szCs w:val="22"/>
          <w:lang w:eastAsia="en-US"/>
        </w:rPr>
        <w:t xml:space="preserve">alcanzar </w:t>
      </w:r>
      <w:r w:rsidR="005A4AA4" w:rsidRPr="005A4AA4">
        <w:rPr>
          <w:rFonts w:eastAsia="Arial"/>
          <w:color w:val="000000"/>
          <w:szCs w:val="22"/>
          <w:lang w:eastAsia="en-US"/>
        </w:rPr>
        <w:t xml:space="preserve">los niveles de la UE. La mayoría de las innovaciones de productos y procesos eran nuevas solo para la empresa y solo un cuarto </w:t>
      </w:r>
      <w:r w:rsidR="001F43DD">
        <w:rPr>
          <w:rFonts w:eastAsia="Arial"/>
          <w:color w:val="000000"/>
          <w:szCs w:val="22"/>
          <w:lang w:eastAsia="en-US"/>
        </w:rPr>
        <w:t xml:space="preserve">de ellas </w:t>
      </w:r>
      <w:r w:rsidR="005A4AA4" w:rsidRPr="005A4AA4">
        <w:rPr>
          <w:rFonts w:eastAsia="Arial"/>
          <w:color w:val="000000"/>
          <w:szCs w:val="22"/>
          <w:lang w:eastAsia="en-US"/>
        </w:rPr>
        <w:t xml:space="preserve">eran nuevas en </w:t>
      </w:r>
      <w:r w:rsidR="001F43DD">
        <w:rPr>
          <w:rFonts w:eastAsia="Arial"/>
          <w:color w:val="000000"/>
          <w:szCs w:val="22"/>
          <w:lang w:eastAsia="en-US"/>
        </w:rPr>
        <w:t>el país</w:t>
      </w:r>
      <w:r w:rsidR="005A4AA4" w:rsidRPr="005A4AA4">
        <w:rPr>
          <w:rFonts w:eastAsia="Arial"/>
          <w:color w:val="000000"/>
          <w:szCs w:val="22"/>
          <w:lang w:eastAsia="en-US"/>
        </w:rPr>
        <w:t>. Sin embargo, esas innovaciones han contribuido ca</w:t>
      </w:r>
      <w:r>
        <w:rPr>
          <w:rFonts w:eastAsia="Arial"/>
          <w:color w:val="000000"/>
          <w:szCs w:val="22"/>
          <w:lang w:eastAsia="en-US"/>
        </w:rPr>
        <w:t xml:space="preserve">da vez más a los ingresos del sector </w:t>
      </w:r>
      <w:r w:rsidR="005A4AA4" w:rsidRPr="005A4AA4">
        <w:rPr>
          <w:rFonts w:eastAsia="Arial"/>
          <w:color w:val="000000"/>
          <w:szCs w:val="22"/>
          <w:lang w:eastAsia="en-US"/>
        </w:rPr>
        <w:t xml:space="preserve">de la salud. Dentro de las ventas innovadoras, el mayor porcentaje se refiere a innovaciones que son nuevas para la empresa pero no para el mercado. </w:t>
      </w:r>
      <w:r w:rsidR="001F43DD">
        <w:rPr>
          <w:rFonts w:eastAsia="Arial"/>
          <w:color w:val="000000"/>
          <w:szCs w:val="22"/>
          <w:lang w:eastAsia="en-US"/>
        </w:rPr>
        <w:t xml:space="preserve">El sector </w:t>
      </w:r>
      <w:r w:rsidR="005A4AA4" w:rsidRPr="005A4AA4">
        <w:rPr>
          <w:rFonts w:eastAsia="Arial"/>
          <w:color w:val="000000"/>
          <w:szCs w:val="22"/>
          <w:lang w:eastAsia="en-US"/>
        </w:rPr>
        <w:t>de la salud se basa en la c</w:t>
      </w:r>
      <w:r w:rsidR="001F43DD">
        <w:rPr>
          <w:rFonts w:eastAsia="Arial"/>
          <w:color w:val="000000"/>
          <w:szCs w:val="22"/>
          <w:lang w:eastAsia="en-US"/>
        </w:rPr>
        <w:t xml:space="preserve">omplejidad de sus productos, la confidencialidad </w:t>
      </w:r>
      <w:r w:rsidR="005A4AA4" w:rsidRPr="005A4AA4">
        <w:rPr>
          <w:rFonts w:eastAsia="Arial"/>
          <w:color w:val="000000"/>
          <w:szCs w:val="22"/>
          <w:lang w:eastAsia="en-US"/>
        </w:rPr>
        <w:t xml:space="preserve">y </w:t>
      </w:r>
      <w:r w:rsidR="00B4534F">
        <w:rPr>
          <w:rFonts w:eastAsia="Arial"/>
          <w:color w:val="000000"/>
          <w:szCs w:val="22"/>
          <w:lang w:eastAsia="en-US"/>
        </w:rPr>
        <w:t>la ventaja adquirida en el tiempo de ejecución</w:t>
      </w:r>
      <w:r w:rsidR="001F43DD">
        <w:rPr>
          <w:rFonts w:eastAsia="Arial"/>
          <w:color w:val="000000"/>
          <w:szCs w:val="22"/>
          <w:lang w:eastAsia="en-US"/>
        </w:rPr>
        <w:t xml:space="preserve"> a fin de </w:t>
      </w:r>
      <w:r w:rsidR="005A4AA4" w:rsidRPr="005A4AA4">
        <w:rPr>
          <w:rFonts w:eastAsia="Arial"/>
          <w:color w:val="000000"/>
          <w:szCs w:val="22"/>
          <w:lang w:eastAsia="en-US"/>
        </w:rPr>
        <w:t xml:space="preserve">mantener o mejorar la competitividad en sus mercados. Al </w:t>
      </w:r>
      <w:r w:rsidR="00B4534F">
        <w:rPr>
          <w:rFonts w:eastAsia="Arial"/>
          <w:color w:val="000000"/>
          <w:szCs w:val="22"/>
          <w:lang w:eastAsia="en-US"/>
        </w:rPr>
        <w:t xml:space="preserve">tratarse de </w:t>
      </w:r>
      <w:r w:rsidR="005A4AA4" w:rsidRPr="005A4AA4">
        <w:rPr>
          <w:rFonts w:eastAsia="Arial"/>
          <w:color w:val="000000"/>
          <w:szCs w:val="22"/>
          <w:lang w:eastAsia="en-US"/>
        </w:rPr>
        <w:t xml:space="preserve">un mercado dominado por </w:t>
      </w:r>
      <w:r w:rsidR="00B4534F">
        <w:rPr>
          <w:rFonts w:eastAsia="Arial"/>
          <w:color w:val="000000"/>
          <w:szCs w:val="22"/>
          <w:lang w:eastAsia="en-US"/>
        </w:rPr>
        <w:t xml:space="preserve">productos </w:t>
      </w:r>
      <w:r w:rsidR="005A4AA4" w:rsidRPr="005A4AA4">
        <w:rPr>
          <w:rFonts w:eastAsia="Arial"/>
          <w:color w:val="000000"/>
          <w:szCs w:val="22"/>
          <w:lang w:eastAsia="en-US"/>
        </w:rPr>
        <w:t>genéricos y genéricos de m</w:t>
      </w:r>
      <w:r w:rsidR="00B4534F">
        <w:rPr>
          <w:rFonts w:eastAsia="Arial"/>
          <w:color w:val="000000"/>
          <w:szCs w:val="22"/>
          <w:lang w:eastAsia="en-US"/>
        </w:rPr>
        <w:t>arca, menos de un tercio se basaba</w:t>
      </w:r>
      <w:r w:rsidR="005A4AA4" w:rsidRPr="005A4AA4">
        <w:rPr>
          <w:rFonts w:eastAsia="Arial"/>
          <w:color w:val="000000"/>
          <w:szCs w:val="22"/>
          <w:lang w:eastAsia="en-US"/>
        </w:rPr>
        <w:t xml:space="preserve"> en las marcas y </w:t>
      </w:r>
      <w:r w:rsidR="00B4534F">
        <w:rPr>
          <w:rFonts w:eastAsia="Arial"/>
          <w:color w:val="000000"/>
          <w:szCs w:val="22"/>
          <w:lang w:eastAsia="en-US"/>
        </w:rPr>
        <w:t xml:space="preserve">en </w:t>
      </w:r>
      <w:r w:rsidR="005A4AA4" w:rsidRPr="005A4AA4">
        <w:rPr>
          <w:rFonts w:eastAsia="Arial"/>
          <w:color w:val="000000"/>
          <w:szCs w:val="22"/>
          <w:lang w:eastAsia="en-US"/>
        </w:rPr>
        <w:t>los diseños industriales para mantener la competitividad. Alrededor de un</w:t>
      </w:r>
      <w:r w:rsidR="00B4534F">
        <w:rPr>
          <w:rFonts w:eastAsia="Arial"/>
          <w:color w:val="000000"/>
          <w:szCs w:val="22"/>
          <w:lang w:eastAsia="en-US"/>
        </w:rPr>
        <w:t>a cuarta parte</w:t>
      </w:r>
      <w:r w:rsidR="005A4AA4" w:rsidRPr="005A4AA4">
        <w:rPr>
          <w:rFonts w:eastAsia="Arial"/>
          <w:color w:val="000000"/>
          <w:szCs w:val="22"/>
          <w:lang w:eastAsia="en-US"/>
        </w:rPr>
        <w:t xml:space="preserve"> </w:t>
      </w:r>
      <w:r w:rsidR="00B4534F">
        <w:rPr>
          <w:rFonts w:eastAsia="Arial"/>
          <w:color w:val="000000"/>
          <w:szCs w:val="22"/>
          <w:lang w:eastAsia="en-US"/>
        </w:rPr>
        <w:t>se basaba</w:t>
      </w:r>
      <w:r w:rsidR="005A4AA4" w:rsidRPr="005A4AA4">
        <w:rPr>
          <w:rFonts w:eastAsia="Arial"/>
          <w:color w:val="000000"/>
          <w:szCs w:val="22"/>
          <w:lang w:eastAsia="en-US"/>
        </w:rPr>
        <w:t xml:space="preserve"> en </w:t>
      </w:r>
      <w:r w:rsidR="00B4534F">
        <w:rPr>
          <w:rFonts w:eastAsia="Arial"/>
          <w:color w:val="000000"/>
          <w:szCs w:val="22"/>
          <w:lang w:eastAsia="en-US"/>
        </w:rPr>
        <w:t xml:space="preserve">las </w:t>
      </w:r>
      <w:r w:rsidR="005A4AA4" w:rsidRPr="005A4AA4">
        <w:rPr>
          <w:rFonts w:eastAsia="Arial"/>
          <w:color w:val="000000"/>
          <w:szCs w:val="22"/>
          <w:lang w:eastAsia="en-US"/>
        </w:rPr>
        <w:t xml:space="preserve">patentes, </w:t>
      </w:r>
      <w:r w:rsidR="00B4534F">
        <w:rPr>
          <w:rFonts w:eastAsia="Arial"/>
          <w:color w:val="000000"/>
          <w:szCs w:val="22"/>
          <w:lang w:eastAsia="en-US"/>
        </w:rPr>
        <w:t>lo que está en consonancia con la introducción de poco</w:t>
      </w:r>
      <w:r w:rsidR="005A4AA4" w:rsidRPr="005A4AA4">
        <w:rPr>
          <w:rFonts w:eastAsia="Arial"/>
          <w:color w:val="000000"/>
          <w:szCs w:val="22"/>
          <w:lang w:eastAsia="en-US"/>
        </w:rPr>
        <w:t xml:space="preserve">s productos y procesos novedosos </w:t>
      </w:r>
      <w:r w:rsidR="00B4534F">
        <w:rPr>
          <w:rFonts w:eastAsia="Arial"/>
          <w:color w:val="000000"/>
          <w:szCs w:val="22"/>
          <w:lang w:eastAsia="en-US"/>
        </w:rPr>
        <w:t>en el m</w:t>
      </w:r>
      <w:r w:rsidR="005A4AA4" w:rsidRPr="005A4AA4">
        <w:rPr>
          <w:rFonts w:eastAsia="Arial"/>
          <w:color w:val="000000"/>
          <w:szCs w:val="22"/>
          <w:lang w:eastAsia="en-US"/>
        </w:rPr>
        <w:t>ercado polaco.</w:t>
      </w:r>
    </w:p>
    <w:p w:rsidR="005A4AA4" w:rsidRPr="0089091E" w:rsidRDefault="005A4AA4" w:rsidP="00AB727F">
      <w:pPr>
        <w:widowControl w:val="0"/>
        <w:pBdr>
          <w:top w:val="nil"/>
          <w:left w:val="nil"/>
          <w:bottom w:val="nil"/>
          <w:right w:val="nil"/>
          <w:between w:val="nil"/>
        </w:pBdr>
        <w:rPr>
          <w:rFonts w:eastAsia="Arial"/>
          <w:color w:val="000000"/>
          <w:szCs w:val="22"/>
          <w:lang w:eastAsia="en-US"/>
        </w:rPr>
      </w:pPr>
    </w:p>
    <w:p w:rsidR="008211A8" w:rsidRPr="0089091E" w:rsidRDefault="00AB727F" w:rsidP="00AB727F">
      <w:pPr>
        <w:widowControl w:val="0"/>
        <w:pBdr>
          <w:top w:val="nil"/>
          <w:left w:val="nil"/>
          <w:bottom w:val="nil"/>
          <w:right w:val="nil"/>
          <w:between w:val="nil"/>
        </w:pBdr>
        <w:ind w:left="432" w:hanging="432"/>
        <w:outlineLvl w:val="1"/>
        <w:rPr>
          <w:rFonts w:eastAsia="Arial"/>
          <w:i/>
          <w:color w:val="000000"/>
          <w:sz w:val="24"/>
          <w:szCs w:val="24"/>
          <w:lang w:eastAsia="en-US"/>
        </w:rPr>
      </w:pPr>
      <w:r w:rsidRPr="0089091E">
        <w:rPr>
          <w:rFonts w:eastAsia="Arial"/>
          <w:i/>
          <w:color w:val="000000"/>
          <w:sz w:val="24"/>
          <w:szCs w:val="24"/>
          <w:lang w:eastAsia="en-US"/>
        </w:rPr>
        <w:t xml:space="preserve">2- </w:t>
      </w:r>
      <w:r w:rsidR="001B6F56" w:rsidRPr="001B6F56">
        <w:rPr>
          <w:rFonts w:eastAsia="Arial"/>
          <w:i/>
          <w:color w:val="000000"/>
          <w:sz w:val="24"/>
          <w:szCs w:val="24"/>
          <w:lang w:eastAsia="en-US"/>
        </w:rPr>
        <w:t>Inventario de patentes de las tecnologías relacionadas con la salud</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662AEA" w:rsidRPr="0089091E" w:rsidRDefault="00617D1F" w:rsidP="00AB727F">
      <w:pPr>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En el segundo estudio se analiza el uso reciente de la protección por patentes y modelos de utilidad en Polonia.</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5A4AA4" w:rsidRPr="0089091E" w:rsidRDefault="00317F62" w:rsidP="00AB727F">
      <w:pPr>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L</w:t>
      </w:r>
      <w:r w:rsidR="005A4AA4" w:rsidRPr="005A4AA4">
        <w:rPr>
          <w:rFonts w:eastAsia="Arial"/>
          <w:color w:val="000000"/>
          <w:szCs w:val="22"/>
          <w:lang w:eastAsia="en-US"/>
        </w:rPr>
        <w:t xml:space="preserve">as entidades del sector de la </w:t>
      </w:r>
      <w:r>
        <w:rPr>
          <w:rFonts w:eastAsia="Arial"/>
          <w:color w:val="000000"/>
          <w:szCs w:val="22"/>
          <w:lang w:eastAsia="en-US"/>
        </w:rPr>
        <w:t>s</w:t>
      </w:r>
      <w:r w:rsidR="005A4AA4" w:rsidRPr="005A4AA4">
        <w:rPr>
          <w:rFonts w:eastAsia="Arial"/>
          <w:color w:val="000000"/>
          <w:szCs w:val="22"/>
          <w:lang w:eastAsia="en-US"/>
        </w:rPr>
        <w:t xml:space="preserve">alud de </w:t>
      </w:r>
      <w:r>
        <w:rPr>
          <w:rFonts w:eastAsia="Arial"/>
          <w:color w:val="000000"/>
          <w:szCs w:val="22"/>
          <w:lang w:eastAsia="en-US"/>
        </w:rPr>
        <w:t>P</w:t>
      </w:r>
      <w:r w:rsidR="005A4AA4" w:rsidRPr="005A4AA4">
        <w:rPr>
          <w:rFonts w:eastAsia="Arial"/>
          <w:color w:val="000000"/>
          <w:szCs w:val="22"/>
          <w:lang w:eastAsia="en-US"/>
        </w:rPr>
        <w:t>olonia presentaron 3.463 solicitudes de derechos de PI (solicitudes de patente y modelos de utilidad) en todo el mundo entre 2006 y 2015, incluidas 3.193 solicitudes de patente y 270 solicitudes de modelos de u</w:t>
      </w:r>
      <w:r w:rsidR="00A45236">
        <w:rPr>
          <w:rFonts w:eastAsia="Arial"/>
          <w:color w:val="000000"/>
          <w:szCs w:val="22"/>
          <w:lang w:eastAsia="en-US"/>
        </w:rPr>
        <w:t>tilidad, de las que 1.656 (48%)</w:t>
      </w:r>
      <w:r w:rsidR="005A4AA4" w:rsidRPr="005A4AA4">
        <w:rPr>
          <w:rFonts w:eastAsia="Arial"/>
          <w:color w:val="000000"/>
          <w:szCs w:val="22"/>
          <w:lang w:eastAsia="en-US"/>
        </w:rPr>
        <w:t xml:space="preserve"> </w:t>
      </w:r>
      <w:r w:rsidR="00A45236">
        <w:rPr>
          <w:rFonts w:eastAsia="Arial"/>
          <w:color w:val="000000"/>
          <w:szCs w:val="22"/>
          <w:lang w:eastAsia="en-US"/>
        </w:rPr>
        <w:lastRenderedPageBreak/>
        <w:t>correspondían al sector farmacéutico</w:t>
      </w:r>
      <w:r w:rsidR="005A4AA4" w:rsidRPr="005A4AA4">
        <w:rPr>
          <w:rFonts w:eastAsia="Arial"/>
          <w:color w:val="000000"/>
          <w:szCs w:val="22"/>
          <w:lang w:eastAsia="en-US"/>
        </w:rPr>
        <w:t xml:space="preserve"> y 1.807 (52%) </w:t>
      </w:r>
      <w:r w:rsidR="00A45236">
        <w:rPr>
          <w:rFonts w:eastAsia="Arial"/>
          <w:color w:val="000000"/>
          <w:szCs w:val="22"/>
          <w:lang w:eastAsia="en-US"/>
        </w:rPr>
        <w:t>al de la industria médica</w:t>
      </w:r>
      <w:r w:rsidR="005A4AA4" w:rsidRPr="005A4AA4">
        <w:rPr>
          <w:rFonts w:eastAsia="Arial"/>
          <w:color w:val="000000"/>
          <w:szCs w:val="22"/>
          <w:lang w:eastAsia="en-US"/>
        </w:rPr>
        <w:t>. Esto representa</w:t>
      </w:r>
      <w:r w:rsidR="00A45236">
        <w:rPr>
          <w:rFonts w:eastAsia="Arial"/>
          <w:color w:val="000000"/>
          <w:szCs w:val="22"/>
          <w:lang w:eastAsia="en-US"/>
        </w:rPr>
        <w:t>ba</w:t>
      </w:r>
      <w:r w:rsidR="005A4AA4" w:rsidRPr="005A4AA4">
        <w:rPr>
          <w:rFonts w:eastAsia="Arial"/>
          <w:color w:val="000000"/>
          <w:szCs w:val="22"/>
          <w:lang w:eastAsia="en-US"/>
        </w:rPr>
        <w:t xml:space="preserve"> un crecimiento anual medio del 13%.</w:t>
      </w:r>
    </w:p>
    <w:p w:rsidR="008211A8" w:rsidRPr="0089091E" w:rsidRDefault="008211A8" w:rsidP="00AB727F">
      <w:pPr>
        <w:widowControl w:val="0"/>
        <w:pBdr>
          <w:top w:val="nil"/>
          <w:left w:val="nil"/>
          <w:bottom w:val="nil"/>
          <w:right w:val="nil"/>
          <w:between w:val="nil"/>
        </w:pBdr>
        <w:rPr>
          <w:rFonts w:eastAsia="Arial"/>
          <w:color w:val="000000"/>
          <w:szCs w:val="22"/>
          <w:lang w:eastAsia="en-US"/>
        </w:rPr>
      </w:pPr>
    </w:p>
    <w:p w:rsidR="005A4AA4" w:rsidRDefault="005A4AA4" w:rsidP="00AB727F">
      <w:pPr>
        <w:widowControl w:val="0"/>
        <w:pBdr>
          <w:top w:val="nil"/>
          <w:left w:val="nil"/>
          <w:bottom w:val="nil"/>
          <w:right w:val="nil"/>
          <w:between w:val="nil"/>
        </w:pBdr>
        <w:rPr>
          <w:rFonts w:eastAsia="Arial"/>
          <w:color w:val="000000"/>
          <w:szCs w:val="22"/>
          <w:lang w:eastAsia="en-US"/>
        </w:rPr>
      </w:pPr>
      <w:r>
        <w:rPr>
          <w:rFonts w:eastAsia="Arial"/>
          <w:color w:val="000000"/>
          <w:szCs w:val="22"/>
          <w:lang w:eastAsia="en-US"/>
        </w:rPr>
        <w:t>S</w:t>
      </w:r>
      <w:r w:rsidRPr="005A4AA4">
        <w:rPr>
          <w:rFonts w:eastAsia="Arial"/>
          <w:color w:val="000000"/>
          <w:szCs w:val="22"/>
          <w:lang w:eastAsia="en-US"/>
        </w:rPr>
        <w:t xml:space="preserve">in embargo, </w:t>
      </w:r>
      <w:r w:rsidR="00317F62">
        <w:rPr>
          <w:rFonts w:eastAsia="Arial"/>
          <w:color w:val="000000"/>
          <w:szCs w:val="22"/>
          <w:lang w:eastAsia="en-US"/>
        </w:rPr>
        <w:t>P</w:t>
      </w:r>
      <w:r w:rsidRPr="005A4AA4">
        <w:rPr>
          <w:rFonts w:eastAsia="Arial"/>
          <w:color w:val="000000"/>
          <w:szCs w:val="22"/>
          <w:lang w:eastAsia="en-US"/>
        </w:rPr>
        <w:t>olonia representa</w:t>
      </w:r>
      <w:r w:rsidR="00A45236">
        <w:rPr>
          <w:rFonts w:eastAsia="Arial"/>
          <w:color w:val="000000"/>
          <w:szCs w:val="22"/>
          <w:lang w:eastAsia="en-US"/>
        </w:rPr>
        <w:t>ba</w:t>
      </w:r>
      <w:r w:rsidRPr="005A4AA4">
        <w:rPr>
          <w:rFonts w:eastAsia="Arial"/>
          <w:color w:val="000000"/>
          <w:szCs w:val="22"/>
          <w:lang w:eastAsia="en-US"/>
        </w:rPr>
        <w:t xml:space="preserve"> </w:t>
      </w:r>
      <w:r w:rsidR="00317F62">
        <w:rPr>
          <w:rFonts w:eastAsia="Arial"/>
          <w:color w:val="000000"/>
          <w:szCs w:val="22"/>
          <w:lang w:eastAsia="en-US"/>
        </w:rPr>
        <w:t xml:space="preserve">únicamente </w:t>
      </w:r>
      <w:r w:rsidRPr="005A4AA4">
        <w:rPr>
          <w:rFonts w:eastAsia="Arial"/>
          <w:color w:val="000000"/>
          <w:szCs w:val="22"/>
          <w:lang w:eastAsia="en-US"/>
        </w:rPr>
        <w:t xml:space="preserve">el 2,7% de </w:t>
      </w:r>
      <w:r w:rsidR="00A45236">
        <w:rPr>
          <w:rFonts w:eastAsia="Arial"/>
          <w:color w:val="000000"/>
          <w:szCs w:val="22"/>
          <w:lang w:eastAsia="en-US"/>
        </w:rPr>
        <w:t xml:space="preserve">las cifras de </w:t>
      </w:r>
      <w:r w:rsidRPr="005A4AA4">
        <w:rPr>
          <w:rFonts w:eastAsia="Arial"/>
          <w:color w:val="000000"/>
          <w:szCs w:val="22"/>
          <w:lang w:eastAsia="en-US"/>
        </w:rPr>
        <w:t xml:space="preserve">la Unión </w:t>
      </w:r>
      <w:r w:rsidR="00317F62">
        <w:rPr>
          <w:rFonts w:eastAsia="Arial"/>
          <w:color w:val="000000"/>
          <w:szCs w:val="22"/>
          <w:lang w:eastAsia="en-US"/>
        </w:rPr>
        <w:t>E</w:t>
      </w:r>
      <w:r w:rsidRPr="005A4AA4">
        <w:rPr>
          <w:rFonts w:eastAsia="Arial"/>
          <w:color w:val="000000"/>
          <w:szCs w:val="22"/>
          <w:lang w:eastAsia="en-US"/>
        </w:rPr>
        <w:t xml:space="preserve">uropea </w:t>
      </w:r>
      <w:r w:rsidR="00317F62">
        <w:rPr>
          <w:rFonts w:eastAsia="Arial"/>
          <w:color w:val="000000"/>
          <w:szCs w:val="22"/>
          <w:lang w:eastAsia="en-US"/>
        </w:rPr>
        <w:t>y</w:t>
      </w:r>
      <w:r w:rsidRPr="005A4AA4">
        <w:rPr>
          <w:rFonts w:eastAsia="Arial"/>
          <w:color w:val="000000"/>
          <w:szCs w:val="22"/>
          <w:lang w:eastAsia="en-US"/>
        </w:rPr>
        <w:t xml:space="preserve"> </w:t>
      </w:r>
      <w:r w:rsidR="00A45236">
        <w:rPr>
          <w:rFonts w:eastAsia="Arial"/>
          <w:color w:val="000000"/>
          <w:szCs w:val="22"/>
          <w:lang w:eastAsia="en-US"/>
        </w:rPr>
        <w:t xml:space="preserve">tenía </w:t>
      </w:r>
      <w:r w:rsidR="00354DF1">
        <w:rPr>
          <w:rFonts w:eastAsia="Arial"/>
          <w:color w:val="000000"/>
          <w:szCs w:val="22"/>
          <w:lang w:eastAsia="en-US"/>
        </w:rPr>
        <w:t xml:space="preserve">relativamente </w:t>
      </w:r>
      <w:r w:rsidRPr="005A4AA4">
        <w:rPr>
          <w:rFonts w:eastAsia="Arial"/>
          <w:color w:val="000000"/>
          <w:szCs w:val="22"/>
          <w:lang w:eastAsia="en-US"/>
        </w:rPr>
        <w:t xml:space="preserve">una escasa especialización en las tecnologías relacionadas con la salud dentro de la </w:t>
      </w:r>
      <w:r w:rsidR="00A45236">
        <w:rPr>
          <w:rFonts w:eastAsia="Arial"/>
          <w:color w:val="000000"/>
          <w:szCs w:val="22"/>
          <w:lang w:eastAsia="en-US"/>
        </w:rPr>
        <w:t>eurozona</w:t>
      </w:r>
      <w:r w:rsidR="00C50D7D">
        <w:rPr>
          <w:rFonts w:eastAsia="Arial"/>
          <w:color w:val="000000"/>
          <w:szCs w:val="22"/>
          <w:lang w:eastAsia="en-US"/>
        </w:rPr>
        <w:t>. Además, la m</w:t>
      </w:r>
      <w:r w:rsidRPr="005A4AA4">
        <w:rPr>
          <w:rFonts w:eastAsia="Arial"/>
          <w:color w:val="000000"/>
          <w:szCs w:val="22"/>
          <w:lang w:eastAsia="en-US"/>
        </w:rPr>
        <w:t xml:space="preserve">ayoría de las </w:t>
      </w:r>
      <w:r w:rsidR="00C50D7D">
        <w:rPr>
          <w:rFonts w:eastAsia="Arial"/>
          <w:color w:val="000000"/>
          <w:szCs w:val="22"/>
          <w:lang w:eastAsia="en-US"/>
        </w:rPr>
        <w:t>p</w:t>
      </w:r>
      <w:r w:rsidRPr="005A4AA4">
        <w:rPr>
          <w:rFonts w:eastAsia="Arial"/>
          <w:color w:val="000000"/>
          <w:szCs w:val="22"/>
          <w:lang w:eastAsia="en-US"/>
        </w:rPr>
        <w:t xml:space="preserve">atentes de </w:t>
      </w:r>
      <w:r w:rsidR="00C50D7D">
        <w:rPr>
          <w:rFonts w:eastAsia="Arial"/>
          <w:color w:val="000000"/>
          <w:szCs w:val="22"/>
          <w:lang w:eastAsia="en-US"/>
        </w:rPr>
        <w:t>P</w:t>
      </w:r>
      <w:r w:rsidR="003438D7">
        <w:rPr>
          <w:rFonts w:eastAsia="Arial"/>
          <w:color w:val="000000"/>
          <w:szCs w:val="22"/>
          <w:lang w:eastAsia="en-US"/>
        </w:rPr>
        <w:t>olonia siguen siendo exclusiva</w:t>
      </w:r>
      <w:r w:rsidRPr="005A4AA4">
        <w:rPr>
          <w:rFonts w:eastAsia="Arial"/>
          <w:color w:val="000000"/>
          <w:szCs w:val="22"/>
          <w:lang w:eastAsia="en-US"/>
        </w:rPr>
        <w:t xml:space="preserve">mente nacionales. El escaso interés de las </w:t>
      </w:r>
      <w:r w:rsidR="00C50D7D">
        <w:rPr>
          <w:rFonts w:eastAsia="Arial"/>
          <w:color w:val="000000"/>
          <w:szCs w:val="22"/>
          <w:lang w:eastAsia="en-US"/>
        </w:rPr>
        <w:t>e</w:t>
      </w:r>
      <w:r w:rsidRPr="005A4AA4">
        <w:rPr>
          <w:rFonts w:eastAsia="Arial"/>
          <w:color w:val="000000"/>
          <w:szCs w:val="22"/>
          <w:lang w:eastAsia="en-US"/>
        </w:rPr>
        <w:t xml:space="preserve">ntidades polacas en ampliar la protección por patente a los mercados extranjeros </w:t>
      </w:r>
      <w:r w:rsidR="00C50D7D">
        <w:rPr>
          <w:rFonts w:eastAsia="Arial"/>
          <w:color w:val="000000"/>
          <w:szCs w:val="22"/>
          <w:lang w:eastAsia="en-US"/>
        </w:rPr>
        <w:t xml:space="preserve">pone de manifiesto </w:t>
      </w:r>
      <w:r w:rsidRPr="005A4AA4">
        <w:rPr>
          <w:rFonts w:eastAsia="Arial"/>
          <w:color w:val="000000"/>
          <w:szCs w:val="22"/>
          <w:lang w:eastAsia="en-US"/>
        </w:rPr>
        <w:t xml:space="preserve">que la actividad de los </w:t>
      </w:r>
      <w:r w:rsidR="00C50D7D">
        <w:rPr>
          <w:rFonts w:eastAsia="Arial"/>
          <w:color w:val="000000"/>
          <w:szCs w:val="22"/>
          <w:lang w:eastAsia="en-US"/>
        </w:rPr>
        <w:t>s</w:t>
      </w:r>
      <w:r w:rsidRPr="005A4AA4">
        <w:rPr>
          <w:rFonts w:eastAsia="Arial"/>
          <w:color w:val="000000"/>
          <w:szCs w:val="22"/>
          <w:lang w:eastAsia="en-US"/>
        </w:rPr>
        <w:t xml:space="preserve">olicitantes </w:t>
      </w:r>
      <w:r w:rsidR="00C50D7D">
        <w:rPr>
          <w:rFonts w:eastAsia="Arial"/>
          <w:color w:val="000000"/>
          <w:szCs w:val="22"/>
          <w:lang w:eastAsia="en-US"/>
        </w:rPr>
        <w:t xml:space="preserve">de patente </w:t>
      </w:r>
      <w:r w:rsidRPr="005A4AA4">
        <w:rPr>
          <w:rFonts w:eastAsia="Arial"/>
          <w:color w:val="000000"/>
          <w:szCs w:val="22"/>
          <w:lang w:eastAsia="en-US"/>
        </w:rPr>
        <w:t>polacos en</w:t>
      </w:r>
      <w:r w:rsidR="00C50D7D">
        <w:rPr>
          <w:rFonts w:eastAsia="Arial"/>
          <w:color w:val="000000"/>
          <w:szCs w:val="22"/>
          <w:lang w:eastAsia="en-US"/>
        </w:rPr>
        <w:t xml:space="preserve"> </w:t>
      </w:r>
      <w:r w:rsidR="0087397B">
        <w:rPr>
          <w:rFonts w:eastAsia="Arial"/>
          <w:color w:val="000000"/>
          <w:szCs w:val="22"/>
          <w:lang w:eastAsia="en-US"/>
        </w:rPr>
        <w:t>el sector de la salud se dirige</w:t>
      </w:r>
      <w:r w:rsidRPr="005A4AA4">
        <w:rPr>
          <w:rFonts w:eastAsia="Arial"/>
          <w:color w:val="000000"/>
          <w:szCs w:val="22"/>
          <w:lang w:eastAsia="en-US"/>
        </w:rPr>
        <w:t xml:space="preserve"> principalmente al mercado nacional. Est</w:t>
      </w:r>
      <w:r w:rsidR="00A17805">
        <w:rPr>
          <w:rFonts w:eastAsia="Arial"/>
          <w:color w:val="000000"/>
          <w:szCs w:val="22"/>
          <w:lang w:eastAsia="en-US"/>
        </w:rPr>
        <w:t>e último</w:t>
      </w:r>
      <w:r w:rsidRPr="005A4AA4">
        <w:rPr>
          <w:rFonts w:eastAsia="Arial"/>
          <w:color w:val="000000"/>
          <w:szCs w:val="22"/>
          <w:lang w:eastAsia="en-US"/>
        </w:rPr>
        <w:t>, debido a su considerable</w:t>
      </w:r>
      <w:r w:rsidR="00A17805">
        <w:rPr>
          <w:rFonts w:eastAsia="Arial"/>
          <w:color w:val="000000"/>
          <w:szCs w:val="22"/>
          <w:lang w:eastAsia="en-US"/>
        </w:rPr>
        <w:t xml:space="preserve"> tamaño, podría</w:t>
      </w:r>
      <w:r w:rsidRPr="005A4AA4">
        <w:rPr>
          <w:rFonts w:eastAsia="Arial"/>
          <w:color w:val="000000"/>
          <w:szCs w:val="22"/>
          <w:lang w:eastAsia="en-US"/>
        </w:rPr>
        <w:t xml:space="preserve"> satisfacer sus necesidades, pero </w:t>
      </w:r>
      <w:r w:rsidR="003438D7">
        <w:rPr>
          <w:rFonts w:eastAsia="Arial"/>
          <w:color w:val="000000"/>
          <w:szCs w:val="22"/>
          <w:lang w:eastAsia="en-US"/>
        </w:rPr>
        <w:t xml:space="preserve">esto </w:t>
      </w:r>
      <w:r w:rsidRPr="005A4AA4">
        <w:rPr>
          <w:rFonts w:eastAsia="Arial"/>
          <w:color w:val="000000"/>
          <w:szCs w:val="22"/>
          <w:lang w:eastAsia="en-US"/>
        </w:rPr>
        <w:t xml:space="preserve">también </w:t>
      </w:r>
      <w:r w:rsidR="00A17805">
        <w:rPr>
          <w:rFonts w:eastAsia="Arial"/>
          <w:color w:val="000000"/>
          <w:szCs w:val="22"/>
          <w:lang w:eastAsia="en-US"/>
        </w:rPr>
        <w:t xml:space="preserve">da a entender </w:t>
      </w:r>
      <w:r w:rsidRPr="005A4AA4">
        <w:rPr>
          <w:rFonts w:eastAsia="Arial"/>
          <w:color w:val="000000"/>
          <w:szCs w:val="22"/>
          <w:lang w:eastAsia="en-US"/>
        </w:rPr>
        <w:t xml:space="preserve">que el nivel innovador de las tecnologías para las que se solicita protección </w:t>
      </w:r>
      <w:r w:rsidR="00A17805">
        <w:rPr>
          <w:rFonts w:eastAsia="Arial"/>
          <w:color w:val="000000"/>
          <w:szCs w:val="22"/>
          <w:lang w:eastAsia="en-US"/>
        </w:rPr>
        <w:t>quizá no justifique</w:t>
      </w:r>
      <w:r w:rsidRPr="005A4AA4">
        <w:rPr>
          <w:rFonts w:eastAsia="Arial"/>
          <w:color w:val="000000"/>
          <w:szCs w:val="22"/>
          <w:lang w:eastAsia="en-US"/>
        </w:rPr>
        <w:t xml:space="preserve"> una protección territorial más amplia.</w:t>
      </w:r>
    </w:p>
    <w:p w:rsidR="005A4AA4" w:rsidRPr="0089091E" w:rsidRDefault="005A4AA4" w:rsidP="00AB727F">
      <w:pPr>
        <w:widowControl w:val="0"/>
        <w:pBdr>
          <w:top w:val="nil"/>
          <w:left w:val="nil"/>
          <w:bottom w:val="nil"/>
          <w:right w:val="nil"/>
          <w:between w:val="nil"/>
        </w:pBdr>
        <w:rPr>
          <w:rFonts w:eastAsia="Arial"/>
          <w:color w:val="000000"/>
          <w:szCs w:val="22"/>
          <w:lang w:eastAsia="en-US"/>
        </w:rPr>
      </w:pPr>
    </w:p>
    <w:p w:rsidR="009467B6" w:rsidRPr="003420D2" w:rsidRDefault="009467B6" w:rsidP="009467B6">
      <w:pPr>
        <w:widowControl w:val="0"/>
        <w:pBdr>
          <w:top w:val="nil"/>
          <w:left w:val="nil"/>
          <w:bottom w:val="nil"/>
          <w:right w:val="nil"/>
          <w:between w:val="nil"/>
        </w:pBdr>
        <w:rPr>
          <w:rFonts w:eastAsia="Arial"/>
          <w:szCs w:val="22"/>
          <w:lang w:eastAsia="en-US"/>
        </w:rPr>
      </w:pPr>
      <w:r w:rsidRPr="003420D2">
        <w:rPr>
          <w:rFonts w:eastAsia="Arial"/>
          <w:szCs w:val="22"/>
          <w:lang w:eastAsia="en-US"/>
        </w:rPr>
        <w:t>Correspond</w:t>
      </w:r>
      <w:r>
        <w:rPr>
          <w:rFonts w:eastAsia="Arial"/>
          <w:szCs w:val="22"/>
          <w:lang w:eastAsia="en-US"/>
        </w:rPr>
        <w:t>ía</w:t>
      </w:r>
      <w:r w:rsidRPr="003420D2">
        <w:rPr>
          <w:rFonts w:eastAsia="Arial"/>
          <w:szCs w:val="22"/>
          <w:lang w:eastAsia="en-US"/>
        </w:rPr>
        <w:t xml:space="preserve"> a un número limitado de solicitantes con educación superior el 42% de las solicitudes de patente y de modelos de utilidad, con una clara especialización en tecnologías farmacéuticas. En la mayoría de los casos, los solicitantes del sector privado </w:t>
      </w:r>
      <w:r>
        <w:rPr>
          <w:rFonts w:eastAsia="Arial"/>
          <w:szCs w:val="22"/>
          <w:lang w:eastAsia="en-US"/>
        </w:rPr>
        <w:t>son</w:t>
      </w:r>
      <w:r w:rsidRPr="003420D2">
        <w:rPr>
          <w:rFonts w:eastAsia="Arial"/>
          <w:szCs w:val="22"/>
          <w:lang w:eastAsia="en-US"/>
        </w:rPr>
        <w:t xml:space="preserve"> pymes especializadas en tecnología médica, </w:t>
      </w:r>
      <w:r>
        <w:rPr>
          <w:rFonts w:eastAsia="Arial"/>
          <w:szCs w:val="22"/>
          <w:lang w:eastAsia="en-US"/>
        </w:rPr>
        <w:t>así como</w:t>
      </w:r>
      <w:r w:rsidRPr="003420D2">
        <w:rPr>
          <w:rFonts w:eastAsia="Arial"/>
          <w:szCs w:val="22"/>
          <w:lang w:eastAsia="en-US"/>
        </w:rPr>
        <w:t xml:space="preserve"> solicitantes individuales. La actividad de innovación se concentr</w:t>
      </w:r>
      <w:r>
        <w:rPr>
          <w:rFonts w:eastAsia="Arial"/>
          <w:szCs w:val="22"/>
          <w:lang w:eastAsia="en-US"/>
        </w:rPr>
        <w:t>a</w:t>
      </w:r>
      <w:r w:rsidRPr="003420D2">
        <w:rPr>
          <w:rFonts w:eastAsia="Arial"/>
          <w:szCs w:val="22"/>
          <w:lang w:eastAsia="en-US"/>
        </w:rPr>
        <w:t xml:space="preserve"> en las provincias de Masovia, Baja Silesia y Silesia.</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widowControl w:val="0"/>
        <w:pBdr>
          <w:top w:val="nil"/>
          <w:left w:val="nil"/>
          <w:bottom w:val="nil"/>
          <w:right w:val="nil"/>
          <w:between w:val="nil"/>
        </w:pBdr>
        <w:rPr>
          <w:rFonts w:eastAsia="Arial"/>
          <w:szCs w:val="22"/>
          <w:lang w:eastAsia="en-US"/>
        </w:rPr>
      </w:pPr>
      <w:r w:rsidRPr="003420D2">
        <w:rPr>
          <w:rFonts w:eastAsia="Arial"/>
          <w:szCs w:val="22"/>
          <w:lang w:eastAsia="en-US"/>
        </w:rPr>
        <w:t>En Polonia, la innovación relacionada con la salud es un esfuerzo de índole colaborativa</w:t>
      </w:r>
      <w:r>
        <w:rPr>
          <w:rFonts w:eastAsia="Arial"/>
          <w:szCs w:val="22"/>
          <w:lang w:eastAsia="en-US"/>
        </w:rPr>
        <w:t xml:space="preserve"> </w:t>
      </w:r>
      <w:r>
        <w:rPr>
          <w:rFonts w:eastAsia="Arial"/>
          <w:szCs w:val="22"/>
          <w:lang w:eastAsia="en-US"/>
        </w:rPr>
        <w:noBreakHyphen/>
      </w:r>
      <w:r w:rsidRPr="003420D2">
        <w:rPr>
          <w:rFonts w:eastAsia="Arial"/>
          <w:szCs w:val="22"/>
          <w:lang w:eastAsia="en-US"/>
        </w:rPr>
        <w:t xml:space="preserve">presentación conjunta de solicitudes de patente (15%) e invención conjunta (75%)– </w:t>
      </w:r>
      <w:r>
        <w:rPr>
          <w:rFonts w:eastAsia="Arial"/>
          <w:szCs w:val="22"/>
          <w:lang w:eastAsia="en-US"/>
        </w:rPr>
        <w:t>y</w:t>
      </w:r>
      <w:r w:rsidRPr="003420D2">
        <w:rPr>
          <w:rFonts w:eastAsia="Arial"/>
          <w:szCs w:val="22"/>
          <w:lang w:eastAsia="en-US"/>
        </w:rPr>
        <w:t xml:space="preserve"> se da principalmente en el ámbito local (95%). En la esfera de las tecnologías médicas, las empresas se orienta</w:t>
      </w:r>
      <w:r>
        <w:rPr>
          <w:rFonts w:eastAsia="Arial"/>
          <w:szCs w:val="22"/>
          <w:lang w:eastAsia="en-US"/>
        </w:rPr>
        <w:t>ba</w:t>
      </w:r>
      <w:r w:rsidRPr="003420D2">
        <w:rPr>
          <w:rFonts w:eastAsia="Arial"/>
          <w:szCs w:val="22"/>
          <w:lang w:eastAsia="en-US"/>
        </w:rPr>
        <w:t>n más hacia el ámbito internacional, y lo mismo cabe decir respecto de los insti</w:t>
      </w:r>
      <w:r>
        <w:rPr>
          <w:rFonts w:eastAsia="Arial"/>
          <w:szCs w:val="22"/>
          <w:lang w:eastAsia="en-US"/>
        </w:rPr>
        <w:t>tutos de educación superior y la</w:t>
      </w:r>
      <w:r w:rsidRPr="003420D2">
        <w:rPr>
          <w:rFonts w:eastAsia="Arial"/>
          <w:szCs w:val="22"/>
          <w:lang w:eastAsia="en-US"/>
        </w:rPr>
        <w:t xml:space="preserve">s </w:t>
      </w:r>
      <w:r>
        <w:rPr>
          <w:rFonts w:eastAsia="Arial"/>
          <w:szCs w:val="22"/>
          <w:lang w:eastAsia="en-US"/>
        </w:rPr>
        <w:t>organizaciones públicas de investigación</w:t>
      </w:r>
      <w:r w:rsidRPr="003420D2">
        <w:rPr>
          <w:rFonts w:eastAsia="Arial"/>
          <w:szCs w:val="22"/>
          <w:lang w:eastAsia="en-US"/>
        </w:rPr>
        <w:t xml:space="preserve"> </w:t>
      </w:r>
      <w:r>
        <w:rPr>
          <w:rFonts w:eastAsia="Arial"/>
          <w:szCs w:val="22"/>
          <w:lang w:eastAsia="en-US"/>
        </w:rPr>
        <w:t>en relación con</w:t>
      </w:r>
      <w:r w:rsidRPr="003420D2">
        <w:rPr>
          <w:rFonts w:eastAsia="Arial"/>
          <w:szCs w:val="22"/>
          <w:lang w:eastAsia="en-US"/>
        </w:rPr>
        <w:t xml:space="preserve"> las tecnologías farmacéuticas.</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widowControl w:val="0"/>
        <w:pBdr>
          <w:top w:val="nil"/>
          <w:left w:val="nil"/>
          <w:bottom w:val="nil"/>
          <w:right w:val="nil"/>
          <w:between w:val="nil"/>
        </w:pBdr>
        <w:rPr>
          <w:rFonts w:eastAsia="Arial"/>
          <w:szCs w:val="22"/>
          <w:lang w:eastAsia="en-US"/>
        </w:rPr>
      </w:pPr>
      <w:r w:rsidRPr="003420D2">
        <w:rPr>
          <w:rFonts w:eastAsia="Arial"/>
          <w:szCs w:val="22"/>
          <w:lang w:eastAsia="en-US"/>
        </w:rPr>
        <w:t xml:space="preserve">La especialización de Polonia en el ámbito farmacéutico se refiere a preparaciones no biológicas (42%) y nuevos compuestos químicos (31%). Las empresas se especializan en preparaciones no biológicas y las universidades en compuestos químicos. Las preparaciones no biológicas constituyen la única especialización en la cual el mayor número de solicitudes ha sido presentado por empresas. La especialización de Polonia en el ámbito de las tecnologías médicas es en diagnóstico y cirugía (34%) y prótesis, </w:t>
      </w:r>
      <w:r w:rsidRPr="003420D2">
        <w:rPr>
          <w:rFonts w:eastAsia="Arial"/>
          <w:i/>
          <w:szCs w:val="22"/>
          <w:lang w:eastAsia="en-US"/>
        </w:rPr>
        <w:t>stent</w:t>
      </w:r>
      <w:r w:rsidRPr="003420D2">
        <w:rPr>
          <w:rFonts w:eastAsia="Arial"/>
          <w:szCs w:val="22"/>
          <w:lang w:eastAsia="en-US"/>
        </w:rPr>
        <w:t xml:space="preserve"> y ortopedia (18%).</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widowControl w:val="0"/>
        <w:pBdr>
          <w:top w:val="nil"/>
          <w:left w:val="nil"/>
          <w:bottom w:val="nil"/>
          <w:right w:val="nil"/>
          <w:between w:val="nil"/>
        </w:pBdr>
        <w:rPr>
          <w:rFonts w:eastAsia="Arial"/>
          <w:szCs w:val="22"/>
          <w:lang w:eastAsia="en-US"/>
        </w:rPr>
      </w:pPr>
      <w:r w:rsidRPr="003420D2">
        <w:rPr>
          <w:rFonts w:eastAsia="Arial"/>
          <w:szCs w:val="22"/>
          <w:lang w:eastAsia="en-US"/>
        </w:rPr>
        <w:t xml:space="preserve">De las 1.578 solicitudes del ámbito sanitario presentadas por entidades locales ante la PPO y para las que se confirieron derechos exclusivos de PI, el 71% (1.113) todavía estaba en vigor </w:t>
      </w:r>
      <w:r>
        <w:rPr>
          <w:rFonts w:eastAsia="Arial"/>
          <w:szCs w:val="22"/>
          <w:lang w:eastAsia="en-US"/>
        </w:rPr>
        <w:t xml:space="preserve">en </w:t>
      </w:r>
      <w:r w:rsidRPr="003420D2">
        <w:rPr>
          <w:rFonts w:eastAsia="Arial"/>
          <w:szCs w:val="22"/>
          <w:lang w:eastAsia="en-US"/>
        </w:rPr>
        <w:t xml:space="preserve">el </w:t>
      </w:r>
      <w:r>
        <w:rPr>
          <w:rFonts w:eastAsia="Arial"/>
          <w:szCs w:val="22"/>
          <w:lang w:eastAsia="en-US"/>
        </w:rPr>
        <w:t>momento de recuperar</w:t>
      </w:r>
      <w:r w:rsidRPr="003420D2">
        <w:rPr>
          <w:rFonts w:eastAsia="Arial"/>
          <w:szCs w:val="22"/>
          <w:lang w:eastAsia="en-US"/>
        </w:rPr>
        <w:t xml:space="preserve"> los datos, mientras que el 29% (465) ya había expirado. Del análisis también se desprendió que la venta de derechos exclusivos suele ser rara y que los derechos </w:t>
      </w:r>
      <w:r>
        <w:rPr>
          <w:rFonts w:eastAsia="Arial"/>
          <w:szCs w:val="22"/>
          <w:lang w:eastAsia="en-US"/>
        </w:rPr>
        <w:t xml:space="preserve">que </w:t>
      </w:r>
      <w:r w:rsidRPr="003420D2">
        <w:rPr>
          <w:rFonts w:eastAsia="Arial"/>
          <w:szCs w:val="22"/>
          <w:lang w:eastAsia="en-US"/>
        </w:rPr>
        <w:t xml:space="preserve">menos </w:t>
      </w:r>
      <w:r>
        <w:rPr>
          <w:rFonts w:eastAsia="Arial"/>
          <w:szCs w:val="22"/>
          <w:lang w:eastAsia="en-US"/>
        </w:rPr>
        <w:t>se comercializan son los que pertenecen a la</w:t>
      </w:r>
      <w:r w:rsidRPr="003420D2">
        <w:rPr>
          <w:rFonts w:eastAsia="Arial"/>
          <w:szCs w:val="22"/>
          <w:lang w:eastAsia="en-US"/>
        </w:rPr>
        <w:t xml:space="preserve">s </w:t>
      </w:r>
      <w:r>
        <w:rPr>
          <w:rFonts w:eastAsia="Arial"/>
          <w:szCs w:val="22"/>
          <w:lang w:eastAsia="en-US"/>
        </w:rPr>
        <w:t>organizaciones públicas de investigación</w:t>
      </w:r>
      <w:r w:rsidRPr="003420D2">
        <w:rPr>
          <w:rFonts w:eastAsia="Arial"/>
          <w:szCs w:val="22"/>
          <w:lang w:eastAsia="en-US"/>
        </w:rPr>
        <w:t xml:space="preserve"> y a las personas físicas. Según indican los datos, tampoco la negociación de licencias es una forma popular de comercialización de los derechos exclusivos utilizada por las entidades locales.</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widowControl w:val="0"/>
        <w:pBdr>
          <w:top w:val="nil"/>
          <w:left w:val="nil"/>
          <w:bottom w:val="nil"/>
          <w:right w:val="nil"/>
          <w:between w:val="nil"/>
        </w:pBdr>
        <w:rPr>
          <w:rFonts w:eastAsia="Arial"/>
          <w:szCs w:val="22"/>
          <w:lang w:eastAsia="en-US"/>
        </w:rPr>
      </w:pPr>
      <w:r w:rsidRPr="003420D2">
        <w:rPr>
          <w:rFonts w:eastAsia="Arial"/>
          <w:szCs w:val="22"/>
          <w:lang w:eastAsia="en-US"/>
        </w:rPr>
        <w:t xml:space="preserve">En comparación con los países de lo que se denominó “UE15”, Polonia es un mercado </w:t>
      </w:r>
      <w:r>
        <w:rPr>
          <w:rFonts w:eastAsia="Arial"/>
          <w:szCs w:val="22"/>
          <w:lang w:eastAsia="en-US"/>
        </w:rPr>
        <w:t>moderadamente</w:t>
      </w:r>
      <w:r w:rsidRPr="003420D2">
        <w:rPr>
          <w:rFonts w:eastAsia="Arial"/>
          <w:szCs w:val="22"/>
          <w:lang w:eastAsia="en-US"/>
        </w:rPr>
        <w:t xml:space="preserve"> atractivo para las entidades extranjeras. Sin embargo, con un total de 13.432 solicitudes nacionales y </w:t>
      </w:r>
      <w:r>
        <w:rPr>
          <w:rFonts w:eastAsia="Arial"/>
          <w:szCs w:val="22"/>
          <w:lang w:eastAsia="en-US"/>
        </w:rPr>
        <w:t xml:space="preserve">solicitudes </w:t>
      </w:r>
      <w:r w:rsidRPr="003420D2">
        <w:rPr>
          <w:rFonts w:eastAsia="Arial"/>
          <w:szCs w:val="22"/>
          <w:lang w:eastAsia="en-US"/>
        </w:rPr>
        <w:t>PCT y validaciones de patentes europeas relacionadas con la salud, Polonia se encuentra a la cabeza en la región de Europa Central y Oriental. Durante el período objeto de examen, el número total de validaciones del ámbito de la salud superó las</w:t>
      </w:r>
      <w:r>
        <w:rPr>
          <w:rFonts w:eastAsia="Arial"/>
          <w:szCs w:val="22"/>
          <w:lang w:eastAsia="en-US"/>
        </w:rPr>
        <w:t> </w:t>
      </w:r>
      <w:r w:rsidRPr="003420D2">
        <w:rPr>
          <w:rFonts w:eastAsia="Arial"/>
          <w:szCs w:val="22"/>
          <w:lang w:eastAsia="en-US"/>
        </w:rPr>
        <w:t xml:space="preserve">10.000 </w:t>
      </w:r>
      <w:r>
        <w:rPr>
          <w:rFonts w:eastAsia="Arial"/>
          <w:szCs w:val="22"/>
          <w:lang w:eastAsia="en-US"/>
        </w:rPr>
        <w:t>y a ellas corresponde</w:t>
      </w:r>
      <w:r w:rsidRPr="003420D2">
        <w:rPr>
          <w:rFonts w:eastAsia="Arial"/>
          <w:szCs w:val="22"/>
          <w:lang w:eastAsia="en-US"/>
        </w:rPr>
        <w:t xml:space="preserve"> el 11% </w:t>
      </w:r>
      <w:r>
        <w:rPr>
          <w:rFonts w:eastAsia="Arial"/>
          <w:szCs w:val="22"/>
          <w:lang w:eastAsia="en-US"/>
        </w:rPr>
        <w:t>de tod</w:t>
      </w:r>
      <w:r w:rsidRPr="003420D2">
        <w:rPr>
          <w:rFonts w:eastAsia="Arial"/>
          <w:szCs w:val="22"/>
          <w:lang w:eastAsia="en-US"/>
        </w:rPr>
        <w:t>as las patentes europeas de ese ámbito validadas en la UE. El aumento medio anual en el número de patentes validadas en Polonia fue del 48%, mientras que para la totalidad de la UE fue de tan solo el 3%.</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widowControl w:val="0"/>
        <w:pBdr>
          <w:top w:val="nil"/>
          <w:left w:val="nil"/>
          <w:bottom w:val="nil"/>
          <w:right w:val="nil"/>
          <w:between w:val="nil"/>
        </w:pBdr>
        <w:ind w:left="432" w:hanging="432"/>
        <w:outlineLvl w:val="1"/>
        <w:rPr>
          <w:rFonts w:eastAsia="Arial"/>
          <w:i/>
          <w:sz w:val="24"/>
          <w:szCs w:val="24"/>
          <w:lang w:eastAsia="en-US"/>
        </w:rPr>
      </w:pPr>
      <w:r w:rsidRPr="003420D2">
        <w:rPr>
          <w:rFonts w:eastAsia="Arial"/>
          <w:i/>
          <w:sz w:val="24"/>
          <w:szCs w:val="24"/>
          <w:lang w:eastAsia="en-US"/>
        </w:rPr>
        <w:t>3- Evaluación cualitativa de las industrias polacas de la salud</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widowControl w:val="0"/>
        <w:pBdr>
          <w:top w:val="nil"/>
          <w:left w:val="nil"/>
          <w:bottom w:val="nil"/>
          <w:right w:val="nil"/>
          <w:between w:val="nil"/>
        </w:pBdr>
        <w:rPr>
          <w:rFonts w:eastAsia="Arial"/>
          <w:szCs w:val="22"/>
          <w:lang w:eastAsia="en-US"/>
        </w:rPr>
      </w:pPr>
      <w:r w:rsidRPr="003420D2">
        <w:rPr>
          <w:rFonts w:eastAsia="Arial"/>
          <w:szCs w:val="22"/>
          <w:lang w:eastAsia="en-US"/>
        </w:rPr>
        <w:t xml:space="preserve">El objetivo del tercer documento fue presentar los detalles específicos de la innovación en las empresas del sector de la salud </w:t>
      </w:r>
      <w:r>
        <w:rPr>
          <w:rFonts w:eastAsia="Arial"/>
          <w:szCs w:val="22"/>
          <w:lang w:eastAsia="en-US"/>
        </w:rPr>
        <w:t xml:space="preserve">en Polonia </w:t>
      </w:r>
      <w:r w:rsidRPr="003420D2">
        <w:rPr>
          <w:rFonts w:eastAsia="Arial"/>
          <w:szCs w:val="22"/>
          <w:lang w:eastAsia="en-US"/>
        </w:rPr>
        <w:t xml:space="preserve">a través del prisma de las experiencias y opiniones </w:t>
      </w:r>
      <w:r w:rsidRPr="003420D2">
        <w:rPr>
          <w:rFonts w:eastAsia="Arial"/>
          <w:szCs w:val="22"/>
          <w:lang w:eastAsia="en-US"/>
        </w:rPr>
        <w:lastRenderedPageBreak/>
        <w:t>de un grupo representativo de 42 empresas de los sectores farmacéutico y de las tecnologías médicas. Mediante el análisis de entrevistas pormenorizadas, se observaron los mecanismos y fenómenos jurídicos</w:t>
      </w:r>
      <w:r>
        <w:rPr>
          <w:rFonts w:eastAsia="Arial"/>
          <w:szCs w:val="22"/>
          <w:lang w:eastAsia="en-US"/>
        </w:rPr>
        <w:t>,</w:t>
      </w:r>
      <w:r w:rsidRPr="003420D2">
        <w:rPr>
          <w:rFonts w:eastAsia="Arial"/>
          <w:szCs w:val="22"/>
          <w:lang w:eastAsia="en-US"/>
        </w:rPr>
        <w:t xml:space="preserve"> económicos y sociales que determinan la innovación en ese sector.</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widowControl w:val="0"/>
        <w:pBdr>
          <w:top w:val="nil"/>
          <w:left w:val="nil"/>
          <w:bottom w:val="nil"/>
          <w:right w:val="nil"/>
          <w:between w:val="nil"/>
        </w:pBdr>
        <w:rPr>
          <w:rFonts w:eastAsia="Arial"/>
          <w:szCs w:val="22"/>
          <w:lang w:eastAsia="en-US"/>
        </w:rPr>
      </w:pPr>
      <w:r w:rsidRPr="003420D2">
        <w:rPr>
          <w:rFonts w:eastAsia="Arial"/>
          <w:szCs w:val="22"/>
          <w:lang w:eastAsia="en-US"/>
        </w:rPr>
        <w:t>Las entrevistas giraron en torno a las siguientes pautas y tendencias:</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a)</w:t>
      </w:r>
      <w:r w:rsidRPr="003420D2">
        <w:rPr>
          <w:rFonts w:eastAsiaTheme="minorEastAsia"/>
          <w:szCs w:val="22"/>
          <w:lang w:eastAsia="ja-JP"/>
        </w:rPr>
        <w:tab/>
        <w:t xml:space="preserve">El sector farmacéutico en Polonia es principalmente de </w:t>
      </w:r>
      <w:r>
        <w:rPr>
          <w:rFonts w:eastAsiaTheme="minorEastAsia"/>
          <w:szCs w:val="22"/>
          <w:lang w:eastAsia="ja-JP"/>
        </w:rPr>
        <w:t xml:space="preserve">medicamentos </w:t>
      </w:r>
      <w:r w:rsidRPr="003420D2">
        <w:rPr>
          <w:rFonts w:eastAsiaTheme="minorEastAsia"/>
          <w:szCs w:val="22"/>
          <w:lang w:eastAsia="ja-JP"/>
        </w:rPr>
        <w:t>genéricos. Sin embargo, ello no significa que no haya empresas farmacéuticas centradas en la investigación. Unas pocas empresas realizan I+D respecto de productos medicinales innovadores en la esfera de la oncología y la inmuno-oncolog</w:t>
      </w:r>
      <w:r>
        <w:rPr>
          <w:rFonts w:eastAsiaTheme="minorEastAsia"/>
          <w:szCs w:val="22"/>
          <w:lang w:eastAsia="ja-JP"/>
        </w:rPr>
        <w:t>í</w:t>
      </w:r>
      <w:r w:rsidRPr="003420D2">
        <w:rPr>
          <w:rFonts w:eastAsiaTheme="minorEastAsia"/>
          <w:szCs w:val="22"/>
          <w:lang w:eastAsia="ja-JP"/>
        </w:rPr>
        <w:t>a. El modelo de comercialización de sus actividades de I+D presupone que los derechos sobre los productos examinados y los resultados de las pruebas realizadas se venderán a las grandes empresas farmacéuticas. El panorama no parece alentado</w:t>
      </w:r>
      <w:r>
        <w:rPr>
          <w:rFonts w:eastAsiaTheme="minorEastAsia"/>
          <w:szCs w:val="22"/>
          <w:lang w:eastAsia="ja-JP"/>
        </w:rPr>
        <w:t>r</w:t>
      </w:r>
      <w:r w:rsidRPr="003420D2">
        <w:rPr>
          <w:rFonts w:eastAsiaTheme="minorEastAsia"/>
          <w:szCs w:val="22"/>
          <w:lang w:eastAsia="ja-JP"/>
        </w:rPr>
        <w:t xml:space="preserve"> para los productos medicinales innovadores de Polonia </w:t>
      </w:r>
      <w:r>
        <w:rPr>
          <w:rFonts w:eastAsiaTheme="minorEastAsia"/>
          <w:szCs w:val="22"/>
          <w:lang w:eastAsia="ja-JP"/>
        </w:rPr>
        <w:t xml:space="preserve">en </w:t>
      </w:r>
      <w:r w:rsidRPr="003420D2">
        <w:rPr>
          <w:rFonts w:eastAsiaTheme="minorEastAsia"/>
          <w:szCs w:val="22"/>
          <w:lang w:eastAsia="ja-JP"/>
        </w:rPr>
        <w:t>los próximos años.</w:t>
      </w:r>
    </w:p>
    <w:p w:rsidR="009467B6" w:rsidRPr="003420D2" w:rsidRDefault="009467B6" w:rsidP="009467B6">
      <w:pPr>
        <w:widowControl w:val="0"/>
        <w:pBdr>
          <w:top w:val="nil"/>
          <w:left w:val="nil"/>
          <w:bottom w:val="nil"/>
          <w:right w:val="nil"/>
          <w:between w:val="nil"/>
        </w:pBdr>
        <w:ind w:left="567"/>
        <w:rPr>
          <w:rFonts w:eastAsia="Arial"/>
          <w:szCs w:val="22"/>
          <w:lang w:eastAsia="en-US"/>
        </w:rPr>
      </w:pPr>
    </w:p>
    <w:p w:rsidR="009467B6" w:rsidRPr="003420D2" w:rsidRDefault="009467B6" w:rsidP="009467B6">
      <w:pPr>
        <w:tabs>
          <w:tab w:val="left" w:pos="1134"/>
        </w:tabs>
        <w:ind w:left="567"/>
        <w:rPr>
          <w:rFonts w:eastAsiaTheme="minorEastAsia" w:cs="Century"/>
          <w:szCs w:val="22"/>
          <w:lang w:eastAsia="ja-JP"/>
        </w:rPr>
      </w:pPr>
      <w:r w:rsidRPr="003420D2">
        <w:rPr>
          <w:rFonts w:eastAsiaTheme="minorEastAsia"/>
          <w:szCs w:val="22"/>
          <w:lang w:eastAsia="ja-JP"/>
        </w:rPr>
        <w:t>b)</w:t>
      </w:r>
      <w:r w:rsidRPr="003420D2">
        <w:rPr>
          <w:rFonts w:eastAsiaTheme="minorEastAsia"/>
          <w:szCs w:val="22"/>
          <w:lang w:eastAsia="ja-JP"/>
        </w:rPr>
        <w:tab/>
        <w:t>Por lo general, la industria de los medicamentos genéricos desarrolla innovaciones farmacéuticas secundarias –es decir, mejoras a medicamentos conocidos o mejoras en los métodos de fabricación. Se trata de medicamentos destinados al tratamiento de enfermedades geriátricas, como las neurodegenerativas, el cáncer y las enfermedades cardiovasculares.</w:t>
      </w:r>
    </w:p>
    <w:p w:rsidR="009467B6" w:rsidRPr="003420D2" w:rsidRDefault="009467B6" w:rsidP="009467B6">
      <w:pPr>
        <w:widowControl w:val="0"/>
        <w:pBdr>
          <w:top w:val="nil"/>
          <w:left w:val="nil"/>
          <w:bottom w:val="nil"/>
          <w:right w:val="nil"/>
          <w:between w:val="nil"/>
        </w:pBdr>
        <w:ind w:left="567"/>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c)</w:t>
      </w:r>
      <w:r w:rsidRPr="003420D2">
        <w:rPr>
          <w:rFonts w:eastAsiaTheme="minorEastAsia"/>
          <w:szCs w:val="22"/>
          <w:lang w:eastAsia="ja-JP"/>
        </w:rPr>
        <w:tab/>
        <w:t>Dentro del sector farmacéutico, se considera que los subsectores de la biotecnología y la biología molecular crean las mayores oportunidades de desarrollo para las empresas polacas y merecen el apoyo estatal, con respecto tanto a los medicamentos innovadores como a los medicamentos genéricos. Las principales empresas de biotecnología trabajan en productos y tecnologías de biología molecular, por ejemplo, el aislamiento o la amplificación de ácidos nucleicos. Por lo que respecta a los fármacos biosimilares, su desarrollo es más ambicioso y exigente, en comparación con la producción de medicamentos genéricos de moléculas pequeñas. Esas actividades podrán constituir un buen punto de partida para seguir desarrollando el potencial de la industria farmacéutica privada de Polonia.</w:t>
      </w:r>
    </w:p>
    <w:p w:rsidR="009467B6" w:rsidRPr="003420D2" w:rsidRDefault="009467B6" w:rsidP="009467B6">
      <w:pPr>
        <w:widowControl w:val="0"/>
        <w:pBdr>
          <w:top w:val="nil"/>
          <w:left w:val="nil"/>
          <w:bottom w:val="nil"/>
          <w:right w:val="nil"/>
          <w:between w:val="nil"/>
        </w:pBdr>
        <w:ind w:left="567"/>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d)</w:t>
      </w:r>
      <w:r w:rsidRPr="003420D2">
        <w:rPr>
          <w:rFonts w:eastAsiaTheme="minorEastAsia"/>
          <w:szCs w:val="22"/>
          <w:lang w:eastAsia="ja-JP"/>
        </w:rPr>
        <w:tab/>
        <w:t xml:space="preserve">La industria de las tecnologías médicas está más diversificada en lo que se refiere a la innovación. Las tecnologías médicas </w:t>
      </w:r>
      <w:r>
        <w:rPr>
          <w:rFonts w:eastAsiaTheme="minorEastAsia"/>
          <w:szCs w:val="22"/>
          <w:lang w:eastAsia="ja-JP"/>
        </w:rPr>
        <w:t>y l</w:t>
      </w:r>
      <w:r w:rsidRPr="003420D2">
        <w:rPr>
          <w:rFonts w:eastAsiaTheme="minorEastAsia"/>
          <w:szCs w:val="22"/>
          <w:lang w:eastAsia="ja-JP"/>
        </w:rPr>
        <w:t>os productos innovador</w:t>
      </w:r>
      <w:r>
        <w:rPr>
          <w:rFonts w:eastAsiaTheme="minorEastAsia"/>
          <w:szCs w:val="22"/>
          <w:lang w:eastAsia="ja-JP"/>
        </w:rPr>
        <w:t>e</w:t>
      </w:r>
      <w:r w:rsidRPr="003420D2">
        <w:rPr>
          <w:rFonts w:eastAsiaTheme="minorEastAsia"/>
          <w:szCs w:val="22"/>
          <w:lang w:eastAsia="ja-JP"/>
        </w:rPr>
        <w:t xml:space="preserve">s –tanto los que son revolucionarios como los que constituyen mejoras– se patentan y se lanzan </w:t>
      </w:r>
      <w:r>
        <w:rPr>
          <w:rFonts w:eastAsiaTheme="minorEastAsia"/>
          <w:szCs w:val="22"/>
          <w:lang w:eastAsia="ja-JP"/>
        </w:rPr>
        <w:t>a</w:t>
      </w:r>
      <w:r w:rsidRPr="003420D2">
        <w:rPr>
          <w:rFonts w:eastAsiaTheme="minorEastAsia"/>
          <w:szCs w:val="22"/>
          <w:lang w:eastAsia="ja-JP"/>
        </w:rPr>
        <w:t xml:space="preserve">l mercado. Las innovaciones más revolucionarias incluyen corazones artificiales, substitutos óseos, implantes traumatológicos y tejidos artificiales. Otros ejemplos de innovación en ese sector son los equipos de diagnóstico en neurofisiología y los servicios destinados al diagnóstico temprano del cáncer de mama, así como los </w:t>
      </w:r>
      <w:r w:rsidRPr="003420D2">
        <w:rPr>
          <w:rFonts w:eastAsiaTheme="minorEastAsia"/>
          <w:i/>
          <w:szCs w:val="22"/>
          <w:lang w:eastAsia="ja-JP"/>
        </w:rPr>
        <w:t>stents</w:t>
      </w:r>
      <w:r w:rsidRPr="003420D2">
        <w:rPr>
          <w:rFonts w:eastAsiaTheme="minorEastAsia"/>
          <w:szCs w:val="22"/>
          <w:lang w:eastAsia="ja-JP"/>
        </w:rPr>
        <w:t xml:space="preserve"> y </w:t>
      </w:r>
      <w:r>
        <w:rPr>
          <w:rFonts w:eastAsiaTheme="minorEastAsia"/>
          <w:szCs w:val="22"/>
          <w:lang w:eastAsia="ja-JP"/>
        </w:rPr>
        <w:t xml:space="preserve">los </w:t>
      </w:r>
      <w:r w:rsidRPr="003420D2">
        <w:rPr>
          <w:rFonts w:eastAsiaTheme="minorEastAsia"/>
          <w:szCs w:val="22"/>
          <w:lang w:eastAsia="ja-JP"/>
        </w:rPr>
        <w:t xml:space="preserve">apósitos biodegradables. Muchas empresas polacas están trabajando en dispositivos sumamente innovadores de telemedicina y soluciones de TIC </w:t>
      </w:r>
      <w:r>
        <w:rPr>
          <w:rFonts w:eastAsiaTheme="minorEastAsia"/>
          <w:szCs w:val="22"/>
          <w:lang w:eastAsia="ja-JP"/>
        </w:rPr>
        <w:t xml:space="preserve">para </w:t>
      </w:r>
      <w:r w:rsidRPr="003420D2">
        <w:rPr>
          <w:rFonts w:eastAsiaTheme="minorEastAsia"/>
          <w:szCs w:val="22"/>
          <w:lang w:eastAsia="ja-JP"/>
        </w:rPr>
        <w:t xml:space="preserve">uso médico. En el sector de las tecnologías médicas, el mayor potencial de innovación se encuentra en los ámbitos siguientes: nuevas tecnologías de diagnóstico; telemedicina y TI </w:t>
      </w:r>
      <w:r>
        <w:rPr>
          <w:rFonts w:eastAsiaTheme="minorEastAsia"/>
          <w:szCs w:val="22"/>
          <w:lang w:eastAsia="ja-JP"/>
        </w:rPr>
        <w:t xml:space="preserve">para </w:t>
      </w:r>
      <w:r w:rsidRPr="003420D2">
        <w:rPr>
          <w:rFonts w:eastAsiaTheme="minorEastAsia"/>
          <w:szCs w:val="22"/>
          <w:lang w:eastAsia="ja-JP"/>
        </w:rPr>
        <w:t>uso médico; biomedicina, implantes y trasplantes; dispositivos médicos y servicios médicos para una población senescente. Debido a los costos extraordinariamente elevados del desarrollo de productos médicos originales, el sector de las tecnologías médicas puede crear mayores y mejores oportunidades de innovación radical en Polonia.</w:t>
      </w:r>
    </w:p>
    <w:p w:rsidR="009467B6" w:rsidRPr="003420D2" w:rsidRDefault="009467B6" w:rsidP="009467B6">
      <w:pPr>
        <w:widowControl w:val="0"/>
        <w:pBdr>
          <w:top w:val="nil"/>
          <w:left w:val="nil"/>
          <w:bottom w:val="nil"/>
          <w:right w:val="nil"/>
          <w:between w:val="nil"/>
        </w:pBdr>
        <w:ind w:left="567"/>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e)</w:t>
      </w:r>
      <w:r w:rsidRPr="003420D2">
        <w:rPr>
          <w:rFonts w:eastAsiaTheme="minorEastAsia"/>
          <w:szCs w:val="22"/>
          <w:lang w:eastAsia="ja-JP"/>
        </w:rPr>
        <w:tab/>
        <w:t xml:space="preserve">Las empresas señalan la falta de apoyo </w:t>
      </w:r>
      <w:r>
        <w:rPr>
          <w:rFonts w:eastAsiaTheme="minorEastAsia"/>
          <w:szCs w:val="22"/>
          <w:lang w:eastAsia="ja-JP"/>
        </w:rPr>
        <w:t>estatal</w:t>
      </w:r>
      <w:r w:rsidRPr="003420D2">
        <w:rPr>
          <w:rFonts w:eastAsiaTheme="minorEastAsia"/>
          <w:szCs w:val="22"/>
          <w:lang w:eastAsia="ja-JP"/>
        </w:rPr>
        <w:t xml:space="preserve"> como una de las principales barreras a la innovación. La financiación de la UE es bienvenida, pero se considera que se centra demasiado en la investigación de base, antes que en la implementación y comercialización de innovaciones destinadas al mercado.</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f)</w:t>
      </w:r>
      <w:r w:rsidRPr="003420D2">
        <w:rPr>
          <w:rFonts w:eastAsiaTheme="minorEastAsia"/>
          <w:szCs w:val="22"/>
          <w:lang w:eastAsia="ja-JP"/>
        </w:rPr>
        <w:tab/>
        <w:t xml:space="preserve">Otra barrera es la falta de cooperación entre sectores, en particular para lograr la transferencia de tecnología. Las empresas consideran que los centros de transferencia </w:t>
      </w:r>
      <w:r w:rsidRPr="003420D2">
        <w:rPr>
          <w:rFonts w:eastAsiaTheme="minorEastAsia"/>
          <w:szCs w:val="22"/>
          <w:lang w:eastAsia="ja-JP"/>
        </w:rPr>
        <w:lastRenderedPageBreak/>
        <w:t>de tecnología no están en sintonía con los intereses del sector de la salud. Se sostiene que la cooperación con el sector público es muy difícil, debido a las distintas culturas institucionales.</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g)</w:t>
      </w:r>
      <w:r w:rsidRPr="003420D2">
        <w:rPr>
          <w:rFonts w:eastAsiaTheme="minorEastAsia"/>
          <w:szCs w:val="22"/>
          <w:lang w:eastAsia="ja-JP"/>
        </w:rPr>
        <w:tab/>
        <w:t xml:space="preserve">De las entrevistas realizadas y las respuestas obtenidas, se desprende que el conocimiento medio acerca de la protección por PI en el sector de la salud en Polonia sigue siendo </w:t>
      </w:r>
      <w:r>
        <w:rPr>
          <w:rFonts w:eastAsiaTheme="minorEastAsia"/>
          <w:szCs w:val="22"/>
          <w:lang w:eastAsia="ja-JP"/>
        </w:rPr>
        <w:t>escaso</w:t>
      </w:r>
      <w:r w:rsidRPr="003420D2">
        <w:rPr>
          <w:rFonts w:eastAsiaTheme="minorEastAsia"/>
          <w:szCs w:val="22"/>
          <w:lang w:eastAsia="ja-JP"/>
        </w:rPr>
        <w:t>. Si bien hay un grupo de empresas administradas por personas altamente especializadas y competentes en esa esfera, muchos de los representantes del sector no entienden plenamente la función y las reglas de la PI.</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h)</w:t>
      </w:r>
      <w:r w:rsidRPr="003420D2">
        <w:rPr>
          <w:rFonts w:eastAsiaTheme="minorEastAsia"/>
          <w:szCs w:val="22"/>
          <w:lang w:eastAsia="ja-JP"/>
        </w:rPr>
        <w:tab/>
        <w:t xml:space="preserve">En los dos sectores en los que se ha llevado a cabo la encuesta, se considera que las patentes sirven ante todo como </w:t>
      </w:r>
      <w:r>
        <w:rPr>
          <w:rFonts w:eastAsiaTheme="minorEastAsia"/>
          <w:szCs w:val="22"/>
          <w:lang w:eastAsia="ja-JP"/>
        </w:rPr>
        <w:t>instrumento</w:t>
      </w:r>
      <w:r w:rsidRPr="003420D2">
        <w:rPr>
          <w:rFonts w:eastAsiaTheme="minorEastAsia"/>
          <w:szCs w:val="22"/>
          <w:lang w:eastAsia="ja-JP"/>
        </w:rPr>
        <w:t xml:space="preserve"> de defensa, garantizando un derecho sobre una invención para que nadie pueda entorpecer su ejercicio, y tan solo en un segundo plano son consideradas como una herramienta para garantizar la exclusividad.</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i)</w:t>
      </w:r>
      <w:r w:rsidRPr="003420D2">
        <w:rPr>
          <w:rFonts w:eastAsiaTheme="minorEastAsia"/>
          <w:szCs w:val="22"/>
          <w:lang w:eastAsia="ja-JP"/>
        </w:rPr>
        <w:tab/>
        <w:t xml:space="preserve">De las respuestas obtenidas se desprende la idea de que las patentes estimulan la innovación en el sector de las tecnologías médicas, permitiendo a las empresas recuperar la inversión realizada en las actividades de I+D. Sin embargo, eso parece ser tan solo una verdad parcial en la industria farmacéutica polaca. Por una parte, debido a los altos costos de comercialización de nuevos productos médicos, se considera que el sistema de patentes constituye un estímulo necesario para la innovación, en particular en el sector farmacéutico centrado en la investigación. Por la otra, los costos que supone realizar ensayos clínicos y preclínicos son tan elevados que conforman una barrera insuperable para las empresas farmacéuticas polacas. El problema de fondo es la falta de capital inicial y los largos plazos de espera </w:t>
      </w:r>
      <w:r>
        <w:rPr>
          <w:rFonts w:eastAsiaTheme="minorEastAsia"/>
          <w:szCs w:val="22"/>
          <w:lang w:eastAsia="ja-JP"/>
        </w:rPr>
        <w:t xml:space="preserve">necesarios </w:t>
      </w:r>
      <w:r w:rsidRPr="003420D2">
        <w:rPr>
          <w:rFonts w:eastAsiaTheme="minorEastAsia"/>
          <w:szCs w:val="22"/>
          <w:lang w:eastAsia="ja-JP"/>
        </w:rPr>
        <w:t>para recuperar la inversión, además de la incertidumbre respecto de si, de hecho, la inversión resultará rentable.</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j)</w:t>
      </w:r>
      <w:r w:rsidRPr="003420D2">
        <w:rPr>
          <w:rFonts w:eastAsiaTheme="minorEastAsia"/>
          <w:szCs w:val="22"/>
          <w:lang w:eastAsia="ja-JP"/>
        </w:rPr>
        <w:tab/>
        <w:t>Varias empresas polacas se han esforzado por desarrollar nuevos medicamentos. Sin embargo, en la mayoría de los casos, esas empresas no prevén llevar el producto hasta la fase de autorización para la comercialización, sino que venden los derechos de invención en una fase avanzada de la I+D. En esos casos, se considera que las patentes son necesarias para recuperar la inversión en I+D.</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k)</w:t>
      </w:r>
      <w:r w:rsidRPr="003420D2">
        <w:rPr>
          <w:rFonts w:eastAsiaTheme="minorEastAsia"/>
          <w:szCs w:val="22"/>
          <w:lang w:eastAsia="ja-JP"/>
        </w:rPr>
        <w:tab/>
        <w:t>Determinadas empresas del ámbito de la salud no utilizan la protección por patente. En primer lugar, las empresas que producen copias de medicamentos no cuentan con material patentable y, por lo tanto, no tienen interés en la protección por patente. En segundo lugar, y a diferencia de las mencionadas anteriormente, las empresas innovadoras del campo de la biología molecular protegen sus tecnologías como secretos comerciales, debido a que tienen un ciclo de vida comercial</w:t>
      </w:r>
      <w:r w:rsidRPr="008C5043">
        <w:rPr>
          <w:rFonts w:eastAsiaTheme="minorEastAsia"/>
          <w:szCs w:val="22"/>
          <w:lang w:eastAsia="ja-JP"/>
        </w:rPr>
        <w:t xml:space="preserve"> </w:t>
      </w:r>
      <w:r>
        <w:rPr>
          <w:rFonts w:eastAsiaTheme="minorEastAsia"/>
          <w:szCs w:val="22"/>
          <w:lang w:eastAsia="ja-JP"/>
        </w:rPr>
        <w:t xml:space="preserve">que es </w:t>
      </w:r>
      <w:r w:rsidRPr="003420D2">
        <w:rPr>
          <w:rFonts w:eastAsiaTheme="minorEastAsia"/>
          <w:szCs w:val="22"/>
          <w:lang w:eastAsia="ja-JP"/>
        </w:rPr>
        <w:t>breve. En tercer lugar, las empresas de tecnología médica que se especializan en telemedicina tienen dificultades para valerse de la protección por patente si no pueden vincular su innovación a un dispositivo.</w:t>
      </w:r>
    </w:p>
    <w:p w:rsidR="009467B6" w:rsidRPr="003420D2" w:rsidRDefault="009467B6" w:rsidP="009467B6">
      <w:pPr>
        <w:widowControl w:val="0"/>
        <w:pBdr>
          <w:top w:val="nil"/>
          <w:left w:val="nil"/>
          <w:bottom w:val="nil"/>
          <w:right w:val="nil"/>
          <w:between w:val="nil"/>
        </w:pBdr>
        <w:rPr>
          <w:rFonts w:eastAsia="Arial"/>
          <w:szCs w:val="22"/>
          <w:lang w:eastAsia="en-US"/>
        </w:rPr>
      </w:pPr>
    </w:p>
    <w:p w:rsidR="009467B6" w:rsidRPr="003420D2" w:rsidRDefault="009467B6" w:rsidP="009467B6">
      <w:pPr>
        <w:tabs>
          <w:tab w:val="left" w:pos="1134"/>
        </w:tabs>
        <w:ind w:left="567"/>
        <w:rPr>
          <w:rFonts w:eastAsiaTheme="minorEastAsia"/>
          <w:szCs w:val="22"/>
          <w:lang w:eastAsia="ja-JP"/>
        </w:rPr>
      </w:pPr>
      <w:r w:rsidRPr="003420D2">
        <w:rPr>
          <w:rFonts w:eastAsiaTheme="minorEastAsia"/>
          <w:szCs w:val="22"/>
          <w:lang w:eastAsia="ja-JP"/>
        </w:rPr>
        <w:t>l)</w:t>
      </w:r>
      <w:r w:rsidRPr="003420D2">
        <w:rPr>
          <w:rFonts w:eastAsiaTheme="minorEastAsia"/>
          <w:szCs w:val="22"/>
          <w:lang w:eastAsia="ja-JP"/>
        </w:rPr>
        <w:tab/>
        <w:t>Las empresas utilizan otros derechos de PI para proteger sus productos y servicios innovadores</w:t>
      </w:r>
      <w:r>
        <w:rPr>
          <w:rFonts w:eastAsiaTheme="minorEastAsia"/>
          <w:szCs w:val="22"/>
          <w:lang w:eastAsia="ja-JP"/>
        </w:rPr>
        <w:t>;</w:t>
      </w:r>
      <w:r w:rsidRPr="003420D2">
        <w:rPr>
          <w:rFonts w:eastAsiaTheme="minorEastAsia"/>
          <w:szCs w:val="22"/>
          <w:lang w:eastAsia="ja-JP"/>
        </w:rPr>
        <w:t xml:space="preserve"> entre ellos, cabe señalar las marcas, los modelos de utilidad y los diseños industriales.</w:t>
      </w:r>
    </w:p>
    <w:p w:rsidR="009467B6" w:rsidRPr="003420D2" w:rsidRDefault="009467B6" w:rsidP="009467B6">
      <w:pPr>
        <w:rPr>
          <w:rFonts w:eastAsiaTheme="minorEastAsia"/>
          <w:szCs w:val="22"/>
          <w:lang w:eastAsia="ja-JP"/>
        </w:rPr>
      </w:pPr>
    </w:p>
    <w:p w:rsidR="009467B6" w:rsidRPr="003420D2" w:rsidRDefault="009467B6" w:rsidP="009467B6">
      <w:pPr>
        <w:rPr>
          <w:rFonts w:eastAsiaTheme="minorEastAsia"/>
          <w:szCs w:val="22"/>
          <w:lang w:eastAsia="ja-JP"/>
        </w:rPr>
      </w:pPr>
    </w:p>
    <w:p w:rsidR="009467B6" w:rsidRPr="003420D2" w:rsidRDefault="009467B6" w:rsidP="009467B6">
      <w:pPr>
        <w:ind w:left="4536" w:firstLine="567"/>
      </w:pPr>
      <w:r w:rsidRPr="003420D2">
        <w:t>[Fin del Anexo y del documento]</w:t>
      </w:r>
    </w:p>
    <w:p w:rsidR="009467B6" w:rsidRPr="003420D2" w:rsidRDefault="009467B6" w:rsidP="009467B6">
      <w:pPr>
        <w:rPr>
          <w:caps/>
          <w:sz w:val="24"/>
        </w:rPr>
      </w:pPr>
    </w:p>
    <w:p w:rsidR="00AB727F" w:rsidRPr="0089091E" w:rsidRDefault="00AB727F" w:rsidP="009467B6">
      <w:pPr>
        <w:widowControl w:val="0"/>
        <w:pBdr>
          <w:top w:val="nil"/>
          <w:left w:val="nil"/>
          <w:bottom w:val="nil"/>
          <w:right w:val="nil"/>
          <w:between w:val="nil"/>
        </w:pBdr>
        <w:rPr>
          <w:caps/>
          <w:strike/>
          <w:sz w:val="24"/>
        </w:rPr>
      </w:pPr>
    </w:p>
    <w:sectPr w:rsidR="00AB727F" w:rsidRPr="0089091E" w:rsidSect="00E52F62">
      <w:headerReference w:type="default" r:id="rId11"/>
      <w:headerReference w:type="first" r:id="rId12"/>
      <w:pgSz w:w="11906" w:h="16838" w:code="9"/>
      <w:pgMar w:top="567" w:right="1134" w:bottom="1418" w:left="1418" w:header="709" w:footer="709"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91C" w:rsidRDefault="0075691C">
      <w:r>
        <w:separator/>
      </w:r>
    </w:p>
  </w:endnote>
  <w:endnote w:type="continuationSeparator" w:id="0">
    <w:p w:rsidR="0075691C" w:rsidRDefault="0075691C">
      <w:pPr>
        <w:rPr>
          <w:sz w:val="17"/>
          <w:szCs w:val="17"/>
        </w:rPr>
      </w:pPr>
      <w:r>
        <w:rPr>
          <w:sz w:val="17"/>
          <w:szCs w:val="17"/>
        </w:rPr>
        <w:separator/>
      </w:r>
    </w:p>
    <w:p w:rsidR="0075691C" w:rsidRDefault="0075691C">
      <w:pPr>
        <w:spacing w:after="60"/>
        <w:rPr>
          <w:sz w:val="17"/>
          <w:szCs w:val="17"/>
        </w:rPr>
      </w:pPr>
      <w:r>
        <w:rPr>
          <w:sz w:val="17"/>
        </w:rPr>
        <w:t>[Continuación de la nota de la página anterior]</w:t>
      </w:r>
    </w:p>
  </w:endnote>
  <w:endnote w:type="continuationNotice" w:id="1">
    <w:p w:rsidR="0075691C" w:rsidRDefault="0075691C">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91C" w:rsidRDefault="0075691C">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91C" w:rsidRDefault="0075691C">
      <w:r>
        <w:separator/>
      </w:r>
    </w:p>
  </w:footnote>
  <w:footnote w:type="continuationSeparator" w:id="0">
    <w:p w:rsidR="0075691C" w:rsidRDefault="0075691C">
      <w:pPr>
        <w:rPr>
          <w:sz w:val="17"/>
          <w:szCs w:val="17"/>
        </w:rPr>
      </w:pPr>
      <w:r>
        <w:rPr>
          <w:sz w:val="17"/>
          <w:szCs w:val="17"/>
        </w:rPr>
        <w:separator/>
      </w:r>
    </w:p>
    <w:p w:rsidR="0075691C" w:rsidRDefault="0075691C">
      <w:pPr>
        <w:spacing w:after="60"/>
        <w:rPr>
          <w:sz w:val="17"/>
          <w:szCs w:val="17"/>
        </w:rPr>
      </w:pPr>
      <w:r>
        <w:rPr>
          <w:sz w:val="17"/>
        </w:rPr>
        <w:t>[Continuación de la nota de la página anterior]</w:t>
      </w:r>
    </w:p>
  </w:footnote>
  <w:footnote w:type="continuationNotice" w:id="1">
    <w:p w:rsidR="0075691C" w:rsidRDefault="0075691C">
      <w:pPr>
        <w:spacing w:before="60"/>
        <w:jc w:val="right"/>
        <w:rPr>
          <w:sz w:val="17"/>
          <w:szCs w:val="17"/>
        </w:rPr>
      </w:pPr>
      <w:r>
        <w:rPr>
          <w:sz w:val="17"/>
          <w:szCs w:val="17"/>
        </w:rPr>
        <w:t>[Sigue la nota en la página siguiente]</w:t>
      </w:r>
    </w:p>
  </w:footnote>
  <w:footnote w:id="2">
    <w:p w:rsidR="0075691C" w:rsidRPr="001B6F56" w:rsidRDefault="0075691C" w:rsidP="00AB727F">
      <w:pPr>
        <w:pStyle w:val="FootnoteText"/>
      </w:pPr>
      <w:r w:rsidRPr="001B6F56">
        <w:rPr>
          <w:rStyle w:val="FootnoteReference"/>
        </w:rPr>
        <w:footnoteRef/>
      </w:r>
      <w:r w:rsidRPr="001B6F56">
        <w:t xml:space="preserve"> En las consultas iniciales, el Gobierno también expresó su interés por incluir el sector de la energía en el estudio, pero posteriormente dicho interés fue decayendo.</w:t>
      </w:r>
    </w:p>
  </w:footnote>
  <w:footnote w:id="3">
    <w:p w:rsidR="0075691C" w:rsidRPr="001B6F56" w:rsidRDefault="0075691C" w:rsidP="00AB727F">
      <w:pPr>
        <w:pStyle w:val="FootnoteText"/>
      </w:pPr>
      <w:r w:rsidRPr="001B6F56">
        <w:rPr>
          <w:rStyle w:val="FootnoteReference"/>
        </w:rPr>
        <w:footnoteRef/>
      </w:r>
      <w:r w:rsidRPr="001B6F56">
        <w:t xml:space="preserve"> Pueden consultarse los estudios íntegros en: </w:t>
      </w:r>
      <w:hyperlink r:id="rId1" w:history="1">
        <w:r w:rsidRPr="001B6F56">
          <w:rPr>
            <w:rStyle w:val="Hyperlink"/>
          </w:rPr>
          <w:t>http://www.wipo.int/econ_stat/en/economics/studies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91C" w:rsidRPr="00262966" w:rsidRDefault="0075691C" w:rsidP="0075691C">
    <w:pPr>
      <w:tabs>
        <w:tab w:val="center" w:pos="4536"/>
        <w:tab w:val="right" w:pos="9072"/>
      </w:tabs>
      <w:jc w:val="right"/>
    </w:pPr>
    <w:r w:rsidRPr="00262966">
      <w:t>CDIP/20/</w:t>
    </w:r>
    <w:r w:rsidRPr="00262966">
      <w:rPr>
        <w:highlight w:val="yellow"/>
      </w:rPr>
      <w:t>X</w:t>
    </w:r>
  </w:p>
  <w:p w:rsidR="0075691C" w:rsidRDefault="0075691C" w:rsidP="0075691C">
    <w:pPr>
      <w:tabs>
        <w:tab w:val="center" w:pos="4536"/>
        <w:tab w:val="right" w:pos="9072"/>
      </w:tabs>
      <w:jc w:val="right"/>
    </w:pPr>
    <w:r>
      <w:t>Annex</w:t>
    </w:r>
    <w:r w:rsidRPr="00262966">
      <w:t xml:space="preserve">, page </w:t>
    </w:r>
    <w:r w:rsidRPr="00262966">
      <w:fldChar w:fldCharType="begin"/>
    </w:r>
    <w:r w:rsidRPr="00262966">
      <w:instrText xml:space="preserve"> PAGE   \* MERGEFORMAT </w:instrText>
    </w:r>
    <w:r w:rsidRPr="00262966">
      <w:fldChar w:fldCharType="separate"/>
    </w:r>
    <w:r>
      <w:rPr>
        <w:noProof/>
      </w:rPr>
      <w:t>6</w:t>
    </w:r>
    <w:r w:rsidRPr="0026296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91C" w:rsidRDefault="0075691C">
    <w:pPr>
      <w:jc w:val="right"/>
    </w:pPr>
    <w:bookmarkStart w:id="7" w:name="Code2"/>
    <w:bookmarkEnd w:id="7"/>
    <w:r>
      <w:t>CDIP/14/INF/3</w:t>
    </w:r>
  </w:p>
  <w:p w:rsidR="0075691C" w:rsidRDefault="0075691C">
    <w:pPr>
      <w:jc w:val="right"/>
    </w:pPr>
    <w:r>
      <w:t xml:space="preserve">Anexo, página </w:t>
    </w:r>
    <w:r>
      <w:fldChar w:fldCharType="begin"/>
    </w:r>
    <w:r>
      <w:instrText xml:space="preserve"> PAGE   \* MERGEFORMAT </w:instrText>
    </w:r>
    <w:r>
      <w:fldChar w:fldCharType="separate"/>
    </w:r>
    <w:r w:rsidR="00AD17B7">
      <w:rPr>
        <w:noProof/>
      </w:rPr>
      <w:t>8</w:t>
    </w:r>
    <w:r>
      <w:fldChar w:fldCharType="end"/>
    </w:r>
  </w:p>
  <w:p w:rsidR="0075691C" w:rsidRDefault="0075691C">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91C" w:rsidRDefault="0075691C">
    <w:pPr>
      <w:pStyle w:val="Header"/>
      <w:jc w:val="right"/>
    </w:pPr>
    <w:r>
      <w:t>CDIP/14/INF/3</w:t>
    </w:r>
  </w:p>
  <w:p w:rsidR="0075691C" w:rsidRDefault="0075691C">
    <w:pPr>
      <w:pStyle w:val="Header"/>
      <w:jc w:val="right"/>
    </w:pPr>
    <w:r>
      <w:t>ANEXO</w:t>
    </w:r>
  </w:p>
  <w:p w:rsidR="0075691C" w:rsidRDefault="007569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F6D0969"/>
    <w:multiLevelType w:val="hybridMultilevel"/>
    <w:tmpl w:val="5F026EF8"/>
    <w:lvl w:ilvl="0" w:tplc="0409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Development\Dev_Agenda|TextBase TMs\WorkspaceSTS\Patents &amp; Innovation\Patents Main|TextBase TMs\WorkspaceSTS\Patents &amp; Innovation\P Instruments|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GRTKF\G Instruments|TextBase TMs\WorkspaceSTS\GRTKF\GRTKF|TextBase TMs\WorkspaceSTS\Outreach\Economist|TextBase TMs\WorkspaceSTS\Outreach\IP Advantage|TextBase TMs\WorkspaceSTS\Treaties &amp; Laws\WIPO Lex|TextBase TMs\WorkspaceSTS\UPOV\TGPs|TextBase TMs\WorkspaceSTS\UPOV\TGs|TextBase TMs\WorkspaceSTS\UPOV\TGs Template|TextBase TMs\WorkspaceSTS\UPOV\U Instruments|TextBase TMs\WorkspaceSTS\UPOV\UPOV Main|Team Server TMs\Spanish"/>
    <w:docVar w:name="TextBaseURL" w:val="empty"/>
    <w:docVar w:name="UILng" w:val="en"/>
  </w:docVars>
  <w:rsids>
    <w:rsidRoot w:val="00407763"/>
    <w:rsid w:val="00000035"/>
    <w:rsid w:val="00061C4F"/>
    <w:rsid w:val="000B79E8"/>
    <w:rsid w:val="000D661E"/>
    <w:rsid w:val="000E44DC"/>
    <w:rsid w:val="000F78E7"/>
    <w:rsid w:val="001B0CBD"/>
    <w:rsid w:val="001B1A5A"/>
    <w:rsid w:val="001B6F56"/>
    <w:rsid w:val="001D77C4"/>
    <w:rsid w:val="001F43DD"/>
    <w:rsid w:val="00201E8A"/>
    <w:rsid w:val="00203EE0"/>
    <w:rsid w:val="00225B8A"/>
    <w:rsid w:val="002B3E7D"/>
    <w:rsid w:val="002C09C4"/>
    <w:rsid w:val="002F3E25"/>
    <w:rsid w:val="00317F62"/>
    <w:rsid w:val="00325E4D"/>
    <w:rsid w:val="00340A18"/>
    <w:rsid w:val="003438D7"/>
    <w:rsid w:val="00351A74"/>
    <w:rsid w:val="00354DF1"/>
    <w:rsid w:val="00357B67"/>
    <w:rsid w:val="0036048B"/>
    <w:rsid w:val="00361B03"/>
    <w:rsid w:val="00377E33"/>
    <w:rsid w:val="00396B8B"/>
    <w:rsid w:val="003B634C"/>
    <w:rsid w:val="00407763"/>
    <w:rsid w:val="004278C2"/>
    <w:rsid w:val="004B6EA6"/>
    <w:rsid w:val="00552CB0"/>
    <w:rsid w:val="005940F6"/>
    <w:rsid w:val="005A3CC4"/>
    <w:rsid w:val="005A4AA4"/>
    <w:rsid w:val="005A6EB8"/>
    <w:rsid w:val="005D02C6"/>
    <w:rsid w:val="005D4385"/>
    <w:rsid w:val="005F2306"/>
    <w:rsid w:val="00613637"/>
    <w:rsid w:val="00617D1F"/>
    <w:rsid w:val="006276E3"/>
    <w:rsid w:val="00654188"/>
    <w:rsid w:val="00662AEA"/>
    <w:rsid w:val="00683D65"/>
    <w:rsid w:val="006E50EB"/>
    <w:rsid w:val="006F6387"/>
    <w:rsid w:val="0070702F"/>
    <w:rsid w:val="0075691C"/>
    <w:rsid w:val="00786F82"/>
    <w:rsid w:val="00793C66"/>
    <w:rsid w:val="007A5B34"/>
    <w:rsid w:val="007F26A5"/>
    <w:rsid w:val="007F69AF"/>
    <w:rsid w:val="008211A8"/>
    <w:rsid w:val="00827505"/>
    <w:rsid w:val="00855D04"/>
    <w:rsid w:val="0085775C"/>
    <w:rsid w:val="0087397B"/>
    <w:rsid w:val="0089091E"/>
    <w:rsid w:val="008A740C"/>
    <w:rsid w:val="008D5530"/>
    <w:rsid w:val="008F4974"/>
    <w:rsid w:val="008F68DB"/>
    <w:rsid w:val="00912EE7"/>
    <w:rsid w:val="009467B6"/>
    <w:rsid w:val="0097428A"/>
    <w:rsid w:val="00994E42"/>
    <w:rsid w:val="009B7DE0"/>
    <w:rsid w:val="009E6218"/>
    <w:rsid w:val="009E6E0A"/>
    <w:rsid w:val="00A11C62"/>
    <w:rsid w:val="00A17805"/>
    <w:rsid w:val="00A3414D"/>
    <w:rsid w:val="00A410D6"/>
    <w:rsid w:val="00A45236"/>
    <w:rsid w:val="00A830A5"/>
    <w:rsid w:val="00AA7450"/>
    <w:rsid w:val="00AB364E"/>
    <w:rsid w:val="00AB727F"/>
    <w:rsid w:val="00AC1F39"/>
    <w:rsid w:val="00AD17B7"/>
    <w:rsid w:val="00B11C19"/>
    <w:rsid w:val="00B41E4D"/>
    <w:rsid w:val="00B4534F"/>
    <w:rsid w:val="00B614BA"/>
    <w:rsid w:val="00B62B69"/>
    <w:rsid w:val="00B67BA0"/>
    <w:rsid w:val="00BB71E9"/>
    <w:rsid w:val="00C173A5"/>
    <w:rsid w:val="00C50D7D"/>
    <w:rsid w:val="00C820D8"/>
    <w:rsid w:val="00CE0687"/>
    <w:rsid w:val="00D1321E"/>
    <w:rsid w:val="00DC65B1"/>
    <w:rsid w:val="00E353D4"/>
    <w:rsid w:val="00E52F62"/>
    <w:rsid w:val="00ED2D68"/>
    <w:rsid w:val="00EF6648"/>
    <w:rsid w:val="00F33CF0"/>
    <w:rsid w:val="00F44091"/>
    <w:rsid w:val="00F741F2"/>
    <w:rsid w:val="00F96178"/>
    <w:rsid w:val="00FE28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3F6BAD8D-AD50-44B9-B702-5D2965B7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lang w:val="es-ES" w:eastAsia="zh-CN"/>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ak"/>
    <w:basedOn w:val="Normal"/>
    <w:link w:val="FootnoteTextChar"/>
    <w:uiPriority w:val="99"/>
    <w:rPr>
      <w:sz w:val="18"/>
    </w:rPr>
  </w:style>
  <w:style w:type="paragraph" w:customStyle="1" w:styleId="Endofdocument-Annex">
    <w:name w:val="[End of document - Annex]"/>
    <w:basedOn w:val="Normal"/>
    <w:pPr>
      <w:ind w:left="5534"/>
    </w:pPr>
    <w:rPr>
      <w:lang w:val="en-US"/>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SimSun" w:hAnsi="Tahoma" w:cs="Tahoma"/>
      <w:sz w:val="16"/>
      <w:szCs w:val="16"/>
      <w:lang w:val="es-ES" w:eastAsia="zh-CN"/>
    </w:rPr>
  </w:style>
  <w:style w:type="character" w:styleId="FootnoteReference">
    <w:name w:val="footnote reference"/>
    <w:basedOn w:val="DefaultParagraphFont"/>
    <w:uiPriority w:val="99"/>
    <w:rPr>
      <w:rFonts w:ascii="Arial" w:hAnsi="Arial"/>
      <w:sz w:val="22"/>
      <w:vertAlign w:val="superscript"/>
      <w:lang w:bidi="th-TH"/>
    </w:rPr>
  </w:style>
  <w:style w:type="character" w:customStyle="1" w:styleId="FooterChar">
    <w:name w:val="Footer Char"/>
    <w:basedOn w:val="DefaultParagraphFont"/>
    <w:link w:val="Footer"/>
    <w:uiPriority w:val="99"/>
    <w:rPr>
      <w:rFonts w:ascii="Arial" w:eastAsia="SimSun" w:hAnsi="Arial" w:cs="Arial"/>
      <w:sz w:val="22"/>
      <w:lang w:val="es-ES" w:eastAsia="zh-CN"/>
    </w:rPr>
  </w:style>
  <w:style w:type="character" w:customStyle="1" w:styleId="FootnoteTextChar">
    <w:name w:val="Footnote Text Char"/>
    <w:aliases w:val="Footnote ak Char"/>
    <w:basedOn w:val="DefaultParagraphFont"/>
    <w:link w:val="FootnoteText"/>
    <w:uiPriority w:val="99"/>
    <w:rPr>
      <w:rFonts w:ascii="Arial" w:eastAsia="SimSun" w:hAnsi="Arial" w:cs="Arial"/>
      <w:sz w:val="18"/>
      <w:lang w:val="es-ES" w:eastAsia="zh-CN"/>
    </w:rPr>
  </w:style>
  <w:style w:type="character" w:customStyle="1" w:styleId="HeaderChar">
    <w:name w:val="Header Char"/>
    <w:basedOn w:val="DefaultParagraphFont"/>
    <w:link w:val="Header"/>
    <w:uiPriority w:val="99"/>
    <w:rPr>
      <w:rFonts w:ascii="Arial" w:eastAsia="SimSun" w:hAnsi="Arial" w:cs="Arial"/>
      <w:sz w:val="22"/>
      <w:lang w:val="es-ES" w:eastAsia="zh-CN"/>
    </w:rPr>
  </w:style>
  <w:style w:type="character" w:customStyle="1" w:styleId="BodyTextChar">
    <w:name w:val="Body Text Char"/>
    <w:basedOn w:val="DefaultParagraphFont"/>
    <w:link w:val="BodyText"/>
    <w:rPr>
      <w:rFonts w:ascii="Arial" w:eastAsia="SimSun" w:hAnsi="Arial" w:cs="Arial"/>
      <w:sz w:val="22"/>
      <w:lang w:val="es-ES" w:eastAsia="zh-CN"/>
    </w:rPr>
  </w:style>
  <w:style w:type="paragraph" w:customStyle="1" w:styleId="Apendix">
    <w:name w:val="Apendix"/>
    <w:basedOn w:val="Heading1"/>
    <w:qFormat/>
    <w:pPr>
      <w:keepNext w:val="0"/>
      <w:spacing w:before="0" w:after="0"/>
      <w:ind w:left="432" w:hanging="432"/>
      <w:contextualSpacing/>
    </w:pPr>
    <w:rPr>
      <w:rFonts w:eastAsia="Times New Roman" w:cs="Times New Roman"/>
      <w:caps w:val="0"/>
      <w:kern w:val="0"/>
      <w:szCs w:val="28"/>
      <w:lang w:val="en-US" w:eastAsia="en-US"/>
    </w:rPr>
  </w:style>
  <w:style w:type="character" w:styleId="Hyperlink">
    <w:name w:val="Hyperlink"/>
    <w:basedOn w:val="DefaultParagraphFont"/>
    <w:uiPriority w:val="99"/>
    <w:unhideWhenUsed/>
    <w:rsid w:val="00AB727F"/>
    <w:rPr>
      <w:color w:val="0000FF" w:themeColor="hyperlink"/>
      <w:u w:val="single"/>
    </w:rPr>
  </w:style>
  <w:style w:type="paragraph" w:styleId="ListParagraph">
    <w:name w:val="List Paragraph"/>
    <w:basedOn w:val="Normal"/>
    <w:uiPriority w:val="34"/>
    <w:qFormat/>
    <w:rsid w:val="008F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con_stat/en/economics/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1D9E-5F83-40E7-850F-345CEC65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4305</Words>
  <Characters>24539</Characters>
  <Application>Microsoft Office Word</Application>
  <DocSecurity>0</DocSecurity>
  <Lines>204</Lines>
  <Paragraphs>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WIPO</Company>
  <LinksUpToDate>false</LinksUpToDate>
  <CharactersWithSpaces>28787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CDIP/14/INF/3</dc:subject>
  <dc:creator>CEVALLOS DUQUE Nilo</dc:creator>
  <dc:description>JM_x000d_
16/09/2014</dc:description>
  <cp:lastModifiedBy>MARTINEZ LIMÓN Cristina</cp:lastModifiedBy>
  <cp:revision>2</cp:revision>
  <cp:lastPrinted>2014-09-27T10:48:00Z</cp:lastPrinted>
  <dcterms:created xsi:type="dcterms:W3CDTF">2018-11-01T15:25:00Z</dcterms:created>
  <dcterms:modified xsi:type="dcterms:W3CDTF">2018-11-01T15:25:00Z</dcterms:modified>
</cp:coreProperties>
</file>