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EE230B" w:rsidP="00AB613D">
            <w:r>
              <w:rPr>
                <w:noProof/>
                <w:lang w:val="en-US" w:eastAsia="en-US"/>
              </w:rPr>
              <w:drawing>
                <wp:inline distT="0" distB="0" distL="0" distR="0">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B3774" w:rsidP="00CC3A13">
            <w:pPr>
              <w:jc w:val="right"/>
              <w:rPr>
                <w:rFonts w:ascii="Arial Black" w:hAnsi="Arial Black"/>
                <w:caps/>
                <w:sz w:val="15"/>
              </w:rPr>
            </w:pPr>
            <w:r>
              <w:rPr>
                <w:rFonts w:ascii="Arial Black" w:hAnsi="Arial Black"/>
                <w:caps/>
                <w:sz w:val="15"/>
              </w:rPr>
              <w:t>CDIP/2</w:t>
            </w:r>
            <w:r w:rsidR="0066508F">
              <w:rPr>
                <w:rFonts w:ascii="Arial Black" w:hAnsi="Arial Black"/>
                <w:caps/>
                <w:sz w:val="15"/>
              </w:rPr>
              <w:t>2</w:t>
            </w:r>
            <w:r w:rsidR="0096247A">
              <w:rPr>
                <w:rFonts w:ascii="Arial Black" w:hAnsi="Arial Black"/>
                <w:caps/>
                <w:sz w:val="15"/>
              </w:rPr>
              <w:t>/</w:t>
            </w:r>
            <w:bookmarkStart w:id="1" w:name="Code"/>
            <w:bookmarkEnd w:id="1"/>
            <w:r w:rsidR="002C40A0">
              <w:rPr>
                <w:rFonts w:ascii="Arial Black" w:hAnsi="Arial Black"/>
                <w:caps/>
                <w:sz w:val="15"/>
              </w:rPr>
              <w:t>INF/2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2C40A0">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3" w:name="Date"/>
            <w:bookmarkEnd w:id="3"/>
            <w:r w:rsidR="002C40A0">
              <w:rPr>
                <w:rFonts w:ascii="Arial Black" w:hAnsi="Arial Black"/>
                <w:caps/>
                <w:sz w:val="15"/>
              </w:rPr>
              <w:t>8 DE OCTUBRE DE 2018</w:t>
            </w:r>
          </w:p>
        </w:tc>
      </w:tr>
    </w:tbl>
    <w:p w:rsidR="00A8705E" w:rsidRDefault="00A8705E" w:rsidP="008B2CC1"/>
    <w:p w:rsidR="00A8705E" w:rsidRDefault="00A8705E" w:rsidP="008B2CC1"/>
    <w:p w:rsidR="00A8705E" w:rsidRDefault="00A8705E" w:rsidP="008B2CC1"/>
    <w:p w:rsidR="00A8705E" w:rsidRDefault="00A8705E" w:rsidP="008B2CC1"/>
    <w:p w:rsidR="00A8705E" w:rsidRDefault="00A8705E" w:rsidP="008B2CC1"/>
    <w:p w:rsidR="00A8705E" w:rsidRDefault="0096247A" w:rsidP="00B67CDC">
      <w:pPr>
        <w:rPr>
          <w:b/>
          <w:sz w:val="28"/>
          <w:szCs w:val="28"/>
        </w:rPr>
      </w:pPr>
      <w:r>
        <w:rPr>
          <w:b/>
          <w:sz w:val="28"/>
          <w:szCs w:val="28"/>
        </w:rPr>
        <w:t xml:space="preserve">Comité </w:t>
      </w:r>
      <w:r w:rsidR="00EE230B">
        <w:rPr>
          <w:b/>
          <w:sz w:val="28"/>
          <w:szCs w:val="28"/>
        </w:rPr>
        <w:t>de Desarrollo y Propiedad Intelectual (CDIP)</w:t>
      </w:r>
    </w:p>
    <w:p w:rsidR="00A8705E" w:rsidRDefault="00A8705E" w:rsidP="003845C1"/>
    <w:p w:rsidR="00A8705E" w:rsidRDefault="00A8705E" w:rsidP="003845C1"/>
    <w:p w:rsidR="00A8705E" w:rsidRDefault="006F2626" w:rsidP="00CC3A13">
      <w:pPr>
        <w:rPr>
          <w:b/>
          <w:sz w:val="24"/>
          <w:szCs w:val="24"/>
        </w:rPr>
      </w:pPr>
      <w:r>
        <w:rPr>
          <w:b/>
          <w:sz w:val="24"/>
          <w:szCs w:val="24"/>
        </w:rPr>
        <w:t>Vigesimosegunda</w:t>
      </w:r>
      <w:r w:rsidR="00CC3A13">
        <w:rPr>
          <w:b/>
          <w:sz w:val="24"/>
          <w:szCs w:val="24"/>
        </w:rPr>
        <w:t xml:space="preserve"> </w:t>
      </w:r>
      <w:r w:rsidR="00CC3A13" w:rsidRPr="00603F32">
        <w:rPr>
          <w:b/>
          <w:sz w:val="24"/>
          <w:szCs w:val="24"/>
        </w:rPr>
        <w:t>sesión</w:t>
      </w:r>
    </w:p>
    <w:p w:rsidR="00A8705E" w:rsidRDefault="0066508F" w:rsidP="00CC3A13">
      <w:pPr>
        <w:rPr>
          <w:b/>
          <w:sz w:val="24"/>
          <w:szCs w:val="24"/>
        </w:rPr>
      </w:pPr>
      <w:r>
        <w:rPr>
          <w:b/>
          <w:sz w:val="24"/>
          <w:szCs w:val="24"/>
        </w:rPr>
        <w:t>Ginebra, 19</w:t>
      </w:r>
      <w:r w:rsidR="00CC3A13" w:rsidRPr="00603F32">
        <w:rPr>
          <w:b/>
          <w:sz w:val="24"/>
          <w:szCs w:val="24"/>
        </w:rPr>
        <w:t xml:space="preserve"> a </w:t>
      </w:r>
      <w:r>
        <w:rPr>
          <w:b/>
          <w:sz w:val="24"/>
          <w:szCs w:val="24"/>
        </w:rPr>
        <w:t>23</w:t>
      </w:r>
      <w:r w:rsidR="00CC3A13" w:rsidRPr="00603F32">
        <w:rPr>
          <w:b/>
          <w:sz w:val="24"/>
          <w:szCs w:val="24"/>
        </w:rPr>
        <w:t xml:space="preserve"> de </w:t>
      </w:r>
      <w:r>
        <w:rPr>
          <w:b/>
          <w:sz w:val="24"/>
          <w:szCs w:val="24"/>
        </w:rPr>
        <w:t>noviembre</w:t>
      </w:r>
      <w:r w:rsidR="00CC3A13">
        <w:rPr>
          <w:b/>
          <w:sz w:val="24"/>
          <w:szCs w:val="24"/>
        </w:rPr>
        <w:t xml:space="preserve"> de 2018</w:t>
      </w:r>
    </w:p>
    <w:p w:rsidR="00A8705E" w:rsidRDefault="00A8705E" w:rsidP="008B2CC1"/>
    <w:p w:rsidR="00A8705E" w:rsidRDefault="00A8705E" w:rsidP="008B2CC1"/>
    <w:p w:rsidR="00A8705E" w:rsidRPr="004D0143" w:rsidRDefault="00A8705E" w:rsidP="00934BED">
      <w:pPr>
        <w:tabs>
          <w:tab w:val="left" w:pos="1290"/>
        </w:tabs>
      </w:pPr>
    </w:p>
    <w:p w:rsidR="00A8705E" w:rsidRPr="00934BED" w:rsidRDefault="00934BED" w:rsidP="008B2CC1">
      <w:pPr>
        <w:rPr>
          <w:caps/>
          <w:sz w:val="24"/>
          <w:lang w:val="es-ES_tradnl"/>
        </w:rPr>
      </w:pPr>
      <w:bookmarkStart w:id="4" w:name="TitleOfDoc"/>
      <w:bookmarkEnd w:id="4"/>
      <w:r w:rsidRPr="00934BED">
        <w:rPr>
          <w:caps/>
          <w:sz w:val="24"/>
          <w:lang w:val="es-ES_tradnl"/>
        </w:rPr>
        <w:t xml:space="preserve">RESUMEN DEL ESTUDIO SOBRE LA COMPRENSIÓN DEL USO DE LOS DISEÑOS INDUSTRIALES EN LOS PAÍSES DEL ASIA SUDORIENTAL </w:t>
      </w:r>
      <w:r w:rsidR="002C40A0" w:rsidRPr="00934BED">
        <w:rPr>
          <w:bCs/>
          <w:sz w:val="24"/>
          <w:lang w:val="es-ES_tradnl"/>
        </w:rPr>
        <w:t>–</w:t>
      </w:r>
      <w:r w:rsidR="002C40A0" w:rsidRPr="00934BED">
        <w:rPr>
          <w:caps/>
          <w:sz w:val="24"/>
          <w:lang w:val="es-ES_tradnl"/>
        </w:rPr>
        <w:t xml:space="preserve"> </w:t>
      </w:r>
      <w:r w:rsidRPr="00934BED">
        <w:rPr>
          <w:caps/>
          <w:sz w:val="24"/>
          <w:lang w:val="es-ES_tradnl"/>
        </w:rPr>
        <w:t>EL CASO DE INDONESIA, FILIPINAS Y TAILANDIA</w:t>
      </w:r>
    </w:p>
    <w:p w:rsidR="00A8705E" w:rsidRPr="00934BED" w:rsidRDefault="00A8705E" w:rsidP="008B2CC1">
      <w:pPr>
        <w:rPr>
          <w:lang w:val="es-ES_tradnl"/>
        </w:rPr>
      </w:pPr>
    </w:p>
    <w:p w:rsidR="00A8705E" w:rsidRPr="00B95101" w:rsidRDefault="005D05F8" w:rsidP="005D05F8">
      <w:pPr>
        <w:rPr>
          <w:i/>
          <w:lang w:val="es-ES_tradnl"/>
        </w:rPr>
      </w:pPr>
      <w:bookmarkStart w:id="5" w:name="Prepared"/>
      <w:bookmarkEnd w:id="5"/>
      <w:r w:rsidRPr="00B95101">
        <w:rPr>
          <w:i/>
          <w:lang w:val="es-ES_tradnl"/>
        </w:rPr>
        <w:t>preparado por la Secretaría</w:t>
      </w:r>
    </w:p>
    <w:p w:rsidR="00A8705E" w:rsidRDefault="00A8705E" w:rsidP="003845C1">
      <w:pPr>
        <w:rPr>
          <w:lang w:val="es-ES_tradnl"/>
        </w:rPr>
      </w:pPr>
    </w:p>
    <w:p w:rsidR="00A8705E" w:rsidRDefault="00A8705E">
      <w:pPr>
        <w:rPr>
          <w:lang w:val="es-ES_tradnl"/>
        </w:rPr>
      </w:pPr>
    </w:p>
    <w:p w:rsidR="00A8705E" w:rsidRDefault="00A8705E">
      <w:pPr>
        <w:rPr>
          <w:lang w:val="es-ES_tradnl"/>
        </w:rPr>
      </w:pPr>
    </w:p>
    <w:p w:rsidR="00A8705E" w:rsidRDefault="00A8705E">
      <w:pPr>
        <w:rPr>
          <w:lang w:val="es-ES_tradnl"/>
        </w:rPr>
      </w:pPr>
    </w:p>
    <w:p w:rsidR="00A8705E" w:rsidRDefault="00A8705E" w:rsidP="002C40A0"/>
    <w:p w:rsidR="00A8705E" w:rsidRDefault="002C40A0" w:rsidP="00C20D41">
      <w:pPr>
        <w:rPr>
          <w:rFonts w:eastAsia="Times New Roman"/>
          <w:b/>
          <w:bCs/>
          <w:lang w:val="es-ES_tradnl"/>
        </w:rPr>
      </w:pPr>
      <w:r>
        <w:rPr>
          <w:rFonts w:eastAsia="Times New Roman"/>
        </w:rPr>
        <w:fldChar w:fldCharType="begin"/>
      </w:r>
      <w:r w:rsidRPr="0003441F">
        <w:rPr>
          <w:rFonts w:eastAsia="Times New Roman"/>
          <w:lang w:val="es-ES_tradnl"/>
        </w:rPr>
        <w:instrText xml:space="preserve"> AUTONUM  </w:instrText>
      </w:r>
      <w:r>
        <w:rPr>
          <w:rFonts w:eastAsia="Times New Roman"/>
        </w:rPr>
        <w:fldChar w:fldCharType="end"/>
      </w:r>
      <w:r w:rsidRPr="0003441F">
        <w:rPr>
          <w:rFonts w:eastAsia="Times New Roman"/>
          <w:lang w:val="es-ES_tradnl"/>
        </w:rPr>
        <w:tab/>
      </w:r>
      <w:r w:rsidR="00C20D41" w:rsidRPr="00C20D41">
        <w:rPr>
          <w:rFonts w:eastAsia="Times New Roman"/>
          <w:color w:val="000000"/>
          <w:lang w:val="es-ES_tradnl"/>
        </w:rPr>
        <w:t>En el Anexo del presente documento figura un resumen del e</w:t>
      </w:r>
      <w:r w:rsidR="0003441F">
        <w:rPr>
          <w:rFonts w:eastAsia="Times New Roman"/>
          <w:color w:val="000000"/>
          <w:lang w:val="es-ES_tradnl"/>
        </w:rPr>
        <w:t>studio sobre la comprensión del</w:t>
      </w:r>
      <w:r w:rsidR="00C20D41" w:rsidRPr="00C20D41">
        <w:rPr>
          <w:rFonts w:eastAsia="Times New Roman"/>
          <w:color w:val="000000"/>
          <w:lang w:val="es-ES_tradnl"/>
        </w:rPr>
        <w:t xml:space="preserve"> uso de l</w:t>
      </w:r>
      <w:r w:rsidR="0003441F">
        <w:rPr>
          <w:rFonts w:eastAsia="Times New Roman"/>
          <w:color w:val="000000"/>
          <w:lang w:val="es-ES_tradnl"/>
        </w:rPr>
        <w:t>os diseños industriales en los países del Asia Sudoriental</w:t>
      </w:r>
      <w:r w:rsidR="00CB09A1">
        <w:rPr>
          <w:rFonts w:eastAsia="Times New Roman"/>
          <w:color w:val="000000"/>
          <w:lang w:val="es-ES_tradnl"/>
        </w:rPr>
        <w:t xml:space="preserve"> – el caso de Indonesia, Filipinas y Tailandia</w:t>
      </w:r>
      <w:r w:rsidR="00934BED">
        <w:rPr>
          <w:rFonts w:eastAsia="Times New Roman"/>
          <w:color w:val="000000"/>
          <w:lang w:val="es-ES_tradnl"/>
        </w:rPr>
        <w:t>, realizado en el marco del P</w:t>
      </w:r>
      <w:r w:rsidR="00C20D41" w:rsidRPr="00C20D41">
        <w:rPr>
          <w:rFonts w:eastAsia="Times New Roman"/>
          <w:color w:val="000000"/>
          <w:lang w:val="es-ES_tradnl"/>
        </w:rPr>
        <w:t>royecto sobre propiedad intelectual (PI) y desarrollo socioeconómico - Fase II (documento CDIP/14/7).</w:t>
      </w:r>
    </w:p>
    <w:p w:rsidR="00A8705E" w:rsidRDefault="00A8705E" w:rsidP="002C40A0">
      <w:pPr>
        <w:rPr>
          <w:rFonts w:eastAsia="Times New Roman"/>
          <w:lang w:val="es-ES_tradnl"/>
        </w:rPr>
      </w:pPr>
    </w:p>
    <w:p w:rsidR="00A8705E" w:rsidRDefault="002C40A0" w:rsidP="00A92917">
      <w:pPr>
        <w:rPr>
          <w:lang w:val="es-ES_tradnl"/>
        </w:rPr>
      </w:pPr>
      <w:r>
        <w:rPr>
          <w:rFonts w:eastAsia="Times New Roman"/>
        </w:rPr>
        <w:fldChar w:fldCharType="begin"/>
      </w:r>
      <w:r w:rsidRPr="00334317">
        <w:rPr>
          <w:rFonts w:eastAsia="Times New Roman"/>
          <w:lang w:val="es-ES_tradnl"/>
        </w:rPr>
        <w:instrText xml:space="preserve"> AUTONUM  </w:instrText>
      </w:r>
      <w:r>
        <w:rPr>
          <w:rFonts w:eastAsia="Times New Roman"/>
        </w:rPr>
        <w:fldChar w:fldCharType="end"/>
      </w:r>
      <w:r w:rsidRPr="00334317">
        <w:rPr>
          <w:rFonts w:eastAsia="Times New Roman"/>
          <w:lang w:val="es-ES_tradnl"/>
        </w:rPr>
        <w:tab/>
      </w:r>
      <w:r w:rsidR="00A92917" w:rsidRPr="00A92917">
        <w:rPr>
          <w:rFonts w:eastAsia="Times New Roman"/>
          <w:color w:val="000000"/>
          <w:lang w:val="es-ES_tradnl"/>
        </w:rPr>
        <w:t xml:space="preserve">El estudio ha sido preparado por la Secretaría de la OMPI en colaboración con consultores </w:t>
      </w:r>
      <w:r w:rsidR="00934BED" w:rsidRPr="00A92917">
        <w:rPr>
          <w:rFonts w:eastAsia="Times New Roman"/>
          <w:color w:val="000000"/>
          <w:lang w:val="es-ES_tradnl"/>
        </w:rPr>
        <w:t xml:space="preserve">locales </w:t>
      </w:r>
      <w:r w:rsidR="00934BED">
        <w:rPr>
          <w:rFonts w:eastAsia="Times New Roman"/>
          <w:color w:val="000000"/>
          <w:lang w:val="es-ES_tradnl"/>
        </w:rPr>
        <w:t xml:space="preserve">y </w:t>
      </w:r>
      <w:r w:rsidR="00A92917" w:rsidRPr="00A92917">
        <w:rPr>
          <w:rFonts w:eastAsia="Times New Roman"/>
          <w:color w:val="000000"/>
          <w:lang w:val="es-ES_tradnl"/>
        </w:rPr>
        <w:t xml:space="preserve">expertos </w:t>
      </w:r>
      <w:r w:rsidR="00934BED">
        <w:rPr>
          <w:rFonts w:eastAsia="Times New Roman"/>
          <w:color w:val="000000"/>
          <w:lang w:val="es-ES_tradnl"/>
        </w:rPr>
        <w:t>de estos tres</w:t>
      </w:r>
      <w:r w:rsidR="00A92917" w:rsidRPr="00A92917">
        <w:rPr>
          <w:rFonts w:eastAsia="Times New Roman"/>
          <w:color w:val="000000"/>
          <w:lang w:val="es-ES_tradnl"/>
        </w:rPr>
        <w:t xml:space="preserve"> países</w:t>
      </w:r>
      <w:r w:rsidR="004D5F4B">
        <w:rPr>
          <w:rFonts w:eastAsia="Times New Roman"/>
          <w:color w:val="000000"/>
          <w:lang w:val="es-ES_tradnl"/>
        </w:rPr>
        <w:t>, a saber</w:t>
      </w:r>
      <w:r w:rsidR="00A92917" w:rsidRPr="00A92917">
        <w:rPr>
          <w:rFonts w:eastAsia="Times New Roman"/>
          <w:color w:val="000000"/>
          <w:lang w:val="es-ES_tradnl"/>
        </w:rPr>
        <w:t xml:space="preserve">: Dr. Yose Rizal Daimuri, Dandy Rafitrandi </w:t>
      </w:r>
      <w:r w:rsidR="00934BED">
        <w:rPr>
          <w:rFonts w:eastAsia="Times New Roman"/>
          <w:color w:val="000000"/>
          <w:lang w:val="es-ES_tradnl"/>
        </w:rPr>
        <w:t>e</w:t>
      </w:r>
      <w:r w:rsidR="00255C6C">
        <w:rPr>
          <w:rFonts w:eastAsia="Times New Roman"/>
          <w:color w:val="000000"/>
          <w:lang w:val="es-ES_tradnl"/>
        </w:rPr>
        <w:t xml:space="preserve"> Ilma </w:t>
      </w:r>
      <w:r w:rsidR="00255C6C" w:rsidRPr="003D6F27">
        <w:rPr>
          <w:rFonts w:eastAsia="Times New Roman"/>
          <w:color w:val="000000"/>
          <w:lang w:val="es-ES_tradnl"/>
        </w:rPr>
        <w:t>Fadhil</w:t>
      </w:r>
      <w:r w:rsidR="00A92917" w:rsidRPr="00A92917">
        <w:rPr>
          <w:rFonts w:eastAsia="Times New Roman"/>
          <w:color w:val="000000"/>
          <w:lang w:val="es-ES_tradnl"/>
        </w:rPr>
        <w:t xml:space="preserve"> del Centro de Estudios Internacionales Estratégicos </w:t>
      </w:r>
      <w:r w:rsidR="004D5F4B">
        <w:rPr>
          <w:rFonts w:eastAsia="Times New Roman"/>
          <w:color w:val="000000"/>
          <w:lang w:val="es-ES_tradnl"/>
        </w:rPr>
        <w:t>de Indonesia</w:t>
      </w:r>
      <w:r w:rsidR="00E16BA3">
        <w:rPr>
          <w:rFonts w:eastAsia="Times New Roman"/>
          <w:color w:val="000000"/>
          <w:lang w:val="es-ES_tradnl"/>
        </w:rPr>
        <w:t>; Dr. </w:t>
      </w:r>
      <w:r w:rsidR="00A92917" w:rsidRPr="00A92917">
        <w:rPr>
          <w:rFonts w:eastAsia="Times New Roman"/>
          <w:color w:val="000000"/>
          <w:lang w:val="es-ES_tradnl"/>
        </w:rPr>
        <w:t>George Manzano, Mary Grace Agner y Nikka Pesa de la Universidad de Asia y el Pacífico (UA&amp;P) de Filipinas; y Dr. Deunden Nikomborirak y Weerawan Paibunjitt-aree del Instituto de Investigaciones del Desarrollo de Tailandia (TDRI).</w:t>
      </w:r>
      <w:r w:rsidR="00D54C8A">
        <w:rPr>
          <w:rFonts w:eastAsia="Times New Roman"/>
          <w:lang w:val="es-ES_tradnl"/>
        </w:rPr>
        <w:t xml:space="preserve"> </w:t>
      </w:r>
      <w:r w:rsidR="00A92917" w:rsidRPr="00A92917">
        <w:rPr>
          <w:rFonts w:eastAsia="Times New Roman"/>
          <w:color w:val="000000"/>
          <w:lang w:val="es-ES_tradnl"/>
        </w:rPr>
        <w:t>Ha sido revisado por la profesora Myriam Mariani de la Universidad Bocconi de Milán (Italia).</w:t>
      </w:r>
      <w:r w:rsidR="00D54C8A">
        <w:rPr>
          <w:rFonts w:eastAsia="Times New Roman"/>
          <w:lang w:val="es-ES_tradnl"/>
        </w:rPr>
        <w:t xml:space="preserve"> </w:t>
      </w:r>
    </w:p>
    <w:p w:rsidR="00A8705E" w:rsidRPr="00B95101" w:rsidRDefault="00A8705E" w:rsidP="002C40A0">
      <w:pPr>
        <w:rPr>
          <w:rFonts w:eastAsia="Times New Roman"/>
          <w:lang w:val="es-ES_tradnl"/>
        </w:rPr>
      </w:pPr>
    </w:p>
    <w:p w:rsidR="00A8705E" w:rsidRPr="00B95101" w:rsidRDefault="00A92917" w:rsidP="00A92917">
      <w:pPr>
        <w:tabs>
          <w:tab w:val="left" w:pos="567"/>
        </w:tabs>
        <w:ind w:left="5533"/>
        <w:rPr>
          <w:i/>
          <w:lang w:val="es-ES_tradnl"/>
        </w:rPr>
      </w:pPr>
      <w:r w:rsidRPr="00B95101">
        <w:rPr>
          <w:i/>
          <w:lang w:val="es-ES_tradnl"/>
        </w:rPr>
        <w:t>3.</w:t>
      </w:r>
      <w:r w:rsidRPr="00B95101">
        <w:rPr>
          <w:lang w:val="es-ES_tradnl"/>
        </w:rPr>
        <w:tab/>
      </w:r>
      <w:r w:rsidRPr="00B95101">
        <w:rPr>
          <w:i/>
          <w:lang w:val="es-ES_tradnl"/>
        </w:rPr>
        <w:t>Se invita al CDIP a tomar nota de la información que figura en el Anexo del presente documento.</w:t>
      </w:r>
    </w:p>
    <w:p w:rsidR="00A8705E" w:rsidRPr="00B95101" w:rsidRDefault="00A8705E" w:rsidP="002C40A0">
      <w:pPr>
        <w:ind w:left="5534"/>
        <w:rPr>
          <w:lang w:val="es-ES_tradnl"/>
        </w:rPr>
      </w:pPr>
    </w:p>
    <w:p w:rsidR="00A8705E" w:rsidRPr="00B95101" w:rsidRDefault="00A8705E" w:rsidP="002C40A0">
      <w:pPr>
        <w:ind w:left="5534"/>
        <w:rPr>
          <w:lang w:val="es-ES_tradnl"/>
        </w:rPr>
      </w:pPr>
    </w:p>
    <w:p w:rsidR="00A8705E" w:rsidRPr="00B95101" w:rsidRDefault="00A8705E" w:rsidP="002C40A0">
      <w:pPr>
        <w:ind w:left="5534"/>
        <w:rPr>
          <w:lang w:val="es-ES_tradnl"/>
        </w:rPr>
      </w:pPr>
    </w:p>
    <w:p w:rsidR="00A8705E" w:rsidRPr="00B95101" w:rsidRDefault="00A92917" w:rsidP="00A92917">
      <w:pPr>
        <w:pStyle w:val="Endofdocument-Annex"/>
        <w:rPr>
          <w:lang w:val="es-ES_tradnl"/>
        </w:rPr>
      </w:pPr>
      <w:r w:rsidRPr="00B95101">
        <w:rPr>
          <w:lang w:val="es-ES_tradnl"/>
        </w:rPr>
        <w:t>[Sigue el Anexo]</w:t>
      </w:r>
    </w:p>
    <w:p w:rsidR="002C40A0" w:rsidRPr="00334317" w:rsidRDefault="002C40A0" w:rsidP="002C40A0">
      <w:pPr>
        <w:rPr>
          <w:lang w:val="es-ES_tradnl"/>
        </w:rPr>
        <w:sectPr w:rsidR="002C40A0" w:rsidRPr="00334317" w:rsidSect="00EB425A">
          <w:headerReference w:type="default" r:id="rId8"/>
          <w:footerReference w:type="default" r:id="rId9"/>
          <w:pgSz w:w="11907" w:h="16839" w:code="9"/>
          <w:pgMar w:top="567" w:right="1134" w:bottom="1418" w:left="1418" w:header="0" w:footer="720" w:gutter="0"/>
          <w:pgNumType w:start="1"/>
          <w:cols w:space="720"/>
          <w:titlePg/>
          <w:docGrid w:linePitch="299"/>
        </w:sectPr>
      </w:pPr>
    </w:p>
    <w:p w:rsidR="00A8705E" w:rsidRDefault="00934BED" w:rsidP="00A92917">
      <w:pPr>
        <w:rPr>
          <w:b/>
          <w:bCs/>
          <w:lang w:val="es-ES_tradnl"/>
        </w:rPr>
      </w:pPr>
      <w:r>
        <w:rPr>
          <w:b/>
          <w:bCs/>
          <w:color w:val="000000"/>
          <w:lang w:val="es-ES_tradnl"/>
        </w:rPr>
        <w:lastRenderedPageBreak/>
        <w:t>Compren</w:t>
      </w:r>
      <w:r w:rsidR="005A0F17">
        <w:rPr>
          <w:b/>
          <w:bCs/>
          <w:color w:val="000000"/>
          <w:lang w:val="es-ES_tradnl"/>
        </w:rPr>
        <w:t>der</w:t>
      </w:r>
      <w:r w:rsidR="00A92917" w:rsidRPr="00A92917">
        <w:rPr>
          <w:b/>
          <w:bCs/>
          <w:color w:val="000000"/>
          <w:lang w:val="es-ES_tradnl"/>
        </w:rPr>
        <w:t xml:space="preserve"> el uso de los diseños industriales en los países del Asia Sudoriental – el caso de Indonesia, Filipinas y Tailandia</w:t>
      </w:r>
    </w:p>
    <w:p w:rsidR="00A8705E" w:rsidRDefault="00A8705E" w:rsidP="002C40A0">
      <w:pPr>
        <w:rPr>
          <w:lang w:val="es-ES_tradnl"/>
        </w:rPr>
      </w:pPr>
    </w:p>
    <w:p w:rsidR="00A8705E" w:rsidRDefault="00A308BE" w:rsidP="00F65C12">
      <w:pPr>
        <w:rPr>
          <w:lang w:val="es-ES_tradnl"/>
        </w:rPr>
      </w:pPr>
      <w:r w:rsidRPr="00A308BE">
        <w:rPr>
          <w:color w:val="000000"/>
          <w:lang w:val="es-ES_tradnl"/>
        </w:rPr>
        <w:t xml:space="preserve">Existen pocas investigaciones sobre la manera en que la protección de los diseños industriales </w:t>
      </w:r>
      <w:r w:rsidR="00B95101">
        <w:rPr>
          <w:color w:val="000000"/>
          <w:lang w:val="es-ES_tradnl"/>
        </w:rPr>
        <w:t>contribuye a</w:t>
      </w:r>
      <w:r w:rsidRPr="00A308BE">
        <w:rPr>
          <w:color w:val="000000"/>
          <w:lang w:val="es-ES_tradnl"/>
        </w:rPr>
        <w:t xml:space="preserve"> la innovación en</w:t>
      </w:r>
      <w:r w:rsidR="00F75254">
        <w:rPr>
          <w:color w:val="000000"/>
          <w:lang w:val="es-ES_tradnl"/>
        </w:rPr>
        <w:t xml:space="preserve"> el ámbito de los</w:t>
      </w:r>
      <w:r w:rsidRPr="00A308BE">
        <w:rPr>
          <w:color w:val="000000"/>
          <w:lang w:val="es-ES_tradnl"/>
        </w:rPr>
        <w:t xml:space="preserve"> diseños, el crecimiento empresarial y el desarrollo económico</w:t>
      </w:r>
      <w:r w:rsidR="00F75254">
        <w:rPr>
          <w:color w:val="000000"/>
          <w:lang w:val="es-ES_tradnl"/>
        </w:rPr>
        <w:t xml:space="preserve"> general</w:t>
      </w:r>
      <w:r w:rsidRPr="00A308BE">
        <w:rPr>
          <w:color w:val="000000"/>
          <w:lang w:val="es-ES_tradnl"/>
        </w:rPr>
        <w:t>.</w:t>
      </w:r>
      <w:r w:rsidR="00D54C8A">
        <w:rPr>
          <w:lang w:val="es-ES_tradnl"/>
        </w:rPr>
        <w:t xml:space="preserve"> </w:t>
      </w:r>
      <w:r w:rsidR="00DD4BDF" w:rsidRPr="00DD4BDF">
        <w:rPr>
          <w:color w:val="000000"/>
          <w:lang w:val="es-ES_tradnl"/>
        </w:rPr>
        <w:t xml:space="preserve">Las estadísticas de la OMPI indican que los países de ingresos altos y China </w:t>
      </w:r>
      <w:r w:rsidR="00F75254">
        <w:rPr>
          <w:color w:val="000000"/>
          <w:lang w:val="es-ES_tradnl"/>
        </w:rPr>
        <w:t>son los autores de</w:t>
      </w:r>
      <w:r w:rsidR="00DD4BDF" w:rsidRPr="00DD4BDF">
        <w:rPr>
          <w:color w:val="000000"/>
          <w:lang w:val="es-ES_tradnl"/>
        </w:rPr>
        <w:t xml:space="preserve"> la gran mayoría de solicitudes de </w:t>
      </w:r>
      <w:r w:rsidR="00CB350B">
        <w:rPr>
          <w:color w:val="000000"/>
          <w:lang w:val="es-ES_tradnl"/>
        </w:rPr>
        <w:t xml:space="preserve">registro de </w:t>
      </w:r>
      <w:r w:rsidR="00DD4BDF" w:rsidRPr="00DD4BDF">
        <w:rPr>
          <w:color w:val="000000"/>
          <w:lang w:val="es-ES_tradnl"/>
        </w:rPr>
        <w:t>diseños industriales presentadas en todo el mundo.</w:t>
      </w:r>
      <w:r w:rsidR="00DD4BDF">
        <w:rPr>
          <w:rStyle w:val="FootnoteReference"/>
          <w:lang w:val="en-US"/>
        </w:rPr>
        <w:footnoteReference w:id="2"/>
      </w:r>
      <w:r w:rsidR="00D54C8A">
        <w:rPr>
          <w:lang w:val="es-ES_tradnl"/>
        </w:rPr>
        <w:t xml:space="preserve"> </w:t>
      </w:r>
      <w:r w:rsidR="00DD4BDF" w:rsidRPr="00DD4BDF">
        <w:rPr>
          <w:color w:val="000000"/>
          <w:lang w:val="es-ES_tradnl"/>
        </w:rPr>
        <w:t>Distintos estudios han mostrado que los diseños industria</w:t>
      </w:r>
      <w:r w:rsidR="009E0B80">
        <w:rPr>
          <w:color w:val="000000"/>
          <w:lang w:val="es-ES_tradnl"/>
        </w:rPr>
        <w:t xml:space="preserve">les a menudo complementan otros tipos </w:t>
      </w:r>
      <w:r w:rsidR="00DD4BDF" w:rsidRPr="00DD4BDF">
        <w:rPr>
          <w:color w:val="000000"/>
          <w:lang w:val="es-ES_tradnl"/>
        </w:rPr>
        <w:t xml:space="preserve">de derechos de PI para </w:t>
      </w:r>
      <w:r w:rsidR="009E0B80">
        <w:rPr>
          <w:color w:val="000000"/>
          <w:lang w:val="es-ES_tradnl"/>
        </w:rPr>
        <w:t>favorecer</w:t>
      </w:r>
      <w:r w:rsidR="00DD4BDF" w:rsidRPr="00DD4BDF">
        <w:rPr>
          <w:color w:val="000000"/>
          <w:lang w:val="es-ES_tradnl"/>
        </w:rPr>
        <w:t xml:space="preserve"> la comercialización de productos </w:t>
      </w:r>
      <w:r w:rsidR="009E0B80" w:rsidRPr="00DD4BDF">
        <w:rPr>
          <w:color w:val="000000"/>
          <w:lang w:val="es-ES_tradnl"/>
        </w:rPr>
        <w:t xml:space="preserve">nuevos </w:t>
      </w:r>
      <w:r w:rsidR="00DD4BDF" w:rsidRPr="00DD4BDF">
        <w:rPr>
          <w:color w:val="000000"/>
          <w:lang w:val="es-ES_tradnl"/>
        </w:rPr>
        <w:t>que contienen innovaciones tecnológicas.</w:t>
      </w:r>
      <w:r w:rsidR="00D54C8A">
        <w:rPr>
          <w:lang w:val="es-ES_tradnl"/>
        </w:rPr>
        <w:t xml:space="preserve"> </w:t>
      </w:r>
      <w:r w:rsidR="00F65C12" w:rsidRPr="00F65C12">
        <w:rPr>
          <w:color w:val="000000"/>
          <w:lang w:val="es-ES_tradnl"/>
        </w:rPr>
        <w:t xml:space="preserve">Además, en ciertas industrias de bienes de consumo de menor nivel tecnológico, </w:t>
      </w:r>
      <w:r w:rsidR="009E0B80">
        <w:rPr>
          <w:color w:val="000000"/>
          <w:lang w:val="es-ES_tradnl"/>
        </w:rPr>
        <w:t>un</w:t>
      </w:r>
      <w:r w:rsidR="00F65C12" w:rsidRPr="00F65C12">
        <w:rPr>
          <w:color w:val="000000"/>
          <w:lang w:val="es-ES_tradnl"/>
        </w:rPr>
        <w:t xml:space="preserve"> diseño </w:t>
      </w:r>
      <w:r w:rsidR="009E0B80">
        <w:rPr>
          <w:color w:val="000000"/>
          <w:lang w:val="es-ES_tradnl"/>
        </w:rPr>
        <w:t xml:space="preserve">atractivo puede ser un factor </w:t>
      </w:r>
      <w:r w:rsidR="004D5F4B">
        <w:rPr>
          <w:color w:val="000000"/>
          <w:lang w:val="es-ES_tradnl"/>
        </w:rPr>
        <w:t>determinante</w:t>
      </w:r>
      <w:r w:rsidR="009E0B80">
        <w:rPr>
          <w:color w:val="000000"/>
          <w:lang w:val="es-ES_tradnl"/>
        </w:rPr>
        <w:t xml:space="preserve"> que permite a las empresas ofrecer a los consumidores una experiencia </w:t>
      </w:r>
      <w:r w:rsidR="00F65C12" w:rsidRPr="00F65C12">
        <w:rPr>
          <w:color w:val="000000"/>
          <w:lang w:val="es-ES_tradnl"/>
        </w:rPr>
        <w:t xml:space="preserve">diferente y </w:t>
      </w:r>
      <w:r w:rsidR="009E0B80">
        <w:rPr>
          <w:color w:val="000000"/>
          <w:lang w:val="es-ES_tradnl"/>
        </w:rPr>
        <w:t>aventajarse así a</w:t>
      </w:r>
      <w:r w:rsidR="00F65C12" w:rsidRPr="00F65C12">
        <w:rPr>
          <w:color w:val="000000"/>
          <w:lang w:val="es-ES_tradnl"/>
        </w:rPr>
        <w:t xml:space="preserve"> los competidores.</w:t>
      </w:r>
      <w:r w:rsidR="00F65C12">
        <w:rPr>
          <w:rStyle w:val="FootnoteReference"/>
          <w:lang w:val="en-US"/>
        </w:rPr>
        <w:footnoteReference w:id="3"/>
      </w:r>
    </w:p>
    <w:p w:rsidR="00A8705E" w:rsidRDefault="00A8705E" w:rsidP="002C40A0">
      <w:pPr>
        <w:rPr>
          <w:lang w:val="es-ES_tradnl"/>
        </w:rPr>
      </w:pPr>
    </w:p>
    <w:p w:rsidR="00A8705E" w:rsidRDefault="00CB350B" w:rsidP="00DA75BC">
      <w:pPr>
        <w:rPr>
          <w:lang w:val="es-ES_tradnl"/>
        </w:rPr>
      </w:pPr>
      <w:r w:rsidRPr="00CB350B">
        <w:rPr>
          <w:color w:val="000000"/>
          <w:lang w:val="es-ES_tradnl"/>
        </w:rPr>
        <w:t>En las ec</w:t>
      </w:r>
      <w:r w:rsidR="009E0B80">
        <w:rPr>
          <w:color w:val="000000"/>
          <w:lang w:val="es-ES_tradnl"/>
        </w:rPr>
        <w:t>onomías de ingresos bajos y algunas</w:t>
      </w:r>
      <w:r w:rsidR="009C4084">
        <w:rPr>
          <w:color w:val="000000"/>
          <w:lang w:val="es-ES_tradnl"/>
        </w:rPr>
        <w:t xml:space="preserve"> de ingresos medios, se suelen presentar pocas</w:t>
      </w:r>
      <w:r w:rsidRPr="00CB350B">
        <w:rPr>
          <w:color w:val="000000"/>
          <w:lang w:val="es-ES_tradnl"/>
        </w:rPr>
        <w:t xml:space="preserve"> solicitudes de </w:t>
      </w:r>
      <w:r w:rsidR="00DA75BC">
        <w:rPr>
          <w:color w:val="000000"/>
          <w:lang w:val="es-ES_tradnl"/>
        </w:rPr>
        <w:t xml:space="preserve">registro de </w:t>
      </w:r>
      <w:r w:rsidRPr="00CB350B">
        <w:rPr>
          <w:color w:val="000000"/>
          <w:lang w:val="es-ES_tradnl"/>
        </w:rPr>
        <w:t>diseños industriales; a veces son los n</w:t>
      </w:r>
      <w:r w:rsidR="009C4084">
        <w:rPr>
          <w:color w:val="000000"/>
          <w:lang w:val="es-ES_tradnl"/>
        </w:rPr>
        <w:t>o residentes quienes lideran la presentación de</w:t>
      </w:r>
      <w:r w:rsidRPr="00CB350B">
        <w:rPr>
          <w:color w:val="000000"/>
          <w:lang w:val="es-ES_tradnl"/>
        </w:rPr>
        <w:t xml:space="preserve"> solicitudes nacionales</w:t>
      </w:r>
      <w:r w:rsidRPr="009C4084">
        <w:rPr>
          <w:lang w:val="es-ES_tradnl"/>
        </w:rPr>
        <w:t>.</w:t>
      </w:r>
      <w:r w:rsidR="00D54C8A" w:rsidRPr="009C4084">
        <w:rPr>
          <w:lang w:val="es-ES_tradnl"/>
        </w:rPr>
        <w:t xml:space="preserve"> </w:t>
      </w:r>
      <w:r w:rsidR="009C4084">
        <w:rPr>
          <w:lang w:val="es-ES_tradnl"/>
        </w:rPr>
        <w:t>Con todo</w:t>
      </w:r>
      <w:r w:rsidRPr="009C4084">
        <w:rPr>
          <w:lang w:val="es-ES_tradnl"/>
        </w:rPr>
        <w:t>, hay excepciones.</w:t>
      </w:r>
      <w:r w:rsidR="00D54C8A" w:rsidRPr="009C4084">
        <w:rPr>
          <w:lang w:val="es-ES_tradnl"/>
        </w:rPr>
        <w:t xml:space="preserve"> </w:t>
      </w:r>
      <w:r w:rsidRPr="00CB350B">
        <w:rPr>
          <w:color w:val="000000"/>
          <w:lang w:val="es-ES_tradnl"/>
        </w:rPr>
        <w:t xml:space="preserve">Algunos países de ingresos medianos del Asia Sudoriental, en particular </w:t>
      </w:r>
      <w:r w:rsidRPr="000B79AA">
        <w:rPr>
          <w:color w:val="000000"/>
          <w:lang w:val="es-ES_tradnl"/>
        </w:rPr>
        <w:t>Filipinas, Indonesia, Tailandia y Viet Nam</w:t>
      </w:r>
      <w:r w:rsidRPr="00CB350B">
        <w:rPr>
          <w:color w:val="000000"/>
          <w:lang w:val="es-ES_tradnl"/>
        </w:rPr>
        <w:t>, registran u</w:t>
      </w:r>
      <w:r w:rsidR="009232C7">
        <w:rPr>
          <w:color w:val="000000"/>
          <w:lang w:val="es-ES_tradnl"/>
        </w:rPr>
        <w:t>n uso intensi</w:t>
      </w:r>
      <w:r w:rsidR="006A509E">
        <w:rPr>
          <w:color w:val="000000"/>
          <w:lang w:val="es-ES_tradnl"/>
        </w:rPr>
        <w:t xml:space="preserve">vo del sistema, ya que en ellos se presentan </w:t>
      </w:r>
      <w:r w:rsidRPr="00CB350B">
        <w:rPr>
          <w:color w:val="000000"/>
          <w:lang w:val="es-ES_tradnl"/>
        </w:rPr>
        <w:t>miles de solicitudes de diseños industriales</w:t>
      </w:r>
      <w:r w:rsidR="006A509E">
        <w:rPr>
          <w:color w:val="000000"/>
          <w:lang w:val="es-ES_tradnl"/>
        </w:rPr>
        <w:t xml:space="preserve"> </w:t>
      </w:r>
      <w:r w:rsidRPr="00CB350B">
        <w:rPr>
          <w:color w:val="000000"/>
          <w:lang w:val="es-ES_tradnl"/>
        </w:rPr>
        <w:t>cada año.</w:t>
      </w:r>
      <w:r w:rsidR="00D54C8A">
        <w:rPr>
          <w:lang w:val="es-ES_tradnl"/>
        </w:rPr>
        <w:t xml:space="preserve"> </w:t>
      </w:r>
      <w:r w:rsidR="00DA75BC" w:rsidRPr="00DA75BC">
        <w:rPr>
          <w:color w:val="000000"/>
          <w:lang w:val="es-ES_tradnl"/>
        </w:rPr>
        <w:t>Además, en esos países</w:t>
      </w:r>
      <w:r w:rsidR="006A509E">
        <w:rPr>
          <w:color w:val="000000"/>
          <w:lang w:val="es-ES_tradnl"/>
        </w:rPr>
        <w:t xml:space="preserve"> son</w:t>
      </w:r>
      <w:r w:rsidR="00DA75BC" w:rsidRPr="00DA75BC">
        <w:rPr>
          <w:color w:val="000000"/>
          <w:lang w:val="es-ES_tradnl"/>
        </w:rPr>
        <w:t xml:space="preserve"> los usuarios locales </w:t>
      </w:r>
      <w:r w:rsidR="006A509E">
        <w:rPr>
          <w:color w:val="000000"/>
          <w:lang w:val="es-ES_tradnl"/>
        </w:rPr>
        <w:t xml:space="preserve">quienes </w:t>
      </w:r>
      <w:r w:rsidR="00DA75BC" w:rsidRPr="00DA75BC">
        <w:rPr>
          <w:color w:val="000000"/>
          <w:lang w:val="es-ES_tradnl"/>
        </w:rPr>
        <w:t xml:space="preserve">presentan la mayoría de las solicitudes, </w:t>
      </w:r>
      <w:r w:rsidR="006A509E">
        <w:rPr>
          <w:color w:val="000000"/>
          <w:lang w:val="es-ES_tradnl"/>
        </w:rPr>
        <w:t>a diferencia de lo que ocurre en el ámbito de</w:t>
      </w:r>
      <w:r w:rsidR="00DA75BC" w:rsidRPr="00DA75BC">
        <w:rPr>
          <w:color w:val="000000"/>
          <w:lang w:val="es-ES_tradnl"/>
        </w:rPr>
        <w:t xml:space="preserve"> las patentes, en el que los no residentes constituyen el principal grupo de usuarios.</w:t>
      </w:r>
    </w:p>
    <w:p w:rsidR="00A8705E" w:rsidRDefault="00A8705E" w:rsidP="002C40A0">
      <w:pPr>
        <w:rPr>
          <w:lang w:val="es-ES_tradnl"/>
        </w:rPr>
      </w:pPr>
    </w:p>
    <w:p w:rsidR="00A8705E" w:rsidRDefault="00DA75BC" w:rsidP="00DA75BC">
      <w:pPr>
        <w:rPr>
          <w:lang w:val="es-ES_tradnl"/>
        </w:rPr>
      </w:pPr>
      <w:r w:rsidRPr="00DA75BC">
        <w:rPr>
          <w:color w:val="000000"/>
          <w:lang w:val="es-ES_tradnl"/>
        </w:rPr>
        <w:t xml:space="preserve">Para </w:t>
      </w:r>
      <w:r w:rsidR="006A509E">
        <w:rPr>
          <w:color w:val="000000"/>
          <w:lang w:val="es-ES_tradnl"/>
        </w:rPr>
        <w:t>entender</w:t>
      </w:r>
      <w:r w:rsidRPr="00DA75BC">
        <w:rPr>
          <w:color w:val="000000"/>
          <w:lang w:val="es-ES_tradnl"/>
        </w:rPr>
        <w:t xml:space="preserve"> mejor la contribución de la protección de los diseños industriales en el contexto de los países de </w:t>
      </w:r>
      <w:r w:rsidRPr="000B79AA">
        <w:rPr>
          <w:lang w:val="es-ES_tradnl"/>
        </w:rPr>
        <w:t xml:space="preserve">ingresos medianos, la División de Economía y Estadística de la </w:t>
      </w:r>
      <w:r w:rsidRPr="00DA75BC">
        <w:rPr>
          <w:color w:val="000000"/>
          <w:lang w:val="es-ES_tradnl"/>
        </w:rPr>
        <w:t>OMPI inició un estudio regional en el que participa</w:t>
      </w:r>
      <w:r w:rsidR="000B79AA">
        <w:rPr>
          <w:color w:val="000000"/>
          <w:lang w:val="es-ES_tradnl"/>
        </w:rPr>
        <w:t>ro</w:t>
      </w:r>
      <w:r w:rsidRPr="00DA75BC">
        <w:rPr>
          <w:color w:val="000000"/>
          <w:lang w:val="es-ES_tradnl"/>
        </w:rPr>
        <w:t>n tres países del Asia Sudoriental, a saber</w:t>
      </w:r>
      <w:r w:rsidR="000B79AA">
        <w:rPr>
          <w:color w:val="000000"/>
          <w:lang w:val="es-ES_tradnl"/>
        </w:rPr>
        <w:t>,</w:t>
      </w:r>
      <w:r w:rsidR="000B79AA" w:rsidRPr="000B79AA">
        <w:rPr>
          <w:color w:val="000000"/>
          <w:lang w:val="es-ES_tradnl"/>
        </w:rPr>
        <w:t xml:space="preserve"> </w:t>
      </w:r>
      <w:r w:rsidR="004D5F4B">
        <w:rPr>
          <w:color w:val="000000"/>
          <w:lang w:val="es-ES_tradnl"/>
        </w:rPr>
        <w:t>Filipinas,</w:t>
      </w:r>
      <w:r w:rsidR="004D5F4B" w:rsidRPr="00DA75BC">
        <w:rPr>
          <w:color w:val="000000"/>
          <w:lang w:val="es-ES_tradnl"/>
        </w:rPr>
        <w:t xml:space="preserve"> </w:t>
      </w:r>
      <w:r w:rsidR="000B79AA" w:rsidRPr="00DA75BC">
        <w:rPr>
          <w:color w:val="000000"/>
          <w:lang w:val="es-ES_tradnl"/>
        </w:rPr>
        <w:t>Indonesia</w:t>
      </w:r>
      <w:r w:rsidR="000B79AA">
        <w:rPr>
          <w:color w:val="000000"/>
          <w:lang w:val="es-ES_tradnl"/>
        </w:rPr>
        <w:t xml:space="preserve"> </w:t>
      </w:r>
      <w:r w:rsidRPr="00DA75BC">
        <w:rPr>
          <w:color w:val="000000"/>
          <w:lang w:val="es-ES_tradnl"/>
        </w:rPr>
        <w:t>y Tailandia.</w:t>
      </w:r>
      <w:r>
        <w:rPr>
          <w:rStyle w:val="FootnoteReference"/>
          <w:lang w:val="en-US"/>
        </w:rPr>
        <w:footnoteReference w:id="4"/>
      </w:r>
      <w:r w:rsidR="00D54C8A">
        <w:rPr>
          <w:lang w:val="es-ES_tradnl"/>
        </w:rPr>
        <w:t xml:space="preserve"> </w:t>
      </w:r>
      <w:r w:rsidRPr="00DA75BC">
        <w:rPr>
          <w:color w:val="000000"/>
          <w:lang w:val="es-ES_tradnl"/>
        </w:rPr>
        <w:t xml:space="preserve">En esencia, el estudio </w:t>
      </w:r>
      <w:r w:rsidR="000B79AA">
        <w:rPr>
          <w:color w:val="000000"/>
          <w:lang w:val="es-ES_tradnl"/>
        </w:rPr>
        <w:t>tiene</w:t>
      </w:r>
      <w:r w:rsidRPr="00DA75BC">
        <w:rPr>
          <w:color w:val="000000"/>
          <w:lang w:val="es-ES_tradnl"/>
        </w:rPr>
        <w:t xml:space="preserve"> como objetivo recopilar datos primarios sobre el uso de la PI</w:t>
      </w:r>
      <w:r w:rsidR="004D5F4B">
        <w:rPr>
          <w:color w:val="000000"/>
          <w:lang w:val="es-ES_tradnl"/>
        </w:rPr>
        <w:t xml:space="preserve"> en países de ingresos medianos</w:t>
      </w:r>
      <w:r w:rsidRPr="00DA75BC">
        <w:rPr>
          <w:color w:val="000000"/>
          <w:lang w:val="es-ES_tradnl"/>
        </w:rPr>
        <w:t xml:space="preserve"> mediante la realización de encuestas a los usuarios de diseños industriales locales de estos tres países.</w:t>
      </w:r>
      <w:r w:rsidR="002C40A0" w:rsidRPr="00334317">
        <w:rPr>
          <w:lang w:val="es-ES_tradnl"/>
        </w:rPr>
        <w:t xml:space="preserve"> </w:t>
      </w:r>
    </w:p>
    <w:p w:rsidR="00A8705E" w:rsidRDefault="00A8705E" w:rsidP="002C40A0">
      <w:pPr>
        <w:rPr>
          <w:lang w:val="es-ES_tradnl"/>
        </w:rPr>
      </w:pPr>
    </w:p>
    <w:p w:rsidR="00A8705E" w:rsidRDefault="00305102" w:rsidP="00305102">
      <w:pPr>
        <w:rPr>
          <w:lang w:val="es-ES_tradnl"/>
        </w:rPr>
      </w:pPr>
      <w:r w:rsidRPr="00305102">
        <w:rPr>
          <w:color w:val="000000"/>
          <w:lang w:val="es-ES_tradnl"/>
        </w:rPr>
        <w:t>Cabe mencionar que Tailandia ya participó en la primera fase del proyecto global del CDIP sobre PI y desarrollo socioeconómico.</w:t>
      </w:r>
      <w:r>
        <w:rPr>
          <w:rStyle w:val="FootnoteReference"/>
          <w:lang w:val="en-US"/>
        </w:rPr>
        <w:footnoteReference w:id="5"/>
      </w:r>
      <w:r w:rsidR="00D54C8A">
        <w:rPr>
          <w:lang w:val="es-ES_tradnl"/>
        </w:rPr>
        <w:t xml:space="preserve"> </w:t>
      </w:r>
      <w:r w:rsidRPr="00305102">
        <w:rPr>
          <w:color w:val="000000"/>
          <w:lang w:val="es-ES_tradnl"/>
        </w:rPr>
        <w:t xml:space="preserve">Para Indonesia y Filipinas, esta es la primera </w:t>
      </w:r>
      <w:r w:rsidR="004D5F4B">
        <w:rPr>
          <w:color w:val="000000"/>
          <w:lang w:val="es-ES_tradnl"/>
        </w:rPr>
        <w:t xml:space="preserve">vez que </w:t>
      </w:r>
      <w:r w:rsidRPr="00305102">
        <w:rPr>
          <w:color w:val="000000"/>
          <w:lang w:val="es-ES_tradnl"/>
        </w:rPr>
        <w:t>participa</w:t>
      </w:r>
      <w:r w:rsidR="004D5F4B">
        <w:rPr>
          <w:color w:val="000000"/>
          <w:lang w:val="es-ES_tradnl"/>
        </w:rPr>
        <w:t>n</w:t>
      </w:r>
      <w:r w:rsidRPr="00305102">
        <w:rPr>
          <w:color w:val="000000"/>
          <w:lang w:val="es-ES_tradnl"/>
        </w:rPr>
        <w:t xml:space="preserve"> en el proyecto.</w:t>
      </w:r>
    </w:p>
    <w:p w:rsidR="00A8705E" w:rsidRDefault="00A8705E" w:rsidP="002C40A0">
      <w:pPr>
        <w:rPr>
          <w:lang w:val="es-ES_tradnl"/>
        </w:rPr>
      </w:pPr>
    </w:p>
    <w:p w:rsidR="00A8705E" w:rsidRDefault="00D9516E" w:rsidP="00D9516E">
      <w:pPr>
        <w:rPr>
          <w:lang w:val="es-ES_tradnl"/>
        </w:rPr>
      </w:pPr>
      <w:r w:rsidRPr="00D9516E">
        <w:rPr>
          <w:color w:val="000000"/>
          <w:lang w:val="es-ES_tradnl"/>
        </w:rPr>
        <w:t>El estudio se realizó en 27 meses, de marzo de 2016 a junio de 2018.</w:t>
      </w:r>
    </w:p>
    <w:p w:rsidR="00A8705E" w:rsidRDefault="00A8705E" w:rsidP="002C40A0">
      <w:pPr>
        <w:rPr>
          <w:lang w:val="es-ES_tradnl"/>
        </w:rPr>
      </w:pPr>
    </w:p>
    <w:p w:rsidR="00A8705E" w:rsidRDefault="00D9516E" w:rsidP="00D9516E">
      <w:pPr>
        <w:rPr>
          <w:lang w:val="es-ES_tradnl"/>
        </w:rPr>
      </w:pPr>
      <w:r w:rsidRPr="00D9516E">
        <w:rPr>
          <w:color w:val="000000"/>
          <w:lang w:val="es-ES_tradnl"/>
        </w:rPr>
        <w:t xml:space="preserve">En el presente documento se resumen la </w:t>
      </w:r>
      <w:r w:rsidR="00283CF5">
        <w:rPr>
          <w:color w:val="000000"/>
          <w:lang w:val="es-ES_tradnl"/>
        </w:rPr>
        <w:t>realización</w:t>
      </w:r>
      <w:r w:rsidRPr="00D9516E">
        <w:rPr>
          <w:color w:val="000000"/>
          <w:lang w:val="es-ES_tradnl"/>
        </w:rPr>
        <w:t xml:space="preserve"> y los principales resultados del estudio.</w:t>
      </w:r>
    </w:p>
    <w:p w:rsidR="00A8705E" w:rsidRDefault="00A8705E" w:rsidP="002C40A0">
      <w:pPr>
        <w:rPr>
          <w:lang w:val="es-ES_tradnl"/>
        </w:rPr>
      </w:pPr>
    </w:p>
    <w:p w:rsidR="00A8705E" w:rsidRDefault="00A8705E" w:rsidP="002C40A0">
      <w:pPr>
        <w:rPr>
          <w:lang w:val="es-ES_tradnl"/>
        </w:rPr>
      </w:pPr>
    </w:p>
    <w:p w:rsidR="00A8705E" w:rsidRDefault="001A13D6" w:rsidP="002C40A0">
      <w:pPr>
        <w:rPr>
          <w:b/>
          <w:bCs/>
          <w:lang w:val="es-ES_tradnl"/>
        </w:rPr>
      </w:pPr>
      <w:r>
        <w:rPr>
          <w:b/>
          <w:bCs/>
          <w:lang w:val="es-ES_tradnl"/>
        </w:rPr>
        <w:t>Objetivos del estudio</w:t>
      </w:r>
    </w:p>
    <w:p w:rsidR="00A8705E" w:rsidRDefault="00A8705E" w:rsidP="002C40A0">
      <w:pPr>
        <w:rPr>
          <w:lang w:val="es-ES_tradnl"/>
        </w:rPr>
      </w:pPr>
    </w:p>
    <w:p w:rsidR="00A8705E" w:rsidRDefault="00023A68" w:rsidP="00023A68">
      <w:pPr>
        <w:rPr>
          <w:color w:val="000000"/>
          <w:lang w:val="es-ES_tradnl"/>
        </w:rPr>
      </w:pPr>
      <w:r w:rsidRPr="00023A68">
        <w:rPr>
          <w:color w:val="000000"/>
          <w:lang w:val="es-ES_tradnl"/>
        </w:rPr>
        <w:t xml:space="preserve">Los objetivos del estudio eran </w:t>
      </w:r>
      <w:r w:rsidR="00283CF5">
        <w:rPr>
          <w:color w:val="000000"/>
          <w:lang w:val="es-ES_tradnl"/>
        </w:rPr>
        <w:t>entender</w:t>
      </w:r>
      <w:r w:rsidRPr="00023A68">
        <w:rPr>
          <w:color w:val="000000"/>
          <w:lang w:val="es-ES_tradnl"/>
        </w:rPr>
        <w:t xml:space="preserve"> mejor las circunstancias y el proceso </w:t>
      </w:r>
      <w:r w:rsidR="005E1A69">
        <w:rPr>
          <w:color w:val="000000"/>
          <w:lang w:val="es-ES_tradnl"/>
        </w:rPr>
        <w:t>de</w:t>
      </w:r>
      <w:r w:rsidRPr="00023A68">
        <w:rPr>
          <w:color w:val="000000"/>
          <w:lang w:val="es-ES_tradnl"/>
        </w:rPr>
        <w:t xml:space="preserve"> innovación </w:t>
      </w:r>
      <w:r w:rsidR="00283CF5">
        <w:rPr>
          <w:color w:val="000000"/>
          <w:lang w:val="es-ES_tradnl"/>
        </w:rPr>
        <w:t>en el ámbito</w:t>
      </w:r>
      <w:r w:rsidRPr="00023A68">
        <w:rPr>
          <w:color w:val="000000"/>
          <w:lang w:val="es-ES_tradnl"/>
        </w:rPr>
        <w:t xml:space="preserve"> de</w:t>
      </w:r>
      <w:r w:rsidR="00283CF5">
        <w:rPr>
          <w:color w:val="000000"/>
          <w:lang w:val="es-ES_tradnl"/>
        </w:rPr>
        <w:t>l</w:t>
      </w:r>
      <w:r w:rsidRPr="00023A68">
        <w:rPr>
          <w:color w:val="000000"/>
          <w:lang w:val="es-ES_tradnl"/>
        </w:rPr>
        <w:t xml:space="preserve"> diseño en los países concernidos, </w:t>
      </w:r>
      <w:r w:rsidR="00283CF5">
        <w:rPr>
          <w:color w:val="000000"/>
          <w:lang w:val="es-ES_tradnl"/>
        </w:rPr>
        <w:t>los</w:t>
      </w:r>
      <w:r w:rsidRPr="00023A68">
        <w:rPr>
          <w:color w:val="000000"/>
          <w:lang w:val="es-ES_tradnl"/>
        </w:rPr>
        <w:t xml:space="preserve"> motivos </w:t>
      </w:r>
      <w:r w:rsidR="00283CF5">
        <w:rPr>
          <w:color w:val="000000"/>
          <w:lang w:val="es-ES_tradnl"/>
        </w:rPr>
        <w:t xml:space="preserve">que </w:t>
      </w:r>
      <w:r w:rsidRPr="00023A68">
        <w:rPr>
          <w:color w:val="000000"/>
          <w:lang w:val="es-ES_tradnl"/>
        </w:rPr>
        <w:t xml:space="preserve">llevan a los innovadores de </w:t>
      </w:r>
      <w:r w:rsidRPr="00023A68">
        <w:rPr>
          <w:color w:val="000000"/>
          <w:lang w:val="es-ES_tradnl"/>
        </w:rPr>
        <w:lastRenderedPageBreak/>
        <w:t xml:space="preserve">diseños a solicitar este tipo de protección, </w:t>
      </w:r>
      <w:r w:rsidR="00283CF5">
        <w:rPr>
          <w:color w:val="000000"/>
          <w:lang w:val="es-ES_tradnl"/>
        </w:rPr>
        <w:t>la manera en que</w:t>
      </w:r>
      <w:r w:rsidRPr="00023A68">
        <w:rPr>
          <w:color w:val="000000"/>
          <w:lang w:val="es-ES_tradnl"/>
        </w:rPr>
        <w:t xml:space="preserve"> los derechos sobre los diseños industriales </w:t>
      </w:r>
      <w:r w:rsidR="00283CF5">
        <w:rPr>
          <w:color w:val="000000"/>
          <w:lang w:val="es-ES_tradnl"/>
        </w:rPr>
        <w:t xml:space="preserve">ayudan </w:t>
      </w:r>
      <w:r w:rsidRPr="00023A68">
        <w:rPr>
          <w:color w:val="000000"/>
          <w:lang w:val="es-ES_tradnl"/>
        </w:rPr>
        <w:t xml:space="preserve">a </w:t>
      </w:r>
      <w:r w:rsidR="005E1A69">
        <w:rPr>
          <w:color w:val="000000"/>
          <w:lang w:val="es-ES_tradnl"/>
        </w:rPr>
        <w:t>asignar</w:t>
      </w:r>
      <w:r w:rsidRPr="00023A68">
        <w:rPr>
          <w:color w:val="000000"/>
          <w:lang w:val="es-ES_tradnl"/>
        </w:rPr>
        <w:t xml:space="preserve"> inversiones en </w:t>
      </w:r>
      <w:r w:rsidR="005E1A69">
        <w:rPr>
          <w:color w:val="000000"/>
          <w:lang w:val="es-ES_tradnl"/>
        </w:rPr>
        <w:t xml:space="preserve">este tipo de </w:t>
      </w:r>
      <w:r w:rsidRPr="00023A68">
        <w:rPr>
          <w:color w:val="000000"/>
          <w:lang w:val="es-ES_tradnl"/>
        </w:rPr>
        <w:t xml:space="preserve">innovación y </w:t>
      </w:r>
      <w:r w:rsidR="005E1A69">
        <w:rPr>
          <w:color w:val="000000"/>
          <w:lang w:val="es-ES_tradnl"/>
        </w:rPr>
        <w:t>los</w:t>
      </w:r>
      <w:r w:rsidRPr="00023A68">
        <w:rPr>
          <w:color w:val="000000"/>
          <w:lang w:val="es-ES_tradnl"/>
        </w:rPr>
        <w:t xml:space="preserve"> desafíos </w:t>
      </w:r>
      <w:r w:rsidR="005E1A69">
        <w:rPr>
          <w:color w:val="000000"/>
          <w:lang w:val="es-ES_tradnl"/>
        </w:rPr>
        <w:t xml:space="preserve">a los que </w:t>
      </w:r>
      <w:r w:rsidRPr="00023A68">
        <w:rPr>
          <w:color w:val="000000"/>
          <w:lang w:val="es-ES_tradnl"/>
        </w:rPr>
        <w:t>se enfrentan los solicitantes al usar el sistema de diseños industriales.</w:t>
      </w:r>
    </w:p>
    <w:p w:rsidR="004D0143" w:rsidRDefault="004D0143" w:rsidP="00023A68">
      <w:pPr>
        <w:rPr>
          <w:color w:val="000000"/>
          <w:lang w:val="es-ES_tradnl"/>
        </w:rPr>
      </w:pPr>
    </w:p>
    <w:p w:rsidR="004D0143" w:rsidRDefault="004D0143" w:rsidP="00023A68">
      <w:pPr>
        <w:rPr>
          <w:lang w:val="es-ES_tradnl"/>
        </w:rPr>
      </w:pPr>
    </w:p>
    <w:p w:rsidR="00A8705E" w:rsidRPr="005E1A69" w:rsidRDefault="00023A68" w:rsidP="00023A68">
      <w:pPr>
        <w:rPr>
          <w:b/>
          <w:bCs/>
          <w:lang w:val="es-ES_tradnl"/>
        </w:rPr>
      </w:pPr>
      <w:r w:rsidRPr="005E1A69">
        <w:rPr>
          <w:b/>
          <w:bCs/>
          <w:lang w:val="es-ES_tradnl"/>
        </w:rPr>
        <w:t>Coordinación y ejecución</w:t>
      </w:r>
    </w:p>
    <w:p w:rsidR="00A8705E" w:rsidRDefault="00A8705E" w:rsidP="002C40A0">
      <w:pPr>
        <w:rPr>
          <w:lang w:val="es-ES_tradnl"/>
        </w:rPr>
      </w:pPr>
    </w:p>
    <w:p w:rsidR="00A8705E" w:rsidRDefault="00146845" w:rsidP="00146845">
      <w:pPr>
        <w:rPr>
          <w:lang w:val="es-ES_tradnl"/>
        </w:rPr>
      </w:pPr>
      <w:r w:rsidRPr="00146845">
        <w:rPr>
          <w:color w:val="000000"/>
          <w:lang w:val="es-ES_tradnl"/>
        </w:rPr>
        <w:t>La División de Economía y Estadística de la OMPI presentó los objetivos del estudio a los tres países durante la Asamblea General de la OMPI de 2015. Los tres países expresaron su interés en participar.</w:t>
      </w:r>
    </w:p>
    <w:p w:rsidR="00A8705E" w:rsidRDefault="00A8705E" w:rsidP="002C40A0">
      <w:pPr>
        <w:rPr>
          <w:lang w:val="es-ES_tradnl"/>
        </w:rPr>
      </w:pPr>
    </w:p>
    <w:p w:rsidR="00A8705E" w:rsidRDefault="00146845" w:rsidP="00146845">
      <w:pPr>
        <w:rPr>
          <w:lang w:val="es-ES_tradnl"/>
        </w:rPr>
      </w:pPr>
      <w:r w:rsidRPr="00146845">
        <w:rPr>
          <w:color w:val="000000"/>
          <w:lang w:val="es-ES_tradnl"/>
        </w:rPr>
        <w:t>La División fue el centro de coordinación técnico</w:t>
      </w:r>
      <w:r w:rsidR="00255C6C">
        <w:rPr>
          <w:color w:val="000000"/>
          <w:lang w:val="es-ES_tradnl"/>
        </w:rPr>
        <w:t xml:space="preserve"> y organizativo</w:t>
      </w:r>
      <w:r w:rsidRPr="00146845">
        <w:rPr>
          <w:color w:val="000000"/>
          <w:lang w:val="es-ES_tradnl"/>
        </w:rPr>
        <w:t xml:space="preserve"> para la realización del estudio.</w:t>
      </w:r>
      <w:r w:rsidR="00D54C8A">
        <w:rPr>
          <w:lang w:val="es-ES_tradnl"/>
        </w:rPr>
        <w:t xml:space="preserve"> </w:t>
      </w:r>
      <w:r w:rsidRPr="00146845">
        <w:rPr>
          <w:color w:val="000000"/>
          <w:lang w:val="es-ES_tradnl"/>
        </w:rPr>
        <w:t xml:space="preserve">Colaboró con consultores </w:t>
      </w:r>
      <w:r w:rsidR="00255C6C">
        <w:rPr>
          <w:color w:val="000000"/>
          <w:lang w:val="es-ES_tradnl"/>
        </w:rPr>
        <w:t xml:space="preserve">locales y </w:t>
      </w:r>
      <w:r w:rsidRPr="00146845">
        <w:rPr>
          <w:color w:val="000000"/>
          <w:lang w:val="es-ES_tradnl"/>
        </w:rPr>
        <w:t xml:space="preserve">expertos </w:t>
      </w:r>
      <w:r w:rsidR="00255C6C">
        <w:rPr>
          <w:color w:val="000000"/>
          <w:lang w:val="es-ES_tradnl"/>
        </w:rPr>
        <w:t>de estos tres países para llevar a cabo la</w:t>
      </w:r>
      <w:r w:rsidRPr="00146845">
        <w:rPr>
          <w:color w:val="000000"/>
          <w:lang w:val="es-ES_tradnl"/>
        </w:rPr>
        <w:t xml:space="preserve"> encuesta correspondiente al estudio: Dr. Yose Rizal Daimuri, Dandy Rafitrandi </w:t>
      </w:r>
      <w:r w:rsidR="00255C6C">
        <w:rPr>
          <w:color w:val="000000"/>
          <w:lang w:val="es-ES_tradnl"/>
        </w:rPr>
        <w:t>e</w:t>
      </w:r>
      <w:r w:rsidRPr="00146845">
        <w:rPr>
          <w:color w:val="000000"/>
          <w:lang w:val="es-ES_tradnl"/>
        </w:rPr>
        <w:t xml:space="preserve"> Ilma </w:t>
      </w:r>
      <w:r w:rsidRPr="003D6F27">
        <w:rPr>
          <w:color w:val="000000"/>
          <w:lang w:val="es-ES_tradnl"/>
        </w:rPr>
        <w:t>Fad</w:t>
      </w:r>
      <w:r w:rsidR="00255C6C" w:rsidRPr="003D6F27">
        <w:rPr>
          <w:color w:val="000000"/>
          <w:lang w:val="es-ES_tradnl"/>
        </w:rPr>
        <w:t>hil</w:t>
      </w:r>
      <w:r w:rsidRPr="00146845">
        <w:rPr>
          <w:color w:val="000000"/>
          <w:lang w:val="es-ES_tradnl"/>
        </w:rPr>
        <w:t xml:space="preserve"> del Centro de Estudios Internacionales Estratégicos </w:t>
      </w:r>
      <w:r w:rsidR="00451F98">
        <w:rPr>
          <w:color w:val="000000"/>
          <w:lang w:val="es-ES_tradnl"/>
        </w:rPr>
        <w:t>de Indonesia</w:t>
      </w:r>
      <w:r w:rsidRPr="00146845">
        <w:rPr>
          <w:color w:val="000000"/>
          <w:lang w:val="es-ES_tradnl"/>
        </w:rPr>
        <w:t>; Dr. George Manzano, Mary Grace Agner y Nikka Pesa de la Universidad de Asia y el Pacífico (UA&amp;P) de Filipinas; y Dr</w:t>
      </w:r>
      <w:r w:rsidR="00255C6C">
        <w:rPr>
          <w:color w:val="000000"/>
          <w:lang w:val="es-ES_tradnl"/>
        </w:rPr>
        <w:t>a</w:t>
      </w:r>
      <w:r w:rsidR="008556AA">
        <w:rPr>
          <w:color w:val="000000"/>
          <w:lang w:val="es-ES_tradnl"/>
        </w:rPr>
        <w:t>. </w:t>
      </w:r>
      <w:r w:rsidRPr="00146845">
        <w:rPr>
          <w:color w:val="000000"/>
          <w:lang w:val="es-ES_tradnl"/>
        </w:rPr>
        <w:t>Deunden Nikomborirak y Weerawan Paibunjitt-aree del Instituto de Investigaciones del Desarrollo de Tailandia (TDRI).</w:t>
      </w:r>
    </w:p>
    <w:p w:rsidR="00A8705E" w:rsidRDefault="00A8705E" w:rsidP="002C40A0">
      <w:pPr>
        <w:rPr>
          <w:lang w:val="es-ES_tradnl"/>
        </w:rPr>
      </w:pPr>
    </w:p>
    <w:p w:rsidR="00A8705E" w:rsidRPr="00255C6C" w:rsidRDefault="00FB0316" w:rsidP="00FB0316">
      <w:pPr>
        <w:rPr>
          <w:lang w:val="es-ES_tradnl"/>
        </w:rPr>
      </w:pPr>
      <w:r w:rsidRPr="00255C6C">
        <w:rPr>
          <w:lang w:val="es-ES_tradnl"/>
        </w:rPr>
        <w:t>La Dirección General de Derechos de Propiedad Intelectual de Indonesia (DGIPR), la Oficina de Propiedad Intelectual de Filipinas (IPOPHL) y el Departamento de Propiedad Intelectual de Tailandia (DIP) brindaron su apoyo firme y decisivo durante todo el estudio. La Oficina Regional en la sede para Asia y el Pacífico (ASPAC) también ofreció su ayuda para la coordinación con las oficinas de PI nacionales.</w:t>
      </w:r>
    </w:p>
    <w:p w:rsidR="00A8705E" w:rsidRDefault="00A8705E" w:rsidP="002C40A0">
      <w:pPr>
        <w:rPr>
          <w:lang w:val="es-ES_tradnl"/>
        </w:rPr>
      </w:pPr>
    </w:p>
    <w:p w:rsidR="00A8705E" w:rsidRDefault="00FB0316" w:rsidP="00FB0316">
      <w:pPr>
        <w:rPr>
          <w:lang w:val="es-ES_tradnl"/>
        </w:rPr>
      </w:pPr>
      <w:r w:rsidRPr="00FB0316">
        <w:rPr>
          <w:color w:val="000000"/>
          <w:lang w:val="es-ES_tradnl"/>
        </w:rPr>
        <w:t>Por último, el estudio fue revisado por la profesora Myriam Mariani de la Universidad Bocconi de Milán (Italia).</w:t>
      </w:r>
      <w:r w:rsidR="00D54C8A">
        <w:rPr>
          <w:lang w:val="es-ES_tradnl"/>
        </w:rPr>
        <w:t xml:space="preserve"> </w:t>
      </w:r>
      <w:r w:rsidRPr="00FB0316">
        <w:rPr>
          <w:color w:val="000000"/>
          <w:lang w:val="es-ES_tradnl"/>
        </w:rPr>
        <w:t>La Dra. Mariani formuló comentarios y observaciones cruciales sobre la elaboración de la encuesta, el análisis de las respuestas y los cuatro resultados del estudio.</w:t>
      </w:r>
      <w:r>
        <w:rPr>
          <w:rStyle w:val="FootnoteReference"/>
          <w:lang w:val="en-US"/>
        </w:rPr>
        <w:footnoteReference w:id="6"/>
      </w:r>
    </w:p>
    <w:p w:rsidR="00A8705E" w:rsidRDefault="00A8705E" w:rsidP="002C40A0">
      <w:pPr>
        <w:rPr>
          <w:lang w:val="es-ES_tradnl"/>
        </w:rPr>
      </w:pPr>
    </w:p>
    <w:p w:rsidR="00A8705E" w:rsidRDefault="00A8705E" w:rsidP="002C40A0">
      <w:pPr>
        <w:rPr>
          <w:lang w:val="es-ES_tradnl"/>
        </w:rPr>
      </w:pPr>
    </w:p>
    <w:p w:rsidR="00A8705E" w:rsidRPr="00255C6C" w:rsidRDefault="0092256D" w:rsidP="0092256D">
      <w:pPr>
        <w:rPr>
          <w:b/>
          <w:bCs/>
          <w:lang w:val="es-ES_tradnl"/>
        </w:rPr>
      </w:pPr>
      <w:r w:rsidRPr="00255C6C">
        <w:rPr>
          <w:b/>
          <w:bCs/>
          <w:lang w:val="es-ES_tradnl"/>
        </w:rPr>
        <w:t>Proceso y diseño metodológico</w:t>
      </w:r>
    </w:p>
    <w:p w:rsidR="00A8705E" w:rsidRDefault="00A8705E" w:rsidP="002C40A0">
      <w:pPr>
        <w:rPr>
          <w:lang w:val="es-ES_tradnl"/>
        </w:rPr>
      </w:pPr>
    </w:p>
    <w:p w:rsidR="00A8705E" w:rsidRDefault="0007691E" w:rsidP="00E7367A">
      <w:pPr>
        <w:rPr>
          <w:lang w:val="es-ES_tradnl"/>
        </w:rPr>
      </w:pPr>
      <w:r w:rsidRPr="0007691E">
        <w:rPr>
          <w:color w:val="000000"/>
          <w:lang w:val="es-ES_tradnl"/>
        </w:rPr>
        <w:t xml:space="preserve">El estudio se llevó a cabo en tres </w:t>
      </w:r>
      <w:r w:rsidR="003844E1">
        <w:rPr>
          <w:color w:val="000000"/>
          <w:lang w:val="es-ES_tradnl"/>
        </w:rPr>
        <w:t>fases</w:t>
      </w:r>
      <w:r w:rsidRPr="0007691E">
        <w:rPr>
          <w:color w:val="000000"/>
          <w:lang w:val="es-ES_tradnl"/>
        </w:rPr>
        <w:t>.</w:t>
      </w:r>
      <w:r w:rsidR="00D54C8A">
        <w:rPr>
          <w:lang w:val="es-ES_tradnl"/>
        </w:rPr>
        <w:t xml:space="preserve"> </w:t>
      </w:r>
      <w:r w:rsidR="0027088E" w:rsidRPr="0027088E">
        <w:rPr>
          <w:color w:val="000000"/>
          <w:lang w:val="es-ES_tradnl"/>
        </w:rPr>
        <w:t xml:space="preserve">En la primera se emprendieron consultas con los correspondientes colegas internos del Sector de Marcas y Diseños de la OMPI, así como con la </w:t>
      </w:r>
      <w:r w:rsidR="003844E1" w:rsidRPr="00255C6C">
        <w:rPr>
          <w:lang w:val="es-ES_tradnl"/>
        </w:rPr>
        <w:t>Oficina Regional en la sede para Asia y el Pacífico</w:t>
      </w:r>
      <w:r w:rsidR="003844E1">
        <w:rPr>
          <w:lang w:val="es-ES_tradnl"/>
        </w:rPr>
        <w:t xml:space="preserve">, a fin de </w:t>
      </w:r>
      <w:r w:rsidR="0027088E" w:rsidRPr="0027088E">
        <w:rPr>
          <w:color w:val="000000"/>
          <w:lang w:val="es-ES_tradnl"/>
        </w:rPr>
        <w:t>formalizar la dirección del estudio.</w:t>
      </w:r>
      <w:r w:rsidR="00D54C8A">
        <w:rPr>
          <w:lang w:val="es-ES_tradnl"/>
        </w:rPr>
        <w:t xml:space="preserve"> </w:t>
      </w:r>
      <w:r w:rsidR="00E7367A" w:rsidRPr="00E7367A">
        <w:rPr>
          <w:color w:val="000000"/>
          <w:lang w:val="es-ES_tradnl"/>
        </w:rPr>
        <w:t xml:space="preserve">Al mismo tiempo, la Secretaría llevó a cabo investigaciones documentales </w:t>
      </w:r>
      <w:r w:rsidR="003844E1">
        <w:rPr>
          <w:color w:val="000000"/>
          <w:lang w:val="es-ES_tradnl"/>
        </w:rPr>
        <w:t>sobre el diseño d</w:t>
      </w:r>
      <w:r w:rsidR="00E7367A" w:rsidRPr="00E7367A">
        <w:rPr>
          <w:color w:val="000000"/>
          <w:lang w:val="es-ES_tradnl"/>
        </w:rPr>
        <w:t xml:space="preserve">el cuestionario </w:t>
      </w:r>
      <w:r w:rsidR="003844E1">
        <w:rPr>
          <w:color w:val="000000"/>
          <w:lang w:val="es-ES_tradnl"/>
        </w:rPr>
        <w:t>a los efectos de</w:t>
      </w:r>
      <w:r w:rsidR="00E7367A" w:rsidRPr="00E7367A">
        <w:rPr>
          <w:color w:val="000000"/>
          <w:lang w:val="es-ES_tradnl"/>
        </w:rPr>
        <w:t xml:space="preserve"> su realización en los tres países.</w:t>
      </w:r>
      <w:r w:rsidR="00D54C8A">
        <w:rPr>
          <w:lang w:val="es-ES_tradnl"/>
        </w:rPr>
        <w:t xml:space="preserve"> </w:t>
      </w:r>
    </w:p>
    <w:p w:rsidR="00A8705E" w:rsidRDefault="00A8705E" w:rsidP="002C40A0">
      <w:pPr>
        <w:rPr>
          <w:lang w:val="es-ES_tradnl"/>
        </w:rPr>
      </w:pPr>
    </w:p>
    <w:p w:rsidR="00A8705E" w:rsidRDefault="003844E1" w:rsidP="00E7367A">
      <w:pPr>
        <w:rPr>
          <w:lang w:val="es-ES_tradnl"/>
        </w:rPr>
      </w:pPr>
      <w:r>
        <w:rPr>
          <w:color w:val="000000"/>
          <w:lang w:val="es-ES_tradnl"/>
        </w:rPr>
        <w:t>El trabajo de estudio</w:t>
      </w:r>
      <w:r w:rsidR="00E7367A" w:rsidRPr="00E7367A">
        <w:rPr>
          <w:color w:val="000000"/>
          <w:lang w:val="es-ES_tradnl"/>
        </w:rPr>
        <w:t xml:space="preserve"> comenzó oficialmente en marzo de 2016 con reuniones</w:t>
      </w:r>
      <w:r w:rsidR="00451F98">
        <w:rPr>
          <w:color w:val="000000"/>
          <w:lang w:val="es-ES_tradnl"/>
        </w:rPr>
        <w:t xml:space="preserve"> y</w:t>
      </w:r>
      <w:r w:rsidR="00E7367A" w:rsidRPr="00E7367A">
        <w:rPr>
          <w:color w:val="000000"/>
          <w:lang w:val="es-ES_tradnl"/>
        </w:rPr>
        <w:t xml:space="preserve"> </w:t>
      </w:r>
      <w:r w:rsidR="00451F98">
        <w:rPr>
          <w:color w:val="000000"/>
          <w:lang w:val="es-ES_tradnl"/>
        </w:rPr>
        <w:t xml:space="preserve">talleres </w:t>
      </w:r>
      <w:r w:rsidR="00E7367A" w:rsidRPr="00E7367A">
        <w:rPr>
          <w:color w:val="000000"/>
          <w:lang w:val="es-ES_tradnl"/>
        </w:rPr>
        <w:t>consecutivos en Filipinas y Tailandia.</w:t>
      </w:r>
      <w:r w:rsidR="00D54C8A">
        <w:rPr>
          <w:lang w:val="es-ES_tradnl"/>
        </w:rPr>
        <w:t xml:space="preserve"> </w:t>
      </w:r>
      <w:r w:rsidR="00E7367A" w:rsidRPr="00E7367A">
        <w:rPr>
          <w:color w:val="000000"/>
          <w:lang w:val="es-ES_tradnl"/>
        </w:rPr>
        <w:t>En cada país se celebró un taller de medio día para reunir a los sectores interesados del sistema de diseños industriales.</w:t>
      </w:r>
      <w:r w:rsidR="00D54C8A">
        <w:rPr>
          <w:lang w:val="es-ES_tradnl"/>
        </w:rPr>
        <w:t xml:space="preserve"> </w:t>
      </w:r>
      <w:r w:rsidR="00E7367A" w:rsidRPr="00E7367A">
        <w:rPr>
          <w:color w:val="000000"/>
          <w:lang w:val="es-ES_tradnl"/>
        </w:rPr>
        <w:t xml:space="preserve">El objetivo del taller fue recibir comentarios y observaciones sobre el cuestionario y la estrategia </w:t>
      </w:r>
      <w:r>
        <w:rPr>
          <w:color w:val="000000"/>
          <w:lang w:val="es-ES_tradnl"/>
        </w:rPr>
        <w:t xml:space="preserve">de </w:t>
      </w:r>
      <w:r w:rsidR="00E7367A" w:rsidRPr="00E7367A">
        <w:rPr>
          <w:color w:val="000000"/>
          <w:lang w:val="es-ES_tradnl"/>
        </w:rPr>
        <w:t>realización de la encuesta.</w:t>
      </w:r>
      <w:r w:rsidR="00D54C8A">
        <w:rPr>
          <w:lang w:val="es-ES_tradnl"/>
        </w:rPr>
        <w:t xml:space="preserve"> </w:t>
      </w:r>
      <w:r w:rsidR="00E7367A" w:rsidRPr="00E7367A">
        <w:rPr>
          <w:color w:val="000000"/>
          <w:lang w:val="es-ES_tradnl"/>
        </w:rPr>
        <w:t xml:space="preserve">Entre los participantes del taller se encontraban solicitantes de registro de diseños industriales, asociaciones comerciales y </w:t>
      </w:r>
      <w:r>
        <w:rPr>
          <w:color w:val="000000"/>
          <w:lang w:val="es-ES_tradnl"/>
        </w:rPr>
        <w:t>del ámbito del</w:t>
      </w:r>
      <w:r w:rsidR="00E7367A" w:rsidRPr="00E7367A">
        <w:rPr>
          <w:color w:val="000000"/>
          <w:lang w:val="es-ES_tradnl"/>
        </w:rPr>
        <w:t xml:space="preserve"> diseño, despachos de abogados especializados en la presentación de solicitudes de </w:t>
      </w:r>
      <w:r>
        <w:rPr>
          <w:color w:val="000000"/>
          <w:lang w:val="es-ES_tradnl"/>
        </w:rPr>
        <w:t xml:space="preserve">registro de </w:t>
      </w:r>
      <w:r w:rsidR="00E7367A" w:rsidRPr="00E7367A">
        <w:rPr>
          <w:color w:val="000000"/>
          <w:lang w:val="es-ES_tradnl"/>
        </w:rPr>
        <w:t>diseños industriales, y diseñadores.</w:t>
      </w:r>
      <w:r w:rsidR="002C40A0" w:rsidRPr="00334317">
        <w:rPr>
          <w:lang w:val="es-ES_tradnl"/>
        </w:rPr>
        <w:t xml:space="preserve"> </w:t>
      </w:r>
      <w:r w:rsidR="00E7367A" w:rsidRPr="00E7367A">
        <w:rPr>
          <w:color w:val="000000"/>
          <w:lang w:val="es-ES_tradnl"/>
        </w:rPr>
        <w:t xml:space="preserve">También se celebraron reuniones bilaterales con funcionarios de las dos oficinas de PI, </w:t>
      </w:r>
      <w:r>
        <w:rPr>
          <w:color w:val="000000"/>
          <w:lang w:val="es-ES_tradnl"/>
        </w:rPr>
        <w:t>incluidos</w:t>
      </w:r>
      <w:r w:rsidR="00E7367A" w:rsidRPr="00E7367A">
        <w:rPr>
          <w:color w:val="000000"/>
          <w:lang w:val="es-ES_tradnl"/>
        </w:rPr>
        <w:t xml:space="preserve"> examinadores de diseños industriales, para entender mejor el procedimiento de presentación de solicitudes de diseños industriales.</w:t>
      </w:r>
      <w:r w:rsidR="002C40A0" w:rsidRPr="00334317">
        <w:rPr>
          <w:lang w:val="es-ES_tradnl"/>
        </w:rPr>
        <w:t xml:space="preserve"> </w:t>
      </w:r>
    </w:p>
    <w:p w:rsidR="00A8705E" w:rsidRDefault="00A8705E" w:rsidP="002C40A0">
      <w:pPr>
        <w:rPr>
          <w:lang w:val="es-ES_tradnl"/>
        </w:rPr>
      </w:pPr>
    </w:p>
    <w:p w:rsidR="00A8705E" w:rsidRDefault="007E0E02" w:rsidP="007E0E02">
      <w:pPr>
        <w:rPr>
          <w:lang w:val="es-ES_tradnl"/>
        </w:rPr>
      </w:pPr>
      <w:r w:rsidRPr="007E0E02">
        <w:rPr>
          <w:color w:val="000000"/>
          <w:lang w:val="es-ES_tradnl"/>
        </w:rPr>
        <w:t xml:space="preserve">En la segunda fase del estudió se recopilaron datos </w:t>
      </w:r>
      <w:r w:rsidRPr="003D6F27">
        <w:rPr>
          <w:color w:val="000000"/>
          <w:lang w:val="es-ES_tradnl"/>
        </w:rPr>
        <w:t>de registro unitario</w:t>
      </w:r>
      <w:r w:rsidRPr="007E0E02">
        <w:rPr>
          <w:color w:val="000000"/>
          <w:lang w:val="es-ES_tradnl"/>
        </w:rPr>
        <w:t xml:space="preserve"> sobre las solicitudes de diseños industriales para </w:t>
      </w:r>
      <w:r w:rsidR="003844E1">
        <w:rPr>
          <w:color w:val="000000"/>
          <w:lang w:val="es-ES_tradnl"/>
        </w:rPr>
        <w:t>tener una perspectiva</w:t>
      </w:r>
      <w:r w:rsidRPr="007E0E02">
        <w:rPr>
          <w:color w:val="000000"/>
          <w:lang w:val="es-ES_tradnl"/>
        </w:rPr>
        <w:t xml:space="preserve"> empírica </w:t>
      </w:r>
      <w:r w:rsidR="003844E1">
        <w:rPr>
          <w:color w:val="000000"/>
          <w:lang w:val="es-ES_tradnl"/>
        </w:rPr>
        <w:t>sobre</w:t>
      </w:r>
      <w:r w:rsidRPr="007E0E02">
        <w:rPr>
          <w:color w:val="000000"/>
          <w:lang w:val="es-ES_tradnl"/>
        </w:rPr>
        <w:t xml:space="preserve"> la presentación de solicitudes de diseños industriales en estos países.</w:t>
      </w:r>
      <w:r w:rsidR="002C40A0" w:rsidRPr="0018032D">
        <w:rPr>
          <w:lang w:val="es-ES_tradnl"/>
        </w:rPr>
        <w:t xml:space="preserve"> </w:t>
      </w:r>
      <w:r w:rsidRPr="007E0E02">
        <w:rPr>
          <w:color w:val="000000"/>
          <w:lang w:val="es-ES_tradnl"/>
        </w:rPr>
        <w:t>Los resultados se utilizaron</w:t>
      </w:r>
      <w:r w:rsidR="0029410E">
        <w:rPr>
          <w:color w:val="000000"/>
          <w:lang w:val="es-ES_tradnl"/>
        </w:rPr>
        <w:t xml:space="preserve"> para</w:t>
      </w:r>
      <w:r w:rsidRPr="007E0E02">
        <w:rPr>
          <w:color w:val="000000"/>
          <w:lang w:val="es-ES_tradnl"/>
        </w:rPr>
        <w:t xml:space="preserve"> seleccionar </w:t>
      </w:r>
      <w:r w:rsidR="0029410E">
        <w:rPr>
          <w:color w:val="000000"/>
          <w:lang w:val="es-ES_tradnl"/>
        </w:rPr>
        <w:t xml:space="preserve">a </w:t>
      </w:r>
      <w:r w:rsidRPr="007E0E02">
        <w:rPr>
          <w:color w:val="000000"/>
          <w:lang w:val="es-ES_tradnl"/>
        </w:rPr>
        <w:t>los solicitantes de diseños industriales</w:t>
      </w:r>
      <w:r w:rsidR="0029410E">
        <w:rPr>
          <w:color w:val="000000"/>
          <w:lang w:val="es-ES_tradnl"/>
        </w:rPr>
        <w:t xml:space="preserve"> </w:t>
      </w:r>
      <w:r w:rsidR="00451F98">
        <w:rPr>
          <w:color w:val="000000"/>
          <w:lang w:val="es-ES_tradnl"/>
        </w:rPr>
        <w:t>(</w:t>
      </w:r>
      <w:r w:rsidR="0029410E">
        <w:rPr>
          <w:color w:val="000000"/>
          <w:lang w:val="es-ES_tradnl"/>
        </w:rPr>
        <w:t>y</w:t>
      </w:r>
      <w:r w:rsidRPr="007E0E02">
        <w:rPr>
          <w:color w:val="000000"/>
          <w:lang w:val="es-ES_tradnl"/>
        </w:rPr>
        <w:t xml:space="preserve"> sus solicitudes</w:t>
      </w:r>
      <w:r w:rsidR="00451F98">
        <w:rPr>
          <w:color w:val="000000"/>
          <w:lang w:val="es-ES_tradnl"/>
        </w:rPr>
        <w:t>)</w:t>
      </w:r>
      <w:r w:rsidRPr="007E0E02">
        <w:rPr>
          <w:color w:val="000000"/>
          <w:lang w:val="es-ES_tradnl"/>
        </w:rPr>
        <w:t xml:space="preserve"> </w:t>
      </w:r>
      <w:r w:rsidR="0029410E" w:rsidRPr="00451F98">
        <w:rPr>
          <w:color w:val="000000"/>
          <w:lang w:val="es-ES_tradnl"/>
        </w:rPr>
        <w:t>que participarían</w:t>
      </w:r>
      <w:r w:rsidR="0029410E">
        <w:rPr>
          <w:color w:val="000000"/>
          <w:lang w:val="es-ES_tradnl"/>
        </w:rPr>
        <w:t xml:space="preserve"> en</w:t>
      </w:r>
      <w:r w:rsidRPr="007E0E02">
        <w:rPr>
          <w:color w:val="000000"/>
          <w:lang w:val="es-ES_tradnl"/>
        </w:rPr>
        <w:t xml:space="preserve"> la encuesta.</w:t>
      </w:r>
      <w:r w:rsidR="00D54C8A">
        <w:rPr>
          <w:lang w:val="es-ES_tradnl"/>
        </w:rPr>
        <w:t xml:space="preserve"> </w:t>
      </w:r>
      <w:r w:rsidRPr="007E0E02">
        <w:rPr>
          <w:color w:val="000000"/>
          <w:lang w:val="es-ES_tradnl"/>
        </w:rPr>
        <w:t>Además, el análisis descriptivo de este ejercicio ayudó a detectar posible</w:t>
      </w:r>
      <w:r w:rsidR="0029410E">
        <w:rPr>
          <w:color w:val="000000"/>
          <w:lang w:val="es-ES_tradnl"/>
        </w:rPr>
        <w:t>s</w:t>
      </w:r>
      <w:r w:rsidRPr="007E0E02">
        <w:rPr>
          <w:color w:val="000000"/>
          <w:lang w:val="es-ES_tradnl"/>
        </w:rPr>
        <w:t xml:space="preserve"> prejuicio</w:t>
      </w:r>
      <w:r w:rsidR="0029410E">
        <w:rPr>
          <w:color w:val="000000"/>
          <w:lang w:val="es-ES_tradnl"/>
        </w:rPr>
        <w:t>s</w:t>
      </w:r>
      <w:r w:rsidRPr="007E0E02">
        <w:rPr>
          <w:color w:val="000000"/>
          <w:lang w:val="es-ES_tradnl"/>
        </w:rPr>
        <w:t xml:space="preserve"> en las respuestas obtenidas por medio de</w:t>
      </w:r>
      <w:r w:rsidR="0029410E">
        <w:rPr>
          <w:color w:val="000000"/>
          <w:lang w:val="es-ES_tradnl"/>
        </w:rPr>
        <w:t xml:space="preserve"> </w:t>
      </w:r>
      <w:r w:rsidRPr="007E0E02">
        <w:rPr>
          <w:color w:val="000000"/>
          <w:lang w:val="es-ES_tradnl"/>
        </w:rPr>
        <w:t>l</w:t>
      </w:r>
      <w:r w:rsidR="0029410E">
        <w:rPr>
          <w:color w:val="000000"/>
          <w:lang w:val="es-ES_tradnl"/>
        </w:rPr>
        <w:t>a</w:t>
      </w:r>
      <w:r w:rsidRPr="007E0E02">
        <w:rPr>
          <w:color w:val="000000"/>
          <w:lang w:val="es-ES_tradnl"/>
        </w:rPr>
        <w:t xml:space="preserve"> encuesta.</w:t>
      </w:r>
    </w:p>
    <w:p w:rsidR="00A8705E" w:rsidRDefault="00A8705E" w:rsidP="002C40A0">
      <w:pPr>
        <w:rPr>
          <w:lang w:val="es-ES_tradnl"/>
        </w:rPr>
      </w:pPr>
    </w:p>
    <w:p w:rsidR="00A8705E" w:rsidRDefault="007E0E02" w:rsidP="007A58CE">
      <w:pPr>
        <w:rPr>
          <w:lang w:val="es-ES_tradnl"/>
        </w:rPr>
      </w:pPr>
      <w:r w:rsidRPr="007E0E02">
        <w:rPr>
          <w:color w:val="000000"/>
          <w:lang w:val="es-ES_tradnl"/>
        </w:rPr>
        <w:t>Los cuestionarios se distribuyeron durante la tercera fase del estudio.</w:t>
      </w:r>
      <w:r w:rsidR="00D54C8A">
        <w:rPr>
          <w:lang w:val="es-ES_tradnl"/>
        </w:rPr>
        <w:t xml:space="preserve"> </w:t>
      </w:r>
      <w:r w:rsidR="0029410E">
        <w:rPr>
          <w:lang w:val="es-ES_tradnl"/>
        </w:rPr>
        <w:t>F</w:t>
      </w:r>
      <w:r w:rsidR="007A58CE" w:rsidRPr="007A58CE">
        <w:rPr>
          <w:color w:val="000000"/>
          <w:lang w:val="es-ES_tradnl"/>
        </w:rPr>
        <w:t xml:space="preserve">ueron enviados a las direcciones de correo electrónico de los solicitantes de diseños industriales </w:t>
      </w:r>
      <w:r w:rsidR="0029410E">
        <w:rPr>
          <w:color w:val="000000"/>
          <w:lang w:val="es-ES_tradnl"/>
        </w:rPr>
        <w:t>que figuraban en</w:t>
      </w:r>
      <w:r w:rsidR="007A58CE" w:rsidRPr="007A58CE">
        <w:rPr>
          <w:color w:val="000000"/>
          <w:lang w:val="es-ES_tradnl"/>
        </w:rPr>
        <w:t xml:space="preserve"> los </w:t>
      </w:r>
      <w:r w:rsidR="007A58CE" w:rsidRPr="003D6F27">
        <w:rPr>
          <w:color w:val="000000"/>
          <w:lang w:val="es-ES_tradnl"/>
        </w:rPr>
        <w:t>datos de registro unitario</w:t>
      </w:r>
      <w:r w:rsidR="007A58CE" w:rsidRPr="007A58CE">
        <w:rPr>
          <w:color w:val="000000"/>
          <w:lang w:val="es-ES_tradnl"/>
        </w:rPr>
        <w:t xml:space="preserve"> </w:t>
      </w:r>
      <w:r w:rsidR="0029410E">
        <w:rPr>
          <w:color w:val="000000"/>
          <w:lang w:val="es-ES_tradnl"/>
        </w:rPr>
        <w:t>obtenidos de</w:t>
      </w:r>
      <w:r w:rsidR="007A58CE" w:rsidRPr="007A58CE">
        <w:rPr>
          <w:color w:val="000000"/>
          <w:lang w:val="es-ES_tradnl"/>
        </w:rPr>
        <w:t xml:space="preserve"> las tres oficinas de PI.</w:t>
      </w:r>
      <w:r w:rsidR="00D54C8A">
        <w:rPr>
          <w:lang w:val="es-ES_tradnl"/>
        </w:rPr>
        <w:t xml:space="preserve"> </w:t>
      </w:r>
      <w:r w:rsidR="0029410E">
        <w:rPr>
          <w:color w:val="000000"/>
          <w:lang w:val="es-ES_tradnl"/>
        </w:rPr>
        <w:t xml:space="preserve">Tras mandar </w:t>
      </w:r>
      <w:r w:rsidR="007A58CE" w:rsidRPr="007A58CE">
        <w:rPr>
          <w:color w:val="000000"/>
          <w:lang w:val="es-ES_tradnl"/>
        </w:rPr>
        <w:t>dos recordatorios por correo electrónico, se enviaron copias impresas de los cuestionarios a las direcciones de correo de los encuestados según figuraban en sus solicitudes de registro.</w:t>
      </w:r>
    </w:p>
    <w:p w:rsidR="00A8705E" w:rsidRDefault="00A8705E" w:rsidP="002C40A0">
      <w:pPr>
        <w:rPr>
          <w:lang w:val="es-ES_tradnl"/>
        </w:rPr>
      </w:pPr>
    </w:p>
    <w:p w:rsidR="00A8705E" w:rsidRDefault="007A58CE" w:rsidP="007A58CE">
      <w:pPr>
        <w:rPr>
          <w:lang w:val="es-ES_tradnl"/>
        </w:rPr>
      </w:pPr>
      <w:r w:rsidRPr="007A58CE">
        <w:rPr>
          <w:color w:val="000000"/>
          <w:lang w:val="es-ES_tradnl"/>
        </w:rPr>
        <w:t xml:space="preserve">Tailandia fue el primer país </w:t>
      </w:r>
      <w:r w:rsidR="0029410E">
        <w:rPr>
          <w:color w:val="000000"/>
          <w:lang w:val="es-ES_tradnl"/>
        </w:rPr>
        <w:t>donde</w:t>
      </w:r>
      <w:r w:rsidRPr="007A58CE">
        <w:rPr>
          <w:color w:val="000000"/>
          <w:lang w:val="es-ES_tradnl"/>
        </w:rPr>
        <w:t xml:space="preserve"> se distribuyó la encuesta (marzo de 2017).</w:t>
      </w:r>
      <w:r w:rsidR="00D54C8A">
        <w:rPr>
          <w:lang w:val="es-ES_tradnl"/>
        </w:rPr>
        <w:t xml:space="preserve"> </w:t>
      </w:r>
      <w:r w:rsidRPr="007A58CE">
        <w:rPr>
          <w:color w:val="000000"/>
          <w:lang w:val="es-ES_tradnl"/>
        </w:rPr>
        <w:t xml:space="preserve">En julio se </w:t>
      </w:r>
      <w:r w:rsidR="00451F98">
        <w:rPr>
          <w:color w:val="000000"/>
          <w:lang w:val="es-ES_tradnl"/>
        </w:rPr>
        <w:t>hizo</w:t>
      </w:r>
      <w:r w:rsidRPr="007A58CE">
        <w:rPr>
          <w:color w:val="000000"/>
          <w:lang w:val="es-ES_tradnl"/>
        </w:rPr>
        <w:t xml:space="preserve"> en Filipinas y en octubre de ese mismo año en Indonesia.</w:t>
      </w:r>
    </w:p>
    <w:p w:rsidR="00A8705E" w:rsidRDefault="00A8705E" w:rsidP="002C40A0">
      <w:pPr>
        <w:rPr>
          <w:lang w:val="es-ES_tradnl"/>
        </w:rPr>
      </w:pPr>
    </w:p>
    <w:p w:rsidR="00A8705E" w:rsidRDefault="005228AD" w:rsidP="0018032D">
      <w:pPr>
        <w:rPr>
          <w:lang w:val="es-ES_tradnl"/>
        </w:rPr>
      </w:pPr>
      <w:r w:rsidRPr="005228AD">
        <w:rPr>
          <w:color w:val="000000"/>
          <w:lang w:val="es-ES_tradnl"/>
        </w:rPr>
        <w:t xml:space="preserve">Los consultores de los tres países emplearon </w:t>
      </w:r>
      <w:r w:rsidR="0029410E" w:rsidRPr="005228AD">
        <w:rPr>
          <w:color w:val="000000"/>
          <w:lang w:val="es-ES_tradnl"/>
        </w:rPr>
        <w:t xml:space="preserve">distintas </w:t>
      </w:r>
      <w:r w:rsidRPr="005228AD">
        <w:rPr>
          <w:color w:val="000000"/>
          <w:lang w:val="es-ES_tradnl"/>
        </w:rPr>
        <w:t>estrategias para hacer que los encuestados respondieran al cuestionario.</w:t>
      </w:r>
      <w:r w:rsidR="00D54C8A">
        <w:rPr>
          <w:lang w:val="es-ES_tradnl"/>
        </w:rPr>
        <w:t xml:space="preserve"> </w:t>
      </w:r>
      <w:r w:rsidRPr="005228AD">
        <w:rPr>
          <w:color w:val="000000"/>
          <w:lang w:val="es-ES_tradnl"/>
        </w:rPr>
        <w:t xml:space="preserve">En Tailandia, el equipo del TDRI </w:t>
      </w:r>
      <w:r w:rsidR="0029410E">
        <w:rPr>
          <w:color w:val="000000"/>
          <w:lang w:val="es-ES_tradnl"/>
        </w:rPr>
        <w:t>llamó</w:t>
      </w:r>
      <w:r w:rsidRPr="005228AD">
        <w:rPr>
          <w:color w:val="000000"/>
          <w:lang w:val="es-ES_tradnl"/>
        </w:rPr>
        <w:t xml:space="preserve"> a los solicitantes de registro de diseños industriales para </w:t>
      </w:r>
      <w:r w:rsidR="0029410E">
        <w:rPr>
          <w:color w:val="000000"/>
          <w:lang w:val="es-ES_tradnl"/>
        </w:rPr>
        <w:t>animarlos</w:t>
      </w:r>
      <w:r w:rsidRPr="005228AD">
        <w:rPr>
          <w:color w:val="000000"/>
          <w:lang w:val="es-ES_tradnl"/>
        </w:rPr>
        <w:t xml:space="preserve"> a participar en la encuesta.</w:t>
      </w:r>
      <w:r w:rsidR="00D54C8A">
        <w:rPr>
          <w:lang w:val="es-ES_tradnl"/>
        </w:rPr>
        <w:t xml:space="preserve"> </w:t>
      </w:r>
      <w:r w:rsidRPr="005228AD">
        <w:rPr>
          <w:color w:val="000000"/>
          <w:lang w:val="es-ES_tradnl"/>
        </w:rPr>
        <w:t xml:space="preserve">Tanto en Filipinas como </w:t>
      </w:r>
      <w:r w:rsidR="0029410E">
        <w:rPr>
          <w:color w:val="000000"/>
          <w:lang w:val="es-ES_tradnl"/>
        </w:rPr>
        <w:t xml:space="preserve">en </w:t>
      </w:r>
      <w:r w:rsidRPr="005228AD">
        <w:rPr>
          <w:color w:val="000000"/>
          <w:lang w:val="es-ES_tradnl"/>
        </w:rPr>
        <w:t>Indonesia, los equipos de la UA&amp;P y el CSIS celebraron un taller más</w:t>
      </w:r>
      <w:r w:rsidR="000D16C3">
        <w:rPr>
          <w:color w:val="000000"/>
          <w:lang w:val="es-ES_tradnl"/>
        </w:rPr>
        <w:t>,</w:t>
      </w:r>
      <w:r w:rsidRPr="005228AD">
        <w:rPr>
          <w:color w:val="000000"/>
          <w:lang w:val="es-ES_tradnl"/>
        </w:rPr>
        <w:t xml:space="preserve"> dirigido a los solicitantes identificados para la encuesta</w:t>
      </w:r>
      <w:r w:rsidR="000D16C3">
        <w:rPr>
          <w:color w:val="000000"/>
          <w:lang w:val="es-ES_tradnl"/>
        </w:rPr>
        <w:t>,</w:t>
      </w:r>
      <w:r w:rsidRPr="005228AD">
        <w:rPr>
          <w:color w:val="000000"/>
          <w:lang w:val="es-ES_tradnl"/>
        </w:rPr>
        <w:t xml:space="preserve"> a</w:t>
      </w:r>
      <w:r w:rsidR="000D16C3">
        <w:rPr>
          <w:color w:val="000000"/>
          <w:lang w:val="es-ES_tradnl"/>
        </w:rPr>
        <w:t xml:space="preserve"> fin de</w:t>
      </w:r>
      <w:r w:rsidRPr="005228AD">
        <w:rPr>
          <w:color w:val="000000"/>
          <w:lang w:val="es-ES_tradnl"/>
        </w:rPr>
        <w:t xml:space="preserve"> </w:t>
      </w:r>
      <w:r w:rsidR="000D16C3">
        <w:rPr>
          <w:color w:val="000000"/>
          <w:lang w:val="es-ES_tradnl"/>
        </w:rPr>
        <w:t>instarlos</w:t>
      </w:r>
      <w:r w:rsidRPr="005228AD">
        <w:rPr>
          <w:color w:val="000000"/>
          <w:lang w:val="es-ES_tradnl"/>
        </w:rPr>
        <w:t xml:space="preserve"> a responder.</w:t>
      </w:r>
      <w:r w:rsidR="000D16C3">
        <w:rPr>
          <w:color w:val="000000"/>
          <w:lang w:val="es-ES_tradnl"/>
        </w:rPr>
        <w:t xml:space="preserve"> Posteriormente</w:t>
      </w:r>
      <w:r w:rsidR="0018032D" w:rsidRPr="0018032D">
        <w:rPr>
          <w:color w:val="000000"/>
          <w:lang w:val="es-ES_tradnl"/>
        </w:rPr>
        <w:t xml:space="preserve">, el equipo de Indonesia encargó a los investigadores que realizaran entrevistas presenciales con </w:t>
      </w:r>
      <w:r w:rsidR="000D16C3">
        <w:rPr>
          <w:color w:val="000000"/>
          <w:lang w:val="es-ES_tradnl"/>
        </w:rPr>
        <w:t>dichos</w:t>
      </w:r>
      <w:r w:rsidR="0018032D" w:rsidRPr="0018032D">
        <w:rPr>
          <w:color w:val="000000"/>
          <w:lang w:val="es-ES_tradnl"/>
        </w:rPr>
        <w:t xml:space="preserve"> solicitantes.</w:t>
      </w:r>
      <w:r w:rsidR="00D54C8A">
        <w:rPr>
          <w:lang w:val="es-ES_tradnl"/>
        </w:rPr>
        <w:t xml:space="preserve"> </w:t>
      </w:r>
      <w:r w:rsidR="000D16C3">
        <w:rPr>
          <w:color w:val="000000"/>
          <w:lang w:val="es-ES_tradnl"/>
        </w:rPr>
        <w:t>Las</w:t>
      </w:r>
      <w:r w:rsidR="0018032D" w:rsidRPr="0018032D">
        <w:rPr>
          <w:color w:val="000000"/>
          <w:lang w:val="es-ES_tradnl"/>
        </w:rPr>
        <w:t xml:space="preserve"> estrategias tuvieron distintos grados de éxito.</w:t>
      </w:r>
    </w:p>
    <w:p w:rsidR="00A8705E" w:rsidRDefault="00A8705E" w:rsidP="002C40A0">
      <w:pPr>
        <w:rPr>
          <w:lang w:val="es-ES_tradnl"/>
        </w:rPr>
      </w:pPr>
    </w:p>
    <w:p w:rsidR="00A8705E" w:rsidRDefault="0018032D" w:rsidP="00C16A60">
      <w:pPr>
        <w:rPr>
          <w:lang w:val="es-ES_tradnl"/>
        </w:rPr>
      </w:pPr>
      <w:r w:rsidRPr="0018032D">
        <w:rPr>
          <w:color w:val="000000"/>
          <w:lang w:val="es-ES_tradnl"/>
        </w:rPr>
        <w:t>El siguiente cuadro contiene un resumen de las respuestas recibidas.</w:t>
      </w:r>
      <w:r w:rsidR="00D54C8A">
        <w:rPr>
          <w:lang w:val="es-ES_tradnl"/>
        </w:rPr>
        <w:t xml:space="preserve"> </w:t>
      </w:r>
      <w:r w:rsidRPr="0018032D">
        <w:rPr>
          <w:color w:val="000000"/>
          <w:lang w:val="es-ES_tradnl"/>
        </w:rPr>
        <w:t>En total, 268 solicitantes enviaron encuestas completas o parcialmente completas.</w:t>
      </w:r>
      <w:r w:rsidR="00D54C8A">
        <w:rPr>
          <w:lang w:val="es-ES_tradnl"/>
        </w:rPr>
        <w:t xml:space="preserve"> </w:t>
      </w:r>
      <w:r w:rsidRPr="0018032D">
        <w:rPr>
          <w:color w:val="000000"/>
          <w:lang w:val="es-ES_tradnl"/>
        </w:rPr>
        <w:t xml:space="preserve">Esos 268 solicitantes </w:t>
      </w:r>
      <w:r w:rsidR="003A486A">
        <w:rPr>
          <w:color w:val="000000"/>
          <w:lang w:val="es-ES_tradnl"/>
        </w:rPr>
        <w:t xml:space="preserve">presentaron </w:t>
      </w:r>
      <w:r w:rsidRPr="0018032D">
        <w:rPr>
          <w:color w:val="000000"/>
          <w:lang w:val="es-ES_tradnl"/>
        </w:rPr>
        <w:t>512 solicitudes de registro de diseños industriales en total.</w:t>
      </w:r>
      <w:r w:rsidR="00D54C8A">
        <w:rPr>
          <w:lang w:val="es-ES_tradnl"/>
        </w:rPr>
        <w:t xml:space="preserve"> </w:t>
      </w:r>
      <w:r w:rsidR="00233ABD" w:rsidRPr="00233ABD">
        <w:rPr>
          <w:color w:val="000000"/>
          <w:lang w:val="es-ES_tradnl"/>
        </w:rPr>
        <w:t xml:space="preserve">La encuesta fue enviada tanto a solicitantes </w:t>
      </w:r>
      <w:r w:rsidR="001A13D6">
        <w:rPr>
          <w:color w:val="000000"/>
          <w:lang w:val="es-ES_tradnl"/>
        </w:rPr>
        <w:t>particulares</w:t>
      </w:r>
      <w:r w:rsidR="00233ABD" w:rsidRPr="00233ABD">
        <w:rPr>
          <w:color w:val="000000"/>
          <w:lang w:val="es-ES_tradnl"/>
        </w:rPr>
        <w:t xml:space="preserve"> como empresas.</w:t>
      </w:r>
      <w:r w:rsidR="00D54C8A">
        <w:rPr>
          <w:lang w:val="es-ES_tradnl"/>
        </w:rPr>
        <w:t xml:space="preserve"> </w:t>
      </w:r>
      <w:r w:rsidR="00233ABD" w:rsidRPr="00233ABD">
        <w:rPr>
          <w:color w:val="000000"/>
          <w:lang w:val="es-ES_tradnl"/>
        </w:rPr>
        <w:t>Filipinas tuvo el porcentaje de respuesta más alto (12%) en comparación con el de Indonesia (8%) y Tailandia (9%).</w:t>
      </w:r>
      <w:r w:rsidR="00D54C8A">
        <w:rPr>
          <w:lang w:val="es-ES_tradnl"/>
        </w:rPr>
        <w:t xml:space="preserve"> </w:t>
      </w:r>
      <w:r w:rsidR="003A486A">
        <w:rPr>
          <w:color w:val="000000"/>
          <w:lang w:val="es-ES_tradnl"/>
        </w:rPr>
        <w:t>Sin embargo</w:t>
      </w:r>
      <w:r w:rsidR="00C16A60" w:rsidRPr="00C16A60">
        <w:rPr>
          <w:color w:val="000000"/>
          <w:lang w:val="es-ES_tradnl"/>
        </w:rPr>
        <w:t xml:space="preserve">, al contar con un </w:t>
      </w:r>
      <w:r w:rsidR="00C16A60" w:rsidRPr="00231321">
        <w:rPr>
          <w:color w:val="000000"/>
          <w:lang w:val="es-ES_tradnl"/>
        </w:rPr>
        <w:t>censo</w:t>
      </w:r>
      <w:r w:rsidR="00C16A60" w:rsidRPr="00C16A60">
        <w:rPr>
          <w:color w:val="000000"/>
          <w:lang w:val="es-ES_tradnl"/>
        </w:rPr>
        <w:t xml:space="preserve"> de solicitantes más grande, Indonesia obtuvo el mayor número de respuestas, seguida de Tailandia y Filipinas.</w:t>
      </w:r>
    </w:p>
    <w:p w:rsidR="00A8705E" w:rsidRDefault="00A8705E" w:rsidP="002C40A0">
      <w:pPr>
        <w:rPr>
          <w:lang w:val="es-ES_tradnl"/>
        </w:rPr>
      </w:pPr>
    </w:p>
    <w:p w:rsidR="002C40A0" w:rsidRPr="00334317" w:rsidRDefault="002C40A0" w:rsidP="002C40A0">
      <w:pPr>
        <w:rPr>
          <w:lang w:val="es-ES_tradnl"/>
        </w:rPr>
      </w:pPr>
    </w:p>
    <w:tbl>
      <w:tblPr>
        <w:tblStyle w:val="TableClassic1"/>
        <w:tblW w:w="9155" w:type="dxa"/>
        <w:tblLayout w:type="fixed"/>
        <w:tblLook w:val="04A0" w:firstRow="1" w:lastRow="0" w:firstColumn="1" w:lastColumn="0" w:noHBand="0" w:noVBand="1"/>
      </w:tblPr>
      <w:tblGrid>
        <w:gridCol w:w="1368"/>
        <w:gridCol w:w="630"/>
        <w:gridCol w:w="990"/>
        <w:gridCol w:w="630"/>
        <w:gridCol w:w="720"/>
        <w:gridCol w:w="1080"/>
        <w:gridCol w:w="810"/>
        <w:gridCol w:w="630"/>
        <w:gridCol w:w="990"/>
        <w:gridCol w:w="624"/>
        <w:gridCol w:w="683"/>
      </w:tblGrid>
      <w:tr w:rsidR="002C40A0" w:rsidRPr="00F7660F" w:rsidTr="00A91136">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68" w:type="dxa"/>
            <w:vMerge w:val="restart"/>
          </w:tcPr>
          <w:p w:rsidR="002C40A0" w:rsidRPr="001A13D6" w:rsidRDefault="00F7660F" w:rsidP="00F7660F">
            <w:pPr>
              <w:rPr>
                <w:b/>
                <w:sz w:val="16"/>
                <w:szCs w:val="16"/>
              </w:rPr>
            </w:pPr>
            <w:r w:rsidRPr="001A13D6">
              <w:rPr>
                <w:b/>
                <w:sz w:val="16"/>
                <w:szCs w:val="16"/>
              </w:rPr>
              <w:t>N.º de solicitudes</w:t>
            </w:r>
          </w:p>
        </w:tc>
        <w:tc>
          <w:tcPr>
            <w:tcW w:w="2250" w:type="dxa"/>
            <w:gridSpan w:val="3"/>
            <w:tcBorders>
              <w:right w:val="single" w:sz="4" w:space="0" w:color="auto"/>
            </w:tcBorders>
          </w:tcPr>
          <w:p w:rsidR="002C40A0" w:rsidRPr="001A13D6" w:rsidRDefault="002C40A0" w:rsidP="00EB425A">
            <w:pPr>
              <w:cnfStyle w:val="100000000000" w:firstRow="1" w:lastRow="0" w:firstColumn="0" w:lastColumn="0" w:oddVBand="0" w:evenVBand="0" w:oddHBand="0" w:evenHBand="0" w:firstRowFirstColumn="0" w:firstRowLastColumn="0" w:lastRowFirstColumn="0" w:lastRowLastColumn="0"/>
              <w:rPr>
                <w:b/>
                <w:sz w:val="16"/>
                <w:szCs w:val="16"/>
              </w:rPr>
            </w:pPr>
            <w:r w:rsidRPr="001A13D6">
              <w:rPr>
                <w:b/>
                <w:sz w:val="16"/>
                <w:szCs w:val="16"/>
              </w:rPr>
              <w:t>Indonesia</w:t>
            </w:r>
          </w:p>
        </w:tc>
        <w:tc>
          <w:tcPr>
            <w:tcW w:w="2610" w:type="dxa"/>
            <w:gridSpan w:val="3"/>
            <w:tcBorders>
              <w:left w:val="single" w:sz="4" w:space="0" w:color="auto"/>
              <w:right w:val="single" w:sz="4" w:space="0" w:color="auto"/>
            </w:tcBorders>
          </w:tcPr>
          <w:p w:rsidR="002C40A0" w:rsidRPr="001A13D6" w:rsidRDefault="00F7660F" w:rsidP="00EB425A">
            <w:pPr>
              <w:cnfStyle w:val="100000000000" w:firstRow="1" w:lastRow="0" w:firstColumn="0" w:lastColumn="0" w:oddVBand="0" w:evenVBand="0" w:oddHBand="0" w:evenHBand="0" w:firstRowFirstColumn="0" w:firstRowLastColumn="0" w:lastRowFirstColumn="0" w:lastRowLastColumn="0"/>
              <w:rPr>
                <w:b/>
                <w:sz w:val="16"/>
                <w:szCs w:val="16"/>
              </w:rPr>
            </w:pPr>
            <w:r w:rsidRPr="001A13D6">
              <w:rPr>
                <w:b/>
                <w:sz w:val="16"/>
                <w:szCs w:val="16"/>
              </w:rPr>
              <w:t>Filipinas</w:t>
            </w:r>
          </w:p>
        </w:tc>
        <w:tc>
          <w:tcPr>
            <w:tcW w:w="2244" w:type="dxa"/>
            <w:gridSpan w:val="3"/>
            <w:tcBorders>
              <w:left w:val="single" w:sz="4" w:space="0" w:color="auto"/>
              <w:right w:val="single" w:sz="4" w:space="0" w:color="auto"/>
            </w:tcBorders>
          </w:tcPr>
          <w:p w:rsidR="002C40A0" w:rsidRPr="001A13D6" w:rsidRDefault="00F7660F" w:rsidP="00EB425A">
            <w:pPr>
              <w:cnfStyle w:val="100000000000" w:firstRow="1" w:lastRow="0" w:firstColumn="0" w:lastColumn="0" w:oddVBand="0" w:evenVBand="0" w:oddHBand="0" w:evenHBand="0" w:firstRowFirstColumn="0" w:firstRowLastColumn="0" w:lastRowFirstColumn="0" w:lastRowLastColumn="0"/>
              <w:rPr>
                <w:b/>
                <w:sz w:val="16"/>
                <w:szCs w:val="16"/>
              </w:rPr>
            </w:pPr>
            <w:r w:rsidRPr="001A13D6">
              <w:rPr>
                <w:b/>
                <w:sz w:val="16"/>
                <w:szCs w:val="16"/>
              </w:rPr>
              <w:t>Tailandia</w:t>
            </w:r>
          </w:p>
        </w:tc>
        <w:tc>
          <w:tcPr>
            <w:tcW w:w="683" w:type="dxa"/>
            <w:tcBorders>
              <w:left w:val="single" w:sz="4" w:space="0" w:color="auto"/>
            </w:tcBorders>
          </w:tcPr>
          <w:p w:rsidR="002C40A0" w:rsidRPr="001A13D6" w:rsidRDefault="002C40A0" w:rsidP="00EB425A">
            <w:pPr>
              <w:cnfStyle w:val="100000000000" w:firstRow="1" w:lastRow="0" w:firstColumn="0" w:lastColumn="0" w:oddVBand="0" w:evenVBand="0" w:oddHBand="0" w:evenHBand="0" w:firstRowFirstColumn="0" w:firstRowLastColumn="0" w:lastRowFirstColumn="0" w:lastRowLastColumn="0"/>
              <w:rPr>
                <w:b/>
                <w:sz w:val="16"/>
                <w:szCs w:val="16"/>
              </w:rPr>
            </w:pPr>
          </w:p>
        </w:tc>
      </w:tr>
      <w:tr w:rsidR="002C40A0" w:rsidRPr="00F7660F" w:rsidTr="00A91136">
        <w:trPr>
          <w:trHeight w:val="232"/>
        </w:trPr>
        <w:tc>
          <w:tcPr>
            <w:cnfStyle w:val="001000000000" w:firstRow="0" w:lastRow="0" w:firstColumn="1" w:lastColumn="0" w:oddVBand="0" w:evenVBand="0" w:oddHBand="0" w:evenHBand="0" w:firstRowFirstColumn="0" w:firstRowLastColumn="0" w:lastRowFirstColumn="0" w:lastRowLastColumn="0"/>
            <w:tcW w:w="1368" w:type="dxa"/>
            <w:vMerge/>
            <w:tcBorders>
              <w:bottom w:val="single" w:sz="4" w:space="0" w:color="auto"/>
            </w:tcBorders>
          </w:tcPr>
          <w:p w:rsidR="002C40A0" w:rsidRPr="001A13D6" w:rsidRDefault="002C40A0" w:rsidP="00EB425A">
            <w:pPr>
              <w:rPr>
                <w:b/>
                <w:sz w:val="16"/>
                <w:szCs w:val="16"/>
              </w:rPr>
            </w:pPr>
          </w:p>
        </w:tc>
        <w:tc>
          <w:tcPr>
            <w:tcW w:w="630" w:type="dxa"/>
            <w:tcBorders>
              <w:bottom w:val="single" w:sz="4" w:space="0" w:color="auto"/>
            </w:tcBorders>
          </w:tcPr>
          <w:p w:rsidR="002C40A0" w:rsidRPr="001A13D6" w:rsidRDefault="00F7660F"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Empresa</w:t>
            </w:r>
          </w:p>
        </w:tc>
        <w:tc>
          <w:tcPr>
            <w:tcW w:w="990" w:type="dxa"/>
            <w:tcBorders>
              <w:bottom w:val="single" w:sz="4" w:space="0" w:color="auto"/>
            </w:tcBorders>
          </w:tcPr>
          <w:p w:rsidR="002C40A0" w:rsidRPr="001A13D6" w:rsidRDefault="001A13D6"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Particulares</w:t>
            </w:r>
          </w:p>
        </w:tc>
        <w:tc>
          <w:tcPr>
            <w:tcW w:w="630" w:type="dxa"/>
            <w:tcBorders>
              <w:bottom w:val="single" w:sz="4" w:space="0" w:color="auto"/>
              <w:right w:val="single" w:sz="4" w:space="0" w:color="auto"/>
            </w:tcBorders>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Total</w:t>
            </w:r>
          </w:p>
        </w:tc>
        <w:tc>
          <w:tcPr>
            <w:tcW w:w="720" w:type="dxa"/>
            <w:tcBorders>
              <w:left w:val="single" w:sz="4" w:space="0" w:color="auto"/>
              <w:bottom w:val="single" w:sz="4" w:space="0" w:color="auto"/>
            </w:tcBorders>
          </w:tcPr>
          <w:p w:rsidR="002C40A0" w:rsidRPr="001A13D6" w:rsidRDefault="001A13D6"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Empresa</w:t>
            </w:r>
          </w:p>
        </w:tc>
        <w:tc>
          <w:tcPr>
            <w:tcW w:w="1080" w:type="dxa"/>
            <w:tcBorders>
              <w:bottom w:val="single" w:sz="4" w:space="0" w:color="auto"/>
            </w:tcBorders>
          </w:tcPr>
          <w:p w:rsidR="002C40A0" w:rsidRPr="001A13D6" w:rsidRDefault="001A13D6"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Particulares</w:t>
            </w:r>
          </w:p>
        </w:tc>
        <w:tc>
          <w:tcPr>
            <w:tcW w:w="810" w:type="dxa"/>
            <w:tcBorders>
              <w:bottom w:val="single" w:sz="4" w:space="0" w:color="auto"/>
              <w:right w:val="single" w:sz="4" w:space="0" w:color="auto"/>
            </w:tcBorders>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Total</w:t>
            </w:r>
          </w:p>
        </w:tc>
        <w:tc>
          <w:tcPr>
            <w:tcW w:w="630" w:type="dxa"/>
            <w:tcBorders>
              <w:left w:val="single" w:sz="4" w:space="0" w:color="auto"/>
              <w:bottom w:val="single" w:sz="4" w:space="0" w:color="auto"/>
            </w:tcBorders>
          </w:tcPr>
          <w:p w:rsidR="002C40A0" w:rsidRPr="001A13D6" w:rsidRDefault="001A13D6"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Empresa</w:t>
            </w:r>
          </w:p>
        </w:tc>
        <w:tc>
          <w:tcPr>
            <w:tcW w:w="990" w:type="dxa"/>
            <w:tcBorders>
              <w:bottom w:val="single" w:sz="4" w:space="0" w:color="auto"/>
            </w:tcBorders>
          </w:tcPr>
          <w:p w:rsidR="002C40A0" w:rsidRPr="001A13D6" w:rsidRDefault="001A13D6"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Particulares</w:t>
            </w:r>
          </w:p>
        </w:tc>
        <w:tc>
          <w:tcPr>
            <w:tcW w:w="624" w:type="dxa"/>
            <w:tcBorders>
              <w:bottom w:val="single" w:sz="4" w:space="0" w:color="auto"/>
              <w:right w:val="single" w:sz="4" w:space="0" w:color="auto"/>
            </w:tcBorders>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Total</w:t>
            </w:r>
          </w:p>
        </w:tc>
        <w:tc>
          <w:tcPr>
            <w:tcW w:w="683" w:type="dxa"/>
            <w:tcBorders>
              <w:left w:val="single" w:sz="4" w:space="0" w:color="auto"/>
              <w:bottom w:val="single" w:sz="4" w:space="0" w:color="auto"/>
            </w:tcBorders>
          </w:tcPr>
          <w:p w:rsidR="002C40A0" w:rsidRPr="001A13D6" w:rsidRDefault="001A13D6" w:rsidP="00EB425A">
            <w:pPr>
              <w:cnfStyle w:val="000000000000" w:firstRow="0" w:lastRow="0" w:firstColumn="0" w:lastColumn="0" w:oddVBand="0" w:evenVBand="0" w:oddHBand="0" w:evenHBand="0" w:firstRowFirstColumn="0" w:firstRowLastColumn="0" w:lastRowFirstColumn="0" w:lastRowLastColumn="0"/>
              <w:rPr>
                <w:b/>
                <w:sz w:val="16"/>
                <w:szCs w:val="16"/>
              </w:rPr>
            </w:pPr>
            <w:r w:rsidRPr="001A13D6">
              <w:rPr>
                <w:b/>
                <w:sz w:val="16"/>
                <w:szCs w:val="16"/>
              </w:rPr>
              <w:t>Suma</w:t>
            </w:r>
          </w:p>
        </w:tc>
      </w:tr>
      <w:tr w:rsidR="002C40A0" w:rsidRPr="00F7660F" w:rsidTr="00A91136">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2C40A0" w:rsidRPr="001A13D6" w:rsidRDefault="002C40A0" w:rsidP="00F7660F">
            <w:pPr>
              <w:rPr>
                <w:b/>
                <w:sz w:val="16"/>
                <w:szCs w:val="16"/>
              </w:rPr>
            </w:pPr>
            <w:r w:rsidRPr="001A13D6">
              <w:rPr>
                <w:b/>
                <w:sz w:val="16"/>
                <w:szCs w:val="16"/>
              </w:rPr>
              <w:t>1</w:t>
            </w:r>
            <w:r w:rsidR="00F7660F" w:rsidRPr="001A13D6">
              <w:rPr>
                <w:b/>
                <w:sz w:val="16"/>
                <w:szCs w:val="16"/>
              </w:rPr>
              <w:t>.ª solicitud</w:t>
            </w:r>
          </w:p>
        </w:tc>
        <w:tc>
          <w:tcPr>
            <w:tcW w:w="63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57</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55</w:t>
            </w:r>
          </w:p>
        </w:tc>
        <w:tc>
          <w:tcPr>
            <w:tcW w:w="63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112</w:t>
            </w:r>
          </w:p>
        </w:tc>
        <w:tc>
          <w:tcPr>
            <w:tcW w:w="72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23</w:t>
            </w:r>
          </w:p>
        </w:tc>
        <w:tc>
          <w:tcPr>
            <w:tcW w:w="108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28</w:t>
            </w:r>
          </w:p>
        </w:tc>
        <w:tc>
          <w:tcPr>
            <w:tcW w:w="81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51</w:t>
            </w:r>
          </w:p>
        </w:tc>
        <w:tc>
          <w:tcPr>
            <w:tcW w:w="63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45</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60</w:t>
            </w:r>
          </w:p>
        </w:tc>
        <w:tc>
          <w:tcPr>
            <w:tcW w:w="624"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105</w:t>
            </w:r>
          </w:p>
        </w:tc>
        <w:tc>
          <w:tcPr>
            <w:tcW w:w="683"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268</w:t>
            </w:r>
          </w:p>
        </w:tc>
      </w:tr>
      <w:tr w:rsidR="002C40A0" w:rsidRPr="00F7660F" w:rsidTr="00A91136">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2C40A0" w:rsidRPr="001A13D6" w:rsidRDefault="002C40A0" w:rsidP="00F7660F">
            <w:pPr>
              <w:rPr>
                <w:b/>
                <w:sz w:val="16"/>
                <w:szCs w:val="16"/>
              </w:rPr>
            </w:pPr>
            <w:r w:rsidRPr="001A13D6">
              <w:rPr>
                <w:b/>
                <w:sz w:val="16"/>
                <w:szCs w:val="16"/>
              </w:rPr>
              <w:t>2</w:t>
            </w:r>
            <w:r w:rsidR="00F7660F" w:rsidRPr="001A13D6">
              <w:rPr>
                <w:b/>
                <w:sz w:val="16"/>
                <w:szCs w:val="16"/>
              </w:rPr>
              <w:t>.ª solicitud</w:t>
            </w:r>
          </w:p>
        </w:tc>
        <w:tc>
          <w:tcPr>
            <w:tcW w:w="63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31</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20</w:t>
            </w:r>
          </w:p>
        </w:tc>
        <w:tc>
          <w:tcPr>
            <w:tcW w:w="63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51</w:t>
            </w:r>
          </w:p>
        </w:tc>
        <w:tc>
          <w:tcPr>
            <w:tcW w:w="72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15</w:t>
            </w:r>
          </w:p>
        </w:tc>
        <w:tc>
          <w:tcPr>
            <w:tcW w:w="108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10</w:t>
            </w:r>
          </w:p>
        </w:tc>
        <w:tc>
          <w:tcPr>
            <w:tcW w:w="81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25</w:t>
            </w:r>
          </w:p>
        </w:tc>
        <w:tc>
          <w:tcPr>
            <w:tcW w:w="63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26</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23</w:t>
            </w:r>
          </w:p>
        </w:tc>
        <w:tc>
          <w:tcPr>
            <w:tcW w:w="624"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49</w:t>
            </w:r>
          </w:p>
        </w:tc>
        <w:tc>
          <w:tcPr>
            <w:tcW w:w="683"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rPr>
            </w:pPr>
            <w:r w:rsidRPr="001A13D6">
              <w:rPr>
                <w:sz w:val="16"/>
                <w:szCs w:val="16"/>
              </w:rPr>
              <w:t>125</w:t>
            </w:r>
          </w:p>
        </w:tc>
      </w:tr>
      <w:tr w:rsidR="002C40A0" w:rsidRPr="00F7660F" w:rsidTr="00A91136">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2C40A0" w:rsidRPr="001A13D6" w:rsidRDefault="002C40A0" w:rsidP="00F7660F">
            <w:pPr>
              <w:rPr>
                <w:b/>
                <w:sz w:val="16"/>
                <w:szCs w:val="16"/>
              </w:rPr>
            </w:pPr>
            <w:r w:rsidRPr="001A13D6">
              <w:rPr>
                <w:b/>
                <w:sz w:val="16"/>
                <w:szCs w:val="16"/>
              </w:rPr>
              <w:t>3</w:t>
            </w:r>
            <w:r w:rsidR="00F7660F" w:rsidRPr="001A13D6">
              <w:rPr>
                <w:b/>
                <w:sz w:val="16"/>
                <w:szCs w:val="16"/>
              </w:rPr>
              <w:t>.ª solicitud</w:t>
            </w:r>
          </w:p>
        </w:tc>
        <w:tc>
          <w:tcPr>
            <w:tcW w:w="63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20</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7</w:t>
            </w:r>
          </w:p>
        </w:tc>
        <w:tc>
          <w:tcPr>
            <w:tcW w:w="63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27</w:t>
            </w:r>
          </w:p>
        </w:tc>
        <w:tc>
          <w:tcPr>
            <w:tcW w:w="72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11</w:t>
            </w:r>
          </w:p>
        </w:tc>
        <w:tc>
          <w:tcPr>
            <w:tcW w:w="108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6</w:t>
            </w:r>
          </w:p>
        </w:tc>
        <w:tc>
          <w:tcPr>
            <w:tcW w:w="81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17</w:t>
            </w:r>
          </w:p>
        </w:tc>
        <w:tc>
          <w:tcPr>
            <w:tcW w:w="63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13</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10</w:t>
            </w:r>
          </w:p>
        </w:tc>
        <w:tc>
          <w:tcPr>
            <w:tcW w:w="624"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23</w:t>
            </w:r>
          </w:p>
        </w:tc>
        <w:tc>
          <w:tcPr>
            <w:tcW w:w="683"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67</w:t>
            </w:r>
          </w:p>
        </w:tc>
      </w:tr>
      <w:tr w:rsidR="002C40A0" w:rsidRPr="00F7660F" w:rsidTr="00A91136">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2C40A0" w:rsidRPr="001A13D6" w:rsidRDefault="002C40A0" w:rsidP="00F7660F">
            <w:pPr>
              <w:rPr>
                <w:b/>
                <w:sz w:val="16"/>
                <w:szCs w:val="16"/>
              </w:rPr>
            </w:pPr>
            <w:r w:rsidRPr="001A13D6">
              <w:rPr>
                <w:b/>
                <w:sz w:val="16"/>
                <w:szCs w:val="16"/>
              </w:rPr>
              <w:t>4</w:t>
            </w:r>
            <w:r w:rsidR="00F7660F" w:rsidRPr="001A13D6">
              <w:rPr>
                <w:b/>
                <w:sz w:val="16"/>
                <w:szCs w:val="16"/>
              </w:rPr>
              <w:t>.ª solicitud</w:t>
            </w:r>
          </w:p>
        </w:tc>
        <w:tc>
          <w:tcPr>
            <w:tcW w:w="63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16</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4</w:t>
            </w:r>
          </w:p>
        </w:tc>
        <w:tc>
          <w:tcPr>
            <w:tcW w:w="63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20</w:t>
            </w:r>
          </w:p>
        </w:tc>
        <w:tc>
          <w:tcPr>
            <w:tcW w:w="72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9</w:t>
            </w:r>
          </w:p>
        </w:tc>
        <w:tc>
          <w:tcPr>
            <w:tcW w:w="108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6</w:t>
            </w:r>
          </w:p>
        </w:tc>
        <w:tc>
          <w:tcPr>
            <w:tcW w:w="810"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15</w:t>
            </w:r>
          </w:p>
        </w:tc>
        <w:tc>
          <w:tcPr>
            <w:tcW w:w="630"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9</w:t>
            </w:r>
          </w:p>
        </w:tc>
        <w:tc>
          <w:tcPr>
            <w:tcW w:w="990" w:type="dxa"/>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8</w:t>
            </w:r>
          </w:p>
        </w:tc>
        <w:tc>
          <w:tcPr>
            <w:tcW w:w="624" w:type="dxa"/>
            <w:tcBorders>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17</w:t>
            </w:r>
          </w:p>
        </w:tc>
        <w:tc>
          <w:tcPr>
            <w:tcW w:w="683" w:type="dxa"/>
            <w:tcBorders>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52</w:t>
            </w:r>
          </w:p>
        </w:tc>
      </w:tr>
      <w:tr w:rsidR="002C40A0" w:rsidRPr="00F7660F" w:rsidTr="00A91136">
        <w:trPr>
          <w:trHeight w:val="265"/>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tcBorders>
          </w:tcPr>
          <w:p w:rsidR="002C40A0" w:rsidRPr="001A13D6" w:rsidRDefault="001A13D6" w:rsidP="00EB425A">
            <w:pPr>
              <w:rPr>
                <w:b/>
                <w:sz w:val="16"/>
                <w:szCs w:val="16"/>
              </w:rPr>
            </w:pPr>
            <w:r w:rsidRPr="001A13D6">
              <w:rPr>
                <w:b/>
                <w:sz w:val="16"/>
                <w:szCs w:val="16"/>
              </w:rPr>
              <w:t>Total</w:t>
            </w:r>
          </w:p>
        </w:tc>
        <w:tc>
          <w:tcPr>
            <w:tcW w:w="630" w:type="dxa"/>
            <w:tcBorders>
              <w:top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124</w:t>
            </w:r>
          </w:p>
        </w:tc>
        <w:tc>
          <w:tcPr>
            <w:tcW w:w="990" w:type="dxa"/>
            <w:tcBorders>
              <w:top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86</w:t>
            </w:r>
          </w:p>
        </w:tc>
        <w:tc>
          <w:tcPr>
            <w:tcW w:w="630" w:type="dxa"/>
            <w:tcBorders>
              <w:top w:val="single" w:sz="4" w:space="0" w:color="auto"/>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210</w:t>
            </w:r>
          </w:p>
        </w:tc>
        <w:tc>
          <w:tcPr>
            <w:tcW w:w="720" w:type="dxa"/>
            <w:tcBorders>
              <w:top w:val="single" w:sz="4" w:space="0" w:color="auto"/>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58</w:t>
            </w:r>
          </w:p>
        </w:tc>
        <w:tc>
          <w:tcPr>
            <w:tcW w:w="1080" w:type="dxa"/>
            <w:tcBorders>
              <w:top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50</w:t>
            </w:r>
          </w:p>
        </w:tc>
        <w:tc>
          <w:tcPr>
            <w:tcW w:w="810" w:type="dxa"/>
            <w:tcBorders>
              <w:top w:val="single" w:sz="4" w:space="0" w:color="auto"/>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108</w:t>
            </w:r>
          </w:p>
        </w:tc>
        <w:tc>
          <w:tcPr>
            <w:tcW w:w="630" w:type="dxa"/>
            <w:tcBorders>
              <w:top w:val="single" w:sz="4" w:space="0" w:color="auto"/>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93</w:t>
            </w:r>
          </w:p>
        </w:tc>
        <w:tc>
          <w:tcPr>
            <w:tcW w:w="990" w:type="dxa"/>
            <w:tcBorders>
              <w:top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101</w:t>
            </w:r>
          </w:p>
        </w:tc>
        <w:tc>
          <w:tcPr>
            <w:tcW w:w="624" w:type="dxa"/>
            <w:tcBorders>
              <w:top w:val="single" w:sz="4" w:space="0" w:color="auto"/>
              <w:righ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194</w:t>
            </w:r>
          </w:p>
        </w:tc>
        <w:tc>
          <w:tcPr>
            <w:tcW w:w="683" w:type="dxa"/>
            <w:tcBorders>
              <w:top w:val="single" w:sz="4" w:space="0" w:color="auto"/>
              <w:left w:val="single" w:sz="4" w:space="0" w:color="auto"/>
            </w:tcBorders>
            <w:vAlign w:val="bottom"/>
          </w:tcPr>
          <w:p w:rsidR="002C40A0" w:rsidRPr="001A13D6" w:rsidRDefault="002C40A0" w:rsidP="00EB425A">
            <w:pPr>
              <w:cnfStyle w:val="000000000000" w:firstRow="0" w:lastRow="0" w:firstColumn="0" w:lastColumn="0" w:oddVBand="0" w:evenVBand="0" w:oddHBand="0" w:evenHBand="0" w:firstRowFirstColumn="0" w:firstRowLastColumn="0" w:lastRowFirstColumn="0" w:lastRowLastColumn="0"/>
              <w:rPr>
                <w:sz w:val="16"/>
                <w:szCs w:val="16"/>
                <w:lang w:val="en-US"/>
              </w:rPr>
            </w:pPr>
            <w:r w:rsidRPr="001A13D6">
              <w:rPr>
                <w:sz w:val="16"/>
                <w:szCs w:val="16"/>
                <w:lang w:val="en-US"/>
              </w:rPr>
              <w:t>512</w:t>
            </w:r>
          </w:p>
        </w:tc>
      </w:tr>
    </w:tbl>
    <w:p w:rsidR="00A8705E" w:rsidRPr="00F7660F" w:rsidRDefault="00A8705E" w:rsidP="002C40A0">
      <w:pPr>
        <w:rPr>
          <w:lang w:val="en-US"/>
        </w:rPr>
      </w:pPr>
    </w:p>
    <w:p w:rsidR="00A8705E" w:rsidRPr="00F7660F" w:rsidRDefault="00A8705E" w:rsidP="002C40A0">
      <w:pPr>
        <w:rPr>
          <w:lang w:val="en-US"/>
        </w:rPr>
      </w:pPr>
    </w:p>
    <w:p w:rsidR="00A8705E" w:rsidRPr="003A486A" w:rsidRDefault="00C16A60" w:rsidP="00C16A60">
      <w:pPr>
        <w:rPr>
          <w:b/>
          <w:bCs/>
        </w:rPr>
      </w:pPr>
      <w:r w:rsidRPr="003A486A">
        <w:rPr>
          <w:b/>
          <w:bCs/>
          <w:color w:val="000000"/>
        </w:rPr>
        <w:t>Diseño de la encuesta</w:t>
      </w:r>
    </w:p>
    <w:p w:rsidR="00A8705E" w:rsidRDefault="00A8705E" w:rsidP="002C40A0">
      <w:pPr>
        <w:rPr>
          <w:b/>
          <w:bCs/>
          <w:lang w:val="es-ES_tradnl"/>
        </w:rPr>
      </w:pPr>
    </w:p>
    <w:p w:rsidR="00A8705E" w:rsidRDefault="00C16A60" w:rsidP="00C16A60">
      <w:pPr>
        <w:rPr>
          <w:lang w:val="es-ES_tradnl"/>
        </w:rPr>
      </w:pPr>
      <w:r w:rsidRPr="00C16A60">
        <w:rPr>
          <w:color w:val="000000"/>
          <w:lang w:val="es-ES_tradnl"/>
        </w:rPr>
        <w:t>El equipo de investigación de la OMPI dedicó mucho tiempo al principio para diseñar el cuestionario.</w:t>
      </w:r>
      <w:r w:rsidR="00D54C8A">
        <w:rPr>
          <w:lang w:val="es-ES_tradnl"/>
        </w:rPr>
        <w:t xml:space="preserve"> </w:t>
      </w:r>
      <w:r w:rsidRPr="00C16A60">
        <w:rPr>
          <w:color w:val="000000"/>
          <w:lang w:val="es-ES_tradnl"/>
        </w:rPr>
        <w:t xml:space="preserve">Se revisaron varios cuestionarios </w:t>
      </w:r>
      <w:r w:rsidR="00D1778F" w:rsidRPr="00124421">
        <w:rPr>
          <w:color w:val="000000"/>
          <w:lang w:val="es-ES_tradnl"/>
        </w:rPr>
        <w:t>específicos</w:t>
      </w:r>
      <w:r w:rsidR="00D1778F">
        <w:rPr>
          <w:color w:val="000000"/>
          <w:lang w:val="es-ES_tradnl"/>
        </w:rPr>
        <w:t xml:space="preserve"> sobre</w:t>
      </w:r>
      <w:r w:rsidRPr="00C16A60">
        <w:rPr>
          <w:color w:val="000000"/>
          <w:lang w:val="es-ES_tradnl"/>
        </w:rPr>
        <w:t xml:space="preserve"> diseño</w:t>
      </w:r>
      <w:r w:rsidR="00D1778F">
        <w:rPr>
          <w:color w:val="000000"/>
          <w:lang w:val="es-ES_tradnl"/>
        </w:rPr>
        <w:t>s</w:t>
      </w:r>
      <w:r w:rsidRPr="00C16A60">
        <w:rPr>
          <w:color w:val="000000"/>
          <w:lang w:val="es-ES_tradnl"/>
        </w:rPr>
        <w:t>, como los utilizados en Dinamarca y el Reino Unido.</w:t>
      </w:r>
      <w:r w:rsidR="00D54C8A">
        <w:rPr>
          <w:lang w:val="es-ES_tradnl"/>
        </w:rPr>
        <w:t xml:space="preserve"> </w:t>
      </w:r>
      <w:r w:rsidRPr="00C16A60">
        <w:rPr>
          <w:color w:val="000000"/>
          <w:lang w:val="es-ES_tradnl"/>
        </w:rPr>
        <w:t>También se consultaron encuestas previas dirigidas por la OMPI sobre el uso de los diseños industriales en Argentina y Marruecos.</w:t>
      </w:r>
      <w:r w:rsidR="00D54C8A">
        <w:rPr>
          <w:lang w:val="es-ES_tradnl"/>
        </w:rPr>
        <w:t xml:space="preserve"> </w:t>
      </w:r>
      <w:r w:rsidRPr="00C16A60">
        <w:rPr>
          <w:color w:val="000000"/>
          <w:lang w:val="es-ES_tradnl"/>
        </w:rPr>
        <w:t xml:space="preserve">Si bien eran informativos, estos cuestionarios solo </w:t>
      </w:r>
      <w:r w:rsidR="00D1778F">
        <w:rPr>
          <w:color w:val="000000"/>
          <w:lang w:val="es-ES_tradnl"/>
        </w:rPr>
        <w:t>respondían</w:t>
      </w:r>
      <w:r w:rsidRPr="00C16A60">
        <w:rPr>
          <w:color w:val="000000"/>
          <w:lang w:val="es-ES_tradnl"/>
        </w:rPr>
        <w:t xml:space="preserve"> parcialmente a las cuestiones de investigación del estudio.</w:t>
      </w:r>
      <w:r w:rsidR="002C40A0" w:rsidRPr="00334317">
        <w:rPr>
          <w:lang w:val="es-ES_tradnl"/>
        </w:rPr>
        <w:t xml:space="preserve"> </w:t>
      </w:r>
    </w:p>
    <w:p w:rsidR="00A8705E" w:rsidRDefault="00A8705E" w:rsidP="002C40A0">
      <w:pPr>
        <w:rPr>
          <w:lang w:val="es-ES_tradnl"/>
        </w:rPr>
      </w:pPr>
    </w:p>
    <w:p w:rsidR="00A8705E" w:rsidRDefault="00451F98" w:rsidP="0070016D">
      <w:pPr>
        <w:rPr>
          <w:lang w:val="es-ES_tradnl"/>
        </w:rPr>
      </w:pPr>
      <w:r>
        <w:rPr>
          <w:color w:val="000000"/>
          <w:lang w:val="es-ES_tradnl"/>
        </w:rPr>
        <w:t>Posteriormente,</w:t>
      </w:r>
      <w:r w:rsidR="0070016D" w:rsidRPr="0070016D">
        <w:rPr>
          <w:color w:val="000000"/>
          <w:lang w:val="es-ES_tradnl"/>
        </w:rPr>
        <w:t xml:space="preserve"> el equipo de investigación se informó acerca de la serie de encuestas a inventores realizadas en varios países de ingresos altos, en particular la encuesta europea PatVal-EU.</w:t>
      </w:r>
    </w:p>
    <w:p w:rsidR="00A8705E" w:rsidRDefault="00A8705E" w:rsidP="002C40A0">
      <w:pPr>
        <w:rPr>
          <w:lang w:val="es-ES_tradnl"/>
        </w:rPr>
      </w:pPr>
    </w:p>
    <w:p w:rsidR="00A8705E" w:rsidRDefault="0070016D" w:rsidP="00742CE1">
      <w:pPr>
        <w:rPr>
          <w:lang w:val="es-ES_tradnl"/>
        </w:rPr>
      </w:pPr>
      <w:r w:rsidRPr="00EB425A">
        <w:rPr>
          <w:color w:val="000000"/>
          <w:lang w:val="es-ES_tradnl"/>
        </w:rPr>
        <w:t>A diferencia</w:t>
      </w:r>
      <w:r w:rsidRPr="0070016D">
        <w:rPr>
          <w:color w:val="000000"/>
          <w:lang w:val="es-ES_tradnl"/>
        </w:rPr>
        <w:t xml:space="preserve"> de las encuestas sobre inventores, esta encuesta estaba dirigida a los </w:t>
      </w:r>
      <w:r w:rsidR="00EB425A">
        <w:rPr>
          <w:color w:val="000000"/>
          <w:lang w:val="es-ES_tradnl"/>
        </w:rPr>
        <w:t xml:space="preserve">solicitantes en lugar </w:t>
      </w:r>
      <w:r w:rsidRPr="0070016D">
        <w:rPr>
          <w:color w:val="000000"/>
          <w:lang w:val="es-ES_tradnl"/>
        </w:rPr>
        <w:t>de los diseñadores.</w:t>
      </w:r>
      <w:r w:rsidR="00D54C8A">
        <w:rPr>
          <w:lang w:val="es-ES_tradnl"/>
        </w:rPr>
        <w:t xml:space="preserve"> </w:t>
      </w:r>
      <w:r w:rsidRPr="0070016D">
        <w:rPr>
          <w:color w:val="000000"/>
          <w:lang w:val="es-ES_tradnl"/>
        </w:rPr>
        <w:t xml:space="preserve">Asimismo, el proceso de innovación en </w:t>
      </w:r>
      <w:r w:rsidR="00EB425A">
        <w:rPr>
          <w:color w:val="000000"/>
          <w:lang w:val="es-ES_tradnl"/>
        </w:rPr>
        <w:t>el ámbito de</w:t>
      </w:r>
      <w:r w:rsidRPr="0070016D">
        <w:rPr>
          <w:color w:val="000000"/>
          <w:lang w:val="es-ES_tradnl"/>
        </w:rPr>
        <w:t xml:space="preserve"> los diseños es diferente </w:t>
      </w:r>
      <w:r w:rsidR="00EB425A">
        <w:rPr>
          <w:color w:val="000000"/>
          <w:lang w:val="es-ES_tradnl"/>
        </w:rPr>
        <w:t xml:space="preserve">al </w:t>
      </w:r>
      <w:r w:rsidRPr="0070016D">
        <w:rPr>
          <w:color w:val="000000"/>
          <w:lang w:val="es-ES_tradnl"/>
        </w:rPr>
        <w:t xml:space="preserve">de </w:t>
      </w:r>
      <w:r w:rsidR="00EB425A">
        <w:rPr>
          <w:color w:val="000000"/>
          <w:lang w:val="es-ES_tradnl"/>
        </w:rPr>
        <w:t xml:space="preserve">la innovación tecnológica y eso </w:t>
      </w:r>
      <w:r w:rsidRPr="0070016D">
        <w:rPr>
          <w:color w:val="000000"/>
          <w:lang w:val="es-ES_tradnl"/>
        </w:rPr>
        <w:t>quedó reflejado en la lista final de preguntas incluidas en el cuestionario.</w:t>
      </w:r>
      <w:r w:rsidR="00D54C8A">
        <w:rPr>
          <w:lang w:val="es-ES_tradnl"/>
        </w:rPr>
        <w:t xml:space="preserve"> </w:t>
      </w:r>
      <w:r w:rsidRPr="0070016D">
        <w:rPr>
          <w:color w:val="000000"/>
          <w:lang w:val="es-ES_tradnl"/>
        </w:rPr>
        <w:t>Algunas estaban relacionadas con la importancia de los diseños para la</w:t>
      </w:r>
      <w:r w:rsidR="00EB425A">
        <w:rPr>
          <w:color w:val="000000"/>
          <w:lang w:val="es-ES_tradnl"/>
        </w:rPr>
        <w:t>s operaciones de la</w:t>
      </w:r>
      <w:r w:rsidRPr="0070016D">
        <w:rPr>
          <w:color w:val="000000"/>
          <w:lang w:val="es-ES_tradnl"/>
        </w:rPr>
        <w:t xml:space="preserve"> empresa.</w:t>
      </w:r>
      <w:r w:rsidR="00D54C8A">
        <w:rPr>
          <w:lang w:val="es-ES_tradnl"/>
        </w:rPr>
        <w:t xml:space="preserve"> </w:t>
      </w:r>
      <w:r w:rsidRPr="0070016D">
        <w:rPr>
          <w:color w:val="000000"/>
          <w:lang w:val="es-ES_tradnl"/>
        </w:rPr>
        <w:t xml:space="preserve">Por ejemplo, en el cuestionario se preguntaba si el departamento de diseño formaba parte del departamento de I+D o </w:t>
      </w:r>
      <w:r w:rsidR="00EB425A">
        <w:rPr>
          <w:color w:val="000000"/>
          <w:lang w:val="es-ES_tradnl"/>
        </w:rPr>
        <w:t xml:space="preserve">estaba más cerca del </w:t>
      </w:r>
      <w:r w:rsidRPr="0070016D">
        <w:rPr>
          <w:color w:val="000000"/>
          <w:lang w:val="es-ES_tradnl"/>
        </w:rPr>
        <w:t xml:space="preserve">de comercialización, y si </w:t>
      </w:r>
      <w:r w:rsidR="00EB425A">
        <w:rPr>
          <w:color w:val="000000"/>
          <w:lang w:val="es-ES_tradnl"/>
        </w:rPr>
        <w:t>tenía</w:t>
      </w:r>
      <w:r w:rsidRPr="0070016D">
        <w:rPr>
          <w:color w:val="000000"/>
          <w:lang w:val="es-ES_tradnl"/>
        </w:rPr>
        <w:t xml:space="preserve"> </w:t>
      </w:r>
      <w:r w:rsidR="00EB425A">
        <w:rPr>
          <w:color w:val="000000"/>
          <w:lang w:val="es-ES_tradnl"/>
        </w:rPr>
        <w:t xml:space="preserve">su propio </w:t>
      </w:r>
      <w:r w:rsidRPr="0070016D">
        <w:rPr>
          <w:color w:val="000000"/>
          <w:lang w:val="es-ES_tradnl"/>
        </w:rPr>
        <w:t>presupuesto.</w:t>
      </w:r>
      <w:r w:rsidR="00D54C8A">
        <w:rPr>
          <w:lang w:val="es-ES_tradnl"/>
        </w:rPr>
        <w:t xml:space="preserve"> </w:t>
      </w:r>
      <w:r w:rsidR="00742CE1" w:rsidRPr="00742CE1">
        <w:rPr>
          <w:color w:val="000000"/>
          <w:lang w:val="es-ES_tradnl"/>
        </w:rPr>
        <w:t xml:space="preserve">Otras preguntas se centraban en las distintas fuentes de inspiración que </w:t>
      </w:r>
      <w:r w:rsidR="00EB425A">
        <w:rPr>
          <w:color w:val="000000"/>
          <w:lang w:val="es-ES_tradnl"/>
        </w:rPr>
        <w:t>daban lugar a innovaciones de</w:t>
      </w:r>
      <w:r w:rsidR="00742CE1" w:rsidRPr="00742CE1">
        <w:rPr>
          <w:color w:val="000000"/>
          <w:lang w:val="es-ES_tradnl"/>
        </w:rPr>
        <w:t xml:space="preserve"> diseño, como </w:t>
      </w:r>
      <w:r w:rsidR="00CF7E70">
        <w:rPr>
          <w:color w:val="000000"/>
          <w:lang w:val="es-ES_tradnl"/>
        </w:rPr>
        <w:t xml:space="preserve">las reacciones </w:t>
      </w:r>
      <w:r w:rsidR="00EB425A">
        <w:rPr>
          <w:color w:val="000000"/>
          <w:lang w:val="es-ES_tradnl"/>
        </w:rPr>
        <w:t>de</w:t>
      </w:r>
      <w:r w:rsidR="00742CE1" w:rsidRPr="00742CE1">
        <w:rPr>
          <w:color w:val="000000"/>
          <w:lang w:val="es-ES_tradnl"/>
        </w:rPr>
        <w:t xml:space="preserve"> los consumidores o las ferias de diseño.</w:t>
      </w:r>
    </w:p>
    <w:p w:rsidR="00A8705E" w:rsidRDefault="00A8705E" w:rsidP="00CF7E70">
      <w:pPr>
        <w:tabs>
          <w:tab w:val="left" w:pos="4150"/>
        </w:tabs>
        <w:rPr>
          <w:lang w:val="es-ES_tradnl"/>
        </w:rPr>
      </w:pPr>
    </w:p>
    <w:p w:rsidR="00A8705E" w:rsidRPr="00EB425A" w:rsidRDefault="00742CE1" w:rsidP="00742CE1">
      <w:pPr>
        <w:rPr>
          <w:lang w:val="es-ES_tradnl"/>
        </w:rPr>
      </w:pPr>
      <w:r w:rsidRPr="00EB425A">
        <w:rPr>
          <w:lang w:val="es-ES_tradnl"/>
        </w:rPr>
        <w:t>El cuestionario se dividió en dos partes.</w:t>
      </w:r>
      <w:r w:rsidR="00D54C8A" w:rsidRPr="00EB425A">
        <w:rPr>
          <w:lang w:val="es-ES_tradnl"/>
        </w:rPr>
        <w:t xml:space="preserve"> </w:t>
      </w:r>
      <w:r w:rsidRPr="00EB425A">
        <w:rPr>
          <w:lang w:val="es-ES_tradnl"/>
        </w:rPr>
        <w:t>La primera</w:t>
      </w:r>
      <w:r w:rsidR="00EB425A">
        <w:rPr>
          <w:lang w:val="es-ES_tradnl"/>
        </w:rPr>
        <w:t xml:space="preserve"> trataba</w:t>
      </w:r>
      <w:r w:rsidRPr="00EB425A">
        <w:rPr>
          <w:lang w:val="es-ES_tradnl"/>
        </w:rPr>
        <w:t xml:space="preserve"> </w:t>
      </w:r>
      <w:r w:rsidR="00EB425A">
        <w:rPr>
          <w:lang w:val="es-ES_tradnl"/>
        </w:rPr>
        <w:t xml:space="preserve">sobre </w:t>
      </w:r>
      <w:r w:rsidRPr="00EB425A">
        <w:rPr>
          <w:lang w:val="es-ES_tradnl"/>
        </w:rPr>
        <w:t xml:space="preserve">el solicitante y buscaba identificar </w:t>
      </w:r>
      <w:r w:rsidR="00EB425A">
        <w:rPr>
          <w:lang w:val="es-ES_tradnl"/>
        </w:rPr>
        <w:t>características</w:t>
      </w:r>
      <w:r w:rsidRPr="00EB425A">
        <w:rPr>
          <w:lang w:val="es-ES_tradnl"/>
        </w:rPr>
        <w:t xml:space="preserve"> </w:t>
      </w:r>
      <w:r w:rsidR="00451F98">
        <w:rPr>
          <w:lang w:val="es-ES_tradnl"/>
        </w:rPr>
        <w:t xml:space="preserve">de este </w:t>
      </w:r>
      <w:r w:rsidRPr="00EB425A">
        <w:rPr>
          <w:lang w:val="es-ES_tradnl"/>
        </w:rPr>
        <w:t xml:space="preserve">como </w:t>
      </w:r>
      <w:r w:rsidR="00451F98">
        <w:rPr>
          <w:lang w:val="es-ES_tradnl"/>
        </w:rPr>
        <w:t>su</w:t>
      </w:r>
      <w:r w:rsidRPr="00EB425A">
        <w:rPr>
          <w:lang w:val="es-ES_tradnl"/>
        </w:rPr>
        <w:t xml:space="preserve"> línea empresarial, tamaño</w:t>
      </w:r>
      <w:r w:rsidR="00EB425A">
        <w:rPr>
          <w:lang w:val="es-ES_tradnl"/>
        </w:rPr>
        <w:t xml:space="preserve"> y si exporta o no</w:t>
      </w:r>
      <w:r w:rsidRPr="00EB425A">
        <w:rPr>
          <w:lang w:val="es-ES_tradnl"/>
        </w:rPr>
        <w:t>.</w:t>
      </w:r>
      <w:r w:rsidR="00D54C8A" w:rsidRPr="00EB425A">
        <w:rPr>
          <w:lang w:val="es-ES_tradnl"/>
        </w:rPr>
        <w:t xml:space="preserve"> </w:t>
      </w:r>
      <w:r w:rsidRPr="00EB425A">
        <w:rPr>
          <w:lang w:val="es-ES_tradnl"/>
        </w:rPr>
        <w:t>Si el solicitante era un</w:t>
      </w:r>
      <w:r w:rsidR="00EB425A">
        <w:rPr>
          <w:lang w:val="es-ES_tradnl"/>
        </w:rPr>
        <w:t>a persona</w:t>
      </w:r>
      <w:r w:rsidRPr="00EB425A">
        <w:rPr>
          <w:lang w:val="es-ES_tradnl"/>
        </w:rPr>
        <w:t>, se utilizaba un cuestionario ligeramente adaptado.</w:t>
      </w:r>
      <w:r w:rsidR="00D54C8A" w:rsidRPr="00EB425A">
        <w:rPr>
          <w:lang w:val="es-ES_tradnl"/>
        </w:rPr>
        <w:t xml:space="preserve"> </w:t>
      </w:r>
      <w:r w:rsidRPr="00EB425A">
        <w:rPr>
          <w:lang w:val="es-ES_tradnl"/>
        </w:rPr>
        <w:t xml:space="preserve">En particular, </w:t>
      </w:r>
      <w:r w:rsidR="00973FEF">
        <w:rPr>
          <w:lang w:val="es-ES_tradnl"/>
        </w:rPr>
        <w:t>dicho</w:t>
      </w:r>
      <w:r w:rsidRPr="00EB425A">
        <w:rPr>
          <w:lang w:val="es-ES_tradnl"/>
        </w:rPr>
        <w:t xml:space="preserve"> cuestionario adaptado preguntaba </w:t>
      </w:r>
      <w:r w:rsidR="00973FEF">
        <w:rPr>
          <w:lang w:val="es-ES_tradnl"/>
        </w:rPr>
        <w:t>sobre</w:t>
      </w:r>
      <w:r w:rsidRPr="00EB425A">
        <w:rPr>
          <w:lang w:val="es-ES_tradnl"/>
        </w:rPr>
        <w:t xml:space="preserve"> la situación laboral del solicitante y si este tenía algún vínculo con la en</w:t>
      </w:r>
      <w:r w:rsidR="00973FEF">
        <w:rPr>
          <w:lang w:val="es-ES_tradnl"/>
        </w:rPr>
        <w:t xml:space="preserve">tidad comercial que producía </w:t>
      </w:r>
      <w:r w:rsidRPr="00EB425A">
        <w:rPr>
          <w:lang w:val="es-ES_tradnl"/>
        </w:rPr>
        <w:t>el diseño industrial</w:t>
      </w:r>
      <w:r w:rsidR="00973FEF" w:rsidRPr="00973FEF">
        <w:rPr>
          <w:lang w:val="es-ES_tradnl"/>
        </w:rPr>
        <w:t xml:space="preserve"> </w:t>
      </w:r>
      <w:r w:rsidR="00973FEF" w:rsidRPr="00EB425A">
        <w:rPr>
          <w:lang w:val="es-ES_tradnl"/>
        </w:rPr>
        <w:t>protegido</w:t>
      </w:r>
      <w:r w:rsidRPr="00EB425A">
        <w:rPr>
          <w:lang w:val="es-ES_tradnl"/>
        </w:rPr>
        <w:t>.</w:t>
      </w:r>
    </w:p>
    <w:p w:rsidR="00A8705E" w:rsidRDefault="00A8705E" w:rsidP="002C40A0">
      <w:pPr>
        <w:rPr>
          <w:lang w:val="es-ES_tradnl"/>
        </w:rPr>
      </w:pPr>
    </w:p>
    <w:p w:rsidR="00A8705E" w:rsidRDefault="00742CE1" w:rsidP="00CF0F7A">
      <w:pPr>
        <w:rPr>
          <w:lang w:val="es-ES_tradnl"/>
        </w:rPr>
      </w:pPr>
      <w:r w:rsidRPr="00742CE1">
        <w:rPr>
          <w:color w:val="000000"/>
          <w:lang w:val="es-ES_tradnl"/>
        </w:rPr>
        <w:t>En la segunda parte del cuestionario se examinaban los diseños industriales protegidos de estos usuarios.</w:t>
      </w:r>
      <w:r w:rsidR="00D54C8A">
        <w:rPr>
          <w:lang w:val="es-ES_tradnl"/>
        </w:rPr>
        <w:t xml:space="preserve"> </w:t>
      </w:r>
      <w:r w:rsidR="00CF0F7A" w:rsidRPr="00CF0F7A">
        <w:rPr>
          <w:color w:val="000000"/>
          <w:lang w:val="es-ES_tradnl"/>
        </w:rPr>
        <w:t xml:space="preserve">Entre otros elementos, se </w:t>
      </w:r>
      <w:r w:rsidR="00973FEF">
        <w:rPr>
          <w:color w:val="000000"/>
          <w:lang w:val="es-ES_tradnl"/>
        </w:rPr>
        <w:t>preguntaba</w:t>
      </w:r>
      <w:r w:rsidR="00CF0F7A" w:rsidRPr="00CF0F7A">
        <w:rPr>
          <w:color w:val="000000"/>
          <w:lang w:val="es-ES_tradnl"/>
        </w:rPr>
        <w:t xml:space="preserve"> sobre las características de los diseñadores que figur</w:t>
      </w:r>
      <w:r w:rsidR="00973FEF">
        <w:rPr>
          <w:color w:val="000000"/>
          <w:lang w:val="es-ES_tradnl"/>
        </w:rPr>
        <w:t>ab</w:t>
      </w:r>
      <w:r w:rsidR="00CF0F7A" w:rsidRPr="00CF0F7A">
        <w:rPr>
          <w:color w:val="000000"/>
          <w:lang w:val="es-ES_tradnl"/>
        </w:rPr>
        <w:t xml:space="preserve">an en los </w:t>
      </w:r>
      <w:r w:rsidR="00E16BA3">
        <w:rPr>
          <w:color w:val="000000"/>
          <w:lang w:val="es-ES_tradnl"/>
        </w:rPr>
        <w:t>registros</w:t>
      </w:r>
      <w:r w:rsidR="00CF0F7A" w:rsidRPr="00CF0F7A">
        <w:rPr>
          <w:color w:val="000000"/>
          <w:lang w:val="es-ES_tradnl"/>
        </w:rPr>
        <w:t xml:space="preserve">, si el diseño industrial se comercializaba </w:t>
      </w:r>
      <w:r w:rsidR="00973FEF">
        <w:rPr>
          <w:color w:val="000000"/>
          <w:lang w:val="es-ES_tradnl"/>
        </w:rPr>
        <w:t>(</w:t>
      </w:r>
      <w:r w:rsidR="00CF0F7A" w:rsidRPr="00CF0F7A">
        <w:rPr>
          <w:color w:val="000000"/>
          <w:lang w:val="es-ES_tradnl"/>
        </w:rPr>
        <w:t>y cómo</w:t>
      </w:r>
      <w:r w:rsidR="00973FEF">
        <w:rPr>
          <w:color w:val="000000"/>
          <w:lang w:val="es-ES_tradnl"/>
        </w:rPr>
        <w:t>)</w:t>
      </w:r>
      <w:r w:rsidR="00CF0F7A" w:rsidRPr="00CF0F7A">
        <w:rPr>
          <w:color w:val="000000"/>
          <w:lang w:val="es-ES_tradnl"/>
        </w:rPr>
        <w:t xml:space="preserve">, su valor comercial y si se imitaba el </w:t>
      </w:r>
      <w:r w:rsidR="00CF0F7A" w:rsidRPr="00231321">
        <w:rPr>
          <w:color w:val="000000"/>
          <w:lang w:val="es-ES_tradnl"/>
        </w:rPr>
        <w:t xml:space="preserve">diseño </w:t>
      </w:r>
      <w:r w:rsidR="00A63A68">
        <w:rPr>
          <w:color w:val="000000"/>
          <w:lang w:val="es-ES_tradnl"/>
        </w:rPr>
        <w:t>en cuestión</w:t>
      </w:r>
      <w:r w:rsidR="00CF0F7A" w:rsidRPr="00CF0F7A">
        <w:rPr>
          <w:color w:val="000000"/>
          <w:lang w:val="es-ES_tradnl"/>
        </w:rPr>
        <w:t xml:space="preserve">. </w:t>
      </w:r>
    </w:p>
    <w:p w:rsidR="00A8705E" w:rsidRDefault="00A8705E" w:rsidP="002C40A0">
      <w:pPr>
        <w:rPr>
          <w:lang w:val="es-ES_tradnl"/>
        </w:rPr>
      </w:pPr>
    </w:p>
    <w:p w:rsidR="00A8705E" w:rsidRDefault="00CF0F7A" w:rsidP="00CF0F7A">
      <w:pPr>
        <w:rPr>
          <w:lang w:val="es-ES_tradnl"/>
        </w:rPr>
      </w:pPr>
      <w:r w:rsidRPr="00CF0F7A">
        <w:rPr>
          <w:color w:val="000000"/>
          <w:lang w:val="es-ES_tradnl"/>
        </w:rPr>
        <w:t>La mayoría de encuestados recibieron un cuestionario personalizado en el que se incluía la imagen del diseño para el que se había presentado una solicitud de registro.</w:t>
      </w:r>
      <w:r w:rsidR="00D54C8A">
        <w:rPr>
          <w:lang w:val="es-ES_tradnl"/>
        </w:rPr>
        <w:t xml:space="preserve"> </w:t>
      </w:r>
      <w:r w:rsidRPr="00CF0F7A">
        <w:rPr>
          <w:color w:val="000000"/>
          <w:lang w:val="es-ES_tradnl"/>
        </w:rPr>
        <w:t>A los pocos encuestados que habían presentado más de una solicitud de registro de diseño industrial en los años que abarca el estudio se les pidió que rellenaran un formulario de encuesta específico por solicitud, hasta un máximo de cuatro.</w:t>
      </w:r>
    </w:p>
    <w:p w:rsidR="00A8705E" w:rsidRDefault="00A8705E" w:rsidP="002C40A0">
      <w:pPr>
        <w:rPr>
          <w:b/>
          <w:bCs/>
          <w:lang w:val="es-ES_tradnl"/>
        </w:rPr>
      </w:pPr>
    </w:p>
    <w:p w:rsidR="00A8705E" w:rsidRPr="00973FEF" w:rsidRDefault="00CF0F7A" w:rsidP="00CF0F7A">
      <w:pPr>
        <w:rPr>
          <w:b/>
          <w:bCs/>
          <w:lang w:val="es-ES_tradnl"/>
        </w:rPr>
      </w:pPr>
      <w:r w:rsidRPr="00973FEF">
        <w:rPr>
          <w:b/>
          <w:bCs/>
          <w:lang w:val="es-ES_tradnl"/>
        </w:rPr>
        <w:t>Conclusiones principales</w:t>
      </w:r>
    </w:p>
    <w:p w:rsidR="00A8705E" w:rsidRDefault="00A8705E" w:rsidP="002C40A0">
      <w:pPr>
        <w:rPr>
          <w:lang w:val="es-ES_tradnl"/>
        </w:rPr>
      </w:pPr>
    </w:p>
    <w:p w:rsidR="00A8705E" w:rsidRDefault="00CF0F7A" w:rsidP="00CF0F7A">
      <w:pPr>
        <w:rPr>
          <w:lang w:val="es-ES_tradnl"/>
        </w:rPr>
      </w:pPr>
      <w:r w:rsidRPr="00CF0F7A">
        <w:rPr>
          <w:color w:val="000000"/>
          <w:lang w:val="es-ES_tradnl"/>
        </w:rPr>
        <w:t xml:space="preserve">El análisis descriptivo de los resultados de la encuesta permite </w:t>
      </w:r>
      <w:r w:rsidR="004C199F">
        <w:rPr>
          <w:color w:val="000000"/>
          <w:lang w:val="es-ES_tradnl"/>
        </w:rPr>
        <w:t>hacer una serie de constataciones</w:t>
      </w:r>
      <w:r w:rsidRPr="00CF0F7A">
        <w:rPr>
          <w:color w:val="000000"/>
          <w:lang w:val="es-ES_tradnl"/>
        </w:rPr>
        <w:t xml:space="preserve">, que </w:t>
      </w:r>
      <w:r w:rsidR="00B87489">
        <w:rPr>
          <w:color w:val="000000"/>
          <w:lang w:val="es-ES_tradnl"/>
        </w:rPr>
        <w:t>se resumen</w:t>
      </w:r>
      <w:r w:rsidRPr="00CF0F7A">
        <w:rPr>
          <w:color w:val="000000"/>
          <w:lang w:val="es-ES_tradnl"/>
        </w:rPr>
        <w:t xml:space="preserve"> </w:t>
      </w:r>
      <w:r w:rsidR="004C199F">
        <w:rPr>
          <w:color w:val="000000"/>
          <w:lang w:val="es-ES_tradnl"/>
        </w:rPr>
        <w:t>a continuación</w:t>
      </w:r>
      <w:r w:rsidRPr="00CF0F7A">
        <w:rPr>
          <w:color w:val="000000"/>
          <w:lang w:val="es-ES_tradnl"/>
        </w:rPr>
        <w:t>:</w:t>
      </w:r>
    </w:p>
    <w:p w:rsidR="00A8705E" w:rsidRDefault="00A8705E" w:rsidP="002C40A0">
      <w:pPr>
        <w:rPr>
          <w:lang w:val="es-ES_tradnl"/>
        </w:rPr>
      </w:pPr>
    </w:p>
    <w:p w:rsidR="00A8705E" w:rsidRDefault="00FF288D" w:rsidP="00FF288D">
      <w:pPr>
        <w:numPr>
          <w:ilvl w:val="0"/>
          <w:numId w:val="7"/>
        </w:numPr>
        <w:rPr>
          <w:lang w:val="es-ES_tradnl"/>
        </w:rPr>
      </w:pPr>
      <w:r w:rsidRPr="00FF288D">
        <w:rPr>
          <w:color w:val="000000"/>
          <w:lang w:val="es-ES_tradnl"/>
        </w:rPr>
        <w:t>La mayoría de usuarios de diseños industriales son empresas privadas y locales, mientras que las empresas de titularidad estatal y las filiales de empresas extranjeras tienen un peso relativamente menor.</w:t>
      </w:r>
      <w:r w:rsidR="00D54C8A">
        <w:rPr>
          <w:lang w:val="es-ES_tradnl"/>
        </w:rPr>
        <w:t xml:space="preserve"> </w:t>
      </w:r>
      <w:r w:rsidRPr="00FF288D">
        <w:rPr>
          <w:color w:val="000000"/>
          <w:lang w:val="es-ES_tradnl"/>
        </w:rPr>
        <w:t xml:space="preserve">La </w:t>
      </w:r>
      <w:r w:rsidR="00B87489">
        <w:rPr>
          <w:color w:val="000000"/>
          <w:lang w:val="es-ES_tradnl"/>
        </w:rPr>
        <w:t>mayor parte</w:t>
      </w:r>
      <w:r w:rsidRPr="00FF288D">
        <w:rPr>
          <w:color w:val="000000"/>
          <w:lang w:val="es-ES_tradnl"/>
        </w:rPr>
        <w:t xml:space="preserve"> de las empresas tienen 21 años o más.</w:t>
      </w:r>
      <w:r w:rsidR="00D54C8A">
        <w:rPr>
          <w:lang w:val="es-ES_tradnl"/>
        </w:rPr>
        <w:t xml:space="preserve"> </w:t>
      </w:r>
      <w:r w:rsidRPr="00FF288D">
        <w:rPr>
          <w:color w:val="000000"/>
          <w:lang w:val="es-ES_tradnl"/>
        </w:rPr>
        <w:t>Las empresas pequeñas</w:t>
      </w:r>
      <w:r w:rsidR="00B87489">
        <w:rPr>
          <w:color w:val="000000"/>
          <w:lang w:val="es-ES_tradnl"/>
        </w:rPr>
        <w:t xml:space="preserve"> constituyen la mayoría </w:t>
      </w:r>
      <w:r w:rsidRPr="00FF288D">
        <w:rPr>
          <w:color w:val="000000"/>
          <w:lang w:val="es-ES_tradnl"/>
        </w:rPr>
        <w:t>de los usuarios, seguidas de las empresas medianas y grandes.</w:t>
      </w:r>
    </w:p>
    <w:p w:rsidR="00A8705E" w:rsidRDefault="00B87489" w:rsidP="00FF288D">
      <w:pPr>
        <w:numPr>
          <w:ilvl w:val="0"/>
          <w:numId w:val="7"/>
        </w:numPr>
        <w:rPr>
          <w:lang w:val="es-ES_tradnl"/>
        </w:rPr>
      </w:pPr>
      <w:r>
        <w:rPr>
          <w:color w:val="000000"/>
          <w:lang w:val="es-ES_tradnl"/>
        </w:rPr>
        <w:t xml:space="preserve">Aproximadamente el 22% </w:t>
      </w:r>
      <w:r w:rsidR="00FF288D" w:rsidRPr="00FF288D">
        <w:rPr>
          <w:color w:val="000000"/>
          <w:lang w:val="es-ES_tradnl"/>
        </w:rPr>
        <w:t>de los usuarios de diseños industriales i</w:t>
      </w:r>
      <w:r>
        <w:rPr>
          <w:color w:val="000000"/>
          <w:lang w:val="es-ES_tradnl"/>
        </w:rPr>
        <w:t>ndicó</w:t>
      </w:r>
      <w:r w:rsidR="00FF288D" w:rsidRPr="00FF288D">
        <w:rPr>
          <w:color w:val="000000"/>
          <w:lang w:val="es-ES_tradnl"/>
        </w:rPr>
        <w:t xml:space="preserve"> que se dedica</w:t>
      </w:r>
      <w:r>
        <w:rPr>
          <w:color w:val="000000"/>
          <w:lang w:val="es-ES_tradnl"/>
        </w:rPr>
        <w:t>ba</w:t>
      </w:r>
      <w:r w:rsidR="00FF288D" w:rsidRPr="00FF288D">
        <w:rPr>
          <w:color w:val="000000"/>
          <w:lang w:val="es-ES_tradnl"/>
        </w:rPr>
        <w:t xml:space="preserve"> a la exportación, </w:t>
      </w:r>
      <w:r>
        <w:rPr>
          <w:color w:val="000000"/>
          <w:lang w:val="es-ES_tradnl"/>
        </w:rPr>
        <w:t xml:space="preserve">teniendo en cuenta que la distribución de los </w:t>
      </w:r>
      <w:r w:rsidR="00FF288D" w:rsidRPr="00FF288D">
        <w:rPr>
          <w:color w:val="000000"/>
          <w:lang w:val="es-ES_tradnl"/>
        </w:rPr>
        <w:t>ingresos</w:t>
      </w:r>
      <w:r>
        <w:rPr>
          <w:color w:val="000000"/>
          <w:lang w:val="es-ES_tradnl"/>
        </w:rPr>
        <w:t xml:space="preserve"> generados</w:t>
      </w:r>
      <w:r w:rsidR="00451F98">
        <w:rPr>
          <w:color w:val="000000"/>
          <w:lang w:val="es-ES_tradnl"/>
        </w:rPr>
        <w:t xml:space="preserve"> por esta</w:t>
      </w:r>
      <w:r>
        <w:rPr>
          <w:color w:val="000000"/>
          <w:lang w:val="es-ES_tradnl"/>
        </w:rPr>
        <w:t xml:space="preserve"> es amplia</w:t>
      </w:r>
      <w:r w:rsidR="00FF288D" w:rsidRPr="00FF288D">
        <w:rPr>
          <w:color w:val="000000"/>
          <w:lang w:val="es-ES_tradnl"/>
        </w:rPr>
        <w:t>.</w:t>
      </w:r>
      <w:r w:rsidR="00D54C8A">
        <w:rPr>
          <w:lang w:val="es-ES_tradnl"/>
        </w:rPr>
        <w:t xml:space="preserve"> </w:t>
      </w:r>
      <w:r w:rsidR="00FF288D" w:rsidRPr="00FF288D">
        <w:rPr>
          <w:color w:val="000000"/>
          <w:lang w:val="es-ES_tradnl"/>
        </w:rPr>
        <w:t>Esta proporción es superior al porc</w:t>
      </w:r>
      <w:r>
        <w:rPr>
          <w:color w:val="000000"/>
          <w:lang w:val="es-ES_tradnl"/>
        </w:rPr>
        <w:t>entaje habitual de exportación</w:t>
      </w:r>
      <w:r w:rsidR="00FF288D" w:rsidRPr="00FF288D">
        <w:rPr>
          <w:color w:val="000000"/>
          <w:lang w:val="es-ES_tradnl"/>
        </w:rPr>
        <w:t xml:space="preserve"> </w:t>
      </w:r>
      <w:r w:rsidR="00CF7E70">
        <w:rPr>
          <w:color w:val="000000"/>
          <w:lang w:val="es-ES_tradnl"/>
        </w:rPr>
        <w:t xml:space="preserve">observado </w:t>
      </w:r>
      <w:r w:rsidR="00FF288D" w:rsidRPr="00FF288D">
        <w:rPr>
          <w:color w:val="000000"/>
          <w:lang w:val="es-ES_tradnl"/>
        </w:rPr>
        <w:t>en el conjunto de empresas</w:t>
      </w:r>
      <w:r w:rsidR="00451F98">
        <w:rPr>
          <w:color w:val="000000"/>
          <w:lang w:val="es-ES_tradnl"/>
        </w:rPr>
        <w:t xml:space="preserve">, lo que </w:t>
      </w:r>
      <w:r w:rsidR="00FF288D" w:rsidRPr="00FF288D">
        <w:rPr>
          <w:color w:val="000000"/>
          <w:lang w:val="es-ES_tradnl"/>
        </w:rPr>
        <w:t xml:space="preserve">sugiere que la innovación en el ámbito de los diseños </w:t>
      </w:r>
      <w:r w:rsidR="00CF7E70">
        <w:rPr>
          <w:color w:val="000000"/>
          <w:lang w:val="es-ES_tradnl"/>
        </w:rPr>
        <w:t>puede</w:t>
      </w:r>
      <w:r w:rsidR="00FF288D" w:rsidRPr="00FF288D">
        <w:rPr>
          <w:color w:val="000000"/>
          <w:lang w:val="es-ES_tradnl"/>
        </w:rPr>
        <w:t xml:space="preserve"> ser una </w:t>
      </w:r>
      <w:r w:rsidR="00CF7E70">
        <w:rPr>
          <w:color w:val="000000"/>
          <w:lang w:val="es-ES_tradnl"/>
        </w:rPr>
        <w:t xml:space="preserve">forma </w:t>
      </w:r>
      <w:r w:rsidR="00FF288D" w:rsidRPr="00FF288D">
        <w:rPr>
          <w:color w:val="000000"/>
          <w:lang w:val="es-ES_tradnl"/>
        </w:rPr>
        <w:t xml:space="preserve">de </w:t>
      </w:r>
      <w:r w:rsidR="00CF7E70">
        <w:rPr>
          <w:color w:val="000000"/>
          <w:lang w:val="es-ES_tradnl"/>
        </w:rPr>
        <w:t>acceder a</w:t>
      </w:r>
      <w:r w:rsidR="00FF288D" w:rsidRPr="00FF288D">
        <w:rPr>
          <w:color w:val="000000"/>
          <w:lang w:val="es-ES_tradnl"/>
        </w:rPr>
        <w:t xml:space="preserve"> mercados extranjeros.</w:t>
      </w:r>
      <w:r w:rsidR="00D54C8A">
        <w:rPr>
          <w:lang w:val="es-ES_tradnl"/>
        </w:rPr>
        <w:t xml:space="preserve"> </w:t>
      </w:r>
      <w:r w:rsidR="00FF288D" w:rsidRPr="00FF288D">
        <w:rPr>
          <w:color w:val="000000"/>
          <w:lang w:val="es-ES_tradnl"/>
        </w:rPr>
        <w:t>Otras economías de la ASEAN son los destinos más frecuentes de las exportaciones, seguidas de otras economías asiáticas.</w:t>
      </w:r>
      <w:r w:rsidR="002C40A0" w:rsidRPr="00334317">
        <w:rPr>
          <w:lang w:val="es-ES_tradnl"/>
        </w:rPr>
        <w:t xml:space="preserve"> </w:t>
      </w:r>
    </w:p>
    <w:p w:rsidR="00A8705E" w:rsidRDefault="00FF288D" w:rsidP="003B6105">
      <w:pPr>
        <w:numPr>
          <w:ilvl w:val="0"/>
          <w:numId w:val="7"/>
        </w:numPr>
        <w:rPr>
          <w:lang w:val="es-ES_tradnl"/>
        </w:rPr>
      </w:pPr>
      <w:r w:rsidRPr="00FF288D">
        <w:rPr>
          <w:color w:val="000000"/>
          <w:lang w:val="es-ES_tradnl"/>
        </w:rPr>
        <w:t xml:space="preserve">La innovación en </w:t>
      </w:r>
      <w:r w:rsidR="00CF7E70">
        <w:rPr>
          <w:color w:val="000000"/>
          <w:lang w:val="es-ES_tradnl"/>
        </w:rPr>
        <w:t>el ámbito de los</w:t>
      </w:r>
      <w:r w:rsidRPr="00FF288D">
        <w:rPr>
          <w:color w:val="000000"/>
          <w:lang w:val="es-ES_tradnl"/>
        </w:rPr>
        <w:t xml:space="preserve"> diseño</w:t>
      </w:r>
      <w:r w:rsidR="00CF7E70">
        <w:rPr>
          <w:color w:val="000000"/>
          <w:lang w:val="es-ES_tradnl"/>
        </w:rPr>
        <w:t>s</w:t>
      </w:r>
      <w:r w:rsidRPr="00FF288D">
        <w:rPr>
          <w:color w:val="000000"/>
          <w:lang w:val="es-ES_tradnl"/>
        </w:rPr>
        <w:t xml:space="preserve"> es un proceso eminentemente interno.</w:t>
      </w:r>
      <w:r w:rsidR="00D54C8A">
        <w:rPr>
          <w:lang w:val="es-ES_tradnl"/>
        </w:rPr>
        <w:t xml:space="preserve"> </w:t>
      </w:r>
      <w:r w:rsidR="003B6105" w:rsidRPr="003B6105">
        <w:rPr>
          <w:color w:val="000000"/>
          <w:lang w:val="es-ES_tradnl"/>
        </w:rPr>
        <w:t xml:space="preserve">No obstante, </w:t>
      </w:r>
      <w:r w:rsidR="00CF7E70">
        <w:rPr>
          <w:color w:val="000000"/>
          <w:lang w:val="es-ES_tradnl"/>
        </w:rPr>
        <w:t>en el caso de ciertos</w:t>
      </w:r>
      <w:r w:rsidR="003B6105" w:rsidRPr="003B6105">
        <w:rPr>
          <w:color w:val="000000"/>
          <w:lang w:val="es-ES_tradnl"/>
        </w:rPr>
        <w:t xml:space="preserve"> diseños, las empresas </w:t>
      </w:r>
      <w:r w:rsidR="00CF7E70">
        <w:rPr>
          <w:color w:val="000000"/>
          <w:lang w:val="es-ES_tradnl"/>
        </w:rPr>
        <w:t>utilizan una combinación de</w:t>
      </w:r>
      <w:r w:rsidR="003B6105" w:rsidRPr="003B6105">
        <w:rPr>
          <w:color w:val="000000"/>
          <w:lang w:val="es-ES_tradnl"/>
        </w:rPr>
        <w:t xml:space="preserve"> recursos internos y externos</w:t>
      </w:r>
      <w:r w:rsidR="00CF7E70" w:rsidRPr="00CF7E70">
        <w:rPr>
          <w:color w:val="000000"/>
          <w:lang w:val="es-ES_tradnl"/>
        </w:rPr>
        <w:t xml:space="preserve"> </w:t>
      </w:r>
      <w:r w:rsidR="00CF7E70">
        <w:rPr>
          <w:color w:val="000000"/>
          <w:lang w:val="es-ES_tradnl"/>
        </w:rPr>
        <w:t xml:space="preserve">o </w:t>
      </w:r>
      <w:r w:rsidR="00CF7E70" w:rsidRPr="003B6105">
        <w:rPr>
          <w:color w:val="000000"/>
          <w:lang w:val="es-ES_tradnl"/>
        </w:rPr>
        <w:t>inspiración</w:t>
      </w:r>
      <w:r w:rsidR="003B6105" w:rsidRPr="003B6105">
        <w:rPr>
          <w:color w:val="000000"/>
          <w:lang w:val="es-ES_tradnl"/>
        </w:rPr>
        <w:t>.</w:t>
      </w:r>
    </w:p>
    <w:p w:rsidR="00A8705E" w:rsidRDefault="003B6105" w:rsidP="003B6105">
      <w:pPr>
        <w:numPr>
          <w:ilvl w:val="0"/>
          <w:numId w:val="7"/>
        </w:numPr>
        <w:rPr>
          <w:lang w:val="es-ES_tradnl"/>
        </w:rPr>
      </w:pPr>
      <w:r w:rsidRPr="003B6105">
        <w:rPr>
          <w:color w:val="000000"/>
          <w:lang w:val="es-ES_tradnl"/>
        </w:rPr>
        <w:t xml:space="preserve">Excepto en Filipinas, la </w:t>
      </w:r>
      <w:r w:rsidR="00CF7E70">
        <w:rPr>
          <w:color w:val="000000"/>
          <w:lang w:val="es-ES_tradnl"/>
        </w:rPr>
        <w:t>mayor parte</w:t>
      </w:r>
      <w:r w:rsidRPr="003B6105">
        <w:rPr>
          <w:color w:val="000000"/>
          <w:lang w:val="es-ES_tradnl"/>
        </w:rPr>
        <w:t xml:space="preserve"> de los </w:t>
      </w:r>
      <w:r w:rsidR="00CF7E70">
        <w:rPr>
          <w:color w:val="000000"/>
          <w:lang w:val="es-ES_tradnl"/>
        </w:rPr>
        <w:t>diseñadores</w:t>
      </w:r>
      <w:r w:rsidRPr="003B6105">
        <w:rPr>
          <w:color w:val="000000"/>
          <w:lang w:val="es-ES_tradnl"/>
        </w:rPr>
        <w:t xml:space="preserve"> tienen entre 35 y 50 años de edad.</w:t>
      </w:r>
      <w:r w:rsidR="00D54C8A">
        <w:rPr>
          <w:lang w:val="es-ES_tradnl"/>
        </w:rPr>
        <w:t xml:space="preserve"> </w:t>
      </w:r>
      <w:r w:rsidRPr="003B6105">
        <w:rPr>
          <w:color w:val="000000"/>
          <w:lang w:val="es-ES_tradnl"/>
        </w:rPr>
        <w:t xml:space="preserve">En </w:t>
      </w:r>
      <w:r w:rsidR="00CF7E70">
        <w:rPr>
          <w:color w:val="000000"/>
          <w:lang w:val="es-ES_tradnl"/>
        </w:rPr>
        <w:t>ese país</w:t>
      </w:r>
      <w:r w:rsidRPr="003B6105">
        <w:rPr>
          <w:color w:val="000000"/>
          <w:lang w:val="es-ES_tradnl"/>
        </w:rPr>
        <w:t xml:space="preserve">, la mayoría </w:t>
      </w:r>
      <w:r w:rsidR="00451F98">
        <w:rPr>
          <w:color w:val="000000"/>
          <w:lang w:val="es-ES_tradnl"/>
        </w:rPr>
        <w:t>tiene de hecho</w:t>
      </w:r>
      <w:r w:rsidR="00CF7E70">
        <w:rPr>
          <w:color w:val="000000"/>
          <w:lang w:val="es-ES_tradnl"/>
        </w:rPr>
        <w:t xml:space="preserve"> más de 50 años, lo cual indica</w:t>
      </w:r>
      <w:r w:rsidRPr="003B6105">
        <w:rPr>
          <w:color w:val="000000"/>
          <w:lang w:val="es-ES_tradnl"/>
        </w:rPr>
        <w:t xml:space="preserve"> que la experiencia profesional acumulada puede ser relevante en </w:t>
      </w:r>
      <w:r w:rsidR="00CF7E70">
        <w:rPr>
          <w:color w:val="000000"/>
          <w:lang w:val="es-ES_tradnl"/>
        </w:rPr>
        <w:t>este tipo de</w:t>
      </w:r>
      <w:r w:rsidRPr="003B6105">
        <w:rPr>
          <w:color w:val="000000"/>
          <w:lang w:val="es-ES_tradnl"/>
        </w:rPr>
        <w:t xml:space="preserve"> innovación.</w:t>
      </w:r>
    </w:p>
    <w:p w:rsidR="00A8705E" w:rsidRDefault="003B6105" w:rsidP="00B22AF4">
      <w:pPr>
        <w:numPr>
          <w:ilvl w:val="0"/>
          <w:numId w:val="7"/>
        </w:numPr>
        <w:rPr>
          <w:lang w:val="es-ES_tradnl"/>
        </w:rPr>
      </w:pPr>
      <w:r w:rsidRPr="003B6105">
        <w:rPr>
          <w:color w:val="000000"/>
          <w:lang w:val="es-ES_tradnl"/>
        </w:rPr>
        <w:t>La inspiración para la creación de nuevos diseños procede de fuentes</w:t>
      </w:r>
      <w:r w:rsidR="00CF7E70">
        <w:rPr>
          <w:color w:val="000000"/>
          <w:lang w:val="es-ES_tradnl"/>
        </w:rPr>
        <w:t xml:space="preserve"> muy distintas</w:t>
      </w:r>
      <w:r w:rsidRPr="003B6105">
        <w:rPr>
          <w:color w:val="000000"/>
          <w:lang w:val="es-ES_tradnl"/>
        </w:rPr>
        <w:t>.</w:t>
      </w:r>
      <w:r w:rsidR="00D54C8A">
        <w:rPr>
          <w:lang w:val="es-ES_tradnl"/>
        </w:rPr>
        <w:t xml:space="preserve"> </w:t>
      </w:r>
      <w:r w:rsidR="00CF7E70">
        <w:rPr>
          <w:color w:val="000000"/>
          <w:lang w:val="es-ES_tradnl"/>
        </w:rPr>
        <w:t xml:space="preserve">Las reacciones </w:t>
      </w:r>
      <w:r w:rsidRPr="003B6105">
        <w:rPr>
          <w:color w:val="000000"/>
          <w:lang w:val="es-ES_tradnl"/>
        </w:rPr>
        <w:t xml:space="preserve">de los consumidores </w:t>
      </w:r>
      <w:r w:rsidR="00CF7E70">
        <w:rPr>
          <w:color w:val="000000"/>
          <w:lang w:val="es-ES_tradnl"/>
        </w:rPr>
        <w:t>parecen ser</w:t>
      </w:r>
      <w:r w:rsidRPr="003B6105">
        <w:rPr>
          <w:color w:val="000000"/>
          <w:lang w:val="es-ES_tradnl"/>
        </w:rPr>
        <w:t xml:space="preserve"> la más importante.</w:t>
      </w:r>
      <w:r w:rsidR="00D54C8A">
        <w:rPr>
          <w:lang w:val="es-ES_tradnl"/>
        </w:rPr>
        <w:t xml:space="preserve"> </w:t>
      </w:r>
      <w:r w:rsidRPr="003B6105">
        <w:rPr>
          <w:color w:val="000000"/>
          <w:lang w:val="es-ES_tradnl"/>
        </w:rPr>
        <w:t>Dentro de las empresas, se indicaron dos fuentes principales de ideas para nuevos diseños.</w:t>
      </w:r>
      <w:r w:rsidR="00D54C8A">
        <w:rPr>
          <w:lang w:val="es-ES_tradnl"/>
        </w:rPr>
        <w:t xml:space="preserve"> </w:t>
      </w:r>
      <w:r w:rsidRPr="003B6105">
        <w:rPr>
          <w:color w:val="000000"/>
          <w:lang w:val="es-ES_tradnl"/>
        </w:rPr>
        <w:t>Una es el departamento responsable de la innovación en materia de diseño</w:t>
      </w:r>
      <w:r w:rsidR="00CF7E70">
        <w:rPr>
          <w:color w:val="000000"/>
          <w:lang w:val="es-ES_tradnl"/>
        </w:rPr>
        <w:t>s,</w:t>
      </w:r>
      <w:r w:rsidRPr="003B6105">
        <w:rPr>
          <w:color w:val="000000"/>
          <w:lang w:val="es-ES_tradnl"/>
        </w:rPr>
        <w:t xml:space="preserve"> o</w:t>
      </w:r>
      <w:r w:rsidR="00451F98">
        <w:rPr>
          <w:color w:val="000000"/>
          <w:lang w:val="es-ES_tradnl"/>
        </w:rPr>
        <w:t xml:space="preserve"> de</w:t>
      </w:r>
      <w:r w:rsidRPr="003B6105">
        <w:rPr>
          <w:color w:val="000000"/>
          <w:lang w:val="es-ES_tradnl"/>
        </w:rPr>
        <w:t xml:space="preserve"> </w:t>
      </w:r>
      <w:r w:rsidR="00CF7E70">
        <w:rPr>
          <w:color w:val="000000"/>
          <w:lang w:val="es-ES_tradnl"/>
        </w:rPr>
        <w:t>I+D de forma general</w:t>
      </w:r>
      <w:r w:rsidRPr="003B6105">
        <w:rPr>
          <w:color w:val="000000"/>
          <w:lang w:val="es-ES_tradnl"/>
        </w:rPr>
        <w:t>.</w:t>
      </w:r>
      <w:r w:rsidR="00D54C8A">
        <w:rPr>
          <w:lang w:val="es-ES_tradnl"/>
        </w:rPr>
        <w:t xml:space="preserve"> </w:t>
      </w:r>
      <w:r w:rsidRPr="003B6105">
        <w:rPr>
          <w:color w:val="000000"/>
          <w:lang w:val="es-ES_tradnl"/>
        </w:rPr>
        <w:t>Otra es el personal directivo, incluida la oficina del director ejecutivo.</w:t>
      </w:r>
      <w:r w:rsidR="00D54C8A">
        <w:rPr>
          <w:lang w:val="es-ES_tradnl"/>
        </w:rPr>
        <w:t xml:space="preserve"> </w:t>
      </w:r>
      <w:r w:rsidR="00B22AF4" w:rsidRPr="00B22AF4">
        <w:rPr>
          <w:color w:val="000000"/>
          <w:lang w:val="es-ES_tradnl"/>
        </w:rPr>
        <w:t xml:space="preserve">Aparte de </w:t>
      </w:r>
      <w:r w:rsidR="00CF7E70">
        <w:rPr>
          <w:color w:val="000000"/>
          <w:lang w:val="es-ES_tradnl"/>
        </w:rPr>
        <w:t>esas dos fuentes</w:t>
      </w:r>
      <w:r w:rsidR="00B22AF4" w:rsidRPr="00B22AF4">
        <w:rPr>
          <w:color w:val="000000"/>
          <w:lang w:val="es-ES_tradnl"/>
        </w:rPr>
        <w:t xml:space="preserve"> principales, en los departamentos de ventas y c</w:t>
      </w:r>
      <w:r w:rsidR="005C14ED">
        <w:rPr>
          <w:color w:val="000000"/>
          <w:lang w:val="es-ES_tradnl"/>
        </w:rPr>
        <w:t>omercialización también surgieron</w:t>
      </w:r>
      <w:r w:rsidR="00B22AF4" w:rsidRPr="00B22AF4">
        <w:rPr>
          <w:color w:val="000000"/>
          <w:lang w:val="es-ES_tradnl"/>
        </w:rPr>
        <w:t xml:space="preserve"> ideas que d</w:t>
      </w:r>
      <w:r w:rsidR="005C14ED">
        <w:rPr>
          <w:color w:val="000000"/>
          <w:lang w:val="es-ES_tradnl"/>
        </w:rPr>
        <w:t>ieron</w:t>
      </w:r>
      <w:r w:rsidR="00B22AF4" w:rsidRPr="00B22AF4">
        <w:rPr>
          <w:color w:val="000000"/>
          <w:lang w:val="es-ES_tradnl"/>
        </w:rPr>
        <w:t xml:space="preserve"> lugar a un número </w:t>
      </w:r>
      <w:r w:rsidR="005C14ED">
        <w:rPr>
          <w:color w:val="000000"/>
          <w:lang w:val="es-ES_tradnl"/>
        </w:rPr>
        <w:t>notable</w:t>
      </w:r>
      <w:r w:rsidR="00B22AF4" w:rsidRPr="00B22AF4">
        <w:rPr>
          <w:color w:val="000000"/>
          <w:lang w:val="es-ES_tradnl"/>
        </w:rPr>
        <w:t xml:space="preserve"> de diseños </w:t>
      </w:r>
      <w:r w:rsidR="005C14ED">
        <w:rPr>
          <w:color w:val="000000"/>
          <w:lang w:val="es-ES_tradnl"/>
        </w:rPr>
        <w:t xml:space="preserve">sobre los que se realizó </w:t>
      </w:r>
      <w:r w:rsidR="00B22AF4" w:rsidRPr="00B22AF4">
        <w:rPr>
          <w:color w:val="000000"/>
          <w:lang w:val="es-ES_tradnl"/>
        </w:rPr>
        <w:t>la encuesta.</w:t>
      </w:r>
    </w:p>
    <w:p w:rsidR="00A8705E" w:rsidRDefault="00B22AF4" w:rsidP="00B22AF4">
      <w:pPr>
        <w:numPr>
          <w:ilvl w:val="0"/>
          <w:numId w:val="7"/>
        </w:numPr>
        <w:rPr>
          <w:lang w:val="es-ES_tradnl"/>
        </w:rPr>
      </w:pPr>
      <w:r w:rsidRPr="00B22AF4">
        <w:rPr>
          <w:color w:val="000000"/>
          <w:lang w:val="es-ES_tradnl"/>
        </w:rPr>
        <w:t xml:space="preserve">Los propietarios de diseños industriales atribuyen un valor considerable a los derechos sobre </w:t>
      </w:r>
      <w:r w:rsidR="005C14ED">
        <w:rPr>
          <w:color w:val="000000"/>
          <w:lang w:val="es-ES_tradnl"/>
        </w:rPr>
        <w:t>dichos</w:t>
      </w:r>
      <w:r w:rsidRPr="00B22AF4">
        <w:rPr>
          <w:color w:val="000000"/>
          <w:lang w:val="es-ES_tradnl"/>
        </w:rPr>
        <w:t xml:space="preserve"> diseños, </w:t>
      </w:r>
      <w:r w:rsidR="005C14ED">
        <w:rPr>
          <w:color w:val="000000"/>
          <w:lang w:val="es-ES_tradnl"/>
        </w:rPr>
        <w:t>que se sitúa, en promedio</w:t>
      </w:r>
      <w:r w:rsidR="00451F98">
        <w:rPr>
          <w:color w:val="000000"/>
          <w:lang w:val="es-ES_tradnl"/>
        </w:rPr>
        <w:t>,</w:t>
      </w:r>
      <w:r w:rsidRPr="00B22AF4">
        <w:rPr>
          <w:color w:val="000000"/>
          <w:lang w:val="es-ES_tradnl"/>
        </w:rPr>
        <w:t xml:space="preserve"> entre 30.000 y 100.000 dólares de los Estados Unidos.</w:t>
      </w:r>
      <w:r w:rsidR="00D54C8A">
        <w:rPr>
          <w:lang w:val="es-ES_tradnl"/>
        </w:rPr>
        <w:t xml:space="preserve"> </w:t>
      </w:r>
      <w:r w:rsidRPr="00AB49E2">
        <w:rPr>
          <w:color w:val="000000"/>
          <w:lang w:val="es-ES_tradnl"/>
        </w:rPr>
        <w:t xml:space="preserve">La distribución del valor de los diseños industriales </w:t>
      </w:r>
      <w:r w:rsidR="00AB49E2" w:rsidRPr="00AB49E2">
        <w:rPr>
          <w:color w:val="000000"/>
          <w:lang w:val="es-ES_tradnl"/>
        </w:rPr>
        <w:t>tiene asimetría a</w:t>
      </w:r>
      <w:r w:rsidRPr="00AB49E2">
        <w:rPr>
          <w:color w:val="000000"/>
          <w:lang w:val="es-ES_tradnl"/>
        </w:rPr>
        <w:t xml:space="preserve"> la </w:t>
      </w:r>
      <w:r w:rsidR="005C14ED" w:rsidRPr="00AB49E2">
        <w:rPr>
          <w:color w:val="000000"/>
          <w:lang w:val="es-ES_tradnl"/>
        </w:rPr>
        <w:t>derecha</w:t>
      </w:r>
      <w:r w:rsidRPr="00B22AF4">
        <w:rPr>
          <w:color w:val="000000"/>
          <w:lang w:val="es-ES_tradnl"/>
        </w:rPr>
        <w:t>.</w:t>
      </w:r>
      <w:r w:rsidR="00D54C8A">
        <w:rPr>
          <w:lang w:val="es-ES_tradnl"/>
        </w:rPr>
        <w:t xml:space="preserve"> </w:t>
      </w:r>
      <w:r w:rsidRPr="00B22AF4">
        <w:rPr>
          <w:color w:val="000000"/>
          <w:lang w:val="es-ES_tradnl"/>
        </w:rPr>
        <w:t xml:space="preserve">Sin embargo, en comparación con la innovación tecnológica, la innovación en </w:t>
      </w:r>
      <w:r w:rsidR="005C14ED">
        <w:rPr>
          <w:color w:val="000000"/>
          <w:lang w:val="es-ES_tradnl"/>
        </w:rPr>
        <w:t>el ámbito d</w:t>
      </w:r>
      <w:r w:rsidRPr="00B22AF4">
        <w:rPr>
          <w:color w:val="000000"/>
          <w:lang w:val="es-ES_tradnl"/>
        </w:rPr>
        <w:t>el diseño parece menos arriesgada.</w:t>
      </w:r>
    </w:p>
    <w:p w:rsidR="00A8705E" w:rsidRDefault="00BC5C69" w:rsidP="00BC5C69">
      <w:pPr>
        <w:numPr>
          <w:ilvl w:val="0"/>
          <w:numId w:val="7"/>
        </w:numPr>
        <w:rPr>
          <w:lang w:val="es-ES_tradnl"/>
        </w:rPr>
      </w:pPr>
      <w:r w:rsidRPr="00BC5C69">
        <w:rPr>
          <w:color w:val="000000"/>
          <w:lang w:val="es-ES_tradnl"/>
        </w:rPr>
        <w:t xml:space="preserve">La motivación principal que lleva a solicitar la protección de los diseños industriales responde a las razones </w:t>
      </w:r>
      <w:r w:rsidR="005C14ED">
        <w:rPr>
          <w:color w:val="000000"/>
          <w:lang w:val="es-ES_tradnl"/>
        </w:rPr>
        <w:t>habituales</w:t>
      </w:r>
      <w:r w:rsidRPr="00BC5C69">
        <w:rPr>
          <w:color w:val="000000"/>
          <w:lang w:val="es-ES_tradnl"/>
        </w:rPr>
        <w:t xml:space="preserve"> de prevenir la imitación y garantizar la libertad de actuación.</w:t>
      </w:r>
      <w:r w:rsidR="00D54C8A">
        <w:rPr>
          <w:lang w:val="es-ES_tradnl"/>
        </w:rPr>
        <w:t xml:space="preserve"> </w:t>
      </w:r>
      <w:r w:rsidRPr="00BC5C69">
        <w:rPr>
          <w:color w:val="000000"/>
          <w:lang w:val="es-ES_tradnl"/>
        </w:rPr>
        <w:t xml:space="preserve">La concesión de licencias y la venta de derechos sobre los diseños industriales </w:t>
      </w:r>
      <w:r w:rsidR="005C14ED">
        <w:rPr>
          <w:color w:val="000000"/>
          <w:lang w:val="es-ES_tradnl"/>
        </w:rPr>
        <w:t>son</w:t>
      </w:r>
      <w:r w:rsidRPr="00BC5C69">
        <w:rPr>
          <w:color w:val="000000"/>
          <w:lang w:val="es-ES_tradnl"/>
        </w:rPr>
        <w:t xml:space="preserve"> poco frecuente</w:t>
      </w:r>
      <w:r w:rsidR="005C14ED">
        <w:rPr>
          <w:color w:val="000000"/>
          <w:lang w:val="es-ES_tradnl"/>
        </w:rPr>
        <w:t>s</w:t>
      </w:r>
      <w:r w:rsidRPr="00BC5C69">
        <w:rPr>
          <w:color w:val="000000"/>
          <w:lang w:val="es-ES_tradnl"/>
        </w:rPr>
        <w:t xml:space="preserve"> pero </w:t>
      </w:r>
      <w:r w:rsidR="005C14ED">
        <w:rPr>
          <w:color w:val="000000"/>
          <w:lang w:val="es-ES_tradnl"/>
        </w:rPr>
        <w:t>a veces ocurren</w:t>
      </w:r>
      <w:r w:rsidRPr="00BC5C69">
        <w:rPr>
          <w:color w:val="000000"/>
          <w:lang w:val="es-ES_tradnl"/>
        </w:rPr>
        <w:t>.</w:t>
      </w:r>
    </w:p>
    <w:p w:rsidR="00A8705E" w:rsidRPr="00A8705E" w:rsidRDefault="000B3663" w:rsidP="000B3663">
      <w:pPr>
        <w:numPr>
          <w:ilvl w:val="0"/>
          <w:numId w:val="7"/>
        </w:numPr>
        <w:rPr>
          <w:lang w:val="es-ES_tradnl"/>
        </w:rPr>
      </w:pPr>
      <w:r w:rsidRPr="000B3663">
        <w:rPr>
          <w:color w:val="000000"/>
          <w:lang w:val="es-ES_tradnl"/>
        </w:rPr>
        <w:t>El porcentaje de imitación, que ronda el 20%, muestra que el riesgo de imitación es real.</w:t>
      </w:r>
      <w:r w:rsidR="00D54C8A">
        <w:rPr>
          <w:lang w:val="es-ES_tradnl"/>
        </w:rPr>
        <w:t xml:space="preserve"> </w:t>
      </w:r>
      <w:r w:rsidRPr="000B3663">
        <w:rPr>
          <w:color w:val="000000"/>
          <w:lang w:val="es-ES_tradnl"/>
        </w:rPr>
        <w:t xml:space="preserve">Además, los propietarios de diseños industriales consideran que la imitación </w:t>
      </w:r>
      <w:r w:rsidR="005C14ED">
        <w:rPr>
          <w:color w:val="000000"/>
          <w:lang w:val="es-ES_tradnl"/>
        </w:rPr>
        <w:t>tiene como consecuencia importantes</w:t>
      </w:r>
      <w:r w:rsidRPr="000B3663">
        <w:rPr>
          <w:color w:val="000000"/>
          <w:lang w:val="es-ES_tradnl"/>
        </w:rPr>
        <w:t xml:space="preserve"> pérdidas financieras.</w:t>
      </w:r>
    </w:p>
    <w:p w:rsidR="00A8705E" w:rsidRPr="00A8705E" w:rsidRDefault="005C14ED" w:rsidP="00687896">
      <w:pPr>
        <w:numPr>
          <w:ilvl w:val="0"/>
          <w:numId w:val="7"/>
        </w:numPr>
        <w:rPr>
          <w:lang w:val="es-ES_tradnl"/>
        </w:rPr>
      </w:pPr>
      <w:r>
        <w:rPr>
          <w:color w:val="000000"/>
          <w:lang w:val="es-ES_tradnl"/>
        </w:rPr>
        <w:t>Los elevados costos jurídicos de</w:t>
      </w:r>
      <w:r w:rsidR="000B3663" w:rsidRPr="000B3663">
        <w:rPr>
          <w:color w:val="000000"/>
          <w:lang w:val="es-ES_tradnl"/>
        </w:rPr>
        <w:t xml:space="preserve"> </w:t>
      </w:r>
      <w:r>
        <w:rPr>
          <w:color w:val="000000"/>
          <w:lang w:val="es-ES_tradnl"/>
        </w:rPr>
        <w:t>hacer cumplir</w:t>
      </w:r>
      <w:r w:rsidR="000B3663" w:rsidRPr="000B3663">
        <w:rPr>
          <w:color w:val="000000"/>
          <w:lang w:val="es-ES_tradnl"/>
        </w:rPr>
        <w:t xml:space="preserve"> los derechos </w:t>
      </w:r>
      <w:r w:rsidR="00BF434E">
        <w:rPr>
          <w:color w:val="000000"/>
          <w:lang w:val="es-ES_tradnl"/>
        </w:rPr>
        <w:t>sobre</w:t>
      </w:r>
      <w:r w:rsidR="000B3663" w:rsidRPr="000B3663">
        <w:rPr>
          <w:color w:val="000000"/>
          <w:lang w:val="es-ES_tradnl"/>
        </w:rPr>
        <w:t xml:space="preserve"> los diseños industriales desalienta</w:t>
      </w:r>
      <w:r w:rsidR="00BF434E">
        <w:rPr>
          <w:color w:val="000000"/>
          <w:lang w:val="es-ES_tradnl"/>
        </w:rPr>
        <w:t>n</w:t>
      </w:r>
      <w:r w:rsidR="000B3663" w:rsidRPr="000B3663">
        <w:rPr>
          <w:color w:val="000000"/>
          <w:lang w:val="es-ES_tradnl"/>
        </w:rPr>
        <w:t xml:space="preserve"> a muchos solicitantes de intentar poner fin a las infracciones cometidas respecto de sus diseños.</w:t>
      </w:r>
      <w:r w:rsidR="00D54C8A">
        <w:rPr>
          <w:lang w:val="es-ES_tradnl"/>
        </w:rPr>
        <w:t xml:space="preserve"> </w:t>
      </w:r>
      <w:r w:rsidR="00BF434E">
        <w:rPr>
          <w:color w:val="000000"/>
          <w:lang w:val="es-ES_tradnl"/>
        </w:rPr>
        <w:t>Cuando</w:t>
      </w:r>
      <w:r w:rsidR="00687896" w:rsidRPr="00687896">
        <w:rPr>
          <w:color w:val="000000"/>
          <w:lang w:val="es-ES_tradnl"/>
        </w:rPr>
        <w:t xml:space="preserve"> sí </w:t>
      </w:r>
      <w:r w:rsidR="00BF434E">
        <w:rPr>
          <w:color w:val="000000"/>
          <w:lang w:val="es-ES_tradnl"/>
        </w:rPr>
        <w:t xml:space="preserve">se </w:t>
      </w:r>
      <w:r w:rsidR="00687896" w:rsidRPr="00687896">
        <w:rPr>
          <w:color w:val="000000"/>
          <w:lang w:val="es-ES_tradnl"/>
        </w:rPr>
        <w:t xml:space="preserve">inician acciones contra los infractores, las medidas de </w:t>
      </w:r>
      <w:r w:rsidR="00BF434E">
        <w:rPr>
          <w:color w:val="000000"/>
          <w:lang w:val="es-ES_tradnl"/>
        </w:rPr>
        <w:t>ejecución</w:t>
      </w:r>
      <w:r w:rsidR="00687896" w:rsidRPr="00687896">
        <w:rPr>
          <w:color w:val="000000"/>
          <w:lang w:val="es-ES_tradnl"/>
        </w:rPr>
        <w:t xml:space="preserve"> tienen distintos niveles de éxito.</w:t>
      </w:r>
    </w:p>
    <w:p w:rsidR="00A8705E" w:rsidRPr="00A8705E" w:rsidRDefault="00687896" w:rsidP="00687896">
      <w:pPr>
        <w:numPr>
          <w:ilvl w:val="0"/>
          <w:numId w:val="7"/>
        </w:numPr>
        <w:rPr>
          <w:lang w:val="es-ES_tradnl"/>
        </w:rPr>
      </w:pPr>
      <w:r w:rsidRPr="00687896">
        <w:rPr>
          <w:color w:val="000000"/>
          <w:lang w:val="es-ES_tradnl"/>
        </w:rPr>
        <w:t>La mayoría de solicitudes de registro de diseños industriales se presentan sin contar con actores externos.</w:t>
      </w:r>
      <w:r w:rsidR="00D54C8A">
        <w:rPr>
          <w:lang w:val="es-ES_tradnl"/>
        </w:rPr>
        <w:t xml:space="preserve"> </w:t>
      </w:r>
      <w:r w:rsidR="00BF434E">
        <w:rPr>
          <w:color w:val="000000"/>
          <w:lang w:val="es-ES_tradnl"/>
        </w:rPr>
        <w:t>Posteriormente</w:t>
      </w:r>
      <w:r w:rsidRPr="00687896">
        <w:rPr>
          <w:color w:val="000000"/>
          <w:lang w:val="es-ES_tradnl"/>
        </w:rPr>
        <w:t xml:space="preserve"> los solicitantes </w:t>
      </w:r>
      <w:r w:rsidR="00BF434E">
        <w:rPr>
          <w:color w:val="000000"/>
          <w:lang w:val="es-ES_tradnl"/>
        </w:rPr>
        <w:t xml:space="preserve">tienen </w:t>
      </w:r>
      <w:r w:rsidRPr="00687896">
        <w:rPr>
          <w:color w:val="000000"/>
          <w:lang w:val="es-ES_tradnl"/>
        </w:rPr>
        <w:t xml:space="preserve">dificultades para desenvolverse en lo que </w:t>
      </w:r>
      <w:r w:rsidR="00BF434E">
        <w:rPr>
          <w:color w:val="000000"/>
          <w:lang w:val="es-ES_tradnl"/>
        </w:rPr>
        <w:t>consideran</w:t>
      </w:r>
      <w:r w:rsidRPr="00687896">
        <w:rPr>
          <w:color w:val="000000"/>
          <w:lang w:val="es-ES_tradnl"/>
        </w:rPr>
        <w:t xml:space="preserve"> un procedimiento de presentación de solicitudes largo y complicado.</w:t>
      </w:r>
      <w:r w:rsidR="002C40A0" w:rsidRPr="00A8705E">
        <w:rPr>
          <w:lang w:val="es-ES_tradnl"/>
        </w:rPr>
        <w:t xml:space="preserve"> </w:t>
      </w:r>
    </w:p>
    <w:p w:rsidR="00A8705E" w:rsidRPr="00A8705E" w:rsidRDefault="00A8705E" w:rsidP="002C40A0">
      <w:pPr>
        <w:rPr>
          <w:lang w:val="es-ES_tradnl"/>
        </w:rPr>
      </w:pPr>
    </w:p>
    <w:p w:rsidR="00A8705E" w:rsidRPr="00A8705E" w:rsidRDefault="00BF434E" w:rsidP="00040178">
      <w:pPr>
        <w:rPr>
          <w:lang w:val="es-ES_tradnl"/>
        </w:rPr>
      </w:pPr>
      <w:r>
        <w:rPr>
          <w:color w:val="000000"/>
          <w:lang w:val="es-ES_tradnl"/>
        </w:rPr>
        <w:t>E</w:t>
      </w:r>
      <w:r w:rsidRPr="00687896">
        <w:rPr>
          <w:color w:val="000000"/>
          <w:lang w:val="es-ES_tradnl"/>
        </w:rPr>
        <w:t xml:space="preserve">stas constataciones descriptivas </w:t>
      </w:r>
      <w:r>
        <w:rPr>
          <w:color w:val="000000"/>
          <w:lang w:val="es-ES_tradnl"/>
        </w:rPr>
        <w:t xml:space="preserve">deben </w:t>
      </w:r>
      <w:r w:rsidR="00687896" w:rsidRPr="00687896">
        <w:rPr>
          <w:color w:val="000000"/>
          <w:lang w:val="es-ES_tradnl"/>
        </w:rPr>
        <w:t>validar</w:t>
      </w:r>
      <w:r>
        <w:rPr>
          <w:color w:val="000000"/>
          <w:lang w:val="es-ES_tradnl"/>
        </w:rPr>
        <w:t>se y seguir estudiá</w:t>
      </w:r>
      <w:r w:rsidR="00687896" w:rsidRPr="00687896">
        <w:rPr>
          <w:color w:val="000000"/>
          <w:lang w:val="es-ES_tradnl"/>
        </w:rPr>
        <w:t>ndo</w:t>
      </w:r>
      <w:r>
        <w:rPr>
          <w:color w:val="000000"/>
          <w:lang w:val="es-ES_tradnl"/>
        </w:rPr>
        <w:t>se</w:t>
      </w:r>
      <w:r w:rsidR="00687896" w:rsidRPr="00687896">
        <w:rPr>
          <w:color w:val="000000"/>
          <w:lang w:val="es-ES_tradnl"/>
        </w:rPr>
        <w:t xml:space="preserve"> </w:t>
      </w:r>
      <w:r w:rsidR="00AB49E2">
        <w:rPr>
          <w:color w:val="000000"/>
          <w:lang w:val="es-ES_tradnl"/>
        </w:rPr>
        <w:t xml:space="preserve">con más </w:t>
      </w:r>
      <w:r w:rsidR="00687896" w:rsidRPr="00687896">
        <w:rPr>
          <w:color w:val="000000"/>
          <w:lang w:val="es-ES_tradnl"/>
        </w:rPr>
        <w:t>investigaciones</w:t>
      </w:r>
      <w:r w:rsidR="00AB49E2">
        <w:rPr>
          <w:color w:val="000000"/>
          <w:lang w:val="es-ES_tradnl"/>
        </w:rPr>
        <w:t xml:space="preserve"> detalladas</w:t>
      </w:r>
      <w:r w:rsidR="00687896" w:rsidRPr="00687896">
        <w:rPr>
          <w:color w:val="000000"/>
          <w:lang w:val="es-ES_tradnl"/>
        </w:rPr>
        <w:t>.</w:t>
      </w:r>
      <w:r w:rsidR="00D54C8A">
        <w:rPr>
          <w:lang w:val="es-ES_tradnl"/>
        </w:rPr>
        <w:t xml:space="preserve"> </w:t>
      </w:r>
      <w:r w:rsidR="00040178" w:rsidRPr="00256842">
        <w:rPr>
          <w:color w:val="000000"/>
          <w:lang w:val="es-ES_tradnl"/>
        </w:rPr>
        <w:t>En particular</w:t>
      </w:r>
      <w:r w:rsidR="00040178" w:rsidRPr="00040178">
        <w:rPr>
          <w:color w:val="000000"/>
          <w:lang w:val="es-ES_tradnl"/>
        </w:rPr>
        <w:t xml:space="preserve">, la División de Economía y Estadística de la OMPI tiene previsto analizar las respuestas a la encuesta en un entorno econométrico en el que se pueda probar </w:t>
      </w:r>
      <w:r w:rsidR="00AB49E2">
        <w:rPr>
          <w:color w:val="000000"/>
          <w:lang w:val="es-ES_tradnl"/>
        </w:rPr>
        <w:t xml:space="preserve">de manera más formal </w:t>
      </w:r>
      <w:r w:rsidR="00040178" w:rsidRPr="00040178">
        <w:rPr>
          <w:color w:val="000000"/>
          <w:lang w:val="es-ES_tradnl"/>
        </w:rPr>
        <w:t>la significación estadística de las distintas hipótesis.</w:t>
      </w:r>
      <w:r w:rsidR="00D54C8A">
        <w:rPr>
          <w:lang w:val="es-ES_tradnl"/>
        </w:rPr>
        <w:t xml:space="preserve"> </w:t>
      </w:r>
    </w:p>
    <w:p w:rsidR="00A8705E" w:rsidRPr="00A8705E" w:rsidRDefault="00A8705E" w:rsidP="002C40A0">
      <w:pPr>
        <w:rPr>
          <w:lang w:val="es-ES_tradnl"/>
        </w:rPr>
      </w:pPr>
    </w:p>
    <w:p w:rsidR="00A8705E" w:rsidRPr="00A8705E" w:rsidRDefault="00040178" w:rsidP="00040178">
      <w:pPr>
        <w:rPr>
          <w:b/>
          <w:bCs/>
          <w:lang w:val="es-ES_tradnl"/>
        </w:rPr>
      </w:pPr>
      <w:r w:rsidRPr="00040178">
        <w:rPr>
          <w:b/>
          <w:bCs/>
          <w:color w:val="000000"/>
          <w:lang w:val="es-ES_tradnl"/>
        </w:rPr>
        <w:t>Enseñanzas extraídas y repercusiones en materia de políticas</w:t>
      </w:r>
    </w:p>
    <w:p w:rsidR="00A8705E" w:rsidRPr="00A8705E" w:rsidRDefault="00A8705E" w:rsidP="002C40A0">
      <w:pPr>
        <w:rPr>
          <w:lang w:val="es-ES_tradnl"/>
        </w:rPr>
      </w:pPr>
    </w:p>
    <w:p w:rsidR="00A8705E" w:rsidRPr="00A8705E" w:rsidRDefault="00501893" w:rsidP="00501893">
      <w:pPr>
        <w:rPr>
          <w:lang w:val="es-ES_tradnl"/>
        </w:rPr>
      </w:pPr>
      <w:r w:rsidRPr="00501893">
        <w:rPr>
          <w:color w:val="000000"/>
          <w:lang w:val="es-ES_tradnl"/>
        </w:rPr>
        <w:t>Elaborar una encuesta regional requiere importantes recursos. Su realización llevó más tiempo del previsto inicialmente. Las enseñanzas extraídas al hacer este estudio podrían utilizarse para otros en el futuro.</w:t>
      </w:r>
      <w:r w:rsidR="00D54C8A">
        <w:rPr>
          <w:lang w:val="es-ES_tradnl"/>
        </w:rPr>
        <w:t xml:space="preserve"> </w:t>
      </w:r>
    </w:p>
    <w:p w:rsidR="00A8705E" w:rsidRPr="00A8705E" w:rsidRDefault="00A8705E" w:rsidP="002C40A0">
      <w:pPr>
        <w:rPr>
          <w:lang w:val="es-ES_tradnl"/>
        </w:rPr>
      </w:pPr>
    </w:p>
    <w:p w:rsidR="00A8705E" w:rsidRPr="00A8705E" w:rsidRDefault="00501893" w:rsidP="003A5F4C">
      <w:pPr>
        <w:rPr>
          <w:lang w:val="es-ES_tradnl"/>
        </w:rPr>
      </w:pPr>
      <w:r w:rsidRPr="00501893">
        <w:rPr>
          <w:color w:val="000000"/>
          <w:lang w:val="es-ES_tradnl"/>
        </w:rPr>
        <w:t xml:space="preserve">En primer lugar, no todos los </w:t>
      </w:r>
      <w:r w:rsidR="00A83663" w:rsidRPr="003D6F27">
        <w:rPr>
          <w:color w:val="000000"/>
          <w:lang w:val="es-ES_tradnl"/>
        </w:rPr>
        <w:t>datos de registro unitario</w:t>
      </w:r>
      <w:r w:rsidRPr="00501893">
        <w:rPr>
          <w:color w:val="000000"/>
          <w:lang w:val="es-ES_tradnl"/>
        </w:rPr>
        <w:t xml:space="preserve"> utilizados para identificar a los encuestados estaban completos.</w:t>
      </w:r>
      <w:r w:rsidR="00D54C8A">
        <w:rPr>
          <w:lang w:val="es-ES_tradnl"/>
        </w:rPr>
        <w:t xml:space="preserve"> </w:t>
      </w:r>
      <w:r w:rsidRPr="00501893">
        <w:rPr>
          <w:color w:val="000000"/>
          <w:lang w:val="es-ES_tradnl"/>
        </w:rPr>
        <w:t xml:space="preserve">Esto </w:t>
      </w:r>
      <w:r w:rsidR="00345AF6">
        <w:rPr>
          <w:color w:val="000000"/>
          <w:lang w:val="es-ES_tradnl"/>
        </w:rPr>
        <w:t>ocurría</w:t>
      </w:r>
      <w:r w:rsidRPr="00501893">
        <w:rPr>
          <w:color w:val="000000"/>
          <w:lang w:val="es-ES_tradnl"/>
        </w:rPr>
        <w:t xml:space="preserve"> especialmente con los datos de contacto de los solicitantes.</w:t>
      </w:r>
      <w:r w:rsidR="00D54C8A">
        <w:rPr>
          <w:lang w:val="es-ES_tradnl"/>
        </w:rPr>
        <w:t xml:space="preserve"> </w:t>
      </w:r>
      <w:r w:rsidRPr="00501893">
        <w:rPr>
          <w:color w:val="000000"/>
          <w:lang w:val="es-ES_tradnl"/>
        </w:rPr>
        <w:t xml:space="preserve">Antes de distribuir la encuesta en los países, los equipos de investigación dedicaron </w:t>
      </w:r>
      <w:r w:rsidR="00345AF6">
        <w:rPr>
          <w:color w:val="000000"/>
          <w:lang w:val="es-ES_tradnl"/>
        </w:rPr>
        <w:t>un</w:t>
      </w:r>
      <w:r w:rsidRPr="00501893">
        <w:rPr>
          <w:color w:val="000000"/>
          <w:lang w:val="es-ES_tradnl"/>
        </w:rPr>
        <w:t xml:space="preserve"> tiempo </w:t>
      </w:r>
      <w:r w:rsidR="00345AF6">
        <w:rPr>
          <w:color w:val="000000"/>
          <w:lang w:val="es-ES_tradnl"/>
        </w:rPr>
        <w:t xml:space="preserve">considerable </w:t>
      </w:r>
      <w:r w:rsidRPr="00501893">
        <w:rPr>
          <w:color w:val="000000"/>
          <w:lang w:val="es-ES_tradnl"/>
        </w:rPr>
        <w:t xml:space="preserve">a </w:t>
      </w:r>
      <w:r w:rsidR="00345AF6">
        <w:rPr>
          <w:color w:val="000000"/>
          <w:lang w:val="es-ES_tradnl"/>
        </w:rPr>
        <w:t xml:space="preserve">completar </w:t>
      </w:r>
      <w:r w:rsidRPr="00501893">
        <w:rPr>
          <w:color w:val="000000"/>
          <w:lang w:val="es-ES_tradnl"/>
        </w:rPr>
        <w:t xml:space="preserve">dichos datos </w:t>
      </w:r>
      <w:r w:rsidR="00345AF6">
        <w:rPr>
          <w:color w:val="000000"/>
          <w:lang w:val="es-ES_tradnl"/>
        </w:rPr>
        <w:t>consultando</w:t>
      </w:r>
      <w:r w:rsidRPr="00501893">
        <w:rPr>
          <w:color w:val="000000"/>
          <w:lang w:val="es-ES_tradnl"/>
        </w:rPr>
        <w:t xml:space="preserve"> la información disponible al público.</w:t>
      </w:r>
      <w:r w:rsidR="00D54C8A">
        <w:rPr>
          <w:lang w:val="es-ES_tradnl"/>
        </w:rPr>
        <w:t xml:space="preserve"> </w:t>
      </w:r>
      <w:r w:rsidR="003A5F4C" w:rsidRPr="003A5F4C">
        <w:rPr>
          <w:color w:val="000000"/>
          <w:lang w:val="es-ES_tradnl"/>
        </w:rPr>
        <w:t xml:space="preserve">Con el firme apoyo de las oficinas nacionales de PI, los investigadores se </w:t>
      </w:r>
      <w:r w:rsidR="00345AF6">
        <w:rPr>
          <w:color w:val="000000"/>
          <w:lang w:val="es-ES_tradnl"/>
        </w:rPr>
        <w:t>comunicaron</w:t>
      </w:r>
      <w:r w:rsidR="003A5F4C" w:rsidRPr="003A5F4C">
        <w:rPr>
          <w:color w:val="000000"/>
          <w:lang w:val="es-ES_tradnl"/>
        </w:rPr>
        <w:t xml:space="preserve"> con asociaciones comerciales y </w:t>
      </w:r>
      <w:r w:rsidR="003844E1">
        <w:rPr>
          <w:color w:val="000000"/>
          <w:lang w:val="es-ES_tradnl"/>
        </w:rPr>
        <w:t>del ámbito del</w:t>
      </w:r>
      <w:r w:rsidR="003A5F4C" w:rsidRPr="003A5F4C">
        <w:rPr>
          <w:color w:val="000000"/>
          <w:lang w:val="es-ES_tradnl"/>
        </w:rPr>
        <w:t xml:space="preserve"> diseño para completar la información</w:t>
      </w:r>
      <w:r w:rsidR="00345AF6">
        <w:rPr>
          <w:color w:val="000000"/>
          <w:lang w:val="es-ES_tradnl"/>
        </w:rPr>
        <w:t xml:space="preserve"> de contacto</w:t>
      </w:r>
      <w:r w:rsidR="003A5F4C" w:rsidRPr="003A5F4C">
        <w:rPr>
          <w:color w:val="000000"/>
          <w:lang w:val="es-ES_tradnl"/>
        </w:rPr>
        <w:t xml:space="preserve"> </w:t>
      </w:r>
      <w:r w:rsidR="00345AF6">
        <w:rPr>
          <w:color w:val="000000"/>
          <w:lang w:val="es-ES_tradnl"/>
        </w:rPr>
        <w:t>de</w:t>
      </w:r>
      <w:r w:rsidR="003A5F4C" w:rsidRPr="003A5F4C">
        <w:rPr>
          <w:color w:val="000000"/>
          <w:lang w:val="es-ES_tradnl"/>
        </w:rPr>
        <w:t xml:space="preserve"> los encuestados.</w:t>
      </w:r>
    </w:p>
    <w:p w:rsidR="00A8705E" w:rsidRPr="00A8705E" w:rsidRDefault="00A8705E" w:rsidP="002C40A0">
      <w:pPr>
        <w:rPr>
          <w:lang w:val="es-ES_tradnl"/>
        </w:rPr>
      </w:pPr>
    </w:p>
    <w:p w:rsidR="00A8705E" w:rsidRPr="00A8705E" w:rsidRDefault="008E7C1B" w:rsidP="008E7C1B">
      <w:pPr>
        <w:rPr>
          <w:lang w:val="es-ES_tradnl"/>
        </w:rPr>
      </w:pPr>
      <w:r w:rsidRPr="008E7C1B">
        <w:rPr>
          <w:color w:val="000000"/>
          <w:lang w:val="es-ES_tradnl"/>
        </w:rPr>
        <w:t xml:space="preserve">En segundo lugar, </w:t>
      </w:r>
      <w:r w:rsidR="00345AF6" w:rsidRPr="008E7C1B">
        <w:rPr>
          <w:color w:val="000000"/>
          <w:lang w:val="es-ES_tradnl"/>
        </w:rPr>
        <w:t xml:space="preserve">la División de Economía y Estadística y los equipos de investigación locales </w:t>
      </w:r>
      <w:r w:rsidR="00345AF6">
        <w:rPr>
          <w:color w:val="000000"/>
          <w:lang w:val="es-ES_tradnl"/>
        </w:rPr>
        <w:t xml:space="preserve">prestaron atención a </w:t>
      </w:r>
      <w:r w:rsidRPr="008E7C1B">
        <w:rPr>
          <w:color w:val="000000"/>
          <w:lang w:val="es-ES_tradnl"/>
        </w:rPr>
        <w:t>la longitud de</w:t>
      </w:r>
      <w:r w:rsidR="00345AF6">
        <w:rPr>
          <w:color w:val="000000"/>
          <w:lang w:val="es-ES_tradnl"/>
        </w:rPr>
        <w:t xml:space="preserve"> </w:t>
      </w:r>
      <w:r w:rsidRPr="008E7C1B">
        <w:rPr>
          <w:color w:val="000000"/>
          <w:lang w:val="es-ES_tradnl"/>
        </w:rPr>
        <w:t>l</w:t>
      </w:r>
      <w:r w:rsidR="00345AF6">
        <w:rPr>
          <w:color w:val="000000"/>
          <w:lang w:val="es-ES_tradnl"/>
        </w:rPr>
        <w:t>os</w:t>
      </w:r>
      <w:r w:rsidRPr="008E7C1B">
        <w:rPr>
          <w:color w:val="000000"/>
          <w:lang w:val="es-ES_tradnl"/>
        </w:rPr>
        <w:t xml:space="preserve"> cuestionario</w:t>
      </w:r>
      <w:r w:rsidR="00345AF6">
        <w:rPr>
          <w:color w:val="000000"/>
          <w:lang w:val="es-ES_tradnl"/>
        </w:rPr>
        <w:t>s</w:t>
      </w:r>
      <w:r w:rsidRPr="008E7C1B">
        <w:rPr>
          <w:color w:val="000000"/>
          <w:lang w:val="es-ES_tradnl"/>
        </w:rPr>
        <w:t>.</w:t>
      </w:r>
      <w:r w:rsidR="00D54C8A">
        <w:rPr>
          <w:lang w:val="es-ES_tradnl"/>
        </w:rPr>
        <w:t xml:space="preserve"> </w:t>
      </w:r>
      <w:r w:rsidRPr="008E7C1B">
        <w:rPr>
          <w:color w:val="000000"/>
          <w:lang w:val="es-ES_tradnl"/>
        </w:rPr>
        <w:t>Se llevaron a cabo dos pruebas piloto antes de la realización de las encuestas.</w:t>
      </w:r>
      <w:r w:rsidR="00D54C8A">
        <w:rPr>
          <w:lang w:val="es-ES_tradnl"/>
        </w:rPr>
        <w:t xml:space="preserve"> </w:t>
      </w:r>
      <w:r w:rsidRPr="008E7C1B">
        <w:rPr>
          <w:color w:val="000000"/>
          <w:lang w:val="es-ES_tradnl"/>
        </w:rPr>
        <w:t xml:space="preserve">La primera serie de entrevistas con diseñadores tuvo lugar en dos convenciones </w:t>
      </w:r>
      <w:r w:rsidR="00345AF6">
        <w:rPr>
          <w:color w:val="000000"/>
          <w:lang w:val="es-ES_tradnl"/>
        </w:rPr>
        <w:t>de</w:t>
      </w:r>
      <w:r w:rsidRPr="008E7C1B">
        <w:rPr>
          <w:color w:val="000000"/>
          <w:lang w:val="es-ES_tradnl"/>
        </w:rPr>
        <w:t xml:space="preserve"> diseño conocidas internacionalmente y celebradas anualmente en Milán (Italia).</w:t>
      </w:r>
      <w:r>
        <w:rPr>
          <w:rStyle w:val="FootnoteReference"/>
          <w:lang w:val="en-US"/>
        </w:rPr>
        <w:footnoteReference w:id="7"/>
      </w:r>
      <w:r w:rsidR="002C40A0" w:rsidRPr="00A8705E">
        <w:rPr>
          <w:lang w:val="es-ES_tradnl"/>
        </w:rPr>
        <w:t xml:space="preserve"> </w:t>
      </w:r>
      <w:r w:rsidRPr="008E7C1B">
        <w:rPr>
          <w:color w:val="000000"/>
          <w:lang w:val="es-ES_tradnl"/>
        </w:rPr>
        <w:t>La segunda prueba piloto se desarrolló en Filipinas con un pequeño grupo de solicitantes de registro de diseños industriales del país.</w:t>
      </w:r>
      <w:r w:rsidR="00D54C8A">
        <w:rPr>
          <w:lang w:val="es-ES_tradnl"/>
        </w:rPr>
        <w:t xml:space="preserve"> </w:t>
      </w:r>
      <w:r w:rsidRPr="008E7C1B">
        <w:rPr>
          <w:color w:val="000000"/>
          <w:lang w:val="es-ES_tradnl"/>
        </w:rPr>
        <w:t>En ambos casos, los encuestados pudieron rellenar el cuestionario a pesar de su longitud.</w:t>
      </w:r>
    </w:p>
    <w:p w:rsidR="00A8705E" w:rsidRPr="00A8705E" w:rsidRDefault="00A8705E" w:rsidP="002C40A0">
      <w:pPr>
        <w:rPr>
          <w:lang w:val="es-ES_tradnl"/>
        </w:rPr>
      </w:pPr>
    </w:p>
    <w:p w:rsidR="00A8705E" w:rsidRDefault="00F2102E" w:rsidP="00F2102E">
      <w:pPr>
        <w:rPr>
          <w:lang w:val="es-ES_tradnl"/>
        </w:rPr>
      </w:pPr>
      <w:r w:rsidRPr="00F2102E">
        <w:rPr>
          <w:color w:val="000000"/>
          <w:lang w:val="es-ES_tradnl"/>
        </w:rPr>
        <w:t xml:space="preserve">Durante la puesta en marcha de las encuestas, los equipos de investigación locales ofrecieron a los encuestados la posibilidad de rellenar una versión más corta del cuestionario o realizar la entrevista por teléfono, con el fin de </w:t>
      </w:r>
      <w:r w:rsidR="007412CA">
        <w:rPr>
          <w:color w:val="000000"/>
          <w:lang w:val="es-ES_tradnl"/>
        </w:rPr>
        <w:t>animarlos</w:t>
      </w:r>
      <w:r w:rsidRPr="00F2102E">
        <w:rPr>
          <w:color w:val="000000"/>
          <w:lang w:val="es-ES_tradnl"/>
        </w:rPr>
        <w:t xml:space="preserve"> a responder.</w:t>
      </w:r>
      <w:r w:rsidR="002C40A0" w:rsidRPr="007412CA">
        <w:rPr>
          <w:lang w:val="es-ES_tradnl"/>
        </w:rPr>
        <w:t xml:space="preserve"> </w:t>
      </w:r>
    </w:p>
    <w:p w:rsidR="00A8705E" w:rsidRDefault="00A8705E" w:rsidP="002C40A0">
      <w:pPr>
        <w:rPr>
          <w:lang w:val="es-ES_tradnl"/>
        </w:rPr>
      </w:pPr>
    </w:p>
    <w:p w:rsidR="00A8705E" w:rsidRPr="009A68C9" w:rsidRDefault="00B139F1" w:rsidP="00B139F1">
      <w:pPr>
        <w:rPr>
          <w:lang w:val="es-ES_tradnl"/>
        </w:rPr>
      </w:pPr>
      <w:r w:rsidRPr="00B139F1">
        <w:rPr>
          <w:color w:val="000000"/>
          <w:lang w:val="es-ES_tradnl"/>
        </w:rPr>
        <w:t xml:space="preserve">Además, realizar las encuestas de forma escalonada en los tres países ha resultado útil para ayudar a los equipos de investigación a aprender </w:t>
      </w:r>
      <w:r w:rsidR="00345AF6">
        <w:rPr>
          <w:color w:val="000000"/>
          <w:lang w:val="es-ES_tradnl"/>
        </w:rPr>
        <w:t>de sus distintas experiencias a</w:t>
      </w:r>
      <w:r w:rsidRPr="00B139F1">
        <w:rPr>
          <w:color w:val="000000"/>
          <w:lang w:val="es-ES_tradnl"/>
        </w:rPr>
        <w:t>l contactar con los encuestados.</w:t>
      </w:r>
    </w:p>
    <w:p w:rsidR="00A8705E" w:rsidRPr="009A68C9" w:rsidRDefault="00A8705E" w:rsidP="002C40A0">
      <w:pPr>
        <w:rPr>
          <w:lang w:val="es-ES_tradnl"/>
        </w:rPr>
      </w:pPr>
    </w:p>
    <w:p w:rsidR="00A8705E" w:rsidRPr="009A68C9" w:rsidRDefault="00B139F1" w:rsidP="00B139F1">
      <w:pPr>
        <w:rPr>
          <w:lang w:val="es-ES_tradnl"/>
        </w:rPr>
      </w:pPr>
      <w:r w:rsidRPr="00B139F1">
        <w:rPr>
          <w:color w:val="000000"/>
          <w:lang w:val="es-ES_tradnl"/>
        </w:rPr>
        <w:t>En tercer lugar, muchos encuestados tuvieron dudas sobre si rellenar el cuestionario.</w:t>
      </w:r>
      <w:r w:rsidR="00D54C8A">
        <w:rPr>
          <w:lang w:val="es-ES_tradnl"/>
        </w:rPr>
        <w:t xml:space="preserve"> </w:t>
      </w:r>
      <w:r w:rsidRPr="00B139F1">
        <w:rPr>
          <w:color w:val="000000"/>
          <w:lang w:val="es-ES_tradnl"/>
        </w:rPr>
        <w:t xml:space="preserve">El firme apoyo de las tres oficinas de PI fue crucial para ayudar a obtener </w:t>
      </w:r>
      <w:r w:rsidR="00345AF6">
        <w:rPr>
          <w:color w:val="000000"/>
          <w:lang w:val="es-ES_tradnl"/>
        </w:rPr>
        <w:t xml:space="preserve">más </w:t>
      </w:r>
      <w:r w:rsidRPr="00B139F1">
        <w:rPr>
          <w:color w:val="000000"/>
          <w:lang w:val="es-ES_tradnl"/>
        </w:rPr>
        <w:t>respuestas al cuestionario.</w:t>
      </w:r>
      <w:r w:rsidR="00D54C8A">
        <w:rPr>
          <w:lang w:val="es-ES_tradnl"/>
        </w:rPr>
        <w:t xml:space="preserve"> </w:t>
      </w:r>
      <w:r w:rsidRPr="00B139F1">
        <w:rPr>
          <w:color w:val="000000"/>
          <w:lang w:val="es-ES_tradnl"/>
        </w:rPr>
        <w:t>Los talleres adicionales organizados en Filipinas e Indonesia ayudaron a los equipos de investigación locales a ponerse en contacto directamente con los encuestados.</w:t>
      </w:r>
      <w:r w:rsidR="00D54C8A">
        <w:rPr>
          <w:lang w:val="es-ES_tradnl"/>
        </w:rPr>
        <w:t xml:space="preserve"> </w:t>
      </w:r>
    </w:p>
    <w:p w:rsidR="00A8705E" w:rsidRPr="009A68C9" w:rsidRDefault="00A8705E" w:rsidP="002C40A0">
      <w:pPr>
        <w:rPr>
          <w:lang w:val="es-ES_tradnl"/>
        </w:rPr>
      </w:pPr>
    </w:p>
    <w:p w:rsidR="00A8705E" w:rsidRPr="009A68C9" w:rsidRDefault="00345AF6" w:rsidP="009F002B">
      <w:pPr>
        <w:rPr>
          <w:lang w:val="es-ES_tradnl"/>
        </w:rPr>
      </w:pPr>
      <w:r>
        <w:rPr>
          <w:color w:val="000000"/>
          <w:lang w:val="es-ES_tradnl"/>
        </w:rPr>
        <w:t>En cuanto a</w:t>
      </w:r>
      <w:r w:rsidR="00B139F1" w:rsidRPr="00B139F1">
        <w:rPr>
          <w:color w:val="000000"/>
          <w:lang w:val="es-ES_tradnl"/>
        </w:rPr>
        <w:t xml:space="preserve"> las repercusiones en materia de políticas, las respuestas </w:t>
      </w:r>
      <w:r>
        <w:rPr>
          <w:color w:val="000000"/>
          <w:lang w:val="es-ES_tradnl"/>
        </w:rPr>
        <w:t>revelan</w:t>
      </w:r>
      <w:r w:rsidR="00B139F1" w:rsidRPr="00B139F1">
        <w:rPr>
          <w:color w:val="000000"/>
          <w:lang w:val="es-ES_tradnl"/>
        </w:rPr>
        <w:t xml:space="preserve"> que los innovadores de diseños utilizan los derechos sobre diseños industriales para </w:t>
      </w:r>
      <w:r w:rsidR="003F4661">
        <w:rPr>
          <w:color w:val="000000"/>
          <w:lang w:val="es-ES_tradnl"/>
        </w:rPr>
        <w:t>obtener el rendimiento de</w:t>
      </w:r>
      <w:r w:rsidR="00B139F1" w:rsidRPr="00B139F1">
        <w:rPr>
          <w:color w:val="000000"/>
          <w:lang w:val="es-ES_tradnl"/>
        </w:rPr>
        <w:t xml:space="preserve"> sus inversiones en la creación de nuevos diseños.</w:t>
      </w:r>
      <w:r w:rsidR="00D54C8A">
        <w:rPr>
          <w:lang w:val="es-ES_tradnl"/>
        </w:rPr>
        <w:t xml:space="preserve"> </w:t>
      </w:r>
      <w:r w:rsidR="00B139F1" w:rsidRPr="00B139F1">
        <w:rPr>
          <w:color w:val="000000"/>
          <w:lang w:val="es-ES_tradnl"/>
        </w:rPr>
        <w:t xml:space="preserve">También </w:t>
      </w:r>
      <w:r>
        <w:rPr>
          <w:color w:val="000000"/>
          <w:lang w:val="es-ES_tradnl"/>
        </w:rPr>
        <w:t>indican</w:t>
      </w:r>
      <w:r w:rsidR="00B139F1" w:rsidRPr="00B139F1">
        <w:rPr>
          <w:color w:val="000000"/>
          <w:lang w:val="es-ES_tradnl"/>
        </w:rPr>
        <w:t xml:space="preserve"> que los innovadores de diseños se enfrentan a un riesgo real de imitación.</w:t>
      </w:r>
      <w:r w:rsidR="00D54C8A">
        <w:rPr>
          <w:lang w:val="es-ES_tradnl"/>
        </w:rPr>
        <w:t xml:space="preserve"> </w:t>
      </w:r>
      <w:r w:rsidR="009F002B" w:rsidRPr="009F002B">
        <w:rPr>
          <w:color w:val="000000"/>
          <w:lang w:val="es-ES_tradnl"/>
        </w:rPr>
        <w:t xml:space="preserve">Por lo tanto, el sistema de registro de diseños industriales desempeña en general una función de apoyo </w:t>
      </w:r>
      <w:r w:rsidR="003F4661">
        <w:rPr>
          <w:color w:val="000000"/>
          <w:lang w:val="es-ES_tradnl"/>
        </w:rPr>
        <w:t xml:space="preserve">a </w:t>
      </w:r>
      <w:r w:rsidR="009F002B" w:rsidRPr="009F002B">
        <w:rPr>
          <w:color w:val="000000"/>
          <w:lang w:val="es-ES_tradnl"/>
        </w:rPr>
        <w:t>una forma de innovación a la que recurren</w:t>
      </w:r>
      <w:r w:rsidR="003F4661">
        <w:rPr>
          <w:color w:val="000000"/>
          <w:lang w:val="es-ES_tradnl"/>
        </w:rPr>
        <w:t xml:space="preserve"> las</w:t>
      </w:r>
      <w:r w:rsidR="009F002B" w:rsidRPr="009F002B">
        <w:rPr>
          <w:color w:val="000000"/>
          <w:lang w:val="es-ES_tradnl"/>
        </w:rPr>
        <w:t xml:space="preserve"> empresas de países de ingresos medianos, incluidas las pequeñas y medianas empresas.</w:t>
      </w:r>
      <w:r w:rsidR="00D54C8A">
        <w:rPr>
          <w:lang w:val="es-ES_tradnl"/>
        </w:rPr>
        <w:t xml:space="preserve"> </w:t>
      </w:r>
      <w:r w:rsidR="009F002B" w:rsidRPr="009F002B">
        <w:rPr>
          <w:color w:val="000000"/>
          <w:lang w:val="es-ES_tradnl"/>
        </w:rPr>
        <w:t xml:space="preserve">A diferencia de lo que ocurre </w:t>
      </w:r>
      <w:r w:rsidR="003F4661">
        <w:rPr>
          <w:color w:val="000000"/>
          <w:lang w:val="es-ES_tradnl"/>
        </w:rPr>
        <w:t>en el ámbito de</w:t>
      </w:r>
      <w:r w:rsidR="009F002B" w:rsidRPr="009F002B">
        <w:rPr>
          <w:color w:val="000000"/>
          <w:lang w:val="es-ES_tradnl"/>
        </w:rPr>
        <w:t xml:space="preserve"> las patentes, las empresas no necesitan estar a la vanguardia de la tecnología para crear </w:t>
      </w:r>
      <w:r w:rsidR="003F4661">
        <w:rPr>
          <w:color w:val="000000"/>
          <w:lang w:val="es-ES_tradnl"/>
        </w:rPr>
        <w:t>con</w:t>
      </w:r>
      <w:r w:rsidR="003F4661" w:rsidRPr="009F002B">
        <w:rPr>
          <w:color w:val="000000"/>
          <w:lang w:val="es-ES_tradnl"/>
        </w:rPr>
        <w:t xml:space="preserve"> éxito </w:t>
      </w:r>
      <w:r w:rsidR="009F002B" w:rsidRPr="009F002B">
        <w:rPr>
          <w:color w:val="000000"/>
          <w:lang w:val="es-ES_tradnl"/>
        </w:rPr>
        <w:t>diseños nuevos.</w:t>
      </w:r>
      <w:r w:rsidR="00D54C8A">
        <w:rPr>
          <w:lang w:val="es-ES_tradnl"/>
        </w:rPr>
        <w:t xml:space="preserve"> </w:t>
      </w:r>
      <w:r w:rsidR="009F002B" w:rsidRPr="009F002B">
        <w:rPr>
          <w:color w:val="000000"/>
          <w:lang w:val="es-ES_tradnl"/>
        </w:rPr>
        <w:t>Lo que necesitan principalmente es talento humano, del que hay una gran oferta incluso en entornos con mayor limitación de recursos.</w:t>
      </w:r>
    </w:p>
    <w:p w:rsidR="00A8705E" w:rsidRPr="009A68C9" w:rsidRDefault="00A8705E" w:rsidP="002C40A0">
      <w:pPr>
        <w:rPr>
          <w:lang w:val="es-ES_tradnl"/>
        </w:rPr>
      </w:pPr>
    </w:p>
    <w:p w:rsidR="00A8705E" w:rsidRPr="009A68C9" w:rsidRDefault="00F0760E" w:rsidP="00F0760E">
      <w:pPr>
        <w:rPr>
          <w:lang w:val="es-ES_tradnl"/>
        </w:rPr>
      </w:pPr>
      <w:r w:rsidRPr="00F0760E">
        <w:rPr>
          <w:color w:val="000000"/>
          <w:lang w:val="es-ES_tradnl"/>
        </w:rPr>
        <w:t xml:space="preserve">Por último, el estudio aporta </w:t>
      </w:r>
      <w:r w:rsidR="003F4661">
        <w:rPr>
          <w:color w:val="000000"/>
          <w:lang w:val="es-ES_tradnl"/>
        </w:rPr>
        <w:t>pruebas</w:t>
      </w:r>
      <w:r w:rsidRPr="00F0760E">
        <w:rPr>
          <w:color w:val="000000"/>
          <w:lang w:val="es-ES_tradnl"/>
        </w:rPr>
        <w:t xml:space="preserve"> preliminar</w:t>
      </w:r>
      <w:r w:rsidR="003F4661">
        <w:rPr>
          <w:color w:val="000000"/>
          <w:lang w:val="es-ES_tradnl"/>
        </w:rPr>
        <w:t>es</w:t>
      </w:r>
      <w:r w:rsidRPr="00F0760E">
        <w:rPr>
          <w:color w:val="000000"/>
          <w:lang w:val="es-ES_tradnl"/>
        </w:rPr>
        <w:t xml:space="preserve"> </w:t>
      </w:r>
      <w:r w:rsidR="003F4661">
        <w:rPr>
          <w:color w:val="000000"/>
          <w:lang w:val="es-ES_tradnl"/>
        </w:rPr>
        <w:t>de que la innovación en el ámbito de los</w:t>
      </w:r>
      <w:r w:rsidRPr="00F0760E">
        <w:rPr>
          <w:color w:val="000000"/>
          <w:lang w:val="es-ES_tradnl"/>
        </w:rPr>
        <w:t xml:space="preserve"> diseños puede ser una manera de </w:t>
      </w:r>
      <w:r w:rsidR="003F4661">
        <w:rPr>
          <w:color w:val="000000"/>
          <w:lang w:val="es-ES_tradnl"/>
        </w:rPr>
        <w:t xml:space="preserve">acceder a </w:t>
      </w:r>
      <w:r w:rsidRPr="00F0760E">
        <w:rPr>
          <w:color w:val="000000"/>
          <w:lang w:val="es-ES_tradnl"/>
        </w:rPr>
        <w:t>mercados extranjeros y aumentar las exportaciones.</w:t>
      </w:r>
      <w:r w:rsidR="00D54C8A">
        <w:rPr>
          <w:lang w:val="es-ES_tradnl"/>
        </w:rPr>
        <w:t xml:space="preserve"> </w:t>
      </w:r>
      <w:r w:rsidRPr="00F0760E">
        <w:rPr>
          <w:color w:val="000000"/>
          <w:lang w:val="es-ES_tradnl"/>
        </w:rPr>
        <w:t>E</w:t>
      </w:r>
      <w:r w:rsidR="003F4661">
        <w:rPr>
          <w:color w:val="000000"/>
          <w:lang w:val="es-ES_tradnl"/>
        </w:rPr>
        <w:t>sto</w:t>
      </w:r>
      <w:r w:rsidRPr="00F0760E">
        <w:rPr>
          <w:color w:val="000000"/>
          <w:lang w:val="es-ES_tradnl"/>
        </w:rPr>
        <w:t xml:space="preserve"> se corresponde con la</w:t>
      </w:r>
      <w:r w:rsidR="003F4661">
        <w:rPr>
          <w:color w:val="000000"/>
          <w:lang w:val="es-ES_tradnl"/>
        </w:rPr>
        <w:t>s investigaciones sobre</w:t>
      </w:r>
      <w:r w:rsidRPr="00F0760E">
        <w:rPr>
          <w:color w:val="000000"/>
          <w:lang w:val="es-ES_tradnl"/>
        </w:rPr>
        <w:t xml:space="preserve"> </w:t>
      </w:r>
      <w:r w:rsidR="003F4661">
        <w:rPr>
          <w:color w:val="000000"/>
          <w:lang w:val="es-ES_tradnl"/>
        </w:rPr>
        <w:t>comercio internacional que apuntan a</w:t>
      </w:r>
      <w:r w:rsidRPr="00F0760E">
        <w:rPr>
          <w:color w:val="000000"/>
          <w:lang w:val="es-ES_tradnl"/>
        </w:rPr>
        <w:t xml:space="preserve"> las capacidades especiales de las empresas para </w:t>
      </w:r>
      <w:r w:rsidR="003F4661">
        <w:rPr>
          <w:color w:val="000000"/>
          <w:lang w:val="es-ES_tradnl"/>
        </w:rPr>
        <w:t>explicar</w:t>
      </w:r>
      <w:r w:rsidRPr="00F0760E">
        <w:rPr>
          <w:color w:val="000000"/>
          <w:lang w:val="es-ES_tradnl"/>
        </w:rPr>
        <w:t xml:space="preserve"> el éxito </w:t>
      </w:r>
      <w:r w:rsidR="003F4661">
        <w:rPr>
          <w:color w:val="000000"/>
          <w:lang w:val="es-ES_tradnl"/>
        </w:rPr>
        <w:t xml:space="preserve">de sus </w:t>
      </w:r>
      <w:r w:rsidRPr="00F0760E">
        <w:rPr>
          <w:color w:val="000000"/>
          <w:lang w:val="es-ES_tradnl"/>
        </w:rPr>
        <w:t>exportaciones.</w:t>
      </w:r>
      <w:r>
        <w:rPr>
          <w:rStyle w:val="FootnoteReference"/>
          <w:lang w:val="en-US"/>
        </w:rPr>
        <w:footnoteReference w:id="8"/>
      </w:r>
      <w:r w:rsidR="00D54C8A">
        <w:rPr>
          <w:lang w:val="es-ES_tradnl"/>
        </w:rPr>
        <w:t xml:space="preserve"> </w:t>
      </w:r>
      <w:r w:rsidRPr="00F0760E">
        <w:rPr>
          <w:color w:val="000000"/>
          <w:lang w:val="es-ES_tradnl"/>
        </w:rPr>
        <w:t>Al mismo tiempo, el vínculo entre la innovación sobre diseños y la exportación debe ser automático.</w:t>
      </w:r>
      <w:r w:rsidR="00D54C8A">
        <w:rPr>
          <w:lang w:val="es-ES_tradnl"/>
        </w:rPr>
        <w:t xml:space="preserve"> </w:t>
      </w:r>
      <w:r w:rsidRPr="00F0760E">
        <w:rPr>
          <w:color w:val="000000"/>
          <w:lang w:val="es-ES_tradnl"/>
        </w:rPr>
        <w:t xml:space="preserve">Estudiar las barreras a las que se enfrentan los innovadores nacionales </w:t>
      </w:r>
      <w:r w:rsidR="00451F98">
        <w:rPr>
          <w:color w:val="000000"/>
          <w:lang w:val="es-ES_tradnl"/>
        </w:rPr>
        <w:t xml:space="preserve">que tienen </w:t>
      </w:r>
      <w:r w:rsidRPr="00F0760E">
        <w:rPr>
          <w:color w:val="000000"/>
          <w:lang w:val="es-ES_tradnl"/>
        </w:rPr>
        <w:t xml:space="preserve">éxito en </w:t>
      </w:r>
      <w:r w:rsidR="00451F98">
        <w:rPr>
          <w:color w:val="000000"/>
          <w:lang w:val="es-ES_tradnl"/>
        </w:rPr>
        <w:t>el ámbito</w:t>
      </w:r>
      <w:r w:rsidRPr="00F0760E">
        <w:rPr>
          <w:color w:val="000000"/>
          <w:lang w:val="es-ES_tradnl"/>
        </w:rPr>
        <w:t xml:space="preserve"> de diseños a la hora de entrar en mercados internacionales puede aportar más información relevante para la elaboración de políticas.</w:t>
      </w:r>
    </w:p>
    <w:p w:rsidR="00A8705E" w:rsidRPr="009A68C9" w:rsidRDefault="00A8705E" w:rsidP="002C40A0">
      <w:pPr>
        <w:rPr>
          <w:lang w:val="es-ES_tradnl"/>
        </w:rPr>
      </w:pPr>
    </w:p>
    <w:p w:rsidR="00A8705E" w:rsidRPr="009A68C9" w:rsidRDefault="00A8705E" w:rsidP="002C40A0">
      <w:pPr>
        <w:rPr>
          <w:lang w:val="es-ES_tradnl"/>
        </w:rPr>
      </w:pPr>
    </w:p>
    <w:p w:rsidR="00A8705E" w:rsidRPr="009A68C9" w:rsidRDefault="00A8705E" w:rsidP="002C40A0">
      <w:pPr>
        <w:rPr>
          <w:lang w:val="es-ES_tradnl"/>
        </w:rPr>
      </w:pPr>
    </w:p>
    <w:p w:rsidR="00152CEA" w:rsidRPr="00BC7E19" w:rsidRDefault="00F0760E" w:rsidP="00F0760E">
      <w:pPr>
        <w:pStyle w:val="Endofdocument-Annex"/>
        <w:rPr>
          <w:lang w:val="es-ES_tradnl"/>
        </w:rPr>
      </w:pPr>
      <w:r w:rsidRPr="00BC7E19">
        <w:rPr>
          <w:lang w:val="es-ES_tradnl"/>
        </w:rPr>
        <w:t>[Fin del Anexo y del documento]</w:t>
      </w:r>
    </w:p>
    <w:sectPr w:rsidR="00152CEA" w:rsidRPr="00BC7E19" w:rsidSect="004D0143">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24" w:rsidRDefault="00B20F24">
      <w:r>
        <w:separator/>
      </w:r>
    </w:p>
  </w:endnote>
  <w:endnote w:type="continuationSeparator" w:id="0">
    <w:p w:rsidR="00B20F24" w:rsidRPr="009D30E6" w:rsidRDefault="00B20F24" w:rsidP="007E663E">
      <w:pPr>
        <w:rPr>
          <w:sz w:val="17"/>
          <w:szCs w:val="17"/>
        </w:rPr>
      </w:pPr>
      <w:r w:rsidRPr="009D30E6">
        <w:rPr>
          <w:sz w:val="17"/>
          <w:szCs w:val="17"/>
        </w:rPr>
        <w:separator/>
      </w:r>
    </w:p>
    <w:p w:rsidR="00B20F24" w:rsidRPr="007E663E" w:rsidRDefault="00B20F24" w:rsidP="007E663E">
      <w:pPr>
        <w:spacing w:after="60"/>
        <w:rPr>
          <w:sz w:val="17"/>
          <w:szCs w:val="17"/>
        </w:rPr>
      </w:pPr>
      <w:r>
        <w:rPr>
          <w:sz w:val="17"/>
        </w:rPr>
        <w:t>[Continuación de la nota de la página anterior]</w:t>
      </w:r>
    </w:p>
  </w:endnote>
  <w:endnote w:type="continuationNotice" w:id="1">
    <w:p w:rsidR="00B20F24" w:rsidRPr="007E663E" w:rsidRDefault="00B20F2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5A" w:rsidRDefault="00EB425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24" w:rsidRDefault="00B20F24">
      <w:r>
        <w:separator/>
      </w:r>
    </w:p>
  </w:footnote>
  <w:footnote w:type="continuationSeparator" w:id="0">
    <w:p w:rsidR="00B20F24" w:rsidRPr="009D30E6" w:rsidRDefault="00B20F24" w:rsidP="007E663E">
      <w:pPr>
        <w:rPr>
          <w:sz w:val="17"/>
          <w:szCs w:val="17"/>
        </w:rPr>
      </w:pPr>
      <w:r w:rsidRPr="009D30E6">
        <w:rPr>
          <w:sz w:val="17"/>
          <w:szCs w:val="17"/>
        </w:rPr>
        <w:separator/>
      </w:r>
    </w:p>
    <w:p w:rsidR="00B20F24" w:rsidRPr="007E663E" w:rsidRDefault="00B20F24" w:rsidP="007E663E">
      <w:pPr>
        <w:spacing w:after="60"/>
        <w:rPr>
          <w:sz w:val="17"/>
          <w:szCs w:val="17"/>
        </w:rPr>
      </w:pPr>
      <w:r>
        <w:rPr>
          <w:sz w:val="17"/>
        </w:rPr>
        <w:t>[Continuación de la nota de la página anterior]</w:t>
      </w:r>
    </w:p>
  </w:footnote>
  <w:footnote w:type="continuationNotice" w:id="1">
    <w:p w:rsidR="00B20F24" w:rsidRPr="007E663E" w:rsidRDefault="00B20F24" w:rsidP="007E663E">
      <w:pPr>
        <w:spacing w:before="60"/>
        <w:jc w:val="right"/>
        <w:rPr>
          <w:sz w:val="17"/>
          <w:szCs w:val="17"/>
        </w:rPr>
      </w:pPr>
      <w:r w:rsidRPr="007E663E">
        <w:rPr>
          <w:sz w:val="17"/>
          <w:szCs w:val="17"/>
        </w:rPr>
        <w:t>[Sigue la nota en la página siguiente]</w:t>
      </w:r>
    </w:p>
  </w:footnote>
  <w:footnote w:id="2">
    <w:p w:rsidR="00EB425A" w:rsidRPr="00334317" w:rsidRDefault="00EB425A" w:rsidP="00CB350B">
      <w:pPr>
        <w:pStyle w:val="FootnoteText"/>
        <w:rPr>
          <w:lang w:val="es-ES_tradnl"/>
        </w:rPr>
      </w:pPr>
      <w:r>
        <w:rPr>
          <w:rStyle w:val="FootnoteReference"/>
        </w:rPr>
        <w:footnoteRef/>
      </w:r>
      <w:r w:rsidRPr="00334317">
        <w:rPr>
          <w:lang w:val="es-ES_tradnl"/>
        </w:rPr>
        <w:t xml:space="preserve"> </w:t>
      </w:r>
      <w:r w:rsidRPr="00CB350B">
        <w:rPr>
          <w:color w:val="000000"/>
          <w:lang w:val="es-ES_tradnl"/>
        </w:rPr>
        <w:t>Para</w:t>
      </w:r>
      <w:r>
        <w:rPr>
          <w:color w:val="000000"/>
          <w:lang w:val="es-ES_tradnl"/>
        </w:rPr>
        <w:t xml:space="preserve"> consultar</w:t>
      </w:r>
      <w:r w:rsidRPr="00CB350B">
        <w:rPr>
          <w:color w:val="000000"/>
          <w:lang w:val="es-ES_tradnl"/>
        </w:rPr>
        <w:t xml:space="preserve"> una reseña estadística, véase el documento de la OMPI SCT/27/4 ADD. disponible en </w:t>
      </w:r>
      <w:r w:rsidRPr="004174FF">
        <w:rPr>
          <w:color w:val="000000"/>
          <w:lang w:val="es-ES_tradnl"/>
        </w:rPr>
        <w:t>http://www.wipo.int/meetings/es/doc_details.jsp?doc_id=237526</w:t>
      </w:r>
      <w:r w:rsidRPr="00CB350B">
        <w:rPr>
          <w:color w:val="000000"/>
          <w:lang w:val="es-ES_tradnl"/>
        </w:rPr>
        <w:t>.</w:t>
      </w:r>
    </w:p>
  </w:footnote>
  <w:footnote w:id="3">
    <w:p w:rsidR="00EB425A" w:rsidRPr="00334317" w:rsidRDefault="00EB425A">
      <w:pPr>
        <w:pStyle w:val="FootnoteText"/>
        <w:rPr>
          <w:lang w:val="es-ES_tradnl"/>
        </w:rPr>
      </w:pPr>
      <w:r>
        <w:rPr>
          <w:rStyle w:val="FootnoteReference"/>
        </w:rPr>
        <w:footnoteRef/>
      </w:r>
      <w:r w:rsidRPr="00F65C12">
        <w:rPr>
          <w:lang w:val="en-US"/>
        </w:rPr>
        <w:t xml:space="preserve"> </w:t>
      </w:r>
      <w:r>
        <w:rPr>
          <w:lang w:val="en-US"/>
        </w:rPr>
        <w:t>Véanse</w:t>
      </w:r>
      <w:r w:rsidRPr="00F65C12">
        <w:rPr>
          <w:lang w:val="en-US"/>
        </w:rPr>
        <w:t xml:space="preserve"> ROTHWELL, R. &amp; GARDINER, P. </w:t>
      </w:r>
      <w:r>
        <w:rPr>
          <w:lang w:val="en-US"/>
        </w:rPr>
        <w:t>(</w:t>
      </w:r>
      <w:r w:rsidRPr="00F65C12">
        <w:rPr>
          <w:lang w:val="en-US"/>
        </w:rPr>
        <w:t>1983</w:t>
      </w:r>
      <w:r>
        <w:rPr>
          <w:lang w:val="en-US"/>
        </w:rPr>
        <w:t>)</w:t>
      </w:r>
      <w:r w:rsidRPr="00F65C12">
        <w:rPr>
          <w:lang w:val="en-US"/>
        </w:rPr>
        <w:t xml:space="preserve">. </w:t>
      </w:r>
      <w:r>
        <w:rPr>
          <w:lang w:val="en-US"/>
        </w:rPr>
        <w:t>“</w:t>
      </w:r>
      <w:r w:rsidRPr="00F65C12">
        <w:rPr>
          <w:lang w:val="en-US"/>
        </w:rPr>
        <w:t>The role of design in product and process change</w:t>
      </w:r>
      <w:r>
        <w:rPr>
          <w:lang w:val="en-US"/>
        </w:rPr>
        <w:t>”</w:t>
      </w:r>
      <w:r w:rsidRPr="00F65C12">
        <w:rPr>
          <w:lang w:val="en-US"/>
        </w:rPr>
        <w:t xml:space="preserve">. </w:t>
      </w:r>
      <w:r w:rsidRPr="00337BA2">
        <w:rPr>
          <w:i/>
          <w:lang w:val="en-US"/>
        </w:rPr>
        <w:t>Design Studies</w:t>
      </w:r>
      <w:r w:rsidRPr="00F65C12">
        <w:rPr>
          <w:lang w:val="en-US"/>
        </w:rPr>
        <w:t xml:space="preserve">, </w:t>
      </w:r>
      <w:r>
        <w:rPr>
          <w:lang w:val="en-US"/>
        </w:rPr>
        <w:t>4, págs. 161-169;</w:t>
      </w:r>
      <w:r w:rsidRPr="00F65C12">
        <w:rPr>
          <w:lang w:val="en-US"/>
        </w:rPr>
        <w:t xml:space="preserve"> CREUSEN, M. E. &amp; SCHOORMANS, J. P. </w:t>
      </w:r>
      <w:r>
        <w:rPr>
          <w:lang w:val="en-US"/>
        </w:rPr>
        <w:t>(</w:t>
      </w:r>
      <w:r w:rsidRPr="00F65C12">
        <w:rPr>
          <w:lang w:val="en-US"/>
        </w:rPr>
        <w:t>2005</w:t>
      </w:r>
      <w:r>
        <w:rPr>
          <w:lang w:val="en-US"/>
        </w:rPr>
        <w:t>)</w:t>
      </w:r>
      <w:r w:rsidRPr="00F65C12">
        <w:rPr>
          <w:lang w:val="en-US"/>
        </w:rPr>
        <w:t xml:space="preserve">. </w:t>
      </w:r>
      <w:r>
        <w:rPr>
          <w:lang w:val="en-US"/>
        </w:rPr>
        <w:t>“</w:t>
      </w:r>
      <w:r w:rsidRPr="00F65C12">
        <w:rPr>
          <w:lang w:val="en-US"/>
        </w:rPr>
        <w:t>The different roles of product appearance in consumer choice</w:t>
      </w:r>
      <w:r>
        <w:rPr>
          <w:lang w:val="en-US"/>
        </w:rPr>
        <w:t>”</w:t>
      </w:r>
      <w:r w:rsidRPr="00F65C12">
        <w:rPr>
          <w:lang w:val="en-US"/>
        </w:rPr>
        <w:t xml:space="preserve">. </w:t>
      </w:r>
      <w:r w:rsidRPr="00337BA2">
        <w:rPr>
          <w:i/>
          <w:lang w:val="en-US"/>
        </w:rPr>
        <w:t>Journal of Product Innovation Manage</w:t>
      </w:r>
      <w:r w:rsidRPr="00337BA2">
        <w:rPr>
          <w:rFonts w:hint="eastAsia"/>
          <w:i/>
          <w:lang w:val="en-US"/>
        </w:rPr>
        <w:t>ment</w:t>
      </w:r>
      <w:r w:rsidRPr="00F65C12">
        <w:rPr>
          <w:rFonts w:hint="eastAsia"/>
          <w:lang w:val="en-US"/>
        </w:rPr>
        <w:t xml:space="preserve">, 22, </w:t>
      </w:r>
      <w:r>
        <w:rPr>
          <w:lang w:val="en-US"/>
        </w:rPr>
        <w:t xml:space="preserve">págs. </w:t>
      </w:r>
      <w:r w:rsidRPr="00F65C12">
        <w:rPr>
          <w:rFonts w:hint="eastAsia"/>
          <w:lang w:val="en-US"/>
        </w:rPr>
        <w:t>63-81</w:t>
      </w:r>
      <w:r>
        <w:rPr>
          <w:lang w:val="en-US"/>
        </w:rPr>
        <w:t>;</w:t>
      </w:r>
      <w:r w:rsidRPr="00F65C12">
        <w:rPr>
          <w:rFonts w:hint="eastAsia"/>
          <w:lang w:val="en-US"/>
        </w:rPr>
        <w:t xml:space="preserve"> VERYZER, R. W. &amp; BORJA DE MOZOTA, B. </w:t>
      </w:r>
      <w:r>
        <w:rPr>
          <w:lang w:val="en-US"/>
        </w:rPr>
        <w:t>(</w:t>
      </w:r>
      <w:r w:rsidRPr="00F65C12">
        <w:rPr>
          <w:rFonts w:hint="eastAsia"/>
          <w:lang w:val="en-US"/>
        </w:rPr>
        <w:t>2005</w:t>
      </w:r>
      <w:r>
        <w:rPr>
          <w:lang w:val="en-US"/>
        </w:rPr>
        <w:t>)</w:t>
      </w:r>
      <w:r w:rsidRPr="00F65C12">
        <w:rPr>
          <w:rFonts w:hint="eastAsia"/>
          <w:lang w:val="en-US"/>
        </w:rPr>
        <w:t xml:space="preserve">. </w:t>
      </w:r>
      <w:r>
        <w:rPr>
          <w:lang w:val="en-US"/>
        </w:rPr>
        <w:t>“</w:t>
      </w:r>
      <w:r w:rsidRPr="00F65C12">
        <w:rPr>
          <w:rFonts w:hint="eastAsia"/>
          <w:lang w:val="en-US"/>
        </w:rPr>
        <w:t>The impact of user</w:t>
      </w:r>
      <w:r w:rsidRPr="00F65C12">
        <w:rPr>
          <w:rFonts w:hint="eastAsia"/>
          <w:lang w:val="en-US"/>
        </w:rPr>
        <w:t>‐</w:t>
      </w:r>
      <w:r w:rsidRPr="00F65C12">
        <w:rPr>
          <w:rFonts w:hint="eastAsia"/>
          <w:lang w:val="en-US"/>
        </w:rPr>
        <w:t>oriented design on new product development: An examination of fundamental relationships</w:t>
      </w:r>
      <w:r>
        <w:rPr>
          <w:lang w:val="en-US"/>
        </w:rPr>
        <w:t>”</w:t>
      </w:r>
      <w:r w:rsidRPr="00F65C12">
        <w:rPr>
          <w:rFonts w:hint="eastAsia"/>
          <w:lang w:val="en-US"/>
        </w:rPr>
        <w:t xml:space="preserve">. </w:t>
      </w:r>
      <w:r w:rsidRPr="00337BA2">
        <w:rPr>
          <w:rFonts w:hint="eastAsia"/>
          <w:i/>
          <w:lang w:val="es-ES_tradnl"/>
        </w:rPr>
        <w:t>Journal of Product Innovation Management</w:t>
      </w:r>
      <w:r w:rsidRPr="00334317">
        <w:rPr>
          <w:rFonts w:hint="eastAsia"/>
          <w:lang w:val="es-ES_tradnl"/>
        </w:rPr>
        <w:t>, 22,</w:t>
      </w:r>
      <w:r>
        <w:rPr>
          <w:lang w:val="es-ES_tradnl"/>
        </w:rPr>
        <w:t xml:space="preserve"> págs..</w:t>
      </w:r>
      <w:r w:rsidRPr="00334317">
        <w:rPr>
          <w:rFonts w:hint="eastAsia"/>
          <w:lang w:val="es-ES_tradnl"/>
        </w:rPr>
        <w:t xml:space="preserve"> 128-143.</w:t>
      </w:r>
    </w:p>
  </w:footnote>
  <w:footnote w:id="4">
    <w:p w:rsidR="00EB425A" w:rsidRPr="00334317" w:rsidRDefault="00EB425A" w:rsidP="00305102">
      <w:pPr>
        <w:pStyle w:val="FootnoteText"/>
        <w:rPr>
          <w:lang w:val="es-ES_tradnl"/>
        </w:rPr>
      </w:pPr>
      <w:r>
        <w:rPr>
          <w:rStyle w:val="FootnoteReference"/>
        </w:rPr>
        <w:footnoteRef/>
      </w:r>
      <w:r w:rsidRPr="00334317">
        <w:rPr>
          <w:lang w:val="es-ES_tradnl"/>
        </w:rPr>
        <w:t xml:space="preserve"> </w:t>
      </w:r>
      <w:r w:rsidRPr="00305102">
        <w:rPr>
          <w:color w:val="000000"/>
          <w:lang w:val="es-ES_tradnl"/>
        </w:rPr>
        <w:t xml:space="preserve">Se seleccionaron estos tres países debido al volumen </w:t>
      </w:r>
      <w:r>
        <w:rPr>
          <w:color w:val="000000"/>
          <w:lang w:val="es-ES_tradnl"/>
        </w:rPr>
        <w:t xml:space="preserve">de presentación </w:t>
      </w:r>
      <w:r w:rsidRPr="00305102">
        <w:rPr>
          <w:color w:val="000000"/>
          <w:lang w:val="es-ES_tradnl"/>
        </w:rPr>
        <w:t xml:space="preserve">de </w:t>
      </w:r>
      <w:r>
        <w:rPr>
          <w:color w:val="000000"/>
          <w:lang w:val="es-ES_tradnl"/>
        </w:rPr>
        <w:t>solicitudes</w:t>
      </w:r>
      <w:r w:rsidRPr="00305102">
        <w:rPr>
          <w:color w:val="000000"/>
          <w:lang w:val="es-ES_tradnl"/>
        </w:rPr>
        <w:t xml:space="preserve"> de </w:t>
      </w:r>
      <w:r>
        <w:rPr>
          <w:color w:val="000000"/>
          <w:lang w:val="es-ES_tradnl"/>
        </w:rPr>
        <w:t xml:space="preserve">registro de </w:t>
      </w:r>
      <w:r w:rsidRPr="00305102">
        <w:rPr>
          <w:color w:val="000000"/>
          <w:lang w:val="es-ES_tradnl"/>
        </w:rPr>
        <w:t>diseños industriales y la disponibilidad de datos históricos de registro unitario.</w:t>
      </w:r>
    </w:p>
  </w:footnote>
  <w:footnote w:id="5">
    <w:p w:rsidR="00EB425A" w:rsidRPr="004174FF" w:rsidRDefault="00EB425A">
      <w:pPr>
        <w:pStyle w:val="FootnoteText"/>
        <w:rPr>
          <w:lang w:val="es-ES_tradnl"/>
        </w:rPr>
      </w:pPr>
      <w:r>
        <w:rPr>
          <w:rStyle w:val="FootnoteReference"/>
        </w:rPr>
        <w:footnoteRef/>
      </w:r>
      <w:r w:rsidRPr="004174FF">
        <w:rPr>
          <w:lang w:val="es-ES_tradnl"/>
        </w:rPr>
        <w:t xml:space="preserve"> Véanse los documentos CDIP/12/INF/6 y CDIP/14/INF/4 de la OMPI disponibles en http://www.wipo.int/meetings/es/doc_details.jsp?doc_id=253571, </w:t>
      </w:r>
      <w:r>
        <w:rPr>
          <w:lang w:val="es-ES_tradnl"/>
        </w:rPr>
        <w:t>y</w:t>
      </w:r>
      <w:r w:rsidRPr="004174FF">
        <w:rPr>
          <w:lang w:val="es-ES_tradnl"/>
        </w:rPr>
        <w:t xml:space="preserve"> http://www.wipo.int/meetings/es/doc_details.jsp?doc_id=286176, </w:t>
      </w:r>
      <w:r>
        <w:rPr>
          <w:lang w:val="es-ES_tradnl"/>
        </w:rPr>
        <w:t>respectivamente</w:t>
      </w:r>
      <w:r w:rsidRPr="004174FF">
        <w:rPr>
          <w:lang w:val="es-ES_tradnl"/>
        </w:rPr>
        <w:t>.</w:t>
      </w:r>
    </w:p>
  </w:footnote>
  <w:footnote w:id="6">
    <w:p w:rsidR="00EB425A" w:rsidRPr="004D0143" w:rsidRDefault="00EB425A" w:rsidP="00164C0A">
      <w:pPr>
        <w:pStyle w:val="FootnoteText"/>
        <w:rPr>
          <w:lang w:val="es-ES_tradnl"/>
        </w:rPr>
      </w:pPr>
      <w:r>
        <w:rPr>
          <w:rStyle w:val="FootnoteReference"/>
        </w:rPr>
        <w:footnoteRef/>
      </w:r>
      <w:r w:rsidRPr="00334317">
        <w:rPr>
          <w:lang w:val="es-ES_tradnl"/>
        </w:rPr>
        <w:t xml:space="preserve"> </w:t>
      </w:r>
      <w:r w:rsidRPr="00164C0A">
        <w:rPr>
          <w:color w:val="000000"/>
          <w:lang w:val="es-ES_tradnl"/>
        </w:rPr>
        <w:t>Se elaboraron por separado tres informes nacionales para la DGIPR, la IPOPHL y el DIP. También se preparó un manual en el que se detalla</w:t>
      </w:r>
      <w:r>
        <w:rPr>
          <w:color w:val="000000"/>
          <w:lang w:val="es-ES_tradnl"/>
        </w:rPr>
        <w:t>ba</w:t>
      </w:r>
      <w:r w:rsidRPr="00164C0A">
        <w:rPr>
          <w:color w:val="000000"/>
          <w:lang w:val="es-ES_tradnl"/>
        </w:rPr>
        <w:t xml:space="preserve"> el diseño y la realización de la encuesta para que otros investigadores </w:t>
      </w:r>
      <w:r>
        <w:rPr>
          <w:color w:val="000000"/>
          <w:lang w:val="es-ES_tradnl"/>
        </w:rPr>
        <w:t>pudieran</w:t>
      </w:r>
      <w:r w:rsidRPr="00164C0A">
        <w:rPr>
          <w:color w:val="000000"/>
          <w:lang w:val="es-ES_tradnl"/>
        </w:rPr>
        <w:t xml:space="preserve"> realizar el mismo estudio en sus países. Los cuatro documentos serán publicados y podrán descargarse desde el sitio web de la</w:t>
      </w:r>
      <w:r>
        <w:rPr>
          <w:color w:val="000000"/>
          <w:lang w:val="es-ES_tradnl"/>
        </w:rPr>
        <w:t xml:space="preserve"> </w:t>
      </w:r>
      <w:r w:rsidRPr="00164C0A">
        <w:rPr>
          <w:color w:val="000000"/>
          <w:lang w:val="es-ES_tradnl"/>
        </w:rPr>
        <w:t xml:space="preserve">División de Economía y Estadística de la OMPI en </w:t>
      </w:r>
      <w:hyperlink r:id="rId1" w:history="1">
        <w:r w:rsidRPr="004D0143">
          <w:rPr>
            <w:rStyle w:val="Hyperlink"/>
            <w:color w:val="auto"/>
            <w:lang w:val="es-ES_tradnl"/>
          </w:rPr>
          <w:t>http://www.wipo.int/econ_stat/es/economics/studies/index.html</w:t>
        </w:r>
      </w:hyperlink>
      <w:r w:rsidRPr="004D0143">
        <w:rPr>
          <w:lang w:val="es-ES_tradnl"/>
        </w:rPr>
        <w:t>.</w:t>
      </w:r>
    </w:p>
  </w:footnote>
  <w:footnote w:id="7">
    <w:p w:rsidR="00EB425A" w:rsidRPr="00A8705E" w:rsidRDefault="00EB425A" w:rsidP="00D601D3">
      <w:pPr>
        <w:pStyle w:val="FootnoteText"/>
        <w:rPr>
          <w:lang w:val="es-ES_tradnl"/>
        </w:rPr>
      </w:pPr>
      <w:r>
        <w:rPr>
          <w:rStyle w:val="FootnoteReference"/>
        </w:rPr>
        <w:footnoteRef/>
      </w:r>
      <w:r w:rsidRPr="00A8705E">
        <w:rPr>
          <w:lang w:val="es-ES_tradnl"/>
        </w:rPr>
        <w:t xml:space="preserve"> </w:t>
      </w:r>
      <w:r w:rsidRPr="00D601D3">
        <w:rPr>
          <w:color w:val="000000"/>
          <w:lang w:val="es-ES_tradnl"/>
        </w:rPr>
        <w:t xml:space="preserve">La </w:t>
      </w:r>
      <w:r w:rsidRPr="00D601D3">
        <w:rPr>
          <w:i/>
          <w:color w:val="000000"/>
          <w:lang w:val="es-ES_tradnl"/>
        </w:rPr>
        <w:t>Milan Design Week</w:t>
      </w:r>
      <w:r w:rsidRPr="00D601D3">
        <w:rPr>
          <w:color w:val="000000"/>
          <w:lang w:val="es-ES_tradnl"/>
        </w:rPr>
        <w:t xml:space="preserve"> </w:t>
      </w:r>
      <w:r w:rsidRPr="00D601D3">
        <w:rPr>
          <w:i/>
          <w:color w:val="000000"/>
          <w:lang w:val="es-ES_tradnl"/>
        </w:rPr>
        <w:t>2016</w:t>
      </w:r>
      <w:r>
        <w:rPr>
          <w:i/>
          <w:color w:val="000000"/>
          <w:lang w:val="es-ES_tradnl"/>
        </w:rPr>
        <w:t xml:space="preserve"> </w:t>
      </w:r>
      <w:r w:rsidRPr="00D601D3">
        <w:rPr>
          <w:color w:val="000000"/>
          <w:lang w:val="es-ES_tradnl"/>
        </w:rPr>
        <w:t xml:space="preserve">y el </w:t>
      </w:r>
      <w:r w:rsidRPr="00D601D3">
        <w:rPr>
          <w:i/>
          <w:color w:val="000000"/>
          <w:lang w:val="es-ES_tradnl"/>
        </w:rPr>
        <w:t>Salone del Mobile 2016</w:t>
      </w:r>
      <w:r w:rsidRPr="00D601D3">
        <w:rPr>
          <w:color w:val="000000"/>
          <w:lang w:val="es-ES_tradnl"/>
        </w:rPr>
        <w:t>, del 14 al 17 de abril de 2016.</w:t>
      </w:r>
    </w:p>
  </w:footnote>
  <w:footnote w:id="8">
    <w:p w:rsidR="00EB425A" w:rsidRPr="00BC7E19" w:rsidRDefault="00EB425A">
      <w:pPr>
        <w:pStyle w:val="FootnoteText"/>
      </w:pPr>
      <w:r w:rsidRPr="00BC7E19">
        <w:rPr>
          <w:rStyle w:val="FootnoteReference"/>
        </w:rPr>
        <w:footnoteRef/>
      </w:r>
      <w:r w:rsidRPr="00BC7E19">
        <w:t xml:space="preserve"> </w:t>
      </w:r>
      <w:r w:rsidR="00BC7E19" w:rsidRPr="00BC7E19">
        <w:t xml:space="preserve">Para obtener una reseña general, véase </w:t>
      </w:r>
      <w:r w:rsidRPr="00BC7E19">
        <w:t xml:space="preserve">BERNARD, A. B., JENSEN, J. B., REDDING, S. J. &amp; SCHOTT, P. K. 2007. </w:t>
      </w:r>
      <w:r w:rsidR="00BC7E19" w:rsidRPr="00231321">
        <w:rPr>
          <w:lang w:val="en-US"/>
        </w:rPr>
        <w:t>“</w:t>
      </w:r>
      <w:r w:rsidRPr="00231321">
        <w:rPr>
          <w:lang w:val="en-US"/>
        </w:rPr>
        <w:t>Firms in International Trade</w:t>
      </w:r>
      <w:r w:rsidR="00BC7E19" w:rsidRPr="00231321">
        <w:rPr>
          <w:lang w:val="en-US"/>
        </w:rPr>
        <w:t>”</w:t>
      </w:r>
      <w:r w:rsidRPr="00231321">
        <w:rPr>
          <w:lang w:val="en-US"/>
        </w:rPr>
        <w:t xml:space="preserve">. </w:t>
      </w:r>
      <w:r w:rsidRPr="00231321">
        <w:rPr>
          <w:i/>
          <w:lang w:val="en-US"/>
        </w:rPr>
        <w:t>The Journal of Economic Perspectives</w:t>
      </w:r>
      <w:r w:rsidR="00BC7E19" w:rsidRPr="00231321">
        <w:rPr>
          <w:lang w:val="en-US"/>
        </w:rPr>
        <w:t xml:space="preserve">, 21, págs. </w:t>
      </w:r>
      <w:r w:rsidRPr="00BC7E19">
        <w:t>105-130.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5A" w:rsidRPr="00262966" w:rsidRDefault="00EB425A" w:rsidP="00EB425A">
    <w:pPr>
      <w:tabs>
        <w:tab w:val="center" w:pos="4536"/>
        <w:tab w:val="right" w:pos="9072"/>
      </w:tabs>
      <w:jc w:val="right"/>
    </w:pPr>
    <w:r w:rsidRPr="00262966">
      <w:t>CDIP/20/</w:t>
    </w:r>
    <w:r w:rsidRPr="00262966">
      <w:rPr>
        <w:highlight w:val="yellow"/>
      </w:rPr>
      <w:t>X</w:t>
    </w:r>
  </w:p>
  <w:p w:rsidR="00EB425A" w:rsidRDefault="00EB425A" w:rsidP="00EB425A">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5A0F17">
      <w:rPr>
        <w:noProof/>
      </w:rPr>
      <w:t>1</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5A" w:rsidRDefault="00EB425A" w:rsidP="00477D6B">
    <w:pPr>
      <w:jc w:val="right"/>
    </w:pPr>
    <w:bookmarkStart w:id="6" w:name="Code2"/>
    <w:bookmarkEnd w:id="6"/>
    <w:r>
      <w:t>CDIP/22/INF/2</w:t>
    </w:r>
  </w:p>
  <w:p w:rsidR="00EB425A" w:rsidRDefault="004D0143" w:rsidP="00477D6B">
    <w:pPr>
      <w:jc w:val="right"/>
    </w:pPr>
    <w:r>
      <w:t xml:space="preserve">Anexo, </w:t>
    </w:r>
    <w:r w:rsidR="00EB425A">
      <w:t xml:space="preserve">página </w:t>
    </w:r>
    <w:r w:rsidR="00EB425A">
      <w:fldChar w:fldCharType="begin"/>
    </w:r>
    <w:r w:rsidR="00EB425A">
      <w:instrText xml:space="preserve"> PAGE  \* MERGEFORMAT </w:instrText>
    </w:r>
    <w:r w:rsidR="00EB425A">
      <w:fldChar w:fldCharType="separate"/>
    </w:r>
    <w:r w:rsidR="00E00AB3">
      <w:rPr>
        <w:noProof/>
      </w:rPr>
      <w:t>6</w:t>
    </w:r>
    <w:r w:rsidR="00EB425A">
      <w:fldChar w:fldCharType="end"/>
    </w:r>
  </w:p>
  <w:p w:rsidR="00EB425A" w:rsidRDefault="00EB425A" w:rsidP="00477D6B">
    <w:pPr>
      <w:jc w:val="right"/>
    </w:pPr>
  </w:p>
  <w:p w:rsidR="001D229D" w:rsidRDefault="001D229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143" w:rsidRDefault="004D0143" w:rsidP="004D0143">
    <w:pPr>
      <w:pStyle w:val="Header"/>
      <w:jc w:val="right"/>
    </w:pPr>
    <w:r>
      <w:t>CDIP/22/INF/2</w:t>
    </w:r>
  </w:p>
  <w:p w:rsidR="004D0143" w:rsidRDefault="004D0143" w:rsidP="004D0143">
    <w:pPr>
      <w:pStyle w:val="Header"/>
      <w:jc w:val="right"/>
    </w:pPr>
    <w:r>
      <w:t>ANEXO</w:t>
    </w:r>
  </w:p>
  <w:p w:rsidR="004D0143" w:rsidRDefault="004D0143" w:rsidP="004D0143">
    <w:pPr>
      <w:pStyle w:val="Header"/>
      <w:jc w:val="right"/>
    </w:pPr>
  </w:p>
  <w:p w:rsidR="004D0143" w:rsidRDefault="004D0143" w:rsidP="004D01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CF4AC1"/>
    <w:multiLevelType w:val="hybridMultilevel"/>
    <w:tmpl w:val="2C5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RADTERM"/>
    <w:docVar w:name="TermBaseURL" w:val="empty"/>
    <w:docVar w:name="TextBases" w:val="TextBase TMs\WorkspaceSTS\Development\Dev_Agenda|TextBase TMs\WorkspaceSTS\Administration &amp; Finance\FAB Main|TextBase TMs\WorkspaceSTS\Administration &amp; Finance\FAB Instruments|TextBase TMs\WorkspaceSTS\Patents &amp; Innovation\Patents Main|TextBase TMs\WorkspaceSTS\Patents &amp; Innovation\P Instruments|TextBase TMs\WorkspaceSTS\Brands, Designs &amp; DN\Trademarks|TextBase TMs\WorkspaceSTS\Brands, Designs &amp; DN\Hague|TextBase TMs\WorkspaceSTS\Brands, Designs &amp; DN\Lisbon|Team Server TMs\Spanish"/>
    <w:docVar w:name="TextBaseURL" w:val="empty"/>
    <w:docVar w:name="UILng" w:val="en"/>
  </w:docVars>
  <w:rsids>
    <w:rsidRoot w:val="002C40A0"/>
    <w:rsid w:val="00010686"/>
    <w:rsid w:val="00023A68"/>
    <w:rsid w:val="0003441F"/>
    <w:rsid w:val="00040178"/>
    <w:rsid w:val="00052915"/>
    <w:rsid w:val="0007691E"/>
    <w:rsid w:val="000B3663"/>
    <w:rsid w:val="000B79AA"/>
    <w:rsid w:val="000D16C3"/>
    <w:rsid w:val="000E3BB3"/>
    <w:rsid w:val="000F5E56"/>
    <w:rsid w:val="00114895"/>
    <w:rsid w:val="00124421"/>
    <w:rsid w:val="001362EE"/>
    <w:rsid w:val="00146845"/>
    <w:rsid w:val="00146DC9"/>
    <w:rsid w:val="00152CEA"/>
    <w:rsid w:val="00164C0A"/>
    <w:rsid w:val="0018032D"/>
    <w:rsid w:val="001832A6"/>
    <w:rsid w:val="001A13D6"/>
    <w:rsid w:val="001D229D"/>
    <w:rsid w:val="00231321"/>
    <w:rsid w:val="00233ABD"/>
    <w:rsid w:val="00255C6C"/>
    <w:rsid w:val="00256842"/>
    <w:rsid w:val="002634C4"/>
    <w:rsid w:val="0027088E"/>
    <w:rsid w:val="00283CF5"/>
    <w:rsid w:val="0029410E"/>
    <w:rsid w:val="002C40A0"/>
    <w:rsid w:val="002E0F47"/>
    <w:rsid w:val="002F4E68"/>
    <w:rsid w:val="00305102"/>
    <w:rsid w:val="00334317"/>
    <w:rsid w:val="00337BA2"/>
    <w:rsid w:val="00345AF6"/>
    <w:rsid w:val="00354647"/>
    <w:rsid w:val="00377273"/>
    <w:rsid w:val="003844E1"/>
    <w:rsid w:val="003845C1"/>
    <w:rsid w:val="00387287"/>
    <w:rsid w:val="003A486A"/>
    <w:rsid w:val="003A5F4C"/>
    <w:rsid w:val="003B1098"/>
    <w:rsid w:val="003B6105"/>
    <w:rsid w:val="003D6F27"/>
    <w:rsid w:val="003E48F1"/>
    <w:rsid w:val="003E6C6A"/>
    <w:rsid w:val="003F347A"/>
    <w:rsid w:val="003F4661"/>
    <w:rsid w:val="004174FF"/>
    <w:rsid w:val="00423E3E"/>
    <w:rsid w:val="00427AF4"/>
    <w:rsid w:val="00451F98"/>
    <w:rsid w:val="0045231F"/>
    <w:rsid w:val="004647DA"/>
    <w:rsid w:val="0046793F"/>
    <w:rsid w:val="00477808"/>
    <w:rsid w:val="00477D6B"/>
    <w:rsid w:val="004A6C37"/>
    <w:rsid w:val="004C199F"/>
    <w:rsid w:val="004D0143"/>
    <w:rsid w:val="004D5F4B"/>
    <w:rsid w:val="004E297D"/>
    <w:rsid w:val="00501893"/>
    <w:rsid w:val="005228AD"/>
    <w:rsid w:val="00531B02"/>
    <w:rsid w:val="005332F0"/>
    <w:rsid w:val="0055013B"/>
    <w:rsid w:val="00571B99"/>
    <w:rsid w:val="00590813"/>
    <w:rsid w:val="00595092"/>
    <w:rsid w:val="005A0F17"/>
    <w:rsid w:val="005C14ED"/>
    <w:rsid w:val="005D05F8"/>
    <w:rsid w:val="005E1A69"/>
    <w:rsid w:val="00605827"/>
    <w:rsid w:val="0066508F"/>
    <w:rsid w:val="00675021"/>
    <w:rsid w:val="00687896"/>
    <w:rsid w:val="006A06C6"/>
    <w:rsid w:val="006A509E"/>
    <w:rsid w:val="006B0449"/>
    <w:rsid w:val="006F2626"/>
    <w:rsid w:val="0070016D"/>
    <w:rsid w:val="007224C8"/>
    <w:rsid w:val="007412CA"/>
    <w:rsid w:val="00742CE1"/>
    <w:rsid w:val="007815BD"/>
    <w:rsid w:val="00794BE2"/>
    <w:rsid w:val="007A5581"/>
    <w:rsid w:val="007A58CE"/>
    <w:rsid w:val="007B3774"/>
    <w:rsid w:val="007B71FE"/>
    <w:rsid w:val="007D781E"/>
    <w:rsid w:val="007E0E02"/>
    <w:rsid w:val="007E663E"/>
    <w:rsid w:val="00815082"/>
    <w:rsid w:val="008556AA"/>
    <w:rsid w:val="0088395E"/>
    <w:rsid w:val="008B2CC1"/>
    <w:rsid w:val="008E6BD6"/>
    <w:rsid w:val="008E7C1B"/>
    <w:rsid w:val="008F69FE"/>
    <w:rsid w:val="0090731E"/>
    <w:rsid w:val="0092256D"/>
    <w:rsid w:val="009232C7"/>
    <w:rsid w:val="00934BED"/>
    <w:rsid w:val="0096247A"/>
    <w:rsid w:val="00966A22"/>
    <w:rsid w:val="00972F03"/>
    <w:rsid w:val="00973FEF"/>
    <w:rsid w:val="009857BB"/>
    <w:rsid w:val="009A0C8B"/>
    <w:rsid w:val="009A68C9"/>
    <w:rsid w:val="009B6241"/>
    <w:rsid w:val="009C4084"/>
    <w:rsid w:val="009E0B80"/>
    <w:rsid w:val="009F002B"/>
    <w:rsid w:val="009F3E33"/>
    <w:rsid w:val="00A16FC0"/>
    <w:rsid w:val="00A308BE"/>
    <w:rsid w:val="00A32C9E"/>
    <w:rsid w:val="00A63A68"/>
    <w:rsid w:val="00A83663"/>
    <w:rsid w:val="00A8705E"/>
    <w:rsid w:val="00A91136"/>
    <w:rsid w:val="00A92917"/>
    <w:rsid w:val="00AB49E2"/>
    <w:rsid w:val="00AB613D"/>
    <w:rsid w:val="00AE7F20"/>
    <w:rsid w:val="00B139F1"/>
    <w:rsid w:val="00B20F24"/>
    <w:rsid w:val="00B22AF4"/>
    <w:rsid w:val="00B65A0A"/>
    <w:rsid w:val="00B67CDC"/>
    <w:rsid w:val="00B72D36"/>
    <w:rsid w:val="00B87489"/>
    <w:rsid w:val="00B95101"/>
    <w:rsid w:val="00BC4164"/>
    <w:rsid w:val="00BC5C69"/>
    <w:rsid w:val="00BC7E19"/>
    <w:rsid w:val="00BD2DCC"/>
    <w:rsid w:val="00BF434E"/>
    <w:rsid w:val="00C16A60"/>
    <w:rsid w:val="00C20D41"/>
    <w:rsid w:val="00C90559"/>
    <w:rsid w:val="00CA2251"/>
    <w:rsid w:val="00CA4B71"/>
    <w:rsid w:val="00CB09A1"/>
    <w:rsid w:val="00CB350B"/>
    <w:rsid w:val="00CC3A13"/>
    <w:rsid w:val="00CF0F7A"/>
    <w:rsid w:val="00CF7E70"/>
    <w:rsid w:val="00D0169E"/>
    <w:rsid w:val="00D1778F"/>
    <w:rsid w:val="00D54C8A"/>
    <w:rsid w:val="00D56C7C"/>
    <w:rsid w:val="00D601D3"/>
    <w:rsid w:val="00D71B4D"/>
    <w:rsid w:val="00D90289"/>
    <w:rsid w:val="00D93D55"/>
    <w:rsid w:val="00D9516E"/>
    <w:rsid w:val="00DA75BC"/>
    <w:rsid w:val="00DC24FD"/>
    <w:rsid w:val="00DC4C60"/>
    <w:rsid w:val="00DD4BDF"/>
    <w:rsid w:val="00E0079A"/>
    <w:rsid w:val="00E00AB3"/>
    <w:rsid w:val="00E16BA3"/>
    <w:rsid w:val="00E209EB"/>
    <w:rsid w:val="00E346A8"/>
    <w:rsid w:val="00E444DA"/>
    <w:rsid w:val="00E45C84"/>
    <w:rsid w:val="00E504E5"/>
    <w:rsid w:val="00E7367A"/>
    <w:rsid w:val="00EB425A"/>
    <w:rsid w:val="00EB7A3E"/>
    <w:rsid w:val="00EC401A"/>
    <w:rsid w:val="00EE230B"/>
    <w:rsid w:val="00EF530A"/>
    <w:rsid w:val="00EF6622"/>
    <w:rsid w:val="00EF78A9"/>
    <w:rsid w:val="00F0760E"/>
    <w:rsid w:val="00F11C61"/>
    <w:rsid w:val="00F2102E"/>
    <w:rsid w:val="00F55408"/>
    <w:rsid w:val="00F65C12"/>
    <w:rsid w:val="00F66152"/>
    <w:rsid w:val="00F75254"/>
    <w:rsid w:val="00F7660F"/>
    <w:rsid w:val="00F80845"/>
    <w:rsid w:val="00F84474"/>
    <w:rsid w:val="00FA0F0D"/>
    <w:rsid w:val="00FB0316"/>
    <w:rsid w:val="00FD59D1"/>
    <w:rsid w:val="00FF28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0FE1655-0FFC-4B41-B4B6-F57B4433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uiPriority w:val="99"/>
    <w:semiHidden/>
    <w:rsid w:val="002C40A0"/>
    <w:rPr>
      <w:rFonts w:ascii="Arial" w:eastAsia="SimSun" w:hAnsi="Arial" w:cs="Arial"/>
      <w:sz w:val="18"/>
      <w:lang w:val="es-ES" w:eastAsia="zh-CN"/>
    </w:rPr>
  </w:style>
  <w:style w:type="character" w:styleId="FootnoteReference">
    <w:name w:val="footnote reference"/>
    <w:basedOn w:val="DefaultParagraphFont"/>
    <w:unhideWhenUsed/>
    <w:rsid w:val="002C40A0"/>
    <w:rPr>
      <w:vertAlign w:val="superscript"/>
    </w:rPr>
  </w:style>
  <w:style w:type="character" w:styleId="Hyperlink">
    <w:name w:val="Hyperlink"/>
    <w:basedOn w:val="DefaultParagraphFont"/>
    <w:uiPriority w:val="99"/>
    <w:unhideWhenUsed/>
    <w:rsid w:val="002C40A0"/>
    <w:rPr>
      <w:color w:val="0000FF"/>
      <w:u w:val="single"/>
    </w:rPr>
  </w:style>
  <w:style w:type="table" w:styleId="TableClassic1">
    <w:name w:val="Table Classic 1"/>
    <w:basedOn w:val="TableNormal"/>
    <w:semiHidden/>
    <w:unhideWhenUsed/>
    <w:rsid w:val="002C40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semiHidden/>
    <w:unhideWhenUsed/>
    <w:rsid w:val="00255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s/economics/studi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22 (S)</Template>
  <TotalTime>0</TotalTime>
  <Pages>7</Pages>
  <Words>3089</Words>
  <Characters>17612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CDIP/22/</vt:lpstr>
    </vt:vector>
  </TitlesOfParts>
  <Company>WIPO</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dc:title>
  <dc:creator>MATEOS CLERIGUÉ Roberto</dc:creator>
  <cp:lastModifiedBy>MARTINEZ LIMÓN Cristina</cp:lastModifiedBy>
  <cp:revision>2</cp:revision>
  <cp:lastPrinted>2018-10-19T14:04:00Z</cp:lastPrinted>
  <dcterms:created xsi:type="dcterms:W3CDTF">2018-11-01T15:18:00Z</dcterms:created>
  <dcterms:modified xsi:type="dcterms:W3CDTF">2018-11-01T15:18:00Z</dcterms:modified>
</cp:coreProperties>
</file>