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F86457" w:rsidTr="0088395E">
        <w:tc>
          <w:tcPr>
            <w:tcW w:w="4513" w:type="dxa"/>
            <w:tcBorders>
              <w:bottom w:val="single" w:sz="4" w:space="0" w:color="auto"/>
            </w:tcBorders>
            <w:tcMar>
              <w:bottom w:w="170" w:type="dxa"/>
            </w:tcMar>
          </w:tcPr>
          <w:p w:rsidR="00E504E5" w:rsidRPr="00F86457" w:rsidRDefault="00E504E5" w:rsidP="00AB613D"/>
        </w:tc>
        <w:tc>
          <w:tcPr>
            <w:tcW w:w="4337" w:type="dxa"/>
            <w:tcBorders>
              <w:bottom w:val="single" w:sz="4" w:space="0" w:color="auto"/>
            </w:tcBorders>
            <w:tcMar>
              <w:left w:w="0" w:type="dxa"/>
              <w:right w:w="0" w:type="dxa"/>
            </w:tcMar>
          </w:tcPr>
          <w:p w:rsidR="00E504E5" w:rsidRPr="00F86457" w:rsidRDefault="00EE230B" w:rsidP="00AB613D">
            <w:r w:rsidRPr="00F86457">
              <w:rPr>
                <w:noProof/>
                <w:lang w:val="en-US" w:eastAsia="en-US"/>
              </w:rPr>
              <w:drawing>
                <wp:inline distT="0" distB="0" distL="0" distR="0" wp14:anchorId="3D9AE7F3" wp14:editId="7AC11D48">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86457" w:rsidRDefault="00E504E5" w:rsidP="00AB613D">
            <w:pPr>
              <w:jc w:val="right"/>
            </w:pPr>
            <w:r w:rsidRPr="00F86457">
              <w:rPr>
                <w:b/>
                <w:sz w:val="40"/>
                <w:szCs w:val="40"/>
              </w:rPr>
              <w:t>S</w:t>
            </w:r>
          </w:p>
        </w:tc>
      </w:tr>
      <w:tr w:rsidR="008B2CC1" w:rsidRPr="00F86457"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F86457" w:rsidRDefault="007B3774" w:rsidP="00CC3A13">
            <w:pPr>
              <w:jc w:val="right"/>
              <w:rPr>
                <w:rFonts w:ascii="Arial Black" w:hAnsi="Arial Black"/>
                <w:caps/>
                <w:sz w:val="15"/>
              </w:rPr>
            </w:pPr>
            <w:r w:rsidRPr="00F86457">
              <w:rPr>
                <w:rFonts w:ascii="Arial Black" w:hAnsi="Arial Black"/>
                <w:caps/>
                <w:sz w:val="15"/>
              </w:rPr>
              <w:t>CDIP/22/</w:t>
            </w:r>
            <w:bookmarkStart w:id="0" w:name="Code"/>
            <w:bookmarkEnd w:id="0"/>
            <w:r w:rsidRPr="00F86457">
              <w:rPr>
                <w:rFonts w:ascii="Arial Black" w:hAnsi="Arial Black"/>
                <w:caps/>
                <w:sz w:val="15"/>
              </w:rPr>
              <w:t>8</w:t>
            </w:r>
          </w:p>
        </w:tc>
      </w:tr>
      <w:tr w:rsidR="008B2CC1" w:rsidRPr="00F86457" w:rsidTr="00AB613D">
        <w:trPr>
          <w:trHeight w:hRule="exact" w:val="170"/>
        </w:trPr>
        <w:tc>
          <w:tcPr>
            <w:tcW w:w="9356" w:type="dxa"/>
            <w:gridSpan w:val="3"/>
            <w:noWrap/>
            <w:tcMar>
              <w:left w:w="0" w:type="dxa"/>
              <w:right w:w="0" w:type="dxa"/>
            </w:tcMar>
            <w:vAlign w:val="bottom"/>
          </w:tcPr>
          <w:p w:rsidR="008B2CC1" w:rsidRPr="00F86457" w:rsidRDefault="008B2CC1" w:rsidP="0046793F">
            <w:pPr>
              <w:jc w:val="right"/>
              <w:rPr>
                <w:rFonts w:ascii="Arial Black" w:hAnsi="Arial Black"/>
                <w:caps/>
                <w:sz w:val="15"/>
              </w:rPr>
            </w:pPr>
            <w:r w:rsidRPr="00F86457">
              <w:rPr>
                <w:rFonts w:ascii="Arial Black" w:hAnsi="Arial Black"/>
                <w:caps/>
                <w:sz w:val="15"/>
              </w:rPr>
              <w:t xml:space="preserve">ORIGINAL: </w:t>
            </w:r>
            <w:bookmarkStart w:id="1" w:name="Original"/>
            <w:bookmarkEnd w:id="1"/>
            <w:r w:rsidRPr="00F86457">
              <w:rPr>
                <w:rFonts w:ascii="Arial Black" w:hAnsi="Arial Black"/>
                <w:caps/>
                <w:sz w:val="15"/>
              </w:rPr>
              <w:t>INGLÉS</w:t>
            </w:r>
          </w:p>
        </w:tc>
      </w:tr>
      <w:tr w:rsidR="008B2CC1" w:rsidRPr="00F86457" w:rsidTr="00AB613D">
        <w:trPr>
          <w:trHeight w:hRule="exact" w:val="198"/>
        </w:trPr>
        <w:tc>
          <w:tcPr>
            <w:tcW w:w="9356" w:type="dxa"/>
            <w:gridSpan w:val="3"/>
            <w:tcMar>
              <w:left w:w="0" w:type="dxa"/>
              <w:right w:w="0" w:type="dxa"/>
            </w:tcMar>
            <w:vAlign w:val="bottom"/>
          </w:tcPr>
          <w:p w:rsidR="008B2CC1" w:rsidRPr="00F86457" w:rsidRDefault="00675021" w:rsidP="0046793F">
            <w:pPr>
              <w:jc w:val="right"/>
              <w:rPr>
                <w:rFonts w:ascii="Arial Black" w:hAnsi="Arial Black"/>
                <w:caps/>
                <w:sz w:val="15"/>
              </w:rPr>
            </w:pPr>
            <w:r w:rsidRPr="00F86457">
              <w:rPr>
                <w:rFonts w:ascii="Arial Black" w:hAnsi="Arial Black"/>
                <w:caps/>
                <w:sz w:val="15"/>
              </w:rPr>
              <w:t xml:space="preserve">fecha: </w:t>
            </w:r>
            <w:bookmarkStart w:id="2" w:name="Date"/>
            <w:bookmarkEnd w:id="2"/>
            <w:r w:rsidRPr="00F86457">
              <w:rPr>
                <w:rFonts w:ascii="Arial Black" w:hAnsi="Arial Black"/>
                <w:caps/>
                <w:sz w:val="15"/>
              </w:rPr>
              <w:t>14 DE SEPTIEMBRE DE 2018</w:t>
            </w:r>
          </w:p>
        </w:tc>
      </w:tr>
    </w:tbl>
    <w:p w:rsidR="008B2CC1" w:rsidRPr="00F86457" w:rsidRDefault="008B2CC1" w:rsidP="008B2CC1"/>
    <w:p w:rsidR="008B2CC1" w:rsidRPr="00F86457" w:rsidRDefault="008B2CC1" w:rsidP="008B2CC1"/>
    <w:p w:rsidR="008B2CC1" w:rsidRPr="00F86457" w:rsidRDefault="008B2CC1" w:rsidP="008B2CC1"/>
    <w:p w:rsidR="008B2CC1" w:rsidRPr="00F86457" w:rsidRDefault="008B2CC1" w:rsidP="008B2CC1"/>
    <w:p w:rsidR="008B2CC1" w:rsidRPr="00F86457" w:rsidRDefault="008B2CC1" w:rsidP="008B2CC1"/>
    <w:p w:rsidR="00B67CDC" w:rsidRPr="00F86457" w:rsidRDefault="0096247A" w:rsidP="00B67CDC">
      <w:pPr>
        <w:rPr>
          <w:b/>
          <w:sz w:val="28"/>
          <w:szCs w:val="28"/>
        </w:rPr>
      </w:pPr>
      <w:r w:rsidRPr="00F86457">
        <w:rPr>
          <w:b/>
          <w:sz w:val="28"/>
          <w:szCs w:val="28"/>
        </w:rPr>
        <w:t>Comité de Desarrollo y Propiedad Intelectual (CDIP)</w:t>
      </w:r>
    </w:p>
    <w:p w:rsidR="003845C1" w:rsidRPr="00F86457" w:rsidRDefault="003845C1" w:rsidP="003845C1"/>
    <w:p w:rsidR="003845C1" w:rsidRPr="00F86457" w:rsidRDefault="003845C1" w:rsidP="003845C1"/>
    <w:p w:rsidR="00CC3A13" w:rsidRPr="00F86457" w:rsidRDefault="006F2626" w:rsidP="00CC3A13">
      <w:pPr>
        <w:rPr>
          <w:b/>
          <w:sz w:val="24"/>
          <w:szCs w:val="24"/>
        </w:rPr>
      </w:pPr>
      <w:r w:rsidRPr="00F86457">
        <w:rPr>
          <w:b/>
          <w:sz w:val="24"/>
          <w:szCs w:val="24"/>
        </w:rPr>
        <w:t>Vigesimosegunda sesión</w:t>
      </w:r>
    </w:p>
    <w:p w:rsidR="00B67CDC" w:rsidRPr="00F86457" w:rsidRDefault="0066508F" w:rsidP="00CC3A13">
      <w:pPr>
        <w:rPr>
          <w:b/>
          <w:sz w:val="24"/>
          <w:szCs w:val="24"/>
        </w:rPr>
      </w:pPr>
      <w:r w:rsidRPr="00F86457">
        <w:rPr>
          <w:b/>
          <w:sz w:val="24"/>
          <w:szCs w:val="24"/>
        </w:rPr>
        <w:t>Ginebra, 19 a 23 de noviembre de 2018</w:t>
      </w:r>
    </w:p>
    <w:p w:rsidR="008B2CC1" w:rsidRPr="00F86457" w:rsidRDefault="008B2CC1" w:rsidP="008B2CC1"/>
    <w:p w:rsidR="008B2CC1" w:rsidRPr="00F86457" w:rsidRDefault="008B2CC1" w:rsidP="008B2CC1"/>
    <w:p w:rsidR="008B2CC1" w:rsidRPr="00F86457" w:rsidRDefault="008B2CC1" w:rsidP="008B2CC1"/>
    <w:p w:rsidR="00E82E38" w:rsidRPr="00F86457" w:rsidRDefault="00771497" w:rsidP="00E82E38">
      <w:pPr>
        <w:rPr>
          <w:sz w:val="24"/>
          <w:szCs w:val="24"/>
        </w:rPr>
      </w:pPr>
      <w:bookmarkStart w:id="3" w:name="TitleOfDoc"/>
      <w:bookmarkEnd w:id="3"/>
      <w:r>
        <w:rPr>
          <w:sz w:val="24"/>
          <w:szCs w:val="24"/>
        </w:rPr>
        <w:t>P</w:t>
      </w:r>
      <w:r w:rsidRPr="00F86457">
        <w:rPr>
          <w:sz w:val="24"/>
          <w:szCs w:val="24"/>
        </w:rPr>
        <w:t xml:space="preserve">ROPUESTA REVISADA DEL PROYECTO RELATIVO A LA INTENSIFICACIÓN DEL USO DE LA PI EN EL SECTOR DEL </w:t>
      </w:r>
      <w:r w:rsidRPr="00F86457">
        <w:rPr>
          <w:i/>
          <w:iCs/>
          <w:sz w:val="24"/>
          <w:szCs w:val="24"/>
        </w:rPr>
        <w:t>SOFTWARE</w:t>
      </w:r>
      <w:r w:rsidRPr="00F86457">
        <w:rPr>
          <w:sz w:val="24"/>
          <w:szCs w:val="24"/>
        </w:rPr>
        <w:t xml:space="preserve"> EN LOS PAÍSES AFRICANOS, </w:t>
      </w:r>
      <w:r>
        <w:rPr>
          <w:sz w:val="24"/>
          <w:szCs w:val="24"/>
        </w:rPr>
        <w:t>PRESENTADA POR LA REPÚBLICA DE K</w:t>
      </w:r>
      <w:r w:rsidRPr="00F86457">
        <w:rPr>
          <w:sz w:val="24"/>
          <w:szCs w:val="24"/>
        </w:rPr>
        <w:t>ENYA</w:t>
      </w:r>
    </w:p>
    <w:p w:rsidR="00E82E38" w:rsidRPr="00F86457" w:rsidRDefault="00E82E38" w:rsidP="00E82E38">
      <w:pPr>
        <w:rPr>
          <w:szCs w:val="22"/>
        </w:rPr>
      </w:pPr>
    </w:p>
    <w:p w:rsidR="00E82E38" w:rsidRPr="00F86457" w:rsidRDefault="00E82E38" w:rsidP="00E82E38">
      <w:pPr>
        <w:rPr>
          <w:i/>
        </w:rPr>
      </w:pPr>
      <w:bookmarkStart w:id="4" w:name="Prepared"/>
      <w:bookmarkEnd w:id="4"/>
      <w:r w:rsidRPr="00F86457">
        <w:rPr>
          <w:i/>
        </w:rPr>
        <w:t>Documento preparado por la Secretaría</w:t>
      </w:r>
    </w:p>
    <w:p w:rsidR="00E82E38" w:rsidRPr="00F86457" w:rsidRDefault="00E82E38" w:rsidP="00E82E38">
      <w:pPr>
        <w:rPr>
          <w:szCs w:val="22"/>
        </w:rPr>
      </w:pPr>
    </w:p>
    <w:p w:rsidR="00E82E38" w:rsidRPr="00F86457" w:rsidRDefault="00E82E38" w:rsidP="00E82E38">
      <w:pPr>
        <w:rPr>
          <w:szCs w:val="22"/>
        </w:rPr>
      </w:pPr>
    </w:p>
    <w:p w:rsidR="00E82E38" w:rsidRPr="00F86457" w:rsidRDefault="00E82E38" w:rsidP="00E82E38">
      <w:pPr>
        <w:rPr>
          <w:szCs w:val="22"/>
        </w:rPr>
      </w:pPr>
    </w:p>
    <w:p w:rsidR="00E82E38" w:rsidRPr="00F86457" w:rsidRDefault="00E82E38" w:rsidP="00E82E38">
      <w:pPr>
        <w:rPr>
          <w:szCs w:val="22"/>
        </w:rPr>
      </w:pPr>
    </w:p>
    <w:p w:rsidR="00E82E38" w:rsidRPr="00F86457" w:rsidRDefault="00E82E38" w:rsidP="00E82E38">
      <w:pPr>
        <w:rPr>
          <w:szCs w:val="22"/>
        </w:rPr>
      </w:pPr>
      <w:r w:rsidRPr="00F86457">
        <w:rPr>
          <w:szCs w:val="22"/>
        </w:rPr>
        <w:fldChar w:fldCharType="begin"/>
      </w:r>
      <w:r w:rsidRPr="00F86457">
        <w:rPr>
          <w:szCs w:val="22"/>
        </w:rPr>
        <w:instrText xml:space="preserve"> AUTONUM  </w:instrText>
      </w:r>
      <w:r w:rsidRPr="00F86457">
        <w:rPr>
          <w:szCs w:val="22"/>
        </w:rPr>
        <w:fldChar w:fldCharType="end"/>
      </w:r>
      <w:r w:rsidRPr="00F86457">
        <w:tab/>
        <w:t xml:space="preserve">El Comité de Desarrollo y Propiedad Intelectual (CDIP) en su vigesimoprimera sesión, examinó el documento CDIP/21/7 sobre la Propuesta de proyecto relativo a la intensificación del uso de la PI en el sector del </w:t>
      </w:r>
      <w:r w:rsidRPr="00F86457">
        <w:rPr>
          <w:i/>
          <w:iCs/>
        </w:rPr>
        <w:t>software</w:t>
      </w:r>
      <w:r w:rsidRPr="00F86457">
        <w:t xml:space="preserve"> en los países africanos, present</w:t>
      </w:r>
      <w:r w:rsidR="005D15DB" w:rsidRPr="00F86457">
        <w:t xml:space="preserve">ada por la República de Kenya. </w:t>
      </w:r>
      <w:r w:rsidRPr="00F86457">
        <w:t xml:space="preserve">El Comité consideró positivamente la propuesta de proyecto y “solicitó a la delegación de Kenya que mantenga consultas con las partes correspondientes, en particular, la Secretaría, para seguir afinando la propuesta con miras a su </w:t>
      </w:r>
      <w:r w:rsidR="005D15DB" w:rsidRPr="00F86457">
        <w:t>examen en la próxima sesión.”</w:t>
      </w:r>
    </w:p>
    <w:p w:rsidR="00E82E38" w:rsidRPr="00F86457" w:rsidRDefault="00E82E38" w:rsidP="00E82E38">
      <w:pPr>
        <w:rPr>
          <w:szCs w:val="22"/>
        </w:rPr>
      </w:pPr>
    </w:p>
    <w:p w:rsidR="00E82E38" w:rsidRPr="00F86457" w:rsidRDefault="00E82E38" w:rsidP="00E82E38">
      <w:pPr>
        <w:rPr>
          <w:rStyle w:val="ONUMFSChar"/>
          <w:szCs w:val="22"/>
        </w:rPr>
      </w:pPr>
      <w:r w:rsidRPr="00F86457">
        <w:rPr>
          <w:rStyle w:val="ONUMFSChar"/>
          <w:szCs w:val="22"/>
        </w:rPr>
        <w:fldChar w:fldCharType="begin"/>
      </w:r>
      <w:r w:rsidRPr="00F86457">
        <w:rPr>
          <w:rStyle w:val="ONUMFSChar"/>
          <w:szCs w:val="22"/>
        </w:rPr>
        <w:instrText xml:space="preserve"> AUTONUM  </w:instrText>
      </w:r>
      <w:r w:rsidRPr="00F86457">
        <w:rPr>
          <w:rStyle w:val="ONUMFSChar"/>
          <w:szCs w:val="22"/>
        </w:rPr>
        <w:fldChar w:fldCharType="end"/>
      </w:r>
      <w:r w:rsidRPr="00F86457">
        <w:rPr>
          <w:rStyle w:val="ONUMFSChar"/>
          <w:szCs w:val="22"/>
        </w:rPr>
        <w:tab/>
        <w:t>En el Anexo del presente documento figura una propuesta revisada del proyecto presentado por la República de Kenya que tiene en cuenta las sugerencias formulada</w:t>
      </w:r>
      <w:r w:rsidR="005D15DB" w:rsidRPr="00F86457">
        <w:rPr>
          <w:rStyle w:val="ONUMFSChar"/>
          <w:szCs w:val="22"/>
        </w:rPr>
        <w:t>s por la Secretaría de la OMPI.</w:t>
      </w:r>
    </w:p>
    <w:p w:rsidR="00E82E38" w:rsidRPr="00F86457" w:rsidRDefault="00E82E38" w:rsidP="00E82E38">
      <w:pPr>
        <w:rPr>
          <w:szCs w:val="22"/>
        </w:rPr>
      </w:pPr>
    </w:p>
    <w:p w:rsidR="00E82E38" w:rsidRPr="00F86457" w:rsidRDefault="00E82E38" w:rsidP="00E82E38">
      <w:pPr>
        <w:tabs>
          <w:tab w:val="left" w:pos="567"/>
        </w:tabs>
        <w:ind w:left="5534"/>
        <w:rPr>
          <w:rStyle w:val="ONUMFSChar"/>
          <w:i/>
          <w:szCs w:val="22"/>
        </w:rPr>
      </w:pPr>
      <w:r w:rsidRPr="00F86457">
        <w:rPr>
          <w:rStyle w:val="ONUMFSChar"/>
          <w:szCs w:val="22"/>
        </w:rPr>
        <w:fldChar w:fldCharType="begin" w:fldLock="1"/>
      </w:r>
      <w:r w:rsidRPr="00F86457">
        <w:rPr>
          <w:rStyle w:val="ONUMFSChar"/>
          <w:szCs w:val="22"/>
        </w:rPr>
        <w:instrText xml:space="preserve"> AUTONUM  </w:instrText>
      </w:r>
      <w:r w:rsidRPr="00F86457">
        <w:rPr>
          <w:rStyle w:val="ONUMFSChar"/>
          <w:szCs w:val="22"/>
        </w:rPr>
        <w:fldChar w:fldCharType="end"/>
      </w:r>
      <w:r w:rsidRPr="00F86457">
        <w:rPr>
          <w:rStyle w:val="ONUMFSChar"/>
          <w:szCs w:val="22"/>
        </w:rPr>
        <w:tab/>
      </w:r>
      <w:r w:rsidRPr="00F86457">
        <w:rPr>
          <w:rStyle w:val="ONUMFSChar"/>
          <w:i/>
          <w:szCs w:val="22"/>
        </w:rPr>
        <w:t>Se invita al Comité a considerar el Anexo del presente documento.</w:t>
      </w:r>
    </w:p>
    <w:p w:rsidR="00E82E38" w:rsidRPr="00F86457" w:rsidRDefault="00E82E38" w:rsidP="00E82E38">
      <w:pPr>
        <w:rPr>
          <w:szCs w:val="22"/>
        </w:rPr>
      </w:pPr>
    </w:p>
    <w:p w:rsidR="00E82E38" w:rsidRPr="00F86457" w:rsidRDefault="00E82E38" w:rsidP="00E82E38">
      <w:pPr>
        <w:rPr>
          <w:szCs w:val="22"/>
        </w:rPr>
      </w:pPr>
    </w:p>
    <w:p w:rsidR="00E82E38" w:rsidRPr="00F86457" w:rsidRDefault="00E82E38" w:rsidP="00E82E38">
      <w:pPr>
        <w:rPr>
          <w:szCs w:val="22"/>
        </w:rPr>
      </w:pPr>
    </w:p>
    <w:p w:rsidR="00E82E38" w:rsidRPr="00F86457" w:rsidRDefault="00E82E38" w:rsidP="00E82E38">
      <w:pPr>
        <w:pStyle w:val="Endofdocument-Annex"/>
        <w:rPr>
          <w:szCs w:val="22"/>
        </w:rPr>
        <w:sectPr w:rsidR="00E82E38" w:rsidRPr="00F86457" w:rsidSect="00E82E38">
          <w:headerReference w:type="default" r:id="rId9"/>
          <w:pgSz w:w="11907" w:h="16840" w:code="9"/>
          <w:pgMar w:top="567" w:right="1134" w:bottom="1418" w:left="1418" w:header="510" w:footer="1021" w:gutter="0"/>
          <w:cols w:space="720"/>
          <w:titlePg/>
          <w:docGrid w:linePitch="299"/>
        </w:sectPr>
      </w:pPr>
      <w:r w:rsidRPr="00F86457">
        <w:t>[Sigue el Anexo]</w:t>
      </w:r>
    </w:p>
    <w:p w:rsidR="00E82E38" w:rsidRPr="00F86457" w:rsidRDefault="00E82E38" w:rsidP="00E82E38">
      <w:pPr>
        <w:rPr>
          <w:b/>
          <w:bCs/>
          <w:szCs w:val="22"/>
        </w:rPr>
      </w:pPr>
      <w:r w:rsidRPr="00F86457">
        <w:rPr>
          <w:b/>
          <w:bCs/>
          <w:szCs w:val="22"/>
        </w:rPr>
        <w:lastRenderedPageBreak/>
        <w:t>RECOMENDACIONES 11, 23, 24 y 27 DE LA AGENDA DE LA OMPI PARA EL DESARROLLO</w:t>
      </w:r>
    </w:p>
    <w:p w:rsidR="00E82E38" w:rsidRPr="00F86457" w:rsidRDefault="00E82E38" w:rsidP="00E82E38">
      <w:pPr>
        <w:rPr>
          <w:bCs/>
          <w:szCs w:val="22"/>
        </w:rPr>
      </w:pPr>
    </w:p>
    <w:p w:rsidR="00E82E38" w:rsidRPr="00F86457" w:rsidRDefault="00E82E38" w:rsidP="00E82E38">
      <w:pPr>
        <w:rPr>
          <w:b/>
          <w:bCs/>
          <w:szCs w:val="22"/>
        </w:rPr>
      </w:pPr>
      <w:r w:rsidRPr="00F86457">
        <w:rPr>
          <w:b/>
          <w:bCs/>
          <w:szCs w:val="22"/>
        </w:rPr>
        <w:t>DOCUMENTO DE PROYECTO</w:t>
      </w:r>
    </w:p>
    <w:p w:rsidR="00E82E38" w:rsidRPr="00F86457" w:rsidRDefault="00E82E38" w:rsidP="00E82E38">
      <w:pPr>
        <w:rPr>
          <w:b/>
          <w:bCs/>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E82E38" w:rsidRPr="00F86457" w:rsidTr="00043921">
        <w:tc>
          <w:tcPr>
            <w:tcW w:w="9288" w:type="dxa"/>
            <w:gridSpan w:val="3"/>
            <w:shd w:val="clear" w:color="auto" w:fill="auto"/>
          </w:tcPr>
          <w:p w:rsidR="00E82E38" w:rsidRPr="00F86457" w:rsidRDefault="00E82E38" w:rsidP="00043921">
            <w:pPr>
              <w:rPr>
                <w:bCs/>
                <w:iCs/>
                <w:szCs w:val="22"/>
              </w:rPr>
            </w:pPr>
          </w:p>
          <w:p w:rsidR="00E82E38" w:rsidRPr="00F86457" w:rsidRDefault="00E82E38" w:rsidP="00043921">
            <w:pPr>
              <w:rPr>
                <w:bCs/>
                <w:iCs/>
                <w:szCs w:val="22"/>
              </w:rPr>
            </w:pPr>
            <w:r w:rsidRPr="00F86457">
              <w:t xml:space="preserve">1. </w:t>
            </w:r>
            <w:r w:rsidRPr="00F86457">
              <w:tab/>
              <w:t>RESUMEN</w:t>
            </w:r>
          </w:p>
          <w:p w:rsidR="00E82E38" w:rsidRPr="00F86457" w:rsidRDefault="00E82E38" w:rsidP="00043921">
            <w:pPr>
              <w:rPr>
                <w:bCs/>
                <w:iCs/>
                <w:szCs w:val="22"/>
              </w:rPr>
            </w:pPr>
          </w:p>
        </w:tc>
      </w:tr>
      <w:tr w:rsidR="00E82E38" w:rsidRPr="00F86457" w:rsidTr="00043921">
        <w:tc>
          <w:tcPr>
            <w:tcW w:w="2376" w:type="dxa"/>
            <w:shd w:val="clear" w:color="auto" w:fill="auto"/>
          </w:tcPr>
          <w:p w:rsidR="00E82E38" w:rsidRPr="00F86457" w:rsidRDefault="00E82E38" w:rsidP="00043921">
            <w:pPr>
              <w:rPr>
                <w:szCs w:val="22"/>
                <w:u w:val="single"/>
              </w:rPr>
            </w:pPr>
            <w:r w:rsidRPr="00F86457">
              <w:rPr>
                <w:bCs/>
                <w:szCs w:val="22"/>
                <w:u w:val="single"/>
              </w:rPr>
              <w:t>Código del proyecto</w:t>
            </w:r>
          </w:p>
          <w:p w:rsidR="00E82E38" w:rsidRPr="00F86457" w:rsidRDefault="00E82E38" w:rsidP="00043921">
            <w:pPr>
              <w:rPr>
                <w:b/>
                <w:szCs w:val="22"/>
              </w:rPr>
            </w:pPr>
          </w:p>
        </w:tc>
        <w:tc>
          <w:tcPr>
            <w:tcW w:w="6912" w:type="dxa"/>
            <w:gridSpan w:val="2"/>
            <w:shd w:val="clear" w:color="auto" w:fill="auto"/>
          </w:tcPr>
          <w:p w:rsidR="00E82E38" w:rsidRPr="00F86457" w:rsidRDefault="00E82E38" w:rsidP="00043921">
            <w:pPr>
              <w:rPr>
                <w:i/>
                <w:szCs w:val="22"/>
              </w:rPr>
            </w:pPr>
            <w:r w:rsidRPr="00F86457">
              <w:rPr>
                <w:i/>
                <w:szCs w:val="22"/>
              </w:rPr>
              <w:t>DA_11_23_24_27_01</w:t>
            </w:r>
          </w:p>
        </w:tc>
      </w:tr>
      <w:tr w:rsidR="00E82E38" w:rsidRPr="00F86457" w:rsidTr="00043921">
        <w:tc>
          <w:tcPr>
            <w:tcW w:w="2376" w:type="dxa"/>
            <w:shd w:val="clear" w:color="auto" w:fill="auto"/>
          </w:tcPr>
          <w:p w:rsidR="00E82E38" w:rsidRPr="00F86457" w:rsidRDefault="00E82E38" w:rsidP="00043921">
            <w:pPr>
              <w:rPr>
                <w:szCs w:val="22"/>
                <w:u w:val="single"/>
              </w:rPr>
            </w:pPr>
          </w:p>
          <w:p w:rsidR="00E82E38" w:rsidRPr="00F86457" w:rsidRDefault="00E82E38" w:rsidP="00043921">
            <w:pPr>
              <w:rPr>
                <w:szCs w:val="22"/>
                <w:u w:val="single"/>
              </w:rPr>
            </w:pPr>
            <w:r w:rsidRPr="00F86457">
              <w:rPr>
                <w:szCs w:val="22"/>
                <w:u w:val="single"/>
              </w:rPr>
              <w:t>Título</w:t>
            </w:r>
          </w:p>
          <w:p w:rsidR="00E82E38" w:rsidRPr="00F86457" w:rsidRDefault="00E82E38" w:rsidP="00043921">
            <w:pPr>
              <w:rPr>
                <w:b/>
                <w:szCs w:val="22"/>
              </w:rPr>
            </w:pPr>
          </w:p>
        </w:tc>
        <w:tc>
          <w:tcPr>
            <w:tcW w:w="6912" w:type="dxa"/>
            <w:gridSpan w:val="2"/>
            <w:shd w:val="clear" w:color="auto" w:fill="auto"/>
          </w:tcPr>
          <w:p w:rsidR="00E82E38" w:rsidRPr="00F86457" w:rsidRDefault="00E82E38" w:rsidP="00043921">
            <w:pPr>
              <w:rPr>
                <w:szCs w:val="22"/>
              </w:rPr>
            </w:pPr>
          </w:p>
          <w:p w:rsidR="00E82E38" w:rsidRPr="00F86457" w:rsidRDefault="00E82E38" w:rsidP="00043921">
            <w:pPr>
              <w:rPr>
                <w:i/>
                <w:szCs w:val="22"/>
              </w:rPr>
            </w:pPr>
            <w:r w:rsidRPr="00F86457">
              <w:t xml:space="preserve">Intensificación del uso de la PI en el sector del </w:t>
            </w:r>
            <w:r w:rsidRPr="00F86457">
              <w:rPr>
                <w:i/>
                <w:iCs/>
              </w:rPr>
              <w:t>software</w:t>
            </w:r>
            <w:r w:rsidRPr="00F86457">
              <w:rPr>
                <w:i/>
                <w:szCs w:val="22"/>
              </w:rPr>
              <w:br/>
            </w:r>
          </w:p>
        </w:tc>
      </w:tr>
      <w:tr w:rsidR="00E82E38" w:rsidRPr="00F86457" w:rsidTr="00043921">
        <w:tc>
          <w:tcPr>
            <w:tcW w:w="2376" w:type="dxa"/>
            <w:shd w:val="clear" w:color="auto" w:fill="auto"/>
          </w:tcPr>
          <w:p w:rsidR="00E82E38" w:rsidRPr="00F86457" w:rsidRDefault="00E82E38" w:rsidP="00043921">
            <w:pPr>
              <w:rPr>
                <w:bCs/>
                <w:szCs w:val="22"/>
                <w:u w:val="single"/>
              </w:rPr>
            </w:pPr>
          </w:p>
          <w:p w:rsidR="00E82E38" w:rsidRPr="00F86457" w:rsidRDefault="00E82E38" w:rsidP="00043921">
            <w:pPr>
              <w:rPr>
                <w:szCs w:val="22"/>
                <w:u w:val="single"/>
              </w:rPr>
            </w:pPr>
            <w:r w:rsidRPr="00F86457">
              <w:rPr>
                <w:bCs/>
                <w:szCs w:val="22"/>
                <w:u w:val="single"/>
              </w:rPr>
              <w:t>Recomendaciones de la Agenda para el Desarrollo</w:t>
            </w:r>
          </w:p>
          <w:p w:rsidR="00E82E38" w:rsidRPr="00F86457" w:rsidRDefault="00E82E38" w:rsidP="00043921">
            <w:pPr>
              <w:rPr>
                <w:b/>
                <w:szCs w:val="22"/>
              </w:rPr>
            </w:pPr>
          </w:p>
        </w:tc>
        <w:tc>
          <w:tcPr>
            <w:tcW w:w="6912" w:type="dxa"/>
            <w:gridSpan w:val="2"/>
            <w:shd w:val="clear" w:color="auto" w:fill="auto"/>
          </w:tcPr>
          <w:p w:rsidR="00E82E38" w:rsidRPr="00F86457" w:rsidRDefault="00E82E38" w:rsidP="00043921">
            <w:pPr>
              <w:rPr>
                <w:i/>
                <w:szCs w:val="22"/>
              </w:rPr>
            </w:pPr>
          </w:p>
          <w:p w:rsidR="00E82E38" w:rsidRPr="00F86457" w:rsidRDefault="00E82E38" w:rsidP="00043921">
            <w:pPr>
              <w:rPr>
                <w:szCs w:val="22"/>
                <w:shd w:val="clear" w:color="auto" w:fill="FAFAFA"/>
              </w:rPr>
            </w:pPr>
            <w:r w:rsidRPr="00F86457">
              <w:rPr>
                <w:i/>
                <w:iCs/>
                <w:szCs w:val="22"/>
              </w:rPr>
              <w:t>Recomendación 11:</w:t>
            </w:r>
            <w:r w:rsidRPr="00F86457">
              <w:rPr>
                <w:i/>
                <w:szCs w:val="22"/>
              </w:rPr>
              <w:t xml:space="preserve"> </w:t>
            </w:r>
            <w:r w:rsidRPr="00F86457">
              <w:rPr>
                <w:szCs w:val="22"/>
                <w:shd w:val="clear" w:color="auto" w:fill="FAFAFA"/>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p w:rsidR="00E82E38" w:rsidRPr="00F86457" w:rsidRDefault="00E82E38" w:rsidP="00043921">
            <w:pPr>
              <w:rPr>
                <w:i/>
                <w:szCs w:val="22"/>
              </w:rPr>
            </w:pPr>
          </w:p>
          <w:p w:rsidR="00E82E38" w:rsidRPr="00F86457" w:rsidRDefault="00E82E38" w:rsidP="00043921">
            <w:pPr>
              <w:rPr>
                <w:szCs w:val="22"/>
                <w:shd w:val="clear" w:color="auto" w:fill="FAFAFA"/>
              </w:rPr>
            </w:pPr>
            <w:r w:rsidRPr="00F86457">
              <w:rPr>
                <w:i/>
                <w:iCs/>
                <w:szCs w:val="22"/>
              </w:rPr>
              <w:t>Recomendación 23:</w:t>
            </w:r>
            <w:r w:rsidRPr="00F86457">
              <w:rPr>
                <w:i/>
                <w:szCs w:val="22"/>
              </w:rPr>
              <w:t xml:space="preserve"> </w:t>
            </w:r>
            <w:r w:rsidRPr="00F86457">
              <w:rPr>
                <w:szCs w:val="22"/>
                <w:shd w:val="clear" w:color="auto" w:fill="FAFAFA"/>
              </w:rPr>
              <w:t>Estudiar cómo fomentar más adecuadamente las prácticas de concesión de licencias de PI en pro de la competencia, especialmente con miras a impulsar la creatividad, la innovación y la transferencia y la difusión de tecnología en los países interesados, en particular los países en desarrollo y los PMA.</w:t>
            </w:r>
          </w:p>
          <w:p w:rsidR="00E82E38" w:rsidRPr="00F86457" w:rsidRDefault="00E82E38" w:rsidP="00043921">
            <w:pPr>
              <w:rPr>
                <w:i/>
                <w:szCs w:val="22"/>
              </w:rPr>
            </w:pPr>
          </w:p>
          <w:p w:rsidR="00E82E38" w:rsidRPr="00F86457" w:rsidRDefault="00E82E38" w:rsidP="00043921">
            <w:pPr>
              <w:rPr>
                <w:szCs w:val="22"/>
                <w:shd w:val="clear" w:color="auto" w:fill="FAFAFA"/>
              </w:rPr>
            </w:pPr>
            <w:r w:rsidRPr="00F86457">
              <w:rPr>
                <w:i/>
                <w:iCs/>
                <w:szCs w:val="22"/>
              </w:rPr>
              <w:t>Recomendación 24:</w:t>
            </w:r>
            <w:r w:rsidRPr="00F86457">
              <w:rPr>
                <w:i/>
                <w:szCs w:val="22"/>
              </w:rPr>
              <w:t xml:space="preserve"> </w:t>
            </w:r>
            <w:r w:rsidRPr="00F86457">
              <w:rPr>
                <w:szCs w:val="22"/>
                <w:shd w:val="clear" w:color="auto" w:fill="FAFAFA"/>
              </w:rPr>
              <w:t>Solicitar a la OMPI que, con arreglo a su mandato, amplíe el alcance de sus actividades destinadas a colmar la brecha digital, de conformidad con los efectos de la Cumbre Mundial sobre la Sociedad de la Información (CMSI), y teniendo en cuenta la importancia del fondo de solidaridad digital.</w:t>
            </w:r>
          </w:p>
          <w:p w:rsidR="00E82E38" w:rsidRPr="00F86457" w:rsidRDefault="00E82E38" w:rsidP="00043921">
            <w:pPr>
              <w:rPr>
                <w:i/>
                <w:szCs w:val="22"/>
              </w:rPr>
            </w:pPr>
          </w:p>
          <w:p w:rsidR="00E82E38" w:rsidRPr="00F86457" w:rsidRDefault="00E82E38" w:rsidP="00EB7F2E">
            <w:pPr>
              <w:rPr>
                <w:i/>
                <w:szCs w:val="22"/>
              </w:rPr>
            </w:pPr>
            <w:r w:rsidRPr="00F86457">
              <w:rPr>
                <w:i/>
                <w:iCs/>
                <w:szCs w:val="22"/>
              </w:rPr>
              <w:t>Recomendación 27:</w:t>
            </w:r>
            <w:r w:rsidRPr="00F86457">
              <w:rPr>
                <w:i/>
                <w:szCs w:val="22"/>
              </w:rPr>
              <w:t xml:space="preserve"> </w:t>
            </w:r>
            <w:r w:rsidRPr="00F86457">
              <w:rPr>
                <w:szCs w:val="22"/>
                <w:shd w:val="clear" w:color="auto" w:fill="FAFAFA"/>
              </w:rPr>
              <w:t xml:space="preserve">Determinar los aspectos de las TIC relacionados con la PI que favorecen el crecimiento y </w:t>
            </w:r>
            <w:r w:rsidR="005D15DB" w:rsidRPr="00F86457">
              <w:rPr>
                <w:szCs w:val="22"/>
                <w:shd w:val="clear" w:color="auto" w:fill="FAFAFA"/>
              </w:rPr>
              <w:t xml:space="preserve">el desarrollo: </w:t>
            </w:r>
            <w:r w:rsidRPr="00F86457">
              <w:rPr>
                <w:szCs w:val="22"/>
                <w:shd w:val="clear" w:color="auto" w:fill="FAFAFA"/>
              </w:rPr>
              <w:t>crear un foro, en el marco de un órgano pertinente de la OMPI, para debatir la importancia de los aspectos de las TIC relacionados con la PI y su papel en el desarrollo económico y cultural, haciendo hincapié concretamente en ayudar a los Estados miembros a definir estrategias prácticas relacionadas con la PI para utilizar las TIC en pro del desarrollo económico, social y cultural.</w:t>
            </w:r>
          </w:p>
        </w:tc>
      </w:tr>
      <w:tr w:rsidR="00E82E38" w:rsidRPr="00F86457" w:rsidTr="00043921">
        <w:tc>
          <w:tcPr>
            <w:tcW w:w="2376" w:type="dxa"/>
            <w:shd w:val="clear" w:color="auto" w:fill="auto"/>
          </w:tcPr>
          <w:p w:rsidR="00E82E38" w:rsidRPr="00F86457" w:rsidRDefault="00E82E38" w:rsidP="00043921">
            <w:pPr>
              <w:rPr>
                <w:bCs/>
                <w:szCs w:val="22"/>
                <w:u w:val="single"/>
              </w:rPr>
            </w:pPr>
          </w:p>
          <w:p w:rsidR="00E82E38" w:rsidRPr="00F86457" w:rsidRDefault="00E82E38" w:rsidP="00043921">
            <w:pPr>
              <w:rPr>
                <w:szCs w:val="22"/>
                <w:u w:val="single"/>
              </w:rPr>
            </w:pPr>
            <w:r w:rsidRPr="00F86457">
              <w:rPr>
                <w:bCs/>
                <w:szCs w:val="22"/>
                <w:u w:val="single"/>
              </w:rPr>
              <w:t>Breve descripción del proyecto</w:t>
            </w:r>
          </w:p>
          <w:p w:rsidR="00E82E38" w:rsidRPr="00F86457" w:rsidRDefault="00E82E38" w:rsidP="00043921">
            <w:pPr>
              <w:rPr>
                <w:b/>
                <w:szCs w:val="22"/>
              </w:rPr>
            </w:pPr>
          </w:p>
          <w:p w:rsidR="00E82E38" w:rsidRPr="00F86457" w:rsidRDefault="00E82E38" w:rsidP="00043921">
            <w:pPr>
              <w:rPr>
                <w:b/>
                <w:szCs w:val="22"/>
              </w:rPr>
            </w:pPr>
          </w:p>
          <w:p w:rsidR="00E82E38" w:rsidRPr="00F86457" w:rsidRDefault="00E82E38" w:rsidP="00043921">
            <w:pPr>
              <w:rPr>
                <w:b/>
                <w:szCs w:val="22"/>
              </w:rPr>
            </w:pPr>
          </w:p>
          <w:p w:rsidR="00E82E38" w:rsidRPr="00F86457" w:rsidRDefault="00E82E38" w:rsidP="00043921">
            <w:pPr>
              <w:rPr>
                <w:i/>
                <w:szCs w:val="22"/>
              </w:rPr>
            </w:pPr>
          </w:p>
          <w:p w:rsidR="00E82E38" w:rsidRPr="00F86457" w:rsidRDefault="00E82E38" w:rsidP="00043921">
            <w:pPr>
              <w:rPr>
                <w:i/>
                <w:szCs w:val="22"/>
              </w:rPr>
            </w:pPr>
          </w:p>
          <w:p w:rsidR="00E82E38" w:rsidRPr="00F86457" w:rsidRDefault="00E82E38" w:rsidP="00043921">
            <w:pPr>
              <w:rPr>
                <w:i/>
                <w:szCs w:val="22"/>
              </w:rPr>
            </w:pPr>
          </w:p>
          <w:p w:rsidR="00E82E38" w:rsidRPr="00F86457" w:rsidRDefault="00E82E38" w:rsidP="00043921">
            <w:pPr>
              <w:rPr>
                <w:i/>
                <w:szCs w:val="22"/>
              </w:rPr>
            </w:pPr>
          </w:p>
          <w:p w:rsidR="00E82E38" w:rsidRPr="00F86457" w:rsidRDefault="00E82E38" w:rsidP="00043921">
            <w:pPr>
              <w:rPr>
                <w:i/>
                <w:szCs w:val="22"/>
              </w:rPr>
            </w:pPr>
          </w:p>
          <w:p w:rsidR="00E82E38" w:rsidRPr="00F86457" w:rsidRDefault="00E82E38" w:rsidP="00043921">
            <w:pPr>
              <w:rPr>
                <w:i/>
                <w:szCs w:val="22"/>
              </w:rPr>
            </w:pPr>
          </w:p>
          <w:p w:rsidR="00E82E38" w:rsidRPr="00F86457" w:rsidRDefault="00E82E38" w:rsidP="00043921">
            <w:pPr>
              <w:rPr>
                <w:i/>
                <w:szCs w:val="22"/>
              </w:rPr>
            </w:pPr>
          </w:p>
          <w:p w:rsidR="00E82E38" w:rsidRPr="00F86457" w:rsidRDefault="00E82E38" w:rsidP="00043921">
            <w:pPr>
              <w:rPr>
                <w:i/>
                <w:szCs w:val="22"/>
              </w:rPr>
            </w:pPr>
          </w:p>
          <w:p w:rsidR="00E82E38" w:rsidRPr="00F86457" w:rsidRDefault="00E82E38" w:rsidP="00043921">
            <w:pPr>
              <w:rPr>
                <w:i/>
                <w:szCs w:val="22"/>
              </w:rPr>
            </w:pPr>
          </w:p>
          <w:p w:rsidR="00E82E38" w:rsidRPr="00F86457" w:rsidRDefault="00E82E38" w:rsidP="00043921">
            <w:pPr>
              <w:rPr>
                <w:b/>
                <w:szCs w:val="22"/>
              </w:rPr>
            </w:pPr>
          </w:p>
        </w:tc>
        <w:tc>
          <w:tcPr>
            <w:tcW w:w="6912" w:type="dxa"/>
            <w:gridSpan w:val="2"/>
            <w:shd w:val="clear" w:color="auto" w:fill="auto"/>
          </w:tcPr>
          <w:p w:rsidR="00E82E38" w:rsidRPr="00F86457" w:rsidRDefault="00E82E38" w:rsidP="00043921">
            <w:pPr>
              <w:rPr>
                <w:szCs w:val="22"/>
              </w:rPr>
            </w:pPr>
          </w:p>
          <w:p w:rsidR="00E82E38" w:rsidRPr="00F86457" w:rsidRDefault="00E82E38" w:rsidP="00043921">
            <w:pPr>
              <w:rPr>
                <w:szCs w:val="22"/>
              </w:rPr>
            </w:pPr>
            <w:r w:rsidRPr="00F86457">
              <w:t xml:space="preserve">El proyecto tiene por fin la intensificación del uso de la PI en el sector del </w:t>
            </w:r>
            <w:r w:rsidRPr="00F86457">
              <w:rPr>
                <w:i/>
                <w:iCs/>
              </w:rPr>
              <w:t>software</w:t>
            </w:r>
            <w:r w:rsidRPr="00F86457">
              <w:t xml:space="preserve"> para apoyar el crecimiento económico en los tres países beneficiarios mediante la puesta a disposición de herramientas que puedan utilizarse también en otros países.</w:t>
            </w:r>
          </w:p>
          <w:p w:rsidR="00E82E38" w:rsidRPr="00F86457" w:rsidRDefault="00E82E38" w:rsidP="00043921">
            <w:pPr>
              <w:rPr>
                <w:szCs w:val="22"/>
              </w:rPr>
            </w:pPr>
          </w:p>
          <w:p w:rsidR="00E82E38" w:rsidRPr="00F86457" w:rsidRDefault="00824666" w:rsidP="00043921">
            <w:pPr>
              <w:rPr>
                <w:szCs w:val="22"/>
              </w:rPr>
            </w:pPr>
            <w:r w:rsidRPr="00F86457">
              <w:t>Gracias a</w:t>
            </w:r>
            <w:r w:rsidR="00E82E38" w:rsidRPr="00F86457">
              <w:t xml:space="preserve"> sus actividades y aportes concretos, el proyecto desarrollará los conocimientos y la experiencia de las partes interesadas en el sector del </w:t>
            </w:r>
            <w:r w:rsidR="00E82E38" w:rsidRPr="00F86457">
              <w:rPr>
                <w:i/>
                <w:iCs/>
              </w:rPr>
              <w:t>software</w:t>
            </w:r>
            <w:r w:rsidR="00E82E38" w:rsidRPr="00F86457">
              <w:t xml:space="preserve"> respecto de cuándo y cómo emplear diversos instrumentos de PI para fomentar el desarrollo y la comercialización de aplica</w:t>
            </w:r>
            <w:r w:rsidR="005D15DB" w:rsidRPr="00F86457">
              <w:t>ciones de dispositivos móviles.</w:t>
            </w:r>
          </w:p>
          <w:p w:rsidR="00E82E38" w:rsidRPr="00F86457" w:rsidRDefault="00E82E38" w:rsidP="00043921">
            <w:pPr>
              <w:rPr>
                <w:szCs w:val="22"/>
              </w:rPr>
            </w:pPr>
          </w:p>
          <w:p w:rsidR="00E82E38" w:rsidRPr="00F86457" w:rsidRDefault="00E82E38" w:rsidP="00043921">
            <w:pPr>
              <w:rPr>
                <w:szCs w:val="22"/>
              </w:rPr>
            </w:pPr>
            <w:r w:rsidRPr="00F86457">
              <w:t>El proyecto creará vínculos entre los países beneficiarios y, en el seno de los mismos, entre las oficinas de PI, los centros creativos, las instituciones d</w:t>
            </w:r>
            <w:r w:rsidR="005D15DB" w:rsidRPr="00F86457">
              <w:t>e investigación y la industria.</w:t>
            </w:r>
          </w:p>
          <w:p w:rsidR="00E82E38" w:rsidRPr="00F86457" w:rsidRDefault="00E82E38" w:rsidP="00043921">
            <w:pPr>
              <w:rPr>
                <w:szCs w:val="22"/>
              </w:rPr>
            </w:pPr>
          </w:p>
          <w:p w:rsidR="00E82E38" w:rsidRPr="00F86457" w:rsidRDefault="00E82E38" w:rsidP="00043921">
            <w:pPr>
              <w:rPr>
                <w:szCs w:val="22"/>
              </w:rPr>
            </w:pPr>
            <w:r w:rsidRPr="00F86457">
              <w:t>El documento, propuesto inicialmente por Kenya durante la vigesimoprimera sesión del CDIP (documento CDIP/21/7), especifica y amplía la propuesta del proyecto en respuesta a los comentarios formulados por los Estados miembros.</w:t>
            </w:r>
          </w:p>
          <w:p w:rsidR="00E82E38" w:rsidRPr="00F86457" w:rsidRDefault="00E82E38" w:rsidP="00043921">
            <w:pPr>
              <w:rPr>
                <w:i/>
                <w:szCs w:val="22"/>
              </w:rPr>
            </w:pPr>
          </w:p>
        </w:tc>
      </w:tr>
      <w:tr w:rsidR="00E82E38" w:rsidRPr="00F86457" w:rsidTr="00043921">
        <w:tc>
          <w:tcPr>
            <w:tcW w:w="2376" w:type="dxa"/>
            <w:shd w:val="clear" w:color="auto" w:fill="auto"/>
          </w:tcPr>
          <w:p w:rsidR="00E82E38" w:rsidRPr="00F86457" w:rsidRDefault="00E82E38" w:rsidP="00043921">
            <w:pPr>
              <w:rPr>
                <w:bCs/>
                <w:szCs w:val="22"/>
                <w:u w:val="single"/>
              </w:rPr>
            </w:pPr>
          </w:p>
          <w:p w:rsidR="00E82E38" w:rsidRPr="00F86457" w:rsidRDefault="00E82E38" w:rsidP="00043921">
            <w:pPr>
              <w:rPr>
                <w:bCs/>
                <w:szCs w:val="22"/>
                <w:u w:val="single"/>
              </w:rPr>
            </w:pPr>
            <w:r w:rsidRPr="00F86457">
              <w:rPr>
                <w:bCs/>
                <w:szCs w:val="22"/>
                <w:u w:val="single"/>
              </w:rPr>
              <w:t>Programa de ejecución</w:t>
            </w:r>
          </w:p>
          <w:p w:rsidR="00E82E38" w:rsidRPr="00F86457" w:rsidRDefault="00E82E38" w:rsidP="00043921">
            <w:pPr>
              <w:rPr>
                <w:szCs w:val="22"/>
                <w:u w:val="single"/>
              </w:rPr>
            </w:pPr>
          </w:p>
        </w:tc>
        <w:tc>
          <w:tcPr>
            <w:tcW w:w="6912" w:type="dxa"/>
            <w:gridSpan w:val="2"/>
            <w:shd w:val="clear" w:color="auto" w:fill="auto"/>
          </w:tcPr>
          <w:p w:rsidR="00E82E38" w:rsidRPr="00F86457" w:rsidRDefault="00E82E38" w:rsidP="00043921">
            <w:pPr>
              <w:rPr>
                <w:szCs w:val="22"/>
              </w:rPr>
            </w:pPr>
          </w:p>
          <w:p w:rsidR="00E82E38" w:rsidRPr="00F86457" w:rsidRDefault="00E82E38" w:rsidP="00043921">
            <w:pPr>
              <w:rPr>
                <w:szCs w:val="22"/>
              </w:rPr>
            </w:pPr>
            <w:r w:rsidRPr="00F86457">
              <w:t>Por determinar</w:t>
            </w:r>
          </w:p>
          <w:p w:rsidR="00E82E38" w:rsidRPr="00F86457" w:rsidRDefault="00E82E38" w:rsidP="00043921">
            <w:pPr>
              <w:rPr>
                <w:szCs w:val="22"/>
              </w:rPr>
            </w:pPr>
          </w:p>
          <w:p w:rsidR="00E82E38" w:rsidRPr="00F86457" w:rsidRDefault="00E82E38" w:rsidP="00043921">
            <w:pPr>
              <w:rPr>
                <w:szCs w:val="22"/>
              </w:rPr>
            </w:pPr>
            <w:r w:rsidRPr="00F86457">
              <w:t>Derecho de autor/patentes/modelos de utilidad/marcas/dibujos y modelos/secretos comerciales/competencia</w:t>
            </w:r>
          </w:p>
          <w:p w:rsidR="00E82E38" w:rsidRPr="00F86457" w:rsidRDefault="00E82E38" w:rsidP="00043921">
            <w:pPr>
              <w:rPr>
                <w:i/>
                <w:szCs w:val="22"/>
              </w:rPr>
            </w:pPr>
          </w:p>
        </w:tc>
      </w:tr>
      <w:tr w:rsidR="00E82E38" w:rsidRPr="00F86457" w:rsidTr="00043921">
        <w:tc>
          <w:tcPr>
            <w:tcW w:w="2376" w:type="dxa"/>
            <w:shd w:val="clear" w:color="auto" w:fill="auto"/>
          </w:tcPr>
          <w:p w:rsidR="00E82E38" w:rsidRPr="00F86457" w:rsidRDefault="00E82E38" w:rsidP="00043921">
            <w:pPr>
              <w:rPr>
                <w:bCs/>
                <w:szCs w:val="22"/>
                <w:u w:val="single"/>
              </w:rPr>
            </w:pPr>
          </w:p>
          <w:p w:rsidR="00E82E38" w:rsidRPr="00F86457" w:rsidRDefault="00E82E38" w:rsidP="00043921">
            <w:pPr>
              <w:rPr>
                <w:szCs w:val="22"/>
                <w:u w:val="single"/>
              </w:rPr>
            </w:pPr>
            <w:r w:rsidRPr="00F86457">
              <w:rPr>
                <w:bCs/>
                <w:szCs w:val="22"/>
                <w:u w:val="single"/>
              </w:rPr>
              <w:t>Vínculos con otros programas relacionados o proyectos de la Agenda para el Desarrollo</w:t>
            </w:r>
          </w:p>
          <w:p w:rsidR="00E82E38" w:rsidRPr="00F86457" w:rsidRDefault="00E82E38" w:rsidP="00043921">
            <w:pPr>
              <w:rPr>
                <w:szCs w:val="22"/>
                <w:u w:val="single"/>
              </w:rPr>
            </w:pPr>
          </w:p>
        </w:tc>
        <w:tc>
          <w:tcPr>
            <w:tcW w:w="6912" w:type="dxa"/>
            <w:gridSpan w:val="2"/>
            <w:shd w:val="clear" w:color="auto" w:fill="auto"/>
          </w:tcPr>
          <w:p w:rsidR="00E82E38" w:rsidRPr="00F86457" w:rsidRDefault="00E82E38" w:rsidP="00043921">
            <w:pPr>
              <w:rPr>
                <w:szCs w:val="22"/>
              </w:rPr>
            </w:pPr>
          </w:p>
          <w:p w:rsidR="00E82E38" w:rsidRPr="00F86457" w:rsidRDefault="00E82E38" w:rsidP="00043921">
            <w:pPr>
              <w:rPr>
                <w:szCs w:val="22"/>
              </w:rPr>
            </w:pPr>
            <w:r w:rsidRPr="00F86457">
              <w:t>Programas</w:t>
            </w:r>
            <w:r w:rsidR="00824666" w:rsidRPr="00F86457">
              <w:t xml:space="preserve"> </w:t>
            </w:r>
            <w:r w:rsidRPr="00F86457">
              <w:t>1;2;3;7;11;17 y 30</w:t>
            </w:r>
          </w:p>
          <w:p w:rsidR="00E82E38" w:rsidRPr="00F86457" w:rsidRDefault="00E82E38" w:rsidP="00043921">
            <w:pPr>
              <w:rPr>
                <w:szCs w:val="22"/>
              </w:rPr>
            </w:pPr>
            <w:r w:rsidRPr="00F86457">
              <w:t>DA_7_23_ 32_01; DA_19_24_27_01; DA_1_2_4_10_11_01; DA_1_2_4_10_11_02.</w:t>
            </w:r>
          </w:p>
        </w:tc>
      </w:tr>
      <w:tr w:rsidR="00E82E38" w:rsidRPr="00F86457" w:rsidTr="00043921">
        <w:tc>
          <w:tcPr>
            <w:tcW w:w="2376" w:type="dxa"/>
            <w:shd w:val="clear" w:color="auto" w:fill="auto"/>
          </w:tcPr>
          <w:p w:rsidR="00E82E38" w:rsidRPr="00F86457" w:rsidRDefault="00E82E38" w:rsidP="00043921">
            <w:pPr>
              <w:rPr>
                <w:bCs/>
                <w:szCs w:val="22"/>
                <w:u w:val="single"/>
              </w:rPr>
            </w:pPr>
          </w:p>
          <w:p w:rsidR="00E82E38" w:rsidRPr="00F86457" w:rsidRDefault="00E82E38" w:rsidP="00043921">
            <w:pPr>
              <w:rPr>
                <w:szCs w:val="22"/>
              </w:rPr>
            </w:pPr>
            <w:r w:rsidRPr="00F86457">
              <w:rPr>
                <w:bCs/>
                <w:szCs w:val="22"/>
                <w:u w:val="single"/>
              </w:rPr>
              <w:t>Vínculos con los resultados previstos en el presupuesto por programas</w:t>
            </w:r>
          </w:p>
          <w:p w:rsidR="00E82E38" w:rsidRPr="00F86457" w:rsidDel="00196374" w:rsidRDefault="00E82E38" w:rsidP="00043921">
            <w:pPr>
              <w:rPr>
                <w:szCs w:val="22"/>
              </w:rPr>
            </w:pPr>
          </w:p>
        </w:tc>
        <w:tc>
          <w:tcPr>
            <w:tcW w:w="6912" w:type="dxa"/>
            <w:gridSpan w:val="2"/>
            <w:shd w:val="clear" w:color="auto" w:fill="auto"/>
            <w:vAlign w:val="center"/>
          </w:tcPr>
          <w:p w:rsidR="00E82E38" w:rsidRPr="00F86457" w:rsidRDefault="00E82E38" w:rsidP="00043921">
            <w:pPr>
              <w:rPr>
                <w:i/>
                <w:szCs w:val="22"/>
              </w:rPr>
            </w:pPr>
            <w:r w:rsidRPr="00F86457">
              <w:rPr>
                <w:i/>
                <w:szCs w:val="22"/>
              </w:rPr>
              <w:t>III.2 Aumento de las capacidades en recursos humanos para hacer frente a la gran diversidad de exigencias que supone la utilización eficaz de la PI para fomentar el desarrollo en los países en desarrollo, PMA y países con economías en transición.</w:t>
            </w:r>
          </w:p>
          <w:p w:rsidR="00E82E38" w:rsidRPr="00F86457" w:rsidRDefault="00E82E38" w:rsidP="00043921">
            <w:pPr>
              <w:rPr>
                <w:i/>
                <w:szCs w:val="22"/>
              </w:rPr>
            </w:pPr>
          </w:p>
          <w:p w:rsidR="00E82E38" w:rsidRPr="00F86457" w:rsidRDefault="00E82E38" w:rsidP="00043921">
            <w:pPr>
              <w:rPr>
                <w:i/>
                <w:szCs w:val="22"/>
              </w:rPr>
            </w:pPr>
            <w:r w:rsidRPr="00F86457">
              <w:rPr>
                <w:i/>
                <w:szCs w:val="22"/>
              </w:rPr>
              <w:t>IV.2 Mejora del acceso y uso de información de PI por parte de instituciones de PI y el público para fomentar la innovación y la creatividad.</w:t>
            </w:r>
          </w:p>
          <w:p w:rsidR="00E82E38" w:rsidRPr="00F86457" w:rsidRDefault="00E82E38" w:rsidP="00043921">
            <w:pPr>
              <w:rPr>
                <w:i/>
                <w:szCs w:val="22"/>
              </w:rPr>
            </w:pPr>
          </w:p>
          <w:p w:rsidR="00E82E38" w:rsidRPr="00F86457" w:rsidRDefault="00E82E38" w:rsidP="00043921">
            <w:pPr>
              <w:rPr>
                <w:i/>
                <w:szCs w:val="22"/>
              </w:rPr>
            </w:pPr>
            <w:r w:rsidRPr="00F86457">
              <w:rPr>
                <w:i/>
                <w:szCs w:val="22"/>
              </w:rPr>
              <w:t>III.6. Mayor capacidad de las pymes, las universidades y las instituciones de investigación para utilizar eficazmente la PI con el fin de apoyar la innovación.</w:t>
            </w:r>
          </w:p>
          <w:p w:rsidR="00E82E38" w:rsidRPr="00F86457" w:rsidDel="00196374" w:rsidRDefault="00E82E38" w:rsidP="00043921">
            <w:pPr>
              <w:rPr>
                <w:szCs w:val="22"/>
              </w:rPr>
            </w:pPr>
          </w:p>
        </w:tc>
      </w:tr>
      <w:tr w:rsidR="00E82E38" w:rsidRPr="00F86457" w:rsidTr="00043921">
        <w:tc>
          <w:tcPr>
            <w:tcW w:w="2376" w:type="dxa"/>
            <w:shd w:val="clear" w:color="auto" w:fill="auto"/>
          </w:tcPr>
          <w:p w:rsidR="00E82E38" w:rsidRPr="00F86457" w:rsidRDefault="00E82E38" w:rsidP="00043921">
            <w:pPr>
              <w:rPr>
                <w:bCs/>
                <w:szCs w:val="22"/>
                <w:u w:val="single"/>
              </w:rPr>
            </w:pPr>
          </w:p>
          <w:p w:rsidR="00E82E38" w:rsidRPr="00F86457" w:rsidRDefault="00E82E38" w:rsidP="00043921">
            <w:pPr>
              <w:rPr>
                <w:szCs w:val="22"/>
              </w:rPr>
            </w:pPr>
            <w:r w:rsidRPr="00F86457">
              <w:rPr>
                <w:bCs/>
                <w:szCs w:val="22"/>
                <w:u w:val="single"/>
              </w:rPr>
              <w:t>Duración del proyecto</w:t>
            </w:r>
          </w:p>
          <w:p w:rsidR="00E82E38" w:rsidRPr="00F86457" w:rsidRDefault="00E82E38" w:rsidP="00043921">
            <w:pPr>
              <w:rPr>
                <w:b/>
                <w:szCs w:val="22"/>
              </w:rPr>
            </w:pPr>
          </w:p>
        </w:tc>
        <w:tc>
          <w:tcPr>
            <w:tcW w:w="6912" w:type="dxa"/>
            <w:gridSpan w:val="2"/>
            <w:shd w:val="clear" w:color="auto" w:fill="auto"/>
          </w:tcPr>
          <w:p w:rsidR="00E82E38" w:rsidRPr="00F86457" w:rsidRDefault="00E82E38" w:rsidP="00043921">
            <w:pPr>
              <w:rPr>
                <w:i/>
                <w:szCs w:val="22"/>
              </w:rPr>
            </w:pPr>
          </w:p>
          <w:p w:rsidR="00E82E38" w:rsidRPr="00F86457" w:rsidRDefault="00E82E38" w:rsidP="00043921">
            <w:pPr>
              <w:rPr>
                <w:szCs w:val="22"/>
              </w:rPr>
            </w:pPr>
            <w:r w:rsidRPr="00F86457">
              <w:t>36 meses a partir del 1 de enero de 2019</w:t>
            </w:r>
          </w:p>
        </w:tc>
      </w:tr>
      <w:tr w:rsidR="00E82E38" w:rsidRPr="00F86457" w:rsidTr="00043921">
        <w:tc>
          <w:tcPr>
            <w:tcW w:w="2376" w:type="dxa"/>
            <w:shd w:val="clear" w:color="auto" w:fill="auto"/>
          </w:tcPr>
          <w:p w:rsidR="00E82E38" w:rsidRPr="00F86457" w:rsidRDefault="00E82E38" w:rsidP="00043921">
            <w:pPr>
              <w:rPr>
                <w:bCs/>
                <w:szCs w:val="22"/>
                <w:u w:val="single"/>
              </w:rPr>
            </w:pPr>
          </w:p>
          <w:p w:rsidR="00E82E38" w:rsidRPr="00F86457" w:rsidRDefault="00E82E38" w:rsidP="00043921">
            <w:pPr>
              <w:rPr>
                <w:szCs w:val="22"/>
              </w:rPr>
            </w:pPr>
            <w:r w:rsidRPr="00F86457">
              <w:rPr>
                <w:bCs/>
                <w:szCs w:val="22"/>
                <w:u w:val="single"/>
              </w:rPr>
              <w:t>Presupuesto del proyecto</w:t>
            </w:r>
          </w:p>
          <w:p w:rsidR="00E82E38" w:rsidRPr="00F86457" w:rsidRDefault="00E82E38" w:rsidP="00043921">
            <w:pPr>
              <w:rPr>
                <w:b/>
                <w:szCs w:val="22"/>
              </w:rPr>
            </w:pPr>
          </w:p>
        </w:tc>
        <w:tc>
          <w:tcPr>
            <w:tcW w:w="6912" w:type="dxa"/>
            <w:gridSpan w:val="2"/>
            <w:shd w:val="clear" w:color="auto" w:fill="auto"/>
          </w:tcPr>
          <w:p w:rsidR="00E82E38" w:rsidRPr="00F86457" w:rsidRDefault="00E82E38" w:rsidP="00043921">
            <w:pPr>
              <w:rPr>
                <w:szCs w:val="22"/>
              </w:rPr>
            </w:pPr>
          </w:p>
          <w:p w:rsidR="00E82E38" w:rsidRPr="00F86457" w:rsidRDefault="00E82E38" w:rsidP="00043921">
            <w:pPr>
              <w:rPr>
                <w:i/>
                <w:iCs/>
                <w:szCs w:val="22"/>
              </w:rPr>
            </w:pPr>
            <w:r w:rsidRPr="00F86457">
              <w:rPr>
                <w:i/>
                <w:iCs/>
                <w:szCs w:val="22"/>
              </w:rPr>
              <w:t>Ga</w:t>
            </w:r>
            <w:r w:rsidR="00E31B86" w:rsidRPr="00F86457">
              <w:rPr>
                <w:i/>
                <w:iCs/>
                <w:szCs w:val="22"/>
              </w:rPr>
              <w:t xml:space="preserve">stos no relativos al personal: </w:t>
            </w:r>
            <w:r w:rsidRPr="00F86457">
              <w:rPr>
                <w:i/>
                <w:iCs/>
                <w:szCs w:val="22"/>
              </w:rPr>
              <w:t>361.000 francos suizos</w:t>
            </w:r>
          </w:p>
          <w:p w:rsidR="00E82E38" w:rsidRPr="00F86457" w:rsidRDefault="00E82E38" w:rsidP="00043921">
            <w:pPr>
              <w:rPr>
                <w:szCs w:val="22"/>
              </w:rPr>
            </w:pPr>
          </w:p>
          <w:p w:rsidR="00E82E38" w:rsidRPr="00F86457" w:rsidRDefault="00E82E38" w:rsidP="00043921">
            <w:pPr>
              <w:rPr>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E82E38" w:rsidRPr="00F86457" w:rsidRDefault="00E82E38" w:rsidP="00043921">
            <w:pPr>
              <w:rPr>
                <w:szCs w:val="22"/>
              </w:rPr>
            </w:pPr>
            <w:r w:rsidRPr="00F86457">
              <w:br w:type="page"/>
            </w:r>
          </w:p>
          <w:p w:rsidR="00E82E38" w:rsidRPr="00F86457" w:rsidRDefault="00E82E38" w:rsidP="00043921">
            <w:pPr>
              <w:rPr>
                <w:bCs/>
                <w:iCs/>
                <w:szCs w:val="22"/>
              </w:rPr>
            </w:pPr>
            <w:r w:rsidRPr="00F86457">
              <w:t>2.</w:t>
            </w:r>
            <w:r w:rsidRPr="00F86457">
              <w:tab/>
              <w:t>DESCRIPCIÓN DEL PROYECTO</w:t>
            </w:r>
          </w:p>
          <w:p w:rsidR="00E82E38" w:rsidRPr="00F86457" w:rsidRDefault="00E82E38" w:rsidP="00043921">
            <w:pPr>
              <w:rPr>
                <w:b/>
                <w:bCs/>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shd w:val="clear" w:color="auto" w:fill="auto"/>
          </w:tcPr>
          <w:p w:rsidR="00E82E38" w:rsidRPr="00F86457" w:rsidRDefault="00E82E38" w:rsidP="00043921">
            <w:pPr>
              <w:rPr>
                <w:bCs/>
                <w:szCs w:val="22"/>
              </w:rPr>
            </w:pPr>
          </w:p>
          <w:p w:rsidR="00E82E38" w:rsidRPr="00F86457" w:rsidRDefault="00E82E38" w:rsidP="00043921">
            <w:pPr>
              <w:rPr>
                <w:bCs/>
                <w:szCs w:val="22"/>
              </w:rPr>
            </w:pPr>
            <w:r w:rsidRPr="00F86457">
              <w:t>2.1.</w:t>
            </w:r>
            <w:r w:rsidRPr="00F86457">
              <w:tab/>
            </w:r>
            <w:r w:rsidRPr="00F86457">
              <w:rPr>
                <w:bCs/>
                <w:szCs w:val="22"/>
                <w:u w:val="single"/>
              </w:rPr>
              <w:t>Introducción a la cuestión</w:t>
            </w:r>
            <w:r w:rsidRPr="00F86457">
              <w:t xml:space="preserve"> </w:t>
            </w:r>
          </w:p>
          <w:p w:rsidR="00E82E38" w:rsidRPr="00F86457" w:rsidRDefault="00E82E38" w:rsidP="00043921">
            <w:pPr>
              <w:rPr>
                <w:i/>
                <w:szCs w:val="22"/>
                <w:u w:val="single"/>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E82E38" w:rsidRPr="00F86457" w:rsidRDefault="00E82E38" w:rsidP="00043921">
            <w:pPr>
              <w:rPr>
                <w:bCs/>
                <w:szCs w:val="22"/>
              </w:rPr>
            </w:pPr>
            <w:r w:rsidRPr="00F86457">
              <w:t>Los teléfonos inteligentes y los servicios móviles de banda ancha han estimulado y democratizado el acceso a Internet en todo el mundo y han generado una elevada demanda de aplica</w:t>
            </w:r>
            <w:r w:rsidR="009D5B51" w:rsidRPr="00F86457">
              <w:t>ciones</w:t>
            </w:r>
            <w:r w:rsidR="005D15DB" w:rsidRPr="00F86457">
              <w:t xml:space="preserve"> móviles. </w:t>
            </w:r>
            <w:r w:rsidRPr="00F86457">
              <w:t xml:space="preserve">La innovación y el crecimiento de las tecnologías de la información y de las comunicaciones (TIC) y de diversos sectores económicos, como la banca y la agricultura, dependen cada vez más de </w:t>
            </w:r>
            <w:r w:rsidR="009D5B51" w:rsidRPr="00F86457">
              <w:t xml:space="preserve">las aplicaciones </w:t>
            </w:r>
            <w:r w:rsidRPr="00F86457">
              <w:t>móviles.</w:t>
            </w:r>
            <w:r w:rsidR="00E31B86" w:rsidRPr="00F86457">
              <w:t xml:space="preserve"> </w:t>
            </w:r>
            <w:r w:rsidRPr="00F86457">
              <w:t xml:space="preserve">Esa innovación tiene lugar en todo el mundo y brinda nuevas oportunidades a los creadores de </w:t>
            </w:r>
            <w:r w:rsidRPr="00F86457">
              <w:rPr>
                <w:i/>
                <w:iCs/>
              </w:rPr>
              <w:t>software</w:t>
            </w:r>
            <w:r w:rsidRPr="00F86457">
              <w:t xml:space="preserve"> y los empresari</w:t>
            </w:r>
            <w:r w:rsidR="005D15DB" w:rsidRPr="00F86457">
              <w:t>os de los países en desarrollo.</w:t>
            </w:r>
            <w:r w:rsidRPr="00F86457">
              <w:t xml:space="preserve"> Los gobiernos, en colaboración con la industria, han establecido centros de TIC para impulsar las interacciones entre creadores, instituciones académ</w:t>
            </w:r>
            <w:r w:rsidR="005D15DB" w:rsidRPr="00F86457">
              <w:t>icas, empresarios e inversores.</w:t>
            </w:r>
          </w:p>
          <w:p w:rsidR="00E82E38" w:rsidRPr="00F86457" w:rsidRDefault="00E82E38" w:rsidP="00043921">
            <w:pPr>
              <w:rPr>
                <w:bCs/>
                <w:szCs w:val="22"/>
              </w:rPr>
            </w:pPr>
            <w:r w:rsidRPr="00F86457">
              <w:lastRenderedPageBreak/>
              <w:t xml:space="preserve">Esta nueva dinámica está generando muchas oportunidades para que el sector del </w:t>
            </w:r>
            <w:r w:rsidRPr="00F86457">
              <w:rPr>
                <w:i/>
                <w:iCs/>
              </w:rPr>
              <w:t>software</w:t>
            </w:r>
            <w:r w:rsidRPr="00F86457">
              <w:t xml:space="preserve"> contribuya al desarrollo sostenible en todos los continentes, siempre que la creatividad, la innovación y la inversión se vean rec</w:t>
            </w:r>
            <w:r w:rsidR="005D15DB" w:rsidRPr="00F86457">
              <w:t xml:space="preserve">ompensadas económicamente. </w:t>
            </w:r>
            <w:r w:rsidRPr="00F86457">
              <w:t>El sistema de propiedad intelectual (PI) ofrece diversas herramientas que pueden ser fundamentales para la comercializació</w:t>
            </w:r>
            <w:r w:rsidR="009D5B51" w:rsidRPr="00F86457">
              <w:t>n de aplicaciones</w:t>
            </w:r>
            <w:r w:rsidRPr="00F86457">
              <w:t xml:space="preserve"> móviles, pero la combinación óptima de instrumentos depende del contexto.</w:t>
            </w:r>
            <w:r w:rsidR="005D15DB" w:rsidRPr="00F86457">
              <w:t xml:space="preserve"> </w:t>
            </w:r>
            <w:r w:rsidRPr="00F86457">
              <w:t xml:space="preserve">Las partes interesadas en el sector del </w:t>
            </w:r>
            <w:r w:rsidRPr="00F86457">
              <w:rPr>
                <w:i/>
                <w:iCs/>
              </w:rPr>
              <w:t>software</w:t>
            </w:r>
            <w:r w:rsidRPr="00F86457">
              <w:t xml:space="preserve"> suelen carecer de información y conocimientos sobre las herramientas de PI dis</w:t>
            </w:r>
            <w:r w:rsidR="00E31B86" w:rsidRPr="00F86457">
              <w:t xml:space="preserve">ponibles y cómo aprovecharlas. </w:t>
            </w:r>
            <w:r w:rsidRPr="00F86457">
              <w:t xml:space="preserve">Por lo tanto, la utilización eficaz del sistema de PI en apoyo </w:t>
            </w:r>
            <w:r w:rsidR="009D5B51" w:rsidRPr="00F86457">
              <w:t xml:space="preserve">de las aplicaciones </w:t>
            </w:r>
            <w:r w:rsidRPr="00F86457">
              <w:t>móviles sigue siendo un reto</w:t>
            </w:r>
            <w:r w:rsidR="005D15DB" w:rsidRPr="00F86457">
              <w:t xml:space="preserve"> en muchos mercados emergentes.</w:t>
            </w:r>
          </w:p>
          <w:p w:rsidR="00E82E38" w:rsidRPr="00F86457" w:rsidRDefault="00E82E38" w:rsidP="00043921">
            <w:pPr>
              <w:rPr>
                <w:bCs/>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E82E38" w:rsidRPr="00F86457" w:rsidRDefault="00E82E38" w:rsidP="00043921">
            <w:pPr>
              <w:rPr>
                <w:bCs/>
                <w:iCs/>
                <w:szCs w:val="22"/>
              </w:rPr>
            </w:pPr>
          </w:p>
          <w:p w:rsidR="00E82E38" w:rsidRPr="00F86457" w:rsidRDefault="00E82E38" w:rsidP="00043921">
            <w:pPr>
              <w:rPr>
                <w:bCs/>
                <w:iCs/>
                <w:szCs w:val="22"/>
              </w:rPr>
            </w:pPr>
            <w:r w:rsidRPr="00F86457">
              <w:t xml:space="preserve">2.2. </w:t>
            </w:r>
            <w:r w:rsidRPr="00F86457">
              <w:tab/>
            </w:r>
            <w:r w:rsidRPr="00F86457">
              <w:rPr>
                <w:bCs/>
                <w:iCs/>
                <w:szCs w:val="22"/>
                <w:u w:val="single"/>
              </w:rPr>
              <w:t>Objetivos</w:t>
            </w:r>
          </w:p>
          <w:p w:rsidR="00E82E38" w:rsidRPr="00F86457" w:rsidRDefault="00E82E38" w:rsidP="00043921">
            <w:pPr>
              <w:rPr>
                <w:i/>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84"/>
        </w:trPr>
        <w:tc>
          <w:tcPr>
            <w:tcW w:w="9288" w:type="dxa"/>
            <w:gridSpan w:val="3"/>
            <w:shd w:val="clear" w:color="auto" w:fill="auto"/>
          </w:tcPr>
          <w:p w:rsidR="00E82E38" w:rsidRPr="00F86457" w:rsidRDefault="00E82E38" w:rsidP="00043921">
            <w:pPr>
              <w:rPr>
                <w:szCs w:val="22"/>
              </w:rPr>
            </w:pPr>
            <w:r w:rsidRPr="00F86457">
              <w:t>La finalidad del proyecto es la consecución del objetivo general y de los objetivos más específicos que figuran a continuación teniendo en cuenta las recomendaciones 11, 23, 24 y 27 de la Agenda para el Desarrollo:</w:t>
            </w:r>
          </w:p>
          <w:p w:rsidR="00E82E38" w:rsidRPr="00F86457" w:rsidRDefault="00E82E38" w:rsidP="00043921">
            <w:pPr>
              <w:rPr>
                <w:szCs w:val="22"/>
              </w:rPr>
            </w:pPr>
          </w:p>
          <w:p w:rsidR="00E82E38" w:rsidRPr="00F86457" w:rsidRDefault="00E82E38" w:rsidP="00043921">
            <w:pPr>
              <w:rPr>
                <w:szCs w:val="22"/>
              </w:rPr>
            </w:pPr>
            <w:r w:rsidRPr="00F86457">
              <w:rPr>
                <w:u w:val="single"/>
              </w:rPr>
              <w:t>Objetivo general</w:t>
            </w:r>
            <w:r w:rsidRPr="00F86457">
              <w:t>:</w:t>
            </w:r>
          </w:p>
          <w:p w:rsidR="00E82E38" w:rsidRPr="00F86457" w:rsidRDefault="00E82E38" w:rsidP="00043921">
            <w:pPr>
              <w:rPr>
                <w:szCs w:val="22"/>
              </w:rPr>
            </w:pPr>
          </w:p>
          <w:p w:rsidR="00E82E38" w:rsidRPr="00F86457" w:rsidRDefault="00E82E38" w:rsidP="00043921">
            <w:pPr>
              <w:rPr>
                <w:szCs w:val="22"/>
              </w:rPr>
            </w:pPr>
            <w:r w:rsidRPr="00F86457">
              <w:t xml:space="preserve">Contribuir al desarrollo económico de tres países intensificando el uso de la PI en el sector del </w:t>
            </w:r>
            <w:r w:rsidRPr="00F86457">
              <w:rPr>
                <w:i/>
                <w:iCs/>
              </w:rPr>
              <w:t>software</w:t>
            </w:r>
            <w:r w:rsidR="009D5B51" w:rsidRPr="00F86457">
              <w:t>, entre otras medidas mediante la puesta</w:t>
            </w:r>
            <w:r w:rsidRPr="00F86457">
              <w:t xml:space="preserve"> a disposición </w:t>
            </w:r>
            <w:r w:rsidR="009D5B51" w:rsidRPr="00F86457">
              <w:t xml:space="preserve">de </w:t>
            </w:r>
            <w:r w:rsidRPr="00F86457">
              <w:t>herramientas que también podrían utilizarse en otros países.</w:t>
            </w:r>
          </w:p>
          <w:p w:rsidR="00E82E38" w:rsidRPr="00F86457" w:rsidRDefault="00E82E38" w:rsidP="00043921">
            <w:pPr>
              <w:rPr>
                <w:szCs w:val="22"/>
              </w:rPr>
            </w:pPr>
          </w:p>
          <w:p w:rsidR="00E82E38" w:rsidRPr="00F86457" w:rsidRDefault="00E82E38" w:rsidP="00043921">
            <w:pPr>
              <w:rPr>
                <w:szCs w:val="22"/>
              </w:rPr>
            </w:pPr>
            <w:r w:rsidRPr="00F86457">
              <w:rPr>
                <w:u w:val="single"/>
              </w:rPr>
              <w:t>Objetivos específicos</w:t>
            </w:r>
            <w:r w:rsidRPr="00F86457">
              <w:t>:</w:t>
            </w:r>
          </w:p>
          <w:p w:rsidR="00E82E38" w:rsidRPr="00F86457" w:rsidRDefault="00E82E38" w:rsidP="00043921">
            <w:pPr>
              <w:rPr>
                <w:szCs w:val="22"/>
              </w:rPr>
            </w:pPr>
          </w:p>
          <w:p w:rsidR="00E82E38" w:rsidRPr="00F86457" w:rsidRDefault="00E82E38" w:rsidP="00043921">
            <w:pPr>
              <w:rPr>
                <w:szCs w:val="22"/>
              </w:rPr>
            </w:pPr>
            <w:r w:rsidRPr="00F86457">
              <w:t>Potenciar la intensificación del uso de la PI en apoyo de</w:t>
            </w:r>
            <w:r w:rsidR="009D5B51" w:rsidRPr="00F86457">
              <w:t xml:space="preserve"> las aplicaciones</w:t>
            </w:r>
            <w:r w:rsidRPr="00F86457">
              <w:t xml:space="preserve"> móviles mediante la formación de investigadores, cread</w:t>
            </w:r>
            <w:r w:rsidR="001E5AAA" w:rsidRPr="00F86457">
              <w:t>ores y emprendedores en relación con</w:t>
            </w:r>
            <w:r w:rsidRPr="00F86457">
              <w:t xml:space="preserve"> la gama de he</w:t>
            </w:r>
            <w:r w:rsidR="001E5AAA" w:rsidRPr="00F86457">
              <w:t>rramientas de PI disponibles y</w:t>
            </w:r>
            <w:r w:rsidRPr="00F86457">
              <w:t xml:space="preserve"> la manera de utilizar esas herramientas para respaldar actividades conexas.</w:t>
            </w:r>
          </w:p>
          <w:p w:rsidR="00E82E38" w:rsidRPr="00F86457" w:rsidRDefault="00E82E38" w:rsidP="00043921">
            <w:pPr>
              <w:rPr>
                <w:szCs w:val="22"/>
              </w:rPr>
            </w:pPr>
          </w:p>
          <w:p w:rsidR="00E82E38" w:rsidRPr="00F86457" w:rsidRDefault="00E82E38" w:rsidP="00043921">
            <w:pPr>
              <w:rPr>
                <w:szCs w:val="22"/>
              </w:rPr>
            </w:pPr>
            <w:r w:rsidRPr="00F86457">
              <w:t>Sensibilizar a los empresarios, las instituciones financieras, los agentes de capital de riesgo y otros inversores sobre la utilización de la PI como un activo y un instrum</w:t>
            </w:r>
            <w:r w:rsidR="001E5AAA" w:rsidRPr="00F86457">
              <w:t>ento de colaboración, incidiendo en</w:t>
            </w:r>
            <w:r w:rsidRPr="00F86457">
              <w:t xml:space="preserve"> el intercambio de conocimientos y experiencias.</w:t>
            </w:r>
          </w:p>
          <w:p w:rsidR="00E82E38" w:rsidRPr="00F86457" w:rsidRDefault="00E82E38" w:rsidP="00043921">
            <w:pPr>
              <w:rPr>
                <w:szCs w:val="22"/>
              </w:rPr>
            </w:pPr>
          </w:p>
          <w:p w:rsidR="00E82E38" w:rsidRPr="00F86457" w:rsidRDefault="00E82E38" w:rsidP="00043921">
            <w:pPr>
              <w:rPr>
                <w:szCs w:val="22"/>
              </w:rPr>
            </w:pPr>
            <w:r w:rsidRPr="00F86457">
              <w:t xml:space="preserve">Fomentar el respeto por la PI en el sector del </w:t>
            </w:r>
            <w:r w:rsidRPr="00F86457">
              <w:rPr>
                <w:i/>
                <w:iCs/>
              </w:rPr>
              <w:t>software</w:t>
            </w:r>
            <w:r w:rsidRPr="00F86457">
              <w:t xml:space="preserve"> ofreciendo formación a investigadores, creadores y empresarios sobre herramientas y procedimientos destinados a proteger eficazmente los derechos de PI en las</w:t>
            </w:r>
            <w:r w:rsidR="009D5B51" w:rsidRPr="00F86457">
              <w:t xml:space="preserve"> aplicaciones</w:t>
            </w:r>
            <w:r w:rsidRPr="00F86457">
              <w:t xml:space="preserve"> móviles, incluid</w:t>
            </w:r>
            <w:r w:rsidR="005D15DB" w:rsidRPr="00F86457">
              <w:t>os la mediación y el arbitraje.</w:t>
            </w:r>
            <w:r w:rsidRPr="00F86457">
              <w:br/>
            </w: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E82E38" w:rsidRPr="00F86457" w:rsidRDefault="00E82E38" w:rsidP="00043921">
            <w:pPr>
              <w:rPr>
                <w:szCs w:val="22"/>
              </w:rPr>
            </w:pPr>
          </w:p>
          <w:p w:rsidR="00E82E38" w:rsidRPr="00F86457" w:rsidRDefault="00E82E38" w:rsidP="00043921">
            <w:pPr>
              <w:rPr>
                <w:i/>
                <w:szCs w:val="22"/>
              </w:rPr>
            </w:pPr>
            <w:r w:rsidRPr="00F86457">
              <w:t>2.3.</w:t>
            </w:r>
            <w:r w:rsidRPr="00F86457">
              <w:tab/>
            </w:r>
            <w:r w:rsidRPr="00F86457">
              <w:rPr>
                <w:bCs/>
                <w:szCs w:val="22"/>
                <w:u w:val="single"/>
              </w:rPr>
              <w:t>Estrategia de ejecución</w:t>
            </w:r>
          </w:p>
          <w:p w:rsidR="00E82E38" w:rsidRPr="00F86457" w:rsidRDefault="00E82E38" w:rsidP="00043921">
            <w:pPr>
              <w:rPr>
                <w:i/>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shd w:val="clear" w:color="auto" w:fill="auto"/>
          </w:tcPr>
          <w:p w:rsidR="00E82E38" w:rsidRPr="00F86457" w:rsidRDefault="00E82E38" w:rsidP="00043921">
            <w:pPr>
              <w:rPr>
                <w:bCs/>
                <w:szCs w:val="22"/>
              </w:rPr>
            </w:pPr>
          </w:p>
          <w:p w:rsidR="00E82E38" w:rsidRPr="00F86457" w:rsidRDefault="00E82E38" w:rsidP="00043921">
            <w:pPr>
              <w:rPr>
                <w:szCs w:val="22"/>
              </w:rPr>
            </w:pPr>
            <w:r w:rsidRPr="00F86457">
              <w:t xml:space="preserve">A. </w:t>
            </w:r>
            <w:r w:rsidRPr="00F86457">
              <w:rPr>
                <w:szCs w:val="22"/>
                <w:u w:val="single"/>
              </w:rPr>
              <w:t>Alcance</w:t>
            </w:r>
          </w:p>
          <w:p w:rsidR="00E82E38" w:rsidRPr="00F86457" w:rsidRDefault="00E82E38" w:rsidP="00043921">
            <w:pPr>
              <w:rPr>
                <w:szCs w:val="22"/>
              </w:rPr>
            </w:pPr>
          </w:p>
          <w:p w:rsidR="00E82E38" w:rsidRPr="00F86457" w:rsidRDefault="00E82E38" w:rsidP="00043921">
            <w:pPr>
              <w:rPr>
                <w:bCs/>
                <w:szCs w:val="22"/>
              </w:rPr>
            </w:pPr>
            <w:r w:rsidRPr="00F86457">
              <w:t>El proyecto se ejecutará en tres países piloto.</w:t>
            </w:r>
            <w:r w:rsidRPr="00F86457">
              <w:br/>
            </w:r>
          </w:p>
          <w:p w:rsidR="00E82E38" w:rsidRPr="00F86457" w:rsidRDefault="00E82E38" w:rsidP="00043921">
            <w:pPr>
              <w:rPr>
                <w:bCs/>
                <w:szCs w:val="22"/>
              </w:rPr>
            </w:pPr>
            <w:r w:rsidRPr="00F86457">
              <w:t xml:space="preserve">Los Estados miembros interesados en participar en el proyecto deberán analizar su actual situación en lo que respecta a la PI en el sector del </w:t>
            </w:r>
            <w:r w:rsidRPr="00F86457">
              <w:rPr>
                <w:i/>
                <w:iCs/>
              </w:rPr>
              <w:t>software</w:t>
            </w:r>
            <w:r w:rsidRPr="00F86457">
              <w:t>, especialmente las aplicaciones móviles, los centros de TIC y la colaboración con las ins</w:t>
            </w:r>
            <w:r w:rsidR="001E5AAA" w:rsidRPr="00F86457">
              <w:t>tituciones de investigación.</w:t>
            </w:r>
          </w:p>
          <w:p w:rsidR="00E82E38" w:rsidRPr="00F86457" w:rsidRDefault="00E82E38" w:rsidP="00043921">
            <w:pPr>
              <w:rPr>
                <w:bCs/>
                <w:szCs w:val="22"/>
              </w:rPr>
            </w:pPr>
          </w:p>
          <w:p w:rsidR="00E82E38" w:rsidRPr="00F86457" w:rsidRDefault="00E82E38" w:rsidP="00043921">
            <w:pPr>
              <w:rPr>
                <w:bCs/>
                <w:szCs w:val="22"/>
              </w:rPr>
            </w:pPr>
            <w:r w:rsidRPr="00F86457">
              <w:t xml:space="preserve">B. </w:t>
            </w:r>
            <w:r w:rsidRPr="00F86457">
              <w:rPr>
                <w:bCs/>
                <w:szCs w:val="22"/>
                <w:u w:val="single"/>
              </w:rPr>
              <w:t>Criterios para la selección de los países beneficiarios</w:t>
            </w:r>
          </w:p>
          <w:p w:rsidR="00E82E38" w:rsidRPr="00F86457" w:rsidRDefault="00E82E38" w:rsidP="00043921">
            <w:pPr>
              <w:rPr>
                <w:bCs/>
                <w:szCs w:val="22"/>
              </w:rPr>
            </w:pPr>
          </w:p>
          <w:p w:rsidR="00E82E38" w:rsidRPr="00F86457" w:rsidRDefault="00E82E38" w:rsidP="00043921">
            <w:pPr>
              <w:rPr>
                <w:bCs/>
                <w:szCs w:val="22"/>
              </w:rPr>
            </w:pPr>
            <w:r w:rsidRPr="00F86457">
              <w:t>Los Estados miembros interesados deberán designar un coordinador y una de las principales instituciones d</w:t>
            </w:r>
            <w:r w:rsidR="001E5AAA" w:rsidRPr="00F86457">
              <w:t>e su país en la materia</w:t>
            </w:r>
            <w:r w:rsidRPr="00F86457">
              <w:t xml:space="preserve">, por ejemplo, un funcionario de la oficina de </w:t>
            </w:r>
            <w:r w:rsidRPr="00F86457">
              <w:lastRenderedPageBreak/>
              <w:t>derecho de autor o de la de PI, que debe facilitar información preliminar sobre las siguientes cuestiones:</w:t>
            </w:r>
          </w:p>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Situación actual del sector local de las aplicaciones móviles (a ser posible, complementada con experiencias exitosas y datos económicos y estadísticos);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Manifestación de interés por parte del sector local de las aplicaciones móviles (preferiblemente por parte de una asociación comercial sólidamente establecida de aplicaciones móviles/</w:t>
            </w:r>
            <w:r w:rsidRPr="00F86457">
              <w:rPr>
                <w:rFonts w:ascii="Arial" w:hAnsi="Arial"/>
                <w:bCs/>
                <w:i/>
                <w:iCs/>
              </w:rPr>
              <w:t>software</w:t>
            </w:r>
            <w:r w:rsidRPr="00F86457">
              <w:rPr>
                <w:rFonts w:ascii="Arial" w:hAnsi="Arial"/>
                <w:bCs/>
              </w:rPr>
              <w:t>);</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Disponibilidad y/o falta de herramientas de PI para proteger las aplicaciones móviles en virtud del marco jurídico nacional;</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 xml:space="preserve">Utilización actual de las herramientas de PI identificadas en el sector local del </w:t>
            </w:r>
            <w:r w:rsidRPr="00F86457">
              <w:rPr>
                <w:rFonts w:ascii="Arial" w:hAnsi="Arial"/>
                <w:bCs/>
                <w:i/>
                <w:iCs/>
              </w:rPr>
              <w:t>software</w:t>
            </w:r>
            <w:r w:rsidRPr="00F86457">
              <w:rPr>
                <w:rFonts w:ascii="Arial" w:hAnsi="Arial"/>
                <w:bCs/>
              </w:rPr>
              <w:t>;</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Detalles específicos relativos a las insuficiencias y las dificultades habituales que debe abordar el proyecto;</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Resultados previstos de la ejecución del proyecto;</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Compromiso y estrategia para incorporar los resultados del proyecto;</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 xml:space="preserve">Posibilidad de actuar como gran entidad local en el uso de la PI en el sector del </w:t>
            </w:r>
            <w:r w:rsidRPr="00F86457">
              <w:rPr>
                <w:rFonts w:ascii="Arial" w:hAnsi="Arial"/>
                <w:bCs/>
                <w:i/>
                <w:iCs/>
              </w:rPr>
              <w:t>software</w:t>
            </w:r>
            <w:r w:rsidRPr="00F86457">
              <w:rPr>
                <w:rFonts w:ascii="Arial" w:hAnsi="Arial"/>
                <w:bCs/>
              </w:rPr>
              <w:t xml:space="preserve"> </w:t>
            </w:r>
            <w:r w:rsidR="001E5AAA" w:rsidRPr="00F86457">
              <w:rPr>
                <w:rFonts w:ascii="Arial" w:hAnsi="Arial"/>
                <w:bCs/>
              </w:rPr>
              <w:t>y voluntad de contribuir aplica</w:t>
            </w:r>
            <w:r w:rsidRPr="00F86457">
              <w:rPr>
                <w:rFonts w:ascii="Arial" w:hAnsi="Arial"/>
                <w:bCs/>
              </w:rPr>
              <w:t>ndo conclusiones y herramientas en otros Estados miembros;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Presencia de centros locales de TIC y servicios de videoconferencia.</w:t>
            </w:r>
          </w:p>
          <w:p w:rsidR="00E82E38" w:rsidRPr="00F86457" w:rsidRDefault="00E82E38" w:rsidP="00043921">
            <w:pPr>
              <w:rPr>
                <w:bCs/>
                <w:szCs w:val="22"/>
              </w:rPr>
            </w:pPr>
          </w:p>
          <w:p w:rsidR="00E82E38" w:rsidRPr="00F86457" w:rsidRDefault="00E82E38" w:rsidP="00043921">
            <w:pPr>
              <w:rPr>
                <w:bCs/>
                <w:szCs w:val="22"/>
              </w:rPr>
            </w:pPr>
            <w:r w:rsidRPr="00F86457">
              <w:t xml:space="preserve">C. </w:t>
            </w:r>
            <w:r w:rsidRPr="00F86457">
              <w:rPr>
                <w:bCs/>
                <w:szCs w:val="22"/>
                <w:u w:val="single"/>
              </w:rPr>
              <w:t>Estudio exploratorio</w:t>
            </w:r>
          </w:p>
          <w:p w:rsidR="00E82E38" w:rsidRPr="00F86457" w:rsidRDefault="00E82E38" w:rsidP="00043921">
            <w:pPr>
              <w:rPr>
                <w:bCs/>
                <w:szCs w:val="22"/>
              </w:rPr>
            </w:pPr>
          </w:p>
          <w:p w:rsidR="00E82E38" w:rsidRPr="00F86457" w:rsidRDefault="00E82E38" w:rsidP="00043921">
            <w:pPr>
              <w:rPr>
                <w:bCs/>
                <w:szCs w:val="22"/>
              </w:rPr>
            </w:pPr>
            <w:r w:rsidRPr="00F86457">
              <w:t xml:space="preserve">Una vez seleccionados los tres países, se llevará a cabo un estudio exploratorio para evaluar con detenimiento la situación en cada uno de los países participantes y para informar sobre las actividades, los aportes concretos y los objetivos del proyecto. El mandato del estudio </w:t>
            </w:r>
            <w:r w:rsidR="005D15DB" w:rsidRPr="00F86457">
              <w:t>exploratorio será el siguiente:</w:t>
            </w:r>
          </w:p>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Evaluar el tamaño y las características del sector de las aplicaciones móviles en los tres países beneficiarios del proyecto;</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Detallar la disponibilidad y el uso de herramientas de PI para proteger las aplicaciones móviles en los tres países beneficiarios del proyecto;</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 xml:space="preserve">Especificar todo uso de la PI en el sector del </w:t>
            </w:r>
            <w:r w:rsidRPr="00F86457">
              <w:rPr>
                <w:rFonts w:ascii="Arial" w:hAnsi="Arial"/>
                <w:bCs/>
                <w:i/>
                <w:iCs/>
              </w:rPr>
              <w:t>software</w:t>
            </w:r>
            <w:r w:rsidRPr="00F86457">
              <w:rPr>
                <w:rFonts w:ascii="Arial" w:hAnsi="Arial"/>
                <w:bCs/>
              </w:rPr>
              <w:t xml:space="preserve"> como medio para obtener capital y asegurar la inversión;</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 xml:space="preserve">Describir la colaboración del sector del </w:t>
            </w:r>
            <w:r w:rsidRPr="00F86457">
              <w:rPr>
                <w:rFonts w:ascii="Arial" w:hAnsi="Arial"/>
                <w:bCs/>
                <w:i/>
                <w:iCs/>
              </w:rPr>
              <w:t>software</w:t>
            </w:r>
            <w:r w:rsidRPr="00F86457">
              <w:rPr>
                <w:rFonts w:ascii="Arial" w:hAnsi="Arial"/>
                <w:bCs/>
              </w:rPr>
              <w:t xml:space="preserve"> con instituciones de investigación y centros de TIC en los tres países beneficiarios del proyecto, así como el papel que desempeña la PI en esos países;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 xml:space="preserve">Evaluar la disponibilidad de financiación local y extranjera basada en la PI y de mecanismos de colaboración para el sector del </w:t>
            </w:r>
            <w:r w:rsidRPr="00F86457">
              <w:rPr>
                <w:rFonts w:ascii="Arial" w:hAnsi="Arial"/>
                <w:bCs/>
                <w:i/>
                <w:iCs/>
              </w:rPr>
              <w:t>software</w:t>
            </w:r>
            <w:r w:rsidRPr="00F86457">
              <w:rPr>
                <w:rFonts w:ascii="Arial" w:hAnsi="Arial"/>
                <w:bCs/>
              </w:rPr>
              <w:t xml:space="preserve"> en los tres países beneficiarios;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Investigar estudios o iniciativas recientes o en curso en otras organizaciones intergubernamentales, en particular la Organización Regional Africana de la Propiedad Intelectual (ARIPO) y la Unión Internacional de Telecomunicaciones (UIT), que podrían crear sinergias en el seno del proyecto o enriquecerlo;</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 xml:space="preserve">Sobre la base de investigaciones documentales y entrevistas con las partes interesadas de los tres países beneficiarios, evaluar los retos y las necesidades del sector local del </w:t>
            </w:r>
            <w:r w:rsidRPr="00F86457">
              <w:rPr>
                <w:rFonts w:ascii="Arial" w:hAnsi="Arial"/>
                <w:bCs/>
                <w:i/>
                <w:iCs/>
              </w:rPr>
              <w:t>software</w:t>
            </w:r>
            <w:r w:rsidRPr="00F86457">
              <w:rPr>
                <w:rFonts w:ascii="Arial" w:hAnsi="Arial"/>
                <w:bCs/>
              </w:rPr>
              <w:t xml:space="preserve"> para intensificar el uso de la propiedad intelectual en apoyo de las aplicaciones móviles; En consulta con los países beneficiarios del proyecto y la Secretaría de la OMPI, proponer actividades específicas en cada uno de los países beneficiarios para ejecutar el proyecto y lograr los resultados esperados;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Determinar indicadores de referencia para evaluar los efectos generales del proyecto en los tres países beneficiarios uno, tres y cinco años después de su culminación.</w:t>
            </w:r>
          </w:p>
          <w:p w:rsidR="00E82E38" w:rsidRDefault="00E82E38" w:rsidP="00043921">
            <w:pPr>
              <w:rPr>
                <w:bCs/>
                <w:szCs w:val="22"/>
              </w:rPr>
            </w:pPr>
          </w:p>
          <w:p w:rsidR="001B4AC0" w:rsidRDefault="001B4AC0" w:rsidP="00043921">
            <w:pPr>
              <w:rPr>
                <w:bCs/>
                <w:szCs w:val="22"/>
              </w:rPr>
            </w:pPr>
          </w:p>
          <w:p w:rsidR="001B4AC0" w:rsidRPr="00F86457" w:rsidRDefault="001B4AC0" w:rsidP="00043921">
            <w:pPr>
              <w:rPr>
                <w:bCs/>
                <w:szCs w:val="22"/>
              </w:rPr>
            </w:pPr>
          </w:p>
          <w:p w:rsidR="00E82E38" w:rsidRPr="00F86457" w:rsidRDefault="00E82E38" w:rsidP="00043921">
            <w:pPr>
              <w:rPr>
                <w:bCs/>
                <w:szCs w:val="22"/>
              </w:rPr>
            </w:pPr>
            <w:r w:rsidRPr="00F86457">
              <w:lastRenderedPageBreak/>
              <w:t xml:space="preserve">D. </w:t>
            </w:r>
            <w:r w:rsidRPr="00F86457">
              <w:rPr>
                <w:bCs/>
                <w:szCs w:val="22"/>
                <w:u w:val="single"/>
              </w:rPr>
              <w:t>Actividades y aportes concretos</w:t>
            </w:r>
          </w:p>
          <w:p w:rsidR="00E82E38" w:rsidRPr="00F86457" w:rsidRDefault="00E82E38" w:rsidP="00043921">
            <w:pPr>
              <w:rPr>
                <w:bCs/>
                <w:szCs w:val="22"/>
              </w:rPr>
            </w:pPr>
          </w:p>
          <w:p w:rsidR="00E82E38" w:rsidRPr="00F86457" w:rsidRDefault="00E82E38" w:rsidP="00043921">
            <w:pPr>
              <w:rPr>
                <w:bCs/>
                <w:szCs w:val="22"/>
              </w:rPr>
            </w:pPr>
            <w:r w:rsidRPr="00F86457">
              <w:t>Se llevarán a cabo las siguientes actividades –supeditadas a su perfeccionamiento una vez terminado el estudio exploratorio– y se obtendrán los aportes concre</w:t>
            </w:r>
            <w:r w:rsidR="001E5AAA" w:rsidRPr="00F86457">
              <w:t>tos que figuran a continuación:</w:t>
            </w:r>
          </w:p>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Edición y traducción de la publicación prevista de la OMPI sobre la PI y las aplicaciones móviles;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Tipología de los diversos derechos de PI pertinentes para proteger las aplicaciones móviles, incluidos, en su caso, los derechos de autor, las patentes, los modelos de utilidad, las marcas, los dibujos y modelos y los secretos comerciales;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Módulo de formación sobre la función de la PI en el desarrollo y la comercialización d</w:t>
            </w:r>
            <w:r w:rsidR="00B14514" w:rsidRPr="00F86457">
              <w:rPr>
                <w:rFonts w:ascii="Arial" w:hAnsi="Arial"/>
                <w:bCs/>
              </w:rPr>
              <w:t>e aplicaciones móviles (que abordará, entre otras cosas,</w:t>
            </w:r>
            <w:r w:rsidRPr="00F86457">
              <w:rPr>
                <w:rFonts w:ascii="Arial" w:hAnsi="Arial"/>
                <w:bCs/>
              </w:rPr>
              <w:t xml:space="preserve"> el acceso a la información de terceros y la utilización de materia protegida perteneci</w:t>
            </w:r>
            <w:r w:rsidR="00B14514" w:rsidRPr="00F86457">
              <w:rPr>
                <w:rFonts w:ascii="Arial" w:hAnsi="Arial"/>
                <w:bCs/>
              </w:rPr>
              <w:t xml:space="preserve">ente a terceros, así como la forma en que </w:t>
            </w:r>
            <w:r w:rsidRPr="00F86457">
              <w:rPr>
                <w:rFonts w:ascii="Arial" w:hAnsi="Arial"/>
                <w:bCs/>
              </w:rPr>
              <w:t>puede utilizarse</w:t>
            </w:r>
            <w:r w:rsidR="00B14514" w:rsidRPr="00F86457">
              <w:rPr>
                <w:rFonts w:ascii="Arial" w:hAnsi="Arial"/>
                <w:bCs/>
              </w:rPr>
              <w:t xml:space="preserve"> la PI</w:t>
            </w:r>
            <w:r w:rsidRPr="00F86457">
              <w:rPr>
                <w:rFonts w:ascii="Arial" w:hAnsi="Arial"/>
                <w:bCs/>
              </w:rPr>
              <w:t xml:space="preserve"> como medio para obtener capital y asegurar las inversiones);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Módulo de formación sobre los principales contratos en el sector de las aplicaciones móviles, incluidos los contratos de licencia celebrados con el usuario final y los contratos suscritos con desarrolladores de aplicaciones;</w:t>
            </w:r>
          </w:p>
          <w:p w:rsidR="00E82E38" w:rsidRPr="00F86457" w:rsidRDefault="00B14514" w:rsidP="00E82E38">
            <w:pPr>
              <w:pStyle w:val="ListParagraph"/>
              <w:numPr>
                <w:ilvl w:val="0"/>
                <w:numId w:val="7"/>
              </w:numPr>
              <w:spacing w:after="0" w:line="240" w:lineRule="auto"/>
              <w:rPr>
                <w:rFonts w:ascii="Arial" w:hAnsi="Arial" w:cs="Arial"/>
                <w:bCs/>
              </w:rPr>
            </w:pPr>
            <w:r w:rsidRPr="00F86457">
              <w:rPr>
                <w:rFonts w:ascii="Arial" w:hAnsi="Arial"/>
                <w:bCs/>
              </w:rPr>
              <w:t>M</w:t>
            </w:r>
            <w:r w:rsidR="00E82E38" w:rsidRPr="00F86457">
              <w:rPr>
                <w:rFonts w:ascii="Arial" w:hAnsi="Arial"/>
                <w:bCs/>
              </w:rPr>
              <w:t>ódulos de formación</w:t>
            </w:r>
            <w:r w:rsidRPr="00F86457">
              <w:rPr>
                <w:rFonts w:ascii="Arial" w:hAnsi="Arial"/>
                <w:bCs/>
              </w:rPr>
              <w:t xml:space="preserve"> </w:t>
            </w:r>
            <w:r w:rsidR="00E82E38" w:rsidRPr="00F86457">
              <w:rPr>
                <w:rFonts w:ascii="Arial" w:hAnsi="Arial"/>
                <w:bCs/>
              </w:rPr>
              <w:t xml:space="preserve">sobre mediación y arbitraje en el sector del </w:t>
            </w:r>
            <w:r w:rsidR="00E82E38" w:rsidRPr="00F86457">
              <w:rPr>
                <w:rFonts w:ascii="Arial" w:hAnsi="Arial"/>
                <w:bCs/>
                <w:i/>
                <w:iCs/>
              </w:rPr>
              <w:t>software</w:t>
            </w:r>
            <w:r w:rsidRPr="00F86457">
              <w:rPr>
                <w:rFonts w:ascii="Arial" w:hAnsi="Arial"/>
                <w:bCs/>
              </w:rPr>
              <w:t xml:space="preserve">, que se elaborarán </w:t>
            </w:r>
            <w:r w:rsidR="00E82E38" w:rsidRPr="00F86457">
              <w:rPr>
                <w:rFonts w:ascii="Arial" w:hAnsi="Arial"/>
                <w:bCs/>
              </w:rPr>
              <w:t>en cooperación con el Centro de Arbitraje y Mediación de la OMPI (uno para desarrolladores de aplicaciones móviles y empresarios y un curso de nivel más avanzado dirigido a abogados y funcionarios públicos);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 xml:space="preserve">Diálogo interactivo entre las partes interesadas del sector del </w:t>
            </w:r>
            <w:r w:rsidRPr="00F86457">
              <w:rPr>
                <w:rFonts w:ascii="Arial" w:hAnsi="Arial"/>
                <w:bCs/>
                <w:i/>
                <w:iCs/>
              </w:rPr>
              <w:t>software</w:t>
            </w:r>
            <w:r w:rsidRPr="00F86457">
              <w:rPr>
                <w:rFonts w:ascii="Arial" w:hAnsi="Arial"/>
                <w:bCs/>
              </w:rPr>
              <w:t xml:space="preserve"> y las instituciones financieras, los agentes de capital de riesgo y otros inversores de los tres países beneficiarios;</w:t>
            </w:r>
          </w:p>
          <w:p w:rsidR="00E82E38" w:rsidRPr="00F86457" w:rsidRDefault="00B14514" w:rsidP="00E82E38">
            <w:pPr>
              <w:pStyle w:val="ListParagraph"/>
              <w:numPr>
                <w:ilvl w:val="0"/>
                <w:numId w:val="7"/>
              </w:numPr>
              <w:spacing w:after="0" w:line="240" w:lineRule="auto"/>
              <w:rPr>
                <w:rFonts w:ascii="Arial" w:hAnsi="Arial" w:cs="Arial"/>
                <w:bCs/>
              </w:rPr>
            </w:pPr>
            <w:r w:rsidRPr="00F86457">
              <w:rPr>
                <w:rFonts w:ascii="Arial" w:hAnsi="Arial"/>
                <w:bCs/>
              </w:rPr>
              <w:t>V</w:t>
            </w:r>
            <w:r w:rsidR="00E82E38" w:rsidRPr="00F86457">
              <w:rPr>
                <w:rFonts w:ascii="Arial" w:hAnsi="Arial"/>
                <w:bCs/>
              </w:rPr>
              <w:t>ideoconferencia</w:t>
            </w:r>
            <w:r w:rsidRPr="00F86457">
              <w:rPr>
                <w:rFonts w:ascii="Arial" w:hAnsi="Arial"/>
                <w:bCs/>
              </w:rPr>
              <w:t>s para poner en contacto</w:t>
            </w:r>
            <w:r w:rsidR="00E82E38" w:rsidRPr="00F86457">
              <w:rPr>
                <w:rFonts w:ascii="Arial" w:hAnsi="Arial"/>
                <w:bCs/>
              </w:rPr>
              <w:t xml:space="preserve"> los centros de TIC d</w:t>
            </w:r>
            <w:r w:rsidRPr="00F86457">
              <w:rPr>
                <w:rFonts w:ascii="Arial" w:hAnsi="Arial"/>
                <w:bCs/>
              </w:rPr>
              <w:t>e los tres países beneficiarios</w:t>
            </w:r>
            <w:r w:rsidR="00E82E38" w:rsidRPr="00F86457">
              <w:rPr>
                <w:rFonts w:ascii="Arial" w:hAnsi="Arial"/>
                <w:bCs/>
              </w:rPr>
              <w:t xml:space="preserve"> con miras a fomentar el intercambio de conocimientos y experiencias sobre el uso de la PI entre las partes interesadas del sector del </w:t>
            </w:r>
            <w:r w:rsidR="00E82E38" w:rsidRPr="00F86457">
              <w:rPr>
                <w:rFonts w:ascii="Arial" w:hAnsi="Arial"/>
                <w:bCs/>
                <w:i/>
                <w:iCs/>
              </w:rPr>
              <w:t>software</w:t>
            </w:r>
            <w:r w:rsidR="00E82E38" w:rsidRPr="00F86457">
              <w:rPr>
                <w:rFonts w:ascii="Arial" w:hAnsi="Arial"/>
                <w:bCs/>
              </w:rPr>
              <w:t>, incluidas las colaboraciones con universidades y otras instituciones de investigación, las asociaciones comerciales, los casos de éxito en materia de PI, los problemas y las soluciones;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Material básico de sensibilización sobre la PI destinado a estudiantes de informática en las escuelas secundarias, las universidades y otras instituciones de investigación de los países beneficiarios;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 xml:space="preserve">Programa de orientación que ponga en contacto a líderes empresariales experimentados y abogados especializados que se ofrezcan voluntariamente para prestar sus servicios a empresas emergentes de </w:t>
            </w:r>
            <w:r w:rsidRPr="00F86457">
              <w:rPr>
                <w:rFonts w:ascii="Arial" w:hAnsi="Arial"/>
                <w:bCs/>
                <w:i/>
                <w:iCs/>
              </w:rPr>
              <w:t>software</w:t>
            </w:r>
            <w:r w:rsidRPr="00F86457">
              <w:rPr>
                <w:rFonts w:ascii="Arial" w:hAnsi="Arial"/>
                <w:bCs/>
              </w:rPr>
              <w:t xml:space="preserve"> en los países beneficiarios;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Guía de PI para su uso en los países beneficiarios del</w:t>
            </w:r>
            <w:r w:rsidR="00B14514" w:rsidRPr="00F86457">
              <w:rPr>
                <w:rFonts w:ascii="Arial" w:hAnsi="Arial"/>
                <w:bCs/>
              </w:rPr>
              <w:t xml:space="preserve"> proyecto y que podría aplicarse</w:t>
            </w:r>
            <w:r w:rsidRPr="00F86457">
              <w:rPr>
                <w:rFonts w:ascii="Arial" w:hAnsi="Arial"/>
                <w:bCs/>
              </w:rPr>
              <w:t xml:space="preserve"> en otros países interesados, incluso mediante un curso de enseñanza a distancia de la Academia de la OMPI para profesionales del sector del </w:t>
            </w:r>
            <w:r w:rsidRPr="00F86457">
              <w:rPr>
                <w:rFonts w:ascii="Arial" w:hAnsi="Arial"/>
                <w:bCs/>
                <w:i/>
                <w:iCs/>
              </w:rPr>
              <w:t>software</w:t>
            </w:r>
            <w:r w:rsidRPr="00F86457">
              <w:rPr>
                <w:rFonts w:ascii="Arial" w:hAnsi="Arial"/>
                <w:bCs/>
              </w:rPr>
              <w:t>;</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 xml:space="preserve">Plataforma en línea para impulsar los intercambios internacionales de conocimiento en materia de PI y las buenas prácticas en el sector del </w:t>
            </w:r>
            <w:r w:rsidRPr="00F86457">
              <w:rPr>
                <w:rFonts w:ascii="Arial" w:hAnsi="Arial"/>
                <w:bCs/>
                <w:i/>
                <w:iCs/>
              </w:rPr>
              <w:t>software</w:t>
            </w:r>
            <w:r w:rsidRPr="00F86457">
              <w:rPr>
                <w:rFonts w:ascii="Arial" w:hAnsi="Arial"/>
                <w:bCs/>
              </w:rPr>
              <w:t>;</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Dos talleres en cada uno de los países beneficiarios (el primero tendrá por fin poner en marcha el proyecto con</w:t>
            </w:r>
            <w:r w:rsidR="00B14514" w:rsidRPr="00F86457">
              <w:rPr>
                <w:rFonts w:ascii="Arial" w:hAnsi="Arial"/>
                <w:bCs/>
              </w:rPr>
              <w:t xml:space="preserve"> las partes interesadas locales</w:t>
            </w:r>
            <w:r w:rsidRPr="00F86457">
              <w:rPr>
                <w:rFonts w:ascii="Arial" w:hAnsi="Arial"/>
                <w:bCs/>
              </w:rPr>
              <w:t xml:space="preserve"> y el segundo servirá para validar los aportes concretos finales);</w:t>
            </w: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Dos reuniones de coordinación con los coordinadores nacionales de los tres países beneficiarios en la Sede de</w:t>
            </w:r>
            <w:r w:rsidR="00B14514" w:rsidRPr="00F86457">
              <w:rPr>
                <w:rFonts w:ascii="Arial" w:hAnsi="Arial"/>
                <w:bCs/>
              </w:rPr>
              <w:t xml:space="preserve"> la OMPI en Ginebra (la primera tendrá lugar</w:t>
            </w:r>
            <w:r w:rsidRPr="00F86457">
              <w:rPr>
                <w:rFonts w:ascii="Arial" w:hAnsi="Arial"/>
                <w:bCs/>
              </w:rPr>
              <w:t xml:space="preserve"> tras la culminación del estudio exploratorio y la segunda </w:t>
            </w:r>
            <w:r w:rsidR="00B14514" w:rsidRPr="00F86457">
              <w:rPr>
                <w:rFonts w:ascii="Arial" w:hAnsi="Arial"/>
                <w:bCs/>
              </w:rPr>
              <w:t>se celebrará con el fin de</w:t>
            </w:r>
            <w:r w:rsidRPr="00F86457">
              <w:rPr>
                <w:rFonts w:ascii="Arial" w:hAnsi="Arial"/>
                <w:bCs/>
              </w:rPr>
              <w:t xml:space="preserve"> completar y valid</w:t>
            </w:r>
            <w:r w:rsidR="00B14514" w:rsidRPr="00F86457">
              <w:rPr>
                <w:rFonts w:ascii="Arial" w:hAnsi="Arial"/>
                <w:bCs/>
              </w:rPr>
              <w:t>ar los aportes concretos finales</w:t>
            </w:r>
            <w:r w:rsidRPr="00F86457">
              <w:rPr>
                <w:rFonts w:ascii="Arial" w:hAnsi="Arial"/>
                <w:bCs/>
              </w:rPr>
              <w:t>);</w:t>
            </w:r>
          </w:p>
          <w:p w:rsidR="00E82E38" w:rsidRPr="00BA46FD" w:rsidRDefault="00E82E38" w:rsidP="00E82E38">
            <w:pPr>
              <w:pStyle w:val="ListParagraph"/>
              <w:numPr>
                <w:ilvl w:val="0"/>
                <w:numId w:val="7"/>
              </w:numPr>
              <w:spacing w:after="0" w:line="240" w:lineRule="auto"/>
              <w:rPr>
                <w:rFonts w:ascii="Arial" w:hAnsi="Arial" w:cs="Arial"/>
                <w:bCs/>
              </w:rPr>
            </w:pPr>
            <w:r w:rsidRPr="00F86457">
              <w:rPr>
                <w:rFonts w:ascii="Arial" w:hAnsi="Arial"/>
                <w:bCs/>
              </w:rPr>
              <w:t>Videoconferencias con los beneficiarios del proyecto cuando así se les pida, a los fines de lograr las actividades y los aportes concretos referidos.</w:t>
            </w:r>
          </w:p>
          <w:p w:rsidR="00BA46FD" w:rsidRPr="00F86457" w:rsidRDefault="00BA46FD" w:rsidP="00BA46FD">
            <w:pPr>
              <w:pStyle w:val="ListParagraph"/>
              <w:spacing w:after="0" w:line="240" w:lineRule="auto"/>
              <w:rPr>
                <w:rFonts w:ascii="Arial" w:hAnsi="Arial" w:cs="Arial"/>
                <w:bCs/>
              </w:rPr>
            </w:pPr>
          </w:p>
          <w:p w:rsidR="00E82E38" w:rsidRPr="00F86457" w:rsidRDefault="00E82E38" w:rsidP="00043921">
            <w:pPr>
              <w:pStyle w:val="ListParagraph"/>
              <w:rPr>
                <w:rFonts w:ascii="Arial" w:hAnsi="Arial" w:cs="Arial"/>
                <w:bCs/>
              </w:rPr>
            </w:pPr>
          </w:p>
        </w:tc>
      </w:tr>
      <w:tr w:rsidR="00E82E38" w:rsidRPr="00F86457" w:rsidTr="00043921">
        <w:tc>
          <w:tcPr>
            <w:tcW w:w="9288" w:type="dxa"/>
            <w:gridSpan w:val="3"/>
            <w:shd w:val="clear" w:color="auto" w:fill="auto"/>
          </w:tcPr>
          <w:p w:rsidR="00E82E38" w:rsidRPr="00F86457" w:rsidRDefault="00E82E38" w:rsidP="00043921">
            <w:pPr>
              <w:rPr>
                <w:bCs/>
                <w:szCs w:val="22"/>
              </w:rPr>
            </w:pPr>
          </w:p>
          <w:p w:rsidR="00E82E38" w:rsidRPr="00F86457" w:rsidRDefault="00E82E38" w:rsidP="00043921">
            <w:pPr>
              <w:rPr>
                <w:bCs/>
                <w:szCs w:val="22"/>
                <w:u w:val="single"/>
              </w:rPr>
            </w:pPr>
            <w:r w:rsidRPr="00F86457">
              <w:t>2.4.</w:t>
            </w:r>
            <w:r w:rsidRPr="00F86457">
              <w:tab/>
            </w:r>
            <w:r w:rsidRPr="00F86457">
              <w:rPr>
                <w:bCs/>
                <w:szCs w:val="22"/>
                <w:u w:val="single"/>
              </w:rPr>
              <w:t>Posibles riesgos y medidas paliativas</w:t>
            </w:r>
          </w:p>
          <w:p w:rsidR="00E82E38" w:rsidRPr="00F86457" w:rsidRDefault="00E82E38" w:rsidP="00043921">
            <w:pPr>
              <w:pStyle w:val="ListParagraph"/>
              <w:ind w:left="1080"/>
              <w:rPr>
                <w:rFonts w:ascii="Arial" w:hAnsi="Arial" w:cs="Arial"/>
              </w:rPr>
            </w:pPr>
          </w:p>
        </w:tc>
      </w:tr>
      <w:tr w:rsidR="00E82E38" w:rsidRPr="00F86457" w:rsidTr="00043921">
        <w:tc>
          <w:tcPr>
            <w:tcW w:w="9288" w:type="dxa"/>
            <w:gridSpan w:val="3"/>
            <w:shd w:val="clear" w:color="auto" w:fill="auto"/>
          </w:tcPr>
          <w:p w:rsidR="00E82E38" w:rsidRPr="00F86457" w:rsidRDefault="00E82E38" w:rsidP="00043921">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5386"/>
            </w:tblGrid>
            <w:tr w:rsidR="00E82E38" w:rsidRPr="00F86457" w:rsidTr="00043921">
              <w:tc>
                <w:tcPr>
                  <w:tcW w:w="3397" w:type="dxa"/>
                </w:tcPr>
                <w:p w:rsidR="00E82E38" w:rsidRPr="00F86457" w:rsidRDefault="00E82E38" w:rsidP="00043921">
                  <w:pPr>
                    <w:rPr>
                      <w:b/>
                      <w:szCs w:val="22"/>
                    </w:rPr>
                  </w:pPr>
                  <w:r w:rsidRPr="00F86457">
                    <w:rPr>
                      <w:b/>
                      <w:szCs w:val="22"/>
                    </w:rPr>
                    <w:t>Posibles riesgos</w:t>
                  </w:r>
                </w:p>
              </w:tc>
              <w:tc>
                <w:tcPr>
                  <w:tcW w:w="5386" w:type="dxa"/>
                </w:tcPr>
                <w:p w:rsidR="00E82E38" w:rsidRPr="00F86457" w:rsidRDefault="00E82E38" w:rsidP="00043921">
                  <w:pPr>
                    <w:rPr>
                      <w:b/>
                      <w:szCs w:val="22"/>
                    </w:rPr>
                  </w:pPr>
                  <w:r w:rsidRPr="00F86457">
                    <w:rPr>
                      <w:b/>
                      <w:szCs w:val="22"/>
                    </w:rPr>
                    <w:t>Medidas paliativas</w:t>
                  </w:r>
                </w:p>
              </w:tc>
            </w:tr>
            <w:tr w:rsidR="00E82E38" w:rsidRPr="00F86457" w:rsidTr="00043921">
              <w:tc>
                <w:tcPr>
                  <w:tcW w:w="3397" w:type="dxa"/>
                </w:tcPr>
                <w:p w:rsidR="00E82E38" w:rsidRPr="00F86457" w:rsidRDefault="00E82E38" w:rsidP="00043921">
                  <w:pPr>
                    <w:rPr>
                      <w:szCs w:val="22"/>
                    </w:rPr>
                  </w:pPr>
                  <w:r w:rsidRPr="00F86457">
                    <w:t>Escasa</w:t>
                  </w:r>
                  <w:r w:rsidR="005D15DB" w:rsidRPr="00F86457">
                    <w:t xml:space="preserve"> apropiación en el ámbito local</w:t>
                  </w:r>
                </w:p>
              </w:tc>
              <w:tc>
                <w:tcPr>
                  <w:tcW w:w="5386" w:type="dxa"/>
                </w:tcPr>
                <w:p w:rsidR="00E82E38" w:rsidRPr="00F86457" w:rsidRDefault="00E82E38" w:rsidP="00043921">
                  <w:pPr>
                    <w:rPr>
                      <w:szCs w:val="22"/>
                    </w:rPr>
                  </w:pPr>
                  <w:r w:rsidRPr="00F86457">
                    <w:t>Debe asignarse un coordinador de proyecto en régimen de plena dedicación en cada país beneficiario para gestionar el proyecto durante el ciclo de vida en cada país, en consulta con el d</w:t>
                  </w:r>
                  <w:r w:rsidR="005D15DB" w:rsidRPr="00F86457">
                    <w:t>irector de proyecto de la OMPI.</w:t>
                  </w:r>
                </w:p>
                <w:p w:rsidR="00E82E38" w:rsidRPr="00F86457" w:rsidRDefault="00E82E38" w:rsidP="00043921">
                  <w:pPr>
                    <w:rPr>
                      <w:szCs w:val="22"/>
                    </w:rPr>
                  </w:pPr>
                  <w:r w:rsidRPr="00F86457">
                    <w:t>Si la evaluación del proyecto a medio plazo revela que no se pueden alcanzar hitos en uno o varios de los países beneficiarios, se suspenderá el proyecto en los países citados.</w:t>
                  </w:r>
                </w:p>
              </w:tc>
            </w:tr>
            <w:tr w:rsidR="00E82E38" w:rsidRPr="00F86457" w:rsidTr="00043921">
              <w:tc>
                <w:tcPr>
                  <w:tcW w:w="3397" w:type="dxa"/>
                </w:tcPr>
                <w:p w:rsidR="00E82E38" w:rsidRPr="00F86457" w:rsidRDefault="00E82E38" w:rsidP="00043921">
                  <w:pPr>
                    <w:rPr>
                      <w:szCs w:val="22"/>
                    </w:rPr>
                  </w:pPr>
                  <w:r w:rsidRPr="00F86457">
                    <w:t>Falta de interés de los posibles beneficiarios (pymes, empresas e</w:t>
                  </w:r>
                  <w:r w:rsidR="005D15DB" w:rsidRPr="00F86457">
                    <w:t>mergentes, universidades, etc.)</w:t>
                  </w:r>
                </w:p>
              </w:tc>
              <w:tc>
                <w:tcPr>
                  <w:tcW w:w="5386" w:type="dxa"/>
                </w:tcPr>
                <w:p w:rsidR="00E82E38" w:rsidRPr="00F86457" w:rsidRDefault="00E82E38" w:rsidP="00043921">
                  <w:pPr>
                    <w:rPr>
                      <w:szCs w:val="22"/>
                    </w:rPr>
                  </w:pPr>
                  <w:r w:rsidRPr="00F86457">
                    <w:t>Los asociados nacionales deben facilitar información sobre el proyecto y sus beneficios en una fase muy temprana del mismo y llevar a cabo una evaluación inicial para determinar y clasificar el grupo de beneficiarios a fin de garantizar que se tengan debidamente en cuenta sus expectativas durante las actividades de formación, los talleres y</w:t>
                  </w:r>
                  <w:r w:rsidR="005D15DB" w:rsidRPr="00F86457">
                    <w:t xml:space="preserve"> las reuniones de coordinación.</w:t>
                  </w:r>
                </w:p>
                <w:p w:rsidR="00E82E38" w:rsidRPr="00F86457" w:rsidRDefault="00E82E38" w:rsidP="00043921">
                  <w:pPr>
                    <w:rPr>
                      <w:szCs w:val="22"/>
                    </w:rPr>
                  </w:pPr>
                  <w:r w:rsidRPr="00F86457">
                    <w:t>Manifestación de interés por parte del sector local de aplicaciones móviles/asociación comercial, que se validará con ocasión del taller de puesta en marcha del proyecto en cada uno de los países beneficiarios.</w:t>
                  </w:r>
                </w:p>
                <w:p w:rsidR="00E82E38" w:rsidRPr="00F86457" w:rsidRDefault="00E82E38" w:rsidP="00043921">
                  <w:pPr>
                    <w:rPr>
                      <w:szCs w:val="22"/>
                    </w:rPr>
                  </w:pPr>
                </w:p>
              </w:tc>
            </w:tr>
          </w:tbl>
          <w:p w:rsidR="00E82E38" w:rsidRPr="00F86457" w:rsidRDefault="00E82E38" w:rsidP="00043921">
            <w:pPr>
              <w:rPr>
                <w:szCs w:val="22"/>
              </w:rPr>
            </w:pPr>
          </w:p>
          <w:p w:rsidR="00E82E38" w:rsidRPr="00F86457" w:rsidRDefault="00E82E38" w:rsidP="00043921">
            <w:pPr>
              <w:rPr>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E82E38" w:rsidRPr="00F86457" w:rsidRDefault="00E82E38" w:rsidP="00043921">
            <w:pPr>
              <w:rPr>
                <w:b/>
                <w:bCs/>
                <w:szCs w:val="22"/>
              </w:rPr>
            </w:pPr>
          </w:p>
          <w:p w:rsidR="00E82E38" w:rsidRPr="00F86457" w:rsidRDefault="00E82E38" w:rsidP="00043921">
            <w:pPr>
              <w:rPr>
                <w:bCs/>
                <w:szCs w:val="22"/>
              </w:rPr>
            </w:pPr>
            <w:r w:rsidRPr="00F86457">
              <w:t>3.</w:t>
            </w:r>
            <w:r w:rsidRPr="00F86457">
              <w:tab/>
              <w:t>EXAMEN Y EVALUACIÓN</w:t>
            </w:r>
          </w:p>
          <w:p w:rsidR="00E82E38" w:rsidRPr="00F86457" w:rsidRDefault="00E82E38" w:rsidP="00043921">
            <w:pPr>
              <w:rPr>
                <w:b/>
                <w:bCs/>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E82E38" w:rsidRPr="00F86457" w:rsidRDefault="00E82E38" w:rsidP="00043921">
            <w:pPr>
              <w:rPr>
                <w:szCs w:val="22"/>
                <w:u w:val="single"/>
              </w:rPr>
            </w:pPr>
            <w:r w:rsidRPr="00F86457">
              <w:t xml:space="preserve">3.1. </w:t>
            </w:r>
            <w:r w:rsidRPr="00F86457">
              <w:tab/>
            </w:r>
            <w:r w:rsidRPr="00F86457">
              <w:rPr>
                <w:szCs w:val="22"/>
                <w:u w:val="single"/>
              </w:rPr>
              <w:t>Calendario de supervisión del proyecto</w:t>
            </w:r>
          </w:p>
          <w:p w:rsidR="00E82E38" w:rsidRPr="00F86457" w:rsidRDefault="00E82E38" w:rsidP="00043921">
            <w:pPr>
              <w:rPr>
                <w:b/>
                <w:bCs/>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E82E38" w:rsidRPr="00F86457" w:rsidRDefault="00E82E38" w:rsidP="00043921">
            <w:pPr>
              <w:rPr>
                <w:szCs w:val="22"/>
              </w:rPr>
            </w:pPr>
            <w:r w:rsidRPr="00F86457">
              <w:t>Evaluación de mitad de período, 18 meses después de la puesta en marcha del proyecto;</w:t>
            </w:r>
          </w:p>
          <w:p w:rsidR="00E82E38" w:rsidRPr="00F86457" w:rsidRDefault="00E82E38" w:rsidP="00043921">
            <w:pPr>
              <w:rPr>
                <w:szCs w:val="22"/>
              </w:rPr>
            </w:pPr>
          </w:p>
          <w:p w:rsidR="00E82E38" w:rsidRPr="00F86457" w:rsidRDefault="00E82E38" w:rsidP="00043921">
            <w:pPr>
              <w:rPr>
                <w:szCs w:val="22"/>
              </w:rPr>
            </w:pPr>
            <w:r w:rsidRPr="00F86457">
              <w:t>Evaluación interna final, una vez culminado el proyecto;</w:t>
            </w:r>
          </w:p>
          <w:p w:rsidR="00E82E38" w:rsidRPr="00F86457" w:rsidRDefault="00E82E38" w:rsidP="00043921">
            <w:pPr>
              <w:rPr>
                <w:szCs w:val="22"/>
              </w:rPr>
            </w:pPr>
          </w:p>
          <w:p w:rsidR="00E82E38" w:rsidRPr="00F86457" w:rsidRDefault="00E82E38" w:rsidP="00043921">
            <w:pPr>
              <w:rPr>
                <w:szCs w:val="22"/>
              </w:rPr>
            </w:pPr>
            <w:r w:rsidRPr="00F86457">
              <w:t>Evaluación externa, tras la culminación del proyecto y la evaluación interna final.</w:t>
            </w:r>
          </w:p>
          <w:p w:rsidR="00E82E38" w:rsidRPr="00F86457" w:rsidRDefault="00E82E38" w:rsidP="00043921">
            <w:pPr>
              <w:rPr>
                <w:bCs/>
                <w:szCs w:val="22"/>
              </w:rPr>
            </w:pPr>
          </w:p>
          <w:p w:rsidR="00E82E38" w:rsidRPr="00F86457" w:rsidRDefault="00E82E38" w:rsidP="00043921">
            <w:pPr>
              <w:rPr>
                <w:bCs/>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E82E38" w:rsidRPr="00F86457" w:rsidRDefault="00E82E38" w:rsidP="00043921">
            <w:pPr>
              <w:rPr>
                <w:bCs/>
                <w:szCs w:val="22"/>
                <w:u w:val="single"/>
              </w:rPr>
            </w:pPr>
            <w:r w:rsidRPr="00F86457">
              <w:t xml:space="preserve">3.2. </w:t>
            </w:r>
            <w:r w:rsidRPr="00F86457">
              <w:tab/>
            </w:r>
            <w:r w:rsidR="005D15DB" w:rsidRPr="00F86457">
              <w:rPr>
                <w:bCs/>
                <w:szCs w:val="22"/>
                <w:u w:val="single"/>
              </w:rPr>
              <w:t>Evaluación interna del proyecto</w:t>
            </w:r>
          </w:p>
          <w:p w:rsidR="00E82E38" w:rsidRPr="00F86457" w:rsidRDefault="00E82E38" w:rsidP="00043921">
            <w:pPr>
              <w:rPr>
                <w:i/>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E82E38" w:rsidRPr="00F86457" w:rsidRDefault="00E82E38" w:rsidP="00043921">
            <w:pPr>
              <w:rPr>
                <w:bCs/>
                <w:i/>
                <w:szCs w:val="22"/>
              </w:rPr>
            </w:pPr>
            <w:r w:rsidRPr="00F86457">
              <w:rPr>
                <w:i/>
                <w:szCs w:val="22"/>
              </w:rPr>
              <w:t>Productos del proyecto</w:t>
            </w:r>
          </w:p>
        </w:tc>
        <w:tc>
          <w:tcPr>
            <w:tcW w:w="5636" w:type="dxa"/>
            <w:shd w:val="clear" w:color="auto" w:fill="auto"/>
          </w:tcPr>
          <w:p w:rsidR="00E82E38" w:rsidRPr="00F86457" w:rsidRDefault="00E82E38" w:rsidP="00043921">
            <w:pPr>
              <w:rPr>
                <w:bCs/>
                <w:szCs w:val="22"/>
              </w:rPr>
            </w:pPr>
            <w:r w:rsidRPr="00F86457">
              <w:rPr>
                <w:i/>
                <w:szCs w:val="22"/>
              </w:rPr>
              <w:t>Indicadores de finalización satisfactoria (indicadores de productos)</w:t>
            </w: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E82E38" w:rsidRPr="00F86457" w:rsidRDefault="00E82E38" w:rsidP="00043921">
            <w:pPr>
              <w:rPr>
                <w:szCs w:val="22"/>
              </w:rPr>
            </w:pPr>
          </w:p>
          <w:p w:rsidR="00E82E38" w:rsidRPr="00F86457" w:rsidRDefault="00E82E38" w:rsidP="00043921">
            <w:pPr>
              <w:rPr>
                <w:szCs w:val="22"/>
              </w:rPr>
            </w:pPr>
            <w:r w:rsidRPr="00F86457">
              <w:t>Países beneficiarios seleccionados</w:t>
            </w:r>
          </w:p>
          <w:p w:rsidR="00E82E38" w:rsidRPr="00F86457" w:rsidRDefault="00E82E38" w:rsidP="00043921">
            <w:pPr>
              <w:rPr>
                <w:szCs w:val="22"/>
              </w:rPr>
            </w:pPr>
          </w:p>
        </w:tc>
        <w:tc>
          <w:tcPr>
            <w:tcW w:w="5636" w:type="dxa"/>
            <w:shd w:val="clear" w:color="auto" w:fill="auto"/>
          </w:tcPr>
          <w:p w:rsidR="00E82E38" w:rsidRPr="00F86457" w:rsidRDefault="00E82E38" w:rsidP="00043921">
            <w:pPr>
              <w:rPr>
                <w:szCs w:val="22"/>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Selección de tres países (con arreglo a criterios de selección acordados)</w:t>
            </w:r>
          </w:p>
          <w:p w:rsidR="00E82E38" w:rsidRPr="00F86457" w:rsidRDefault="00E82E38" w:rsidP="00043921">
            <w:pPr>
              <w:rPr>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E82E38" w:rsidRPr="00F86457" w:rsidRDefault="00E82E38" w:rsidP="00043921">
            <w:pPr>
              <w:rPr>
                <w:szCs w:val="22"/>
              </w:rPr>
            </w:pPr>
            <w:r w:rsidRPr="00F86457">
              <w:br/>
              <w:t>Informe relativo al estudio exploratorio</w:t>
            </w:r>
          </w:p>
        </w:tc>
        <w:tc>
          <w:tcPr>
            <w:tcW w:w="5636" w:type="dxa"/>
            <w:shd w:val="clear" w:color="auto" w:fill="auto"/>
          </w:tcPr>
          <w:p w:rsidR="00E82E38" w:rsidRPr="00F86457" w:rsidRDefault="00E82E38" w:rsidP="00043921">
            <w:pPr>
              <w:rPr>
                <w:szCs w:val="22"/>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 xml:space="preserve">Panorama general del sector del </w:t>
            </w:r>
            <w:r w:rsidRPr="00F86457">
              <w:rPr>
                <w:rFonts w:ascii="Arial" w:hAnsi="Arial"/>
                <w:i/>
                <w:iCs/>
              </w:rPr>
              <w:t>software</w:t>
            </w:r>
            <w:r w:rsidRPr="00F86457">
              <w:rPr>
                <w:rFonts w:ascii="Arial" w:hAnsi="Arial"/>
              </w:rPr>
              <w:t xml:space="preserve"> en los tres países beneficiarios</w:t>
            </w: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 xml:space="preserve">Resumen de la disponibilidad y el uso de las </w:t>
            </w:r>
            <w:r w:rsidRPr="00F86457">
              <w:rPr>
                <w:rFonts w:ascii="Arial" w:hAnsi="Arial"/>
              </w:rPr>
              <w:lastRenderedPageBreak/>
              <w:t>herramientas de PI en los tres países beneficiarios</w:t>
            </w: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 xml:space="preserve">Perspectiva general de los problemas y las necesidades que requieren la intensificación del uso de la PI en el sector del </w:t>
            </w:r>
            <w:r w:rsidRPr="00F86457">
              <w:rPr>
                <w:rFonts w:ascii="Arial" w:hAnsi="Arial"/>
                <w:i/>
                <w:iCs/>
              </w:rPr>
              <w:t>software</w:t>
            </w:r>
            <w:r w:rsidRPr="00F86457">
              <w:rPr>
                <w:rFonts w:ascii="Arial" w:hAnsi="Arial"/>
              </w:rPr>
              <w:t xml:space="preserve"> en los tres países beneficiarios</w:t>
            </w: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 xml:space="preserve">Resumen de la utilización de la PI en el sector del </w:t>
            </w:r>
            <w:r w:rsidRPr="00F86457">
              <w:rPr>
                <w:rFonts w:ascii="Arial" w:hAnsi="Arial"/>
                <w:i/>
                <w:iCs/>
              </w:rPr>
              <w:t>software</w:t>
            </w:r>
            <w:r w:rsidRPr="00F86457">
              <w:rPr>
                <w:rFonts w:ascii="Arial" w:hAnsi="Arial"/>
              </w:rPr>
              <w:t xml:space="preserve"> como medio para obtener capital y asegurar inversiones</w:t>
            </w: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Indicadores de referencia para evaluar los efectos generales del proyecto en los tres países beneficiarios</w:t>
            </w: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Propuesta para llevar a cabo actividades específicas encaminadas a la ejecución del proyecto y el logro de los resultados esperados</w:t>
            </w: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Informe final del estudio validado por los coordinadores locales de los países beneficiarios y la Secretaría de la OMPI</w:t>
            </w:r>
          </w:p>
          <w:p w:rsidR="00E82E38" w:rsidRPr="00F86457" w:rsidRDefault="00E82E38" w:rsidP="00043921">
            <w:pPr>
              <w:ind w:left="34"/>
              <w:rPr>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E82E38" w:rsidRPr="00F86457" w:rsidRDefault="00E82E38" w:rsidP="00043921">
            <w:pPr>
              <w:rPr>
                <w:szCs w:val="22"/>
              </w:rPr>
            </w:pPr>
          </w:p>
          <w:p w:rsidR="00E82E38" w:rsidRPr="00F86457" w:rsidRDefault="00E82E38" w:rsidP="00043921">
            <w:pPr>
              <w:rPr>
                <w:szCs w:val="22"/>
              </w:rPr>
            </w:pPr>
            <w:r w:rsidRPr="00F86457">
              <w:t>Publicación de la OMPI sobre la PI y las aplicaciones móviles</w:t>
            </w:r>
          </w:p>
          <w:p w:rsidR="00E82E38" w:rsidRPr="00F86457" w:rsidRDefault="00E82E38" w:rsidP="00043921">
            <w:pPr>
              <w:rPr>
                <w:szCs w:val="22"/>
              </w:rPr>
            </w:pPr>
          </w:p>
        </w:tc>
        <w:tc>
          <w:tcPr>
            <w:tcW w:w="5636" w:type="dxa"/>
            <w:shd w:val="clear" w:color="auto" w:fill="auto"/>
          </w:tcPr>
          <w:p w:rsidR="00E82E38" w:rsidRPr="00F86457" w:rsidRDefault="00E82E38" w:rsidP="00043921">
            <w:pPr>
              <w:rPr>
                <w:szCs w:val="22"/>
              </w:rPr>
            </w:pPr>
          </w:p>
          <w:p w:rsidR="00E82E38" w:rsidRPr="00F86457" w:rsidRDefault="00B14514" w:rsidP="00E82E38">
            <w:pPr>
              <w:pStyle w:val="ListParagraph"/>
              <w:numPr>
                <w:ilvl w:val="0"/>
                <w:numId w:val="7"/>
              </w:numPr>
              <w:spacing w:after="0" w:line="240" w:lineRule="auto"/>
              <w:rPr>
                <w:rFonts w:ascii="Arial" w:hAnsi="Arial" w:cs="Arial"/>
              </w:rPr>
            </w:pPr>
            <w:r w:rsidRPr="00F86457">
              <w:rPr>
                <w:rFonts w:ascii="Arial" w:hAnsi="Arial"/>
              </w:rPr>
              <w:t>Traducción de la publicación a</w:t>
            </w:r>
            <w:r w:rsidR="00E82E38" w:rsidRPr="00F86457">
              <w:rPr>
                <w:rFonts w:ascii="Arial" w:hAnsi="Arial"/>
              </w:rPr>
              <w:t xml:space="preserve"> los idiomas oficiales de la OMPI hablados en los países beneficiarios del proyecto</w:t>
            </w:r>
          </w:p>
          <w:p w:rsidR="00E82E38" w:rsidRPr="00F86457" w:rsidRDefault="00E82E38" w:rsidP="00043921">
            <w:pPr>
              <w:pStyle w:val="ListParagraph"/>
              <w:rPr>
                <w:rFonts w:ascii="Arial" w:hAnsi="Arial" w:cs="Arial"/>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 xml:space="preserve">Estadísticas de descarga de la publicación de la OMPI (o visitas </w:t>
            </w:r>
            <w:r w:rsidR="005D15DB" w:rsidRPr="00F86457">
              <w:rPr>
                <w:rFonts w:ascii="Arial" w:hAnsi="Arial"/>
              </w:rPr>
              <w:t>al sitio web de la publicación)</w:t>
            </w:r>
          </w:p>
          <w:p w:rsidR="00E82E38" w:rsidRPr="00F86457" w:rsidRDefault="00E82E38" w:rsidP="00043921">
            <w:pPr>
              <w:pStyle w:val="ListParagraph"/>
              <w:rPr>
                <w:rFonts w:ascii="Arial" w:hAnsi="Arial" w:cs="Arial"/>
              </w:rPr>
            </w:pPr>
          </w:p>
          <w:p w:rsidR="00E82E38" w:rsidRPr="00A16789" w:rsidRDefault="00E82E38" w:rsidP="00A16789">
            <w:pPr>
              <w:pStyle w:val="ListParagraph"/>
              <w:numPr>
                <w:ilvl w:val="0"/>
                <w:numId w:val="7"/>
              </w:numPr>
              <w:spacing w:after="0" w:line="240" w:lineRule="auto"/>
              <w:rPr>
                <w:rFonts w:ascii="Arial" w:hAnsi="Arial" w:cs="Arial"/>
              </w:rPr>
            </w:pPr>
            <w:r w:rsidRPr="00F86457">
              <w:rPr>
                <w:rFonts w:ascii="Arial" w:hAnsi="Arial"/>
              </w:rPr>
              <w:t>Porcentaje de beneficiarios (categorías de usuarios por país) que expresan satisfacción en relación con el contenido y la accesibilidad de la publicación de la OMPI sobre PI y aplicaciones móviles</w:t>
            </w:r>
          </w:p>
          <w:p w:rsidR="00A16789" w:rsidRPr="00A16789" w:rsidRDefault="00A16789" w:rsidP="00A16789"/>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gridSpan w:val="2"/>
            <w:shd w:val="clear" w:color="auto" w:fill="auto"/>
          </w:tcPr>
          <w:p w:rsidR="00E82E38" w:rsidRPr="00F86457" w:rsidRDefault="00E82E38" w:rsidP="00043921">
            <w:pPr>
              <w:rPr>
                <w:szCs w:val="22"/>
              </w:rPr>
            </w:pPr>
          </w:p>
          <w:p w:rsidR="00E82E38" w:rsidRPr="00F86457" w:rsidRDefault="00E82E38" w:rsidP="00043921">
            <w:pPr>
              <w:rPr>
                <w:szCs w:val="22"/>
              </w:rPr>
            </w:pPr>
            <w:r w:rsidRPr="00F86457">
              <w:t>Tipología de derechos de la PI que revisten una mayor importancia a la hora de proteger las aplicaciones móviles</w:t>
            </w:r>
          </w:p>
          <w:p w:rsidR="00E82E38" w:rsidRPr="00F86457" w:rsidRDefault="00E82E38" w:rsidP="00043921">
            <w:pPr>
              <w:rPr>
                <w:szCs w:val="22"/>
              </w:rPr>
            </w:pPr>
          </w:p>
          <w:p w:rsidR="00E82E38" w:rsidRPr="00F86457" w:rsidRDefault="00E82E38" w:rsidP="00043921">
            <w:pPr>
              <w:rPr>
                <w:szCs w:val="22"/>
              </w:rPr>
            </w:pPr>
          </w:p>
        </w:tc>
        <w:tc>
          <w:tcPr>
            <w:tcW w:w="5636" w:type="dxa"/>
            <w:shd w:val="clear" w:color="auto" w:fill="auto"/>
          </w:tcPr>
          <w:p w:rsidR="00E82E38" w:rsidRPr="00F86457" w:rsidRDefault="00E82E38" w:rsidP="00043921">
            <w:pPr>
              <w:rPr>
                <w:szCs w:val="22"/>
              </w:rPr>
            </w:pPr>
          </w:p>
          <w:p w:rsidR="00E82E38" w:rsidRPr="00F86457" w:rsidRDefault="00565C88" w:rsidP="00E82E38">
            <w:pPr>
              <w:pStyle w:val="ListParagraph"/>
              <w:numPr>
                <w:ilvl w:val="0"/>
                <w:numId w:val="7"/>
              </w:numPr>
              <w:spacing w:after="0" w:line="240" w:lineRule="auto"/>
              <w:rPr>
                <w:rFonts w:ascii="Arial" w:hAnsi="Arial" w:cs="Arial"/>
              </w:rPr>
            </w:pPr>
            <w:r w:rsidRPr="00F86457">
              <w:rPr>
                <w:rFonts w:ascii="Arial" w:hAnsi="Arial"/>
              </w:rPr>
              <w:t>Tres gráficos que muestre</w:t>
            </w:r>
            <w:r w:rsidR="00E82E38" w:rsidRPr="00F86457">
              <w:rPr>
                <w:rFonts w:ascii="Arial" w:hAnsi="Arial"/>
              </w:rPr>
              <w:t>n la tipología pertinente en cada uno de los países beneficiarios</w:t>
            </w:r>
          </w:p>
          <w:p w:rsidR="00E82E38" w:rsidRPr="00F86457" w:rsidRDefault="00E82E38" w:rsidP="00043921">
            <w:pPr>
              <w:pStyle w:val="ListParagraph"/>
              <w:rPr>
                <w:rFonts w:ascii="Arial" w:hAnsi="Arial" w:cs="Arial"/>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Un mínimo de dos empresas emergentes en c</w:t>
            </w:r>
            <w:r w:rsidR="00565C88" w:rsidRPr="00F86457">
              <w:rPr>
                <w:rFonts w:ascii="Arial" w:hAnsi="Arial"/>
              </w:rPr>
              <w:t>ada país beneficiario que valide</w:t>
            </w:r>
            <w:r w:rsidRPr="00F86457">
              <w:rPr>
                <w:rFonts w:ascii="Arial" w:hAnsi="Arial"/>
              </w:rPr>
              <w:t>n la utilidad del gráfico para la intensificación del uso de la PI</w:t>
            </w:r>
          </w:p>
          <w:p w:rsidR="00E82E38" w:rsidRPr="00F86457" w:rsidRDefault="00E82E38" w:rsidP="00043921">
            <w:pPr>
              <w:pStyle w:val="ListParagraph"/>
              <w:rPr>
                <w:rFonts w:ascii="Arial" w:hAnsi="Arial" w:cs="Arial"/>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Número de instituciones de investigación/centros de investigación y desarrollo (I+D), centros de TIC y universidades de cada país beneficiario que validan la utilidad del gráfico para la intensificación del uso de la PI</w:t>
            </w:r>
          </w:p>
          <w:p w:rsidR="00E82E38" w:rsidRPr="00F86457" w:rsidRDefault="00E82E38" w:rsidP="00043921">
            <w:pPr>
              <w:rPr>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E82E38" w:rsidRPr="00F86457" w:rsidRDefault="00E82E38" w:rsidP="00043921">
            <w:pPr>
              <w:rPr>
                <w:szCs w:val="22"/>
              </w:rPr>
            </w:pPr>
          </w:p>
          <w:p w:rsidR="00E82E38" w:rsidRPr="00F86457" w:rsidRDefault="00E82E38" w:rsidP="00043921">
            <w:pPr>
              <w:rPr>
                <w:szCs w:val="22"/>
              </w:rPr>
            </w:pPr>
            <w:r w:rsidRPr="00F86457">
              <w:t xml:space="preserve">Módulo de formación sobre la función de la PI en el desarrollo y la comercialización de nuevos productos y servicios basados en </w:t>
            </w:r>
            <w:r w:rsidRPr="00F86457">
              <w:rPr>
                <w:i/>
                <w:iCs/>
              </w:rPr>
              <w:t>software</w:t>
            </w:r>
          </w:p>
          <w:p w:rsidR="00E82E38" w:rsidRPr="00F86457" w:rsidRDefault="00E82E38" w:rsidP="00043921">
            <w:pPr>
              <w:rPr>
                <w:szCs w:val="22"/>
              </w:rPr>
            </w:pPr>
          </w:p>
          <w:p w:rsidR="00E82E38" w:rsidRPr="00F86457" w:rsidRDefault="00E82E38" w:rsidP="00043921">
            <w:pPr>
              <w:rPr>
                <w:szCs w:val="22"/>
              </w:rPr>
            </w:pPr>
          </w:p>
        </w:tc>
        <w:tc>
          <w:tcPr>
            <w:tcW w:w="5636" w:type="dxa"/>
            <w:shd w:val="clear" w:color="auto" w:fill="auto"/>
          </w:tcPr>
          <w:p w:rsidR="00E82E38" w:rsidRPr="00F86457" w:rsidRDefault="00E82E38" w:rsidP="00043921">
            <w:pPr>
              <w:rPr>
                <w:szCs w:val="22"/>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Al menos dos empresas emergentes en cada país beneficiario que validen la utilidad del módulo de formación para la intensificación del uso de la PI</w:t>
            </w:r>
          </w:p>
          <w:p w:rsidR="00E82E38" w:rsidRPr="00F86457" w:rsidRDefault="00E82E38" w:rsidP="00043921">
            <w:pPr>
              <w:pStyle w:val="ListParagraph"/>
              <w:rPr>
                <w:rFonts w:ascii="Arial" w:hAnsi="Arial" w:cs="Arial"/>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Número de participantes que asisten a la formación por sector (entidades comerciales, organizaciones de I+D, universidades, sector público, empresas de nueva creación, etc.)</w:t>
            </w:r>
          </w:p>
          <w:p w:rsidR="00E82E38" w:rsidRPr="00F86457" w:rsidRDefault="00E82E38" w:rsidP="00043921">
            <w:pPr>
              <w:rPr>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E82E38" w:rsidP="00043921">
            <w:pPr>
              <w:rPr>
                <w:szCs w:val="22"/>
              </w:rPr>
            </w:pPr>
            <w:r w:rsidRPr="00F86457">
              <w:t>Módulo de formación sobre los principales contratos en el sector de las aplicaciones móviles</w:t>
            </w:r>
          </w:p>
          <w:p w:rsidR="00E82E38" w:rsidRPr="00F86457" w:rsidRDefault="00E82E38" w:rsidP="00043921">
            <w:pPr>
              <w:rPr>
                <w:bCs/>
                <w:szCs w:val="22"/>
              </w:rPr>
            </w:pPr>
          </w:p>
          <w:p w:rsidR="00E82E38" w:rsidRPr="00F86457" w:rsidRDefault="00E82E38" w:rsidP="00043921">
            <w:pPr>
              <w:rPr>
                <w:bCs/>
                <w:szCs w:val="22"/>
              </w:rPr>
            </w:pPr>
          </w:p>
          <w:p w:rsidR="00E82E38" w:rsidRPr="00F86457" w:rsidRDefault="00E82E38" w:rsidP="00043921">
            <w:pPr>
              <w:rPr>
                <w:bCs/>
                <w:szCs w:val="22"/>
              </w:rPr>
            </w:pPr>
          </w:p>
        </w:tc>
        <w:tc>
          <w:tcPr>
            <w:tcW w:w="5636" w:type="dxa"/>
            <w:shd w:val="clear" w:color="auto" w:fill="auto"/>
          </w:tcPr>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Un mínimo de dos empresas emergentes en cada país beneficiario que validen la utilidad del módulo de formación para la intensificación del uso de la PI</w:t>
            </w:r>
          </w:p>
          <w:p w:rsidR="00E82E38" w:rsidRPr="00F86457" w:rsidRDefault="00E82E38" w:rsidP="00043921">
            <w:pPr>
              <w:pStyle w:val="ListParagraph"/>
              <w:rPr>
                <w:rFonts w:ascii="Arial" w:hAnsi="Arial" w:cs="Arial"/>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Número de participantes por país y sector (entidades comerciales, organizaciones de I+D, universidades, sector público, empresas emergentes, etc.) que asisten a la formación</w:t>
            </w:r>
          </w:p>
          <w:p w:rsidR="00E82E38" w:rsidRPr="00F86457" w:rsidRDefault="00E82E38" w:rsidP="00043921">
            <w:pPr>
              <w:rPr>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E82E38" w:rsidP="00043921">
            <w:pPr>
              <w:rPr>
                <w:bCs/>
                <w:szCs w:val="22"/>
              </w:rPr>
            </w:pPr>
            <w:r w:rsidRPr="00F86457">
              <w:t>Módulos de formac</w:t>
            </w:r>
            <w:r w:rsidR="005D15DB" w:rsidRPr="00F86457">
              <w:t>ión sobre mediación y arbitraje</w:t>
            </w:r>
          </w:p>
          <w:p w:rsidR="00E82E38" w:rsidRPr="00F86457" w:rsidRDefault="00E82E38" w:rsidP="00043921">
            <w:pPr>
              <w:rPr>
                <w:bCs/>
                <w:szCs w:val="22"/>
              </w:rPr>
            </w:pPr>
          </w:p>
        </w:tc>
        <w:tc>
          <w:tcPr>
            <w:tcW w:w="5636" w:type="dxa"/>
            <w:shd w:val="clear" w:color="auto" w:fill="auto"/>
          </w:tcPr>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Dos módulos de formación (el primero impartido a desarrolladores y empresarios y el otro a ab</w:t>
            </w:r>
            <w:r w:rsidR="005D15DB" w:rsidRPr="00F86457">
              <w:rPr>
                <w:rFonts w:ascii="Arial" w:hAnsi="Arial"/>
                <w:bCs/>
              </w:rPr>
              <w:t>ogados y funcionarios públicos)</w:t>
            </w:r>
          </w:p>
          <w:p w:rsidR="00E82E38" w:rsidRPr="00F86457" w:rsidRDefault="00E82E38" w:rsidP="00043921">
            <w:pPr>
              <w:pStyle w:val="ListParagraph"/>
              <w:rPr>
                <w:rFonts w:ascii="Arial" w:hAnsi="Arial" w:cs="Arial"/>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rPr>
              <w:t>Porcentaje de participantes por módulo que expresan satisfacción con respecto a la formación y los materiales</w:t>
            </w:r>
          </w:p>
          <w:p w:rsidR="00E82E38" w:rsidRPr="00F86457" w:rsidRDefault="00E82E38" w:rsidP="00043921">
            <w:pPr>
              <w:rPr>
                <w:bCs/>
                <w:szCs w:val="22"/>
              </w:rPr>
            </w:pPr>
          </w:p>
          <w:p w:rsidR="00E82E38" w:rsidRPr="00F86457" w:rsidRDefault="00E82E38" w:rsidP="0034357E">
            <w:pPr>
              <w:pStyle w:val="ListParagraph"/>
              <w:numPr>
                <w:ilvl w:val="0"/>
                <w:numId w:val="7"/>
              </w:numPr>
              <w:spacing w:after="0" w:line="240" w:lineRule="auto"/>
              <w:rPr>
                <w:rFonts w:ascii="Arial" w:hAnsi="Arial" w:cs="Arial"/>
                <w:bCs/>
              </w:rPr>
            </w:pPr>
            <w:r w:rsidRPr="00F86457">
              <w:rPr>
                <w:rFonts w:ascii="Arial" w:hAnsi="Arial"/>
              </w:rPr>
              <w:t>Al meno</w:t>
            </w:r>
            <w:r w:rsidR="00B14514" w:rsidRPr="00F86457">
              <w:rPr>
                <w:rFonts w:ascii="Arial" w:hAnsi="Arial"/>
              </w:rPr>
              <w:t>s dos empresas emergentes en cad</w:t>
            </w:r>
            <w:r w:rsidRPr="00F86457">
              <w:rPr>
                <w:rFonts w:ascii="Arial" w:hAnsi="Arial"/>
              </w:rPr>
              <w:t>a país beneficiario que inserten una cláusula de arbitraje en un contrato o sometan una controversia a mediación o arbitraje</w:t>
            </w: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E82E38" w:rsidP="00043921">
            <w:pPr>
              <w:rPr>
                <w:bCs/>
                <w:szCs w:val="22"/>
              </w:rPr>
            </w:pPr>
            <w:r w:rsidRPr="00F86457">
              <w:t>Diálogo con las instituciones financieras, los agentes de capital de riesgo y los inversores</w:t>
            </w:r>
          </w:p>
          <w:p w:rsidR="00E82E38" w:rsidRPr="00F86457" w:rsidRDefault="00E82E38" w:rsidP="00043921">
            <w:pPr>
              <w:rPr>
                <w:bCs/>
                <w:szCs w:val="22"/>
              </w:rPr>
            </w:pPr>
          </w:p>
        </w:tc>
        <w:tc>
          <w:tcPr>
            <w:tcW w:w="5636" w:type="dxa"/>
            <w:shd w:val="clear" w:color="auto" w:fill="auto"/>
          </w:tcPr>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Diálogos interactivos en los tres países beneficiarios</w:t>
            </w:r>
          </w:p>
          <w:p w:rsidR="00E82E38" w:rsidRPr="00F86457" w:rsidRDefault="00E82E38" w:rsidP="00043921">
            <w:pPr>
              <w:pStyle w:val="ListParagraph"/>
              <w:rPr>
                <w:rFonts w:ascii="Arial" w:hAnsi="Arial" w:cs="Arial"/>
                <w:bCs/>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Número de participantes en los diálogos procedentes del sector de las aplicaciones móviles y del sector financiero</w:t>
            </w:r>
          </w:p>
          <w:p w:rsidR="00E82E38" w:rsidRPr="00F86457" w:rsidRDefault="00E82E38" w:rsidP="00043921">
            <w:pPr>
              <w:rPr>
                <w:bCs/>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E82E38" w:rsidP="00043921">
            <w:pPr>
              <w:rPr>
                <w:bCs/>
                <w:szCs w:val="22"/>
              </w:rPr>
            </w:pPr>
            <w:r w:rsidRPr="00F86457">
              <w:t>Poner en contacto los centros de TIC de los países beneficiarios</w:t>
            </w:r>
          </w:p>
          <w:p w:rsidR="00E82E38" w:rsidRPr="00F86457" w:rsidRDefault="00E82E38" w:rsidP="00043921">
            <w:pPr>
              <w:rPr>
                <w:bCs/>
                <w:szCs w:val="22"/>
              </w:rPr>
            </w:pPr>
          </w:p>
        </w:tc>
        <w:tc>
          <w:tcPr>
            <w:tcW w:w="5636" w:type="dxa"/>
            <w:shd w:val="clear" w:color="auto" w:fill="auto"/>
          </w:tcPr>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Videoconferencias con la participación de los tres países beneficiarios</w:t>
            </w:r>
          </w:p>
          <w:p w:rsidR="00E82E38" w:rsidRPr="00F86457" w:rsidRDefault="00E82E38" w:rsidP="00043921">
            <w:pPr>
              <w:pStyle w:val="ListParagraph"/>
              <w:rPr>
                <w:rFonts w:ascii="Arial" w:hAnsi="Arial" w:cs="Arial"/>
                <w:bCs/>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Porcentaje de participantes en las videoconfe</w:t>
            </w:r>
            <w:r w:rsidR="005D15DB" w:rsidRPr="00F86457">
              <w:rPr>
                <w:rFonts w:ascii="Arial" w:hAnsi="Arial"/>
                <w:bCs/>
              </w:rPr>
              <w:t>rencias que validan su utilidad</w:t>
            </w:r>
          </w:p>
          <w:p w:rsidR="00E82E38" w:rsidRPr="00F86457" w:rsidRDefault="00E82E38" w:rsidP="005D15DB">
            <w:pPr>
              <w:rPr>
                <w:bCs/>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E82E38" w:rsidP="00043921">
            <w:pPr>
              <w:rPr>
                <w:bCs/>
                <w:szCs w:val="22"/>
              </w:rPr>
            </w:pPr>
            <w:r w:rsidRPr="00F86457">
              <w:t>Material de sensibilización sobre la PI para estudiantes</w:t>
            </w:r>
          </w:p>
          <w:p w:rsidR="00E82E38" w:rsidRPr="00F86457" w:rsidRDefault="00E82E38" w:rsidP="00043921">
            <w:pPr>
              <w:rPr>
                <w:bCs/>
                <w:szCs w:val="22"/>
              </w:rPr>
            </w:pPr>
          </w:p>
        </w:tc>
        <w:tc>
          <w:tcPr>
            <w:tcW w:w="5636" w:type="dxa"/>
            <w:shd w:val="clear" w:color="auto" w:fill="auto"/>
          </w:tcPr>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Material de sensibilización sobre la PI en lenguajes locales hablados en los tres países beneficiarios</w:t>
            </w:r>
          </w:p>
          <w:p w:rsidR="00E82E38" w:rsidRPr="00F86457" w:rsidRDefault="00E82E38" w:rsidP="00043921">
            <w:pPr>
              <w:pStyle w:val="ListParagraph"/>
              <w:rPr>
                <w:rFonts w:ascii="Arial" w:hAnsi="Arial" w:cs="Arial"/>
              </w:rPr>
            </w:pPr>
          </w:p>
          <w:p w:rsidR="00E82E38" w:rsidRPr="00D62C28" w:rsidRDefault="00E82E38" w:rsidP="00D62C28">
            <w:pPr>
              <w:pStyle w:val="ListParagraph"/>
              <w:numPr>
                <w:ilvl w:val="0"/>
                <w:numId w:val="7"/>
              </w:numPr>
              <w:spacing w:after="0" w:line="240" w:lineRule="auto"/>
              <w:rPr>
                <w:rFonts w:ascii="Arial" w:hAnsi="Arial" w:cs="Arial"/>
                <w:bCs/>
              </w:rPr>
            </w:pPr>
            <w:r w:rsidRPr="00F86457">
              <w:rPr>
                <w:rFonts w:ascii="Arial" w:hAnsi="Arial"/>
              </w:rPr>
              <w:t>Porcentaje de estudiantes de cada país beneficiario que validan la utilidad del material para fomentar la sensibilización acerca de la PI</w:t>
            </w:r>
          </w:p>
          <w:p w:rsidR="00D62C28" w:rsidRPr="00D62C28" w:rsidRDefault="00D62C28" w:rsidP="00D62C28">
            <w:pPr>
              <w:rPr>
                <w:bCs/>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E82E38" w:rsidP="00043921">
            <w:pPr>
              <w:rPr>
                <w:bCs/>
                <w:szCs w:val="22"/>
              </w:rPr>
            </w:pPr>
            <w:r w:rsidRPr="00F86457">
              <w:t>Programa de orientación</w:t>
            </w:r>
          </w:p>
          <w:p w:rsidR="00E82E38" w:rsidRPr="00F86457" w:rsidRDefault="00E82E38" w:rsidP="00043921">
            <w:pPr>
              <w:rPr>
                <w:bCs/>
                <w:szCs w:val="22"/>
              </w:rPr>
            </w:pPr>
          </w:p>
        </w:tc>
        <w:tc>
          <w:tcPr>
            <w:tcW w:w="5636" w:type="dxa"/>
            <w:shd w:val="clear" w:color="auto" w:fill="auto"/>
          </w:tcPr>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Como mínimo tres mentores dispuestos a contribuir</w:t>
            </w:r>
          </w:p>
          <w:p w:rsidR="00E82E38" w:rsidRPr="00F86457" w:rsidRDefault="00E82E38" w:rsidP="00043921">
            <w:pPr>
              <w:pStyle w:val="ListParagraph"/>
              <w:rPr>
                <w:rFonts w:ascii="Arial" w:hAnsi="Arial" w:cs="Arial"/>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Al menos dos beneficiarios del programa ejecutado en cada uno de los tres países beneficiarios dispuestos a participar</w:t>
            </w:r>
          </w:p>
          <w:p w:rsidR="00E82E38" w:rsidRPr="00F86457" w:rsidRDefault="00E82E38" w:rsidP="00043921">
            <w:pPr>
              <w:pStyle w:val="ListParagraph"/>
              <w:rPr>
                <w:rFonts w:ascii="Arial" w:hAnsi="Arial" w:cs="Arial"/>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 xml:space="preserve"> Al menos dos empresas emergentes de cada país beneficiario que informen acerca de experiencias satisfactorias/casos de éxito (beneficios prácticos) del programa de orientación encaminado</w:t>
            </w:r>
            <w:r w:rsidR="005D15DB" w:rsidRPr="00F86457">
              <w:rPr>
                <w:rFonts w:ascii="Arial" w:hAnsi="Arial"/>
              </w:rPr>
              <w:t xml:space="preserve"> a intensificar el uso de la PI</w:t>
            </w:r>
          </w:p>
          <w:p w:rsidR="00E82E38" w:rsidRPr="00F86457" w:rsidRDefault="00E82E38" w:rsidP="00043921">
            <w:pPr>
              <w:pStyle w:val="ListParagraph"/>
              <w:rPr>
                <w:rFonts w:ascii="Arial" w:hAnsi="Arial" w:cs="Arial"/>
                <w:bCs/>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5D15DB" w:rsidP="00043921">
            <w:pPr>
              <w:rPr>
                <w:bCs/>
                <w:szCs w:val="22"/>
              </w:rPr>
            </w:pPr>
            <w:r w:rsidRPr="00F86457">
              <w:t>Guía de PI</w:t>
            </w:r>
          </w:p>
          <w:p w:rsidR="00E82E38" w:rsidRPr="00F86457" w:rsidRDefault="00E82E38" w:rsidP="00043921">
            <w:pPr>
              <w:rPr>
                <w:bCs/>
                <w:szCs w:val="22"/>
              </w:rPr>
            </w:pPr>
          </w:p>
        </w:tc>
        <w:tc>
          <w:tcPr>
            <w:tcW w:w="5636" w:type="dxa"/>
            <w:shd w:val="clear" w:color="auto" w:fill="auto"/>
          </w:tcPr>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Guía de PI disponible en los idiomas de trabajo para su uso por parte de los países beneficiarios y otros países interesados</w:t>
            </w:r>
          </w:p>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Porcentaje de beneficiarios (categorías de usuarios por país) que expresan satisfacción respecto del contenido y la accesibilidad de la guía de PI</w:t>
            </w:r>
          </w:p>
          <w:p w:rsidR="00E82E38" w:rsidRPr="00F86457" w:rsidRDefault="00E82E38" w:rsidP="00043921">
            <w:pPr>
              <w:rPr>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E82E38" w:rsidP="00043921">
            <w:pPr>
              <w:rPr>
                <w:bCs/>
                <w:szCs w:val="22"/>
              </w:rPr>
            </w:pPr>
            <w:r w:rsidRPr="00F86457">
              <w:t>Plataforma en línea</w:t>
            </w:r>
          </w:p>
          <w:p w:rsidR="00E82E38" w:rsidRPr="00F86457" w:rsidRDefault="00E82E38" w:rsidP="00043921">
            <w:pPr>
              <w:rPr>
                <w:bCs/>
                <w:szCs w:val="22"/>
              </w:rPr>
            </w:pPr>
          </w:p>
        </w:tc>
        <w:tc>
          <w:tcPr>
            <w:tcW w:w="5636" w:type="dxa"/>
            <w:shd w:val="clear" w:color="auto" w:fill="auto"/>
          </w:tcPr>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Plataforma en línea disponible para su uso por parte de los países beneficiarios y o</w:t>
            </w:r>
            <w:r w:rsidR="005D15DB" w:rsidRPr="00F86457">
              <w:rPr>
                <w:rFonts w:ascii="Arial" w:hAnsi="Arial"/>
                <w:bCs/>
              </w:rPr>
              <w:t>tros países interesados</w:t>
            </w:r>
          </w:p>
          <w:p w:rsidR="00E82E38" w:rsidRPr="00F86457" w:rsidRDefault="00E82E38" w:rsidP="00043921">
            <w:pPr>
              <w:pStyle w:val="ListParagraph"/>
              <w:rPr>
                <w:rFonts w:ascii="Arial" w:hAnsi="Arial" w:cs="Arial"/>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Porcentaje de beneficiarios (categorías de usuarios por país) que valoran positivamente la utilidad de la plataforma orientada a intensificar el uso de la PI o expresan satisfacción al respecto</w:t>
            </w:r>
          </w:p>
          <w:p w:rsidR="00E82E38" w:rsidRPr="00F86457" w:rsidRDefault="00E82E38" w:rsidP="00043921">
            <w:pPr>
              <w:rPr>
                <w:szCs w:val="22"/>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E82E38" w:rsidP="00043921">
            <w:pPr>
              <w:rPr>
                <w:bCs/>
                <w:szCs w:val="22"/>
              </w:rPr>
            </w:pPr>
            <w:r w:rsidRPr="00F86457">
              <w:t>Talleres organi</w:t>
            </w:r>
            <w:r w:rsidR="005D15DB" w:rsidRPr="00F86457">
              <w:t>zados en cada país beneficiario</w:t>
            </w:r>
          </w:p>
        </w:tc>
        <w:tc>
          <w:tcPr>
            <w:tcW w:w="5636" w:type="dxa"/>
            <w:shd w:val="clear" w:color="auto" w:fill="auto"/>
          </w:tcPr>
          <w:p w:rsidR="00E82E38" w:rsidRPr="00F86457" w:rsidRDefault="00E82E38" w:rsidP="00043921">
            <w:pPr>
              <w:pStyle w:val="ListParagraph"/>
              <w:rPr>
                <w:rFonts w:ascii="Arial" w:hAnsi="Arial" w:cs="Arial"/>
                <w:bCs/>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Número y categoría de los participantes por país y taller</w:t>
            </w:r>
          </w:p>
          <w:p w:rsidR="00E82E38" w:rsidRPr="00F86457" w:rsidRDefault="00E82E38" w:rsidP="00043921">
            <w:pPr>
              <w:pStyle w:val="ListParagraph"/>
              <w:rPr>
                <w:rFonts w:ascii="Arial" w:hAnsi="Arial" w:cs="Arial"/>
                <w:bCs/>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Porcentaje de participantes (por país) que expresan satisfacción por el producto de cada taller</w:t>
            </w:r>
          </w:p>
          <w:p w:rsidR="00E82E38" w:rsidRPr="00F86457" w:rsidRDefault="00E82E38" w:rsidP="00043921">
            <w:pPr>
              <w:pStyle w:val="ListParagraph"/>
              <w:rPr>
                <w:rFonts w:ascii="Arial" w:hAnsi="Arial" w:cs="Arial"/>
                <w:bCs/>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Porcentaje de mujeres participantes</w:t>
            </w:r>
          </w:p>
          <w:p w:rsidR="00E82E38" w:rsidRPr="00F86457" w:rsidRDefault="00E82E38" w:rsidP="00E82E38">
            <w:pPr>
              <w:pStyle w:val="ListParagraph"/>
              <w:tabs>
                <w:tab w:val="left" w:pos="3790"/>
              </w:tabs>
              <w:rPr>
                <w:rFonts w:ascii="Arial" w:hAnsi="Arial" w:cs="Arial"/>
                <w:bCs/>
              </w:rPr>
            </w:pPr>
            <w:r w:rsidRPr="00F86457">
              <w:rPr>
                <w:rFonts w:ascii="Arial" w:hAnsi="Arial"/>
                <w:bCs/>
              </w:rPr>
              <w:tab/>
            </w: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E82E38" w:rsidRPr="00F86457" w:rsidRDefault="00E82E38" w:rsidP="00043921">
            <w:pPr>
              <w:rPr>
                <w:bCs/>
                <w:szCs w:val="22"/>
              </w:rPr>
            </w:pPr>
          </w:p>
          <w:p w:rsidR="00E82E38" w:rsidRPr="00F86457" w:rsidRDefault="00E82E38" w:rsidP="00043921">
            <w:pPr>
              <w:rPr>
                <w:bCs/>
                <w:szCs w:val="22"/>
              </w:rPr>
            </w:pPr>
            <w:r w:rsidRPr="00F86457">
              <w:t>Reuniones d</w:t>
            </w:r>
            <w:r w:rsidR="005D15DB" w:rsidRPr="00F86457">
              <w:t>e coordinación en Ginebra</w:t>
            </w:r>
          </w:p>
          <w:p w:rsidR="00E82E38" w:rsidRPr="00F86457" w:rsidRDefault="00E82E38" w:rsidP="00043921">
            <w:pPr>
              <w:rPr>
                <w:bCs/>
                <w:szCs w:val="22"/>
              </w:rPr>
            </w:pPr>
          </w:p>
        </w:tc>
        <w:tc>
          <w:tcPr>
            <w:tcW w:w="5636" w:type="dxa"/>
            <w:shd w:val="clear" w:color="auto" w:fill="auto"/>
          </w:tcPr>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Número de directores de proyecto nacionales/coordinadores nacionales por reunión</w:t>
            </w:r>
          </w:p>
          <w:p w:rsidR="00E82E38" w:rsidRPr="00F86457" w:rsidRDefault="00E82E38" w:rsidP="00043921">
            <w:pPr>
              <w:pStyle w:val="ListParagraph"/>
              <w:rPr>
                <w:rFonts w:ascii="Arial" w:hAnsi="Arial" w:cs="Arial"/>
                <w:bCs/>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Porcentaje de participantes que expresan satisfacción por el producto de cada reunión</w:t>
            </w:r>
          </w:p>
          <w:p w:rsidR="00E82E38" w:rsidRPr="00F86457" w:rsidRDefault="00E82E38" w:rsidP="00043921">
            <w:pPr>
              <w:pStyle w:val="ListParagraph"/>
              <w:rPr>
                <w:rFonts w:ascii="Arial" w:hAnsi="Arial" w:cs="Arial"/>
                <w:bCs/>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bCs/>
              </w:rPr>
              <w:t>Porcentaje de mujeres participantes</w:t>
            </w:r>
          </w:p>
          <w:p w:rsidR="00E82E38" w:rsidRPr="00F86457" w:rsidRDefault="00E82E38" w:rsidP="00043921">
            <w:pPr>
              <w:pStyle w:val="ListParagraph"/>
              <w:rPr>
                <w:rFonts w:ascii="Arial" w:hAnsi="Arial" w:cs="Arial"/>
                <w:bCs/>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E82E38" w:rsidRPr="00F86457" w:rsidRDefault="00E82E38" w:rsidP="00043921">
            <w:pPr>
              <w:rPr>
                <w:i/>
                <w:szCs w:val="22"/>
              </w:rPr>
            </w:pPr>
            <w:r w:rsidRPr="00F86457">
              <w:rPr>
                <w:bCs/>
                <w:i/>
                <w:szCs w:val="22"/>
              </w:rPr>
              <w:lastRenderedPageBreak/>
              <w:t>Objetivos del proyecto</w:t>
            </w:r>
          </w:p>
        </w:tc>
        <w:tc>
          <w:tcPr>
            <w:tcW w:w="5636" w:type="dxa"/>
            <w:shd w:val="clear" w:color="auto" w:fill="auto"/>
          </w:tcPr>
          <w:p w:rsidR="00E82E38" w:rsidRPr="00F86457" w:rsidRDefault="00E82E38" w:rsidP="00043921">
            <w:pPr>
              <w:rPr>
                <w:i/>
                <w:szCs w:val="22"/>
              </w:rPr>
            </w:pPr>
            <w:r w:rsidRPr="00F86457">
              <w:rPr>
                <w:bCs/>
                <w:i/>
                <w:szCs w:val="22"/>
              </w:rPr>
              <w:t>Indicadores de logro del objetivo del proyecto (indicadores de los efectos)</w:t>
            </w: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E82E38" w:rsidRPr="00F86457" w:rsidRDefault="00E82E38" w:rsidP="00043921">
            <w:pPr>
              <w:rPr>
                <w:b/>
                <w:bCs/>
                <w:szCs w:val="22"/>
              </w:rPr>
            </w:pPr>
          </w:p>
          <w:p w:rsidR="00E82E38" w:rsidRPr="00F86457" w:rsidRDefault="00E82E38" w:rsidP="00043921">
            <w:pPr>
              <w:rPr>
                <w:bCs/>
                <w:szCs w:val="22"/>
              </w:rPr>
            </w:pPr>
            <w:r w:rsidRPr="00F86457">
              <w:t>Cont</w:t>
            </w:r>
            <w:r w:rsidR="005D15DB" w:rsidRPr="00F86457">
              <w:t>ribuir al crecimiento económico</w:t>
            </w:r>
          </w:p>
          <w:p w:rsidR="00E82E38" w:rsidRPr="00F86457" w:rsidRDefault="00E82E38" w:rsidP="00043921">
            <w:pPr>
              <w:rPr>
                <w:b/>
                <w:bCs/>
                <w:szCs w:val="22"/>
              </w:rPr>
            </w:pPr>
          </w:p>
        </w:tc>
        <w:tc>
          <w:tcPr>
            <w:tcW w:w="5636" w:type="dxa"/>
            <w:shd w:val="clear" w:color="auto" w:fill="auto"/>
          </w:tcPr>
          <w:p w:rsidR="00E82E38" w:rsidRPr="00F86457" w:rsidRDefault="00E82E38" w:rsidP="00043921">
            <w:pPr>
              <w:rPr>
                <w:bCs/>
                <w:szCs w:val="22"/>
              </w:rPr>
            </w:pPr>
          </w:p>
          <w:p w:rsidR="00E82E38" w:rsidRPr="00F86457" w:rsidRDefault="00E82E38" w:rsidP="00E82E38">
            <w:pPr>
              <w:pStyle w:val="ListParagraph"/>
              <w:numPr>
                <w:ilvl w:val="0"/>
                <w:numId w:val="7"/>
              </w:numPr>
              <w:spacing w:after="0" w:line="240" w:lineRule="auto"/>
              <w:rPr>
                <w:rFonts w:ascii="Arial" w:hAnsi="Arial" w:cs="Arial"/>
                <w:bCs/>
              </w:rPr>
            </w:pPr>
            <w:r w:rsidRPr="00F86457">
              <w:rPr>
                <w:rFonts w:ascii="Arial" w:hAnsi="Arial"/>
              </w:rPr>
              <w:t xml:space="preserve">Datos de al menos dos países beneficiarios que demuestren efectos positivos a través de estudios de casos y ejemplos de éxito del proyecto sobre el fortalecimiento del sector local de </w:t>
            </w:r>
            <w:r w:rsidRPr="00F86457">
              <w:rPr>
                <w:rFonts w:ascii="Arial" w:hAnsi="Arial"/>
                <w:i/>
                <w:iCs/>
              </w:rPr>
              <w:t>software</w:t>
            </w:r>
          </w:p>
          <w:p w:rsidR="00E82E38" w:rsidRPr="00F86457" w:rsidRDefault="00E82E38" w:rsidP="00043921">
            <w:pPr>
              <w:pStyle w:val="ListParagraph"/>
              <w:rPr>
                <w:rFonts w:ascii="Arial" w:hAnsi="Arial" w:cs="Arial"/>
                <w:bCs/>
              </w:rPr>
            </w:pPr>
            <w:r w:rsidRPr="00F86457">
              <w:rPr>
                <w:rFonts w:ascii="Arial" w:hAnsi="Arial"/>
                <w:bCs/>
              </w:rPr>
              <w:t xml:space="preserve"> </w:t>
            </w: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E82E38" w:rsidRPr="00F86457" w:rsidRDefault="00E82E38" w:rsidP="00043921">
            <w:pPr>
              <w:rPr>
                <w:b/>
                <w:bCs/>
                <w:szCs w:val="22"/>
              </w:rPr>
            </w:pPr>
          </w:p>
          <w:p w:rsidR="00E82E38" w:rsidRPr="00F86457" w:rsidRDefault="00E82E38" w:rsidP="00043921">
            <w:pPr>
              <w:rPr>
                <w:bCs/>
                <w:szCs w:val="22"/>
              </w:rPr>
            </w:pPr>
            <w:r w:rsidRPr="00F86457">
              <w:t>Aumentar la financiación y las opciones comerciales para las aplicaciones móviles</w:t>
            </w:r>
          </w:p>
          <w:p w:rsidR="00E82E38" w:rsidRPr="00F86457" w:rsidRDefault="00E82E38" w:rsidP="00043921">
            <w:pPr>
              <w:rPr>
                <w:b/>
                <w:bCs/>
                <w:szCs w:val="22"/>
              </w:rPr>
            </w:pPr>
          </w:p>
          <w:p w:rsidR="00E82E38" w:rsidRPr="00F86457" w:rsidRDefault="00E82E38" w:rsidP="00043921">
            <w:pPr>
              <w:rPr>
                <w:b/>
                <w:bCs/>
                <w:szCs w:val="22"/>
              </w:rPr>
            </w:pPr>
          </w:p>
        </w:tc>
        <w:tc>
          <w:tcPr>
            <w:tcW w:w="5636" w:type="dxa"/>
            <w:shd w:val="clear" w:color="auto" w:fill="auto"/>
          </w:tcPr>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Al menos dos empresas emergentes de cada país beneficiario que informen acerca de la utilidad del proyecto para obtener financiación basada en la PI o colaboración con una institución de investigación, centro de TIC o protagonista del sector</w:t>
            </w:r>
          </w:p>
          <w:p w:rsidR="00E82E38" w:rsidRPr="00F86457" w:rsidRDefault="00E82E38" w:rsidP="00043921">
            <w:pPr>
              <w:pStyle w:val="ListParagraph"/>
              <w:rPr>
                <w:rFonts w:ascii="Arial" w:hAnsi="Arial" w:cs="Arial"/>
              </w:rPr>
            </w:pPr>
          </w:p>
          <w:p w:rsidR="00E82E38" w:rsidRPr="00F86457" w:rsidRDefault="00E82E38" w:rsidP="005D15DB">
            <w:pPr>
              <w:rPr>
                <w:bCs/>
              </w:rPr>
            </w:pPr>
          </w:p>
        </w:tc>
      </w:tr>
      <w:tr w:rsidR="00E82E38" w:rsidRPr="00F86457" w:rsidTr="0004392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E82E38" w:rsidRPr="00F86457" w:rsidRDefault="00E82E38" w:rsidP="00043921">
            <w:pPr>
              <w:rPr>
                <w:b/>
                <w:bCs/>
                <w:szCs w:val="22"/>
              </w:rPr>
            </w:pPr>
          </w:p>
          <w:p w:rsidR="00E82E38" w:rsidRPr="00F86457" w:rsidRDefault="005D15DB" w:rsidP="00043921">
            <w:pPr>
              <w:rPr>
                <w:bCs/>
                <w:szCs w:val="22"/>
              </w:rPr>
            </w:pPr>
            <w:r w:rsidRPr="00F86457">
              <w:t>Fomentar el respe</w:t>
            </w:r>
            <w:r w:rsidR="00E82E38" w:rsidRPr="00F86457">
              <w:t xml:space="preserve">to por la PI en el sector del </w:t>
            </w:r>
            <w:r w:rsidR="00E82E38" w:rsidRPr="00F86457">
              <w:rPr>
                <w:i/>
                <w:iCs/>
              </w:rPr>
              <w:t>software</w:t>
            </w:r>
          </w:p>
          <w:p w:rsidR="00E82E38" w:rsidRPr="00F86457" w:rsidRDefault="00E82E38" w:rsidP="00043921">
            <w:pPr>
              <w:rPr>
                <w:b/>
                <w:bCs/>
                <w:szCs w:val="22"/>
              </w:rPr>
            </w:pPr>
          </w:p>
        </w:tc>
        <w:tc>
          <w:tcPr>
            <w:tcW w:w="5636" w:type="dxa"/>
            <w:shd w:val="clear" w:color="auto" w:fill="auto"/>
          </w:tcPr>
          <w:p w:rsidR="00E82E38" w:rsidRPr="00F86457" w:rsidRDefault="00E82E38" w:rsidP="00043921">
            <w:pPr>
              <w:rPr>
                <w:szCs w:val="22"/>
              </w:rPr>
            </w:pPr>
          </w:p>
          <w:p w:rsidR="00E82E38" w:rsidRPr="00F86457" w:rsidRDefault="00E82E38" w:rsidP="00E82E38">
            <w:pPr>
              <w:pStyle w:val="ListParagraph"/>
              <w:numPr>
                <w:ilvl w:val="0"/>
                <w:numId w:val="7"/>
              </w:numPr>
              <w:spacing w:after="0" w:line="240" w:lineRule="auto"/>
              <w:rPr>
                <w:rFonts w:ascii="Arial" w:hAnsi="Arial" w:cs="Arial"/>
              </w:rPr>
            </w:pPr>
            <w:r w:rsidRPr="00F86457">
              <w:rPr>
                <w:rFonts w:ascii="Arial" w:hAnsi="Arial"/>
              </w:rPr>
              <w:t>Al menos dos empresas emergentes de cada país beneficiario que informen a través de estudios de casos y ejemplos de éxito de la utilidad del proyecto para la observancia de sus derechos de PI, así como para evitar o dirimir una controversia</w:t>
            </w:r>
          </w:p>
          <w:p w:rsidR="00E82E38" w:rsidRPr="00F86457" w:rsidRDefault="00E82E38" w:rsidP="00043921">
            <w:pPr>
              <w:ind w:left="360"/>
              <w:rPr>
                <w:szCs w:val="22"/>
              </w:rPr>
            </w:pPr>
          </w:p>
        </w:tc>
      </w:tr>
    </w:tbl>
    <w:p w:rsidR="00E82E38" w:rsidRPr="00F86457" w:rsidRDefault="00E82E38" w:rsidP="00E82E38">
      <w:pPr>
        <w:pStyle w:val="Endofdocument-Annex"/>
        <w:ind w:left="0"/>
        <w:rPr>
          <w:szCs w:val="22"/>
        </w:rPr>
        <w:sectPr w:rsidR="00E82E38" w:rsidRPr="00F86457" w:rsidSect="00E82E38">
          <w:headerReference w:type="default" r:id="rId10"/>
          <w:headerReference w:type="first" r:id="rId11"/>
          <w:pgSz w:w="11907" w:h="16840" w:code="9"/>
          <w:pgMar w:top="567" w:right="1134" w:bottom="1418" w:left="1418" w:header="510" w:footer="1021" w:gutter="0"/>
          <w:pgNumType w:start="1"/>
          <w:cols w:space="720"/>
          <w:titlePg/>
          <w:docGrid w:linePitch="299"/>
        </w:sectPr>
      </w:pPr>
    </w:p>
    <w:p w:rsidR="00E82E38" w:rsidRPr="00F86457" w:rsidRDefault="00E82E38" w:rsidP="00E82E38">
      <w:pPr>
        <w:pStyle w:val="Heading2"/>
        <w:numPr>
          <w:ilvl w:val="0"/>
          <w:numId w:val="8"/>
        </w:numPr>
        <w:tabs>
          <w:tab w:val="left" w:pos="709"/>
        </w:tabs>
        <w:ind w:hanging="720"/>
        <w:rPr>
          <w:szCs w:val="22"/>
        </w:rPr>
      </w:pPr>
      <w:r w:rsidRPr="00F86457">
        <w:lastRenderedPageBreak/>
        <w:t>TOTAL DE RECURSOS POR RESULTADOS</w:t>
      </w:r>
    </w:p>
    <w:p w:rsidR="00E82E38" w:rsidRPr="00F86457" w:rsidRDefault="00E82E38" w:rsidP="00E82E38">
      <w:pPr>
        <w:rPr>
          <w:szCs w:val="22"/>
        </w:rPr>
      </w:pPr>
    </w:p>
    <w:p w:rsidR="00E82E38" w:rsidRPr="00F86457" w:rsidRDefault="00E82E38" w:rsidP="00E82E38">
      <w:pPr>
        <w:rPr>
          <w:szCs w:val="22"/>
        </w:rPr>
      </w:pPr>
      <w:r w:rsidRPr="00F86457">
        <w:t>a) Año 2019*</w:t>
      </w:r>
    </w:p>
    <w:p w:rsidR="00E82E38" w:rsidRPr="00F86457" w:rsidRDefault="00E82E38" w:rsidP="00E82E38">
      <w:pPr>
        <w:rPr>
          <w:szCs w:val="22"/>
        </w:rPr>
      </w:pPr>
    </w:p>
    <w:tbl>
      <w:tblPr>
        <w:tblW w:w="10440" w:type="dxa"/>
        <w:tblInd w:w="93" w:type="dxa"/>
        <w:tblLook w:val="04A0" w:firstRow="1" w:lastRow="0" w:firstColumn="1" w:lastColumn="0" w:noHBand="0" w:noVBand="1"/>
      </w:tblPr>
      <w:tblGrid>
        <w:gridCol w:w="4600"/>
        <w:gridCol w:w="1180"/>
        <w:gridCol w:w="1240"/>
        <w:gridCol w:w="1180"/>
        <w:gridCol w:w="1180"/>
        <w:gridCol w:w="1060"/>
      </w:tblGrid>
      <w:tr w:rsidR="00E82E38" w:rsidRPr="00F86457" w:rsidTr="00043921">
        <w:trPr>
          <w:trHeight w:val="263"/>
        </w:trPr>
        <w:tc>
          <w:tcPr>
            <w:tcW w:w="4600" w:type="dxa"/>
            <w:tcBorders>
              <w:top w:val="single" w:sz="4" w:space="0" w:color="auto"/>
              <w:left w:val="single" w:sz="4" w:space="0" w:color="auto"/>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Productos del proyecto</w:t>
            </w:r>
          </w:p>
        </w:tc>
        <w:tc>
          <w:tcPr>
            <w:tcW w:w="2420" w:type="dxa"/>
            <w:gridSpan w:val="2"/>
            <w:tcBorders>
              <w:top w:val="single" w:sz="4" w:space="0" w:color="auto"/>
              <w:left w:val="nil"/>
              <w:bottom w:val="nil"/>
              <w:right w:val="nil"/>
            </w:tcBorders>
            <w:shd w:val="clear" w:color="000000" w:fill="DCE6F1"/>
            <w:vAlign w:val="bottom"/>
            <w:hideMark/>
          </w:tcPr>
          <w:p w:rsidR="00E82E38" w:rsidRPr="00F86457" w:rsidRDefault="00E82E38" w:rsidP="00043921">
            <w:pPr>
              <w:jc w:val="center"/>
              <w:rPr>
                <w:rFonts w:eastAsia="Times New Roman"/>
                <w:b/>
                <w:bCs/>
                <w:color w:val="000000"/>
                <w:szCs w:val="22"/>
              </w:rPr>
            </w:pPr>
            <w:r w:rsidRPr="00F86457">
              <w:rPr>
                <w:b/>
                <w:bCs/>
                <w:color w:val="000000"/>
                <w:szCs w:val="22"/>
              </w:rPr>
              <w:t>2019</w:t>
            </w:r>
          </w:p>
        </w:tc>
        <w:tc>
          <w:tcPr>
            <w:tcW w:w="2360" w:type="dxa"/>
            <w:gridSpan w:val="2"/>
            <w:tcBorders>
              <w:top w:val="single" w:sz="4" w:space="0" w:color="auto"/>
              <w:left w:val="nil"/>
              <w:bottom w:val="nil"/>
              <w:right w:val="nil"/>
            </w:tcBorders>
            <w:shd w:val="clear" w:color="000000" w:fill="DCE6F1"/>
            <w:vAlign w:val="bottom"/>
            <w:hideMark/>
          </w:tcPr>
          <w:p w:rsidR="00E82E38" w:rsidRPr="00F86457" w:rsidRDefault="00E82E38" w:rsidP="00043921">
            <w:pPr>
              <w:jc w:val="center"/>
              <w:rPr>
                <w:rFonts w:eastAsia="Times New Roman"/>
                <w:b/>
                <w:bCs/>
                <w:color w:val="000000"/>
                <w:szCs w:val="22"/>
              </w:rPr>
            </w:pPr>
            <w:r w:rsidRPr="00F86457">
              <w:rPr>
                <w:b/>
                <w:bCs/>
                <w:color w:val="000000"/>
                <w:szCs w:val="22"/>
              </w:rPr>
              <w:t>Total</w:t>
            </w:r>
          </w:p>
        </w:tc>
        <w:tc>
          <w:tcPr>
            <w:tcW w:w="1060" w:type="dxa"/>
            <w:tcBorders>
              <w:top w:val="single" w:sz="4" w:space="0" w:color="auto"/>
              <w:left w:val="nil"/>
              <w:bottom w:val="nil"/>
              <w:right w:val="single" w:sz="4" w:space="0" w:color="auto"/>
            </w:tcBorders>
            <w:shd w:val="clear" w:color="000000" w:fill="DCE6F1"/>
            <w:vAlign w:val="center"/>
            <w:hideMark/>
          </w:tcPr>
          <w:p w:rsidR="00E82E38" w:rsidRPr="00F86457" w:rsidRDefault="00E82E38" w:rsidP="00043921">
            <w:pPr>
              <w:jc w:val="center"/>
              <w:rPr>
                <w:rFonts w:eastAsia="Times New Roman"/>
                <w:b/>
                <w:bCs/>
                <w:color w:val="000000"/>
                <w:szCs w:val="22"/>
              </w:rPr>
            </w:pPr>
            <w:r w:rsidRPr="00F86457">
              <w:rPr>
                <w:b/>
                <w:bCs/>
                <w:color w:val="000000"/>
                <w:szCs w:val="22"/>
              </w:rPr>
              <w:t>Total</w:t>
            </w:r>
          </w:p>
        </w:tc>
      </w:tr>
      <w:tr w:rsidR="00E82E38" w:rsidRPr="00F86457" w:rsidTr="00043921">
        <w:trPr>
          <w:trHeight w:val="589"/>
        </w:trPr>
        <w:tc>
          <w:tcPr>
            <w:tcW w:w="4600" w:type="dxa"/>
            <w:tcBorders>
              <w:top w:val="nil"/>
              <w:left w:val="single" w:sz="4" w:space="0" w:color="auto"/>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 </w:t>
            </w:r>
          </w:p>
        </w:tc>
        <w:tc>
          <w:tcPr>
            <w:tcW w:w="118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De personal</w:t>
            </w:r>
          </w:p>
        </w:tc>
        <w:tc>
          <w:tcPr>
            <w:tcW w:w="124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No relativos a personal</w:t>
            </w:r>
          </w:p>
        </w:tc>
        <w:tc>
          <w:tcPr>
            <w:tcW w:w="118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De personal</w:t>
            </w:r>
          </w:p>
        </w:tc>
        <w:tc>
          <w:tcPr>
            <w:tcW w:w="118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No relativos a personal</w:t>
            </w:r>
          </w:p>
        </w:tc>
        <w:tc>
          <w:tcPr>
            <w:tcW w:w="1060" w:type="dxa"/>
            <w:tcBorders>
              <w:top w:val="nil"/>
              <w:left w:val="nil"/>
              <w:bottom w:val="nil"/>
              <w:right w:val="single" w:sz="4" w:space="0" w:color="auto"/>
            </w:tcBorders>
            <w:shd w:val="clear" w:color="000000" w:fill="DCE6F1"/>
            <w:vAlign w:val="bottom"/>
            <w:hideMark/>
          </w:tcPr>
          <w:p w:rsidR="00E82E38" w:rsidRPr="00F86457" w:rsidRDefault="00E82E38" w:rsidP="00043921">
            <w:pPr>
              <w:rPr>
                <w:rFonts w:eastAsia="Times New Roman"/>
                <w:b/>
                <w:bCs/>
                <w:color w:val="000000"/>
                <w:szCs w:val="22"/>
              </w:rPr>
            </w:pPr>
            <w:r w:rsidRPr="00F86457">
              <w:rPr>
                <w:b/>
                <w:bCs/>
                <w:color w:val="000000"/>
                <w:szCs w:val="22"/>
              </w:rPr>
              <w:t> </w:t>
            </w:r>
          </w:p>
        </w:tc>
      </w:tr>
      <w:tr w:rsidR="00E82E38" w:rsidRPr="00F86457" w:rsidTr="00043921">
        <w:trPr>
          <w:trHeight w:val="383"/>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Estudio exploratorio</w:t>
            </w:r>
          </w:p>
        </w:tc>
        <w:tc>
          <w:tcPr>
            <w:tcW w:w="1180" w:type="dxa"/>
            <w:tcBorders>
              <w:top w:val="nil"/>
              <w:left w:val="nil"/>
              <w:bottom w:val="nil"/>
              <w:right w:val="nil"/>
            </w:tcBorders>
            <w:shd w:val="clear" w:color="auto" w:fill="auto"/>
            <w:vAlign w:val="bottom"/>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vAlign w:val="bottom"/>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1180" w:type="dxa"/>
            <w:tcBorders>
              <w:top w:val="nil"/>
              <w:left w:val="nil"/>
              <w:bottom w:val="nil"/>
              <w:right w:val="nil"/>
            </w:tcBorders>
            <w:shd w:val="clear" w:color="auto" w:fill="auto"/>
            <w:vAlign w:val="bottom"/>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vAlign w:val="bottom"/>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1060" w:type="dxa"/>
            <w:tcBorders>
              <w:top w:val="nil"/>
              <w:left w:val="nil"/>
              <w:bottom w:val="nil"/>
              <w:right w:val="single" w:sz="4" w:space="0" w:color="auto"/>
            </w:tcBorders>
            <w:shd w:val="clear" w:color="auto" w:fill="auto"/>
            <w:vAlign w:val="bottom"/>
            <w:hideMark/>
          </w:tcPr>
          <w:p w:rsidR="00E82E38" w:rsidRPr="00F86457" w:rsidRDefault="00E82E38" w:rsidP="00043921">
            <w:pPr>
              <w:jc w:val="right"/>
              <w:rPr>
                <w:rFonts w:eastAsia="Times New Roman"/>
                <w:color w:val="000000"/>
                <w:szCs w:val="22"/>
              </w:rPr>
            </w:pPr>
            <w:r w:rsidRPr="00F86457">
              <w:rPr>
                <w:color w:val="000000"/>
                <w:szCs w:val="22"/>
              </w:rPr>
              <w:t>20.000</w:t>
            </w:r>
          </w:p>
        </w:tc>
      </w:tr>
      <w:tr w:rsidR="00E82E38" w:rsidRPr="00F86457" w:rsidTr="00043921">
        <w:trPr>
          <w:trHeight w:val="323"/>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Primera reunión con los coordinadores nacionales</w:t>
            </w:r>
          </w:p>
        </w:tc>
        <w:tc>
          <w:tcPr>
            <w:tcW w:w="1180" w:type="dxa"/>
            <w:tcBorders>
              <w:top w:val="nil"/>
              <w:left w:val="nil"/>
              <w:bottom w:val="nil"/>
              <w:right w:val="nil"/>
            </w:tcBorders>
            <w:shd w:val="clear" w:color="auto" w:fill="auto"/>
            <w:vAlign w:val="bottom"/>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1060" w:type="dxa"/>
            <w:tcBorders>
              <w:top w:val="nil"/>
              <w:left w:val="nil"/>
              <w:bottom w:val="nil"/>
              <w:right w:val="single" w:sz="4" w:space="0" w:color="auto"/>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20.000</w:t>
            </w:r>
          </w:p>
        </w:tc>
      </w:tr>
      <w:tr w:rsidR="00E82E38" w:rsidRPr="00F86457" w:rsidTr="00043921">
        <w:trPr>
          <w:trHeight w:val="612"/>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Primeros talleres en los tres países beneficiarios</w:t>
            </w:r>
          </w:p>
        </w:tc>
        <w:tc>
          <w:tcPr>
            <w:tcW w:w="1180" w:type="dxa"/>
            <w:tcBorders>
              <w:top w:val="nil"/>
              <w:left w:val="nil"/>
              <w:bottom w:val="nil"/>
              <w:right w:val="nil"/>
            </w:tcBorders>
            <w:shd w:val="clear" w:color="auto" w:fill="auto"/>
            <w:vAlign w:val="bottom"/>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30.000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30.000</w:t>
            </w:r>
          </w:p>
        </w:tc>
        <w:tc>
          <w:tcPr>
            <w:tcW w:w="1060" w:type="dxa"/>
            <w:tcBorders>
              <w:top w:val="nil"/>
              <w:left w:val="nil"/>
              <w:bottom w:val="nil"/>
              <w:right w:val="single" w:sz="4" w:space="0" w:color="auto"/>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30.000</w:t>
            </w:r>
          </w:p>
        </w:tc>
      </w:tr>
      <w:tr w:rsidR="00E82E38" w:rsidRPr="00F86457" w:rsidTr="00043921">
        <w:trPr>
          <w:trHeight w:val="612"/>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Traducción de la publicación de la OMPI sobre l</w:t>
            </w:r>
            <w:r w:rsidR="005D15DB" w:rsidRPr="00F86457">
              <w:rPr>
                <w:color w:val="000000"/>
                <w:szCs w:val="22"/>
              </w:rPr>
              <w:t>a PI y las aplicaciones móviles</w:t>
            </w:r>
          </w:p>
        </w:tc>
        <w:tc>
          <w:tcPr>
            <w:tcW w:w="1180" w:type="dxa"/>
            <w:tcBorders>
              <w:top w:val="nil"/>
              <w:left w:val="nil"/>
              <w:bottom w:val="nil"/>
              <w:right w:val="nil"/>
            </w:tcBorders>
            <w:shd w:val="clear" w:color="auto" w:fill="auto"/>
            <w:vAlign w:val="bottom"/>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30.000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30.000</w:t>
            </w:r>
          </w:p>
        </w:tc>
        <w:tc>
          <w:tcPr>
            <w:tcW w:w="1060" w:type="dxa"/>
            <w:tcBorders>
              <w:top w:val="nil"/>
              <w:left w:val="nil"/>
              <w:bottom w:val="nil"/>
              <w:right w:val="single" w:sz="4" w:space="0" w:color="auto"/>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30.000</w:t>
            </w:r>
          </w:p>
        </w:tc>
      </w:tr>
      <w:tr w:rsidR="00E82E38" w:rsidRPr="00F86457" w:rsidTr="00043921">
        <w:trPr>
          <w:trHeight w:val="255"/>
        </w:trPr>
        <w:tc>
          <w:tcPr>
            <w:tcW w:w="4600" w:type="dxa"/>
            <w:tcBorders>
              <w:top w:val="nil"/>
              <w:left w:val="single" w:sz="4" w:space="0" w:color="auto"/>
              <w:bottom w:val="single" w:sz="4" w:space="0" w:color="auto"/>
              <w:right w:val="nil"/>
            </w:tcBorders>
            <w:shd w:val="clear" w:color="auto" w:fill="auto"/>
            <w:vAlign w:val="bottom"/>
            <w:hideMark/>
          </w:tcPr>
          <w:p w:rsidR="00E82E38" w:rsidRPr="00F86457" w:rsidRDefault="00E82E38" w:rsidP="00043921">
            <w:pPr>
              <w:rPr>
                <w:rFonts w:eastAsia="Times New Roman"/>
                <w:b/>
                <w:bCs/>
                <w:color w:val="000000"/>
                <w:szCs w:val="22"/>
              </w:rPr>
            </w:pPr>
            <w:r w:rsidRPr="00F86457">
              <w:rPr>
                <w:b/>
                <w:bCs/>
                <w:color w:val="000000"/>
                <w:szCs w:val="22"/>
              </w:rPr>
              <w:t>Total</w:t>
            </w:r>
          </w:p>
        </w:tc>
        <w:tc>
          <w:tcPr>
            <w:tcW w:w="1180" w:type="dxa"/>
            <w:tcBorders>
              <w:top w:val="nil"/>
              <w:left w:val="nil"/>
              <w:bottom w:val="single" w:sz="4" w:space="0" w:color="auto"/>
              <w:right w:val="nil"/>
            </w:tcBorders>
            <w:shd w:val="clear" w:color="auto" w:fill="auto"/>
            <w:vAlign w:val="bottom"/>
            <w:hideMark/>
          </w:tcPr>
          <w:p w:rsidR="00E82E38" w:rsidRPr="00F86457" w:rsidRDefault="00E82E38" w:rsidP="00043921">
            <w:pPr>
              <w:rPr>
                <w:rFonts w:eastAsia="Times New Roman"/>
                <w:b/>
                <w:bCs/>
                <w:color w:val="000000"/>
                <w:szCs w:val="22"/>
              </w:rPr>
            </w:pPr>
            <w:r w:rsidRPr="00F86457">
              <w:rPr>
                <w:b/>
                <w:bCs/>
                <w:color w:val="000000"/>
                <w:szCs w:val="22"/>
              </w:rPr>
              <w:t> </w:t>
            </w:r>
          </w:p>
        </w:tc>
        <w:tc>
          <w:tcPr>
            <w:tcW w:w="1240" w:type="dxa"/>
            <w:tcBorders>
              <w:top w:val="nil"/>
              <w:left w:val="nil"/>
              <w:bottom w:val="single" w:sz="4" w:space="0" w:color="auto"/>
              <w:right w:val="nil"/>
            </w:tcBorders>
            <w:shd w:val="clear" w:color="auto" w:fill="auto"/>
            <w:hideMark/>
          </w:tcPr>
          <w:p w:rsidR="00E82E38" w:rsidRPr="00F86457" w:rsidRDefault="00E82E38" w:rsidP="00043921">
            <w:pPr>
              <w:jc w:val="right"/>
              <w:rPr>
                <w:rFonts w:eastAsia="Times New Roman"/>
                <w:b/>
                <w:bCs/>
                <w:color w:val="000000"/>
                <w:szCs w:val="22"/>
              </w:rPr>
            </w:pPr>
            <w:r w:rsidRPr="00F86457">
              <w:rPr>
                <w:b/>
                <w:bCs/>
                <w:color w:val="000000"/>
                <w:szCs w:val="22"/>
              </w:rPr>
              <w:t>100.000</w:t>
            </w:r>
          </w:p>
        </w:tc>
        <w:tc>
          <w:tcPr>
            <w:tcW w:w="1180" w:type="dxa"/>
            <w:tcBorders>
              <w:top w:val="nil"/>
              <w:left w:val="nil"/>
              <w:bottom w:val="single" w:sz="4" w:space="0" w:color="auto"/>
              <w:right w:val="nil"/>
            </w:tcBorders>
            <w:shd w:val="clear" w:color="auto" w:fill="auto"/>
            <w:hideMark/>
          </w:tcPr>
          <w:p w:rsidR="00E82E38" w:rsidRPr="00F86457" w:rsidRDefault="00E82E38" w:rsidP="00043921">
            <w:pPr>
              <w:rPr>
                <w:rFonts w:eastAsia="Times New Roman"/>
                <w:b/>
                <w:bCs/>
                <w:color w:val="000000"/>
                <w:szCs w:val="22"/>
              </w:rPr>
            </w:pPr>
            <w:r w:rsidRPr="00F86457">
              <w:rPr>
                <w:b/>
                <w:bCs/>
                <w:color w:val="000000"/>
                <w:szCs w:val="22"/>
              </w:rPr>
              <w:t> </w:t>
            </w:r>
          </w:p>
        </w:tc>
        <w:tc>
          <w:tcPr>
            <w:tcW w:w="1180" w:type="dxa"/>
            <w:tcBorders>
              <w:top w:val="nil"/>
              <w:left w:val="nil"/>
              <w:bottom w:val="single" w:sz="4" w:space="0" w:color="auto"/>
              <w:right w:val="nil"/>
            </w:tcBorders>
            <w:shd w:val="clear" w:color="auto" w:fill="auto"/>
            <w:hideMark/>
          </w:tcPr>
          <w:p w:rsidR="00E82E38" w:rsidRPr="00F86457" w:rsidRDefault="00E82E38" w:rsidP="00043921">
            <w:pPr>
              <w:jc w:val="right"/>
              <w:rPr>
                <w:rFonts w:eastAsia="Times New Roman"/>
                <w:b/>
                <w:bCs/>
                <w:color w:val="000000"/>
                <w:szCs w:val="22"/>
              </w:rPr>
            </w:pPr>
            <w:r w:rsidRPr="00F86457">
              <w:rPr>
                <w:b/>
                <w:bCs/>
                <w:color w:val="000000"/>
                <w:szCs w:val="22"/>
              </w:rPr>
              <w:t>100.000</w:t>
            </w:r>
          </w:p>
        </w:tc>
        <w:tc>
          <w:tcPr>
            <w:tcW w:w="1060" w:type="dxa"/>
            <w:tcBorders>
              <w:top w:val="nil"/>
              <w:left w:val="nil"/>
              <w:bottom w:val="single" w:sz="4" w:space="0" w:color="auto"/>
              <w:right w:val="single" w:sz="4" w:space="0" w:color="auto"/>
            </w:tcBorders>
            <w:shd w:val="clear" w:color="auto" w:fill="auto"/>
            <w:hideMark/>
          </w:tcPr>
          <w:p w:rsidR="00E82E38" w:rsidRPr="00F86457" w:rsidRDefault="00E82E38" w:rsidP="00043921">
            <w:pPr>
              <w:jc w:val="right"/>
              <w:rPr>
                <w:rFonts w:eastAsia="Times New Roman"/>
                <w:b/>
                <w:bCs/>
                <w:color w:val="000000"/>
                <w:szCs w:val="22"/>
              </w:rPr>
            </w:pPr>
            <w:r w:rsidRPr="00F86457">
              <w:rPr>
                <w:b/>
                <w:bCs/>
                <w:color w:val="000000"/>
                <w:szCs w:val="22"/>
              </w:rPr>
              <w:t>100.000</w:t>
            </w:r>
          </w:p>
        </w:tc>
      </w:tr>
    </w:tbl>
    <w:p w:rsidR="00E82E38" w:rsidRPr="00F86457" w:rsidRDefault="00E82E38" w:rsidP="00E82E38">
      <w:pPr>
        <w:spacing w:after="200" w:line="276" w:lineRule="auto"/>
        <w:rPr>
          <w:szCs w:val="22"/>
        </w:rPr>
      </w:pPr>
    </w:p>
    <w:p w:rsidR="00E82E38" w:rsidRPr="00F86457" w:rsidRDefault="00E82E38" w:rsidP="00E82E38">
      <w:pPr>
        <w:spacing w:after="200" w:line="276" w:lineRule="auto"/>
        <w:rPr>
          <w:szCs w:val="22"/>
        </w:rPr>
      </w:pPr>
      <w:r w:rsidRPr="00F86457">
        <w:br w:type="page"/>
      </w:r>
    </w:p>
    <w:p w:rsidR="00E82E38" w:rsidRPr="00F86457" w:rsidRDefault="00E82E38" w:rsidP="00E82E38">
      <w:pPr>
        <w:rPr>
          <w:szCs w:val="22"/>
        </w:rPr>
      </w:pPr>
      <w:r w:rsidRPr="00F86457">
        <w:lastRenderedPageBreak/>
        <w:t>b) Bienio 2020-2021*</w:t>
      </w:r>
      <w:r w:rsidRPr="00F86457">
        <w:rPr>
          <w:rStyle w:val="FootnoteReference"/>
          <w:szCs w:val="22"/>
        </w:rPr>
        <w:footnoteReference w:id="2"/>
      </w:r>
    </w:p>
    <w:tbl>
      <w:tblPr>
        <w:tblW w:w="12560" w:type="dxa"/>
        <w:tblInd w:w="93" w:type="dxa"/>
        <w:tblLook w:val="04A0" w:firstRow="1" w:lastRow="0" w:firstColumn="1" w:lastColumn="0" w:noHBand="0" w:noVBand="1"/>
      </w:tblPr>
      <w:tblGrid>
        <w:gridCol w:w="4533"/>
        <w:gridCol w:w="1179"/>
        <w:gridCol w:w="1237"/>
        <w:gridCol w:w="1179"/>
        <w:gridCol w:w="1179"/>
        <w:gridCol w:w="1133"/>
        <w:gridCol w:w="1160"/>
        <w:gridCol w:w="960"/>
      </w:tblGrid>
      <w:tr w:rsidR="00E82E38" w:rsidRPr="00F86457" w:rsidTr="00043921">
        <w:trPr>
          <w:trHeight w:val="263"/>
        </w:trPr>
        <w:tc>
          <w:tcPr>
            <w:tcW w:w="4600" w:type="dxa"/>
            <w:tcBorders>
              <w:top w:val="single" w:sz="4" w:space="0" w:color="auto"/>
              <w:left w:val="single" w:sz="4" w:space="0" w:color="auto"/>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Productos del proyecto</w:t>
            </w:r>
          </w:p>
        </w:tc>
        <w:tc>
          <w:tcPr>
            <w:tcW w:w="2420" w:type="dxa"/>
            <w:gridSpan w:val="2"/>
            <w:tcBorders>
              <w:top w:val="single" w:sz="4" w:space="0" w:color="auto"/>
              <w:left w:val="nil"/>
              <w:bottom w:val="nil"/>
              <w:right w:val="nil"/>
            </w:tcBorders>
            <w:shd w:val="clear" w:color="000000" w:fill="DCE6F1"/>
            <w:vAlign w:val="bottom"/>
            <w:hideMark/>
          </w:tcPr>
          <w:p w:rsidR="00E82E38" w:rsidRPr="00F86457" w:rsidRDefault="00E82E38" w:rsidP="00043921">
            <w:pPr>
              <w:jc w:val="center"/>
              <w:rPr>
                <w:rFonts w:eastAsia="Times New Roman"/>
                <w:b/>
                <w:bCs/>
                <w:color w:val="000000"/>
                <w:szCs w:val="22"/>
              </w:rPr>
            </w:pPr>
            <w:r w:rsidRPr="00F86457">
              <w:rPr>
                <w:b/>
                <w:bCs/>
                <w:color w:val="000000"/>
                <w:szCs w:val="22"/>
              </w:rPr>
              <w:t>2020</w:t>
            </w:r>
          </w:p>
        </w:tc>
        <w:tc>
          <w:tcPr>
            <w:tcW w:w="2360" w:type="dxa"/>
            <w:gridSpan w:val="2"/>
            <w:tcBorders>
              <w:top w:val="single" w:sz="4" w:space="0" w:color="auto"/>
              <w:left w:val="nil"/>
              <w:bottom w:val="nil"/>
              <w:right w:val="nil"/>
            </w:tcBorders>
            <w:shd w:val="clear" w:color="000000" w:fill="DCE6F1"/>
            <w:vAlign w:val="bottom"/>
            <w:hideMark/>
          </w:tcPr>
          <w:p w:rsidR="00E82E38" w:rsidRPr="00F86457" w:rsidRDefault="00E82E38" w:rsidP="00043921">
            <w:pPr>
              <w:jc w:val="center"/>
              <w:rPr>
                <w:rFonts w:eastAsia="Times New Roman"/>
                <w:b/>
                <w:bCs/>
                <w:color w:val="000000"/>
                <w:szCs w:val="22"/>
              </w:rPr>
            </w:pPr>
            <w:r w:rsidRPr="00F86457">
              <w:rPr>
                <w:b/>
                <w:bCs/>
                <w:color w:val="000000"/>
                <w:szCs w:val="22"/>
              </w:rPr>
              <w:t>2021</w:t>
            </w:r>
          </w:p>
        </w:tc>
        <w:tc>
          <w:tcPr>
            <w:tcW w:w="2220" w:type="dxa"/>
            <w:gridSpan w:val="2"/>
            <w:tcBorders>
              <w:top w:val="single" w:sz="4" w:space="0" w:color="auto"/>
              <w:left w:val="nil"/>
              <w:bottom w:val="nil"/>
              <w:right w:val="nil"/>
            </w:tcBorders>
            <w:shd w:val="clear" w:color="000000" w:fill="DCE6F1"/>
            <w:vAlign w:val="bottom"/>
            <w:hideMark/>
          </w:tcPr>
          <w:p w:rsidR="00E82E38" w:rsidRPr="00F86457" w:rsidRDefault="00E82E38" w:rsidP="00043921">
            <w:pPr>
              <w:jc w:val="center"/>
              <w:rPr>
                <w:rFonts w:eastAsia="Times New Roman"/>
                <w:b/>
                <w:bCs/>
                <w:color w:val="000000"/>
                <w:szCs w:val="22"/>
              </w:rPr>
            </w:pPr>
            <w:r w:rsidRPr="00F86457">
              <w:rPr>
                <w:b/>
                <w:bCs/>
                <w:color w:val="000000"/>
                <w:szCs w:val="22"/>
              </w:rPr>
              <w:t>Total</w:t>
            </w:r>
          </w:p>
        </w:tc>
        <w:tc>
          <w:tcPr>
            <w:tcW w:w="960" w:type="dxa"/>
            <w:tcBorders>
              <w:top w:val="single" w:sz="4" w:space="0" w:color="auto"/>
              <w:left w:val="nil"/>
              <w:bottom w:val="nil"/>
              <w:right w:val="single" w:sz="4" w:space="0" w:color="auto"/>
            </w:tcBorders>
            <w:shd w:val="clear" w:color="000000" w:fill="DCE6F1"/>
            <w:vAlign w:val="center"/>
            <w:hideMark/>
          </w:tcPr>
          <w:p w:rsidR="00E82E38" w:rsidRPr="00F86457" w:rsidRDefault="00E82E38" w:rsidP="00043921">
            <w:pPr>
              <w:jc w:val="center"/>
              <w:rPr>
                <w:rFonts w:eastAsia="Times New Roman"/>
                <w:b/>
                <w:bCs/>
                <w:color w:val="000000"/>
                <w:szCs w:val="22"/>
              </w:rPr>
            </w:pPr>
            <w:r w:rsidRPr="00F86457">
              <w:rPr>
                <w:b/>
                <w:bCs/>
                <w:color w:val="000000"/>
                <w:szCs w:val="22"/>
              </w:rPr>
              <w:t>Total</w:t>
            </w:r>
          </w:p>
        </w:tc>
      </w:tr>
      <w:tr w:rsidR="00E82E38" w:rsidRPr="00F86457" w:rsidTr="00043921">
        <w:trPr>
          <w:trHeight w:val="529"/>
        </w:trPr>
        <w:tc>
          <w:tcPr>
            <w:tcW w:w="4600" w:type="dxa"/>
            <w:tcBorders>
              <w:top w:val="nil"/>
              <w:left w:val="single" w:sz="4" w:space="0" w:color="auto"/>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 </w:t>
            </w:r>
          </w:p>
        </w:tc>
        <w:tc>
          <w:tcPr>
            <w:tcW w:w="118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De personal</w:t>
            </w:r>
          </w:p>
        </w:tc>
        <w:tc>
          <w:tcPr>
            <w:tcW w:w="124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No relativos a personal</w:t>
            </w:r>
          </w:p>
        </w:tc>
        <w:tc>
          <w:tcPr>
            <w:tcW w:w="118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De personal</w:t>
            </w:r>
          </w:p>
        </w:tc>
        <w:tc>
          <w:tcPr>
            <w:tcW w:w="118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No relativos a personal</w:t>
            </w:r>
          </w:p>
        </w:tc>
        <w:tc>
          <w:tcPr>
            <w:tcW w:w="106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De personal</w:t>
            </w:r>
          </w:p>
        </w:tc>
        <w:tc>
          <w:tcPr>
            <w:tcW w:w="1160" w:type="dxa"/>
            <w:tcBorders>
              <w:top w:val="dashed" w:sz="4" w:space="0" w:color="auto"/>
              <w:left w:val="nil"/>
              <w:bottom w:val="nil"/>
              <w:right w:val="nil"/>
            </w:tcBorders>
            <w:shd w:val="clear" w:color="000000" w:fill="DCE6F1"/>
            <w:hideMark/>
          </w:tcPr>
          <w:p w:rsidR="00E82E38" w:rsidRPr="00F86457" w:rsidRDefault="00E82E38" w:rsidP="00043921">
            <w:pPr>
              <w:rPr>
                <w:rFonts w:eastAsia="Times New Roman"/>
                <w:b/>
                <w:bCs/>
                <w:color w:val="000000"/>
                <w:szCs w:val="22"/>
              </w:rPr>
            </w:pPr>
            <w:r w:rsidRPr="00F86457">
              <w:rPr>
                <w:b/>
                <w:bCs/>
                <w:color w:val="000000"/>
                <w:szCs w:val="22"/>
              </w:rPr>
              <w:t>No relativos a personal</w:t>
            </w:r>
          </w:p>
        </w:tc>
        <w:tc>
          <w:tcPr>
            <w:tcW w:w="960" w:type="dxa"/>
            <w:tcBorders>
              <w:top w:val="nil"/>
              <w:left w:val="nil"/>
              <w:bottom w:val="nil"/>
              <w:right w:val="single" w:sz="4" w:space="0" w:color="auto"/>
            </w:tcBorders>
            <w:shd w:val="clear" w:color="000000" w:fill="DCE6F1"/>
            <w:vAlign w:val="bottom"/>
            <w:hideMark/>
          </w:tcPr>
          <w:p w:rsidR="00E82E38" w:rsidRPr="00F86457" w:rsidRDefault="00E82E38" w:rsidP="00043921">
            <w:pPr>
              <w:rPr>
                <w:rFonts w:eastAsia="Times New Roman"/>
                <w:b/>
                <w:bCs/>
                <w:color w:val="000000"/>
                <w:szCs w:val="22"/>
              </w:rPr>
            </w:pPr>
            <w:r w:rsidRPr="00F86457">
              <w:rPr>
                <w:b/>
                <w:bCs/>
                <w:color w:val="000000"/>
                <w:szCs w:val="22"/>
              </w:rPr>
              <w:t> </w:t>
            </w:r>
          </w:p>
        </w:tc>
      </w:tr>
      <w:tr w:rsidR="00E82E38" w:rsidRPr="00F86457" w:rsidTr="00043921">
        <w:trPr>
          <w:trHeight w:val="638"/>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 </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623"/>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Lista de verificación y módulo de formación sobre el acceso a la información de PI de terceros</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10.000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8.000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18.000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360"/>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Lista de verificación y módulo de formación sobre contratos</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10.000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8.000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18.000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623"/>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 xml:space="preserve">Módulo de formación sobre observancia, mediación y arbitraje para empresarios de </w:t>
            </w:r>
            <w:r w:rsidRPr="00F86457">
              <w:rPr>
                <w:i/>
                <w:iCs/>
                <w:color w:val="000000"/>
                <w:szCs w:val="22"/>
              </w:rPr>
              <w:t>software</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12.000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8.000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600"/>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Módulo de formación sobre observancia, mediación y arbitraje para abogados y funcionarios públicos</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12.000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8.000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372"/>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Diálogo con instituciones financieras e inversores</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5.000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5.000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10.000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589"/>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Videoconferencias entre los centros de TIC de seis países beneficiarios</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5.000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5.000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10.000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349"/>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Material de sensibilización sobre la PI destinado a estudiantes de informática</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10.000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10.000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349"/>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Programa de orientación</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40.000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349"/>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 xml:space="preserve">Guía de PI para el sector del </w:t>
            </w:r>
            <w:r w:rsidRPr="00F86457">
              <w:rPr>
                <w:i/>
                <w:iCs/>
                <w:color w:val="000000"/>
                <w:szCs w:val="22"/>
              </w:rPr>
              <w:t>software</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15.000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15.000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30.000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372"/>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Plataforma en línea</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10.000</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10.000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612"/>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Último taller en los tres países beneficiarios</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30.000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30.000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589"/>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lastRenderedPageBreak/>
              <w:t> </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360"/>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Reunión final con los coordinadores nacionales</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20.000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312"/>
        </w:trPr>
        <w:tc>
          <w:tcPr>
            <w:tcW w:w="4600" w:type="dxa"/>
            <w:tcBorders>
              <w:top w:val="nil"/>
              <w:left w:val="single" w:sz="4" w:space="0" w:color="auto"/>
              <w:bottom w:val="nil"/>
              <w:right w:val="nil"/>
            </w:tcBorders>
            <w:shd w:val="clear" w:color="auto" w:fill="auto"/>
            <w:hideMark/>
          </w:tcPr>
          <w:p w:rsidR="00E82E38" w:rsidRPr="00F86457" w:rsidRDefault="00E82E38" w:rsidP="00043921">
            <w:pPr>
              <w:rPr>
                <w:rFonts w:eastAsia="Times New Roman"/>
                <w:color w:val="000000"/>
                <w:szCs w:val="22"/>
              </w:rPr>
            </w:pPr>
            <w:r w:rsidRPr="00F86457">
              <w:rPr>
                <w:color w:val="000000"/>
                <w:szCs w:val="22"/>
              </w:rPr>
              <w:t>Evaluación interna del proyecto</w:t>
            </w: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24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80" w:type="dxa"/>
            <w:tcBorders>
              <w:top w:val="nil"/>
              <w:left w:val="nil"/>
              <w:bottom w:val="nil"/>
              <w:right w:val="nil"/>
            </w:tcBorders>
            <w:shd w:val="clear" w:color="auto" w:fill="auto"/>
            <w:hideMark/>
          </w:tcPr>
          <w:p w:rsidR="00E82E38" w:rsidRPr="00F86457" w:rsidRDefault="00E82E38" w:rsidP="00043921">
            <w:pPr>
              <w:jc w:val="right"/>
              <w:rPr>
                <w:rFonts w:eastAsia="Times New Roman"/>
                <w:color w:val="000000"/>
                <w:szCs w:val="22"/>
              </w:rPr>
            </w:pPr>
            <w:r w:rsidRPr="00F86457">
              <w:rPr>
                <w:color w:val="000000"/>
                <w:szCs w:val="22"/>
              </w:rPr>
              <w:t>15.000</w:t>
            </w:r>
          </w:p>
        </w:tc>
        <w:tc>
          <w:tcPr>
            <w:tcW w:w="1060" w:type="dxa"/>
            <w:tcBorders>
              <w:top w:val="nil"/>
              <w:left w:val="nil"/>
              <w:bottom w:val="nil"/>
              <w:right w:val="nil"/>
            </w:tcBorders>
            <w:shd w:val="clear" w:color="auto" w:fill="auto"/>
            <w:hideMark/>
          </w:tcPr>
          <w:p w:rsidR="00E82E38" w:rsidRPr="00F86457" w:rsidRDefault="00E82E38" w:rsidP="00043921">
            <w:pPr>
              <w:rPr>
                <w:rFonts w:eastAsia="Times New Roman"/>
                <w:color w:val="000000"/>
                <w:szCs w:val="22"/>
                <w:lang w:eastAsia="en-US"/>
              </w:rPr>
            </w:pPr>
          </w:p>
        </w:tc>
        <w:tc>
          <w:tcPr>
            <w:tcW w:w="1160" w:type="dxa"/>
            <w:tcBorders>
              <w:top w:val="nil"/>
              <w:left w:val="nil"/>
              <w:bottom w:val="nil"/>
              <w:right w:val="nil"/>
            </w:tcBorders>
            <w:shd w:val="clear" w:color="auto" w:fill="auto"/>
            <w:noWrap/>
            <w:hideMark/>
          </w:tcPr>
          <w:p w:rsidR="00E82E38" w:rsidRPr="00F86457" w:rsidRDefault="00E82E38" w:rsidP="00043921">
            <w:pPr>
              <w:jc w:val="right"/>
              <w:rPr>
                <w:rFonts w:eastAsia="Times New Roman"/>
                <w:color w:val="000000"/>
                <w:szCs w:val="22"/>
              </w:rPr>
            </w:pPr>
            <w:r w:rsidRPr="00F86457">
              <w:rPr>
                <w:color w:val="000000"/>
                <w:szCs w:val="22"/>
              </w:rPr>
              <w:t>15.000</w:t>
            </w:r>
          </w:p>
        </w:tc>
        <w:tc>
          <w:tcPr>
            <w:tcW w:w="960" w:type="dxa"/>
            <w:tcBorders>
              <w:top w:val="nil"/>
              <w:left w:val="nil"/>
              <w:bottom w:val="nil"/>
              <w:right w:val="single" w:sz="4" w:space="0" w:color="auto"/>
            </w:tcBorders>
            <w:shd w:val="clear" w:color="auto" w:fill="auto"/>
            <w:noWrap/>
            <w:hideMark/>
          </w:tcPr>
          <w:p w:rsidR="00E82E38" w:rsidRPr="00F86457" w:rsidRDefault="00E82E38" w:rsidP="00043921">
            <w:pPr>
              <w:rPr>
                <w:rFonts w:eastAsia="Times New Roman"/>
                <w:color w:val="000000"/>
                <w:szCs w:val="22"/>
              </w:rPr>
            </w:pPr>
            <w:r w:rsidRPr="00F86457">
              <w:rPr>
                <w:color w:val="000000"/>
                <w:szCs w:val="22"/>
              </w:rPr>
              <w:t> </w:t>
            </w:r>
          </w:p>
        </w:tc>
      </w:tr>
      <w:tr w:rsidR="00E82E38" w:rsidRPr="00F86457" w:rsidTr="00043921">
        <w:trPr>
          <w:trHeight w:val="70"/>
        </w:trPr>
        <w:tc>
          <w:tcPr>
            <w:tcW w:w="4600" w:type="dxa"/>
            <w:tcBorders>
              <w:top w:val="nil"/>
              <w:left w:val="single" w:sz="4" w:space="0" w:color="auto"/>
              <w:bottom w:val="single" w:sz="4" w:space="0" w:color="auto"/>
              <w:right w:val="nil"/>
            </w:tcBorders>
            <w:shd w:val="clear" w:color="auto" w:fill="auto"/>
            <w:hideMark/>
          </w:tcPr>
          <w:p w:rsidR="00E82E38" w:rsidRPr="00F86457" w:rsidRDefault="00E82E38" w:rsidP="00043921">
            <w:pPr>
              <w:rPr>
                <w:rFonts w:eastAsia="Times New Roman"/>
                <w:b/>
                <w:bCs/>
                <w:color w:val="000000"/>
                <w:szCs w:val="22"/>
              </w:rPr>
            </w:pPr>
            <w:r w:rsidRPr="00F86457">
              <w:rPr>
                <w:b/>
                <w:bCs/>
                <w:color w:val="000000"/>
                <w:szCs w:val="22"/>
              </w:rPr>
              <w:t>Total</w:t>
            </w:r>
          </w:p>
        </w:tc>
        <w:tc>
          <w:tcPr>
            <w:tcW w:w="1180" w:type="dxa"/>
            <w:tcBorders>
              <w:top w:val="nil"/>
              <w:left w:val="nil"/>
              <w:bottom w:val="single" w:sz="4" w:space="0" w:color="auto"/>
              <w:right w:val="nil"/>
            </w:tcBorders>
            <w:shd w:val="clear" w:color="auto" w:fill="auto"/>
            <w:hideMark/>
          </w:tcPr>
          <w:p w:rsidR="00E82E38" w:rsidRPr="00F86457" w:rsidRDefault="00E82E38" w:rsidP="00043921">
            <w:pPr>
              <w:rPr>
                <w:rFonts w:eastAsia="Times New Roman"/>
                <w:b/>
                <w:bCs/>
                <w:color w:val="000000"/>
                <w:szCs w:val="22"/>
              </w:rPr>
            </w:pPr>
            <w:r w:rsidRPr="00F86457">
              <w:rPr>
                <w:b/>
                <w:bCs/>
                <w:color w:val="000000"/>
                <w:szCs w:val="22"/>
              </w:rPr>
              <w:t> </w:t>
            </w:r>
          </w:p>
        </w:tc>
        <w:tc>
          <w:tcPr>
            <w:tcW w:w="1240" w:type="dxa"/>
            <w:tcBorders>
              <w:top w:val="nil"/>
              <w:left w:val="nil"/>
              <w:bottom w:val="single" w:sz="4" w:space="0" w:color="auto"/>
              <w:right w:val="nil"/>
            </w:tcBorders>
            <w:shd w:val="clear" w:color="auto" w:fill="auto"/>
            <w:hideMark/>
          </w:tcPr>
          <w:p w:rsidR="00E82E38" w:rsidRPr="00F86457" w:rsidRDefault="00E82E38" w:rsidP="00043921">
            <w:pPr>
              <w:jc w:val="right"/>
              <w:rPr>
                <w:rFonts w:eastAsia="Times New Roman"/>
                <w:b/>
                <w:bCs/>
                <w:color w:val="000000"/>
                <w:szCs w:val="22"/>
              </w:rPr>
            </w:pPr>
            <w:r w:rsidRPr="00F86457">
              <w:rPr>
                <w:b/>
                <w:bCs/>
                <w:color w:val="000000"/>
                <w:szCs w:val="22"/>
              </w:rPr>
              <w:t>109.000</w:t>
            </w:r>
          </w:p>
        </w:tc>
        <w:tc>
          <w:tcPr>
            <w:tcW w:w="1180" w:type="dxa"/>
            <w:tcBorders>
              <w:top w:val="nil"/>
              <w:left w:val="nil"/>
              <w:bottom w:val="single" w:sz="4" w:space="0" w:color="auto"/>
              <w:right w:val="nil"/>
            </w:tcBorders>
            <w:shd w:val="clear" w:color="auto" w:fill="auto"/>
            <w:hideMark/>
          </w:tcPr>
          <w:p w:rsidR="00E82E38" w:rsidRPr="00F86457" w:rsidRDefault="00E82E38" w:rsidP="00043921">
            <w:pPr>
              <w:rPr>
                <w:rFonts w:eastAsia="Times New Roman"/>
                <w:b/>
                <w:bCs/>
                <w:color w:val="000000"/>
                <w:szCs w:val="22"/>
              </w:rPr>
            </w:pPr>
            <w:r w:rsidRPr="00F86457">
              <w:rPr>
                <w:b/>
                <w:bCs/>
                <w:color w:val="000000"/>
                <w:szCs w:val="22"/>
              </w:rPr>
              <w:t> </w:t>
            </w:r>
          </w:p>
        </w:tc>
        <w:tc>
          <w:tcPr>
            <w:tcW w:w="1180" w:type="dxa"/>
            <w:tcBorders>
              <w:top w:val="nil"/>
              <w:left w:val="nil"/>
              <w:bottom w:val="single" w:sz="4" w:space="0" w:color="auto"/>
              <w:right w:val="nil"/>
            </w:tcBorders>
            <w:shd w:val="clear" w:color="auto" w:fill="auto"/>
            <w:hideMark/>
          </w:tcPr>
          <w:p w:rsidR="00E82E38" w:rsidRPr="00F86457" w:rsidRDefault="00E82E38" w:rsidP="00043921">
            <w:pPr>
              <w:jc w:val="right"/>
              <w:rPr>
                <w:rFonts w:eastAsia="Times New Roman"/>
                <w:b/>
                <w:bCs/>
                <w:color w:val="000000"/>
                <w:szCs w:val="22"/>
              </w:rPr>
            </w:pPr>
            <w:r w:rsidRPr="00F86457">
              <w:rPr>
                <w:b/>
                <w:bCs/>
                <w:color w:val="000000"/>
                <w:szCs w:val="22"/>
              </w:rPr>
              <w:t>152.000</w:t>
            </w:r>
          </w:p>
        </w:tc>
        <w:tc>
          <w:tcPr>
            <w:tcW w:w="1060" w:type="dxa"/>
            <w:tcBorders>
              <w:top w:val="nil"/>
              <w:left w:val="nil"/>
              <w:bottom w:val="single" w:sz="4" w:space="0" w:color="auto"/>
              <w:right w:val="nil"/>
            </w:tcBorders>
            <w:shd w:val="clear" w:color="auto" w:fill="auto"/>
            <w:hideMark/>
          </w:tcPr>
          <w:p w:rsidR="00E82E38" w:rsidRPr="00F86457" w:rsidRDefault="00E82E38" w:rsidP="00043921">
            <w:pPr>
              <w:rPr>
                <w:rFonts w:eastAsia="Times New Roman"/>
                <w:b/>
                <w:bCs/>
                <w:color w:val="000000"/>
                <w:szCs w:val="22"/>
              </w:rPr>
            </w:pPr>
            <w:r w:rsidRPr="00F86457">
              <w:rPr>
                <w:b/>
                <w:bCs/>
                <w:color w:val="000000"/>
                <w:szCs w:val="22"/>
              </w:rPr>
              <w:t> </w:t>
            </w:r>
          </w:p>
        </w:tc>
        <w:tc>
          <w:tcPr>
            <w:tcW w:w="1160" w:type="dxa"/>
            <w:tcBorders>
              <w:top w:val="nil"/>
              <w:left w:val="nil"/>
              <w:bottom w:val="single" w:sz="4" w:space="0" w:color="auto"/>
              <w:right w:val="nil"/>
            </w:tcBorders>
            <w:shd w:val="clear" w:color="auto" w:fill="auto"/>
            <w:noWrap/>
            <w:hideMark/>
          </w:tcPr>
          <w:p w:rsidR="00E82E38" w:rsidRPr="00F86457" w:rsidRDefault="00E82E38" w:rsidP="00043921">
            <w:pPr>
              <w:jc w:val="right"/>
              <w:rPr>
                <w:rFonts w:eastAsia="Times New Roman"/>
                <w:b/>
                <w:bCs/>
                <w:color w:val="000000"/>
                <w:szCs w:val="22"/>
              </w:rPr>
            </w:pPr>
            <w:r w:rsidRPr="00F86457">
              <w:rPr>
                <w:b/>
                <w:bCs/>
                <w:color w:val="000000"/>
                <w:szCs w:val="22"/>
              </w:rPr>
              <w:t>261.000</w:t>
            </w:r>
          </w:p>
        </w:tc>
        <w:tc>
          <w:tcPr>
            <w:tcW w:w="960" w:type="dxa"/>
            <w:tcBorders>
              <w:top w:val="nil"/>
              <w:left w:val="nil"/>
              <w:bottom w:val="single" w:sz="4" w:space="0" w:color="auto"/>
              <w:right w:val="single" w:sz="4" w:space="0" w:color="auto"/>
            </w:tcBorders>
            <w:shd w:val="clear" w:color="auto" w:fill="auto"/>
            <w:noWrap/>
            <w:hideMark/>
          </w:tcPr>
          <w:p w:rsidR="00E82E38" w:rsidRPr="00F86457" w:rsidRDefault="00E82E38" w:rsidP="00043921">
            <w:pPr>
              <w:rPr>
                <w:rFonts w:eastAsia="Times New Roman"/>
                <w:b/>
                <w:bCs/>
                <w:color w:val="000000"/>
                <w:szCs w:val="22"/>
              </w:rPr>
            </w:pPr>
            <w:r w:rsidRPr="00F86457">
              <w:rPr>
                <w:b/>
                <w:bCs/>
                <w:color w:val="000000"/>
                <w:szCs w:val="22"/>
              </w:rPr>
              <w:t> </w:t>
            </w:r>
          </w:p>
        </w:tc>
      </w:tr>
    </w:tbl>
    <w:p w:rsidR="00E82E38" w:rsidRPr="00F86457" w:rsidRDefault="00E82E38" w:rsidP="00F86457">
      <w:pPr>
        <w:spacing w:after="120"/>
        <w:rPr>
          <w:bCs/>
          <w:iCs/>
          <w:szCs w:val="22"/>
        </w:rPr>
      </w:pPr>
      <w:r w:rsidRPr="00F86457">
        <w:br w:type="page"/>
      </w:r>
      <w:r w:rsidRPr="00F86457">
        <w:lastRenderedPageBreak/>
        <w:t>RECURSOS NO RELATIVOS A PERSONAL POR CATEGORÍA DE GASTO</w:t>
      </w:r>
    </w:p>
    <w:p w:rsidR="00E82E38" w:rsidRPr="00F86457" w:rsidRDefault="00E82E38" w:rsidP="00E82E38">
      <w:pPr>
        <w:ind w:hanging="142"/>
        <w:rPr>
          <w:szCs w:val="22"/>
        </w:rPr>
      </w:pPr>
      <w:r w:rsidRPr="00F86457">
        <w:t>a) Año 2019*</w:t>
      </w:r>
    </w:p>
    <w:p w:rsidR="00E82E38" w:rsidRPr="00F86457" w:rsidRDefault="00E82E38" w:rsidP="00E82E38">
      <w:pPr>
        <w:ind w:hanging="142"/>
        <w:rPr>
          <w:szCs w:val="22"/>
          <w:u w:val="single"/>
        </w:rPr>
      </w:pPr>
    </w:p>
    <w:tbl>
      <w:tblPr>
        <w:tblStyle w:val="TableGrid"/>
        <w:tblW w:w="0" w:type="auto"/>
        <w:tblLook w:val="04A0" w:firstRow="1" w:lastRow="0" w:firstColumn="1" w:lastColumn="0" w:noHBand="0" w:noVBand="1"/>
      </w:tblPr>
      <w:tblGrid>
        <w:gridCol w:w="2483"/>
        <w:gridCol w:w="1457"/>
        <w:gridCol w:w="1348"/>
        <w:gridCol w:w="1708"/>
        <w:gridCol w:w="1670"/>
        <w:gridCol w:w="1696"/>
        <w:gridCol w:w="1668"/>
        <w:gridCol w:w="1668"/>
        <w:gridCol w:w="1373"/>
      </w:tblGrid>
      <w:tr w:rsidR="00E82E38" w:rsidRPr="00F86457" w:rsidTr="00557FCB">
        <w:tc>
          <w:tcPr>
            <w:tcW w:w="2483" w:type="dxa"/>
          </w:tcPr>
          <w:p w:rsidR="00E82E38" w:rsidRPr="00F86457" w:rsidRDefault="00E82E38" w:rsidP="00043921">
            <w:pPr>
              <w:rPr>
                <w:szCs w:val="22"/>
              </w:rPr>
            </w:pPr>
          </w:p>
        </w:tc>
        <w:tc>
          <w:tcPr>
            <w:tcW w:w="12588" w:type="dxa"/>
            <w:gridSpan w:val="8"/>
          </w:tcPr>
          <w:p w:rsidR="00E82E38" w:rsidRPr="00F86457" w:rsidRDefault="00E82E38" w:rsidP="00043921">
            <w:pPr>
              <w:jc w:val="center"/>
              <w:rPr>
                <w:i/>
                <w:szCs w:val="22"/>
              </w:rPr>
            </w:pPr>
            <w:r w:rsidRPr="00F86457">
              <w:rPr>
                <w:i/>
                <w:szCs w:val="22"/>
              </w:rPr>
              <w:t>(Francos suizos)</w:t>
            </w:r>
          </w:p>
        </w:tc>
      </w:tr>
      <w:tr w:rsidR="00E82E38" w:rsidRPr="00F86457" w:rsidTr="00557FCB">
        <w:tc>
          <w:tcPr>
            <w:tcW w:w="2483" w:type="dxa"/>
            <w:vMerge w:val="restart"/>
          </w:tcPr>
          <w:p w:rsidR="00E82E38" w:rsidRPr="00F86457" w:rsidRDefault="00E82E38" w:rsidP="00043921">
            <w:pPr>
              <w:rPr>
                <w:szCs w:val="22"/>
              </w:rPr>
            </w:pPr>
            <w:r w:rsidRPr="00F86457">
              <w:rPr>
                <w:b/>
                <w:szCs w:val="22"/>
              </w:rPr>
              <w:t>Actividades</w:t>
            </w:r>
          </w:p>
        </w:tc>
        <w:tc>
          <w:tcPr>
            <w:tcW w:w="4513" w:type="dxa"/>
            <w:gridSpan w:val="3"/>
          </w:tcPr>
          <w:p w:rsidR="00E82E38" w:rsidRPr="00F86457" w:rsidRDefault="00E82E38" w:rsidP="00043921">
            <w:pPr>
              <w:jc w:val="center"/>
              <w:rPr>
                <w:b/>
                <w:bCs/>
                <w:szCs w:val="22"/>
              </w:rPr>
            </w:pPr>
            <w:r w:rsidRPr="00F86457">
              <w:rPr>
                <w:b/>
                <w:bCs/>
                <w:szCs w:val="22"/>
              </w:rPr>
              <w:t>Viajes, f</w:t>
            </w:r>
            <w:r w:rsidR="005D15DB" w:rsidRPr="00F86457">
              <w:rPr>
                <w:b/>
                <w:bCs/>
                <w:szCs w:val="22"/>
              </w:rPr>
              <w:t>ormación y subvenciones conexas</w:t>
            </w:r>
          </w:p>
        </w:tc>
        <w:tc>
          <w:tcPr>
            <w:tcW w:w="6702" w:type="dxa"/>
            <w:gridSpan w:val="4"/>
          </w:tcPr>
          <w:p w:rsidR="00E82E38" w:rsidRPr="00F86457" w:rsidRDefault="00E82E38" w:rsidP="00043921">
            <w:pPr>
              <w:jc w:val="center"/>
              <w:rPr>
                <w:szCs w:val="22"/>
              </w:rPr>
            </w:pPr>
            <w:r w:rsidRPr="00F86457">
              <w:rPr>
                <w:b/>
                <w:bCs/>
                <w:szCs w:val="22"/>
              </w:rPr>
              <w:t>Servicios contractuales</w:t>
            </w:r>
          </w:p>
        </w:tc>
        <w:tc>
          <w:tcPr>
            <w:tcW w:w="1373" w:type="dxa"/>
            <w:vMerge w:val="restart"/>
          </w:tcPr>
          <w:p w:rsidR="00E82E38" w:rsidRPr="00F86457" w:rsidRDefault="00E82E38" w:rsidP="00043921">
            <w:pPr>
              <w:rPr>
                <w:b/>
                <w:szCs w:val="22"/>
              </w:rPr>
            </w:pPr>
            <w:r w:rsidRPr="00F86457">
              <w:rPr>
                <w:b/>
                <w:szCs w:val="22"/>
              </w:rPr>
              <w:t>Total</w:t>
            </w:r>
          </w:p>
        </w:tc>
      </w:tr>
      <w:tr w:rsidR="00E82E38" w:rsidRPr="00F86457" w:rsidTr="00557FCB">
        <w:tc>
          <w:tcPr>
            <w:tcW w:w="2483" w:type="dxa"/>
            <w:vMerge/>
          </w:tcPr>
          <w:p w:rsidR="00E82E38" w:rsidRPr="00F86457" w:rsidRDefault="00E82E38" w:rsidP="00043921">
            <w:pPr>
              <w:rPr>
                <w:b/>
                <w:szCs w:val="22"/>
              </w:rPr>
            </w:pPr>
          </w:p>
        </w:tc>
        <w:tc>
          <w:tcPr>
            <w:tcW w:w="1457" w:type="dxa"/>
          </w:tcPr>
          <w:p w:rsidR="00E82E38" w:rsidRPr="00F86457" w:rsidRDefault="00E82E38" w:rsidP="00043921">
            <w:pPr>
              <w:rPr>
                <w:szCs w:val="22"/>
              </w:rPr>
            </w:pPr>
            <w:r w:rsidRPr="00F86457">
              <w:rPr>
                <w:b/>
                <w:bCs/>
                <w:szCs w:val="22"/>
              </w:rPr>
              <w:t>Misiones del personal</w:t>
            </w:r>
          </w:p>
        </w:tc>
        <w:tc>
          <w:tcPr>
            <w:tcW w:w="1348" w:type="dxa"/>
          </w:tcPr>
          <w:p w:rsidR="00E82E38" w:rsidRPr="00F86457" w:rsidRDefault="00E82E38" w:rsidP="00043921">
            <w:pPr>
              <w:rPr>
                <w:szCs w:val="22"/>
              </w:rPr>
            </w:pPr>
            <w:r w:rsidRPr="00F86457">
              <w:rPr>
                <w:b/>
                <w:bCs/>
                <w:szCs w:val="22"/>
              </w:rPr>
              <w:t>Viajes de terceros</w:t>
            </w:r>
          </w:p>
        </w:tc>
        <w:tc>
          <w:tcPr>
            <w:tcW w:w="1708" w:type="dxa"/>
          </w:tcPr>
          <w:p w:rsidR="00E82E38" w:rsidRPr="00F86457" w:rsidRDefault="00E82E38" w:rsidP="00043921">
            <w:pPr>
              <w:rPr>
                <w:b/>
                <w:bCs/>
                <w:szCs w:val="22"/>
              </w:rPr>
            </w:pPr>
            <w:r w:rsidRPr="00F86457">
              <w:rPr>
                <w:b/>
                <w:bCs/>
                <w:szCs w:val="22"/>
              </w:rPr>
              <w:t>Subvenciones para formación y viajes</w:t>
            </w:r>
          </w:p>
        </w:tc>
        <w:tc>
          <w:tcPr>
            <w:tcW w:w="1670" w:type="dxa"/>
          </w:tcPr>
          <w:p w:rsidR="00E82E38" w:rsidRPr="00F86457" w:rsidRDefault="00E82E38" w:rsidP="00043921">
            <w:pPr>
              <w:rPr>
                <w:szCs w:val="22"/>
              </w:rPr>
            </w:pPr>
            <w:r w:rsidRPr="00F86457">
              <w:rPr>
                <w:b/>
                <w:bCs/>
                <w:szCs w:val="22"/>
              </w:rPr>
              <w:t>Conferencias</w:t>
            </w:r>
          </w:p>
        </w:tc>
        <w:tc>
          <w:tcPr>
            <w:tcW w:w="1696" w:type="dxa"/>
          </w:tcPr>
          <w:p w:rsidR="00E82E38" w:rsidRPr="00F86457" w:rsidRDefault="00E82E38" w:rsidP="00043921">
            <w:pPr>
              <w:rPr>
                <w:b/>
                <w:bCs/>
                <w:szCs w:val="22"/>
              </w:rPr>
            </w:pPr>
            <w:r w:rsidRPr="00F86457">
              <w:rPr>
                <w:b/>
                <w:bCs/>
                <w:szCs w:val="22"/>
              </w:rPr>
              <w:t>Publicaciones</w:t>
            </w:r>
          </w:p>
        </w:tc>
        <w:tc>
          <w:tcPr>
            <w:tcW w:w="1668" w:type="dxa"/>
          </w:tcPr>
          <w:p w:rsidR="00E82E38" w:rsidRPr="00F86457" w:rsidRDefault="00E82E38" w:rsidP="00043921">
            <w:pPr>
              <w:rPr>
                <w:szCs w:val="22"/>
              </w:rPr>
            </w:pPr>
            <w:r w:rsidRPr="00F86457">
              <w:rPr>
                <w:b/>
                <w:bCs/>
                <w:szCs w:val="22"/>
              </w:rPr>
              <w:t>Servicios contractuales individuales</w:t>
            </w:r>
          </w:p>
        </w:tc>
        <w:tc>
          <w:tcPr>
            <w:tcW w:w="1668" w:type="dxa"/>
          </w:tcPr>
          <w:p w:rsidR="00E82E38" w:rsidRPr="00F86457" w:rsidRDefault="00E82E38" w:rsidP="00043921">
            <w:pPr>
              <w:rPr>
                <w:szCs w:val="22"/>
              </w:rPr>
            </w:pPr>
            <w:r w:rsidRPr="00F86457">
              <w:rPr>
                <w:b/>
                <w:bCs/>
                <w:szCs w:val="22"/>
              </w:rPr>
              <w:t>Otros servicios contractuales</w:t>
            </w:r>
          </w:p>
        </w:tc>
        <w:tc>
          <w:tcPr>
            <w:tcW w:w="1373" w:type="dxa"/>
            <w:vMerge/>
          </w:tcPr>
          <w:p w:rsidR="00E82E38" w:rsidRPr="00F86457" w:rsidRDefault="00E82E38" w:rsidP="00043921">
            <w:pPr>
              <w:rPr>
                <w:szCs w:val="22"/>
              </w:rPr>
            </w:pPr>
          </w:p>
        </w:tc>
      </w:tr>
      <w:tr w:rsidR="00E82E38" w:rsidRPr="00F86457" w:rsidTr="00557FCB">
        <w:tc>
          <w:tcPr>
            <w:tcW w:w="2483" w:type="dxa"/>
          </w:tcPr>
          <w:p w:rsidR="00E82E38" w:rsidRPr="00F86457" w:rsidRDefault="00E82E38" w:rsidP="00043921">
            <w:pPr>
              <w:rPr>
                <w:szCs w:val="22"/>
              </w:rPr>
            </w:pPr>
            <w:r w:rsidRPr="00F86457">
              <w:t>Estudio exploratorio</w:t>
            </w:r>
          </w:p>
        </w:tc>
        <w:tc>
          <w:tcPr>
            <w:tcW w:w="1457" w:type="dxa"/>
          </w:tcPr>
          <w:p w:rsidR="00E82E38" w:rsidRPr="00F86457" w:rsidRDefault="00E82E38" w:rsidP="00043921">
            <w:pPr>
              <w:rPr>
                <w:szCs w:val="22"/>
              </w:rPr>
            </w:pPr>
          </w:p>
        </w:tc>
        <w:tc>
          <w:tcPr>
            <w:tcW w:w="1348" w:type="dxa"/>
          </w:tcPr>
          <w:p w:rsidR="00E82E38" w:rsidRPr="00F86457" w:rsidRDefault="00E82E38" w:rsidP="00043921">
            <w:pPr>
              <w:rPr>
                <w:szCs w:val="22"/>
              </w:rPr>
            </w:pPr>
          </w:p>
        </w:tc>
        <w:tc>
          <w:tcPr>
            <w:tcW w:w="1708" w:type="dxa"/>
          </w:tcPr>
          <w:p w:rsidR="00E82E38" w:rsidRPr="00F86457" w:rsidRDefault="00E82E38" w:rsidP="00043921">
            <w:pPr>
              <w:rPr>
                <w:szCs w:val="22"/>
              </w:rPr>
            </w:pPr>
          </w:p>
        </w:tc>
        <w:tc>
          <w:tcPr>
            <w:tcW w:w="1670" w:type="dxa"/>
          </w:tcPr>
          <w:p w:rsidR="00E82E38" w:rsidRPr="00F86457" w:rsidRDefault="00E82E38" w:rsidP="00043921">
            <w:pPr>
              <w:rPr>
                <w:szCs w:val="22"/>
              </w:rPr>
            </w:pPr>
          </w:p>
        </w:tc>
        <w:tc>
          <w:tcPr>
            <w:tcW w:w="1696" w:type="dxa"/>
          </w:tcPr>
          <w:p w:rsidR="00E82E38" w:rsidRPr="00F86457" w:rsidRDefault="00E82E38" w:rsidP="00043921">
            <w:pPr>
              <w:rPr>
                <w:szCs w:val="22"/>
              </w:rPr>
            </w:pPr>
          </w:p>
        </w:tc>
        <w:tc>
          <w:tcPr>
            <w:tcW w:w="1668" w:type="dxa"/>
          </w:tcPr>
          <w:p w:rsidR="00E82E38" w:rsidRPr="00F86457" w:rsidRDefault="00E82E38" w:rsidP="00043921">
            <w:pPr>
              <w:rPr>
                <w:szCs w:val="22"/>
              </w:rPr>
            </w:pPr>
            <w:r w:rsidRPr="00F86457">
              <w:t>20.000</w:t>
            </w:r>
          </w:p>
        </w:tc>
        <w:tc>
          <w:tcPr>
            <w:tcW w:w="1668" w:type="dxa"/>
          </w:tcPr>
          <w:p w:rsidR="00E82E38" w:rsidRPr="00F86457" w:rsidRDefault="00E82E38" w:rsidP="00043921">
            <w:pPr>
              <w:rPr>
                <w:szCs w:val="22"/>
              </w:rPr>
            </w:pPr>
          </w:p>
        </w:tc>
        <w:tc>
          <w:tcPr>
            <w:tcW w:w="1373" w:type="dxa"/>
          </w:tcPr>
          <w:p w:rsidR="00E82E38" w:rsidRPr="00F86457" w:rsidRDefault="00E82E38" w:rsidP="00043921">
            <w:pPr>
              <w:rPr>
                <w:szCs w:val="22"/>
              </w:rPr>
            </w:pPr>
            <w:r w:rsidRPr="00F86457">
              <w:t>20.000</w:t>
            </w:r>
          </w:p>
        </w:tc>
      </w:tr>
      <w:tr w:rsidR="00E82E38" w:rsidRPr="00F86457" w:rsidTr="00557FCB">
        <w:tc>
          <w:tcPr>
            <w:tcW w:w="2483" w:type="dxa"/>
          </w:tcPr>
          <w:p w:rsidR="00E82E38" w:rsidRPr="00F86457" w:rsidRDefault="00E82E38" w:rsidP="00043921">
            <w:pPr>
              <w:rPr>
                <w:szCs w:val="22"/>
              </w:rPr>
            </w:pPr>
            <w:r w:rsidRPr="00F86457">
              <w:t>Primera reunión con los coordinadores nacionales</w:t>
            </w:r>
          </w:p>
        </w:tc>
        <w:tc>
          <w:tcPr>
            <w:tcW w:w="1457" w:type="dxa"/>
          </w:tcPr>
          <w:p w:rsidR="00E82E38" w:rsidRPr="00F86457" w:rsidRDefault="00E82E38" w:rsidP="00043921">
            <w:pPr>
              <w:rPr>
                <w:szCs w:val="22"/>
              </w:rPr>
            </w:pPr>
          </w:p>
        </w:tc>
        <w:tc>
          <w:tcPr>
            <w:tcW w:w="1348" w:type="dxa"/>
          </w:tcPr>
          <w:p w:rsidR="00E82E38" w:rsidRPr="00F86457" w:rsidRDefault="00E82E38" w:rsidP="00043921">
            <w:pPr>
              <w:rPr>
                <w:szCs w:val="22"/>
              </w:rPr>
            </w:pPr>
            <w:r w:rsidRPr="00F86457">
              <w:t>20.000</w:t>
            </w:r>
          </w:p>
        </w:tc>
        <w:tc>
          <w:tcPr>
            <w:tcW w:w="1708" w:type="dxa"/>
          </w:tcPr>
          <w:p w:rsidR="00E82E38" w:rsidRPr="00F86457" w:rsidRDefault="00E82E38" w:rsidP="00043921">
            <w:pPr>
              <w:rPr>
                <w:szCs w:val="22"/>
              </w:rPr>
            </w:pPr>
          </w:p>
        </w:tc>
        <w:tc>
          <w:tcPr>
            <w:tcW w:w="1670" w:type="dxa"/>
          </w:tcPr>
          <w:p w:rsidR="00E82E38" w:rsidRPr="00F86457" w:rsidRDefault="00E82E38" w:rsidP="00043921">
            <w:pPr>
              <w:rPr>
                <w:szCs w:val="22"/>
              </w:rPr>
            </w:pPr>
          </w:p>
        </w:tc>
        <w:tc>
          <w:tcPr>
            <w:tcW w:w="1696" w:type="dxa"/>
          </w:tcPr>
          <w:p w:rsidR="00E82E38" w:rsidRPr="00F86457" w:rsidRDefault="00E82E38" w:rsidP="00043921">
            <w:pPr>
              <w:rPr>
                <w:szCs w:val="22"/>
              </w:rPr>
            </w:pPr>
          </w:p>
        </w:tc>
        <w:tc>
          <w:tcPr>
            <w:tcW w:w="1668" w:type="dxa"/>
          </w:tcPr>
          <w:p w:rsidR="00E82E38" w:rsidRPr="00F86457" w:rsidRDefault="00E82E38" w:rsidP="00043921">
            <w:pPr>
              <w:rPr>
                <w:szCs w:val="22"/>
              </w:rPr>
            </w:pPr>
          </w:p>
        </w:tc>
        <w:tc>
          <w:tcPr>
            <w:tcW w:w="1668" w:type="dxa"/>
          </w:tcPr>
          <w:p w:rsidR="00E82E38" w:rsidRPr="00F86457" w:rsidRDefault="00E82E38" w:rsidP="00043921">
            <w:pPr>
              <w:rPr>
                <w:szCs w:val="22"/>
              </w:rPr>
            </w:pPr>
          </w:p>
        </w:tc>
        <w:tc>
          <w:tcPr>
            <w:tcW w:w="1373" w:type="dxa"/>
          </w:tcPr>
          <w:p w:rsidR="00E82E38" w:rsidRPr="00F86457" w:rsidRDefault="00E82E38" w:rsidP="00043921">
            <w:pPr>
              <w:rPr>
                <w:szCs w:val="22"/>
              </w:rPr>
            </w:pPr>
            <w:r w:rsidRPr="00F86457">
              <w:t>20.000</w:t>
            </w:r>
          </w:p>
        </w:tc>
      </w:tr>
      <w:tr w:rsidR="00E82E38" w:rsidRPr="00F86457" w:rsidTr="00557FCB">
        <w:tc>
          <w:tcPr>
            <w:tcW w:w="2483" w:type="dxa"/>
          </w:tcPr>
          <w:p w:rsidR="00E82E38" w:rsidRPr="00F86457" w:rsidRDefault="00E82E38" w:rsidP="00043921">
            <w:pPr>
              <w:rPr>
                <w:szCs w:val="22"/>
              </w:rPr>
            </w:pPr>
            <w:r w:rsidRPr="00F86457">
              <w:t>Primer taller en tres de los países beneficiarios</w:t>
            </w:r>
          </w:p>
        </w:tc>
        <w:tc>
          <w:tcPr>
            <w:tcW w:w="1457" w:type="dxa"/>
          </w:tcPr>
          <w:p w:rsidR="00E82E38" w:rsidRPr="00F86457" w:rsidRDefault="00E82E38" w:rsidP="00043921">
            <w:pPr>
              <w:rPr>
                <w:szCs w:val="22"/>
              </w:rPr>
            </w:pPr>
            <w:r w:rsidRPr="00F86457">
              <w:t>15.000</w:t>
            </w:r>
          </w:p>
        </w:tc>
        <w:tc>
          <w:tcPr>
            <w:tcW w:w="1348" w:type="dxa"/>
          </w:tcPr>
          <w:p w:rsidR="00E82E38" w:rsidRPr="00F86457" w:rsidRDefault="00E82E38" w:rsidP="00043921">
            <w:pPr>
              <w:rPr>
                <w:szCs w:val="22"/>
              </w:rPr>
            </w:pPr>
            <w:r w:rsidRPr="00F86457">
              <w:t>15.000</w:t>
            </w:r>
          </w:p>
        </w:tc>
        <w:tc>
          <w:tcPr>
            <w:tcW w:w="1708" w:type="dxa"/>
          </w:tcPr>
          <w:p w:rsidR="00E82E38" w:rsidRPr="00F86457" w:rsidRDefault="00E82E38" w:rsidP="00043921">
            <w:pPr>
              <w:rPr>
                <w:szCs w:val="22"/>
              </w:rPr>
            </w:pPr>
          </w:p>
        </w:tc>
        <w:tc>
          <w:tcPr>
            <w:tcW w:w="1670" w:type="dxa"/>
          </w:tcPr>
          <w:p w:rsidR="00E82E38" w:rsidRPr="00F86457" w:rsidRDefault="00E82E38" w:rsidP="00043921">
            <w:pPr>
              <w:rPr>
                <w:szCs w:val="22"/>
              </w:rPr>
            </w:pPr>
          </w:p>
        </w:tc>
        <w:tc>
          <w:tcPr>
            <w:tcW w:w="1696" w:type="dxa"/>
          </w:tcPr>
          <w:p w:rsidR="00E82E38" w:rsidRPr="00F86457" w:rsidRDefault="00E82E38" w:rsidP="00043921">
            <w:pPr>
              <w:rPr>
                <w:szCs w:val="22"/>
              </w:rPr>
            </w:pPr>
          </w:p>
        </w:tc>
        <w:tc>
          <w:tcPr>
            <w:tcW w:w="1668" w:type="dxa"/>
          </w:tcPr>
          <w:p w:rsidR="00E82E38" w:rsidRPr="00F86457" w:rsidRDefault="00E82E38" w:rsidP="00043921">
            <w:pPr>
              <w:rPr>
                <w:szCs w:val="22"/>
              </w:rPr>
            </w:pPr>
          </w:p>
        </w:tc>
        <w:tc>
          <w:tcPr>
            <w:tcW w:w="1668" w:type="dxa"/>
          </w:tcPr>
          <w:p w:rsidR="00E82E38" w:rsidRPr="00F86457" w:rsidRDefault="00E82E38" w:rsidP="00043921">
            <w:pPr>
              <w:rPr>
                <w:szCs w:val="22"/>
              </w:rPr>
            </w:pPr>
          </w:p>
        </w:tc>
        <w:tc>
          <w:tcPr>
            <w:tcW w:w="1373" w:type="dxa"/>
          </w:tcPr>
          <w:p w:rsidR="00E82E38" w:rsidRPr="00F86457" w:rsidRDefault="00E82E38" w:rsidP="00043921">
            <w:pPr>
              <w:rPr>
                <w:szCs w:val="22"/>
              </w:rPr>
            </w:pPr>
            <w:r w:rsidRPr="00F86457">
              <w:t>30.000</w:t>
            </w:r>
          </w:p>
        </w:tc>
      </w:tr>
      <w:tr w:rsidR="00E82E38" w:rsidRPr="00F86457" w:rsidTr="00557FCB">
        <w:tc>
          <w:tcPr>
            <w:tcW w:w="2483" w:type="dxa"/>
          </w:tcPr>
          <w:p w:rsidR="00E82E38" w:rsidRPr="00F86457" w:rsidRDefault="00E82E38" w:rsidP="00043921">
            <w:pPr>
              <w:rPr>
                <w:szCs w:val="22"/>
              </w:rPr>
            </w:pPr>
            <w:r w:rsidRPr="00F86457">
              <w:t>Traducción de la publicación de la OMPI sobre la PI y las aplicaciones móviles</w:t>
            </w:r>
          </w:p>
        </w:tc>
        <w:tc>
          <w:tcPr>
            <w:tcW w:w="1457" w:type="dxa"/>
          </w:tcPr>
          <w:p w:rsidR="00E82E38" w:rsidRPr="00F86457" w:rsidRDefault="00E82E38" w:rsidP="00043921">
            <w:pPr>
              <w:rPr>
                <w:szCs w:val="22"/>
              </w:rPr>
            </w:pPr>
          </w:p>
        </w:tc>
        <w:tc>
          <w:tcPr>
            <w:tcW w:w="1348" w:type="dxa"/>
          </w:tcPr>
          <w:p w:rsidR="00E82E38" w:rsidRPr="00F86457" w:rsidRDefault="00E82E38" w:rsidP="00043921">
            <w:pPr>
              <w:rPr>
                <w:szCs w:val="22"/>
              </w:rPr>
            </w:pPr>
          </w:p>
        </w:tc>
        <w:tc>
          <w:tcPr>
            <w:tcW w:w="1708" w:type="dxa"/>
          </w:tcPr>
          <w:p w:rsidR="00E82E38" w:rsidRPr="00F86457" w:rsidRDefault="00E82E38" w:rsidP="00043921">
            <w:pPr>
              <w:rPr>
                <w:szCs w:val="22"/>
              </w:rPr>
            </w:pPr>
          </w:p>
        </w:tc>
        <w:tc>
          <w:tcPr>
            <w:tcW w:w="1670" w:type="dxa"/>
          </w:tcPr>
          <w:p w:rsidR="00E82E38" w:rsidRPr="00F86457" w:rsidRDefault="00E82E38" w:rsidP="00043921">
            <w:pPr>
              <w:rPr>
                <w:szCs w:val="22"/>
              </w:rPr>
            </w:pPr>
          </w:p>
        </w:tc>
        <w:tc>
          <w:tcPr>
            <w:tcW w:w="1696" w:type="dxa"/>
          </w:tcPr>
          <w:p w:rsidR="00E82E38" w:rsidRPr="00F86457" w:rsidRDefault="00E82E38" w:rsidP="00043921">
            <w:pPr>
              <w:rPr>
                <w:szCs w:val="22"/>
              </w:rPr>
            </w:pPr>
          </w:p>
        </w:tc>
        <w:tc>
          <w:tcPr>
            <w:tcW w:w="1668" w:type="dxa"/>
          </w:tcPr>
          <w:p w:rsidR="00E82E38" w:rsidRPr="00F86457" w:rsidRDefault="00E82E38" w:rsidP="00043921">
            <w:pPr>
              <w:rPr>
                <w:szCs w:val="22"/>
              </w:rPr>
            </w:pPr>
          </w:p>
        </w:tc>
        <w:tc>
          <w:tcPr>
            <w:tcW w:w="1668" w:type="dxa"/>
          </w:tcPr>
          <w:p w:rsidR="00E82E38" w:rsidRPr="00F86457" w:rsidRDefault="00E82E38" w:rsidP="00043921">
            <w:pPr>
              <w:rPr>
                <w:szCs w:val="22"/>
              </w:rPr>
            </w:pPr>
            <w:r w:rsidRPr="00F86457">
              <w:t>30.000</w:t>
            </w:r>
          </w:p>
        </w:tc>
        <w:tc>
          <w:tcPr>
            <w:tcW w:w="1373" w:type="dxa"/>
          </w:tcPr>
          <w:p w:rsidR="00E82E38" w:rsidRPr="00F86457" w:rsidRDefault="00E82E38" w:rsidP="00043921">
            <w:pPr>
              <w:rPr>
                <w:szCs w:val="22"/>
              </w:rPr>
            </w:pPr>
            <w:r w:rsidRPr="00F86457">
              <w:t xml:space="preserve">30.000 </w:t>
            </w:r>
          </w:p>
        </w:tc>
      </w:tr>
      <w:tr w:rsidR="00E82E38" w:rsidRPr="00F86457" w:rsidTr="00557FCB">
        <w:tc>
          <w:tcPr>
            <w:tcW w:w="2483" w:type="dxa"/>
          </w:tcPr>
          <w:p w:rsidR="00E82E38" w:rsidRPr="00F86457" w:rsidRDefault="00E82E38" w:rsidP="00043921">
            <w:pPr>
              <w:rPr>
                <w:szCs w:val="22"/>
              </w:rPr>
            </w:pPr>
          </w:p>
        </w:tc>
        <w:tc>
          <w:tcPr>
            <w:tcW w:w="1457" w:type="dxa"/>
          </w:tcPr>
          <w:p w:rsidR="00E82E38" w:rsidRPr="00F86457" w:rsidRDefault="00E82E38" w:rsidP="00043921">
            <w:pPr>
              <w:rPr>
                <w:szCs w:val="22"/>
              </w:rPr>
            </w:pPr>
          </w:p>
        </w:tc>
        <w:tc>
          <w:tcPr>
            <w:tcW w:w="1348" w:type="dxa"/>
          </w:tcPr>
          <w:p w:rsidR="00E82E38" w:rsidRPr="00F86457" w:rsidRDefault="00E82E38" w:rsidP="00043921">
            <w:pPr>
              <w:rPr>
                <w:szCs w:val="22"/>
              </w:rPr>
            </w:pPr>
          </w:p>
        </w:tc>
        <w:tc>
          <w:tcPr>
            <w:tcW w:w="1708" w:type="dxa"/>
          </w:tcPr>
          <w:p w:rsidR="00E82E38" w:rsidRPr="00F86457" w:rsidRDefault="00E82E38" w:rsidP="00043921">
            <w:pPr>
              <w:rPr>
                <w:szCs w:val="22"/>
              </w:rPr>
            </w:pPr>
          </w:p>
        </w:tc>
        <w:tc>
          <w:tcPr>
            <w:tcW w:w="1670" w:type="dxa"/>
          </w:tcPr>
          <w:p w:rsidR="00E82E38" w:rsidRPr="00F86457" w:rsidRDefault="00E82E38" w:rsidP="00043921">
            <w:pPr>
              <w:rPr>
                <w:szCs w:val="22"/>
              </w:rPr>
            </w:pPr>
          </w:p>
        </w:tc>
        <w:tc>
          <w:tcPr>
            <w:tcW w:w="1696" w:type="dxa"/>
          </w:tcPr>
          <w:p w:rsidR="00E82E38" w:rsidRPr="00F86457" w:rsidRDefault="00E82E38" w:rsidP="00043921">
            <w:pPr>
              <w:rPr>
                <w:szCs w:val="22"/>
              </w:rPr>
            </w:pPr>
          </w:p>
        </w:tc>
        <w:tc>
          <w:tcPr>
            <w:tcW w:w="1668" w:type="dxa"/>
          </w:tcPr>
          <w:p w:rsidR="00E82E38" w:rsidRPr="00F86457" w:rsidRDefault="00E82E38" w:rsidP="00043921">
            <w:pPr>
              <w:rPr>
                <w:szCs w:val="22"/>
              </w:rPr>
            </w:pPr>
          </w:p>
        </w:tc>
        <w:tc>
          <w:tcPr>
            <w:tcW w:w="1668" w:type="dxa"/>
          </w:tcPr>
          <w:p w:rsidR="00E82E38" w:rsidRPr="00F86457" w:rsidRDefault="00E82E38" w:rsidP="00043921">
            <w:pPr>
              <w:rPr>
                <w:szCs w:val="22"/>
              </w:rPr>
            </w:pPr>
          </w:p>
        </w:tc>
        <w:tc>
          <w:tcPr>
            <w:tcW w:w="1373" w:type="dxa"/>
          </w:tcPr>
          <w:p w:rsidR="00E82E38" w:rsidRPr="00F86457" w:rsidRDefault="00E82E38" w:rsidP="00043921">
            <w:pPr>
              <w:rPr>
                <w:szCs w:val="22"/>
              </w:rPr>
            </w:pPr>
          </w:p>
        </w:tc>
      </w:tr>
      <w:tr w:rsidR="00E82E38" w:rsidRPr="00F86457" w:rsidTr="00557FCB">
        <w:tc>
          <w:tcPr>
            <w:tcW w:w="2483" w:type="dxa"/>
            <w:vAlign w:val="center"/>
          </w:tcPr>
          <w:p w:rsidR="00E82E38" w:rsidRPr="00F86457" w:rsidRDefault="00E82E38" w:rsidP="00043921">
            <w:pPr>
              <w:rPr>
                <w:b/>
                <w:szCs w:val="22"/>
              </w:rPr>
            </w:pPr>
            <w:r w:rsidRPr="00F86457">
              <w:rPr>
                <w:b/>
                <w:szCs w:val="22"/>
              </w:rPr>
              <w:t>Total</w:t>
            </w:r>
          </w:p>
        </w:tc>
        <w:tc>
          <w:tcPr>
            <w:tcW w:w="1457" w:type="dxa"/>
            <w:vAlign w:val="center"/>
          </w:tcPr>
          <w:p w:rsidR="00E82E38" w:rsidRPr="00F86457" w:rsidRDefault="00E82E38" w:rsidP="00043921">
            <w:pPr>
              <w:rPr>
                <w:b/>
                <w:szCs w:val="22"/>
              </w:rPr>
            </w:pPr>
            <w:r w:rsidRPr="00F86457">
              <w:rPr>
                <w:b/>
                <w:szCs w:val="22"/>
              </w:rPr>
              <w:t>15.000</w:t>
            </w:r>
          </w:p>
        </w:tc>
        <w:tc>
          <w:tcPr>
            <w:tcW w:w="1348" w:type="dxa"/>
            <w:vAlign w:val="center"/>
          </w:tcPr>
          <w:p w:rsidR="00E82E38" w:rsidRPr="00F86457" w:rsidRDefault="00E82E38" w:rsidP="00043921">
            <w:pPr>
              <w:rPr>
                <w:b/>
                <w:szCs w:val="22"/>
              </w:rPr>
            </w:pPr>
            <w:r w:rsidRPr="00F86457">
              <w:rPr>
                <w:b/>
                <w:szCs w:val="22"/>
              </w:rPr>
              <w:t>35.000</w:t>
            </w:r>
          </w:p>
        </w:tc>
        <w:tc>
          <w:tcPr>
            <w:tcW w:w="1708" w:type="dxa"/>
          </w:tcPr>
          <w:p w:rsidR="00E82E38" w:rsidRPr="00F86457" w:rsidRDefault="00E82E38" w:rsidP="00043921">
            <w:pPr>
              <w:rPr>
                <w:b/>
                <w:szCs w:val="22"/>
              </w:rPr>
            </w:pPr>
          </w:p>
        </w:tc>
        <w:tc>
          <w:tcPr>
            <w:tcW w:w="1670" w:type="dxa"/>
            <w:vAlign w:val="center"/>
          </w:tcPr>
          <w:p w:rsidR="00E82E38" w:rsidRPr="00F86457" w:rsidRDefault="00E82E38" w:rsidP="00043921">
            <w:pPr>
              <w:rPr>
                <w:b/>
                <w:szCs w:val="22"/>
              </w:rPr>
            </w:pPr>
          </w:p>
        </w:tc>
        <w:tc>
          <w:tcPr>
            <w:tcW w:w="1696" w:type="dxa"/>
          </w:tcPr>
          <w:p w:rsidR="00E82E38" w:rsidRPr="00F86457" w:rsidRDefault="00E82E38" w:rsidP="00043921">
            <w:pPr>
              <w:rPr>
                <w:b/>
                <w:szCs w:val="22"/>
              </w:rPr>
            </w:pPr>
          </w:p>
        </w:tc>
        <w:tc>
          <w:tcPr>
            <w:tcW w:w="1668" w:type="dxa"/>
            <w:vAlign w:val="center"/>
          </w:tcPr>
          <w:p w:rsidR="00E82E38" w:rsidRPr="00F86457" w:rsidRDefault="00E82E38" w:rsidP="00043921">
            <w:pPr>
              <w:rPr>
                <w:b/>
                <w:szCs w:val="22"/>
              </w:rPr>
            </w:pPr>
            <w:r w:rsidRPr="00F86457">
              <w:rPr>
                <w:b/>
                <w:szCs w:val="22"/>
              </w:rPr>
              <w:t>20.000</w:t>
            </w:r>
          </w:p>
        </w:tc>
        <w:tc>
          <w:tcPr>
            <w:tcW w:w="1668" w:type="dxa"/>
            <w:vAlign w:val="center"/>
          </w:tcPr>
          <w:p w:rsidR="00E82E38" w:rsidRPr="00F86457" w:rsidRDefault="00E82E38" w:rsidP="00043921">
            <w:pPr>
              <w:rPr>
                <w:b/>
                <w:szCs w:val="22"/>
              </w:rPr>
            </w:pPr>
            <w:r w:rsidRPr="00F86457">
              <w:rPr>
                <w:b/>
                <w:szCs w:val="22"/>
              </w:rPr>
              <w:t>30.000</w:t>
            </w:r>
          </w:p>
        </w:tc>
        <w:tc>
          <w:tcPr>
            <w:tcW w:w="1373" w:type="dxa"/>
            <w:vAlign w:val="center"/>
          </w:tcPr>
          <w:p w:rsidR="00E82E38" w:rsidRPr="00F86457" w:rsidRDefault="00E82E38" w:rsidP="00043921">
            <w:pPr>
              <w:rPr>
                <w:b/>
                <w:szCs w:val="22"/>
              </w:rPr>
            </w:pPr>
            <w:r w:rsidRPr="00F86457">
              <w:rPr>
                <w:b/>
                <w:szCs w:val="22"/>
              </w:rPr>
              <w:t>100.000</w:t>
            </w:r>
          </w:p>
        </w:tc>
      </w:tr>
    </w:tbl>
    <w:p w:rsidR="00557FCB" w:rsidRDefault="00557FCB" w:rsidP="00E82E38">
      <w:pPr>
        <w:ind w:hanging="142"/>
      </w:pPr>
    </w:p>
    <w:p w:rsidR="00E82E38" w:rsidRPr="00F86457" w:rsidRDefault="00E82E38" w:rsidP="00E82E38">
      <w:pPr>
        <w:ind w:hanging="142"/>
        <w:rPr>
          <w:szCs w:val="22"/>
        </w:rPr>
      </w:pPr>
      <w:r w:rsidRPr="00F86457">
        <w:t>b) Bienio 2020-2021</w:t>
      </w:r>
    </w:p>
    <w:p w:rsidR="00E82E38" w:rsidRPr="00F86457" w:rsidRDefault="00E82E38" w:rsidP="00E82E38">
      <w:pPr>
        <w:ind w:hanging="142"/>
        <w:rPr>
          <w:szCs w:val="22"/>
          <w:u w:val="single"/>
        </w:rPr>
      </w:pPr>
    </w:p>
    <w:tbl>
      <w:tblPr>
        <w:tblStyle w:val="TableGrid"/>
        <w:tblW w:w="0" w:type="auto"/>
        <w:tblLook w:val="04A0" w:firstRow="1" w:lastRow="0" w:firstColumn="1" w:lastColumn="0" w:noHBand="0" w:noVBand="1"/>
      </w:tblPr>
      <w:tblGrid>
        <w:gridCol w:w="2568"/>
        <w:gridCol w:w="1449"/>
        <w:gridCol w:w="1341"/>
        <w:gridCol w:w="1708"/>
        <w:gridCol w:w="1610"/>
        <w:gridCol w:w="1696"/>
        <w:gridCol w:w="1667"/>
        <w:gridCol w:w="1668"/>
        <w:gridCol w:w="1364"/>
      </w:tblGrid>
      <w:tr w:rsidR="00E82E38" w:rsidRPr="00F86457" w:rsidTr="00043921">
        <w:tc>
          <w:tcPr>
            <w:tcW w:w="2750" w:type="dxa"/>
          </w:tcPr>
          <w:p w:rsidR="00E82E38" w:rsidRPr="00F86457" w:rsidRDefault="00E82E38" w:rsidP="00043921">
            <w:pPr>
              <w:rPr>
                <w:szCs w:val="22"/>
              </w:rPr>
            </w:pPr>
          </w:p>
        </w:tc>
        <w:tc>
          <w:tcPr>
            <w:tcW w:w="12180" w:type="dxa"/>
            <w:gridSpan w:val="8"/>
          </w:tcPr>
          <w:p w:rsidR="00E82E38" w:rsidRPr="00F86457" w:rsidRDefault="00E82E38" w:rsidP="00043921">
            <w:pPr>
              <w:jc w:val="center"/>
              <w:rPr>
                <w:i/>
                <w:szCs w:val="22"/>
              </w:rPr>
            </w:pPr>
            <w:r w:rsidRPr="00F86457">
              <w:rPr>
                <w:i/>
                <w:szCs w:val="22"/>
              </w:rPr>
              <w:t>(Francos suizos)</w:t>
            </w:r>
          </w:p>
        </w:tc>
      </w:tr>
      <w:tr w:rsidR="00E82E38" w:rsidRPr="00F86457" w:rsidTr="00043921">
        <w:tc>
          <w:tcPr>
            <w:tcW w:w="2750" w:type="dxa"/>
            <w:vMerge w:val="restart"/>
          </w:tcPr>
          <w:p w:rsidR="00E82E38" w:rsidRPr="00F86457" w:rsidRDefault="00E82E38" w:rsidP="00043921">
            <w:pPr>
              <w:rPr>
                <w:szCs w:val="22"/>
              </w:rPr>
            </w:pPr>
            <w:r w:rsidRPr="00F86457">
              <w:rPr>
                <w:b/>
                <w:szCs w:val="22"/>
              </w:rPr>
              <w:t>Actividades</w:t>
            </w:r>
          </w:p>
        </w:tc>
        <w:tc>
          <w:tcPr>
            <w:tcW w:w="4458" w:type="dxa"/>
            <w:gridSpan w:val="3"/>
          </w:tcPr>
          <w:p w:rsidR="00E82E38" w:rsidRPr="00F86457" w:rsidRDefault="00E82E38" w:rsidP="00043921">
            <w:pPr>
              <w:jc w:val="center"/>
              <w:rPr>
                <w:b/>
                <w:bCs/>
                <w:szCs w:val="22"/>
              </w:rPr>
            </w:pPr>
            <w:r w:rsidRPr="00F86457">
              <w:rPr>
                <w:b/>
                <w:bCs/>
                <w:szCs w:val="22"/>
              </w:rPr>
              <w:t>Viajes, f</w:t>
            </w:r>
            <w:r w:rsidR="005D15DB" w:rsidRPr="00F86457">
              <w:rPr>
                <w:b/>
                <w:bCs/>
                <w:szCs w:val="22"/>
              </w:rPr>
              <w:t>ormación y subvenciones conexas</w:t>
            </w:r>
          </w:p>
        </w:tc>
        <w:tc>
          <w:tcPr>
            <w:tcW w:w="6239" w:type="dxa"/>
            <w:gridSpan w:val="4"/>
          </w:tcPr>
          <w:p w:rsidR="00E82E38" w:rsidRPr="00F86457" w:rsidRDefault="00E82E38" w:rsidP="00043921">
            <w:pPr>
              <w:jc w:val="center"/>
              <w:rPr>
                <w:szCs w:val="22"/>
              </w:rPr>
            </w:pPr>
            <w:r w:rsidRPr="00F86457">
              <w:rPr>
                <w:b/>
                <w:bCs/>
                <w:szCs w:val="22"/>
              </w:rPr>
              <w:t>Servicios contractuales</w:t>
            </w:r>
          </w:p>
        </w:tc>
        <w:tc>
          <w:tcPr>
            <w:tcW w:w="1483" w:type="dxa"/>
            <w:vMerge w:val="restart"/>
          </w:tcPr>
          <w:p w:rsidR="00E82E38" w:rsidRPr="00F86457" w:rsidRDefault="00E82E38" w:rsidP="00043921">
            <w:pPr>
              <w:rPr>
                <w:b/>
                <w:szCs w:val="22"/>
              </w:rPr>
            </w:pPr>
            <w:r w:rsidRPr="00F86457">
              <w:rPr>
                <w:b/>
                <w:szCs w:val="22"/>
              </w:rPr>
              <w:t>Total</w:t>
            </w:r>
          </w:p>
        </w:tc>
      </w:tr>
      <w:tr w:rsidR="00E82E38" w:rsidRPr="00F86457" w:rsidTr="00043921">
        <w:tc>
          <w:tcPr>
            <w:tcW w:w="2750" w:type="dxa"/>
            <w:vMerge/>
          </w:tcPr>
          <w:p w:rsidR="00E82E38" w:rsidRPr="00F86457" w:rsidRDefault="00E82E38" w:rsidP="00043921">
            <w:pPr>
              <w:rPr>
                <w:b/>
                <w:szCs w:val="22"/>
              </w:rPr>
            </w:pPr>
          </w:p>
        </w:tc>
        <w:tc>
          <w:tcPr>
            <w:tcW w:w="1548" w:type="dxa"/>
          </w:tcPr>
          <w:p w:rsidR="00E82E38" w:rsidRPr="00F86457" w:rsidRDefault="00E82E38" w:rsidP="00043921">
            <w:pPr>
              <w:rPr>
                <w:szCs w:val="22"/>
              </w:rPr>
            </w:pPr>
            <w:r w:rsidRPr="00F86457">
              <w:rPr>
                <w:b/>
                <w:bCs/>
                <w:szCs w:val="22"/>
              </w:rPr>
              <w:t>Misiones del personal</w:t>
            </w:r>
          </w:p>
        </w:tc>
        <w:tc>
          <w:tcPr>
            <w:tcW w:w="1428" w:type="dxa"/>
          </w:tcPr>
          <w:p w:rsidR="00E82E38" w:rsidRPr="00F86457" w:rsidRDefault="00E82E38" w:rsidP="00043921">
            <w:pPr>
              <w:rPr>
                <w:szCs w:val="22"/>
              </w:rPr>
            </w:pPr>
            <w:r w:rsidRPr="00F86457">
              <w:rPr>
                <w:b/>
                <w:bCs/>
                <w:szCs w:val="22"/>
              </w:rPr>
              <w:t>Viajes de terceros</w:t>
            </w:r>
          </w:p>
        </w:tc>
        <w:tc>
          <w:tcPr>
            <w:tcW w:w="1482" w:type="dxa"/>
          </w:tcPr>
          <w:p w:rsidR="00E82E38" w:rsidRPr="00F86457" w:rsidRDefault="00E82E38" w:rsidP="00043921">
            <w:pPr>
              <w:rPr>
                <w:b/>
                <w:bCs/>
                <w:szCs w:val="22"/>
              </w:rPr>
            </w:pPr>
            <w:r w:rsidRPr="00F86457">
              <w:rPr>
                <w:b/>
                <w:bCs/>
                <w:szCs w:val="22"/>
              </w:rPr>
              <w:t>Subvenciones para formación y viajes</w:t>
            </w:r>
          </w:p>
        </w:tc>
        <w:tc>
          <w:tcPr>
            <w:tcW w:w="1549" w:type="dxa"/>
          </w:tcPr>
          <w:p w:rsidR="00E82E38" w:rsidRPr="00F86457" w:rsidRDefault="00E82E38" w:rsidP="00043921">
            <w:pPr>
              <w:rPr>
                <w:szCs w:val="22"/>
              </w:rPr>
            </w:pPr>
            <w:r w:rsidRPr="00F86457">
              <w:rPr>
                <w:b/>
                <w:bCs/>
                <w:szCs w:val="22"/>
              </w:rPr>
              <w:t>Conferencias</w:t>
            </w:r>
          </w:p>
        </w:tc>
        <w:tc>
          <w:tcPr>
            <w:tcW w:w="1341" w:type="dxa"/>
          </w:tcPr>
          <w:p w:rsidR="00E82E38" w:rsidRPr="00F86457" w:rsidRDefault="00E82E38" w:rsidP="00043921">
            <w:pPr>
              <w:rPr>
                <w:b/>
                <w:bCs/>
                <w:szCs w:val="22"/>
              </w:rPr>
            </w:pPr>
            <w:r w:rsidRPr="00F86457">
              <w:rPr>
                <w:b/>
                <w:bCs/>
                <w:szCs w:val="22"/>
              </w:rPr>
              <w:t>Publicaciones</w:t>
            </w:r>
          </w:p>
        </w:tc>
        <w:tc>
          <w:tcPr>
            <w:tcW w:w="1674" w:type="dxa"/>
          </w:tcPr>
          <w:p w:rsidR="00E82E38" w:rsidRPr="00F86457" w:rsidRDefault="00E82E38" w:rsidP="00043921">
            <w:pPr>
              <w:rPr>
                <w:szCs w:val="22"/>
              </w:rPr>
            </w:pPr>
            <w:r w:rsidRPr="00F86457">
              <w:rPr>
                <w:b/>
                <w:bCs/>
                <w:szCs w:val="22"/>
              </w:rPr>
              <w:t>Servicios contractuales individuales</w:t>
            </w:r>
          </w:p>
        </w:tc>
        <w:tc>
          <w:tcPr>
            <w:tcW w:w="1675" w:type="dxa"/>
          </w:tcPr>
          <w:p w:rsidR="00E82E38" w:rsidRPr="00F86457" w:rsidRDefault="00E82E38" w:rsidP="00043921">
            <w:pPr>
              <w:rPr>
                <w:szCs w:val="22"/>
              </w:rPr>
            </w:pPr>
            <w:r w:rsidRPr="00F86457">
              <w:rPr>
                <w:b/>
                <w:bCs/>
                <w:szCs w:val="22"/>
              </w:rPr>
              <w:t>Otros servicios contractuales</w:t>
            </w:r>
          </w:p>
        </w:tc>
        <w:tc>
          <w:tcPr>
            <w:tcW w:w="1483" w:type="dxa"/>
            <w:vMerge/>
          </w:tcPr>
          <w:p w:rsidR="00E82E38" w:rsidRPr="00F86457" w:rsidRDefault="00E82E38" w:rsidP="00043921">
            <w:pPr>
              <w:rPr>
                <w:szCs w:val="22"/>
              </w:rPr>
            </w:pPr>
          </w:p>
        </w:tc>
      </w:tr>
      <w:tr w:rsidR="00E82E38" w:rsidRPr="00F86457" w:rsidTr="00043921">
        <w:tc>
          <w:tcPr>
            <w:tcW w:w="2750" w:type="dxa"/>
          </w:tcPr>
          <w:p w:rsidR="00E82E38" w:rsidRPr="00F86457" w:rsidRDefault="00E82E38" w:rsidP="00043921">
            <w:pPr>
              <w:rPr>
                <w:szCs w:val="22"/>
              </w:rPr>
            </w:pPr>
            <w:r w:rsidRPr="00F86457">
              <w:t xml:space="preserve">Lista de verificación y módulo de formación sobre el acceso a la </w:t>
            </w:r>
            <w:r w:rsidRPr="00F86457">
              <w:lastRenderedPageBreak/>
              <w:t>información de PI de terceros</w:t>
            </w: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r w:rsidRPr="00F86457">
              <w:t>18.000</w:t>
            </w: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r w:rsidRPr="00F86457">
              <w:t>18.000</w:t>
            </w:r>
          </w:p>
        </w:tc>
      </w:tr>
      <w:tr w:rsidR="00E82E38" w:rsidRPr="00F86457" w:rsidTr="00043921">
        <w:tc>
          <w:tcPr>
            <w:tcW w:w="2750" w:type="dxa"/>
          </w:tcPr>
          <w:p w:rsidR="00E82E38" w:rsidRPr="00F86457" w:rsidRDefault="00E82E38" w:rsidP="00043921">
            <w:pPr>
              <w:rPr>
                <w:szCs w:val="22"/>
              </w:rPr>
            </w:pPr>
            <w:r w:rsidRPr="00F86457">
              <w:t>Lista de verificación y módulo de formación sobre contratos</w:t>
            </w: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r w:rsidRPr="00F86457">
              <w:t>18.000</w:t>
            </w: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r w:rsidRPr="00F86457">
              <w:t>18.000</w:t>
            </w:r>
          </w:p>
        </w:tc>
      </w:tr>
      <w:tr w:rsidR="00E82E38" w:rsidRPr="00F86457" w:rsidTr="00043921">
        <w:tc>
          <w:tcPr>
            <w:tcW w:w="2750" w:type="dxa"/>
          </w:tcPr>
          <w:p w:rsidR="00E82E38" w:rsidRPr="00F86457" w:rsidRDefault="00E82E38" w:rsidP="00043921">
            <w:pPr>
              <w:rPr>
                <w:szCs w:val="22"/>
              </w:rPr>
            </w:pPr>
            <w:r w:rsidRPr="00F86457">
              <w:t xml:space="preserve">Módulo de formación sobre observancia, mediación y arbitraje para empresarios de </w:t>
            </w:r>
            <w:r w:rsidRPr="00F86457">
              <w:rPr>
                <w:i/>
                <w:iCs/>
              </w:rPr>
              <w:t>software</w:t>
            </w: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r w:rsidRPr="00F86457">
              <w:t>20.000</w:t>
            </w: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r w:rsidRPr="00F86457">
              <w:t>20.000</w:t>
            </w:r>
          </w:p>
        </w:tc>
      </w:tr>
      <w:tr w:rsidR="00E82E38" w:rsidRPr="00F86457" w:rsidTr="00043921">
        <w:tc>
          <w:tcPr>
            <w:tcW w:w="2750" w:type="dxa"/>
          </w:tcPr>
          <w:p w:rsidR="00E82E38" w:rsidRPr="00F86457" w:rsidRDefault="00E82E38" w:rsidP="00043921">
            <w:pPr>
              <w:rPr>
                <w:szCs w:val="22"/>
              </w:rPr>
            </w:pPr>
            <w:r w:rsidRPr="00F86457">
              <w:t>Módulo de formación sobre observancia, mediación y arbitraje para abogados y funcionarios públicos</w:t>
            </w: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r w:rsidRPr="00F86457">
              <w:t>20.000</w:t>
            </w: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r w:rsidRPr="00F86457">
              <w:t>20.000</w:t>
            </w:r>
          </w:p>
        </w:tc>
      </w:tr>
      <w:tr w:rsidR="00E82E38" w:rsidRPr="00F86457" w:rsidTr="00043921">
        <w:tc>
          <w:tcPr>
            <w:tcW w:w="2750" w:type="dxa"/>
          </w:tcPr>
          <w:p w:rsidR="00E82E38" w:rsidRPr="00F86457" w:rsidRDefault="00E82E38" w:rsidP="00043921">
            <w:pPr>
              <w:rPr>
                <w:szCs w:val="22"/>
              </w:rPr>
            </w:pPr>
            <w:r w:rsidRPr="00F86457">
              <w:t>Diálogo con instituciones financieras e inversores</w:t>
            </w:r>
          </w:p>
        </w:tc>
        <w:tc>
          <w:tcPr>
            <w:tcW w:w="1548" w:type="dxa"/>
          </w:tcPr>
          <w:p w:rsidR="00E82E38" w:rsidRPr="00F86457" w:rsidRDefault="00E82E38" w:rsidP="00043921">
            <w:pPr>
              <w:rPr>
                <w:szCs w:val="22"/>
              </w:rPr>
            </w:pPr>
            <w:r w:rsidRPr="00F86457">
              <w:t>10.000</w:t>
            </w: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r w:rsidRPr="00F86457">
              <w:t>10.000</w:t>
            </w:r>
          </w:p>
        </w:tc>
      </w:tr>
      <w:tr w:rsidR="00E82E38" w:rsidRPr="00F86457" w:rsidTr="00043921">
        <w:tc>
          <w:tcPr>
            <w:tcW w:w="2750" w:type="dxa"/>
          </w:tcPr>
          <w:p w:rsidR="00E82E38" w:rsidRPr="00F86457" w:rsidRDefault="00E82E38" w:rsidP="00043921">
            <w:pPr>
              <w:rPr>
                <w:szCs w:val="22"/>
              </w:rPr>
            </w:pPr>
            <w:r w:rsidRPr="00F86457">
              <w:t>Videoconferencias entre los centros de TIC de seis países beneficiarios</w:t>
            </w: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r w:rsidRPr="00F86457">
              <w:t>10.000</w:t>
            </w:r>
          </w:p>
        </w:tc>
        <w:tc>
          <w:tcPr>
            <w:tcW w:w="1483" w:type="dxa"/>
          </w:tcPr>
          <w:p w:rsidR="00E82E38" w:rsidRPr="00F86457" w:rsidRDefault="00E82E38" w:rsidP="00043921">
            <w:pPr>
              <w:rPr>
                <w:szCs w:val="22"/>
              </w:rPr>
            </w:pPr>
            <w:r w:rsidRPr="00F86457">
              <w:t>10.000</w:t>
            </w:r>
          </w:p>
        </w:tc>
      </w:tr>
      <w:tr w:rsidR="00E82E38" w:rsidRPr="00F86457" w:rsidTr="00043921">
        <w:tc>
          <w:tcPr>
            <w:tcW w:w="2750" w:type="dxa"/>
          </w:tcPr>
          <w:p w:rsidR="00E82E38" w:rsidRPr="00F86457" w:rsidRDefault="00E82E38" w:rsidP="00043921">
            <w:pPr>
              <w:rPr>
                <w:szCs w:val="22"/>
              </w:rPr>
            </w:pPr>
            <w:r w:rsidRPr="00F86457">
              <w:t>Material de sensibilización sobre la PI destinado a estudiantes de informática</w:t>
            </w: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r w:rsidRPr="00F86457">
              <w:t>5.000</w:t>
            </w: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r w:rsidRPr="00F86457">
              <w:t>5.000</w:t>
            </w:r>
          </w:p>
        </w:tc>
        <w:tc>
          <w:tcPr>
            <w:tcW w:w="1483" w:type="dxa"/>
          </w:tcPr>
          <w:p w:rsidR="00E82E38" w:rsidRPr="00F86457" w:rsidRDefault="00E82E38" w:rsidP="00043921">
            <w:pPr>
              <w:rPr>
                <w:szCs w:val="22"/>
              </w:rPr>
            </w:pPr>
            <w:r w:rsidRPr="00F86457">
              <w:t>10.000</w:t>
            </w:r>
          </w:p>
        </w:tc>
      </w:tr>
      <w:tr w:rsidR="00E82E38" w:rsidRPr="00F86457" w:rsidTr="00043921">
        <w:tc>
          <w:tcPr>
            <w:tcW w:w="2750" w:type="dxa"/>
          </w:tcPr>
          <w:p w:rsidR="00E82E38" w:rsidRPr="00F86457" w:rsidRDefault="00E82E38" w:rsidP="00043921">
            <w:pPr>
              <w:rPr>
                <w:szCs w:val="22"/>
              </w:rPr>
            </w:pPr>
            <w:r w:rsidRPr="00F86457">
              <w:t>Programa de orientación</w:t>
            </w:r>
          </w:p>
        </w:tc>
        <w:tc>
          <w:tcPr>
            <w:tcW w:w="1548" w:type="dxa"/>
          </w:tcPr>
          <w:p w:rsidR="00E82E38" w:rsidRPr="00F86457" w:rsidRDefault="00E82E38" w:rsidP="00043921">
            <w:pPr>
              <w:rPr>
                <w:szCs w:val="22"/>
              </w:rPr>
            </w:pPr>
            <w:r w:rsidRPr="00F86457">
              <w:t>15.000</w:t>
            </w:r>
          </w:p>
        </w:tc>
        <w:tc>
          <w:tcPr>
            <w:tcW w:w="1428" w:type="dxa"/>
          </w:tcPr>
          <w:p w:rsidR="00E82E38" w:rsidRPr="00F86457" w:rsidRDefault="00E82E38" w:rsidP="00043921">
            <w:pPr>
              <w:rPr>
                <w:szCs w:val="22"/>
              </w:rPr>
            </w:pPr>
            <w:r w:rsidRPr="00F86457">
              <w:t>15.000</w:t>
            </w: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r w:rsidRPr="00F86457">
              <w:t>10.000</w:t>
            </w:r>
          </w:p>
        </w:tc>
        <w:tc>
          <w:tcPr>
            <w:tcW w:w="1483" w:type="dxa"/>
          </w:tcPr>
          <w:p w:rsidR="00E82E38" w:rsidRPr="00F86457" w:rsidRDefault="00E82E38" w:rsidP="00043921">
            <w:pPr>
              <w:rPr>
                <w:szCs w:val="22"/>
              </w:rPr>
            </w:pPr>
            <w:r w:rsidRPr="00F86457">
              <w:t>40.000</w:t>
            </w:r>
          </w:p>
        </w:tc>
      </w:tr>
      <w:tr w:rsidR="00E82E38" w:rsidRPr="00F86457" w:rsidTr="00043921">
        <w:tc>
          <w:tcPr>
            <w:tcW w:w="2750" w:type="dxa"/>
          </w:tcPr>
          <w:p w:rsidR="00E82E38" w:rsidRPr="00F86457" w:rsidRDefault="00E82E38" w:rsidP="00043921">
            <w:pPr>
              <w:rPr>
                <w:szCs w:val="22"/>
              </w:rPr>
            </w:pPr>
            <w:r w:rsidRPr="00F86457">
              <w:t xml:space="preserve">Guía de PI para el sector del </w:t>
            </w:r>
            <w:r w:rsidRPr="00F86457">
              <w:rPr>
                <w:i/>
                <w:iCs/>
              </w:rPr>
              <w:t>software</w:t>
            </w: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r w:rsidRPr="00F86457">
              <w:t>10.000</w:t>
            </w:r>
          </w:p>
        </w:tc>
        <w:tc>
          <w:tcPr>
            <w:tcW w:w="1674" w:type="dxa"/>
          </w:tcPr>
          <w:p w:rsidR="00E82E38" w:rsidRPr="00F86457" w:rsidRDefault="00E82E38" w:rsidP="00043921">
            <w:pPr>
              <w:rPr>
                <w:szCs w:val="22"/>
              </w:rPr>
            </w:pPr>
            <w:r w:rsidRPr="00F86457">
              <w:t>20.000</w:t>
            </w: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r w:rsidRPr="00F86457">
              <w:t>50.000</w:t>
            </w:r>
          </w:p>
        </w:tc>
      </w:tr>
      <w:tr w:rsidR="00E82E38" w:rsidRPr="00F86457" w:rsidTr="00043921">
        <w:tc>
          <w:tcPr>
            <w:tcW w:w="2750" w:type="dxa"/>
          </w:tcPr>
          <w:p w:rsidR="00E82E38" w:rsidRPr="00F86457" w:rsidRDefault="00E82E38" w:rsidP="00043921">
            <w:pPr>
              <w:rPr>
                <w:szCs w:val="22"/>
              </w:rPr>
            </w:pPr>
            <w:r w:rsidRPr="00F86457">
              <w:t>Plataforma en línea</w:t>
            </w: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r w:rsidRPr="00F86457">
              <w:t>20.000</w:t>
            </w:r>
          </w:p>
        </w:tc>
        <w:tc>
          <w:tcPr>
            <w:tcW w:w="1483" w:type="dxa"/>
          </w:tcPr>
          <w:p w:rsidR="00E82E38" w:rsidRPr="00F86457" w:rsidRDefault="00E82E38" w:rsidP="00043921">
            <w:pPr>
              <w:rPr>
                <w:szCs w:val="22"/>
              </w:rPr>
            </w:pPr>
            <w:r w:rsidRPr="00F86457">
              <w:t>20.000</w:t>
            </w:r>
          </w:p>
        </w:tc>
      </w:tr>
      <w:tr w:rsidR="00E82E38" w:rsidRPr="00F86457" w:rsidTr="00043921">
        <w:tc>
          <w:tcPr>
            <w:tcW w:w="2750" w:type="dxa"/>
          </w:tcPr>
          <w:p w:rsidR="00E82E38" w:rsidRPr="00F86457" w:rsidRDefault="00E82E38" w:rsidP="00043921">
            <w:pPr>
              <w:rPr>
                <w:szCs w:val="22"/>
              </w:rPr>
            </w:pPr>
            <w:r w:rsidRPr="00F86457">
              <w:t>Último taller en tres de los seis países beneficiarios</w:t>
            </w:r>
          </w:p>
        </w:tc>
        <w:tc>
          <w:tcPr>
            <w:tcW w:w="1548" w:type="dxa"/>
          </w:tcPr>
          <w:p w:rsidR="00E82E38" w:rsidRPr="00F86457" w:rsidRDefault="00E82E38" w:rsidP="00043921">
            <w:pPr>
              <w:rPr>
                <w:szCs w:val="22"/>
              </w:rPr>
            </w:pPr>
            <w:r w:rsidRPr="00F86457">
              <w:t>10.000</w:t>
            </w:r>
          </w:p>
        </w:tc>
        <w:tc>
          <w:tcPr>
            <w:tcW w:w="1428" w:type="dxa"/>
          </w:tcPr>
          <w:p w:rsidR="00E82E38" w:rsidRPr="00F86457" w:rsidRDefault="00E82E38" w:rsidP="00043921">
            <w:pPr>
              <w:rPr>
                <w:szCs w:val="22"/>
              </w:rPr>
            </w:pPr>
            <w:r w:rsidRPr="00F86457">
              <w:t>10.000</w:t>
            </w: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r w:rsidRPr="00F86457">
              <w:t>20.000</w:t>
            </w:r>
          </w:p>
        </w:tc>
      </w:tr>
      <w:tr w:rsidR="00E82E38" w:rsidRPr="00F86457" w:rsidTr="00043921">
        <w:tc>
          <w:tcPr>
            <w:tcW w:w="2750" w:type="dxa"/>
          </w:tcPr>
          <w:p w:rsidR="00E82E38" w:rsidRPr="00F86457" w:rsidRDefault="00E82E38" w:rsidP="00043921">
            <w:pPr>
              <w:rPr>
                <w:szCs w:val="22"/>
              </w:rPr>
            </w:pPr>
            <w:r w:rsidRPr="00F86457">
              <w:t xml:space="preserve">Último taller en tres de los seis países </w:t>
            </w:r>
            <w:r w:rsidRPr="00F86457">
              <w:lastRenderedPageBreak/>
              <w:t>beneficiarios</w:t>
            </w:r>
          </w:p>
        </w:tc>
        <w:tc>
          <w:tcPr>
            <w:tcW w:w="1548" w:type="dxa"/>
          </w:tcPr>
          <w:p w:rsidR="00E82E38" w:rsidRPr="00F86457" w:rsidRDefault="00E82E38" w:rsidP="00043921">
            <w:pPr>
              <w:rPr>
                <w:szCs w:val="22"/>
              </w:rPr>
            </w:pPr>
            <w:r w:rsidRPr="00F86457">
              <w:lastRenderedPageBreak/>
              <w:t>10.000</w:t>
            </w:r>
          </w:p>
        </w:tc>
        <w:tc>
          <w:tcPr>
            <w:tcW w:w="1428" w:type="dxa"/>
          </w:tcPr>
          <w:p w:rsidR="00E82E38" w:rsidRPr="00F86457" w:rsidRDefault="00E82E38" w:rsidP="00043921">
            <w:pPr>
              <w:rPr>
                <w:szCs w:val="22"/>
              </w:rPr>
            </w:pPr>
            <w:r w:rsidRPr="00F86457">
              <w:t>10.000</w:t>
            </w: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r w:rsidRPr="00F86457">
              <w:t>20.000</w:t>
            </w:r>
          </w:p>
        </w:tc>
      </w:tr>
      <w:tr w:rsidR="00E82E38" w:rsidRPr="00F86457" w:rsidTr="00043921">
        <w:tc>
          <w:tcPr>
            <w:tcW w:w="2750" w:type="dxa"/>
          </w:tcPr>
          <w:p w:rsidR="00E82E38" w:rsidRPr="00F86457" w:rsidRDefault="00E82E38" w:rsidP="00043921">
            <w:pPr>
              <w:rPr>
                <w:szCs w:val="22"/>
              </w:rPr>
            </w:pPr>
            <w:r w:rsidRPr="00F86457">
              <w:t>Reunión final con los coordinadores nacionales</w:t>
            </w:r>
          </w:p>
        </w:tc>
        <w:tc>
          <w:tcPr>
            <w:tcW w:w="1548" w:type="dxa"/>
          </w:tcPr>
          <w:p w:rsidR="00E82E38" w:rsidRPr="00F86457" w:rsidRDefault="00E82E38" w:rsidP="00043921">
            <w:pPr>
              <w:rPr>
                <w:szCs w:val="22"/>
              </w:rPr>
            </w:pPr>
            <w:r w:rsidRPr="00F86457">
              <w:t>5.000</w:t>
            </w:r>
          </w:p>
        </w:tc>
        <w:tc>
          <w:tcPr>
            <w:tcW w:w="1428" w:type="dxa"/>
          </w:tcPr>
          <w:p w:rsidR="00E82E38" w:rsidRPr="00F86457" w:rsidRDefault="00E82E38" w:rsidP="00043921">
            <w:pPr>
              <w:rPr>
                <w:szCs w:val="22"/>
              </w:rPr>
            </w:pPr>
            <w:r w:rsidRPr="00F86457">
              <w:t>15.000</w:t>
            </w: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r w:rsidRPr="00F86457">
              <w:t>20.000</w:t>
            </w:r>
          </w:p>
        </w:tc>
      </w:tr>
      <w:tr w:rsidR="00E82E38" w:rsidRPr="00F86457" w:rsidTr="00043921">
        <w:tc>
          <w:tcPr>
            <w:tcW w:w="2750" w:type="dxa"/>
          </w:tcPr>
          <w:p w:rsidR="00E82E38" w:rsidRPr="00F86457" w:rsidRDefault="00E82E38" w:rsidP="00043921">
            <w:pPr>
              <w:rPr>
                <w:szCs w:val="22"/>
              </w:rPr>
            </w:pPr>
            <w:r w:rsidRPr="00F86457">
              <w:t>Evaluación interna del proyecto</w:t>
            </w: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r w:rsidRPr="00F86457">
              <w:t>15.000</w:t>
            </w:r>
          </w:p>
        </w:tc>
        <w:tc>
          <w:tcPr>
            <w:tcW w:w="1483" w:type="dxa"/>
          </w:tcPr>
          <w:p w:rsidR="00E82E38" w:rsidRPr="00F86457" w:rsidRDefault="00E82E38" w:rsidP="00043921">
            <w:pPr>
              <w:rPr>
                <w:szCs w:val="22"/>
              </w:rPr>
            </w:pPr>
            <w:r w:rsidRPr="00F86457">
              <w:t>15.000</w:t>
            </w:r>
          </w:p>
        </w:tc>
      </w:tr>
      <w:tr w:rsidR="00E82E38" w:rsidRPr="00F86457" w:rsidTr="00043921">
        <w:tc>
          <w:tcPr>
            <w:tcW w:w="2750" w:type="dxa"/>
          </w:tcPr>
          <w:p w:rsidR="00E82E38" w:rsidRPr="00F86457" w:rsidRDefault="00E82E38" w:rsidP="00043921">
            <w:pPr>
              <w:rPr>
                <w:szCs w:val="22"/>
              </w:rPr>
            </w:pPr>
          </w:p>
        </w:tc>
        <w:tc>
          <w:tcPr>
            <w:tcW w:w="1548" w:type="dxa"/>
          </w:tcPr>
          <w:p w:rsidR="00E82E38" w:rsidRPr="00F86457" w:rsidRDefault="00E82E38" w:rsidP="00043921">
            <w:pPr>
              <w:rPr>
                <w:szCs w:val="22"/>
              </w:rPr>
            </w:pPr>
          </w:p>
        </w:tc>
        <w:tc>
          <w:tcPr>
            <w:tcW w:w="1428" w:type="dxa"/>
          </w:tcPr>
          <w:p w:rsidR="00E82E38" w:rsidRPr="00F86457" w:rsidRDefault="00E82E38" w:rsidP="00043921">
            <w:pPr>
              <w:rPr>
                <w:szCs w:val="22"/>
              </w:rPr>
            </w:pPr>
          </w:p>
        </w:tc>
        <w:tc>
          <w:tcPr>
            <w:tcW w:w="1482" w:type="dxa"/>
          </w:tcPr>
          <w:p w:rsidR="00E82E38" w:rsidRPr="00F86457" w:rsidRDefault="00E82E38" w:rsidP="00043921">
            <w:pPr>
              <w:rPr>
                <w:szCs w:val="22"/>
              </w:rPr>
            </w:pPr>
          </w:p>
        </w:tc>
        <w:tc>
          <w:tcPr>
            <w:tcW w:w="1549" w:type="dxa"/>
          </w:tcPr>
          <w:p w:rsidR="00E82E38" w:rsidRPr="00F86457" w:rsidRDefault="00E82E38" w:rsidP="00043921">
            <w:pPr>
              <w:rPr>
                <w:szCs w:val="22"/>
              </w:rPr>
            </w:pPr>
          </w:p>
        </w:tc>
        <w:tc>
          <w:tcPr>
            <w:tcW w:w="1341" w:type="dxa"/>
          </w:tcPr>
          <w:p w:rsidR="00E82E38" w:rsidRPr="00F86457" w:rsidRDefault="00E82E38" w:rsidP="00043921">
            <w:pPr>
              <w:rPr>
                <w:szCs w:val="22"/>
              </w:rPr>
            </w:pPr>
          </w:p>
        </w:tc>
        <w:tc>
          <w:tcPr>
            <w:tcW w:w="1674" w:type="dxa"/>
          </w:tcPr>
          <w:p w:rsidR="00E82E38" w:rsidRPr="00F86457" w:rsidRDefault="00E82E38" w:rsidP="00043921">
            <w:pPr>
              <w:rPr>
                <w:szCs w:val="22"/>
              </w:rPr>
            </w:pPr>
          </w:p>
        </w:tc>
        <w:tc>
          <w:tcPr>
            <w:tcW w:w="1675" w:type="dxa"/>
          </w:tcPr>
          <w:p w:rsidR="00E82E38" w:rsidRPr="00F86457" w:rsidRDefault="00E82E38" w:rsidP="00043921">
            <w:pPr>
              <w:rPr>
                <w:szCs w:val="22"/>
              </w:rPr>
            </w:pPr>
          </w:p>
        </w:tc>
        <w:tc>
          <w:tcPr>
            <w:tcW w:w="1483" w:type="dxa"/>
          </w:tcPr>
          <w:p w:rsidR="00E82E38" w:rsidRPr="00F86457" w:rsidRDefault="00E82E38" w:rsidP="00043921">
            <w:pPr>
              <w:rPr>
                <w:szCs w:val="22"/>
              </w:rPr>
            </w:pPr>
          </w:p>
        </w:tc>
      </w:tr>
      <w:tr w:rsidR="00E82E38" w:rsidRPr="00F86457" w:rsidTr="00043921">
        <w:tc>
          <w:tcPr>
            <w:tcW w:w="2750" w:type="dxa"/>
            <w:vAlign w:val="center"/>
          </w:tcPr>
          <w:p w:rsidR="00E82E38" w:rsidRPr="00F86457" w:rsidRDefault="00E82E38" w:rsidP="00043921">
            <w:pPr>
              <w:rPr>
                <w:b/>
                <w:szCs w:val="22"/>
              </w:rPr>
            </w:pPr>
            <w:r w:rsidRPr="00F86457">
              <w:rPr>
                <w:b/>
                <w:szCs w:val="22"/>
              </w:rPr>
              <w:t>Total</w:t>
            </w:r>
          </w:p>
        </w:tc>
        <w:tc>
          <w:tcPr>
            <w:tcW w:w="1548" w:type="dxa"/>
            <w:vAlign w:val="center"/>
          </w:tcPr>
          <w:p w:rsidR="00E82E38" w:rsidRPr="00F86457" w:rsidRDefault="00E82E38" w:rsidP="00043921">
            <w:pPr>
              <w:rPr>
                <w:b/>
                <w:szCs w:val="22"/>
              </w:rPr>
            </w:pPr>
            <w:r w:rsidRPr="00F86457">
              <w:rPr>
                <w:b/>
                <w:szCs w:val="22"/>
              </w:rPr>
              <w:t>40.000</w:t>
            </w:r>
          </w:p>
        </w:tc>
        <w:tc>
          <w:tcPr>
            <w:tcW w:w="1428" w:type="dxa"/>
            <w:vAlign w:val="center"/>
          </w:tcPr>
          <w:p w:rsidR="00E82E38" w:rsidRPr="00F86457" w:rsidRDefault="00E82E38" w:rsidP="00043921">
            <w:pPr>
              <w:rPr>
                <w:b/>
                <w:szCs w:val="22"/>
              </w:rPr>
            </w:pPr>
            <w:r w:rsidRPr="00F86457">
              <w:rPr>
                <w:b/>
                <w:szCs w:val="22"/>
              </w:rPr>
              <w:t>50.000</w:t>
            </w:r>
          </w:p>
        </w:tc>
        <w:tc>
          <w:tcPr>
            <w:tcW w:w="1482" w:type="dxa"/>
          </w:tcPr>
          <w:p w:rsidR="00E82E38" w:rsidRPr="00F86457" w:rsidRDefault="00E82E38" w:rsidP="00043921">
            <w:pPr>
              <w:rPr>
                <w:b/>
                <w:szCs w:val="22"/>
              </w:rPr>
            </w:pPr>
          </w:p>
        </w:tc>
        <w:tc>
          <w:tcPr>
            <w:tcW w:w="1549" w:type="dxa"/>
            <w:vAlign w:val="center"/>
          </w:tcPr>
          <w:p w:rsidR="00E82E38" w:rsidRPr="00F86457" w:rsidRDefault="00E82E38" w:rsidP="00043921">
            <w:pPr>
              <w:rPr>
                <w:b/>
                <w:szCs w:val="22"/>
              </w:rPr>
            </w:pPr>
          </w:p>
        </w:tc>
        <w:tc>
          <w:tcPr>
            <w:tcW w:w="1341" w:type="dxa"/>
          </w:tcPr>
          <w:p w:rsidR="00E82E38" w:rsidRPr="00F86457" w:rsidRDefault="00E82E38" w:rsidP="00043921">
            <w:pPr>
              <w:rPr>
                <w:b/>
                <w:szCs w:val="22"/>
              </w:rPr>
            </w:pPr>
            <w:r w:rsidRPr="00F86457">
              <w:rPr>
                <w:b/>
                <w:szCs w:val="22"/>
              </w:rPr>
              <w:t>15.000</w:t>
            </w:r>
          </w:p>
        </w:tc>
        <w:tc>
          <w:tcPr>
            <w:tcW w:w="1674" w:type="dxa"/>
            <w:vAlign w:val="center"/>
          </w:tcPr>
          <w:p w:rsidR="00E82E38" w:rsidRPr="00F86457" w:rsidRDefault="00E82E38" w:rsidP="00043921">
            <w:pPr>
              <w:rPr>
                <w:b/>
                <w:szCs w:val="22"/>
              </w:rPr>
            </w:pPr>
            <w:r w:rsidRPr="00F86457">
              <w:rPr>
                <w:b/>
                <w:szCs w:val="22"/>
              </w:rPr>
              <w:t>96.000</w:t>
            </w:r>
          </w:p>
        </w:tc>
        <w:tc>
          <w:tcPr>
            <w:tcW w:w="1675" w:type="dxa"/>
            <w:vAlign w:val="center"/>
          </w:tcPr>
          <w:p w:rsidR="00E82E38" w:rsidRPr="00F86457" w:rsidRDefault="00E82E38" w:rsidP="00043921">
            <w:pPr>
              <w:rPr>
                <w:b/>
                <w:szCs w:val="22"/>
              </w:rPr>
            </w:pPr>
            <w:r w:rsidRPr="00F86457">
              <w:rPr>
                <w:b/>
                <w:szCs w:val="22"/>
              </w:rPr>
              <w:t>60.000</w:t>
            </w:r>
          </w:p>
        </w:tc>
        <w:tc>
          <w:tcPr>
            <w:tcW w:w="1483" w:type="dxa"/>
            <w:vAlign w:val="center"/>
          </w:tcPr>
          <w:p w:rsidR="00E82E38" w:rsidRPr="00F86457" w:rsidRDefault="00E82E38" w:rsidP="00043921">
            <w:pPr>
              <w:rPr>
                <w:b/>
                <w:szCs w:val="22"/>
              </w:rPr>
            </w:pPr>
            <w:r w:rsidRPr="00F86457">
              <w:rPr>
                <w:b/>
                <w:szCs w:val="22"/>
              </w:rPr>
              <w:t>261.000</w:t>
            </w:r>
          </w:p>
        </w:tc>
      </w:tr>
    </w:tbl>
    <w:p w:rsidR="00E82E38" w:rsidRPr="00F86457" w:rsidRDefault="00E82E38" w:rsidP="00E82E38">
      <w:pPr>
        <w:ind w:hanging="142"/>
        <w:rPr>
          <w:szCs w:val="22"/>
          <w:u w:val="single"/>
        </w:rPr>
      </w:pPr>
    </w:p>
    <w:p w:rsidR="00E82E38" w:rsidRPr="00F86457" w:rsidRDefault="00E82E38" w:rsidP="00E82E38">
      <w:pPr>
        <w:rPr>
          <w:szCs w:val="22"/>
        </w:rPr>
      </w:pPr>
      <w:r w:rsidRPr="00F86457">
        <w:t>* Con sujeción a la aprobación por el Comité del Programa y Presupuesto.</w:t>
      </w:r>
    </w:p>
    <w:p w:rsidR="00E82E38" w:rsidRPr="00F86457" w:rsidRDefault="00E82E38" w:rsidP="00E82E38">
      <w:pPr>
        <w:numPr>
          <w:ilvl w:val="0"/>
          <w:numId w:val="8"/>
        </w:numPr>
        <w:ind w:hanging="720"/>
        <w:rPr>
          <w:bCs/>
          <w:iCs/>
          <w:szCs w:val="22"/>
        </w:rPr>
      </w:pPr>
      <w:r w:rsidRPr="00F86457">
        <w:t>CALENDARIO DE EJECUCIÓN</w:t>
      </w:r>
    </w:p>
    <w:p w:rsidR="00E82E38" w:rsidRPr="00F86457" w:rsidRDefault="00E82E38" w:rsidP="00E82E38">
      <w:pPr>
        <w:rPr>
          <w:bCs/>
          <w:iCs/>
          <w:szCs w:val="22"/>
        </w:rPr>
      </w:pPr>
    </w:p>
    <w:p w:rsidR="00E82E38" w:rsidRPr="00F86457" w:rsidRDefault="00E82E38" w:rsidP="00E82E38">
      <w:pPr>
        <w:rPr>
          <w:bCs/>
          <w:iCs/>
          <w:szCs w:val="22"/>
        </w:rPr>
      </w:pPr>
      <w:r w:rsidRPr="00F86457">
        <w:t>b) Año 2019*</w:t>
      </w:r>
    </w:p>
    <w:p w:rsidR="00E82E38" w:rsidRPr="00F86457" w:rsidRDefault="00E82E38" w:rsidP="00E82E38">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tblGrid>
      <w:tr w:rsidR="00E82E38" w:rsidRPr="00F86457" w:rsidTr="00043921">
        <w:tc>
          <w:tcPr>
            <w:tcW w:w="2876" w:type="dxa"/>
            <w:vMerge w:val="restart"/>
          </w:tcPr>
          <w:p w:rsidR="00E82E38" w:rsidRPr="00F86457" w:rsidRDefault="00E82E38" w:rsidP="00043921">
            <w:pPr>
              <w:rPr>
                <w:b/>
                <w:bCs/>
                <w:iCs/>
                <w:szCs w:val="22"/>
              </w:rPr>
            </w:pPr>
            <w:r w:rsidRPr="00F86457">
              <w:rPr>
                <w:b/>
                <w:bCs/>
                <w:iCs/>
                <w:szCs w:val="22"/>
              </w:rPr>
              <w:t>Actividad</w:t>
            </w:r>
          </w:p>
        </w:tc>
        <w:tc>
          <w:tcPr>
            <w:tcW w:w="5649" w:type="dxa"/>
            <w:gridSpan w:val="4"/>
          </w:tcPr>
          <w:p w:rsidR="00E82E38" w:rsidRPr="00F86457" w:rsidRDefault="00E82E38" w:rsidP="00043921">
            <w:pPr>
              <w:jc w:val="center"/>
              <w:rPr>
                <w:b/>
                <w:bCs/>
                <w:iCs/>
                <w:szCs w:val="22"/>
              </w:rPr>
            </w:pPr>
            <w:r w:rsidRPr="00F86457">
              <w:rPr>
                <w:b/>
                <w:szCs w:val="22"/>
              </w:rPr>
              <w:t>Trimestres 2019</w:t>
            </w:r>
          </w:p>
        </w:tc>
      </w:tr>
      <w:tr w:rsidR="00E82E38" w:rsidRPr="00F86457" w:rsidTr="00043921">
        <w:tc>
          <w:tcPr>
            <w:tcW w:w="2876" w:type="dxa"/>
            <w:vMerge/>
          </w:tcPr>
          <w:p w:rsidR="00E82E38" w:rsidRPr="00F86457" w:rsidRDefault="00E82E38" w:rsidP="00043921">
            <w:pPr>
              <w:rPr>
                <w:bCs/>
                <w:iCs/>
                <w:szCs w:val="22"/>
              </w:rPr>
            </w:pPr>
          </w:p>
        </w:tc>
        <w:tc>
          <w:tcPr>
            <w:tcW w:w="1410" w:type="dxa"/>
          </w:tcPr>
          <w:p w:rsidR="00E82E38" w:rsidRPr="00F86457" w:rsidRDefault="00E82E38" w:rsidP="00043921">
            <w:pPr>
              <w:rPr>
                <w:bCs/>
                <w:iCs/>
                <w:szCs w:val="22"/>
              </w:rPr>
            </w:pPr>
            <w:r w:rsidRPr="00F86457">
              <w:t>1.º</w:t>
            </w:r>
          </w:p>
        </w:tc>
        <w:tc>
          <w:tcPr>
            <w:tcW w:w="1415" w:type="dxa"/>
          </w:tcPr>
          <w:p w:rsidR="00E82E38" w:rsidRPr="00F86457" w:rsidRDefault="00E82E38" w:rsidP="00043921">
            <w:pPr>
              <w:rPr>
                <w:bCs/>
                <w:iCs/>
                <w:szCs w:val="22"/>
              </w:rPr>
            </w:pPr>
            <w:r w:rsidRPr="00F86457">
              <w:t>2.º</w:t>
            </w:r>
          </w:p>
        </w:tc>
        <w:tc>
          <w:tcPr>
            <w:tcW w:w="1412" w:type="dxa"/>
          </w:tcPr>
          <w:p w:rsidR="00E82E38" w:rsidRPr="00F86457" w:rsidRDefault="00E82E38" w:rsidP="00043921">
            <w:pPr>
              <w:rPr>
                <w:bCs/>
                <w:iCs/>
                <w:szCs w:val="22"/>
              </w:rPr>
            </w:pPr>
            <w:r w:rsidRPr="00F86457">
              <w:t>3.º</w:t>
            </w:r>
          </w:p>
        </w:tc>
        <w:tc>
          <w:tcPr>
            <w:tcW w:w="1412" w:type="dxa"/>
          </w:tcPr>
          <w:p w:rsidR="00E82E38" w:rsidRPr="00F86457" w:rsidRDefault="00E82E38" w:rsidP="00043921">
            <w:pPr>
              <w:rPr>
                <w:bCs/>
                <w:iCs/>
                <w:szCs w:val="22"/>
              </w:rPr>
            </w:pPr>
            <w:r w:rsidRPr="00F86457">
              <w:t>4.º</w:t>
            </w:r>
          </w:p>
        </w:tc>
      </w:tr>
      <w:tr w:rsidR="00E82E38" w:rsidRPr="00F86457" w:rsidTr="00043921">
        <w:tc>
          <w:tcPr>
            <w:tcW w:w="2876" w:type="dxa"/>
          </w:tcPr>
          <w:p w:rsidR="00E82E38" w:rsidRPr="00F86457" w:rsidRDefault="00E82E38" w:rsidP="00043921">
            <w:pPr>
              <w:rPr>
                <w:szCs w:val="22"/>
              </w:rPr>
            </w:pPr>
            <w:r w:rsidRPr="00F86457">
              <w:t>Selección de los países beneficiarios</w:t>
            </w:r>
          </w:p>
        </w:tc>
        <w:tc>
          <w:tcPr>
            <w:tcW w:w="1410"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Estudio exploratorio</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Primera reunión con los coordinadores nacionales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Primeros talleres en los tres países beneficiarios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r w:rsidRPr="00F86457">
              <w:t>x</w:t>
            </w:r>
          </w:p>
        </w:tc>
      </w:tr>
      <w:tr w:rsidR="00E82E38" w:rsidRPr="00F86457" w:rsidTr="00043921">
        <w:tc>
          <w:tcPr>
            <w:tcW w:w="2876" w:type="dxa"/>
          </w:tcPr>
          <w:p w:rsidR="00E82E38" w:rsidRPr="00F86457" w:rsidRDefault="00E82E38" w:rsidP="00043921">
            <w:pPr>
              <w:rPr>
                <w:szCs w:val="22"/>
              </w:rPr>
            </w:pPr>
            <w:r w:rsidRPr="00F86457">
              <w:t>Traducción de la publicación de la OMPI sobre l</w:t>
            </w:r>
            <w:r w:rsidR="005D15DB" w:rsidRPr="00F86457">
              <w:t>a PI y las aplicaciones móviles</w:t>
            </w:r>
          </w:p>
        </w:tc>
        <w:tc>
          <w:tcPr>
            <w:tcW w:w="1410"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r>
    </w:tbl>
    <w:p w:rsidR="00E82E38" w:rsidRPr="00F86457" w:rsidRDefault="00E82E38" w:rsidP="00E82E38">
      <w:pPr>
        <w:rPr>
          <w:szCs w:val="22"/>
        </w:rPr>
      </w:pPr>
    </w:p>
    <w:p w:rsidR="00E82E38" w:rsidRDefault="00E82E38" w:rsidP="00E82E38">
      <w:pPr>
        <w:rPr>
          <w:szCs w:val="22"/>
        </w:rPr>
      </w:pPr>
    </w:p>
    <w:p w:rsidR="00897096" w:rsidRDefault="00897096" w:rsidP="00E82E38">
      <w:pPr>
        <w:rPr>
          <w:szCs w:val="22"/>
        </w:rPr>
      </w:pPr>
    </w:p>
    <w:p w:rsidR="00897096" w:rsidRDefault="00897096" w:rsidP="00E82E38">
      <w:pPr>
        <w:rPr>
          <w:szCs w:val="22"/>
        </w:rPr>
      </w:pPr>
    </w:p>
    <w:p w:rsidR="00897096" w:rsidRDefault="00897096" w:rsidP="00E82E38">
      <w:pPr>
        <w:rPr>
          <w:szCs w:val="22"/>
        </w:rPr>
      </w:pPr>
    </w:p>
    <w:p w:rsidR="00897096" w:rsidRDefault="00897096" w:rsidP="00E82E38">
      <w:pPr>
        <w:rPr>
          <w:szCs w:val="22"/>
        </w:rPr>
      </w:pPr>
    </w:p>
    <w:p w:rsidR="00897096" w:rsidRDefault="00897096" w:rsidP="00E82E38">
      <w:pPr>
        <w:rPr>
          <w:szCs w:val="22"/>
        </w:rPr>
      </w:pPr>
    </w:p>
    <w:p w:rsidR="00897096" w:rsidRDefault="00897096" w:rsidP="00E82E38">
      <w:pPr>
        <w:rPr>
          <w:szCs w:val="22"/>
        </w:rPr>
      </w:pPr>
    </w:p>
    <w:p w:rsidR="00897096" w:rsidRDefault="00897096" w:rsidP="00E82E38">
      <w:pPr>
        <w:rPr>
          <w:szCs w:val="22"/>
        </w:rPr>
      </w:pPr>
    </w:p>
    <w:p w:rsidR="00897096" w:rsidRPr="00F86457" w:rsidRDefault="00897096" w:rsidP="00E82E38">
      <w:pPr>
        <w:rPr>
          <w:szCs w:val="22"/>
        </w:rPr>
      </w:pPr>
      <w:bookmarkStart w:id="6" w:name="_GoBack"/>
      <w:bookmarkEnd w:id="6"/>
    </w:p>
    <w:p w:rsidR="00E82E38" w:rsidRPr="00F86457" w:rsidRDefault="00E82E38" w:rsidP="00E82E38">
      <w:pPr>
        <w:rPr>
          <w:bCs/>
          <w:iCs/>
          <w:szCs w:val="22"/>
        </w:rPr>
      </w:pPr>
      <w:r w:rsidRPr="00F86457">
        <w:lastRenderedPageBreak/>
        <w:t>a) Bienio 2020-2021</w:t>
      </w:r>
    </w:p>
    <w:p w:rsidR="00E82E38" w:rsidRPr="00F86457" w:rsidRDefault="00E82E38" w:rsidP="00E82E38">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gridCol w:w="1411"/>
        <w:gridCol w:w="1415"/>
        <w:gridCol w:w="1412"/>
        <w:gridCol w:w="1412"/>
      </w:tblGrid>
      <w:tr w:rsidR="00E82E38" w:rsidRPr="00F86457" w:rsidTr="00043921">
        <w:tc>
          <w:tcPr>
            <w:tcW w:w="2876" w:type="dxa"/>
            <w:vMerge w:val="restart"/>
          </w:tcPr>
          <w:p w:rsidR="00E82E38" w:rsidRPr="00F86457" w:rsidRDefault="00E82E38" w:rsidP="00043921">
            <w:pPr>
              <w:rPr>
                <w:b/>
                <w:bCs/>
                <w:iCs/>
                <w:szCs w:val="22"/>
              </w:rPr>
            </w:pPr>
            <w:r w:rsidRPr="00F86457">
              <w:rPr>
                <w:b/>
                <w:bCs/>
                <w:iCs/>
                <w:szCs w:val="22"/>
              </w:rPr>
              <w:t>Actividad</w:t>
            </w:r>
          </w:p>
        </w:tc>
        <w:tc>
          <w:tcPr>
            <w:tcW w:w="5649" w:type="dxa"/>
            <w:gridSpan w:val="4"/>
          </w:tcPr>
          <w:p w:rsidR="00E82E38" w:rsidRPr="00F86457" w:rsidRDefault="00E82E38" w:rsidP="00043921">
            <w:pPr>
              <w:jc w:val="center"/>
              <w:rPr>
                <w:b/>
                <w:bCs/>
                <w:iCs/>
                <w:szCs w:val="22"/>
              </w:rPr>
            </w:pPr>
            <w:r w:rsidRPr="00F86457">
              <w:rPr>
                <w:b/>
                <w:szCs w:val="22"/>
              </w:rPr>
              <w:t>Trimestres 2020</w:t>
            </w:r>
          </w:p>
        </w:tc>
        <w:tc>
          <w:tcPr>
            <w:tcW w:w="5650" w:type="dxa"/>
            <w:gridSpan w:val="4"/>
          </w:tcPr>
          <w:p w:rsidR="00E82E38" w:rsidRPr="00F86457" w:rsidRDefault="00E82E38" w:rsidP="00043921">
            <w:pPr>
              <w:jc w:val="center"/>
              <w:rPr>
                <w:b/>
                <w:bCs/>
                <w:iCs/>
                <w:szCs w:val="22"/>
              </w:rPr>
            </w:pPr>
            <w:r w:rsidRPr="00F86457">
              <w:rPr>
                <w:b/>
                <w:bCs/>
                <w:iCs/>
                <w:szCs w:val="22"/>
              </w:rPr>
              <w:t>Trimestres 2021</w:t>
            </w:r>
          </w:p>
        </w:tc>
      </w:tr>
      <w:tr w:rsidR="00E82E38" w:rsidRPr="00F86457" w:rsidTr="00043921">
        <w:tc>
          <w:tcPr>
            <w:tcW w:w="2876" w:type="dxa"/>
            <w:vMerge/>
          </w:tcPr>
          <w:p w:rsidR="00E82E38" w:rsidRPr="00F86457" w:rsidRDefault="00E82E38" w:rsidP="00043921">
            <w:pPr>
              <w:rPr>
                <w:bCs/>
                <w:iCs/>
                <w:szCs w:val="22"/>
              </w:rPr>
            </w:pPr>
          </w:p>
        </w:tc>
        <w:tc>
          <w:tcPr>
            <w:tcW w:w="1410" w:type="dxa"/>
          </w:tcPr>
          <w:p w:rsidR="00E82E38" w:rsidRPr="00F86457" w:rsidRDefault="00E82E38" w:rsidP="00043921">
            <w:pPr>
              <w:rPr>
                <w:bCs/>
                <w:iCs/>
                <w:szCs w:val="22"/>
              </w:rPr>
            </w:pPr>
            <w:r w:rsidRPr="00F86457">
              <w:t>1.º</w:t>
            </w:r>
          </w:p>
        </w:tc>
        <w:tc>
          <w:tcPr>
            <w:tcW w:w="1415" w:type="dxa"/>
          </w:tcPr>
          <w:p w:rsidR="00E82E38" w:rsidRPr="00F86457" w:rsidRDefault="00E82E38" w:rsidP="00043921">
            <w:pPr>
              <w:rPr>
                <w:bCs/>
                <w:iCs/>
                <w:szCs w:val="22"/>
              </w:rPr>
            </w:pPr>
            <w:r w:rsidRPr="00F86457">
              <w:t>2.º</w:t>
            </w:r>
          </w:p>
        </w:tc>
        <w:tc>
          <w:tcPr>
            <w:tcW w:w="1412" w:type="dxa"/>
          </w:tcPr>
          <w:p w:rsidR="00E82E38" w:rsidRPr="00F86457" w:rsidRDefault="00E82E38" w:rsidP="00043921">
            <w:pPr>
              <w:rPr>
                <w:bCs/>
                <w:iCs/>
                <w:szCs w:val="22"/>
              </w:rPr>
            </w:pPr>
            <w:r w:rsidRPr="00F86457">
              <w:t>3.º</w:t>
            </w:r>
          </w:p>
        </w:tc>
        <w:tc>
          <w:tcPr>
            <w:tcW w:w="1412" w:type="dxa"/>
          </w:tcPr>
          <w:p w:rsidR="00E82E38" w:rsidRPr="00F86457" w:rsidRDefault="00E82E38" w:rsidP="00043921">
            <w:pPr>
              <w:rPr>
                <w:bCs/>
                <w:iCs/>
                <w:szCs w:val="22"/>
              </w:rPr>
            </w:pPr>
            <w:r w:rsidRPr="00F86457">
              <w:t>4.º</w:t>
            </w:r>
          </w:p>
        </w:tc>
        <w:tc>
          <w:tcPr>
            <w:tcW w:w="1411" w:type="dxa"/>
          </w:tcPr>
          <w:p w:rsidR="00E82E38" w:rsidRPr="00F86457" w:rsidRDefault="00E82E38" w:rsidP="00043921">
            <w:pPr>
              <w:rPr>
                <w:bCs/>
                <w:iCs/>
                <w:szCs w:val="22"/>
              </w:rPr>
            </w:pPr>
            <w:r w:rsidRPr="00F86457">
              <w:t>1.º</w:t>
            </w:r>
          </w:p>
        </w:tc>
        <w:tc>
          <w:tcPr>
            <w:tcW w:w="1415" w:type="dxa"/>
          </w:tcPr>
          <w:p w:rsidR="00E82E38" w:rsidRPr="00F86457" w:rsidRDefault="00E82E38" w:rsidP="00043921">
            <w:pPr>
              <w:rPr>
                <w:bCs/>
                <w:iCs/>
                <w:szCs w:val="22"/>
              </w:rPr>
            </w:pPr>
            <w:r w:rsidRPr="00F86457">
              <w:t>2.º</w:t>
            </w:r>
          </w:p>
        </w:tc>
        <w:tc>
          <w:tcPr>
            <w:tcW w:w="1412" w:type="dxa"/>
          </w:tcPr>
          <w:p w:rsidR="00E82E38" w:rsidRPr="00F86457" w:rsidRDefault="00E82E38" w:rsidP="00043921">
            <w:pPr>
              <w:rPr>
                <w:bCs/>
                <w:iCs/>
                <w:szCs w:val="22"/>
              </w:rPr>
            </w:pPr>
            <w:r w:rsidRPr="00F86457">
              <w:t>3.º</w:t>
            </w:r>
          </w:p>
        </w:tc>
        <w:tc>
          <w:tcPr>
            <w:tcW w:w="1412" w:type="dxa"/>
          </w:tcPr>
          <w:p w:rsidR="00E82E38" w:rsidRPr="00F86457" w:rsidRDefault="00E82E38" w:rsidP="00043921">
            <w:pPr>
              <w:rPr>
                <w:bCs/>
                <w:iCs/>
                <w:szCs w:val="22"/>
              </w:rPr>
            </w:pPr>
            <w:r w:rsidRPr="00F86457">
              <w:t>4.º</w:t>
            </w:r>
          </w:p>
        </w:tc>
      </w:tr>
      <w:tr w:rsidR="00E82E38" w:rsidRPr="00F86457" w:rsidTr="00043921">
        <w:tc>
          <w:tcPr>
            <w:tcW w:w="2876" w:type="dxa"/>
          </w:tcPr>
          <w:p w:rsidR="00E82E38" w:rsidRPr="00F86457" w:rsidRDefault="00E82E38" w:rsidP="00043921">
            <w:pPr>
              <w:rPr>
                <w:szCs w:val="22"/>
              </w:rPr>
            </w:pPr>
            <w:r w:rsidRPr="00F86457">
              <w:t>Lista de verificación y módulo de formación sobre el acceso a la información de PI de terceros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Lista de verificación y módulo de formación sobre contratos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 xml:space="preserve">Módulo de formación sobre observancia, mediación y arbitraje para empresarios de </w:t>
            </w:r>
            <w:r w:rsidRPr="00F86457">
              <w:rPr>
                <w:i/>
                <w:iCs/>
              </w:rPr>
              <w:t>software</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Módulo de formación sobre observancia, mediación y arbitraje para abogados y funcionarios públicos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Diálogo con instituciones financieras e inversores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Videoconferencias entre los centros de TIC de los tres países beneficiarios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r w:rsidRPr="00F86457">
              <w:t>x</w:t>
            </w:r>
          </w:p>
        </w:tc>
      </w:tr>
      <w:tr w:rsidR="00E82E38" w:rsidRPr="00F86457" w:rsidTr="00043921">
        <w:tc>
          <w:tcPr>
            <w:tcW w:w="2876" w:type="dxa"/>
          </w:tcPr>
          <w:p w:rsidR="00E82E38" w:rsidRPr="00F86457" w:rsidRDefault="00E82E38" w:rsidP="00043921">
            <w:pPr>
              <w:rPr>
                <w:szCs w:val="22"/>
              </w:rPr>
            </w:pPr>
            <w:r w:rsidRPr="00F86457">
              <w:t>Material de sensibilización sobre la PI destinado a estudiantes de informática</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Programa de orientación</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Guía de PI para aplicaciones móviles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Plataforma en línea</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1" w:type="dxa"/>
          </w:tcPr>
          <w:p w:rsidR="00E82E38" w:rsidRPr="00F86457" w:rsidRDefault="00E82E38" w:rsidP="00043921">
            <w:pPr>
              <w:rPr>
                <w:bCs/>
                <w:iCs/>
                <w:szCs w:val="22"/>
              </w:rPr>
            </w:pPr>
            <w:r w:rsidRPr="00F86457">
              <w:t>x</w:t>
            </w: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Último taller en los tres países beneficiarios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1"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r w:rsidRPr="00F86457">
              <w:t>x</w:t>
            </w:r>
          </w:p>
        </w:tc>
        <w:tc>
          <w:tcPr>
            <w:tcW w:w="1412" w:type="dxa"/>
          </w:tcPr>
          <w:p w:rsidR="00E82E38" w:rsidRPr="00F86457" w:rsidRDefault="00E82E38" w:rsidP="00043921">
            <w:pPr>
              <w:rPr>
                <w:bCs/>
                <w:iCs/>
                <w:szCs w:val="22"/>
              </w:rPr>
            </w:pPr>
          </w:p>
        </w:tc>
      </w:tr>
      <w:tr w:rsidR="00E82E38" w:rsidRPr="00F86457" w:rsidTr="00043921">
        <w:tc>
          <w:tcPr>
            <w:tcW w:w="2876" w:type="dxa"/>
          </w:tcPr>
          <w:p w:rsidR="00E82E38" w:rsidRPr="00F86457" w:rsidRDefault="00E82E38" w:rsidP="00043921">
            <w:pPr>
              <w:rPr>
                <w:szCs w:val="22"/>
              </w:rPr>
            </w:pPr>
            <w:r w:rsidRPr="00F86457">
              <w:t xml:space="preserve">Reunión final con los </w:t>
            </w:r>
            <w:r w:rsidRPr="00F86457">
              <w:lastRenderedPageBreak/>
              <w:t>coordinadores nacionales</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1"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r w:rsidRPr="00F86457">
              <w:t>x</w:t>
            </w:r>
          </w:p>
        </w:tc>
      </w:tr>
      <w:tr w:rsidR="00E82E38" w:rsidRPr="00F86457" w:rsidTr="00043921">
        <w:tc>
          <w:tcPr>
            <w:tcW w:w="2876" w:type="dxa"/>
          </w:tcPr>
          <w:p w:rsidR="00E82E38" w:rsidRPr="00F86457" w:rsidRDefault="00E82E38" w:rsidP="00043921">
            <w:pPr>
              <w:rPr>
                <w:szCs w:val="22"/>
              </w:rPr>
            </w:pPr>
            <w:r w:rsidRPr="00F86457">
              <w:t>Evaluación interna del proyecto</w:t>
            </w:r>
          </w:p>
        </w:tc>
        <w:tc>
          <w:tcPr>
            <w:tcW w:w="1410"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1" w:type="dxa"/>
          </w:tcPr>
          <w:p w:rsidR="00E82E38" w:rsidRPr="00F86457" w:rsidRDefault="00E82E38" w:rsidP="00043921">
            <w:pPr>
              <w:rPr>
                <w:bCs/>
                <w:iCs/>
                <w:szCs w:val="22"/>
              </w:rPr>
            </w:pPr>
          </w:p>
        </w:tc>
        <w:tc>
          <w:tcPr>
            <w:tcW w:w="1415"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p>
        </w:tc>
        <w:tc>
          <w:tcPr>
            <w:tcW w:w="1412" w:type="dxa"/>
          </w:tcPr>
          <w:p w:rsidR="00E82E38" w:rsidRPr="00F86457" w:rsidRDefault="00E82E38" w:rsidP="00043921">
            <w:pPr>
              <w:rPr>
                <w:bCs/>
                <w:iCs/>
                <w:szCs w:val="22"/>
              </w:rPr>
            </w:pPr>
            <w:r w:rsidRPr="00F86457">
              <w:t>x</w:t>
            </w:r>
          </w:p>
        </w:tc>
      </w:tr>
    </w:tbl>
    <w:p w:rsidR="00E82E38" w:rsidRPr="00F86457" w:rsidRDefault="00E82E38" w:rsidP="00E82E38">
      <w:pPr>
        <w:rPr>
          <w:bCs/>
          <w:iCs/>
          <w:szCs w:val="22"/>
        </w:rPr>
      </w:pPr>
    </w:p>
    <w:p w:rsidR="00E82E38" w:rsidRPr="00F86457" w:rsidRDefault="00E82E38" w:rsidP="00E82E38">
      <w:pPr>
        <w:rPr>
          <w:szCs w:val="22"/>
        </w:rPr>
      </w:pPr>
      <w:r w:rsidRPr="00F86457">
        <w:t>* Con sujeción a la aprobación del presupuesto del proyecto para 2019 por el Comité del Programa y Presupuesto.</w:t>
      </w:r>
    </w:p>
    <w:p w:rsidR="00E82E38" w:rsidRPr="00F86457" w:rsidRDefault="00E82E38" w:rsidP="00E82E38">
      <w:pPr>
        <w:rPr>
          <w:szCs w:val="22"/>
        </w:rPr>
      </w:pPr>
    </w:p>
    <w:p w:rsidR="00E82E38" w:rsidRPr="00F86457" w:rsidRDefault="00E82E38" w:rsidP="00E82E38">
      <w:pPr>
        <w:pStyle w:val="Endofdocument-Annex"/>
        <w:ind w:left="0"/>
        <w:rPr>
          <w:szCs w:val="22"/>
        </w:rPr>
      </w:pPr>
    </w:p>
    <w:p w:rsidR="00E82E38" w:rsidRPr="00F86457" w:rsidRDefault="00E82E38" w:rsidP="00E82E38">
      <w:pPr>
        <w:pStyle w:val="Endofdocument-Annex"/>
        <w:ind w:left="0"/>
        <w:rPr>
          <w:szCs w:val="22"/>
        </w:rPr>
      </w:pPr>
    </w:p>
    <w:p w:rsidR="00152CEA" w:rsidRPr="00F86457" w:rsidRDefault="00E82E38" w:rsidP="00E82E38">
      <w:pPr>
        <w:pStyle w:val="Endofdocument-Annex"/>
        <w:jc w:val="right"/>
        <w:rPr>
          <w:szCs w:val="22"/>
        </w:rPr>
      </w:pPr>
      <w:r w:rsidRPr="00F86457">
        <w:t>[Fin del Anexo y del documento]</w:t>
      </w:r>
    </w:p>
    <w:sectPr w:rsidR="00152CEA" w:rsidRPr="00F86457" w:rsidSect="00F86457">
      <w:headerReference w:type="first" r:id="rId12"/>
      <w:footerReference w:type="first" r:id="rId13"/>
      <w:endnotePr>
        <w:numFmt w:val="decimal"/>
      </w:endnotePr>
      <w:pgSz w:w="16840" w:h="11907" w:orient="landscape" w:code="9"/>
      <w:pgMar w:top="1134"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21" w:rsidRDefault="00043921">
      <w:r>
        <w:separator/>
      </w:r>
    </w:p>
  </w:endnote>
  <w:endnote w:type="continuationSeparator" w:id="0">
    <w:p w:rsidR="00043921" w:rsidRPr="009D30E6" w:rsidRDefault="00043921" w:rsidP="007E663E">
      <w:pPr>
        <w:rPr>
          <w:sz w:val="17"/>
          <w:szCs w:val="17"/>
        </w:rPr>
      </w:pPr>
      <w:r w:rsidRPr="009D30E6">
        <w:rPr>
          <w:sz w:val="17"/>
          <w:szCs w:val="17"/>
        </w:rPr>
        <w:separator/>
      </w:r>
    </w:p>
    <w:p w:rsidR="00043921" w:rsidRPr="007E663E" w:rsidRDefault="00043921" w:rsidP="007E663E">
      <w:pPr>
        <w:spacing w:after="60"/>
        <w:rPr>
          <w:sz w:val="17"/>
          <w:szCs w:val="17"/>
        </w:rPr>
      </w:pPr>
      <w:r>
        <w:rPr>
          <w:sz w:val="17"/>
        </w:rPr>
        <w:t>[Continuación de la nota de la página anterior]</w:t>
      </w:r>
    </w:p>
  </w:endnote>
  <w:endnote w:type="continuationNotice" w:id="1">
    <w:p w:rsidR="00043921" w:rsidRPr="007E663E" w:rsidRDefault="0004392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21" w:rsidRDefault="0004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21" w:rsidRDefault="00043921">
      <w:r>
        <w:separator/>
      </w:r>
    </w:p>
  </w:footnote>
  <w:footnote w:type="continuationSeparator" w:id="0">
    <w:p w:rsidR="00043921" w:rsidRPr="009D30E6" w:rsidRDefault="00043921" w:rsidP="007E663E">
      <w:pPr>
        <w:rPr>
          <w:sz w:val="17"/>
          <w:szCs w:val="17"/>
        </w:rPr>
      </w:pPr>
      <w:r w:rsidRPr="009D30E6">
        <w:rPr>
          <w:sz w:val="17"/>
          <w:szCs w:val="17"/>
        </w:rPr>
        <w:separator/>
      </w:r>
    </w:p>
    <w:p w:rsidR="00043921" w:rsidRPr="007E663E" w:rsidRDefault="00043921" w:rsidP="007E663E">
      <w:pPr>
        <w:spacing w:after="60"/>
        <w:rPr>
          <w:sz w:val="17"/>
          <w:szCs w:val="17"/>
        </w:rPr>
      </w:pPr>
      <w:r>
        <w:rPr>
          <w:sz w:val="17"/>
        </w:rPr>
        <w:t>[Continuación de la nota de la página anterior]</w:t>
      </w:r>
    </w:p>
  </w:footnote>
  <w:footnote w:type="continuationNotice" w:id="1">
    <w:p w:rsidR="00043921" w:rsidRPr="007E663E" w:rsidRDefault="00043921" w:rsidP="007E663E">
      <w:pPr>
        <w:spacing w:before="60"/>
        <w:jc w:val="right"/>
        <w:rPr>
          <w:sz w:val="17"/>
          <w:szCs w:val="17"/>
        </w:rPr>
      </w:pPr>
      <w:r w:rsidRPr="007E663E">
        <w:rPr>
          <w:sz w:val="17"/>
          <w:szCs w:val="17"/>
        </w:rPr>
        <w:t>[Sigue la nota en la página siguiente]</w:t>
      </w:r>
    </w:p>
  </w:footnote>
  <w:footnote w:id="2">
    <w:p w:rsidR="00043921" w:rsidRPr="00E82E38" w:rsidRDefault="00043921" w:rsidP="00E82E38">
      <w:pPr>
        <w:pStyle w:val="FootnoteText"/>
        <w:rPr>
          <w:i/>
        </w:rPr>
      </w:pPr>
      <w:r>
        <w:rPr>
          <w:rStyle w:val="FootnoteReference"/>
        </w:rPr>
        <w:footnoteRef/>
      </w:r>
      <w:r>
        <w:t xml:space="preserve"> </w:t>
      </w:r>
      <w:r>
        <w:rPr>
          <w:i/>
        </w:rPr>
        <w:t>* Con sujeción a la aprobación por el Comité del Programa y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21" w:rsidRDefault="00043921" w:rsidP="00477D6B">
    <w:pPr>
      <w:jc w:val="right"/>
    </w:pPr>
    <w:bookmarkStart w:id="5" w:name="Code2"/>
    <w:bookmarkEnd w:id="5"/>
    <w:r>
      <w:t>CDIP/22/8</w:t>
    </w:r>
  </w:p>
  <w:p w:rsidR="00043921" w:rsidRDefault="00043921" w:rsidP="00477D6B">
    <w:pPr>
      <w:jc w:val="right"/>
    </w:pPr>
    <w:r>
      <w:t xml:space="preserve">Página </w:t>
    </w:r>
    <w:r>
      <w:fldChar w:fldCharType="begin"/>
    </w:r>
    <w:r>
      <w:instrText xml:space="preserve"> PAGE  \* MERGEFORMAT </w:instrText>
    </w:r>
    <w:r>
      <w:fldChar w:fldCharType="separate"/>
    </w:r>
    <w:r>
      <w:rPr>
        <w:noProof/>
      </w:rPr>
      <w:t>18</w:t>
    </w:r>
    <w:r>
      <w:fldChar w:fldCharType="end"/>
    </w:r>
  </w:p>
  <w:p w:rsidR="00043921" w:rsidRDefault="0004392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21" w:rsidRDefault="00043921" w:rsidP="00477D6B">
    <w:pPr>
      <w:jc w:val="right"/>
    </w:pPr>
    <w:r>
      <w:t>CDIP/22/8</w:t>
    </w:r>
  </w:p>
  <w:p w:rsidR="00043921" w:rsidRDefault="00043921" w:rsidP="00477D6B">
    <w:pPr>
      <w:jc w:val="right"/>
    </w:pPr>
    <w:r>
      <w:t xml:space="preserve">Anexo, página </w:t>
    </w:r>
    <w:r>
      <w:fldChar w:fldCharType="begin"/>
    </w:r>
    <w:r>
      <w:instrText xml:space="preserve"> PAGE  \* MERGEFORMAT </w:instrText>
    </w:r>
    <w:r>
      <w:fldChar w:fldCharType="separate"/>
    </w:r>
    <w:r w:rsidR="001A6C21">
      <w:rPr>
        <w:noProof/>
      </w:rPr>
      <w:t>18</w:t>
    </w:r>
    <w:r>
      <w:fldChar w:fldCharType="end"/>
    </w:r>
  </w:p>
  <w:p w:rsidR="00043921" w:rsidRDefault="0004392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21" w:rsidRDefault="00043921" w:rsidP="00E82E38">
    <w:pPr>
      <w:jc w:val="right"/>
    </w:pPr>
    <w:r>
      <w:t>CDIP/22/8</w:t>
    </w:r>
  </w:p>
  <w:p w:rsidR="00043921" w:rsidRDefault="00043921" w:rsidP="00E82E38">
    <w:pPr>
      <w:pStyle w:val="Header"/>
      <w:jc w:val="right"/>
    </w:pPr>
    <w:r>
      <w:t>ANEXO</w:t>
    </w:r>
  </w:p>
  <w:p w:rsidR="00043921" w:rsidRDefault="00043921" w:rsidP="00E82E3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21" w:rsidRPr="00E82E38" w:rsidRDefault="00043921" w:rsidP="00043921">
    <w:pPr>
      <w:jc w:val="right"/>
    </w:pPr>
    <w:r>
      <w:t>CDIP/22/8</w:t>
    </w:r>
  </w:p>
  <w:p w:rsidR="00043921" w:rsidRPr="00E82E38" w:rsidRDefault="00043921" w:rsidP="00043921">
    <w:pPr>
      <w:jc w:val="right"/>
    </w:pPr>
    <w:r>
      <w:t xml:space="preserve">Anexo, página </w:t>
    </w:r>
    <w:r w:rsidRPr="00E82E38">
      <w:fldChar w:fldCharType="begin"/>
    </w:r>
    <w:r w:rsidRPr="00E82E38">
      <w:instrText xml:space="preserve"> PAGE  \* MERGEFORMAT </w:instrText>
    </w:r>
    <w:r w:rsidRPr="00E82E38">
      <w:fldChar w:fldCharType="separate"/>
    </w:r>
    <w:r w:rsidR="001A6C21">
      <w:rPr>
        <w:noProof/>
      </w:rPr>
      <w:t>11</w:t>
    </w:r>
    <w:r w:rsidRPr="00E82E38">
      <w:fldChar w:fldCharType="end"/>
    </w:r>
  </w:p>
  <w:p w:rsidR="00043921" w:rsidRPr="00E82E38" w:rsidRDefault="00043921" w:rsidP="0004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38"/>
    <w:rsid w:val="00010686"/>
    <w:rsid w:val="00043921"/>
    <w:rsid w:val="00052915"/>
    <w:rsid w:val="000E3BB3"/>
    <w:rsid w:val="000F5E56"/>
    <w:rsid w:val="001362EE"/>
    <w:rsid w:val="00152CEA"/>
    <w:rsid w:val="001832A6"/>
    <w:rsid w:val="001A6C21"/>
    <w:rsid w:val="001B4AC0"/>
    <w:rsid w:val="001E5AAA"/>
    <w:rsid w:val="002634C4"/>
    <w:rsid w:val="002E0F47"/>
    <w:rsid w:val="002F4E68"/>
    <w:rsid w:val="0033123C"/>
    <w:rsid w:val="0034357E"/>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B7DFD"/>
    <w:rsid w:val="004E297D"/>
    <w:rsid w:val="00531B02"/>
    <w:rsid w:val="005332F0"/>
    <w:rsid w:val="0055013B"/>
    <w:rsid w:val="00557FCB"/>
    <w:rsid w:val="00565C88"/>
    <w:rsid w:val="00571B99"/>
    <w:rsid w:val="00590813"/>
    <w:rsid w:val="005D15DB"/>
    <w:rsid w:val="00605827"/>
    <w:rsid w:val="0066508F"/>
    <w:rsid w:val="00675021"/>
    <w:rsid w:val="006932A8"/>
    <w:rsid w:val="006A06C6"/>
    <w:rsid w:val="006F2626"/>
    <w:rsid w:val="007224C8"/>
    <w:rsid w:val="00771497"/>
    <w:rsid w:val="00794BE2"/>
    <w:rsid w:val="007A5581"/>
    <w:rsid w:val="007B3774"/>
    <w:rsid w:val="007B71FE"/>
    <w:rsid w:val="007D781E"/>
    <w:rsid w:val="007E663E"/>
    <w:rsid w:val="00815082"/>
    <w:rsid w:val="00824666"/>
    <w:rsid w:val="0088395E"/>
    <w:rsid w:val="00897096"/>
    <w:rsid w:val="008B2CC1"/>
    <w:rsid w:val="008E6BD6"/>
    <w:rsid w:val="0090731E"/>
    <w:rsid w:val="0096247A"/>
    <w:rsid w:val="00966A22"/>
    <w:rsid w:val="00972F03"/>
    <w:rsid w:val="009A0C8B"/>
    <w:rsid w:val="009B6241"/>
    <w:rsid w:val="009D5B51"/>
    <w:rsid w:val="00A051A6"/>
    <w:rsid w:val="00A16789"/>
    <w:rsid w:val="00A16FC0"/>
    <w:rsid w:val="00A32C9E"/>
    <w:rsid w:val="00A36791"/>
    <w:rsid w:val="00AA2E21"/>
    <w:rsid w:val="00AB4F81"/>
    <w:rsid w:val="00AB613D"/>
    <w:rsid w:val="00AE7F20"/>
    <w:rsid w:val="00B14514"/>
    <w:rsid w:val="00B65A0A"/>
    <w:rsid w:val="00B67CDC"/>
    <w:rsid w:val="00B72D36"/>
    <w:rsid w:val="00BA46FD"/>
    <w:rsid w:val="00BC4164"/>
    <w:rsid w:val="00BD2DCC"/>
    <w:rsid w:val="00C90559"/>
    <w:rsid w:val="00CA2251"/>
    <w:rsid w:val="00CC3A13"/>
    <w:rsid w:val="00CE1445"/>
    <w:rsid w:val="00D56C7C"/>
    <w:rsid w:val="00D62C28"/>
    <w:rsid w:val="00D71B4D"/>
    <w:rsid w:val="00D90289"/>
    <w:rsid w:val="00D93D55"/>
    <w:rsid w:val="00DC4C60"/>
    <w:rsid w:val="00DD3374"/>
    <w:rsid w:val="00E0079A"/>
    <w:rsid w:val="00E31B86"/>
    <w:rsid w:val="00E444DA"/>
    <w:rsid w:val="00E45C84"/>
    <w:rsid w:val="00E504E5"/>
    <w:rsid w:val="00E82E38"/>
    <w:rsid w:val="00EB7A3E"/>
    <w:rsid w:val="00EB7F2E"/>
    <w:rsid w:val="00EC401A"/>
    <w:rsid w:val="00EE230B"/>
    <w:rsid w:val="00EF530A"/>
    <w:rsid w:val="00EF6622"/>
    <w:rsid w:val="00EF78A9"/>
    <w:rsid w:val="00F55408"/>
    <w:rsid w:val="00F66152"/>
    <w:rsid w:val="00F80845"/>
    <w:rsid w:val="00F84474"/>
    <w:rsid w:val="00F86457"/>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B9D126"/>
  <w15:docId w15:val="{93639CB0-0EBB-4565-BE02-F25036FF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ONUMFSChar">
    <w:name w:val="ONUM FS Char"/>
    <w:basedOn w:val="DefaultParagraphFont"/>
    <w:link w:val="ONUMFS"/>
    <w:rsid w:val="00E82E38"/>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E82E38"/>
    <w:rPr>
      <w:rFonts w:ascii="Arial" w:eastAsia="SimSun" w:hAnsi="Arial" w:cs="Arial"/>
      <w:sz w:val="22"/>
      <w:lang w:val="es-ES" w:eastAsia="zh-CN"/>
    </w:rPr>
  </w:style>
  <w:style w:type="paragraph" w:styleId="ListParagraph">
    <w:name w:val="List Paragraph"/>
    <w:basedOn w:val="Normal"/>
    <w:uiPriority w:val="34"/>
    <w:qFormat/>
    <w:rsid w:val="00E82E38"/>
    <w:pPr>
      <w:spacing w:after="200" w:line="276" w:lineRule="auto"/>
      <w:ind w:left="720"/>
      <w:contextualSpacing/>
    </w:pPr>
    <w:rPr>
      <w:rFonts w:asciiTheme="minorHAnsi" w:eastAsiaTheme="minorEastAsia" w:hAnsiTheme="minorHAnsi" w:cstheme="minorBidi"/>
      <w:szCs w:val="22"/>
      <w:lang w:eastAsia="en-US"/>
    </w:rPr>
  </w:style>
  <w:style w:type="table" w:styleId="TableGrid">
    <w:name w:val="Table Grid"/>
    <w:basedOn w:val="TableNormal"/>
    <w:rsid w:val="00E82E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82E38"/>
    <w:rPr>
      <w:rFonts w:ascii="Arial" w:eastAsia="SimSun" w:hAnsi="Arial" w:cs="Arial"/>
      <w:sz w:val="22"/>
      <w:lang w:val="es-ES" w:eastAsia="zh-CN"/>
    </w:rPr>
  </w:style>
  <w:style w:type="character" w:customStyle="1" w:styleId="Heading2Char">
    <w:name w:val="Heading 2 Char"/>
    <w:basedOn w:val="DefaultParagraphFont"/>
    <w:link w:val="Heading2"/>
    <w:rsid w:val="00E82E38"/>
    <w:rPr>
      <w:rFonts w:ascii="Arial" w:eastAsia="SimSun" w:hAnsi="Arial" w:cs="Arial"/>
      <w:bCs/>
      <w:iCs/>
      <w:caps/>
      <w:sz w:val="22"/>
      <w:szCs w:val="28"/>
      <w:lang w:val="es-ES" w:eastAsia="zh-CN"/>
    </w:rPr>
  </w:style>
  <w:style w:type="character" w:customStyle="1" w:styleId="HeaderChar">
    <w:name w:val="Header Char"/>
    <w:basedOn w:val="DefaultParagraphFont"/>
    <w:link w:val="Header"/>
    <w:rsid w:val="00E82E38"/>
    <w:rPr>
      <w:rFonts w:ascii="Arial" w:eastAsia="SimSun" w:hAnsi="Arial" w:cs="Arial"/>
      <w:sz w:val="22"/>
      <w:lang w:val="es-ES" w:eastAsia="zh-CN"/>
    </w:rPr>
  </w:style>
  <w:style w:type="character" w:styleId="FootnoteReference">
    <w:name w:val="footnote reference"/>
    <w:basedOn w:val="DefaultParagraphFont"/>
    <w:semiHidden/>
    <w:unhideWhenUsed/>
    <w:rsid w:val="00E82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2A2E-5F6C-413C-B064-6613585E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4099</Words>
  <Characters>25214</Characters>
  <Application>Microsoft Office Word</Application>
  <DocSecurity>0</DocSecurity>
  <Lines>6303</Lines>
  <Paragraphs>1628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CDIP/22/</vt:lpstr>
      <vt:lpstr>CDIP/22/</vt:lpstr>
    </vt:vector>
  </TitlesOfParts>
  <Company>WIPO</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dc:title>
  <dc:creator>BOU LLORET Amparo</dc:creator>
  <cp:lastModifiedBy>CERBARI Mihaela</cp:lastModifiedBy>
  <cp:revision>18</cp:revision>
  <cp:lastPrinted>2018-10-09T14:26:00Z</cp:lastPrinted>
  <dcterms:created xsi:type="dcterms:W3CDTF">2018-10-09T09:56:00Z</dcterms:created>
  <dcterms:modified xsi:type="dcterms:W3CDTF">2018-10-09T14:26:00Z</dcterms:modified>
</cp:coreProperties>
</file>