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0009D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0009D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0009D" w:rsidRDefault="00635FCE" w:rsidP="00916EE2">
            <w:pPr>
              <w:rPr>
                <w:lang w:val="es-ES"/>
              </w:rPr>
            </w:pPr>
            <w:r w:rsidRPr="0000009D">
              <w:rPr>
                <w:noProof/>
                <w:lang w:eastAsia="en-US"/>
              </w:rPr>
              <w:drawing>
                <wp:inline distT="0" distB="0" distL="0" distR="0" wp14:anchorId="4ED7DAB4" wp14:editId="49EE1BB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0009D" w:rsidRDefault="00635FCE" w:rsidP="00916EE2">
            <w:pPr>
              <w:jc w:val="right"/>
              <w:rPr>
                <w:lang w:val="es-ES"/>
              </w:rPr>
            </w:pPr>
            <w:r w:rsidRPr="0000009D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00009D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0009D" w:rsidRDefault="00001E20" w:rsidP="001E3DD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0009D">
              <w:rPr>
                <w:rFonts w:ascii="Arial Black" w:hAnsi="Arial Black"/>
                <w:caps/>
                <w:sz w:val="15"/>
                <w:lang w:val="es-ES"/>
              </w:rPr>
              <w:t>CDIP/19/</w:t>
            </w:r>
            <w:bookmarkStart w:id="0" w:name="Code"/>
            <w:bookmarkEnd w:id="0"/>
            <w:r w:rsidR="001E3DDE" w:rsidRPr="0000009D">
              <w:rPr>
                <w:rFonts w:ascii="Arial Black" w:hAnsi="Arial Black"/>
                <w:caps/>
                <w:sz w:val="15"/>
                <w:lang w:val="es-ES"/>
              </w:rPr>
              <w:t>10</w:t>
            </w:r>
          </w:p>
        </w:tc>
      </w:tr>
      <w:tr w:rsidR="008B2CC1" w:rsidRPr="0000009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0009D" w:rsidRDefault="008B2CC1" w:rsidP="00635FC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0009D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BA0384" w:rsidRPr="0000009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35FCE" w:rsidRPr="0000009D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00009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0009D" w:rsidRDefault="00E90CAC" w:rsidP="001E3DD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0009D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00009D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Pr="0000009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1E3DDE" w:rsidRPr="0000009D">
              <w:rPr>
                <w:rFonts w:ascii="Arial Black" w:hAnsi="Arial Black"/>
                <w:caps/>
                <w:sz w:val="15"/>
                <w:lang w:val="es-ES"/>
              </w:rPr>
              <w:t>22</w:t>
            </w:r>
            <w:r w:rsidRPr="0000009D">
              <w:rPr>
                <w:rFonts w:ascii="Arial Black" w:hAnsi="Arial Black"/>
                <w:caps/>
                <w:sz w:val="15"/>
                <w:lang w:val="es-ES"/>
              </w:rPr>
              <w:t xml:space="preserve"> DE MARZO DE</w:t>
            </w:r>
            <w:r w:rsidR="00277982" w:rsidRPr="0000009D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6A20A5" w:rsidRPr="0000009D" w:rsidRDefault="006A20A5" w:rsidP="008B2CC1">
      <w:pPr>
        <w:rPr>
          <w:lang w:val="es-ES"/>
        </w:rPr>
      </w:pPr>
    </w:p>
    <w:p w:rsidR="006A20A5" w:rsidRPr="0000009D" w:rsidRDefault="006A20A5" w:rsidP="008B2CC1">
      <w:pPr>
        <w:rPr>
          <w:lang w:val="es-ES"/>
        </w:rPr>
      </w:pPr>
    </w:p>
    <w:p w:rsidR="006A20A5" w:rsidRPr="0000009D" w:rsidRDefault="006A20A5" w:rsidP="008B2CC1">
      <w:pPr>
        <w:rPr>
          <w:lang w:val="es-ES"/>
        </w:rPr>
      </w:pPr>
    </w:p>
    <w:p w:rsidR="006A20A5" w:rsidRPr="0000009D" w:rsidRDefault="006A20A5" w:rsidP="008B2CC1">
      <w:pPr>
        <w:rPr>
          <w:lang w:val="es-ES"/>
        </w:rPr>
      </w:pPr>
    </w:p>
    <w:p w:rsidR="006A20A5" w:rsidRPr="0000009D" w:rsidRDefault="00E90CAC" w:rsidP="00E90CAC">
      <w:pPr>
        <w:rPr>
          <w:b/>
          <w:sz w:val="28"/>
          <w:szCs w:val="28"/>
          <w:lang w:val="es-ES"/>
        </w:rPr>
      </w:pPr>
      <w:r w:rsidRPr="0000009D">
        <w:rPr>
          <w:b/>
          <w:sz w:val="28"/>
          <w:szCs w:val="28"/>
          <w:lang w:val="es-ES"/>
        </w:rPr>
        <w:t>Comité de Desarrollo y Propiedad Intelectual (CDIP)</w:t>
      </w:r>
    </w:p>
    <w:p w:rsidR="006A20A5" w:rsidRPr="0000009D" w:rsidRDefault="006A20A5" w:rsidP="00E90CAC">
      <w:pPr>
        <w:rPr>
          <w:lang w:val="es-ES"/>
        </w:rPr>
      </w:pPr>
    </w:p>
    <w:p w:rsidR="006A20A5" w:rsidRPr="0000009D" w:rsidRDefault="006A20A5" w:rsidP="00E90CAC">
      <w:pPr>
        <w:rPr>
          <w:lang w:val="es-ES"/>
        </w:rPr>
      </w:pPr>
    </w:p>
    <w:p w:rsidR="006A20A5" w:rsidRPr="0000009D" w:rsidRDefault="00E90CAC" w:rsidP="00E90CAC">
      <w:pPr>
        <w:rPr>
          <w:b/>
          <w:sz w:val="24"/>
          <w:szCs w:val="24"/>
          <w:lang w:val="es-ES"/>
        </w:rPr>
      </w:pPr>
      <w:r w:rsidRPr="0000009D">
        <w:rPr>
          <w:b/>
          <w:sz w:val="24"/>
          <w:szCs w:val="24"/>
          <w:lang w:val="es-ES"/>
        </w:rPr>
        <w:t>Decimonovena sesión</w:t>
      </w:r>
    </w:p>
    <w:p w:rsidR="006A20A5" w:rsidRPr="0000009D" w:rsidRDefault="00E90CAC" w:rsidP="00E90CAC">
      <w:pPr>
        <w:rPr>
          <w:b/>
          <w:sz w:val="24"/>
          <w:szCs w:val="24"/>
          <w:lang w:val="es-ES"/>
        </w:rPr>
      </w:pPr>
      <w:r w:rsidRPr="0000009D">
        <w:rPr>
          <w:b/>
          <w:sz w:val="24"/>
          <w:szCs w:val="24"/>
          <w:lang w:val="es-ES"/>
        </w:rPr>
        <w:t>Ginebra, 15 a 19 de mayo de 2017</w:t>
      </w:r>
    </w:p>
    <w:p w:rsidR="006A20A5" w:rsidRPr="0000009D" w:rsidRDefault="006A20A5" w:rsidP="008B2CC1">
      <w:pPr>
        <w:rPr>
          <w:lang w:val="es-ES"/>
        </w:rPr>
      </w:pPr>
    </w:p>
    <w:p w:rsidR="006A20A5" w:rsidRPr="0000009D" w:rsidRDefault="006A20A5" w:rsidP="008B2CC1">
      <w:pPr>
        <w:rPr>
          <w:lang w:val="es-ES"/>
        </w:rPr>
      </w:pPr>
    </w:p>
    <w:p w:rsidR="006A20A5" w:rsidRPr="0000009D" w:rsidRDefault="006A20A5" w:rsidP="008B2CC1">
      <w:pPr>
        <w:rPr>
          <w:lang w:val="es-ES"/>
        </w:rPr>
      </w:pPr>
    </w:p>
    <w:p w:rsidR="006A20A5" w:rsidRPr="0000009D" w:rsidRDefault="00C3487F" w:rsidP="006A20A5">
      <w:pPr>
        <w:rPr>
          <w:caps/>
          <w:sz w:val="24"/>
          <w:lang w:val="es-ES"/>
        </w:rPr>
      </w:pPr>
      <w:bookmarkStart w:id="3" w:name="TitleOfDoc"/>
      <w:bookmarkStart w:id="4" w:name="_GoBack"/>
      <w:bookmarkEnd w:id="3"/>
      <w:r>
        <w:rPr>
          <w:sz w:val="24"/>
          <w:lang w:val="es-ES"/>
        </w:rPr>
        <w:t>P</w:t>
      </w:r>
      <w:r w:rsidRPr="0000009D">
        <w:rPr>
          <w:sz w:val="24"/>
          <w:lang w:val="es-ES"/>
        </w:rPr>
        <w:t>OSIBLES MEJORAS EN LA PÁGINA WEB DE ASISTENCIA TÉCNICA DE LA OMPI</w:t>
      </w:r>
    </w:p>
    <w:bookmarkEnd w:id="4"/>
    <w:p w:rsidR="006A20A5" w:rsidRPr="0000009D" w:rsidRDefault="006A20A5" w:rsidP="008D477F">
      <w:pPr>
        <w:rPr>
          <w:lang w:val="es-ES"/>
        </w:rPr>
      </w:pPr>
    </w:p>
    <w:p w:rsidR="006A20A5" w:rsidRPr="0000009D" w:rsidRDefault="006A20A5" w:rsidP="006A20A5">
      <w:pPr>
        <w:rPr>
          <w:i/>
          <w:lang w:val="es-ES"/>
        </w:rPr>
      </w:pPr>
      <w:bookmarkStart w:id="5" w:name="Prepared"/>
      <w:bookmarkEnd w:id="5"/>
      <w:r w:rsidRPr="0000009D">
        <w:rPr>
          <w:i/>
          <w:lang w:val="es-ES"/>
        </w:rPr>
        <w:t>Documento preparado por la Secretaría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8D477F" w:rsidP="00982C2C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9F32AC" w:rsidRPr="0000009D">
        <w:rPr>
          <w:lang w:val="es-ES"/>
        </w:rPr>
        <w:t xml:space="preserve">En el presente documento se aborda la petición formulada por el Comité de Desarrollo y Propiedad Intelectual (CDIP) en la que este pide a la Secretaría que </w:t>
      </w:r>
      <w:r w:rsidR="00B20B2A">
        <w:rPr>
          <w:lang w:val="es-ES"/>
        </w:rPr>
        <w:t>“</w:t>
      </w:r>
      <w:r w:rsidR="009F32AC" w:rsidRPr="0000009D">
        <w:rPr>
          <w:lang w:val="es-ES"/>
        </w:rPr>
        <w:t>refleje las posibles mejoras de la sección del sitio web de la OMPI dedicada a la comunicación de sus actividades de asistencia técnica y que informe de ello</w:t>
      </w:r>
      <w:r w:rsidR="00B20B2A">
        <w:rPr>
          <w:lang w:val="es-ES"/>
        </w:rPr>
        <w:t>”</w:t>
      </w:r>
      <w:r w:rsidR="009F32AC" w:rsidRPr="0000009D">
        <w:rPr>
          <w:lang w:val="es-ES"/>
        </w:rPr>
        <w:t>.</w:t>
      </w:r>
      <w:r w:rsidRPr="0000009D">
        <w:rPr>
          <w:lang w:val="es-ES"/>
        </w:rPr>
        <w:t xml:space="preserve">  </w:t>
      </w:r>
      <w:r w:rsidR="00B20B2A">
        <w:rPr>
          <w:lang w:val="es-ES"/>
        </w:rPr>
        <w:t>Dich</w:t>
      </w:r>
      <w:r w:rsidR="00982C2C" w:rsidRPr="0000009D">
        <w:rPr>
          <w:lang w:val="es-ES"/>
        </w:rPr>
        <w:t xml:space="preserve">a petición se presentó en el contexto de la decisión del Comité respecto </w:t>
      </w:r>
      <w:r w:rsidR="00B20B2A">
        <w:rPr>
          <w:lang w:val="es-ES"/>
        </w:rPr>
        <w:t>de</w:t>
      </w:r>
      <w:r w:rsidR="00982C2C" w:rsidRPr="0000009D">
        <w:rPr>
          <w:lang w:val="es-ES"/>
        </w:rPr>
        <w:t xml:space="preserve">l examen independiente sobre la asistencia técnica que presta la OMPI, que figura en el párrafo 6 del Apéndice I del Resumen de la Presidencia </w:t>
      </w:r>
      <w:r w:rsidR="009018E4" w:rsidRPr="0000009D">
        <w:rPr>
          <w:lang w:val="es-ES"/>
        </w:rPr>
        <w:t xml:space="preserve">de la 17ª sesión </w:t>
      </w:r>
      <w:r w:rsidR="00982C2C" w:rsidRPr="0000009D">
        <w:rPr>
          <w:lang w:val="es-ES"/>
        </w:rPr>
        <w:t>del CDIP.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8D477F" w:rsidP="00982C2C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982C2C" w:rsidRPr="0000009D">
        <w:rPr>
          <w:lang w:val="es-ES"/>
        </w:rPr>
        <w:t>El sitio web actual de la OMPI fue desarrollado en 2013 con el fin de dar respuesta a la nueva política estratégica y a las instrucciones operativas introducidas en la Organización.</w:t>
      </w:r>
      <w:r w:rsidRPr="0000009D">
        <w:rPr>
          <w:lang w:val="es-ES"/>
        </w:rPr>
        <w:t xml:space="preserve">  </w:t>
      </w:r>
      <w:r w:rsidR="00982C2C" w:rsidRPr="0000009D">
        <w:rPr>
          <w:lang w:val="es-ES"/>
        </w:rPr>
        <w:t>La información que figura en el nuevo sitio web está estructurada en cinco encabezados principales, a saber, “Servicios de P.I.”, “Política”, “Cooperación”, “Referencias”, “Sobre la P.I.” y “La OMPI”.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8D477F" w:rsidP="00E75381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E75381" w:rsidRPr="0000009D">
        <w:rPr>
          <w:lang w:val="es-ES"/>
        </w:rPr>
        <w:t>Esta estructura, que fue desarrollada con la ayuda de algunos de los mejores expertos en la materia a escala mundial, satisface las necesidades de información de los perfiles de usuarios definidos con arreglo a los requisitos de los Estados miembros, las partes interesadas públicas y privadas, la comunidad académica, los profesionales de la P.I., los organismos de desarrollo, los donantes potenciales, la sociedad civil y el público en general.</w:t>
      </w:r>
      <w:r w:rsidRPr="0000009D">
        <w:rPr>
          <w:lang w:val="es-ES"/>
        </w:rPr>
        <w:t xml:space="preserve">  </w:t>
      </w:r>
      <w:r w:rsidR="00E75381" w:rsidRPr="0000009D">
        <w:rPr>
          <w:lang w:val="es-ES"/>
        </w:rPr>
        <w:t xml:space="preserve">Estos perfiles representaban a:  1.  Los clientes existentes;  2.  Los clientes potenciales;  3.  Las personas que trabajan en el </w:t>
      </w:r>
      <w:r w:rsidR="009018E4" w:rsidRPr="0000009D">
        <w:rPr>
          <w:lang w:val="es-ES"/>
        </w:rPr>
        <w:t>ámbito</w:t>
      </w:r>
      <w:r w:rsidR="00E75381" w:rsidRPr="0000009D">
        <w:rPr>
          <w:lang w:val="es-ES"/>
        </w:rPr>
        <w:t xml:space="preserve"> de políticas y en aspectos operativos;  y 4.  Las personas que buscan información.</w:t>
      </w:r>
      <w:r w:rsidRPr="0000009D">
        <w:rPr>
          <w:lang w:val="es-ES"/>
        </w:rPr>
        <w:t xml:space="preserve">  </w:t>
      </w:r>
      <w:r w:rsidR="00E75381" w:rsidRPr="0000009D">
        <w:rPr>
          <w:lang w:val="es-ES"/>
        </w:rPr>
        <w:t>El sitio web también fue diseñado para responder (adaptarse automáticamente) a distintos dispositivos y navegadores.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8D477F" w:rsidP="00191863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191863" w:rsidRPr="0000009D">
        <w:rPr>
          <w:lang w:val="es-ES"/>
        </w:rPr>
        <w:t xml:space="preserve">El objetivo de esta estructura es facilitar la navegación y la accesibilidad en lugar de reproducir la estructura organizativa de la OMPI.  La información está disponible en función del </w:t>
      </w:r>
      <w:r w:rsidR="00191863" w:rsidRPr="0000009D">
        <w:rPr>
          <w:lang w:val="es-ES"/>
        </w:rPr>
        <w:lastRenderedPageBreak/>
        <w:t>contexto, lo que en algunos casos significa que se puede tener acceso a las mismas páginas web desde diferentes secciones.</w:t>
      </w:r>
      <w:r w:rsidRPr="0000009D">
        <w:rPr>
          <w:lang w:val="es-ES"/>
        </w:rPr>
        <w:t xml:space="preserve"> 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8D477F" w:rsidP="00191863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191863" w:rsidRPr="0000009D">
        <w:rPr>
          <w:lang w:val="es-ES"/>
        </w:rPr>
        <w:t>En esta estructura, la mayor parte de la información relacionada con lo que puede considerarse asistencia técnica y fortalecimiento de capacidades se encuentra bajo el encabezado “Cooperación”, que incluye los apartados “Desarrollo”, “Iniciativas de cooperación de alcance mundial” y “Cooperación con”.</w:t>
      </w:r>
      <w:r w:rsidRPr="0000009D">
        <w:rPr>
          <w:lang w:val="es-ES"/>
        </w:rPr>
        <w:t xml:space="preserve">  </w:t>
      </w:r>
      <w:r w:rsidR="00191863" w:rsidRPr="0000009D">
        <w:rPr>
          <w:lang w:val="es-ES"/>
        </w:rPr>
        <w:t>A continuación se describe brevemente la información disponible en este encabezado: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191863" w:rsidP="00191863">
      <w:pPr>
        <w:ind w:firstLine="567"/>
        <w:rPr>
          <w:lang w:val="es-ES"/>
        </w:rPr>
      </w:pPr>
      <w:r w:rsidRPr="0000009D">
        <w:rPr>
          <w:lang w:val="es-ES"/>
        </w:rPr>
        <w:t>Cooperación =&gt; Desarrollo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DB0778" w:rsidP="00DB0778">
      <w:pPr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Agenda para el Desarrollo:  proporciona información sobre la aplicación de las recomendaciones de la Agenda, incluidas las relativas a la categoría A, que trata de la asistencia técnica y el fortalecimiento de capacidades.</w:t>
      </w:r>
      <w:r w:rsidR="008D477F" w:rsidRPr="0000009D">
        <w:rPr>
          <w:lang w:val="es-ES"/>
        </w:rPr>
        <w:t xml:space="preserve">  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DB0778" w:rsidP="00DB0778">
      <w:pPr>
        <w:ind w:left="567"/>
        <w:rPr>
          <w:lang w:val="es-ES"/>
        </w:rPr>
      </w:pPr>
      <w:r w:rsidRPr="0000009D">
        <w:rPr>
          <w:lang w:val="es-ES"/>
        </w:rPr>
        <w:t>ii)</w:t>
      </w:r>
      <w:r w:rsidRPr="0000009D">
        <w:rPr>
          <w:lang w:val="es-ES"/>
        </w:rPr>
        <w:tab/>
        <w:t>Apoyo de las actividades de las oficinas de P.I.:  proporciona una descripción y una lista detallada de las “soluciones informáticas para las oficinas de P.I.” disponibles.</w:t>
      </w:r>
      <w:r w:rsidR="008D477F" w:rsidRPr="0000009D">
        <w:rPr>
          <w:lang w:val="es-ES"/>
        </w:rPr>
        <w:t xml:space="preserve">  </w:t>
      </w:r>
      <w:r w:rsidRPr="0000009D">
        <w:rPr>
          <w:lang w:val="es-ES"/>
        </w:rPr>
        <w:t xml:space="preserve">En esta sección también se describen la "metodología y gestión de los proyectos" y se ponen de relieve los principios que rigen la asistencia que presta la OMPI en este campo. </w:t>
      </w:r>
      <w:r w:rsidR="008D477F" w:rsidRPr="0000009D">
        <w:rPr>
          <w:lang w:val="es-ES"/>
        </w:rPr>
        <w:t xml:space="preserve"> </w:t>
      </w:r>
    </w:p>
    <w:p w:rsidR="006A20A5" w:rsidRPr="0000009D" w:rsidRDefault="006A20A5" w:rsidP="008D477F">
      <w:pPr>
        <w:ind w:left="567"/>
        <w:rPr>
          <w:lang w:val="es-ES"/>
        </w:rPr>
      </w:pPr>
    </w:p>
    <w:p w:rsidR="006A20A5" w:rsidRPr="0000009D" w:rsidRDefault="00736587" w:rsidP="00736587">
      <w:pPr>
        <w:ind w:left="567"/>
        <w:rPr>
          <w:lang w:val="es-ES"/>
        </w:rPr>
      </w:pPr>
      <w:r w:rsidRPr="0000009D">
        <w:rPr>
          <w:lang w:val="es-ES"/>
        </w:rPr>
        <w:t>iii)</w:t>
      </w:r>
      <w:r w:rsidRPr="0000009D">
        <w:rPr>
          <w:lang w:val="es-ES"/>
        </w:rPr>
        <w:tab/>
        <w:t>Fortalecimiento de capacidades:  incluye actividades que son inherentes a la asistencia técnica, como la formación en aspectos jurídicos, técnicos y prácticos de la P.I., así como una lista de los programas de la Academia de la OMPI.</w:t>
      </w:r>
    </w:p>
    <w:p w:rsidR="006A20A5" w:rsidRPr="0000009D" w:rsidRDefault="006A20A5" w:rsidP="008D477F">
      <w:pPr>
        <w:ind w:left="567"/>
        <w:rPr>
          <w:lang w:val="es-ES"/>
        </w:rPr>
      </w:pPr>
    </w:p>
    <w:p w:rsidR="006A20A5" w:rsidRPr="0000009D" w:rsidRDefault="00736587" w:rsidP="00736587">
      <w:pPr>
        <w:ind w:left="567"/>
        <w:rPr>
          <w:lang w:val="es-ES"/>
        </w:rPr>
      </w:pPr>
      <w:r w:rsidRPr="0000009D">
        <w:rPr>
          <w:lang w:val="es-ES"/>
        </w:rPr>
        <w:t>iv)</w:t>
      </w:r>
      <w:r w:rsidRPr="0000009D">
        <w:rPr>
          <w:lang w:val="es-ES"/>
        </w:rPr>
        <w:tab/>
        <w:t>Asesoramiento jurídico y en materia de políticas:  pone de relieve el asesoramiento que ofrece la OMPI sobre la elaboración de leyes y la observancia de la P.I.</w:t>
      </w:r>
    </w:p>
    <w:p w:rsidR="009F41F6" w:rsidRPr="0000009D" w:rsidRDefault="009F41F6" w:rsidP="00736587">
      <w:pPr>
        <w:ind w:left="567"/>
        <w:rPr>
          <w:lang w:val="es-ES"/>
        </w:rPr>
      </w:pPr>
    </w:p>
    <w:p w:rsidR="006A20A5" w:rsidRPr="0000009D" w:rsidRDefault="006D71FB" w:rsidP="006D71FB">
      <w:pPr>
        <w:ind w:left="567"/>
        <w:rPr>
          <w:lang w:val="es-ES"/>
        </w:rPr>
      </w:pPr>
      <w:r w:rsidRPr="0000009D">
        <w:rPr>
          <w:lang w:val="es-ES"/>
        </w:rPr>
        <w:t>v)</w:t>
      </w:r>
      <w:r w:rsidRPr="0000009D">
        <w:rPr>
          <w:lang w:val="es-ES"/>
        </w:rPr>
        <w:tab/>
        <w:t xml:space="preserve">Estrategias de P.I.:  proporciona información sobre la asistencia que presta la OMPI para el desarrollo de estrategias nacionales de P.I., así como sobre la metodología </w:t>
      </w:r>
      <w:r w:rsidR="00A06071" w:rsidRPr="0000009D">
        <w:rPr>
          <w:lang w:val="es-ES"/>
        </w:rPr>
        <w:t>utilizada</w:t>
      </w:r>
      <w:r w:rsidRPr="0000009D">
        <w:rPr>
          <w:lang w:val="es-ES"/>
        </w:rPr>
        <w:t>.</w:t>
      </w:r>
    </w:p>
    <w:p w:rsidR="009F41F6" w:rsidRPr="0000009D" w:rsidRDefault="009F41F6" w:rsidP="006D71FB">
      <w:pPr>
        <w:ind w:left="567"/>
        <w:rPr>
          <w:lang w:val="es-ES"/>
        </w:rPr>
      </w:pPr>
    </w:p>
    <w:p w:rsidR="006A20A5" w:rsidRPr="0000009D" w:rsidRDefault="006D71FB" w:rsidP="006D71FB">
      <w:pPr>
        <w:ind w:left="567"/>
        <w:rPr>
          <w:lang w:val="es-ES"/>
        </w:rPr>
      </w:pPr>
      <w:r w:rsidRPr="0000009D">
        <w:rPr>
          <w:lang w:val="es-ES"/>
        </w:rPr>
        <w:t>Cooperación = &gt; Iniciativas de cooperación de alcance mundial</w:t>
      </w:r>
    </w:p>
    <w:p w:rsidR="009F41F6" w:rsidRPr="0000009D" w:rsidRDefault="009F41F6" w:rsidP="001555C3">
      <w:pPr>
        <w:ind w:left="567"/>
        <w:rPr>
          <w:lang w:val="es-ES"/>
        </w:rPr>
      </w:pPr>
    </w:p>
    <w:p w:rsidR="006A20A5" w:rsidRPr="0000009D" w:rsidRDefault="001555C3" w:rsidP="001555C3">
      <w:pPr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Infraestructura de P.I.:  proporciona acceso a distintas bases de datos que facilitan la asistencia técnica, así como servicios de fortalecimiento de capacidades, entre ellos, sistemas operativos para las oficinas de P.I.</w:t>
      </w:r>
    </w:p>
    <w:p w:rsidR="009F41F6" w:rsidRPr="0000009D" w:rsidRDefault="009F41F6" w:rsidP="001555C3">
      <w:pPr>
        <w:ind w:left="567"/>
        <w:rPr>
          <w:lang w:val="es-ES"/>
        </w:rPr>
      </w:pPr>
    </w:p>
    <w:p w:rsidR="006A20A5" w:rsidRPr="0000009D" w:rsidRDefault="001555C3" w:rsidP="001555C3">
      <w:pPr>
        <w:ind w:left="567"/>
        <w:rPr>
          <w:lang w:val="es-ES"/>
        </w:rPr>
      </w:pPr>
      <w:r w:rsidRPr="0000009D">
        <w:rPr>
          <w:lang w:val="es-ES"/>
        </w:rPr>
        <w:t>ii)</w:t>
      </w:r>
      <w:r w:rsidRPr="0000009D">
        <w:rPr>
          <w:lang w:val="es-ES"/>
        </w:rPr>
        <w:tab/>
        <w:t>Fomentar el respeto por la P.I.:  describe la labor de la OMPI encaminada a mejorar el conocimiento y el respecto por la P.I., en particular, las actividades de "sensibilización".</w:t>
      </w:r>
    </w:p>
    <w:p w:rsidR="009F41F6" w:rsidRPr="0000009D" w:rsidRDefault="009F41F6" w:rsidP="003921D0">
      <w:pPr>
        <w:ind w:left="567"/>
        <w:rPr>
          <w:lang w:val="es-ES"/>
        </w:rPr>
      </w:pPr>
    </w:p>
    <w:p w:rsidR="006A20A5" w:rsidRPr="0000009D" w:rsidRDefault="003921D0" w:rsidP="003921D0">
      <w:pPr>
        <w:ind w:left="567"/>
        <w:rPr>
          <w:lang w:val="es-ES"/>
        </w:rPr>
      </w:pPr>
      <w:r w:rsidRPr="0000009D">
        <w:rPr>
          <w:lang w:val="es-ES"/>
        </w:rPr>
        <w:t>iii)</w:t>
      </w:r>
      <w:r w:rsidRPr="0000009D">
        <w:rPr>
          <w:lang w:val="es-ES"/>
        </w:rPr>
        <w:tab/>
        <w:t>Plataformas de múltiples interesados:  incluye enlaces a las tres plataformas WIPO GREEN, WIPO Re:Search y Consorcio de Libros Accesibles (ABC).</w:t>
      </w:r>
      <w:r w:rsidR="008D477F" w:rsidRPr="0000009D">
        <w:rPr>
          <w:lang w:val="es-ES"/>
        </w:rPr>
        <w:t xml:space="preserve">   </w:t>
      </w:r>
    </w:p>
    <w:p w:rsidR="006A20A5" w:rsidRPr="0000009D" w:rsidRDefault="006A20A5" w:rsidP="0000009D">
      <w:pPr>
        <w:ind w:left="567"/>
        <w:rPr>
          <w:lang w:val="es-ES"/>
        </w:rPr>
      </w:pPr>
    </w:p>
    <w:p w:rsidR="006A20A5" w:rsidRPr="0000009D" w:rsidRDefault="003921D0" w:rsidP="003921D0">
      <w:pPr>
        <w:ind w:firstLine="567"/>
        <w:rPr>
          <w:lang w:val="es-ES"/>
        </w:rPr>
      </w:pPr>
      <w:r w:rsidRPr="0000009D">
        <w:rPr>
          <w:lang w:val="es-ES"/>
        </w:rPr>
        <w:t>Cooperación =&gt; Cooperación con</w:t>
      </w:r>
    </w:p>
    <w:p w:rsidR="009F41F6" w:rsidRPr="0000009D" w:rsidRDefault="009F41F6" w:rsidP="00B003B4">
      <w:pPr>
        <w:pStyle w:val="ListParagraph"/>
        <w:ind w:left="567"/>
        <w:rPr>
          <w:lang w:val="es-ES"/>
        </w:rPr>
      </w:pPr>
    </w:p>
    <w:p w:rsidR="006A20A5" w:rsidRPr="0000009D" w:rsidRDefault="003921D0" w:rsidP="00B003B4">
      <w:pPr>
        <w:pStyle w:val="ListParagraph"/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Países y regiones:  ofrece una descripción general de la cooperación de la OMPI "con cada país así como con grupos de países y con regiones".</w:t>
      </w:r>
      <w:r w:rsidR="008D477F" w:rsidRPr="0000009D">
        <w:rPr>
          <w:lang w:val="es-ES"/>
        </w:rPr>
        <w:t xml:space="preserve">  </w:t>
      </w:r>
      <w:r w:rsidR="00B003B4" w:rsidRPr="0000009D">
        <w:rPr>
          <w:lang w:val="es-ES"/>
        </w:rPr>
        <w:t xml:space="preserve">También proporciona los enlaces </w:t>
      </w:r>
      <w:r w:rsidR="004B6718">
        <w:rPr>
          <w:lang w:val="es-ES"/>
        </w:rPr>
        <w:t>a</w:t>
      </w:r>
      <w:r w:rsidR="00B003B4" w:rsidRPr="0000009D">
        <w:rPr>
          <w:lang w:val="es-ES"/>
        </w:rPr>
        <w:t xml:space="preserve"> las </w:t>
      </w:r>
      <w:r w:rsidR="004B6718">
        <w:rPr>
          <w:lang w:val="es-ES"/>
        </w:rPr>
        <w:t xml:space="preserve">páginas web de las </w:t>
      </w:r>
      <w:r w:rsidR="00B003B4" w:rsidRPr="0000009D">
        <w:rPr>
          <w:lang w:val="es-ES"/>
        </w:rPr>
        <w:t>oficinas regionales en la sede para África, América Latina y el Caribe, Asia y el Pacífico y Países Árabes, así como de la</w:t>
      </w:r>
      <w:r w:rsidR="009F41F6" w:rsidRPr="0000009D">
        <w:rPr>
          <w:lang w:val="es-ES"/>
        </w:rPr>
        <w:t xml:space="preserve"> </w:t>
      </w:r>
      <w:r w:rsidR="00B003B4" w:rsidRPr="0000009D">
        <w:rPr>
          <w:lang w:val="es-ES"/>
        </w:rPr>
        <w:t>División de Países Menos Adelantados, el Departamento para los Países en Transición y Países Desarrollados</w:t>
      </w:r>
      <w:r w:rsidR="003828D0">
        <w:rPr>
          <w:lang w:val="es-ES"/>
        </w:rPr>
        <w:t>,</w:t>
      </w:r>
      <w:r w:rsidR="00B003B4" w:rsidRPr="0000009D">
        <w:rPr>
          <w:lang w:val="es-ES"/>
        </w:rPr>
        <w:t xml:space="preserve"> y </w:t>
      </w:r>
      <w:r w:rsidR="004B6718">
        <w:rPr>
          <w:lang w:val="es-ES"/>
        </w:rPr>
        <w:t xml:space="preserve">de </w:t>
      </w:r>
      <w:r w:rsidR="00B003B4" w:rsidRPr="0000009D">
        <w:rPr>
          <w:lang w:val="es-ES"/>
        </w:rPr>
        <w:t>la Cooperación Sur-Sur de la OMPI.</w:t>
      </w:r>
      <w:r w:rsidR="008D477F" w:rsidRPr="0000009D">
        <w:rPr>
          <w:lang w:val="es-ES"/>
        </w:rPr>
        <w:t xml:space="preserve">  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8D477F" w:rsidP="00F507AA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B003B4" w:rsidRPr="0000009D">
        <w:rPr>
          <w:lang w:val="es-ES"/>
        </w:rPr>
        <w:t>Como se ha indicado anteriormente, la mayor parte de la información que puede ser de interés para las personas y entidades que buscan información relacionada con la asistencia técnica y el fortalecimiento de capacidades está disponible bajo el encabezado “Cooperación”.</w:t>
      </w:r>
      <w:r w:rsidRPr="0000009D">
        <w:rPr>
          <w:lang w:val="es-ES"/>
        </w:rPr>
        <w:t xml:space="preserve">  </w:t>
      </w:r>
      <w:r w:rsidR="00F507AA" w:rsidRPr="0000009D">
        <w:rPr>
          <w:lang w:val="es-ES"/>
        </w:rPr>
        <w:lastRenderedPageBreak/>
        <w:t xml:space="preserve">Sin embargo, puesto que existen otros programas y sectores que también ofrecen asistencia a los Estados miembros, la información </w:t>
      </w:r>
      <w:r w:rsidR="005F3B27" w:rsidRPr="0000009D">
        <w:rPr>
          <w:lang w:val="es-ES"/>
        </w:rPr>
        <w:t>de ese</w:t>
      </w:r>
      <w:r w:rsidR="00F507AA" w:rsidRPr="0000009D">
        <w:rPr>
          <w:lang w:val="es-ES"/>
        </w:rPr>
        <w:t xml:space="preserve"> encabezado por sí sola no proporciona un panorama completo.</w:t>
      </w:r>
      <w:r w:rsidRPr="0000009D">
        <w:rPr>
          <w:lang w:val="es-ES"/>
        </w:rPr>
        <w:t xml:space="preserve">  </w:t>
      </w:r>
      <w:r w:rsidR="00F507AA" w:rsidRPr="0000009D">
        <w:rPr>
          <w:lang w:val="es-ES"/>
        </w:rPr>
        <w:t>A continuación se indica la información que podría ser de interés a las partes interesadas en la asistencia técnica y el fortalecimiento de capacidades:</w:t>
      </w:r>
      <w:r w:rsidRPr="0000009D">
        <w:rPr>
          <w:lang w:val="es-ES"/>
        </w:rPr>
        <w:t xml:space="preserve"> 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F507AA" w:rsidP="0000009D">
      <w:pPr>
        <w:ind w:firstLine="567"/>
        <w:rPr>
          <w:lang w:val="es-ES"/>
        </w:rPr>
      </w:pPr>
      <w:r w:rsidRPr="0000009D">
        <w:rPr>
          <w:lang w:val="es-ES"/>
        </w:rPr>
        <w:t>Política =&gt; La P.I. y otros temas en materia de políticas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7C6A26" w:rsidP="0000009D">
      <w:pPr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Varias secciones de este subapartado contienen información que podría corresponder a la asistencia técnica y el fortalecimiento de capacidades, como los seminarios y talleres organizados en el contexto, por ejemplo, de los "conocimientos tradicionales”, la "economía” y la “política de competencia”.</w:t>
      </w:r>
      <w:r w:rsidR="008D477F" w:rsidRPr="0000009D">
        <w:rPr>
          <w:lang w:val="es-ES"/>
        </w:rPr>
        <w:t xml:space="preserve">  </w:t>
      </w:r>
      <w:r w:rsidRPr="0000009D">
        <w:rPr>
          <w:lang w:val="es-ES"/>
        </w:rPr>
        <w:t>En las secciones “Salud mundial” y “Cambio climático”, se facilita acceso a las plataformas WIPO GREEN y WIPO Re:Search.</w:t>
      </w:r>
      <w:r w:rsidR="008D477F" w:rsidRPr="0000009D">
        <w:rPr>
          <w:lang w:val="es-ES"/>
        </w:rPr>
        <w:t xml:space="preserve">  </w:t>
      </w:r>
      <w:r w:rsidR="00F948D8" w:rsidRPr="0000009D">
        <w:rPr>
          <w:lang w:val="es-ES"/>
        </w:rPr>
        <w:t>La sección "Políticas de P.I. para las universidades y las instituciones de investigación" incluye información sobre actividades de "sensibilización", "fortalecimiento de capacidades" y una "base de datos de políticas de P.I.".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F948D8" w:rsidP="0000009D">
      <w:pPr>
        <w:ind w:firstLine="567"/>
        <w:rPr>
          <w:lang w:val="es-ES"/>
        </w:rPr>
      </w:pPr>
      <w:r w:rsidRPr="0000009D">
        <w:rPr>
          <w:lang w:val="es-ES"/>
        </w:rPr>
        <w:t>Referencias =&gt; varios apartados</w:t>
      </w:r>
      <w:r w:rsidR="008D477F" w:rsidRPr="0000009D">
        <w:rPr>
          <w:lang w:val="es-ES"/>
        </w:rPr>
        <w:t xml:space="preserve"> 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B24C96" w:rsidP="0000009D">
      <w:pPr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Este encabezado incluye distintas bases de datos, tales como “PATENTSCOPE”, que proporciona acceso a los documentos de patentes de las oficinas de patentes nacionales y regionales que participan en el proyecto, la “Base Mundial de Datos sobre Marcas”, la “Base Mundial de Datos sobre Dibujos y Modelos” y “WIPO Lex”, una base de datos de leyes y tratados nacionales en materia de P.I.</w:t>
      </w:r>
      <w:r w:rsidR="008D477F" w:rsidRPr="0000009D">
        <w:rPr>
          <w:lang w:val="es-ES"/>
        </w:rPr>
        <w:t xml:space="preserve">  </w:t>
      </w:r>
      <w:r w:rsidR="000E135B" w:rsidRPr="0000009D">
        <w:rPr>
          <w:lang w:val="es-ES"/>
        </w:rPr>
        <w:t>La información que figura en la sección “Normas (Manual de la OMPI)” ayuda a las oficinas de P.I. a trabajar de manera más eficiente y armoniosa y simplifica la cooperación internacional.</w:t>
      </w:r>
      <w:r w:rsidR="008D477F" w:rsidRPr="0000009D">
        <w:rPr>
          <w:lang w:val="es-ES"/>
        </w:rPr>
        <w:t xml:space="preserve">  </w:t>
      </w:r>
      <w:r w:rsidR="000E135B" w:rsidRPr="0000009D">
        <w:rPr>
          <w:lang w:val="es-ES"/>
        </w:rPr>
        <w:t>El portal "WIPO Pearl" que aparece en "Terminología" es otra herramienta que facilita la asistencia técnica alentando el "uso coherente y riguroso de términos en distintos idiomas".</w:t>
      </w:r>
      <w:r w:rsidR="008D477F" w:rsidRPr="0000009D">
        <w:rPr>
          <w:lang w:val="es-ES"/>
        </w:rPr>
        <w:t xml:space="preserve"> 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0E135B" w:rsidP="0000009D">
      <w:pPr>
        <w:ind w:firstLine="567"/>
        <w:rPr>
          <w:lang w:val="es-ES"/>
        </w:rPr>
      </w:pPr>
      <w:r w:rsidRPr="0000009D">
        <w:rPr>
          <w:lang w:val="es-ES"/>
        </w:rPr>
        <w:t xml:space="preserve">Sobre la P.I. =&gt; </w:t>
      </w:r>
      <w:r w:rsidR="009F41F6" w:rsidRPr="0000009D">
        <w:rPr>
          <w:lang w:val="es-ES"/>
        </w:rPr>
        <w:t>Propiedad</w:t>
      </w:r>
      <w:r w:rsidRPr="0000009D">
        <w:rPr>
          <w:lang w:val="es-ES"/>
        </w:rPr>
        <w:t xml:space="preserve"> intelectual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CF731A" w:rsidP="0000009D">
      <w:pPr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Las secciones de este apartado incluyen información general sobre derecho de autor, patentes, marcas, dibujos y modelos industriales e indicaciones geográficas.</w:t>
      </w:r>
      <w:r w:rsidR="008D477F" w:rsidRPr="0000009D">
        <w:rPr>
          <w:lang w:val="es-ES"/>
        </w:rPr>
        <w:t xml:space="preserve">  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CF731A" w:rsidP="0000009D">
      <w:pPr>
        <w:ind w:firstLine="567"/>
        <w:rPr>
          <w:lang w:val="es-ES"/>
        </w:rPr>
      </w:pPr>
      <w:r w:rsidRPr="0000009D">
        <w:rPr>
          <w:lang w:val="es-ES"/>
        </w:rPr>
        <w:t>Sobre la P.I. =&gt; Formación</w:t>
      </w:r>
      <w:r w:rsidR="008D477F" w:rsidRPr="0000009D">
        <w:rPr>
          <w:lang w:val="es-ES"/>
        </w:rPr>
        <w:t xml:space="preserve"> 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CF731A" w:rsidP="0000009D">
      <w:pPr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En las secciones de este apartado se ofrece información sobre la Academia de la OMPI y sobre talleres y seminarios.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CF731A" w:rsidP="0000009D">
      <w:pPr>
        <w:ind w:firstLine="567"/>
        <w:rPr>
          <w:lang w:val="es-ES"/>
        </w:rPr>
      </w:pPr>
      <w:r w:rsidRPr="0000009D">
        <w:rPr>
          <w:lang w:val="es-ES"/>
        </w:rPr>
        <w:t>Sobre la P.I. =&gt; Fomento de la sensibilización</w:t>
      </w:r>
    </w:p>
    <w:p w:rsidR="006A20A5" w:rsidRPr="0000009D" w:rsidRDefault="006A20A5" w:rsidP="0000009D">
      <w:pPr>
        <w:rPr>
          <w:lang w:val="es-ES"/>
        </w:rPr>
      </w:pPr>
    </w:p>
    <w:p w:rsidR="006A20A5" w:rsidRPr="0000009D" w:rsidRDefault="00CF731A" w:rsidP="00CF731A">
      <w:pPr>
        <w:ind w:left="567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Las secciones de este apartado proporcionan información sobre el Día Mundial de la P.I., la Revista de la OMPI, los premios de la OMPI, las campañas de divulgación y las mujeres y la P.I.</w:t>
      </w:r>
      <w:r w:rsidR="008D477F" w:rsidRPr="0000009D">
        <w:rPr>
          <w:lang w:val="es-ES"/>
        </w:rPr>
        <w:t xml:space="preserve"> 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8D477F" w:rsidP="005F7190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886C8B" w:rsidRPr="0000009D">
        <w:rPr>
          <w:lang w:val="es-ES"/>
        </w:rPr>
        <w:t>Con arreglo al análisis anterior, puede concluirse que las actividades de asistencia técnica y fortalecimiento de capacidades están repartidas bajo distintos rubros del sitio web de la Organización y disponibles desde distintos puntos de acceso.</w:t>
      </w:r>
      <w:r w:rsidRPr="0000009D">
        <w:rPr>
          <w:lang w:val="es-ES"/>
        </w:rPr>
        <w:t xml:space="preserve">  </w:t>
      </w:r>
      <w:r w:rsidR="005F7190" w:rsidRPr="0000009D">
        <w:rPr>
          <w:lang w:val="es-ES"/>
        </w:rPr>
        <w:t>En este sentido, se pueden extraer la</w:t>
      </w:r>
      <w:r w:rsidR="0000009D">
        <w:rPr>
          <w:lang w:val="es-ES"/>
        </w:rPr>
        <w:t>s</w:t>
      </w:r>
      <w:r w:rsidR="005F7190" w:rsidRPr="0000009D">
        <w:rPr>
          <w:lang w:val="es-ES"/>
        </w:rPr>
        <w:t xml:space="preserve"> conclusiones siguientes:</w:t>
      </w:r>
    </w:p>
    <w:p w:rsidR="006A20A5" w:rsidRPr="0000009D" w:rsidRDefault="006A20A5" w:rsidP="008D477F">
      <w:pPr>
        <w:rPr>
          <w:lang w:val="es-ES"/>
        </w:rPr>
      </w:pPr>
    </w:p>
    <w:p w:rsidR="006A20A5" w:rsidRPr="0000009D" w:rsidRDefault="003F153A" w:rsidP="003F153A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00009D">
        <w:rPr>
          <w:lang w:val="es-ES"/>
        </w:rPr>
        <w:t>a)</w:t>
      </w:r>
      <w:r w:rsidRPr="0000009D">
        <w:rPr>
          <w:lang w:val="es-ES"/>
        </w:rPr>
        <w:tab/>
        <w:t>Como la información relativa a la asistencia técnica y el fortalecimiento de capacidades está repartida en diferentes secciones, es posible que para algunos usuarios resulte difícil navegar por ellas y tener una visión integral de la labor que lleva a cabo la OMPI.</w:t>
      </w:r>
      <w:r w:rsidR="008D477F" w:rsidRPr="0000009D">
        <w:rPr>
          <w:lang w:val="es-ES"/>
        </w:rPr>
        <w:t xml:space="preserve"> </w:t>
      </w:r>
    </w:p>
    <w:p w:rsidR="006A20A5" w:rsidRPr="0000009D" w:rsidRDefault="003F153A" w:rsidP="00505039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00009D">
        <w:rPr>
          <w:lang w:val="es-ES"/>
        </w:rPr>
        <w:t>b)</w:t>
      </w:r>
      <w:r w:rsidRPr="0000009D">
        <w:rPr>
          <w:lang w:val="es-ES"/>
        </w:rPr>
        <w:tab/>
        <w:t>Si bien en algunas secciones resalta especialmente la labor relativa a la asistencia técnica y el fortalecimiento de capacidades, esta es menos visible en otras secciones.</w:t>
      </w:r>
      <w:r w:rsidR="008D477F" w:rsidRPr="0000009D">
        <w:rPr>
          <w:lang w:val="es-ES"/>
        </w:rPr>
        <w:t xml:space="preserve">  </w:t>
      </w:r>
      <w:r w:rsidR="00505039" w:rsidRPr="0000009D">
        <w:rPr>
          <w:lang w:val="es-ES"/>
        </w:rPr>
        <w:t xml:space="preserve">En </w:t>
      </w:r>
      <w:r w:rsidR="00505039" w:rsidRPr="0000009D">
        <w:rPr>
          <w:lang w:val="es-ES"/>
        </w:rPr>
        <w:lastRenderedPageBreak/>
        <w:t>algunos casos, la labor en materia de asistencia técnica no se presenta en un apartado separado o bajo un epígrafe distinto.</w:t>
      </w:r>
      <w:r w:rsidR="008D477F" w:rsidRPr="0000009D">
        <w:rPr>
          <w:lang w:val="es-ES"/>
        </w:rPr>
        <w:t xml:space="preserve"> </w:t>
      </w:r>
    </w:p>
    <w:p w:rsidR="006A20A5" w:rsidRPr="0000009D" w:rsidRDefault="00505039" w:rsidP="00AA5567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00009D">
        <w:rPr>
          <w:lang w:val="es-ES"/>
        </w:rPr>
        <w:t>c)</w:t>
      </w:r>
      <w:r w:rsidR="005F3B27" w:rsidRPr="0000009D">
        <w:rPr>
          <w:lang w:val="es-ES"/>
        </w:rPr>
        <w:tab/>
      </w:r>
      <w:r w:rsidRPr="0000009D">
        <w:rPr>
          <w:lang w:val="es-ES"/>
        </w:rPr>
        <w:t>Los proyectos de la Agenda para el Desarrollo relativos a la asistencia técnica y el fortalecimiento de capacidades están integrados en el contenido de la página web de la Agenda para el Desarrollo o en otras secciones del sitio web de la OMPI.</w:t>
      </w:r>
      <w:r w:rsidR="008D477F" w:rsidRPr="0000009D">
        <w:rPr>
          <w:lang w:val="es-ES"/>
        </w:rPr>
        <w:t xml:space="preserve">  </w:t>
      </w:r>
      <w:r w:rsidR="00AA5567" w:rsidRPr="0000009D">
        <w:rPr>
          <w:lang w:val="es-ES"/>
        </w:rPr>
        <w:t>Por consiguiente, es posible que los usuarios no lleguen a distinguir la información sobre los proyectos de la Agenda para el Desarrollo relativos a la asistencia técnica y el fortalecimiento de capacidades de la información sobre otros proyectos de la Agenda.</w:t>
      </w:r>
    </w:p>
    <w:p w:rsidR="006A20A5" w:rsidRPr="0000009D" w:rsidRDefault="008D477F" w:rsidP="00AA5567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AA5567" w:rsidRPr="0000009D">
        <w:rPr>
          <w:lang w:val="es-ES"/>
        </w:rPr>
        <w:t>En vista de lo anterior, la Secretaría formula las propuestas siguientes:</w:t>
      </w:r>
      <w:r w:rsidRPr="0000009D">
        <w:rPr>
          <w:lang w:val="es-ES"/>
        </w:rPr>
        <w:t xml:space="preserve"> </w:t>
      </w:r>
    </w:p>
    <w:p w:rsidR="006A20A5" w:rsidRPr="0000009D" w:rsidRDefault="006A20A5" w:rsidP="0000009D">
      <w:pPr>
        <w:ind w:left="567"/>
        <w:rPr>
          <w:lang w:val="es-ES"/>
        </w:rPr>
      </w:pPr>
    </w:p>
    <w:p w:rsidR="006A20A5" w:rsidRPr="0000009D" w:rsidRDefault="00AA5567" w:rsidP="00AA5567">
      <w:pPr>
        <w:pStyle w:val="ONUME"/>
        <w:numPr>
          <w:ilvl w:val="0"/>
          <w:numId w:val="0"/>
        </w:numPr>
        <w:spacing w:after="0"/>
        <w:ind w:left="567"/>
        <w:rPr>
          <w:lang w:val="es-ES"/>
        </w:rPr>
      </w:pPr>
      <w:r w:rsidRPr="0000009D">
        <w:rPr>
          <w:lang w:val="es-ES"/>
        </w:rPr>
        <w:t>a)</w:t>
      </w:r>
      <w:r w:rsidRPr="0000009D">
        <w:rPr>
          <w:lang w:val="es-ES"/>
        </w:rPr>
        <w:tab/>
        <w:t>Como cuestión de principio, las medidas adoptadas para mejorar la accesibilidad de la información relativa a la asistencia técnica y el fortalecimiento de capacidades no deberían modificar sustancialmente el buen funcionamiento actual del sitio web de la OMPI.</w:t>
      </w:r>
    </w:p>
    <w:p w:rsidR="00AB04F7" w:rsidRPr="0000009D" w:rsidRDefault="00AB04F7" w:rsidP="00AA5567">
      <w:pPr>
        <w:pStyle w:val="ONUME"/>
        <w:numPr>
          <w:ilvl w:val="0"/>
          <w:numId w:val="0"/>
        </w:numPr>
        <w:spacing w:after="0"/>
        <w:ind w:left="567"/>
        <w:rPr>
          <w:lang w:val="es-ES"/>
        </w:rPr>
      </w:pPr>
    </w:p>
    <w:p w:rsidR="006A20A5" w:rsidRPr="0000009D" w:rsidRDefault="003C472B" w:rsidP="003C472B">
      <w:pPr>
        <w:pStyle w:val="ONUME"/>
        <w:numPr>
          <w:ilvl w:val="0"/>
          <w:numId w:val="0"/>
        </w:numPr>
        <w:spacing w:after="0"/>
        <w:ind w:left="567"/>
        <w:rPr>
          <w:lang w:val="es-ES"/>
        </w:rPr>
      </w:pPr>
      <w:r w:rsidRPr="0000009D">
        <w:rPr>
          <w:lang w:val="es-ES"/>
        </w:rPr>
        <w:t>b)</w:t>
      </w:r>
      <w:r w:rsidRPr="0000009D">
        <w:rPr>
          <w:lang w:val="es-ES"/>
        </w:rPr>
        <w:tab/>
        <w:t>Debería conservarse la naturaleza temática de la estructura web, que se aleja de la simple reproducción de la estructura organizativa de la OMPI.</w:t>
      </w:r>
      <w:r w:rsidR="008D477F" w:rsidRPr="0000009D">
        <w:rPr>
          <w:lang w:val="es-ES"/>
        </w:rPr>
        <w:t xml:space="preserve">  </w:t>
      </w:r>
      <w:r w:rsidRPr="0000009D">
        <w:rPr>
          <w:lang w:val="es-ES"/>
        </w:rPr>
        <w:t>Entre otras cosas, ello permitir</w:t>
      </w:r>
      <w:r w:rsidR="005F3B27" w:rsidRPr="0000009D">
        <w:rPr>
          <w:lang w:val="es-ES"/>
        </w:rPr>
        <w:t>ía</w:t>
      </w:r>
      <w:r w:rsidRPr="0000009D">
        <w:rPr>
          <w:lang w:val="es-ES"/>
        </w:rPr>
        <w:t xml:space="preserve"> mantener la funcionalidad del actual sistema de actualización de las distintas páginas web.</w:t>
      </w:r>
    </w:p>
    <w:p w:rsidR="00AB04F7" w:rsidRPr="0000009D" w:rsidRDefault="00AB04F7" w:rsidP="00DD1C99">
      <w:pPr>
        <w:pStyle w:val="ONUME"/>
        <w:numPr>
          <w:ilvl w:val="0"/>
          <w:numId w:val="0"/>
        </w:numPr>
        <w:spacing w:after="0"/>
        <w:ind w:left="567"/>
        <w:rPr>
          <w:lang w:val="es-ES"/>
        </w:rPr>
      </w:pPr>
    </w:p>
    <w:p w:rsidR="006A20A5" w:rsidRPr="0000009D" w:rsidRDefault="00DD1C99" w:rsidP="00DD1C99">
      <w:pPr>
        <w:pStyle w:val="ONUME"/>
        <w:numPr>
          <w:ilvl w:val="0"/>
          <w:numId w:val="0"/>
        </w:numPr>
        <w:spacing w:after="0"/>
        <w:ind w:left="567"/>
        <w:rPr>
          <w:lang w:val="es-ES"/>
        </w:rPr>
      </w:pPr>
      <w:r w:rsidRPr="0000009D">
        <w:rPr>
          <w:lang w:val="es-ES"/>
        </w:rPr>
        <w:t>c)</w:t>
      </w:r>
      <w:r w:rsidRPr="0000009D">
        <w:rPr>
          <w:lang w:val="es-ES"/>
        </w:rPr>
        <w:tab/>
        <w:t>Debería crearse una nueva sección denominada "Asistencia técnica y fortalecimiento de capacidades" bajo el apartado "Desarrollo" del encabezado principal "Cooperación", que integre todas las actividades de asistencia técnica de la OMPI.</w:t>
      </w:r>
      <w:r w:rsidR="008D477F" w:rsidRPr="0000009D">
        <w:rPr>
          <w:lang w:val="es-ES"/>
        </w:rPr>
        <w:t xml:space="preserve">  </w:t>
      </w:r>
      <w:r w:rsidRPr="0000009D">
        <w:rPr>
          <w:lang w:val="es-ES"/>
        </w:rPr>
        <w:t>Para ello, deberían facilitarse los enlaces a las secciones pertinentes del sitio web de la Organización, en lugar de duplicar la información.</w:t>
      </w:r>
    </w:p>
    <w:p w:rsidR="006A20A5" w:rsidRPr="0000009D" w:rsidRDefault="006A20A5" w:rsidP="008D477F">
      <w:pPr>
        <w:pStyle w:val="ONUME"/>
        <w:numPr>
          <w:ilvl w:val="0"/>
          <w:numId w:val="0"/>
        </w:numPr>
        <w:spacing w:after="0"/>
        <w:ind w:left="567"/>
        <w:rPr>
          <w:lang w:val="es-ES"/>
        </w:rPr>
      </w:pPr>
    </w:p>
    <w:p w:rsidR="006A20A5" w:rsidRPr="0000009D" w:rsidRDefault="00C62900" w:rsidP="00C62900">
      <w:pPr>
        <w:pStyle w:val="ONUME"/>
        <w:numPr>
          <w:ilvl w:val="0"/>
          <w:numId w:val="0"/>
        </w:numPr>
        <w:spacing w:after="0"/>
        <w:ind w:left="567"/>
        <w:rPr>
          <w:lang w:val="es-ES"/>
        </w:rPr>
      </w:pPr>
      <w:r w:rsidRPr="0000009D">
        <w:rPr>
          <w:lang w:val="es-ES"/>
        </w:rPr>
        <w:t>d)</w:t>
      </w:r>
      <w:r w:rsidRPr="0000009D">
        <w:rPr>
          <w:lang w:val="es-ES"/>
        </w:rPr>
        <w:tab/>
        <w:t>Esta sección debería agrupar las actividades de asistencia técnica y fortalecimiento de capacidades en ocho categorías, que contendrían la información que ya figura en las secciones actuales.</w:t>
      </w:r>
      <w:r w:rsidR="008D477F" w:rsidRPr="0000009D">
        <w:rPr>
          <w:lang w:val="es-ES"/>
        </w:rPr>
        <w:t xml:space="preserve">  </w:t>
      </w:r>
      <w:r w:rsidRPr="0000009D">
        <w:rPr>
          <w:lang w:val="es-ES"/>
        </w:rPr>
        <w:t>Las categorías siguientes tienen carácter ilustrativo y pueden ser modificadas por la Secretaría en una etapa posterior.</w:t>
      </w:r>
      <w:r w:rsidR="008D477F" w:rsidRPr="0000009D">
        <w:rPr>
          <w:lang w:val="es-ES"/>
        </w:rPr>
        <w:t xml:space="preserve"> </w:t>
      </w:r>
    </w:p>
    <w:p w:rsidR="006A20A5" w:rsidRPr="0000009D" w:rsidRDefault="006A20A5" w:rsidP="0000009D">
      <w:pPr>
        <w:ind w:left="567"/>
        <w:rPr>
          <w:lang w:val="es-ES"/>
        </w:rPr>
      </w:pPr>
    </w:p>
    <w:p w:rsidR="006A20A5" w:rsidRPr="0000009D" w:rsidRDefault="00C62900" w:rsidP="00C62900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i)</w:t>
      </w:r>
      <w:r w:rsidRPr="0000009D">
        <w:rPr>
          <w:lang w:val="es-ES"/>
        </w:rPr>
        <w:tab/>
        <w:t>Agenda para el Desarrollo;</w:t>
      </w:r>
    </w:p>
    <w:p w:rsidR="006A20A5" w:rsidRPr="0000009D" w:rsidRDefault="00C62900" w:rsidP="00C62900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ii)</w:t>
      </w:r>
      <w:r w:rsidRPr="0000009D">
        <w:rPr>
          <w:lang w:val="es-ES"/>
        </w:rPr>
        <w:tab/>
        <w:t>Formación en materia de P.I.;</w:t>
      </w:r>
      <w:r w:rsidR="008D477F" w:rsidRPr="0000009D">
        <w:rPr>
          <w:lang w:val="es-ES"/>
        </w:rPr>
        <w:t xml:space="preserve"> </w:t>
      </w:r>
    </w:p>
    <w:p w:rsidR="006A20A5" w:rsidRPr="0000009D" w:rsidRDefault="00C62900" w:rsidP="00C62900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iii)</w:t>
      </w:r>
      <w:r w:rsidRPr="0000009D">
        <w:rPr>
          <w:lang w:val="es-ES"/>
        </w:rPr>
        <w:tab/>
        <w:t>Asesoramiento jurídico y en materia de políticas;</w:t>
      </w:r>
      <w:r w:rsidR="008D477F" w:rsidRPr="0000009D">
        <w:rPr>
          <w:lang w:val="es-ES"/>
        </w:rPr>
        <w:t xml:space="preserve"> </w:t>
      </w:r>
    </w:p>
    <w:p w:rsidR="006A20A5" w:rsidRPr="0000009D" w:rsidRDefault="00C62900" w:rsidP="00C62900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iv)</w:t>
      </w:r>
      <w:r w:rsidRPr="0000009D">
        <w:rPr>
          <w:lang w:val="es-ES"/>
        </w:rPr>
        <w:tab/>
        <w:t>Apoyo a las oficinas de P.I.;</w:t>
      </w:r>
      <w:r w:rsidR="008D477F" w:rsidRPr="0000009D">
        <w:rPr>
          <w:lang w:val="es-ES"/>
        </w:rPr>
        <w:t xml:space="preserve">  </w:t>
      </w:r>
    </w:p>
    <w:p w:rsidR="006A20A5" w:rsidRPr="0000009D" w:rsidRDefault="0005044D" w:rsidP="0005044D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v)</w:t>
      </w:r>
      <w:r w:rsidRPr="0000009D">
        <w:rPr>
          <w:lang w:val="es-ES"/>
        </w:rPr>
        <w:tab/>
        <w:t>Estrategias de P.I.;</w:t>
      </w:r>
      <w:r w:rsidR="008D477F" w:rsidRPr="0000009D">
        <w:rPr>
          <w:lang w:val="es-ES"/>
        </w:rPr>
        <w:t xml:space="preserve"> </w:t>
      </w:r>
    </w:p>
    <w:p w:rsidR="006A20A5" w:rsidRPr="0000009D" w:rsidRDefault="0005044D" w:rsidP="0005044D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vi)</w:t>
      </w:r>
      <w:r w:rsidRPr="0000009D">
        <w:rPr>
          <w:lang w:val="es-ES"/>
        </w:rPr>
        <w:tab/>
        <w:t>Plataformas y bases de datos;</w:t>
      </w:r>
      <w:r w:rsidR="008D477F" w:rsidRPr="0000009D">
        <w:rPr>
          <w:lang w:val="es-ES"/>
        </w:rPr>
        <w:t xml:space="preserve"> </w:t>
      </w:r>
    </w:p>
    <w:p w:rsidR="006A20A5" w:rsidRPr="0000009D" w:rsidRDefault="0005044D" w:rsidP="0005044D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vii)</w:t>
      </w:r>
      <w:r w:rsidRPr="0000009D">
        <w:rPr>
          <w:lang w:val="es-ES"/>
        </w:rPr>
        <w:tab/>
        <w:t>Seminarios y talleres;  y</w:t>
      </w:r>
    </w:p>
    <w:p w:rsidR="006A20A5" w:rsidRPr="0000009D" w:rsidRDefault="0005044D" w:rsidP="0005044D">
      <w:pPr>
        <w:pStyle w:val="ONUME"/>
        <w:numPr>
          <w:ilvl w:val="0"/>
          <w:numId w:val="0"/>
        </w:numPr>
        <w:ind w:left="1134"/>
        <w:rPr>
          <w:lang w:val="es-ES"/>
        </w:rPr>
      </w:pPr>
      <w:r w:rsidRPr="0000009D">
        <w:rPr>
          <w:lang w:val="es-ES"/>
        </w:rPr>
        <w:t>viii)</w:t>
      </w:r>
      <w:r w:rsidRPr="0000009D">
        <w:rPr>
          <w:lang w:val="es-ES"/>
        </w:rPr>
        <w:tab/>
        <w:t>Sensibilización.</w:t>
      </w:r>
    </w:p>
    <w:p w:rsidR="006A20A5" w:rsidRPr="0000009D" w:rsidRDefault="008D477F" w:rsidP="009F41F6">
      <w:pPr>
        <w:rPr>
          <w:lang w:val="es-ES"/>
        </w:rPr>
      </w:pPr>
      <w:r w:rsidRPr="0000009D">
        <w:rPr>
          <w:lang w:val="es-ES"/>
        </w:rPr>
        <w:fldChar w:fldCharType="begin"/>
      </w:r>
      <w:r w:rsidRPr="0000009D">
        <w:rPr>
          <w:lang w:val="es-ES"/>
        </w:rPr>
        <w:instrText xml:space="preserve"> AUTONUM  </w:instrText>
      </w:r>
      <w:r w:rsidRPr="0000009D">
        <w:rPr>
          <w:lang w:val="es-ES"/>
        </w:rPr>
        <w:fldChar w:fldCharType="end"/>
      </w:r>
      <w:r w:rsidRPr="0000009D">
        <w:rPr>
          <w:lang w:val="es-ES"/>
        </w:rPr>
        <w:tab/>
      </w:r>
      <w:r w:rsidR="009F41F6" w:rsidRPr="0000009D">
        <w:rPr>
          <w:lang w:val="es-ES"/>
        </w:rPr>
        <w:t>Al concentrar toda la información pertinente sobre las actividades de la OMPI en materia de asistencia técnica y fortalecimiento de capacidades, los usuarios podrán acceder de manera más fácil y rápida a la información relevante del sitio web.</w:t>
      </w:r>
      <w:r w:rsidRPr="0000009D">
        <w:rPr>
          <w:lang w:val="es-ES"/>
        </w:rPr>
        <w:t xml:space="preserve">  </w:t>
      </w:r>
      <w:r w:rsidR="009F41F6" w:rsidRPr="0000009D">
        <w:rPr>
          <w:lang w:val="es-ES"/>
        </w:rPr>
        <w:t>Los Estados miembros, las partes interesadas públicas y privadas, la comunidad académica, los profesionales de la P.I., los organismos de desarrollo, los donantes potenciales, la sociedad civil y el público en general dispondrán de un espacio centralizado para acceder a la información sobre la asistencia técnica y el fortalecimiento de capacidades que brinda la OMPI.</w:t>
      </w:r>
    </w:p>
    <w:p w:rsidR="006A20A5" w:rsidRPr="0000009D" w:rsidRDefault="006A20A5" w:rsidP="008D477F">
      <w:pPr>
        <w:rPr>
          <w:szCs w:val="22"/>
          <w:lang w:val="es-ES"/>
        </w:rPr>
      </w:pPr>
    </w:p>
    <w:p w:rsidR="006A20A5" w:rsidRPr="0000009D" w:rsidRDefault="008D477F" w:rsidP="009F41F6">
      <w:pPr>
        <w:pStyle w:val="DecisionInvitingPara"/>
        <w:spacing w:after="0" w:line="240" w:lineRule="auto"/>
        <w:ind w:left="4547" w:hanging="11"/>
        <w:rPr>
          <w:sz w:val="22"/>
          <w:szCs w:val="22"/>
          <w:lang w:val="es-ES"/>
        </w:rPr>
      </w:pPr>
      <w:r w:rsidRPr="0000009D">
        <w:rPr>
          <w:i w:val="0"/>
          <w:iCs/>
          <w:sz w:val="22"/>
          <w:szCs w:val="22"/>
          <w:lang w:val="es-ES"/>
        </w:rPr>
        <w:lastRenderedPageBreak/>
        <w:fldChar w:fldCharType="begin"/>
      </w:r>
      <w:r w:rsidRPr="0000009D">
        <w:rPr>
          <w:i w:val="0"/>
          <w:iCs/>
          <w:sz w:val="22"/>
          <w:szCs w:val="22"/>
          <w:lang w:val="es-ES"/>
        </w:rPr>
        <w:instrText xml:space="preserve"> AUTONUM  </w:instrText>
      </w:r>
      <w:r w:rsidRPr="0000009D">
        <w:rPr>
          <w:i w:val="0"/>
          <w:sz w:val="22"/>
          <w:szCs w:val="22"/>
          <w:lang w:val="es-ES"/>
        </w:rPr>
        <w:fldChar w:fldCharType="end"/>
      </w:r>
      <w:r w:rsidRPr="0000009D">
        <w:rPr>
          <w:i w:val="0"/>
          <w:iCs/>
          <w:sz w:val="22"/>
          <w:szCs w:val="22"/>
          <w:lang w:val="es-ES"/>
        </w:rPr>
        <w:tab/>
      </w:r>
      <w:r w:rsidR="009F41F6" w:rsidRPr="0000009D">
        <w:rPr>
          <w:iCs/>
          <w:sz w:val="22"/>
          <w:szCs w:val="22"/>
          <w:lang w:val="es-ES"/>
        </w:rPr>
        <w:t>Se invita al CDIP a examinar el contenido del presente documento.</w:t>
      </w:r>
    </w:p>
    <w:p w:rsidR="006A20A5" w:rsidRPr="0000009D" w:rsidRDefault="006A20A5" w:rsidP="008D477F">
      <w:pPr>
        <w:rPr>
          <w:szCs w:val="22"/>
          <w:lang w:val="es-ES"/>
        </w:rPr>
      </w:pPr>
    </w:p>
    <w:p w:rsidR="006A20A5" w:rsidRPr="0000009D" w:rsidRDefault="006A20A5" w:rsidP="008D477F">
      <w:pPr>
        <w:rPr>
          <w:lang w:val="es-ES"/>
        </w:rPr>
      </w:pPr>
    </w:p>
    <w:p w:rsidR="00277982" w:rsidRPr="0000009D" w:rsidRDefault="009F41F6" w:rsidP="0000009D">
      <w:pPr>
        <w:pStyle w:val="Endofdocument-Annex"/>
        <w:rPr>
          <w:lang w:val="es-ES"/>
        </w:rPr>
      </w:pPr>
      <w:r w:rsidRPr="0000009D">
        <w:rPr>
          <w:lang w:val="es-ES"/>
        </w:rPr>
        <w:t>[Fin del documento]</w:t>
      </w:r>
    </w:p>
    <w:sectPr w:rsidR="00277982" w:rsidRPr="0000009D" w:rsidSect="008D477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97" w:rsidRDefault="00BE3297">
      <w:r>
        <w:separator/>
      </w:r>
    </w:p>
  </w:endnote>
  <w:endnote w:type="continuationSeparator" w:id="0">
    <w:p w:rsidR="00BE3297" w:rsidRDefault="00BE3297" w:rsidP="003B38C1">
      <w:r>
        <w:separator/>
      </w:r>
    </w:p>
    <w:p w:rsidR="00BE3297" w:rsidRPr="003B38C1" w:rsidRDefault="00BE329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3297" w:rsidRPr="003B38C1" w:rsidRDefault="00BE329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97" w:rsidRDefault="00BE3297">
      <w:r>
        <w:separator/>
      </w:r>
    </w:p>
  </w:footnote>
  <w:footnote w:type="continuationSeparator" w:id="0">
    <w:p w:rsidR="00BE3297" w:rsidRDefault="00BE3297" w:rsidP="008B60B2">
      <w:r>
        <w:separator/>
      </w:r>
    </w:p>
    <w:p w:rsidR="00BE3297" w:rsidRPr="00ED77FB" w:rsidRDefault="00BE329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3297" w:rsidRPr="00ED77FB" w:rsidRDefault="00BE329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97" w:rsidRDefault="00BE3297" w:rsidP="00477D6B">
    <w:pPr>
      <w:jc w:val="right"/>
    </w:pPr>
    <w:r>
      <w:t>CDIP/19/</w:t>
    </w:r>
    <w:r w:rsidR="008D477F">
      <w:t>10</w:t>
    </w:r>
  </w:p>
  <w:p w:rsidR="00BE3297" w:rsidRPr="0098122B" w:rsidRDefault="00BE3297" w:rsidP="00477D6B">
    <w:pPr>
      <w:jc w:val="right"/>
      <w:rPr>
        <w:lang w:val="es-ES"/>
      </w:rPr>
    </w:pPr>
    <w:r w:rsidRPr="0098122B">
      <w:rPr>
        <w:lang w:val="es-ES"/>
      </w:rPr>
      <w:t xml:space="preserve">página </w:t>
    </w:r>
    <w:r w:rsidRPr="0098122B">
      <w:rPr>
        <w:lang w:val="es-ES"/>
      </w:rPr>
      <w:fldChar w:fldCharType="begin"/>
    </w:r>
    <w:r w:rsidRPr="0098122B">
      <w:rPr>
        <w:lang w:val="es-ES"/>
      </w:rPr>
      <w:instrText xml:space="preserve"> PAGE   \* MERGEFORMAT </w:instrText>
    </w:r>
    <w:r w:rsidRPr="0098122B">
      <w:rPr>
        <w:lang w:val="es-ES"/>
      </w:rPr>
      <w:fldChar w:fldCharType="separate"/>
    </w:r>
    <w:r w:rsidR="00C3487F">
      <w:rPr>
        <w:noProof/>
        <w:lang w:val="es-ES"/>
      </w:rPr>
      <w:t>2</w:t>
    </w:r>
    <w:r w:rsidRPr="0098122B">
      <w:rPr>
        <w:noProof/>
        <w:lang w:val="es-ES"/>
      </w:rPr>
      <w:fldChar w:fldCharType="end"/>
    </w:r>
  </w:p>
  <w:p w:rsidR="00BE3297" w:rsidRDefault="00BE329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F32514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DF16EE"/>
    <w:multiLevelType w:val="hybridMultilevel"/>
    <w:tmpl w:val="9CA628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FC75FA"/>
    <w:multiLevelType w:val="hybridMultilevel"/>
    <w:tmpl w:val="88A47D2C"/>
    <w:lvl w:ilvl="0" w:tplc="CD42E66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DA1C9D"/>
    <w:multiLevelType w:val="hybridMultilevel"/>
    <w:tmpl w:val="3FB22100"/>
    <w:lvl w:ilvl="0" w:tplc="47B07C0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25A02"/>
    <w:multiLevelType w:val="hybridMultilevel"/>
    <w:tmpl w:val="A0543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185E86"/>
    <w:multiLevelType w:val="hybridMultilevel"/>
    <w:tmpl w:val="77521BC2"/>
    <w:lvl w:ilvl="0" w:tplc="04090017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3079C"/>
    <w:multiLevelType w:val="hybridMultilevel"/>
    <w:tmpl w:val="45263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am Server TMs\Spanish|TextBase TMs\WorkspaceSTS\Development\Dev_Agenda|TextBase TMs\WorkspaceSTS\Brands, Designs &amp; DN\Trademarks|TextBase TMs\WorkspaceSTS\Administration &amp; Finance\FAB Instruments|TextBase TMs\WorkspaceSTS\Administration &amp; Finance\FAB Main|TextBase TMs\WorkspaceSTS\Patents &amp; Innovation\Patents Main|TextBase TMs\WorkspaceSTS\Patents &amp; Innovation\P Instruments|TextBase TMs\WorkspaceSTS\Outreach\POW Main|TextBase TMs\WorkspaceSTS\Administration &amp; Finance\Current Budget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Copyright\C Instruments|TextBase TMs\WorkspaceSTS\Copyright\Copyright|TextBase TMs\WorkspaceSTS\GRTKF\G Instruments|TextBase TMs\WorkspaceSTS\GRTKF\GRTKF|TextBase TMs\WorkspaceSTS\Outreach\Economist|TextBase TMs\WorkspaceSTS\Outreach\IP Advantage|TextBase TMs\WorkspaceSTS\Treaties &amp; Laws\WIPO Lex|TextBase TMs\WorkspaceSTS\UPOV\UPOV Main|TextBase TMs\WorkspaceSTS\XLegacy\LegacySTS"/>
    <w:docVar w:name="TextBaseURL" w:val="empty"/>
    <w:docVar w:name="UILng" w:val="en"/>
  </w:docVars>
  <w:rsids>
    <w:rsidRoot w:val="00277982"/>
    <w:rsid w:val="0000009D"/>
    <w:rsid w:val="00001E20"/>
    <w:rsid w:val="000337C1"/>
    <w:rsid w:val="00043CAA"/>
    <w:rsid w:val="0005044D"/>
    <w:rsid w:val="00071E73"/>
    <w:rsid w:val="00075432"/>
    <w:rsid w:val="000968ED"/>
    <w:rsid w:val="000E135B"/>
    <w:rsid w:val="000F5E56"/>
    <w:rsid w:val="00101FE4"/>
    <w:rsid w:val="001362EE"/>
    <w:rsid w:val="001555C3"/>
    <w:rsid w:val="00163ACC"/>
    <w:rsid w:val="00175B63"/>
    <w:rsid w:val="001832A6"/>
    <w:rsid w:val="00191863"/>
    <w:rsid w:val="001C6003"/>
    <w:rsid w:val="001E3DDE"/>
    <w:rsid w:val="0021217E"/>
    <w:rsid w:val="002322E1"/>
    <w:rsid w:val="002634C4"/>
    <w:rsid w:val="002671AD"/>
    <w:rsid w:val="00277982"/>
    <w:rsid w:val="002928D3"/>
    <w:rsid w:val="002F1FE6"/>
    <w:rsid w:val="002F4E68"/>
    <w:rsid w:val="002F73D4"/>
    <w:rsid w:val="00301343"/>
    <w:rsid w:val="00312F7F"/>
    <w:rsid w:val="00351E3E"/>
    <w:rsid w:val="003569DA"/>
    <w:rsid w:val="00361450"/>
    <w:rsid w:val="00361C57"/>
    <w:rsid w:val="003673CF"/>
    <w:rsid w:val="00372352"/>
    <w:rsid w:val="003809A1"/>
    <w:rsid w:val="003828D0"/>
    <w:rsid w:val="003845C1"/>
    <w:rsid w:val="003921D0"/>
    <w:rsid w:val="003944AC"/>
    <w:rsid w:val="003A6F89"/>
    <w:rsid w:val="003B38C1"/>
    <w:rsid w:val="003C3704"/>
    <w:rsid w:val="003C472B"/>
    <w:rsid w:val="003F153A"/>
    <w:rsid w:val="003F72E0"/>
    <w:rsid w:val="0041730F"/>
    <w:rsid w:val="00423E3E"/>
    <w:rsid w:val="00427AF4"/>
    <w:rsid w:val="004647DA"/>
    <w:rsid w:val="00467599"/>
    <w:rsid w:val="00474062"/>
    <w:rsid w:val="00477D6B"/>
    <w:rsid w:val="00491755"/>
    <w:rsid w:val="004A7E5F"/>
    <w:rsid w:val="004B6718"/>
    <w:rsid w:val="005019FF"/>
    <w:rsid w:val="00505039"/>
    <w:rsid w:val="0053057A"/>
    <w:rsid w:val="005513B1"/>
    <w:rsid w:val="00553A74"/>
    <w:rsid w:val="00560A29"/>
    <w:rsid w:val="005635FF"/>
    <w:rsid w:val="00564D3C"/>
    <w:rsid w:val="005C6649"/>
    <w:rsid w:val="005C74D7"/>
    <w:rsid w:val="005F3B27"/>
    <w:rsid w:val="005F7190"/>
    <w:rsid w:val="00600B45"/>
    <w:rsid w:val="00605827"/>
    <w:rsid w:val="006104CA"/>
    <w:rsid w:val="0061478A"/>
    <w:rsid w:val="00635FCE"/>
    <w:rsid w:val="00644448"/>
    <w:rsid w:val="00646050"/>
    <w:rsid w:val="0066207A"/>
    <w:rsid w:val="006713CA"/>
    <w:rsid w:val="00673C4B"/>
    <w:rsid w:val="00676C5C"/>
    <w:rsid w:val="006A20A5"/>
    <w:rsid w:val="006A7C92"/>
    <w:rsid w:val="006D71FB"/>
    <w:rsid w:val="00701F33"/>
    <w:rsid w:val="007130EC"/>
    <w:rsid w:val="00736587"/>
    <w:rsid w:val="00744931"/>
    <w:rsid w:val="00784B96"/>
    <w:rsid w:val="00786C2A"/>
    <w:rsid w:val="007A386F"/>
    <w:rsid w:val="007B79FA"/>
    <w:rsid w:val="007C0DE6"/>
    <w:rsid w:val="007C6A26"/>
    <w:rsid w:val="007D1613"/>
    <w:rsid w:val="007E4671"/>
    <w:rsid w:val="007E4C0E"/>
    <w:rsid w:val="00803F56"/>
    <w:rsid w:val="00816988"/>
    <w:rsid w:val="00825860"/>
    <w:rsid w:val="00843AC0"/>
    <w:rsid w:val="008527EF"/>
    <w:rsid w:val="00855A36"/>
    <w:rsid w:val="00865B40"/>
    <w:rsid w:val="00871814"/>
    <w:rsid w:val="00873B7E"/>
    <w:rsid w:val="00886C8B"/>
    <w:rsid w:val="008B2CC1"/>
    <w:rsid w:val="008B60B2"/>
    <w:rsid w:val="008D477F"/>
    <w:rsid w:val="008D6D10"/>
    <w:rsid w:val="008E434D"/>
    <w:rsid w:val="008F3141"/>
    <w:rsid w:val="008F4DC2"/>
    <w:rsid w:val="009018E4"/>
    <w:rsid w:val="009063DC"/>
    <w:rsid w:val="0090731E"/>
    <w:rsid w:val="00916EE2"/>
    <w:rsid w:val="009229F1"/>
    <w:rsid w:val="009339EA"/>
    <w:rsid w:val="009351CE"/>
    <w:rsid w:val="00942238"/>
    <w:rsid w:val="00966A22"/>
    <w:rsid w:val="0096722F"/>
    <w:rsid w:val="00980843"/>
    <w:rsid w:val="0098122B"/>
    <w:rsid w:val="00982C2C"/>
    <w:rsid w:val="009A3843"/>
    <w:rsid w:val="009B24D4"/>
    <w:rsid w:val="009E2791"/>
    <w:rsid w:val="009E3F6F"/>
    <w:rsid w:val="009F32AC"/>
    <w:rsid w:val="009F41F6"/>
    <w:rsid w:val="009F499F"/>
    <w:rsid w:val="00A06071"/>
    <w:rsid w:val="00A25E34"/>
    <w:rsid w:val="00A3035F"/>
    <w:rsid w:val="00A42DAF"/>
    <w:rsid w:val="00A45BD8"/>
    <w:rsid w:val="00A5136D"/>
    <w:rsid w:val="00A8190F"/>
    <w:rsid w:val="00A869B7"/>
    <w:rsid w:val="00A96F3B"/>
    <w:rsid w:val="00AA5567"/>
    <w:rsid w:val="00AB04F7"/>
    <w:rsid w:val="00AC205C"/>
    <w:rsid w:val="00AE3A72"/>
    <w:rsid w:val="00AE7FB6"/>
    <w:rsid w:val="00AF0A6B"/>
    <w:rsid w:val="00B003B4"/>
    <w:rsid w:val="00B05A69"/>
    <w:rsid w:val="00B1298F"/>
    <w:rsid w:val="00B20B2A"/>
    <w:rsid w:val="00B24C96"/>
    <w:rsid w:val="00B32857"/>
    <w:rsid w:val="00B459E1"/>
    <w:rsid w:val="00B52A8D"/>
    <w:rsid w:val="00B811E5"/>
    <w:rsid w:val="00B9734B"/>
    <w:rsid w:val="00BA0384"/>
    <w:rsid w:val="00BA30E2"/>
    <w:rsid w:val="00BB2734"/>
    <w:rsid w:val="00BE3297"/>
    <w:rsid w:val="00C0088A"/>
    <w:rsid w:val="00C0237E"/>
    <w:rsid w:val="00C05C86"/>
    <w:rsid w:val="00C11BFE"/>
    <w:rsid w:val="00C253E7"/>
    <w:rsid w:val="00C309A0"/>
    <w:rsid w:val="00C3487F"/>
    <w:rsid w:val="00C44679"/>
    <w:rsid w:val="00C5068F"/>
    <w:rsid w:val="00C62900"/>
    <w:rsid w:val="00C668C0"/>
    <w:rsid w:val="00CB44A3"/>
    <w:rsid w:val="00CD04F1"/>
    <w:rsid w:val="00CD1EE1"/>
    <w:rsid w:val="00CD22FF"/>
    <w:rsid w:val="00CF3323"/>
    <w:rsid w:val="00CF731A"/>
    <w:rsid w:val="00D0413F"/>
    <w:rsid w:val="00D27F3B"/>
    <w:rsid w:val="00D34D44"/>
    <w:rsid w:val="00D369DA"/>
    <w:rsid w:val="00D45252"/>
    <w:rsid w:val="00D55C66"/>
    <w:rsid w:val="00D6166F"/>
    <w:rsid w:val="00D71B4D"/>
    <w:rsid w:val="00D93D55"/>
    <w:rsid w:val="00DB0778"/>
    <w:rsid w:val="00DD1C99"/>
    <w:rsid w:val="00E04618"/>
    <w:rsid w:val="00E15015"/>
    <w:rsid w:val="00E335FE"/>
    <w:rsid w:val="00E6250F"/>
    <w:rsid w:val="00E75381"/>
    <w:rsid w:val="00E90CAC"/>
    <w:rsid w:val="00EA10AB"/>
    <w:rsid w:val="00EC4E49"/>
    <w:rsid w:val="00ED77FB"/>
    <w:rsid w:val="00EE45FA"/>
    <w:rsid w:val="00EE4610"/>
    <w:rsid w:val="00EF4160"/>
    <w:rsid w:val="00F00E3E"/>
    <w:rsid w:val="00F07835"/>
    <w:rsid w:val="00F17A9E"/>
    <w:rsid w:val="00F507AA"/>
    <w:rsid w:val="00F66152"/>
    <w:rsid w:val="00F948D8"/>
    <w:rsid w:val="00F95D70"/>
    <w:rsid w:val="00FB25E1"/>
    <w:rsid w:val="00FC6EA3"/>
    <w:rsid w:val="00FE6BC0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35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8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77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98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D22F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CD22FF"/>
    <w:rPr>
      <w:color w:val="0000FF"/>
      <w:u w:val="single"/>
    </w:rPr>
  </w:style>
  <w:style w:type="character" w:customStyle="1" w:styleId="Hyperlink2">
    <w:name w:val="Hyperlink2"/>
    <w:basedOn w:val="DefaultParagraphFont"/>
    <w:uiPriority w:val="99"/>
    <w:unhideWhenUsed/>
    <w:rsid w:val="00CD22FF"/>
    <w:rPr>
      <w:color w:val="0000FF"/>
      <w:u w:val="single"/>
    </w:rPr>
  </w:style>
  <w:style w:type="table" w:styleId="TableGrid">
    <w:name w:val="Table Grid"/>
    <w:basedOn w:val="TableNormal"/>
    <w:rsid w:val="00CD22F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D22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35F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8D477F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8D477F"/>
    <w:rPr>
      <w:rFonts w:ascii="Arial" w:eastAsia="MS Mincho" w:hAnsi="Arial" w:cs="Arial"/>
      <w:i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35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8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77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98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D22F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CD22FF"/>
    <w:rPr>
      <w:color w:val="0000FF"/>
      <w:u w:val="single"/>
    </w:rPr>
  </w:style>
  <w:style w:type="character" w:customStyle="1" w:styleId="Hyperlink2">
    <w:name w:val="Hyperlink2"/>
    <w:basedOn w:val="DefaultParagraphFont"/>
    <w:uiPriority w:val="99"/>
    <w:unhideWhenUsed/>
    <w:rsid w:val="00CD22FF"/>
    <w:rPr>
      <w:color w:val="0000FF"/>
      <w:u w:val="single"/>
    </w:rPr>
  </w:style>
  <w:style w:type="table" w:styleId="TableGrid">
    <w:name w:val="Table Grid"/>
    <w:basedOn w:val="TableNormal"/>
    <w:rsid w:val="00CD22F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D22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35F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8D477F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8D477F"/>
    <w:rPr>
      <w:rFonts w:ascii="Arial" w:eastAsia="MS Mincho" w:hAnsi="Arial" w:cs="Arial"/>
      <w:i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AB59-2B68-482E-8D11-1D257E17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19 (E).dotm</Template>
  <TotalTime>8</TotalTime>
  <Pages>5</Pages>
  <Words>1780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 Biljana</dc:creator>
  <dc:description>TPR - 31/3/2017 // MH (QC) - 4/4/2017</dc:description>
  <cp:lastModifiedBy>BRACI Biljana</cp:lastModifiedBy>
  <cp:revision>3</cp:revision>
  <cp:lastPrinted>2017-04-04T10:00:00Z</cp:lastPrinted>
  <dcterms:created xsi:type="dcterms:W3CDTF">2017-04-04T09:59:00Z</dcterms:created>
  <dcterms:modified xsi:type="dcterms:W3CDTF">2017-04-04T10:07:00Z</dcterms:modified>
</cp:coreProperties>
</file>